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3DA975">
      <w:pPr>
        <w:pStyle w:val="2"/>
        <w:keepNext w:val="0"/>
        <w:keepLines w:val="0"/>
        <w:widowControl/>
        <w:spacing w:line="360" w:lineRule="auto"/>
        <w:jc w:val="center"/>
        <w:rPr>
          <w:rFonts w:ascii="宋体" w:hAnsi="宋体" w:cs="宋体"/>
          <w:color w:val="auto"/>
          <w:sz w:val="24"/>
          <w:szCs w:val="24"/>
          <w:highlight w:val="none"/>
        </w:rPr>
      </w:pPr>
      <w:bookmarkStart w:id="0" w:name="_Toc9619"/>
      <w:bookmarkStart w:id="1" w:name="_Toc1151"/>
      <w:bookmarkStart w:id="2" w:name="_Toc17081"/>
      <w:bookmarkStart w:id="3" w:name="_Toc27392"/>
      <w:r>
        <w:rPr>
          <w:rFonts w:ascii="黑体" w:hAnsi="宋体" w:eastAsia="黑体"/>
          <w:color w:val="auto"/>
          <w:sz w:val="52"/>
          <w:highlight w:val="none"/>
        </w:rPr>
        <w:drawing>
          <wp:anchor distT="0" distB="0" distL="114300" distR="114300" simplePos="0" relativeHeight="251661312" behindDoc="1" locked="0" layoutInCell="1" allowOverlap="1">
            <wp:simplePos x="0" y="0"/>
            <wp:positionH relativeFrom="margin">
              <wp:posOffset>470535</wp:posOffset>
            </wp:positionH>
            <wp:positionV relativeFrom="paragraph">
              <wp:posOffset>1005840</wp:posOffset>
            </wp:positionV>
            <wp:extent cx="4260215" cy="1590040"/>
            <wp:effectExtent l="187960" t="0" r="182880" b="708660"/>
            <wp:wrapNone/>
            <wp:docPr id="1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8"/>
                    <pic:cNvPicPr>
                      <a:picLocks noChangeAspect="1" noChangeArrowheads="1"/>
                    </pic:cNvPicPr>
                  </pic:nvPicPr>
                  <pic:blipFill>
                    <a:blip r:embed="rId13" cstate="print">
                      <a:extLst>
                        <a:ext uri="{28A0092B-C50C-407E-A947-70E740481C1C}">
                          <a14:useLocalDpi xmlns:a14="http://schemas.microsoft.com/office/drawing/2010/main" val="0"/>
                        </a:ext>
                      </a:extLst>
                    </a:blip>
                    <a:srcRect r="313" b="9343"/>
                    <a:stretch>
                      <a:fillRect/>
                    </a:stretch>
                  </pic:blipFill>
                  <pic:spPr>
                    <a:xfrm>
                      <a:off x="0" y="0"/>
                      <a:ext cx="4537237" cy="1930551"/>
                    </a:xfrm>
                    <a:prstGeom prst="rect">
                      <a:avLst/>
                    </a:prstGeom>
                    <a:noFill/>
                    <a:ln>
                      <a:noFill/>
                    </a:ln>
                    <a:effectLst>
                      <a:reflection blurRad="6350" stA="50000" endA="300" endPos="55500" dist="101600" dir="5400000" sy="-100000" algn="bl" rotWithShape="0"/>
                    </a:effectLst>
                    <a:scene3d>
                      <a:camera prst="perspectiveRelaxedModerately"/>
                      <a:lightRig rig="threePt" dir="t"/>
                    </a:scene3d>
                  </pic:spPr>
                </pic:pic>
              </a:graphicData>
            </a:graphic>
          </wp:anchor>
        </w:drawing>
      </w:r>
      <w:r>
        <w:rPr>
          <w:rFonts w:hint="eastAsia" w:ascii="宋体" w:hAnsi="宋体" w:cs="宋体"/>
          <w:color w:val="auto"/>
          <w:sz w:val="84"/>
          <w:szCs w:val="84"/>
          <w:highlight w:val="none"/>
        </w:rPr>
        <w:t>竞争性磋商文件</w:t>
      </w:r>
      <w:bookmarkEnd w:id="0"/>
      <w:bookmarkEnd w:id="1"/>
      <w:bookmarkEnd w:id="2"/>
      <w:bookmarkEnd w:id="3"/>
    </w:p>
    <w:p w14:paraId="209EA75B">
      <w:pPr>
        <w:spacing w:line="360" w:lineRule="auto"/>
        <w:jc w:val="left"/>
        <w:rPr>
          <w:rFonts w:ascii="宋体" w:hAnsi="宋体" w:cs="宋体"/>
          <w:b/>
          <w:bCs/>
          <w:color w:val="auto"/>
          <w:sz w:val="24"/>
          <w:szCs w:val="24"/>
          <w:highlight w:val="none"/>
        </w:rPr>
      </w:pPr>
    </w:p>
    <w:p w14:paraId="6EE10BEA">
      <w:pPr>
        <w:spacing w:line="360" w:lineRule="auto"/>
        <w:jc w:val="left"/>
        <w:rPr>
          <w:rFonts w:ascii="宋体" w:hAnsi="宋体" w:cs="宋体"/>
          <w:b/>
          <w:bCs/>
          <w:color w:val="auto"/>
          <w:sz w:val="24"/>
          <w:szCs w:val="24"/>
          <w:highlight w:val="none"/>
        </w:rPr>
      </w:pPr>
    </w:p>
    <w:p w14:paraId="1847496B">
      <w:pPr>
        <w:spacing w:line="360" w:lineRule="auto"/>
        <w:jc w:val="left"/>
        <w:rPr>
          <w:rFonts w:ascii="宋体" w:hAnsi="宋体" w:cs="宋体"/>
          <w:b/>
          <w:bCs/>
          <w:color w:val="auto"/>
          <w:sz w:val="24"/>
          <w:szCs w:val="24"/>
          <w:highlight w:val="none"/>
        </w:rPr>
      </w:pPr>
    </w:p>
    <w:p w14:paraId="0599EE08">
      <w:pPr>
        <w:spacing w:line="360" w:lineRule="auto"/>
        <w:jc w:val="left"/>
        <w:rPr>
          <w:rFonts w:ascii="宋体" w:hAnsi="宋体" w:cs="宋体"/>
          <w:b/>
          <w:bCs/>
          <w:color w:val="auto"/>
          <w:sz w:val="24"/>
          <w:szCs w:val="24"/>
          <w:highlight w:val="none"/>
        </w:rPr>
      </w:pPr>
    </w:p>
    <w:p w14:paraId="6F14D08D">
      <w:pPr>
        <w:spacing w:line="360" w:lineRule="auto"/>
        <w:jc w:val="left"/>
        <w:rPr>
          <w:rFonts w:ascii="宋体" w:hAnsi="宋体" w:cs="宋体"/>
          <w:b/>
          <w:bCs/>
          <w:color w:val="auto"/>
          <w:sz w:val="24"/>
          <w:szCs w:val="24"/>
          <w:highlight w:val="none"/>
        </w:rPr>
      </w:pPr>
    </w:p>
    <w:p w14:paraId="60D45AD4">
      <w:pPr>
        <w:spacing w:line="360" w:lineRule="auto"/>
        <w:jc w:val="left"/>
        <w:rPr>
          <w:rFonts w:ascii="宋体" w:hAnsi="宋体" w:cs="宋体"/>
          <w:b/>
          <w:bCs/>
          <w:color w:val="auto"/>
          <w:sz w:val="24"/>
          <w:szCs w:val="24"/>
          <w:highlight w:val="none"/>
        </w:rPr>
      </w:pPr>
    </w:p>
    <w:p w14:paraId="6C887757">
      <w:pPr>
        <w:spacing w:line="360" w:lineRule="auto"/>
        <w:jc w:val="left"/>
        <w:rPr>
          <w:rFonts w:ascii="宋体" w:hAnsi="宋体" w:cs="宋体"/>
          <w:b/>
          <w:bCs/>
          <w:color w:val="auto"/>
          <w:sz w:val="24"/>
          <w:szCs w:val="24"/>
          <w:highlight w:val="none"/>
        </w:rPr>
      </w:pPr>
    </w:p>
    <w:p w14:paraId="4157EF6F">
      <w:pPr>
        <w:spacing w:line="360" w:lineRule="auto"/>
        <w:jc w:val="left"/>
        <w:rPr>
          <w:rFonts w:ascii="宋体" w:hAnsi="宋体" w:cs="宋体"/>
          <w:b/>
          <w:bCs/>
          <w:color w:val="auto"/>
          <w:sz w:val="24"/>
          <w:szCs w:val="24"/>
          <w:highlight w:val="none"/>
        </w:rPr>
      </w:pPr>
    </w:p>
    <w:p w14:paraId="5A05CC1B">
      <w:pPr>
        <w:snapToGrid w:val="0"/>
        <w:spacing w:line="360" w:lineRule="auto"/>
        <w:ind w:right="-191"/>
        <w:rPr>
          <w:rFonts w:ascii="宋体" w:hAnsi="宋体" w:eastAsia="宋体" w:cs="宋体"/>
          <w:b/>
          <w:color w:val="auto"/>
          <w:sz w:val="32"/>
          <w:szCs w:val="32"/>
          <w:highlight w:val="none"/>
        </w:rPr>
      </w:pPr>
    </w:p>
    <w:p w14:paraId="294B2259">
      <w:pPr>
        <w:snapToGrid w:val="0"/>
        <w:spacing w:line="360" w:lineRule="auto"/>
        <w:ind w:left="2423" w:leftChars="347" w:right="-191" w:hanging="1590" w:hangingChars="495"/>
        <w:rPr>
          <w:rFonts w:ascii="宋体" w:hAnsi="宋体" w:eastAsia="宋体" w:cs="宋体"/>
          <w:b/>
          <w:color w:val="auto"/>
          <w:sz w:val="32"/>
          <w:szCs w:val="32"/>
          <w:highlight w:val="none"/>
        </w:rPr>
      </w:pPr>
    </w:p>
    <w:p w14:paraId="3B586911">
      <w:pPr>
        <w:snapToGrid w:val="0"/>
        <w:spacing w:line="360" w:lineRule="auto"/>
        <w:ind w:right="-191"/>
        <w:rPr>
          <w:rFonts w:ascii="宋体" w:hAnsi="宋体" w:eastAsia="宋体" w:cs="宋体"/>
          <w:b/>
          <w:color w:val="auto"/>
          <w:sz w:val="32"/>
          <w:szCs w:val="32"/>
          <w:highlight w:val="none"/>
        </w:rPr>
      </w:pPr>
    </w:p>
    <w:p w14:paraId="63EA3B80">
      <w:pPr>
        <w:snapToGrid w:val="0"/>
        <w:spacing w:line="360" w:lineRule="auto"/>
        <w:ind w:right="-191"/>
        <w:rPr>
          <w:rFonts w:hint="default" w:ascii="宋体" w:hAnsi="宋体" w:eastAsia="宋体" w:cs="宋体"/>
          <w:b/>
          <w:color w:val="000000" w:themeColor="text1"/>
          <w:sz w:val="32"/>
          <w:szCs w:val="32"/>
          <w:highlight w:val="none"/>
          <w:lang w:val="en-US" w:eastAsia="zh-CN"/>
          <w14:textFill>
            <w14:solidFill>
              <w14:schemeClr w14:val="tx1"/>
            </w14:solidFill>
          </w14:textFill>
        </w:rPr>
      </w:pPr>
      <w:r>
        <w:rPr>
          <w:rFonts w:hint="eastAsia" w:ascii="宋体" w:hAnsi="宋体" w:eastAsia="宋体" w:cs="宋体"/>
          <w:b/>
          <w:color w:val="auto"/>
          <w:sz w:val="32"/>
          <w:szCs w:val="32"/>
          <w:highlight w:val="none"/>
        </w:rPr>
        <w:t>项目编号</w:t>
      </w:r>
      <w:r>
        <w:rPr>
          <w:rFonts w:hint="eastAsia" w:ascii="宋体" w:hAnsi="宋体" w:eastAsia="宋体" w:cs="宋体"/>
          <w:b/>
          <w:color w:val="000000" w:themeColor="text1"/>
          <w:sz w:val="32"/>
          <w:szCs w:val="32"/>
          <w:highlight w:val="none"/>
          <w14:textFill>
            <w14:solidFill>
              <w14:schemeClr w14:val="tx1"/>
            </w14:solidFill>
          </w14:textFill>
        </w:rPr>
        <w:t>：</w:t>
      </w:r>
      <w:r>
        <w:rPr>
          <w:rFonts w:hint="eastAsia" w:cs="宋体"/>
          <w:b/>
          <w:color w:val="000000" w:themeColor="text1"/>
          <w:sz w:val="32"/>
          <w:szCs w:val="32"/>
          <w:highlight w:val="none"/>
          <w:lang w:eastAsia="zh-CN"/>
          <w14:textFill>
            <w14:solidFill>
              <w14:schemeClr w14:val="tx1"/>
            </w14:solidFill>
          </w14:textFill>
        </w:rPr>
        <w:t>TC259H0P4</w:t>
      </w:r>
    </w:p>
    <w:p w14:paraId="1E21A228">
      <w:pPr>
        <w:snapToGrid w:val="0"/>
        <w:spacing w:line="360" w:lineRule="auto"/>
        <w:ind w:right="-191"/>
        <w:rPr>
          <w:rFonts w:hint="eastAsia" w:ascii="宋体" w:hAnsi="宋体" w:eastAsia="宋体" w:cs="宋体"/>
          <w:b/>
          <w:color w:val="000000" w:themeColor="text1"/>
          <w:sz w:val="32"/>
          <w:szCs w:val="32"/>
          <w:highlight w:val="none"/>
          <w:lang w:val="en-US" w:eastAsia="zh-CN"/>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项目名称：</w:t>
      </w:r>
      <w:r>
        <w:rPr>
          <w:rFonts w:hint="eastAsia" w:cs="宋体"/>
          <w:b/>
          <w:color w:val="000000" w:themeColor="text1"/>
          <w:sz w:val="32"/>
          <w:szCs w:val="32"/>
          <w:highlight w:val="none"/>
          <w:lang w:eastAsia="zh-CN"/>
          <w14:textFill>
            <w14:solidFill>
              <w14:schemeClr w14:val="tx1"/>
            </w14:solidFill>
          </w14:textFill>
        </w:rPr>
        <w:t>新疆医科大学第一附属医院临床教学楼会议室等楼宇室外屋面防水维修项目</w:t>
      </w:r>
    </w:p>
    <w:p w14:paraId="455CF727">
      <w:pPr>
        <w:snapToGrid w:val="0"/>
        <w:spacing w:line="360" w:lineRule="auto"/>
        <w:ind w:right="-191"/>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采 购 人：</w:t>
      </w:r>
      <w:r>
        <w:rPr>
          <w:rFonts w:hint="eastAsia" w:cs="宋体"/>
          <w:b/>
          <w:color w:val="000000" w:themeColor="text1"/>
          <w:sz w:val="32"/>
          <w:szCs w:val="32"/>
          <w:highlight w:val="none"/>
          <w:lang w:eastAsia="zh-CN"/>
          <w14:textFill>
            <w14:solidFill>
              <w14:schemeClr w14:val="tx1"/>
            </w14:solidFill>
          </w14:textFill>
        </w:rPr>
        <w:t>新疆医科大学第一附属医院</w:t>
      </w:r>
    </w:p>
    <w:p w14:paraId="1165949B">
      <w:pPr>
        <w:pStyle w:val="68"/>
        <w:spacing w:line="360" w:lineRule="auto"/>
        <w:rPr>
          <w:rFonts w:ascii="宋体" w:hAnsi="宋体" w:eastAsia="宋体" w:cs="宋体"/>
          <w:color w:val="000000" w:themeColor="text1"/>
          <w:highlight w:val="none"/>
          <w14:textFill>
            <w14:solidFill>
              <w14:schemeClr w14:val="tx1"/>
            </w14:solidFill>
          </w14:textFill>
        </w:rPr>
      </w:pPr>
    </w:p>
    <w:p w14:paraId="48C01F88">
      <w:pPr>
        <w:pStyle w:val="68"/>
        <w:spacing w:line="360" w:lineRule="auto"/>
        <w:rPr>
          <w:rFonts w:ascii="宋体" w:hAnsi="宋体" w:eastAsia="宋体" w:cs="宋体"/>
          <w:color w:val="000000" w:themeColor="text1"/>
          <w:highlight w:val="none"/>
          <w14:textFill>
            <w14:solidFill>
              <w14:schemeClr w14:val="tx1"/>
            </w14:solidFill>
          </w14:textFill>
        </w:rPr>
      </w:pPr>
    </w:p>
    <w:p w14:paraId="0A6AC548">
      <w:pPr>
        <w:snapToGrid w:val="0"/>
        <w:spacing w:line="360" w:lineRule="auto"/>
        <w:jc w:val="center"/>
        <w:rPr>
          <w:rFonts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中招国际招标有限公司</w:t>
      </w:r>
    </w:p>
    <w:p w14:paraId="1A9A9892">
      <w:pPr>
        <w:jc w:val="center"/>
        <w:rPr>
          <w:rFonts w:ascii="黑体" w:hAnsi="黑体" w:eastAsia="黑体"/>
          <w:i w:val="0"/>
          <w:iCs w:val="0"/>
          <w:color w:val="auto"/>
          <w:sz w:val="32"/>
          <w:szCs w:val="32"/>
          <w:highlight w:val="none"/>
        </w:rPr>
      </w:pPr>
      <w:r>
        <w:rPr>
          <w:rFonts w:hint="eastAsia" w:ascii="宋体" w:hAnsi="宋体" w:eastAsia="宋体" w:cs="宋体"/>
          <w:b/>
          <w:color w:val="000000" w:themeColor="text1"/>
          <w:sz w:val="32"/>
          <w:szCs w:val="32"/>
          <w:highlight w:val="none"/>
          <w14:textFill>
            <w14:solidFill>
              <w14:schemeClr w14:val="tx1"/>
            </w14:solidFill>
          </w14:textFill>
        </w:rPr>
        <w:t>202</w:t>
      </w:r>
      <w:r>
        <w:rPr>
          <w:rFonts w:hint="eastAsia" w:ascii="宋体" w:hAnsi="宋体" w:eastAsia="宋体" w:cs="宋体"/>
          <w:b/>
          <w:color w:val="000000" w:themeColor="text1"/>
          <w:sz w:val="32"/>
          <w:szCs w:val="32"/>
          <w:highlight w:val="none"/>
          <w:lang w:val="en-US" w:eastAsia="zh-CN"/>
          <w14:textFill>
            <w14:solidFill>
              <w14:schemeClr w14:val="tx1"/>
            </w14:solidFill>
          </w14:textFill>
        </w:rPr>
        <w:t>5</w:t>
      </w:r>
      <w:r>
        <w:rPr>
          <w:rFonts w:hint="eastAsia" w:ascii="宋体" w:hAnsi="宋体" w:eastAsia="宋体" w:cs="宋体"/>
          <w:b/>
          <w:color w:val="000000" w:themeColor="text1"/>
          <w:sz w:val="32"/>
          <w:szCs w:val="32"/>
          <w:highlight w:val="none"/>
          <w14:textFill>
            <w14:solidFill>
              <w14:schemeClr w14:val="tx1"/>
            </w14:solidFill>
          </w14:textFill>
        </w:rPr>
        <w:t>年</w:t>
      </w:r>
      <w:r>
        <w:rPr>
          <w:rFonts w:hint="eastAsia" w:cs="宋体"/>
          <w:b/>
          <w:color w:val="000000" w:themeColor="text1"/>
          <w:sz w:val="32"/>
          <w:szCs w:val="32"/>
          <w:highlight w:val="none"/>
          <w:lang w:val="en-US" w:eastAsia="zh-CN"/>
          <w14:textFill>
            <w14:solidFill>
              <w14:schemeClr w14:val="tx1"/>
            </w14:solidFill>
          </w14:textFill>
        </w:rPr>
        <w:t>07</w:t>
      </w:r>
      <w:r>
        <w:rPr>
          <w:rFonts w:hint="eastAsia" w:ascii="宋体" w:hAnsi="宋体" w:eastAsia="宋体" w:cs="宋体"/>
          <w:b/>
          <w:color w:val="000000" w:themeColor="text1"/>
          <w:sz w:val="32"/>
          <w:szCs w:val="32"/>
          <w:highlight w:val="none"/>
          <w14:textFill>
            <w14:solidFill>
              <w14:schemeClr w14:val="tx1"/>
            </w14:solidFill>
          </w14:textFill>
        </w:rPr>
        <w:t>月</w:t>
      </w:r>
    </w:p>
    <w:p w14:paraId="4DCB7370">
      <w:pP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br w:type="page"/>
      </w:r>
    </w:p>
    <w:p w14:paraId="55100918">
      <w:pPr>
        <w:jc w:val="cente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t xml:space="preserve">目 </w:t>
      </w:r>
      <w:r>
        <w:rPr>
          <w:rFonts w:hint="eastAsia" w:ascii="宋体" w:hAnsi="宋体" w:eastAsia="宋体" w:cs="宋体"/>
          <w:b/>
          <w:bCs/>
          <w:i w:val="0"/>
          <w:iCs w:val="0"/>
          <w:color w:val="auto"/>
          <w:sz w:val="36"/>
          <w:szCs w:val="36"/>
          <w:highlight w:val="none"/>
          <w:lang w:val="en-US" w:eastAsia="zh-CN"/>
        </w:rPr>
        <w:t xml:space="preserve"> </w:t>
      </w:r>
      <w:r>
        <w:rPr>
          <w:rFonts w:hint="eastAsia" w:ascii="宋体" w:hAnsi="宋体" w:eastAsia="宋体" w:cs="宋体"/>
          <w:b/>
          <w:bCs/>
          <w:i w:val="0"/>
          <w:iCs w:val="0"/>
          <w:color w:val="auto"/>
          <w:sz w:val="36"/>
          <w:szCs w:val="36"/>
          <w:highlight w:val="none"/>
        </w:rPr>
        <w:t>录</w:t>
      </w:r>
    </w:p>
    <w:p w14:paraId="33708043">
      <w:pPr>
        <w:pStyle w:val="21"/>
        <w:tabs>
          <w:tab w:val="right" w:leader="dot" w:pos="8306"/>
        </w:tabs>
        <w:spacing w:line="240" w:lineRule="auto"/>
        <w:outlineLvl w:val="9"/>
        <w:rPr>
          <w:sz w:val="21"/>
          <w:szCs w:val="21"/>
        </w:rPr>
      </w:pPr>
      <w:r>
        <w:rPr>
          <w:i w:val="0"/>
          <w:iCs w:val="0"/>
          <w:color w:val="auto"/>
          <w:highlight w:val="none"/>
        </w:rPr>
        <w:fldChar w:fldCharType="begin"/>
      </w:r>
      <w:r>
        <w:rPr>
          <w:i w:val="0"/>
          <w:iCs w:val="0"/>
          <w:color w:val="auto"/>
          <w:highlight w:val="none"/>
        </w:rPr>
        <w:instrText xml:space="preserve"> TOC \o "1-3" \h \z \u </w:instrText>
      </w:r>
      <w:r>
        <w:rPr>
          <w:i w:val="0"/>
          <w:iCs w:val="0"/>
          <w:color w:val="auto"/>
          <w:highlight w:val="none"/>
        </w:rPr>
        <w:fldChar w:fldCharType="separate"/>
      </w:r>
      <w:r>
        <w:rPr>
          <w:i w:val="0"/>
          <w:iCs w:val="0"/>
          <w:color w:val="auto"/>
          <w:sz w:val="21"/>
          <w:szCs w:val="21"/>
          <w:highlight w:val="none"/>
        </w:rPr>
        <w:fldChar w:fldCharType="begin"/>
      </w:r>
      <w:r>
        <w:rPr>
          <w:i w:val="0"/>
          <w:iCs w:val="0"/>
          <w:sz w:val="21"/>
          <w:szCs w:val="21"/>
          <w:highlight w:val="none"/>
        </w:rPr>
        <w:instrText xml:space="preserve"> HYPERLINK \l _Toc22177 </w:instrText>
      </w:r>
      <w:r>
        <w:rPr>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第一章 竞争性磋商公告</w:t>
      </w:r>
      <w:r>
        <w:rPr>
          <w:sz w:val="21"/>
          <w:szCs w:val="21"/>
        </w:rPr>
        <w:tab/>
      </w:r>
      <w:r>
        <w:rPr>
          <w:sz w:val="21"/>
          <w:szCs w:val="21"/>
        </w:rPr>
        <w:fldChar w:fldCharType="begin"/>
      </w:r>
      <w:r>
        <w:rPr>
          <w:sz w:val="21"/>
          <w:szCs w:val="21"/>
        </w:rPr>
        <w:instrText xml:space="preserve"> PAGEREF _Toc22177 \h </w:instrText>
      </w:r>
      <w:r>
        <w:rPr>
          <w:sz w:val="21"/>
          <w:szCs w:val="21"/>
        </w:rPr>
        <w:fldChar w:fldCharType="separate"/>
      </w:r>
      <w:r>
        <w:rPr>
          <w:sz w:val="21"/>
          <w:szCs w:val="21"/>
        </w:rPr>
        <w:t>1</w:t>
      </w:r>
      <w:r>
        <w:rPr>
          <w:sz w:val="21"/>
          <w:szCs w:val="21"/>
        </w:rPr>
        <w:fldChar w:fldCharType="end"/>
      </w:r>
      <w:r>
        <w:rPr>
          <w:i w:val="0"/>
          <w:iCs w:val="0"/>
          <w:color w:val="auto"/>
          <w:sz w:val="21"/>
          <w:szCs w:val="21"/>
          <w:highlight w:val="none"/>
        </w:rPr>
        <w:fldChar w:fldCharType="end"/>
      </w:r>
    </w:p>
    <w:p w14:paraId="1C99FE8F">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_Toc23763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hr-HR" w:eastAsia="zh-CN" w:bidi="ar-SA"/>
        </w:rPr>
        <w:t>一、</w:t>
      </w:r>
      <w:r>
        <w:rPr>
          <w:rFonts w:hint="eastAsia" w:ascii="宋体" w:hAnsi="宋体" w:eastAsia="宋体" w:cs="宋体"/>
          <w:i w:val="0"/>
          <w:iCs w:val="0"/>
          <w:sz w:val="21"/>
          <w:szCs w:val="21"/>
          <w:highlight w:val="none"/>
          <w:lang w:val="hr-HR"/>
        </w:rPr>
        <w:t>项目基本情况</w:t>
      </w:r>
      <w:r>
        <w:rPr>
          <w:sz w:val="21"/>
          <w:szCs w:val="21"/>
        </w:rPr>
        <w:tab/>
      </w:r>
      <w:r>
        <w:rPr>
          <w:sz w:val="21"/>
          <w:szCs w:val="21"/>
        </w:rPr>
        <w:fldChar w:fldCharType="begin"/>
      </w:r>
      <w:r>
        <w:rPr>
          <w:sz w:val="21"/>
          <w:szCs w:val="21"/>
        </w:rPr>
        <w:instrText xml:space="preserve"> PAGEREF _Toc23763 \h </w:instrText>
      </w:r>
      <w:r>
        <w:rPr>
          <w:sz w:val="21"/>
          <w:szCs w:val="21"/>
        </w:rPr>
        <w:fldChar w:fldCharType="separate"/>
      </w:r>
      <w:r>
        <w:rPr>
          <w:sz w:val="21"/>
          <w:szCs w:val="21"/>
        </w:rPr>
        <w:t>1</w:t>
      </w:r>
      <w:r>
        <w:rPr>
          <w:sz w:val="21"/>
          <w:szCs w:val="21"/>
        </w:rPr>
        <w:fldChar w:fldCharType="end"/>
      </w:r>
      <w:r>
        <w:rPr>
          <w:i w:val="0"/>
          <w:iCs w:val="0"/>
          <w:color w:val="auto"/>
          <w:sz w:val="21"/>
          <w:szCs w:val="21"/>
          <w:highlight w:val="none"/>
        </w:rPr>
        <w:fldChar w:fldCharType="end"/>
      </w:r>
    </w:p>
    <w:p w14:paraId="6647916D">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_Toc28695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二、申请人的</w:t>
      </w:r>
      <w:r>
        <w:rPr>
          <w:rFonts w:hint="eastAsia" w:ascii="宋体" w:hAnsi="宋体" w:eastAsia="宋体" w:cs="宋体"/>
          <w:bCs/>
          <w:i w:val="0"/>
          <w:iCs w:val="0"/>
          <w:kern w:val="2"/>
          <w:sz w:val="21"/>
          <w:szCs w:val="21"/>
          <w:highlight w:val="none"/>
          <w:lang w:val="hr-HR" w:eastAsia="zh-CN" w:bidi="ar-SA"/>
        </w:rPr>
        <w:t>资格要求</w:t>
      </w:r>
      <w:r>
        <w:rPr>
          <w:sz w:val="21"/>
          <w:szCs w:val="21"/>
        </w:rPr>
        <w:tab/>
      </w:r>
      <w:r>
        <w:rPr>
          <w:sz w:val="21"/>
          <w:szCs w:val="21"/>
        </w:rPr>
        <w:fldChar w:fldCharType="begin"/>
      </w:r>
      <w:r>
        <w:rPr>
          <w:sz w:val="21"/>
          <w:szCs w:val="21"/>
        </w:rPr>
        <w:instrText xml:space="preserve"> PAGEREF _Toc28695 \h </w:instrText>
      </w:r>
      <w:r>
        <w:rPr>
          <w:sz w:val="21"/>
          <w:szCs w:val="21"/>
        </w:rPr>
        <w:fldChar w:fldCharType="separate"/>
      </w:r>
      <w:r>
        <w:rPr>
          <w:sz w:val="21"/>
          <w:szCs w:val="21"/>
        </w:rPr>
        <w:t>1</w:t>
      </w:r>
      <w:r>
        <w:rPr>
          <w:sz w:val="21"/>
          <w:szCs w:val="21"/>
        </w:rPr>
        <w:fldChar w:fldCharType="end"/>
      </w:r>
      <w:r>
        <w:rPr>
          <w:i w:val="0"/>
          <w:iCs w:val="0"/>
          <w:color w:val="auto"/>
          <w:sz w:val="21"/>
          <w:szCs w:val="21"/>
          <w:highlight w:val="none"/>
        </w:rPr>
        <w:fldChar w:fldCharType="end"/>
      </w:r>
    </w:p>
    <w:p w14:paraId="3B3ED673">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_Toc23405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三、</w:t>
      </w:r>
      <w:r>
        <w:rPr>
          <w:rFonts w:hint="eastAsia" w:ascii="宋体" w:hAnsi="宋体" w:eastAsia="宋体" w:cs="宋体"/>
          <w:bCs/>
          <w:i w:val="0"/>
          <w:iCs w:val="0"/>
          <w:kern w:val="2"/>
          <w:sz w:val="21"/>
          <w:szCs w:val="21"/>
          <w:highlight w:val="none"/>
          <w:lang w:val="hr-HR" w:eastAsia="zh-CN" w:bidi="ar-SA"/>
        </w:rPr>
        <w:t>获取</w:t>
      </w:r>
      <w:r>
        <w:rPr>
          <w:rFonts w:hint="eastAsia" w:ascii="宋体" w:hAnsi="宋体" w:eastAsia="宋体" w:cs="宋体"/>
          <w:bCs/>
          <w:i w:val="0"/>
          <w:iCs w:val="0"/>
          <w:kern w:val="2"/>
          <w:sz w:val="21"/>
          <w:szCs w:val="21"/>
          <w:highlight w:val="none"/>
          <w:lang w:val="en-US" w:eastAsia="zh-CN" w:bidi="ar-SA"/>
        </w:rPr>
        <w:t>采购</w:t>
      </w:r>
      <w:r>
        <w:rPr>
          <w:rFonts w:hint="eastAsia" w:ascii="宋体" w:hAnsi="宋体" w:eastAsia="宋体" w:cs="宋体"/>
          <w:bCs/>
          <w:i w:val="0"/>
          <w:iCs w:val="0"/>
          <w:kern w:val="2"/>
          <w:sz w:val="21"/>
          <w:szCs w:val="21"/>
          <w:highlight w:val="none"/>
          <w:lang w:val="hr-HR" w:eastAsia="zh-CN" w:bidi="ar-SA"/>
        </w:rPr>
        <w:t>文件</w:t>
      </w:r>
      <w:r>
        <w:rPr>
          <w:sz w:val="21"/>
          <w:szCs w:val="21"/>
        </w:rPr>
        <w:tab/>
      </w:r>
      <w:r>
        <w:rPr>
          <w:sz w:val="21"/>
          <w:szCs w:val="21"/>
        </w:rPr>
        <w:fldChar w:fldCharType="begin"/>
      </w:r>
      <w:r>
        <w:rPr>
          <w:sz w:val="21"/>
          <w:szCs w:val="21"/>
        </w:rPr>
        <w:instrText xml:space="preserve"> PAGEREF _Toc23405 \h </w:instrText>
      </w:r>
      <w:r>
        <w:rPr>
          <w:sz w:val="21"/>
          <w:szCs w:val="21"/>
        </w:rPr>
        <w:fldChar w:fldCharType="separate"/>
      </w:r>
      <w:r>
        <w:rPr>
          <w:sz w:val="21"/>
          <w:szCs w:val="21"/>
        </w:rPr>
        <w:t>2</w:t>
      </w:r>
      <w:r>
        <w:rPr>
          <w:sz w:val="21"/>
          <w:szCs w:val="21"/>
        </w:rPr>
        <w:fldChar w:fldCharType="end"/>
      </w:r>
      <w:r>
        <w:rPr>
          <w:i w:val="0"/>
          <w:iCs w:val="0"/>
          <w:color w:val="auto"/>
          <w:sz w:val="21"/>
          <w:szCs w:val="21"/>
          <w:highlight w:val="none"/>
        </w:rPr>
        <w:fldChar w:fldCharType="end"/>
      </w:r>
    </w:p>
    <w:p w14:paraId="2CA22E7E">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_Toc4788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四、</w:t>
      </w:r>
      <w:r>
        <w:rPr>
          <w:rFonts w:hint="eastAsia" w:ascii="宋体" w:hAnsi="宋体" w:eastAsia="宋体" w:cs="宋体"/>
          <w:bCs/>
          <w:i w:val="0"/>
          <w:iCs w:val="0"/>
          <w:spacing w:val="-6"/>
          <w:kern w:val="2"/>
          <w:sz w:val="21"/>
          <w:szCs w:val="21"/>
          <w:highlight w:val="none"/>
          <w:lang w:val="hr-HR" w:eastAsia="zh-CN" w:bidi="ar-SA"/>
        </w:rPr>
        <w:t>响应文件提交</w:t>
      </w:r>
      <w:r>
        <w:rPr>
          <w:sz w:val="21"/>
          <w:szCs w:val="21"/>
        </w:rPr>
        <w:tab/>
      </w:r>
      <w:r>
        <w:rPr>
          <w:sz w:val="21"/>
          <w:szCs w:val="21"/>
        </w:rPr>
        <w:fldChar w:fldCharType="begin"/>
      </w:r>
      <w:r>
        <w:rPr>
          <w:sz w:val="21"/>
          <w:szCs w:val="21"/>
        </w:rPr>
        <w:instrText xml:space="preserve"> PAGEREF _Toc4788 \h </w:instrText>
      </w:r>
      <w:r>
        <w:rPr>
          <w:sz w:val="21"/>
          <w:szCs w:val="21"/>
        </w:rPr>
        <w:fldChar w:fldCharType="separate"/>
      </w:r>
      <w:r>
        <w:rPr>
          <w:sz w:val="21"/>
          <w:szCs w:val="21"/>
        </w:rPr>
        <w:t>2</w:t>
      </w:r>
      <w:r>
        <w:rPr>
          <w:sz w:val="21"/>
          <w:szCs w:val="21"/>
        </w:rPr>
        <w:fldChar w:fldCharType="end"/>
      </w:r>
      <w:r>
        <w:rPr>
          <w:i w:val="0"/>
          <w:iCs w:val="0"/>
          <w:color w:val="auto"/>
          <w:sz w:val="21"/>
          <w:szCs w:val="21"/>
          <w:highlight w:val="none"/>
        </w:rPr>
        <w:fldChar w:fldCharType="end"/>
      </w:r>
    </w:p>
    <w:p w14:paraId="3D51F667">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_Toc1781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五、</w:t>
      </w:r>
      <w:r>
        <w:rPr>
          <w:rFonts w:hint="eastAsia" w:ascii="宋体" w:hAnsi="宋体" w:cs="宋体"/>
          <w:bCs/>
          <w:i w:val="0"/>
          <w:iCs w:val="0"/>
          <w:kern w:val="2"/>
          <w:sz w:val="21"/>
          <w:szCs w:val="21"/>
          <w:highlight w:val="none"/>
          <w:lang w:val="en-US" w:eastAsia="zh-CN" w:bidi="ar-SA"/>
        </w:rPr>
        <w:t>响应文件</w:t>
      </w:r>
      <w:r>
        <w:rPr>
          <w:rFonts w:hint="eastAsia" w:ascii="宋体" w:hAnsi="宋体" w:eastAsia="宋体" w:cs="宋体"/>
          <w:bCs/>
          <w:i w:val="0"/>
          <w:iCs w:val="0"/>
          <w:kern w:val="2"/>
          <w:sz w:val="21"/>
          <w:szCs w:val="21"/>
          <w:highlight w:val="none"/>
          <w:lang w:val="en-US" w:eastAsia="zh-CN" w:bidi="ar-SA"/>
        </w:rPr>
        <w:t>开启</w:t>
      </w:r>
      <w:r>
        <w:rPr>
          <w:sz w:val="21"/>
          <w:szCs w:val="21"/>
        </w:rPr>
        <w:tab/>
      </w:r>
      <w:r>
        <w:rPr>
          <w:sz w:val="21"/>
          <w:szCs w:val="21"/>
        </w:rPr>
        <w:fldChar w:fldCharType="begin"/>
      </w:r>
      <w:r>
        <w:rPr>
          <w:sz w:val="21"/>
          <w:szCs w:val="21"/>
        </w:rPr>
        <w:instrText xml:space="preserve"> PAGEREF _Toc1781 \h </w:instrText>
      </w:r>
      <w:r>
        <w:rPr>
          <w:sz w:val="21"/>
          <w:szCs w:val="21"/>
        </w:rPr>
        <w:fldChar w:fldCharType="separate"/>
      </w:r>
      <w:r>
        <w:rPr>
          <w:sz w:val="21"/>
          <w:szCs w:val="21"/>
        </w:rPr>
        <w:t>2</w:t>
      </w:r>
      <w:r>
        <w:rPr>
          <w:sz w:val="21"/>
          <w:szCs w:val="21"/>
        </w:rPr>
        <w:fldChar w:fldCharType="end"/>
      </w:r>
      <w:r>
        <w:rPr>
          <w:i w:val="0"/>
          <w:iCs w:val="0"/>
          <w:color w:val="auto"/>
          <w:sz w:val="21"/>
          <w:szCs w:val="21"/>
          <w:highlight w:val="none"/>
        </w:rPr>
        <w:fldChar w:fldCharType="end"/>
      </w:r>
    </w:p>
    <w:p w14:paraId="1EE35422">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_Toc2594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六、</w:t>
      </w:r>
      <w:r>
        <w:rPr>
          <w:rFonts w:hint="eastAsia" w:ascii="宋体" w:hAnsi="宋体" w:eastAsia="宋体" w:cs="宋体"/>
          <w:bCs/>
          <w:i w:val="0"/>
          <w:iCs w:val="0"/>
          <w:kern w:val="2"/>
          <w:sz w:val="21"/>
          <w:szCs w:val="21"/>
          <w:highlight w:val="none"/>
          <w:lang w:val="hr-HR" w:eastAsia="zh-CN" w:bidi="ar-SA"/>
        </w:rPr>
        <w:t>公告期限</w:t>
      </w:r>
      <w:r>
        <w:rPr>
          <w:sz w:val="21"/>
          <w:szCs w:val="21"/>
        </w:rPr>
        <w:tab/>
      </w:r>
      <w:r>
        <w:rPr>
          <w:sz w:val="21"/>
          <w:szCs w:val="21"/>
        </w:rPr>
        <w:fldChar w:fldCharType="begin"/>
      </w:r>
      <w:r>
        <w:rPr>
          <w:sz w:val="21"/>
          <w:szCs w:val="21"/>
        </w:rPr>
        <w:instrText xml:space="preserve"> PAGEREF _Toc2594 \h </w:instrText>
      </w:r>
      <w:r>
        <w:rPr>
          <w:sz w:val="21"/>
          <w:szCs w:val="21"/>
        </w:rPr>
        <w:fldChar w:fldCharType="separate"/>
      </w:r>
      <w:r>
        <w:rPr>
          <w:sz w:val="21"/>
          <w:szCs w:val="21"/>
        </w:rPr>
        <w:t>3</w:t>
      </w:r>
      <w:r>
        <w:rPr>
          <w:sz w:val="21"/>
          <w:szCs w:val="21"/>
        </w:rPr>
        <w:fldChar w:fldCharType="end"/>
      </w:r>
      <w:r>
        <w:rPr>
          <w:i w:val="0"/>
          <w:iCs w:val="0"/>
          <w:color w:val="auto"/>
          <w:sz w:val="21"/>
          <w:szCs w:val="21"/>
          <w:highlight w:val="none"/>
        </w:rPr>
        <w:fldChar w:fldCharType="end"/>
      </w:r>
    </w:p>
    <w:p w14:paraId="62EC352C">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_Toc5695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hr-HR" w:eastAsia="zh-CN" w:bidi="ar-SA"/>
        </w:rPr>
        <w:t>七、其他补充事宜</w:t>
      </w:r>
      <w:r>
        <w:rPr>
          <w:sz w:val="21"/>
          <w:szCs w:val="21"/>
        </w:rPr>
        <w:tab/>
      </w:r>
      <w:r>
        <w:rPr>
          <w:sz w:val="21"/>
          <w:szCs w:val="21"/>
        </w:rPr>
        <w:fldChar w:fldCharType="begin"/>
      </w:r>
      <w:r>
        <w:rPr>
          <w:sz w:val="21"/>
          <w:szCs w:val="21"/>
        </w:rPr>
        <w:instrText xml:space="preserve"> PAGEREF _Toc5695 \h </w:instrText>
      </w:r>
      <w:r>
        <w:rPr>
          <w:sz w:val="21"/>
          <w:szCs w:val="21"/>
        </w:rPr>
        <w:fldChar w:fldCharType="separate"/>
      </w:r>
      <w:r>
        <w:rPr>
          <w:sz w:val="21"/>
          <w:szCs w:val="21"/>
        </w:rPr>
        <w:t>3</w:t>
      </w:r>
      <w:r>
        <w:rPr>
          <w:sz w:val="21"/>
          <w:szCs w:val="21"/>
        </w:rPr>
        <w:fldChar w:fldCharType="end"/>
      </w:r>
      <w:r>
        <w:rPr>
          <w:i w:val="0"/>
          <w:iCs w:val="0"/>
          <w:color w:val="auto"/>
          <w:sz w:val="21"/>
          <w:szCs w:val="21"/>
          <w:highlight w:val="none"/>
        </w:rPr>
        <w:fldChar w:fldCharType="end"/>
      </w:r>
    </w:p>
    <w:p w14:paraId="66CC1320">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_Toc20650 </w:instrText>
      </w:r>
      <w:r>
        <w:rPr>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八、</w:t>
      </w:r>
      <w:r>
        <w:rPr>
          <w:rFonts w:hint="eastAsia" w:ascii="宋体" w:hAnsi="宋体" w:eastAsia="宋体" w:cs="宋体"/>
          <w:bCs/>
          <w:i w:val="0"/>
          <w:iCs w:val="0"/>
          <w:kern w:val="2"/>
          <w:sz w:val="21"/>
          <w:szCs w:val="21"/>
          <w:highlight w:val="none"/>
          <w:lang w:val="hr-HR" w:eastAsia="zh-CN" w:bidi="ar-SA"/>
        </w:rPr>
        <w:t>凡对本次采购提出询问，请按以下方式联系</w:t>
      </w:r>
      <w:r>
        <w:rPr>
          <w:sz w:val="21"/>
          <w:szCs w:val="21"/>
        </w:rPr>
        <w:tab/>
      </w:r>
      <w:r>
        <w:rPr>
          <w:sz w:val="21"/>
          <w:szCs w:val="21"/>
        </w:rPr>
        <w:fldChar w:fldCharType="begin"/>
      </w:r>
      <w:r>
        <w:rPr>
          <w:sz w:val="21"/>
          <w:szCs w:val="21"/>
        </w:rPr>
        <w:instrText xml:space="preserve"> PAGEREF _Toc20650 \h </w:instrText>
      </w:r>
      <w:r>
        <w:rPr>
          <w:sz w:val="21"/>
          <w:szCs w:val="21"/>
        </w:rPr>
        <w:fldChar w:fldCharType="separate"/>
      </w:r>
      <w:r>
        <w:rPr>
          <w:sz w:val="21"/>
          <w:szCs w:val="21"/>
        </w:rPr>
        <w:t>5</w:t>
      </w:r>
      <w:r>
        <w:rPr>
          <w:sz w:val="21"/>
          <w:szCs w:val="21"/>
        </w:rPr>
        <w:fldChar w:fldCharType="end"/>
      </w:r>
      <w:r>
        <w:rPr>
          <w:i w:val="0"/>
          <w:iCs w:val="0"/>
          <w:color w:val="auto"/>
          <w:sz w:val="21"/>
          <w:szCs w:val="21"/>
          <w:highlight w:val="none"/>
        </w:rPr>
        <w:fldChar w:fldCharType="end"/>
      </w:r>
    </w:p>
    <w:p w14:paraId="0392C894">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_Toc26127 </w:instrText>
      </w:r>
      <w:r>
        <w:rPr>
          <w:i w:val="0"/>
          <w:iCs w:val="0"/>
          <w:sz w:val="21"/>
          <w:szCs w:val="21"/>
          <w:highlight w:val="none"/>
        </w:rPr>
        <w:fldChar w:fldCharType="separate"/>
      </w:r>
      <w:r>
        <w:rPr>
          <w:rFonts w:hint="eastAsia" w:ascii="宋体" w:hAnsi="宋体" w:eastAsia="宋体" w:cs="宋体"/>
          <w:bCs/>
          <w:kern w:val="44"/>
          <w:sz w:val="21"/>
          <w:szCs w:val="21"/>
          <w:highlight w:val="none"/>
          <w:lang w:val="en-US" w:eastAsia="zh-CN" w:bidi="ar-SA"/>
        </w:rPr>
        <w:t>第二章 供应商须知</w:t>
      </w:r>
      <w:r>
        <w:rPr>
          <w:sz w:val="21"/>
          <w:szCs w:val="21"/>
        </w:rPr>
        <w:tab/>
      </w:r>
      <w:r>
        <w:rPr>
          <w:sz w:val="21"/>
          <w:szCs w:val="21"/>
        </w:rPr>
        <w:fldChar w:fldCharType="begin"/>
      </w:r>
      <w:r>
        <w:rPr>
          <w:sz w:val="21"/>
          <w:szCs w:val="21"/>
        </w:rPr>
        <w:instrText xml:space="preserve"> PAGEREF _Toc26127 \h </w:instrText>
      </w:r>
      <w:r>
        <w:rPr>
          <w:sz w:val="21"/>
          <w:szCs w:val="21"/>
        </w:rPr>
        <w:fldChar w:fldCharType="separate"/>
      </w:r>
      <w:r>
        <w:rPr>
          <w:sz w:val="21"/>
          <w:szCs w:val="21"/>
        </w:rPr>
        <w:t>6</w:t>
      </w:r>
      <w:r>
        <w:rPr>
          <w:sz w:val="21"/>
          <w:szCs w:val="21"/>
        </w:rPr>
        <w:fldChar w:fldCharType="end"/>
      </w:r>
      <w:r>
        <w:rPr>
          <w:i w:val="0"/>
          <w:iCs w:val="0"/>
          <w:color w:val="auto"/>
          <w:sz w:val="21"/>
          <w:szCs w:val="21"/>
          <w:highlight w:val="none"/>
        </w:rPr>
        <w:fldChar w:fldCharType="end"/>
      </w:r>
    </w:p>
    <w:p w14:paraId="5F71B2AE">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_Toc29984 </w:instrText>
      </w:r>
      <w:r>
        <w:rPr>
          <w:i w:val="0"/>
          <w:iCs w:val="0"/>
          <w:sz w:val="21"/>
          <w:szCs w:val="21"/>
          <w:highlight w:val="none"/>
        </w:rPr>
        <w:fldChar w:fldCharType="separate"/>
      </w:r>
      <w:r>
        <w:rPr>
          <w:rFonts w:hint="eastAsia" w:eastAsia="宋体" w:asciiTheme="majorHAnsi" w:hAnsiTheme="majorHAnsi" w:cstheme="majorBidi"/>
          <w:bCs/>
          <w:kern w:val="2"/>
          <w:sz w:val="21"/>
          <w:szCs w:val="21"/>
          <w:highlight w:val="none"/>
          <w:lang w:val="en-US" w:eastAsia="zh-CN" w:bidi="ar-SA"/>
        </w:rPr>
        <w:t>一、供应商须知前附表</w:t>
      </w:r>
      <w:r>
        <w:rPr>
          <w:sz w:val="21"/>
          <w:szCs w:val="21"/>
        </w:rPr>
        <w:tab/>
      </w:r>
      <w:r>
        <w:rPr>
          <w:sz w:val="21"/>
          <w:szCs w:val="21"/>
        </w:rPr>
        <w:fldChar w:fldCharType="begin"/>
      </w:r>
      <w:r>
        <w:rPr>
          <w:sz w:val="21"/>
          <w:szCs w:val="21"/>
        </w:rPr>
        <w:instrText xml:space="preserve"> PAGEREF _Toc29984 \h </w:instrText>
      </w:r>
      <w:r>
        <w:rPr>
          <w:sz w:val="21"/>
          <w:szCs w:val="21"/>
        </w:rPr>
        <w:fldChar w:fldCharType="separate"/>
      </w:r>
      <w:r>
        <w:rPr>
          <w:sz w:val="21"/>
          <w:szCs w:val="21"/>
        </w:rPr>
        <w:t>6</w:t>
      </w:r>
      <w:r>
        <w:rPr>
          <w:sz w:val="21"/>
          <w:szCs w:val="21"/>
        </w:rPr>
        <w:fldChar w:fldCharType="end"/>
      </w:r>
      <w:r>
        <w:rPr>
          <w:i w:val="0"/>
          <w:iCs w:val="0"/>
          <w:color w:val="auto"/>
          <w:sz w:val="21"/>
          <w:szCs w:val="21"/>
          <w:highlight w:val="none"/>
        </w:rPr>
        <w:fldChar w:fldCharType="end"/>
      </w:r>
    </w:p>
    <w:p w14:paraId="011A1BC1">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_Toc17054 </w:instrText>
      </w:r>
      <w:r>
        <w:rPr>
          <w:i w:val="0"/>
          <w:iCs w:val="0"/>
          <w:sz w:val="21"/>
          <w:szCs w:val="21"/>
          <w:highlight w:val="none"/>
        </w:rPr>
        <w:fldChar w:fldCharType="separate"/>
      </w:r>
      <w:r>
        <w:rPr>
          <w:rFonts w:hint="eastAsia" w:eastAsia="宋体" w:asciiTheme="majorHAnsi" w:hAnsiTheme="majorHAnsi" w:cstheme="majorBidi"/>
          <w:bCs/>
          <w:kern w:val="2"/>
          <w:sz w:val="21"/>
          <w:szCs w:val="21"/>
          <w:highlight w:val="none"/>
          <w:lang w:val="en-US" w:eastAsia="zh-CN" w:bidi="ar-SA"/>
        </w:rPr>
        <w:t>二、供应商须知</w:t>
      </w:r>
      <w:r>
        <w:rPr>
          <w:sz w:val="21"/>
          <w:szCs w:val="21"/>
        </w:rPr>
        <w:tab/>
      </w:r>
      <w:r>
        <w:rPr>
          <w:sz w:val="21"/>
          <w:szCs w:val="21"/>
        </w:rPr>
        <w:fldChar w:fldCharType="begin"/>
      </w:r>
      <w:r>
        <w:rPr>
          <w:sz w:val="21"/>
          <w:szCs w:val="21"/>
        </w:rPr>
        <w:instrText xml:space="preserve"> PAGEREF _Toc17054 \h </w:instrText>
      </w:r>
      <w:r>
        <w:rPr>
          <w:sz w:val="21"/>
          <w:szCs w:val="21"/>
        </w:rPr>
        <w:fldChar w:fldCharType="separate"/>
      </w:r>
      <w:r>
        <w:rPr>
          <w:sz w:val="21"/>
          <w:szCs w:val="21"/>
        </w:rPr>
        <w:t>10</w:t>
      </w:r>
      <w:r>
        <w:rPr>
          <w:sz w:val="21"/>
          <w:szCs w:val="21"/>
        </w:rPr>
        <w:fldChar w:fldCharType="end"/>
      </w:r>
      <w:r>
        <w:rPr>
          <w:i w:val="0"/>
          <w:iCs w:val="0"/>
          <w:color w:val="auto"/>
          <w:sz w:val="21"/>
          <w:szCs w:val="21"/>
          <w:highlight w:val="none"/>
        </w:rPr>
        <w:fldChar w:fldCharType="end"/>
      </w:r>
    </w:p>
    <w:p w14:paraId="66204C7F">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_Toc20887 </w:instrText>
      </w:r>
      <w:r>
        <w:rPr>
          <w:i w:val="0"/>
          <w:iCs w:val="0"/>
          <w:sz w:val="21"/>
          <w:szCs w:val="21"/>
          <w:highlight w:val="none"/>
        </w:rPr>
        <w:fldChar w:fldCharType="separate"/>
      </w:r>
      <w:r>
        <w:rPr>
          <w:rFonts w:hint="eastAsia" w:ascii="宋体" w:hAnsi="宋体" w:eastAsia="宋体" w:cs="宋体"/>
          <w:bCs/>
          <w:kern w:val="44"/>
          <w:sz w:val="21"/>
          <w:szCs w:val="21"/>
          <w:highlight w:val="none"/>
          <w:lang w:val="en-US" w:eastAsia="zh-CN" w:bidi="ar-SA"/>
        </w:rPr>
        <w:t>第三章 项目采购需求</w:t>
      </w:r>
      <w:r>
        <w:rPr>
          <w:sz w:val="21"/>
          <w:szCs w:val="21"/>
        </w:rPr>
        <w:tab/>
      </w:r>
      <w:r>
        <w:rPr>
          <w:sz w:val="21"/>
          <w:szCs w:val="21"/>
        </w:rPr>
        <w:fldChar w:fldCharType="begin"/>
      </w:r>
      <w:r>
        <w:rPr>
          <w:sz w:val="21"/>
          <w:szCs w:val="21"/>
        </w:rPr>
        <w:instrText xml:space="preserve"> PAGEREF _Toc20887 \h </w:instrText>
      </w:r>
      <w:r>
        <w:rPr>
          <w:sz w:val="21"/>
          <w:szCs w:val="21"/>
        </w:rPr>
        <w:fldChar w:fldCharType="separate"/>
      </w:r>
      <w:r>
        <w:rPr>
          <w:sz w:val="21"/>
          <w:szCs w:val="21"/>
        </w:rPr>
        <w:t>36</w:t>
      </w:r>
      <w:r>
        <w:rPr>
          <w:sz w:val="21"/>
          <w:szCs w:val="21"/>
        </w:rPr>
        <w:fldChar w:fldCharType="end"/>
      </w:r>
      <w:r>
        <w:rPr>
          <w:i w:val="0"/>
          <w:iCs w:val="0"/>
          <w:color w:val="auto"/>
          <w:sz w:val="21"/>
          <w:szCs w:val="21"/>
          <w:highlight w:val="none"/>
        </w:rPr>
        <w:fldChar w:fldCharType="end"/>
      </w:r>
    </w:p>
    <w:p w14:paraId="58FC4A6B">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_Toc5960 </w:instrText>
      </w:r>
      <w:r>
        <w:rPr>
          <w:i w:val="0"/>
          <w:iCs w:val="0"/>
          <w:sz w:val="21"/>
          <w:szCs w:val="21"/>
          <w:highlight w:val="none"/>
        </w:rPr>
        <w:fldChar w:fldCharType="separate"/>
      </w:r>
      <w:r>
        <w:rPr>
          <w:rFonts w:hint="eastAsia" w:ascii="宋体" w:hAnsi="宋体" w:eastAsia="宋体" w:cs="宋体"/>
          <w:bCs/>
          <w:kern w:val="44"/>
          <w:sz w:val="21"/>
          <w:szCs w:val="21"/>
          <w:highlight w:val="none"/>
          <w:lang w:val="en-US" w:eastAsia="zh-CN" w:bidi="ar-SA"/>
        </w:rPr>
        <w:t>第四章 评审方法及标准</w:t>
      </w:r>
      <w:r>
        <w:rPr>
          <w:sz w:val="21"/>
          <w:szCs w:val="21"/>
        </w:rPr>
        <w:tab/>
      </w:r>
      <w:r>
        <w:rPr>
          <w:sz w:val="21"/>
          <w:szCs w:val="21"/>
        </w:rPr>
        <w:fldChar w:fldCharType="begin"/>
      </w:r>
      <w:r>
        <w:rPr>
          <w:sz w:val="21"/>
          <w:szCs w:val="21"/>
        </w:rPr>
        <w:instrText xml:space="preserve"> PAGEREF _Toc5960 \h </w:instrText>
      </w:r>
      <w:r>
        <w:rPr>
          <w:sz w:val="21"/>
          <w:szCs w:val="21"/>
        </w:rPr>
        <w:fldChar w:fldCharType="separate"/>
      </w:r>
      <w:r>
        <w:rPr>
          <w:sz w:val="21"/>
          <w:szCs w:val="21"/>
        </w:rPr>
        <w:t>37</w:t>
      </w:r>
      <w:r>
        <w:rPr>
          <w:sz w:val="21"/>
          <w:szCs w:val="21"/>
        </w:rPr>
        <w:fldChar w:fldCharType="end"/>
      </w:r>
      <w:r>
        <w:rPr>
          <w:i w:val="0"/>
          <w:iCs w:val="0"/>
          <w:color w:val="auto"/>
          <w:sz w:val="21"/>
          <w:szCs w:val="21"/>
          <w:highlight w:val="none"/>
        </w:rPr>
        <w:fldChar w:fldCharType="end"/>
      </w:r>
    </w:p>
    <w:p w14:paraId="63B79C00">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_Toc17394 </w:instrText>
      </w:r>
      <w:r>
        <w:rPr>
          <w:i w:val="0"/>
          <w:iCs w:val="0"/>
          <w:sz w:val="21"/>
          <w:szCs w:val="21"/>
          <w:highlight w:val="none"/>
        </w:rPr>
        <w:fldChar w:fldCharType="separate"/>
      </w: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lang w:val="zh-CN" w:eastAsia="zh-CN"/>
        </w:rPr>
        <w:t>评审方法</w:t>
      </w:r>
      <w:r>
        <w:rPr>
          <w:sz w:val="21"/>
          <w:szCs w:val="21"/>
        </w:rPr>
        <w:tab/>
      </w:r>
      <w:r>
        <w:rPr>
          <w:sz w:val="21"/>
          <w:szCs w:val="21"/>
        </w:rPr>
        <w:fldChar w:fldCharType="begin"/>
      </w:r>
      <w:r>
        <w:rPr>
          <w:sz w:val="21"/>
          <w:szCs w:val="21"/>
        </w:rPr>
        <w:instrText xml:space="preserve"> PAGEREF _Toc17394 \h </w:instrText>
      </w:r>
      <w:r>
        <w:rPr>
          <w:sz w:val="21"/>
          <w:szCs w:val="21"/>
        </w:rPr>
        <w:fldChar w:fldCharType="separate"/>
      </w:r>
      <w:r>
        <w:rPr>
          <w:sz w:val="21"/>
          <w:szCs w:val="21"/>
        </w:rPr>
        <w:t>37</w:t>
      </w:r>
      <w:r>
        <w:rPr>
          <w:sz w:val="21"/>
          <w:szCs w:val="21"/>
        </w:rPr>
        <w:fldChar w:fldCharType="end"/>
      </w:r>
      <w:r>
        <w:rPr>
          <w:i w:val="0"/>
          <w:iCs w:val="0"/>
          <w:color w:val="auto"/>
          <w:sz w:val="21"/>
          <w:szCs w:val="21"/>
          <w:highlight w:val="none"/>
        </w:rPr>
        <w:fldChar w:fldCharType="end"/>
      </w:r>
    </w:p>
    <w:p w14:paraId="049A1142">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_Toc9874 </w:instrText>
      </w:r>
      <w:r>
        <w:rPr>
          <w:i w:val="0"/>
          <w:iCs w:val="0"/>
          <w:sz w:val="21"/>
          <w:szCs w:val="21"/>
          <w:highlight w:val="none"/>
        </w:rPr>
        <w:fldChar w:fldCharType="separate"/>
      </w: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lang w:val="zh-CN" w:eastAsia="zh-CN"/>
        </w:rPr>
        <w:t>评审程序</w:t>
      </w:r>
      <w:r>
        <w:rPr>
          <w:sz w:val="21"/>
          <w:szCs w:val="21"/>
        </w:rPr>
        <w:tab/>
      </w:r>
      <w:r>
        <w:rPr>
          <w:sz w:val="21"/>
          <w:szCs w:val="21"/>
        </w:rPr>
        <w:fldChar w:fldCharType="begin"/>
      </w:r>
      <w:r>
        <w:rPr>
          <w:sz w:val="21"/>
          <w:szCs w:val="21"/>
        </w:rPr>
        <w:instrText xml:space="preserve"> PAGEREF _Toc9874 \h </w:instrText>
      </w:r>
      <w:r>
        <w:rPr>
          <w:sz w:val="21"/>
          <w:szCs w:val="21"/>
        </w:rPr>
        <w:fldChar w:fldCharType="separate"/>
      </w:r>
      <w:r>
        <w:rPr>
          <w:sz w:val="21"/>
          <w:szCs w:val="21"/>
        </w:rPr>
        <w:t>37</w:t>
      </w:r>
      <w:r>
        <w:rPr>
          <w:sz w:val="21"/>
          <w:szCs w:val="21"/>
        </w:rPr>
        <w:fldChar w:fldCharType="end"/>
      </w:r>
      <w:r>
        <w:rPr>
          <w:i w:val="0"/>
          <w:iCs w:val="0"/>
          <w:color w:val="auto"/>
          <w:sz w:val="21"/>
          <w:szCs w:val="21"/>
          <w:highlight w:val="none"/>
        </w:rPr>
        <w:fldChar w:fldCharType="end"/>
      </w:r>
    </w:p>
    <w:p w14:paraId="71A67EEA">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_Toc27650 </w:instrText>
      </w:r>
      <w:r>
        <w:rPr>
          <w:i w:val="0"/>
          <w:iCs w:val="0"/>
          <w:sz w:val="21"/>
          <w:szCs w:val="21"/>
          <w:highlight w:val="none"/>
        </w:rPr>
        <w:fldChar w:fldCharType="separate"/>
      </w:r>
      <w:r>
        <w:rPr>
          <w:rFonts w:hint="eastAsia" w:ascii="宋体" w:hAnsi="宋体" w:eastAsia="宋体" w:cs="宋体"/>
          <w:bCs/>
          <w:kern w:val="2"/>
          <w:sz w:val="21"/>
          <w:szCs w:val="21"/>
          <w:highlight w:val="none"/>
          <w:lang w:val="zh-CN" w:eastAsia="zh-CN" w:bidi="ar-SA"/>
        </w:rPr>
        <w:t>（一）资格审查和符合性审查</w:t>
      </w:r>
      <w:r>
        <w:rPr>
          <w:sz w:val="21"/>
          <w:szCs w:val="21"/>
        </w:rPr>
        <w:tab/>
      </w:r>
      <w:r>
        <w:rPr>
          <w:sz w:val="21"/>
          <w:szCs w:val="21"/>
        </w:rPr>
        <w:fldChar w:fldCharType="begin"/>
      </w:r>
      <w:r>
        <w:rPr>
          <w:sz w:val="21"/>
          <w:szCs w:val="21"/>
        </w:rPr>
        <w:instrText xml:space="preserve"> PAGEREF _Toc27650 \h </w:instrText>
      </w:r>
      <w:r>
        <w:rPr>
          <w:sz w:val="21"/>
          <w:szCs w:val="21"/>
        </w:rPr>
        <w:fldChar w:fldCharType="separate"/>
      </w:r>
      <w:r>
        <w:rPr>
          <w:sz w:val="21"/>
          <w:szCs w:val="21"/>
        </w:rPr>
        <w:t>37</w:t>
      </w:r>
      <w:r>
        <w:rPr>
          <w:sz w:val="21"/>
          <w:szCs w:val="21"/>
        </w:rPr>
        <w:fldChar w:fldCharType="end"/>
      </w:r>
      <w:r>
        <w:rPr>
          <w:i w:val="0"/>
          <w:iCs w:val="0"/>
          <w:color w:val="auto"/>
          <w:sz w:val="21"/>
          <w:szCs w:val="21"/>
          <w:highlight w:val="none"/>
        </w:rPr>
        <w:fldChar w:fldCharType="end"/>
      </w:r>
    </w:p>
    <w:p w14:paraId="5CEA5E8D">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_Toc7731 </w:instrText>
      </w:r>
      <w:r>
        <w:rPr>
          <w:i w:val="0"/>
          <w:iCs w:val="0"/>
          <w:sz w:val="21"/>
          <w:szCs w:val="21"/>
          <w:highlight w:val="none"/>
        </w:rPr>
        <w:fldChar w:fldCharType="separate"/>
      </w:r>
      <w:r>
        <w:rPr>
          <w:rFonts w:hint="eastAsia" w:ascii="宋体" w:hAnsi="宋体" w:eastAsia="宋体" w:cs="宋体"/>
          <w:bCs/>
          <w:kern w:val="2"/>
          <w:sz w:val="21"/>
          <w:szCs w:val="21"/>
          <w:highlight w:val="none"/>
          <w:lang w:val="en-US" w:eastAsia="zh-CN" w:bidi="ar-SA"/>
        </w:rPr>
        <w:t>（二）</w:t>
      </w:r>
      <w:r>
        <w:rPr>
          <w:rFonts w:hint="eastAsia" w:ascii="宋体" w:hAnsi="宋体" w:eastAsia="宋体" w:cs="宋体"/>
          <w:bCs/>
          <w:kern w:val="2"/>
          <w:sz w:val="21"/>
          <w:szCs w:val="21"/>
          <w:highlight w:val="none"/>
          <w:lang w:val="zh-CN" w:eastAsia="zh-CN" w:bidi="ar-SA"/>
        </w:rPr>
        <w:t>响应文件澄清</w:t>
      </w:r>
      <w:r>
        <w:rPr>
          <w:sz w:val="21"/>
          <w:szCs w:val="21"/>
        </w:rPr>
        <w:tab/>
      </w:r>
      <w:r>
        <w:rPr>
          <w:sz w:val="21"/>
          <w:szCs w:val="21"/>
        </w:rPr>
        <w:fldChar w:fldCharType="begin"/>
      </w:r>
      <w:r>
        <w:rPr>
          <w:sz w:val="21"/>
          <w:szCs w:val="21"/>
        </w:rPr>
        <w:instrText xml:space="preserve"> PAGEREF _Toc7731 \h </w:instrText>
      </w:r>
      <w:r>
        <w:rPr>
          <w:sz w:val="21"/>
          <w:szCs w:val="21"/>
        </w:rPr>
        <w:fldChar w:fldCharType="separate"/>
      </w:r>
      <w:r>
        <w:rPr>
          <w:sz w:val="21"/>
          <w:szCs w:val="21"/>
        </w:rPr>
        <w:t>37</w:t>
      </w:r>
      <w:r>
        <w:rPr>
          <w:sz w:val="21"/>
          <w:szCs w:val="21"/>
        </w:rPr>
        <w:fldChar w:fldCharType="end"/>
      </w:r>
      <w:r>
        <w:rPr>
          <w:i w:val="0"/>
          <w:iCs w:val="0"/>
          <w:color w:val="auto"/>
          <w:sz w:val="21"/>
          <w:szCs w:val="21"/>
          <w:highlight w:val="none"/>
        </w:rPr>
        <w:fldChar w:fldCharType="end"/>
      </w:r>
    </w:p>
    <w:p w14:paraId="6E115CAE">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_Toc24784 </w:instrText>
      </w:r>
      <w:r>
        <w:rPr>
          <w:i w:val="0"/>
          <w:iCs w:val="0"/>
          <w:sz w:val="21"/>
          <w:szCs w:val="21"/>
          <w:highlight w:val="none"/>
        </w:rPr>
        <w:fldChar w:fldCharType="separate"/>
      </w:r>
      <w:r>
        <w:rPr>
          <w:rFonts w:hint="eastAsia" w:ascii="宋体" w:hAnsi="宋体" w:eastAsia="宋体" w:cs="宋体"/>
          <w:bCs/>
          <w:kern w:val="2"/>
          <w:sz w:val="21"/>
          <w:szCs w:val="21"/>
          <w:highlight w:val="none"/>
          <w:lang w:val="en-US" w:eastAsia="zh-CN" w:bidi="ar-SA"/>
        </w:rPr>
        <w:t>（三）</w:t>
      </w:r>
      <w:r>
        <w:rPr>
          <w:rFonts w:hint="eastAsia" w:ascii="宋体" w:hAnsi="宋体" w:eastAsia="宋体" w:cs="宋体"/>
          <w:bCs/>
          <w:kern w:val="2"/>
          <w:sz w:val="21"/>
          <w:szCs w:val="21"/>
          <w:highlight w:val="none"/>
          <w:lang w:val="zh-CN" w:eastAsia="zh-CN" w:bidi="ar-SA"/>
        </w:rPr>
        <w:t>磋商程序</w:t>
      </w:r>
      <w:r>
        <w:rPr>
          <w:sz w:val="21"/>
          <w:szCs w:val="21"/>
        </w:rPr>
        <w:tab/>
      </w:r>
      <w:r>
        <w:rPr>
          <w:sz w:val="21"/>
          <w:szCs w:val="21"/>
        </w:rPr>
        <w:fldChar w:fldCharType="begin"/>
      </w:r>
      <w:r>
        <w:rPr>
          <w:sz w:val="21"/>
          <w:szCs w:val="21"/>
        </w:rPr>
        <w:instrText xml:space="preserve"> PAGEREF _Toc24784 \h </w:instrText>
      </w:r>
      <w:r>
        <w:rPr>
          <w:sz w:val="21"/>
          <w:szCs w:val="21"/>
        </w:rPr>
        <w:fldChar w:fldCharType="separate"/>
      </w:r>
      <w:r>
        <w:rPr>
          <w:sz w:val="21"/>
          <w:szCs w:val="21"/>
        </w:rPr>
        <w:t>37</w:t>
      </w:r>
      <w:r>
        <w:rPr>
          <w:sz w:val="21"/>
          <w:szCs w:val="21"/>
        </w:rPr>
        <w:fldChar w:fldCharType="end"/>
      </w:r>
      <w:r>
        <w:rPr>
          <w:i w:val="0"/>
          <w:iCs w:val="0"/>
          <w:color w:val="auto"/>
          <w:sz w:val="21"/>
          <w:szCs w:val="21"/>
          <w:highlight w:val="none"/>
        </w:rPr>
        <w:fldChar w:fldCharType="end"/>
      </w:r>
    </w:p>
    <w:p w14:paraId="5BEA61A3">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_Toc11101 </w:instrText>
      </w:r>
      <w:r>
        <w:rPr>
          <w:i w:val="0"/>
          <w:iCs w:val="0"/>
          <w:sz w:val="21"/>
          <w:szCs w:val="21"/>
          <w:highlight w:val="none"/>
        </w:rPr>
        <w:fldChar w:fldCharType="separate"/>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lang w:val="zh-CN" w:eastAsia="zh-CN"/>
        </w:rPr>
        <w:t>评审</w:t>
      </w:r>
      <w:r>
        <w:rPr>
          <w:rFonts w:hint="eastAsia" w:ascii="宋体" w:hAnsi="宋体" w:eastAsia="宋体" w:cs="宋体"/>
          <w:sz w:val="21"/>
          <w:szCs w:val="21"/>
          <w:highlight w:val="none"/>
          <w:lang w:val="en-US" w:eastAsia="zh-CN"/>
        </w:rPr>
        <w:t>其他要求</w:t>
      </w:r>
      <w:r>
        <w:rPr>
          <w:sz w:val="21"/>
          <w:szCs w:val="21"/>
        </w:rPr>
        <w:tab/>
      </w:r>
      <w:r>
        <w:rPr>
          <w:sz w:val="21"/>
          <w:szCs w:val="21"/>
        </w:rPr>
        <w:fldChar w:fldCharType="begin"/>
      </w:r>
      <w:r>
        <w:rPr>
          <w:sz w:val="21"/>
          <w:szCs w:val="21"/>
        </w:rPr>
        <w:instrText xml:space="preserve"> PAGEREF _Toc11101 \h </w:instrText>
      </w:r>
      <w:r>
        <w:rPr>
          <w:sz w:val="21"/>
          <w:szCs w:val="21"/>
        </w:rPr>
        <w:fldChar w:fldCharType="separate"/>
      </w:r>
      <w:r>
        <w:rPr>
          <w:sz w:val="21"/>
          <w:szCs w:val="21"/>
        </w:rPr>
        <w:t>43</w:t>
      </w:r>
      <w:r>
        <w:rPr>
          <w:sz w:val="21"/>
          <w:szCs w:val="21"/>
        </w:rPr>
        <w:fldChar w:fldCharType="end"/>
      </w:r>
      <w:r>
        <w:rPr>
          <w:i w:val="0"/>
          <w:iCs w:val="0"/>
          <w:color w:val="auto"/>
          <w:sz w:val="21"/>
          <w:szCs w:val="21"/>
          <w:highlight w:val="none"/>
        </w:rPr>
        <w:fldChar w:fldCharType="end"/>
      </w:r>
    </w:p>
    <w:p w14:paraId="6D9A0AEB">
      <w:pPr>
        <w:pStyle w:val="27"/>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_Toc31418 </w:instrText>
      </w:r>
      <w:r>
        <w:rPr>
          <w:i w:val="0"/>
          <w:iCs w:val="0"/>
          <w:sz w:val="21"/>
          <w:szCs w:val="21"/>
          <w:highlight w:val="none"/>
        </w:rPr>
        <w:fldChar w:fldCharType="separate"/>
      </w: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lang w:val="zh-CN" w:eastAsia="zh-CN"/>
        </w:rPr>
        <w:t>评审标准</w:t>
      </w:r>
      <w:r>
        <w:rPr>
          <w:sz w:val="21"/>
          <w:szCs w:val="21"/>
        </w:rPr>
        <w:tab/>
      </w:r>
      <w:r>
        <w:rPr>
          <w:sz w:val="21"/>
          <w:szCs w:val="21"/>
        </w:rPr>
        <w:fldChar w:fldCharType="begin"/>
      </w:r>
      <w:r>
        <w:rPr>
          <w:sz w:val="21"/>
          <w:szCs w:val="21"/>
        </w:rPr>
        <w:instrText xml:space="preserve"> PAGEREF _Toc31418 \h </w:instrText>
      </w:r>
      <w:r>
        <w:rPr>
          <w:sz w:val="21"/>
          <w:szCs w:val="21"/>
        </w:rPr>
        <w:fldChar w:fldCharType="separate"/>
      </w:r>
      <w:r>
        <w:rPr>
          <w:sz w:val="21"/>
          <w:szCs w:val="21"/>
        </w:rPr>
        <w:t>43</w:t>
      </w:r>
      <w:r>
        <w:rPr>
          <w:sz w:val="21"/>
          <w:szCs w:val="21"/>
        </w:rPr>
        <w:fldChar w:fldCharType="end"/>
      </w:r>
      <w:r>
        <w:rPr>
          <w:i w:val="0"/>
          <w:iCs w:val="0"/>
          <w:color w:val="auto"/>
          <w:sz w:val="21"/>
          <w:szCs w:val="21"/>
          <w:highlight w:val="none"/>
        </w:rPr>
        <w:fldChar w:fldCharType="end"/>
      </w:r>
    </w:p>
    <w:p w14:paraId="3B941386">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_Toc3334 </w:instrText>
      </w:r>
      <w:r>
        <w:rPr>
          <w:i w:val="0"/>
          <w:iCs w:val="0"/>
          <w:sz w:val="21"/>
          <w:szCs w:val="21"/>
          <w:highlight w:val="none"/>
        </w:rPr>
        <w:fldChar w:fldCharType="separate"/>
      </w:r>
      <w:r>
        <w:rPr>
          <w:rFonts w:hint="eastAsia" w:ascii="宋体" w:hAnsi="宋体" w:eastAsia="宋体" w:cs="宋体"/>
          <w:bCs/>
          <w:kern w:val="2"/>
          <w:sz w:val="21"/>
          <w:szCs w:val="21"/>
          <w:highlight w:val="none"/>
          <w:lang w:val="en-US" w:eastAsia="zh-CN" w:bidi="ar-SA"/>
        </w:rPr>
        <w:t>（一）</w:t>
      </w:r>
      <w:r>
        <w:rPr>
          <w:rFonts w:hint="eastAsia" w:ascii="宋体" w:hAnsi="宋体" w:eastAsia="宋体" w:cs="宋体"/>
          <w:bCs/>
          <w:kern w:val="2"/>
          <w:sz w:val="21"/>
          <w:szCs w:val="21"/>
          <w:highlight w:val="none"/>
          <w:lang w:val="zh-CN" w:eastAsia="zh-CN" w:bidi="ar-SA"/>
        </w:rPr>
        <w:t>资格审查表</w:t>
      </w:r>
      <w:r>
        <w:rPr>
          <w:sz w:val="21"/>
          <w:szCs w:val="21"/>
        </w:rPr>
        <w:tab/>
      </w:r>
      <w:r>
        <w:rPr>
          <w:sz w:val="21"/>
          <w:szCs w:val="21"/>
        </w:rPr>
        <w:fldChar w:fldCharType="begin"/>
      </w:r>
      <w:r>
        <w:rPr>
          <w:sz w:val="21"/>
          <w:szCs w:val="21"/>
        </w:rPr>
        <w:instrText xml:space="preserve"> PAGEREF _Toc3334 \h </w:instrText>
      </w:r>
      <w:r>
        <w:rPr>
          <w:sz w:val="21"/>
          <w:szCs w:val="21"/>
        </w:rPr>
        <w:fldChar w:fldCharType="separate"/>
      </w:r>
      <w:r>
        <w:rPr>
          <w:sz w:val="21"/>
          <w:szCs w:val="21"/>
        </w:rPr>
        <w:t>43</w:t>
      </w:r>
      <w:r>
        <w:rPr>
          <w:sz w:val="21"/>
          <w:szCs w:val="21"/>
        </w:rPr>
        <w:fldChar w:fldCharType="end"/>
      </w:r>
      <w:r>
        <w:rPr>
          <w:i w:val="0"/>
          <w:iCs w:val="0"/>
          <w:color w:val="auto"/>
          <w:sz w:val="21"/>
          <w:szCs w:val="21"/>
          <w:highlight w:val="none"/>
        </w:rPr>
        <w:fldChar w:fldCharType="end"/>
      </w:r>
    </w:p>
    <w:p w14:paraId="1FF38DC2">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_Toc27818 </w:instrText>
      </w:r>
      <w:r>
        <w:rPr>
          <w:i w:val="0"/>
          <w:iCs w:val="0"/>
          <w:sz w:val="21"/>
          <w:szCs w:val="21"/>
          <w:highlight w:val="none"/>
        </w:rPr>
        <w:fldChar w:fldCharType="separate"/>
      </w:r>
      <w:r>
        <w:rPr>
          <w:rFonts w:hint="eastAsia" w:ascii="宋体" w:hAnsi="宋体" w:eastAsia="宋体" w:cs="宋体"/>
          <w:bCs/>
          <w:kern w:val="2"/>
          <w:sz w:val="21"/>
          <w:szCs w:val="21"/>
          <w:highlight w:val="none"/>
          <w:lang w:val="en-US" w:eastAsia="zh-CN" w:bidi="ar-SA"/>
        </w:rPr>
        <w:t>（二）</w:t>
      </w:r>
      <w:r>
        <w:rPr>
          <w:rFonts w:hint="eastAsia" w:ascii="宋体" w:hAnsi="宋体" w:eastAsia="宋体" w:cs="宋体"/>
          <w:bCs/>
          <w:kern w:val="2"/>
          <w:sz w:val="21"/>
          <w:szCs w:val="21"/>
          <w:highlight w:val="none"/>
          <w:lang w:val="zh-CN" w:eastAsia="zh-CN" w:bidi="ar-SA"/>
        </w:rPr>
        <w:t>符合性审查表</w:t>
      </w:r>
      <w:r>
        <w:rPr>
          <w:sz w:val="21"/>
          <w:szCs w:val="21"/>
        </w:rPr>
        <w:tab/>
      </w:r>
      <w:r>
        <w:rPr>
          <w:sz w:val="21"/>
          <w:szCs w:val="21"/>
        </w:rPr>
        <w:fldChar w:fldCharType="begin"/>
      </w:r>
      <w:r>
        <w:rPr>
          <w:sz w:val="21"/>
          <w:szCs w:val="21"/>
        </w:rPr>
        <w:instrText xml:space="preserve"> PAGEREF _Toc27818 \h </w:instrText>
      </w:r>
      <w:r>
        <w:rPr>
          <w:sz w:val="21"/>
          <w:szCs w:val="21"/>
        </w:rPr>
        <w:fldChar w:fldCharType="separate"/>
      </w:r>
      <w:r>
        <w:rPr>
          <w:sz w:val="21"/>
          <w:szCs w:val="21"/>
        </w:rPr>
        <w:t>46</w:t>
      </w:r>
      <w:r>
        <w:rPr>
          <w:sz w:val="21"/>
          <w:szCs w:val="21"/>
        </w:rPr>
        <w:fldChar w:fldCharType="end"/>
      </w:r>
      <w:r>
        <w:rPr>
          <w:i w:val="0"/>
          <w:iCs w:val="0"/>
          <w:color w:val="auto"/>
          <w:sz w:val="21"/>
          <w:szCs w:val="21"/>
          <w:highlight w:val="none"/>
        </w:rPr>
        <w:fldChar w:fldCharType="end"/>
      </w:r>
    </w:p>
    <w:p w14:paraId="6B49426C">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_Toc787 </w:instrText>
      </w:r>
      <w:r>
        <w:rPr>
          <w:i w:val="0"/>
          <w:iCs w:val="0"/>
          <w:sz w:val="21"/>
          <w:szCs w:val="21"/>
          <w:highlight w:val="none"/>
        </w:rPr>
        <w:fldChar w:fldCharType="separate"/>
      </w:r>
      <w:r>
        <w:rPr>
          <w:rFonts w:hint="eastAsia" w:ascii="宋体" w:hAnsi="宋体" w:eastAsia="宋体" w:cstheme="minorBidi"/>
          <w:bCs/>
          <w:kern w:val="2"/>
          <w:sz w:val="21"/>
          <w:szCs w:val="21"/>
          <w:highlight w:val="none"/>
          <w:lang w:val="zh-CN" w:eastAsia="zh-CN" w:bidi="ar-SA"/>
        </w:rPr>
        <w:t>实质性响应一览表</w:t>
      </w:r>
      <w:r>
        <w:rPr>
          <w:sz w:val="21"/>
          <w:szCs w:val="21"/>
        </w:rPr>
        <w:tab/>
      </w:r>
      <w:r>
        <w:rPr>
          <w:sz w:val="21"/>
          <w:szCs w:val="21"/>
        </w:rPr>
        <w:fldChar w:fldCharType="begin"/>
      </w:r>
      <w:r>
        <w:rPr>
          <w:sz w:val="21"/>
          <w:szCs w:val="21"/>
        </w:rPr>
        <w:instrText xml:space="preserve"> PAGEREF _Toc787 \h </w:instrText>
      </w:r>
      <w:r>
        <w:rPr>
          <w:sz w:val="21"/>
          <w:szCs w:val="21"/>
        </w:rPr>
        <w:fldChar w:fldCharType="separate"/>
      </w:r>
      <w:r>
        <w:rPr>
          <w:sz w:val="21"/>
          <w:szCs w:val="21"/>
        </w:rPr>
        <w:t>47</w:t>
      </w:r>
      <w:r>
        <w:rPr>
          <w:sz w:val="21"/>
          <w:szCs w:val="21"/>
        </w:rPr>
        <w:fldChar w:fldCharType="end"/>
      </w:r>
      <w:r>
        <w:rPr>
          <w:i w:val="0"/>
          <w:iCs w:val="0"/>
          <w:color w:val="auto"/>
          <w:sz w:val="21"/>
          <w:szCs w:val="21"/>
          <w:highlight w:val="none"/>
        </w:rPr>
        <w:fldChar w:fldCharType="end"/>
      </w:r>
    </w:p>
    <w:p w14:paraId="74EC59CF">
      <w:pPr>
        <w:pStyle w:val="16"/>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_Toc29964 </w:instrText>
      </w:r>
      <w:r>
        <w:rPr>
          <w:i w:val="0"/>
          <w:iCs w:val="0"/>
          <w:sz w:val="21"/>
          <w:szCs w:val="21"/>
          <w:highlight w:val="none"/>
        </w:rPr>
        <w:fldChar w:fldCharType="separate"/>
      </w:r>
      <w:r>
        <w:rPr>
          <w:rFonts w:hint="eastAsia" w:ascii="宋体" w:hAnsi="宋体" w:eastAsia="宋体" w:cs="宋体"/>
          <w:bCs/>
          <w:kern w:val="2"/>
          <w:sz w:val="21"/>
          <w:szCs w:val="21"/>
          <w:highlight w:val="none"/>
          <w:lang w:val="en-US" w:eastAsia="zh-CN" w:bidi="ar-SA"/>
        </w:rPr>
        <w:t>（三）</w:t>
      </w:r>
      <w:r>
        <w:rPr>
          <w:rFonts w:hint="eastAsia" w:ascii="宋体" w:hAnsi="宋体" w:eastAsia="宋体" w:cs="宋体"/>
          <w:bCs/>
          <w:kern w:val="2"/>
          <w:sz w:val="21"/>
          <w:szCs w:val="21"/>
          <w:highlight w:val="none"/>
          <w:lang w:val="zh-CN" w:eastAsia="zh-CN" w:bidi="ar-SA"/>
        </w:rPr>
        <w:t>评分标准</w:t>
      </w:r>
      <w:r>
        <w:rPr>
          <w:sz w:val="21"/>
          <w:szCs w:val="21"/>
        </w:rPr>
        <w:tab/>
      </w:r>
      <w:r>
        <w:rPr>
          <w:sz w:val="21"/>
          <w:szCs w:val="21"/>
        </w:rPr>
        <w:fldChar w:fldCharType="begin"/>
      </w:r>
      <w:r>
        <w:rPr>
          <w:sz w:val="21"/>
          <w:szCs w:val="21"/>
        </w:rPr>
        <w:instrText xml:space="preserve"> PAGEREF _Toc29964 \h </w:instrText>
      </w:r>
      <w:r>
        <w:rPr>
          <w:sz w:val="21"/>
          <w:szCs w:val="21"/>
        </w:rPr>
        <w:fldChar w:fldCharType="separate"/>
      </w:r>
      <w:r>
        <w:rPr>
          <w:sz w:val="21"/>
          <w:szCs w:val="21"/>
        </w:rPr>
        <w:t>48</w:t>
      </w:r>
      <w:r>
        <w:rPr>
          <w:sz w:val="21"/>
          <w:szCs w:val="21"/>
        </w:rPr>
        <w:fldChar w:fldCharType="end"/>
      </w:r>
      <w:r>
        <w:rPr>
          <w:i w:val="0"/>
          <w:iCs w:val="0"/>
          <w:color w:val="auto"/>
          <w:sz w:val="21"/>
          <w:szCs w:val="21"/>
          <w:highlight w:val="none"/>
        </w:rPr>
        <w:fldChar w:fldCharType="end"/>
      </w:r>
    </w:p>
    <w:p w14:paraId="37703B1B">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_Toc16371 </w:instrText>
      </w:r>
      <w:r>
        <w:rPr>
          <w:i w:val="0"/>
          <w:iCs w:val="0"/>
          <w:sz w:val="21"/>
          <w:szCs w:val="21"/>
          <w:highlight w:val="none"/>
        </w:rPr>
        <w:fldChar w:fldCharType="separate"/>
      </w:r>
      <w:r>
        <w:rPr>
          <w:rFonts w:hint="eastAsia" w:ascii="宋体" w:hAnsi="宋体" w:eastAsia="宋体" w:cs="宋体"/>
          <w:bCs/>
          <w:kern w:val="44"/>
          <w:sz w:val="21"/>
          <w:szCs w:val="21"/>
          <w:highlight w:val="none"/>
          <w:lang w:val="en-US" w:eastAsia="zh-CN" w:bidi="ar-SA"/>
        </w:rPr>
        <w:t xml:space="preserve">第五章 </w:t>
      </w:r>
      <w:r>
        <w:rPr>
          <w:rFonts w:hint="eastAsia" w:ascii="宋体" w:hAnsi="宋体" w:eastAsia="宋体" w:cs="宋体"/>
          <w:bCs/>
          <w:kern w:val="44"/>
          <w:sz w:val="21"/>
          <w:szCs w:val="21"/>
          <w:highlight w:val="none"/>
          <w:lang w:val="zh-CN" w:eastAsia="zh-CN" w:bidi="ar-SA"/>
        </w:rPr>
        <w:t>合同草案</w:t>
      </w:r>
      <w:r>
        <w:rPr>
          <w:sz w:val="21"/>
          <w:szCs w:val="21"/>
        </w:rPr>
        <w:tab/>
      </w:r>
      <w:r>
        <w:rPr>
          <w:sz w:val="21"/>
          <w:szCs w:val="21"/>
        </w:rPr>
        <w:fldChar w:fldCharType="begin"/>
      </w:r>
      <w:r>
        <w:rPr>
          <w:sz w:val="21"/>
          <w:szCs w:val="21"/>
        </w:rPr>
        <w:instrText xml:space="preserve"> PAGEREF _Toc16371 \h </w:instrText>
      </w:r>
      <w:r>
        <w:rPr>
          <w:sz w:val="21"/>
          <w:szCs w:val="21"/>
        </w:rPr>
        <w:fldChar w:fldCharType="separate"/>
      </w:r>
      <w:r>
        <w:rPr>
          <w:sz w:val="21"/>
          <w:szCs w:val="21"/>
        </w:rPr>
        <w:t>51</w:t>
      </w:r>
      <w:r>
        <w:rPr>
          <w:sz w:val="21"/>
          <w:szCs w:val="21"/>
        </w:rPr>
        <w:fldChar w:fldCharType="end"/>
      </w:r>
      <w:r>
        <w:rPr>
          <w:i w:val="0"/>
          <w:iCs w:val="0"/>
          <w:color w:val="auto"/>
          <w:sz w:val="21"/>
          <w:szCs w:val="21"/>
          <w:highlight w:val="none"/>
        </w:rPr>
        <w:fldChar w:fldCharType="end"/>
      </w:r>
    </w:p>
    <w:p w14:paraId="7D2E09AF">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_Toc23018 </w:instrText>
      </w:r>
      <w:r>
        <w:rPr>
          <w:i w:val="0"/>
          <w:iCs w:val="0"/>
          <w:sz w:val="21"/>
          <w:szCs w:val="21"/>
          <w:highlight w:val="none"/>
        </w:rPr>
        <w:fldChar w:fldCharType="separate"/>
      </w:r>
      <w:r>
        <w:rPr>
          <w:rFonts w:hint="eastAsia" w:ascii="宋体" w:hAnsi="宋体" w:eastAsia="宋体" w:cs="宋体"/>
          <w:bCs/>
          <w:kern w:val="44"/>
          <w:sz w:val="21"/>
          <w:szCs w:val="21"/>
          <w:highlight w:val="none"/>
          <w:lang w:val="en-US" w:eastAsia="zh-CN" w:bidi="ar-SA"/>
        </w:rPr>
        <w:t xml:space="preserve">第六章 </w:t>
      </w:r>
      <w:r>
        <w:rPr>
          <w:rFonts w:hint="eastAsia" w:ascii="宋体" w:hAnsi="宋体" w:eastAsia="宋体" w:cs="宋体"/>
          <w:sz w:val="21"/>
          <w:szCs w:val="21"/>
          <w:highlight w:val="none"/>
        </w:rPr>
        <w:t>响应文件的格式</w:t>
      </w:r>
      <w:r>
        <w:rPr>
          <w:sz w:val="21"/>
          <w:szCs w:val="21"/>
        </w:rPr>
        <w:tab/>
      </w:r>
      <w:r>
        <w:rPr>
          <w:sz w:val="21"/>
          <w:szCs w:val="21"/>
        </w:rPr>
        <w:fldChar w:fldCharType="begin"/>
      </w:r>
      <w:r>
        <w:rPr>
          <w:sz w:val="21"/>
          <w:szCs w:val="21"/>
        </w:rPr>
        <w:instrText xml:space="preserve"> PAGEREF _Toc23018 \h </w:instrText>
      </w:r>
      <w:r>
        <w:rPr>
          <w:sz w:val="21"/>
          <w:szCs w:val="21"/>
        </w:rPr>
        <w:fldChar w:fldCharType="separate"/>
      </w:r>
      <w:r>
        <w:rPr>
          <w:sz w:val="21"/>
          <w:szCs w:val="21"/>
        </w:rPr>
        <w:t>166</w:t>
      </w:r>
      <w:r>
        <w:rPr>
          <w:sz w:val="21"/>
          <w:szCs w:val="21"/>
        </w:rPr>
        <w:fldChar w:fldCharType="end"/>
      </w:r>
      <w:r>
        <w:rPr>
          <w:i w:val="0"/>
          <w:iCs w:val="0"/>
          <w:color w:val="auto"/>
          <w:sz w:val="21"/>
          <w:szCs w:val="21"/>
          <w:highlight w:val="none"/>
        </w:rPr>
        <w:fldChar w:fldCharType="end"/>
      </w:r>
    </w:p>
    <w:p w14:paraId="1506AAFA">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_Toc58 </w:instrText>
      </w:r>
      <w:r>
        <w:rPr>
          <w:i w:val="0"/>
          <w:iCs w:val="0"/>
          <w:sz w:val="21"/>
          <w:szCs w:val="21"/>
          <w:highlight w:val="none"/>
        </w:rPr>
        <w:fldChar w:fldCharType="separate"/>
      </w:r>
      <w:r>
        <w:rPr>
          <w:rFonts w:hint="eastAsia"/>
          <w:sz w:val="21"/>
          <w:szCs w:val="21"/>
          <w:highlight w:val="none"/>
        </w:rPr>
        <w:t>资格证明文件</w:t>
      </w:r>
      <w:r>
        <w:rPr>
          <w:sz w:val="21"/>
          <w:szCs w:val="21"/>
        </w:rPr>
        <w:tab/>
      </w:r>
      <w:r>
        <w:rPr>
          <w:sz w:val="21"/>
          <w:szCs w:val="21"/>
        </w:rPr>
        <w:fldChar w:fldCharType="begin"/>
      </w:r>
      <w:r>
        <w:rPr>
          <w:sz w:val="21"/>
          <w:szCs w:val="21"/>
        </w:rPr>
        <w:instrText xml:space="preserve"> PAGEREF _Toc58 \h </w:instrText>
      </w:r>
      <w:r>
        <w:rPr>
          <w:sz w:val="21"/>
          <w:szCs w:val="21"/>
        </w:rPr>
        <w:fldChar w:fldCharType="separate"/>
      </w:r>
      <w:r>
        <w:rPr>
          <w:sz w:val="21"/>
          <w:szCs w:val="21"/>
        </w:rPr>
        <w:t>167</w:t>
      </w:r>
      <w:r>
        <w:rPr>
          <w:sz w:val="21"/>
          <w:szCs w:val="21"/>
        </w:rPr>
        <w:fldChar w:fldCharType="end"/>
      </w:r>
      <w:r>
        <w:rPr>
          <w:i w:val="0"/>
          <w:iCs w:val="0"/>
          <w:color w:val="auto"/>
          <w:sz w:val="21"/>
          <w:szCs w:val="21"/>
          <w:highlight w:val="none"/>
        </w:rPr>
        <w:fldChar w:fldCharType="end"/>
      </w:r>
    </w:p>
    <w:p w14:paraId="0B0306A2">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_Toc32363 </w:instrText>
      </w:r>
      <w:r>
        <w:rPr>
          <w:i w:val="0"/>
          <w:iCs w:val="0"/>
          <w:sz w:val="21"/>
          <w:szCs w:val="21"/>
          <w:highlight w:val="none"/>
        </w:rPr>
        <w:fldChar w:fldCharType="separate"/>
      </w:r>
      <w:r>
        <w:rPr>
          <w:rFonts w:hint="eastAsia"/>
          <w:sz w:val="21"/>
          <w:szCs w:val="21"/>
          <w:highlight w:val="none"/>
          <w:lang w:val="en-US" w:eastAsia="zh-CN"/>
        </w:rPr>
        <w:t>报价文件</w:t>
      </w:r>
      <w:r>
        <w:rPr>
          <w:sz w:val="21"/>
          <w:szCs w:val="21"/>
        </w:rPr>
        <w:tab/>
      </w:r>
      <w:r>
        <w:rPr>
          <w:sz w:val="21"/>
          <w:szCs w:val="21"/>
        </w:rPr>
        <w:fldChar w:fldCharType="begin"/>
      </w:r>
      <w:r>
        <w:rPr>
          <w:sz w:val="21"/>
          <w:szCs w:val="21"/>
        </w:rPr>
        <w:instrText xml:space="preserve"> PAGEREF _Toc32363 \h </w:instrText>
      </w:r>
      <w:r>
        <w:rPr>
          <w:sz w:val="21"/>
          <w:szCs w:val="21"/>
        </w:rPr>
        <w:fldChar w:fldCharType="separate"/>
      </w:r>
      <w:r>
        <w:rPr>
          <w:sz w:val="21"/>
          <w:szCs w:val="21"/>
        </w:rPr>
        <w:t>193</w:t>
      </w:r>
      <w:r>
        <w:rPr>
          <w:sz w:val="21"/>
          <w:szCs w:val="21"/>
        </w:rPr>
        <w:fldChar w:fldCharType="end"/>
      </w:r>
      <w:r>
        <w:rPr>
          <w:i w:val="0"/>
          <w:iCs w:val="0"/>
          <w:color w:val="auto"/>
          <w:sz w:val="21"/>
          <w:szCs w:val="21"/>
          <w:highlight w:val="none"/>
        </w:rPr>
        <w:fldChar w:fldCharType="end"/>
      </w:r>
    </w:p>
    <w:p w14:paraId="1FF2E6C4">
      <w:pPr>
        <w:pStyle w:val="21"/>
        <w:tabs>
          <w:tab w:val="right" w:leader="dot" w:pos="8306"/>
        </w:tabs>
        <w:spacing w:line="240" w:lineRule="auto"/>
        <w:rPr>
          <w:sz w:val="21"/>
          <w:szCs w:val="21"/>
        </w:rPr>
      </w:pPr>
      <w:r>
        <w:rPr>
          <w:i w:val="0"/>
          <w:iCs w:val="0"/>
          <w:color w:val="auto"/>
          <w:sz w:val="21"/>
          <w:szCs w:val="21"/>
          <w:highlight w:val="none"/>
        </w:rPr>
        <w:fldChar w:fldCharType="begin"/>
      </w:r>
      <w:r>
        <w:rPr>
          <w:i w:val="0"/>
          <w:iCs w:val="0"/>
          <w:sz w:val="21"/>
          <w:szCs w:val="21"/>
          <w:highlight w:val="none"/>
        </w:rPr>
        <w:instrText xml:space="preserve"> HYPERLINK \l _Toc2076 </w:instrText>
      </w:r>
      <w:r>
        <w:rPr>
          <w:i w:val="0"/>
          <w:iCs w:val="0"/>
          <w:sz w:val="21"/>
          <w:szCs w:val="21"/>
          <w:highlight w:val="none"/>
        </w:rPr>
        <w:fldChar w:fldCharType="separate"/>
      </w:r>
      <w:r>
        <w:rPr>
          <w:rFonts w:hint="eastAsia"/>
          <w:sz w:val="21"/>
          <w:szCs w:val="21"/>
          <w:highlight w:val="none"/>
          <w:lang w:val="en-US" w:eastAsia="zh-CN"/>
        </w:rPr>
        <w:t>商务技术文件</w:t>
      </w:r>
      <w:r>
        <w:rPr>
          <w:sz w:val="21"/>
          <w:szCs w:val="21"/>
        </w:rPr>
        <w:tab/>
      </w:r>
      <w:r>
        <w:rPr>
          <w:sz w:val="21"/>
          <w:szCs w:val="21"/>
        </w:rPr>
        <w:fldChar w:fldCharType="begin"/>
      </w:r>
      <w:r>
        <w:rPr>
          <w:sz w:val="21"/>
          <w:szCs w:val="21"/>
        </w:rPr>
        <w:instrText xml:space="preserve"> PAGEREF _Toc2076 \h </w:instrText>
      </w:r>
      <w:r>
        <w:rPr>
          <w:sz w:val="21"/>
          <w:szCs w:val="21"/>
        </w:rPr>
        <w:fldChar w:fldCharType="separate"/>
      </w:r>
      <w:r>
        <w:rPr>
          <w:sz w:val="21"/>
          <w:szCs w:val="21"/>
        </w:rPr>
        <w:t>196</w:t>
      </w:r>
      <w:r>
        <w:rPr>
          <w:sz w:val="21"/>
          <w:szCs w:val="21"/>
        </w:rPr>
        <w:fldChar w:fldCharType="end"/>
      </w:r>
      <w:r>
        <w:rPr>
          <w:i w:val="0"/>
          <w:iCs w:val="0"/>
          <w:color w:val="auto"/>
          <w:sz w:val="21"/>
          <w:szCs w:val="21"/>
          <w:highlight w:val="none"/>
        </w:rPr>
        <w:fldChar w:fldCharType="end"/>
      </w:r>
    </w:p>
    <w:p w14:paraId="4D90D7D4">
      <w:pPr>
        <w:spacing w:line="240" w:lineRule="auto"/>
        <w:rPr>
          <w:rFonts w:ascii="黑体" w:hAnsi="黑体" w:eastAsia="黑体"/>
          <w:i w:val="0"/>
          <w:iCs w:val="0"/>
          <w:color w:val="auto"/>
          <w:sz w:val="32"/>
          <w:szCs w:val="32"/>
          <w:highlight w:val="none"/>
        </w:rPr>
      </w:pPr>
      <w:r>
        <w:rPr>
          <w:i w:val="0"/>
          <w:iCs w:val="0"/>
          <w:color w:val="auto"/>
          <w:highlight w:val="none"/>
        </w:rPr>
        <w:fldChar w:fldCharType="end"/>
      </w:r>
    </w:p>
    <w:p w14:paraId="5D3709E4">
      <w:pPr>
        <w:jc w:val="center"/>
        <w:rPr>
          <w:rFonts w:ascii="黑体" w:hAnsi="黑体" w:eastAsia="黑体"/>
          <w:i w:val="0"/>
          <w:iCs w:val="0"/>
          <w:color w:val="auto"/>
          <w:sz w:val="32"/>
          <w:szCs w:val="32"/>
          <w:highlight w:val="none"/>
        </w:rPr>
        <w:sectPr>
          <w:headerReference r:id="rId6" w:type="first"/>
          <w:headerReference r:id="rId5" w:type="default"/>
          <w:pgSz w:w="11906" w:h="16838"/>
          <w:pgMar w:top="1440" w:right="1803" w:bottom="1440" w:left="1803" w:header="652" w:footer="652" w:gutter="0"/>
          <w:pgNumType w:fmt="decimal"/>
          <w:cols w:space="0" w:num="1"/>
          <w:rtlGutter w:val="0"/>
          <w:docGrid w:type="lines" w:linePitch="332" w:charSpace="0"/>
        </w:sectPr>
      </w:pPr>
    </w:p>
    <w:p w14:paraId="0DDCC6E5">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4" w:name="_Toc22177"/>
      <w:r>
        <w:rPr>
          <w:rFonts w:hint="eastAsia" w:ascii="宋体" w:hAnsi="宋体" w:eastAsia="宋体" w:cs="宋体"/>
          <w:b/>
          <w:bCs/>
          <w:i w:val="0"/>
          <w:iCs w:val="0"/>
          <w:color w:val="auto"/>
          <w:kern w:val="44"/>
          <w:sz w:val="36"/>
          <w:szCs w:val="36"/>
          <w:highlight w:val="none"/>
          <w:lang w:val="en-US" w:eastAsia="zh-CN" w:bidi="ar-SA"/>
        </w:rPr>
        <w:t>第一章 竞争性磋商公告</w:t>
      </w:r>
      <w:bookmarkEnd w:id="4"/>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6770E7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i w:val="0"/>
                <w:iCs w:val="0"/>
                <w:color w:val="auto"/>
                <w:sz w:val="24"/>
                <w:szCs w:val="24"/>
                <w:highlight w:val="none"/>
                <w:lang w:val="en-US" w:eastAsia="zh-CN"/>
              </w:rPr>
            </w:pPr>
            <w:bookmarkStart w:id="5" w:name="_Toc26849"/>
            <w:bookmarkStart w:id="6" w:name="_Toc44583628"/>
            <w:bookmarkStart w:id="7" w:name="_Toc28359089"/>
            <w:bookmarkStart w:id="8" w:name="_Toc109900248"/>
            <w:bookmarkStart w:id="9" w:name="_Toc35393629"/>
            <w:bookmarkStart w:id="10" w:name="_Toc155185860"/>
            <w:bookmarkStart w:id="11" w:name="_Toc35393798"/>
            <w:bookmarkStart w:id="12" w:name="_Toc163492812"/>
            <w:bookmarkStart w:id="13" w:name="_Toc140132745"/>
            <w:bookmarkStart w:id="14" w:name="_Toc28359012"/>
            <w:bookmarkStart w:id="15" w:name="_Toc109899410"/>
            <w:bookmarkStart w:id="16" w:name="_Toc109899829"/>
            <w:r>
              <w:rPr>
                <w:rFonts w:hint="eastAsia"/>
                <w:i w:val="0"/>
                <w:iCs w:val="0"/>
                <w:color w:val="auto"/>
                <w:sz w:val="24"/>
                <w:szCs w:val="24"/>
                <w:highlight w:val="none"/>
                <w:lang w:val="en-US" w:eastAsia="zh-CN"/>
              </w:rPr>
              <w:t>项目概况：</w:t>
            </w:r>
            <w:bookmarkEnd w:id="5"/>
          </w:p>
          <w:p w14:paraId="012A79A2">
            <w:pPr>
              <w:ind w:firstLine="480" w:firstLineChars="200"/>
              <w:rPr>
                <w:rFonts w:hint="default"/>
                <w:i w:val="0"/>
                <w:iCs w:val="0"/>
                <w:color w:val="auto"/>
                <w:highlight w:val="none"/>
                <w:lang w:val="en-US" w:eastAsia="zh-CN"/>
              </w:rPr>
            </w:pPr>
            <w:r>
              <w:rPr>
                <w:rFonts w:hint="eastAsia" w:cstheme="minorBidi"/>
                <w:i w:val="0"/>
                <w:iCs w:val="0"/>
                <w:color w:val="auto"/>
                <w:kern w:val="2"/>
                <w:sz w:val="24"/>
                <w:szCs w:val="24"/>
                <w:highlight w:val="none"/>
                <w:u w:val="single"/>
                <w:shd w:val="clear" w:color="auto" w:fill="FFFFFF" w:themeFill="background1"/>
                <w:lang w:val="hr-HR" w:eastAsia="zh-CN" w:bidi="ar-SA"/>
              </w:rPr>
              <w:t>新疆医科大学第一附属医院临床教学楼会议室等楼宇室外屋面防水维修项目</w:t>
            </w:r>
            <w:r>
              <w:rPr>
                <w:rFonts w:hint="default" w:ascii="宋体" w:hAnsi="宋体" w:eastAsia="宋体" w:cstheme="minorBidi"/>
                <w:i w:val="0"/>
                <w:iCs w:val="0"/>
                <w:color w:val="auto"/>
                <w:kern w:val="2"/>
                <w:sz w:val="24"/>
                <w:szCs w:val="22"/>
                <w:highlight w:val="none"/>
                <w:u w:val="none"/>
                <w:lang w:val="en-US" w:eastAsia="zh-CN" w:bidi="ar-SA"/>
              </w:rPr>
              <w:t>采购项目的潜在供应商应在政采云平台线上（网址：</w:t>
            </w:r>
            <w:r>
              <w:rPr>
                <w:rFonts w:hint="default" w:ascii="宋体" w:hAnsi="宋体" w:eastAsia="宋体" w:cstheme="minorBidi"/>
                <w:i w:val="0"/>
                <w:iCs w:val="0"/>
                <w:color w:val="auto"/>
                <w:kern w:val="2"/>
                <w:sz w:val="22"/>
                <w:szCs w:val="21"/>
                <w:highlight w:val="none"/>
                <w:u w:val="none"/>
                <w:lang w:val="en-US" w:eastAsia="zh-CN" w:bidi="ar-SA"/>
              </w:rPr>
              <w:t>https://www.zcygov.cn/</w:t>
            </w:r>
            <w:r>
              <w:rPr>
                <w:rFonts w:hint="default" w:ascii="宋体" w:hAnsi="宋体" w:eastAsia="宋体" w:cstheme="minorBidi"/>
                <w:i w:val="0"/>
                <w:iCs w:val="0"/>
                <w:color w:val="auto"/>
                <w:kern w:val="2"/>
                <w:sz w:val="24"/>
                <w:szCs w:val="22"/>
                <w:highlight w:val="none"/>
                <w:u w:val="none"/>
                <w:lang w:val="en-US" w:eastAsia="zh-CN" w:bidi="ar-SA"/>
              </w:rPr>
              <w:t>）获取采购文件，并于</w:t>
            </w:r>
            <w:r>
              <w:rPr>
                <w:rFonts w:hint="default" w:ascii="宋体" w:hAnsi="宋体" w:eastAsia="宋体" w:cstheme="minorBidi"/>
                <w:i w:val="0"/>
                <w:iCs w:val="0"/>
                <w:color w:val="auto"/>
                <w:kern w:val="2"/>
                <w:sz w:val="24"/>
                <w:szCs w:val="22"/>
                <w:highlight w:val="none"/>
                <w:u w:val="single"/>
                <w:lang w:val="en-US" w:eastAsia="zh-CN" w:bidi="ar-SA"/>
              </w:rPr>
              <w:t xml:space="preserve"> </w:t>
            </w:r>
            <w:r>
              <w:rPr>
                <w:rFonts w:hint="eastAsia" w:cstheme="minorBidi"/>
                <w:i w:val="0"/>
                <w:iCs w:val="0"/>
                <w:color w:val="auto"/>
                <w:kern w:val="2"/>
                <w:sz w:val="24"/>
                <w:szCs w:val="22"/>
                <w:highlight w:val="none"/>
                <w:u w:val="single"/>
                <w:lang w:val="en-US" w:eastAsia="zh-CN" w:bidi="ar-SA"/>
              </w:rPr>
              <w:t>2025</w:t>
            </w:r>
            <w:r>
              <w:rPr>
                <w:rFonts w:hint="default" w:ascii="宋体" w:hAnsi="宋体" w:eastAsia="宋体" w:cstheme="minorBidi"/>
                <w:i w:val="0"/>
                <w:iCs w:val="0"/>
                <w:color w:val="auto"/>
                <w:kern w:val="2"/>
                <w:sz w:val="24"/>
                <w:szCs w:val="22"/>
                <w:highlight w:val="none"/>
                <w:u w:val="single"/>
                <w:lang w:val="en-US" w:eastAsia="zh-CN" w:bidi="ar-SA"/>
              </w:rPr>
              <w:t>年</w:t>
            </w:r>
            <w:r>
              <w:rPr>
                <w:rFonts w:hint="eastAsia" w:cstheme="minorBidi"/>
                <w:i w:val="0"/>
                <w:iCs w:val="0"/>
                <w:color w:val="auto"/>
                <w:kern w:val="2"/>
                <w:sz w:val="24"/>
                <w:szCs w:val="22"/>
                <w:highlight w:val="none"/>
                <w:u w:val="single"/>
                <w:lang w:val="en-US" w:eastAsia="zh-CN" w:bidi="ar-SA"/>
              </w:rPr>
              <w:t>7</w:t>
            </w:r>
            <w:r>
              <w:rPr>
                <w:rFonts w:hint="default" w:ascii="宋体" w:hAnsi="宋体" w:eastAsia="宋体" w:cstheme="minorBidi"/>
                <w:i w:val="0"/>
                <w:iCs w:val="0"/>
                <w:color w:val="auto"/>
                <w:kern w:val="2"/>
                <w:sz w:val="24"/>
                <w:szCs w:val="22"/>
                <w:highlight w:val="none"/>
                <w:u w:val="single"/>
                <w:lang w:val="en-US" w:eastAsia="zh-CN" w:bidi="ar-SA"/>
              </w:rPr>
              <w:t>月</w:t>
            </w:r>
            <w:r>
              <w:rPr>
                <w:rFonts w:hint="eastAsia" w:cstheme="minorBidi"/>
                <w:i w:val="0"/>
                <w:iCs w:val="0"/>
                <w:color w:val="auto"/>
                <w:kern w:val="2"/>
                <w:sz w:val="24"/>
                <w:szCs w:val="22"/>
                <w:highlight w:val="none"/>
                <w:u w:val="single"/>
                <w:lang w:val="en-US" w:eastAsia="zh-CN" w:bidi="ar-SA"/>
              </w:rPr>
              <w:t>23</w:t>
            </w:r>
            <w:r>
              <w:rPr>
                <w:rFonts w:hint="default" w:ascii="宋体" w:hAnsi="宋体" w:eastAsia="宋体" w:cstheme="minorBidi"/>
                <w:i w:val="0"/>
                <w:iCs w:val="0"/>
                <w:color w:val="auto"/>
                <w:kern w:val="2"/>
                <w:sz w:val="24"/>
                <w:szCs w:val="22"/>
                <w:highlight w:val="none"/>
                <w:u w:val="single"/>
                <w:lang w:val="en-US" w:eastAsia="zh-CN" w:bidi="ar-SA"/>
              </w:rPr>
              <w:t>日</w:t>
            </w:r>
            <w:r>
              <w:rPr>
                <w:rFonts w:hint="eastAsia" w:cstheme="minorBidi"/>
                <w:i w:val="0"/>
                <w:iCs w:val="0"/>
                <w:color w:val="auto"/>
                <w:kern w:val="2"/>
                <w:sz w:val="24"/>
                <w:szCs w:val="22"/>
                <w:highlight w:val="none"/>
                <w:u w:val="single"/>
                <w:lang w:val="en-US" w:eastAsia="zh-CN" w:bidi="ar-SA"/>
              </w:rPr>
              <w:t>10时30</w:t>
            </w:r>
            <w:r>
              <w:rPr>
                <w:rFonts w:hint="default" w:ascii="宋体" w:hAnsi="宋体" w:eastAsia="宋体" w:cstheme="minorBidi"/>
                <w:i w:val="0"/>
                <w:iCs w:val="0"/>
                <w:color w:val="auto"/>
                <w:kern w:val="2"/>
                <w:sz w:val="24"/>
                <w:szCs w:val="22"/>
                <w:highlight w:val="none"/>
                <w:u w:val="single"/>
                <w:lang w:val="en-US" w:eastAsia="zh-CN" w:bidi="ar-SA"/>
              </w:rPr>
              <w:t>分</w:t>
            </w:r>
            <w:r>
              <w:rPr>
                <w:rFonts w:hint="default" w:ascii="宋体" w:hAnsi="宋体" w:eastAsia="宋体" w:cstheme="minorBidi"/>
                <w:i w:val="0"/>
                <w:iCs w:val="0"/>
                <w:color w:val="auto"/>
                <w:kern w:val="2"/>
                <w:sz w:val="24"/>
                <w:szCs w:val="22"/>
                <w:highlight w:val="none"/>
                <w:u w:val="none"/>
                <w:lang w:val="en-US" w:eastAsia="zh-CN" w:bidi="ar-SA"/>
              </w:rPr>
              <w:t>（北京时间）前提交响应文件。</w:t>
            </w:r>
          </w:p>
        </w:tc>
      </w:tr>
    </w:tbl>
    <w:p w14:paraId="4072DEF0">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rPr>
      </w:pPr>
      <w:bookmarkStart w:id="17" w:name="_Toc23763"/>
      <w:r>
        <w:rPr>
          <w:rFonts w:hint="eastAsia" w:ascii="宋体" w:hAnsi="宋体" w:eastAsia="宋体" w:cs="宋体"/>
          <w:b/>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bookmarkEnd w:id="6"/>
      <w:bookmarkEnd w:id="7"/>
      <w:bookmarkEnd w:id="8"/>
      <w:bookmarkEnd w:id="9"/>
      <w:bookmarkEnd w:id="10"/>
      <w:bookmarkEnd w:id="11"/>
      <w:bookmarkEnd w:id="12"/>
      <w:bookmarkEnd w:id="13"/>
      <w:bookmarkEnd w:id="14"/>
      <w:bookmarkEnd w:id="15"/>
      <w:bookmarkEnd w:id="16"/>
      <w:bookmarkEnd w:id="17"/>
    </w:p>
    <w:p w14:paraId="590E39A6">
      <w:pPr>
        <w:pStyle w:val="4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hr-HR"/>
        </w:rPr>
        <w:t>1.项目编号：</w:t>
      </w:r>
      <w:r>
        <w:rPr>
          <w:rFonts w:hint="eastAsia" w:cs="宋体"/>
          <w:i w:val="0"/>
          <w:iCs w:val="0"/>
          <w:color w:val="auto"/>
          <w:sz w:val="24"/>
          <w:szCs w:val="24"/>
          <w:highlight w:val="none"/>
          <w:lang w:val="hr-HR" w:eastAsia="zh-CN"/>
        </w:rPr>
        <w:t>TC259H0P4</w:t>
      </w:r>
    </w:p>
    <w:p w14:paraId="544AA4B7">
      <w:pPr>
        <w:pStyle w:val="40"/>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hr-HR"/>
        </w:rPr>
        <w:t>.项目名称：</w:t>
      </w:r>
      <w:r>
        <w:rPr>
          <w:rFonts w:hint="eastAsia" w:cs="宋体"/>
          <w:i w:val="0"/>
          <w:iCs w:val="0"/>
          <w:color w:val="auto"/>
          <w:sz w:val="24"/>
          <w:szCs w:val="24"/>
          <w:highlight w:val="none"/>
          <w:u w:val="single"/>
          <w:lang w:eastAsia="zh-CN"/>
        </w:rPr>
        <w:t>新疆医科大学第一附属医院临床教学楼会议室等楼宇室外屋面防水维修项目</w:t>
      </w:r>
    </w:p>
    <w:p w14:paraId="3CE35A7E">
      <w:pPr>
        <w:pStyle w:val="4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.采购方式：</w:t>
      </w:r>
      <w:r>
        <w:rPr>
          <w:rFonts w:hint="eastAsia" w:ascii="宋体" w:hAnsi="宋体" w:eastAsia="宋体" w:cs="宋体"/>
          <w:i w:val="0"/>
          <w:iCs w:val="0"/>
          <w:color w:val="auto"/>
          <w:sz w:val="24"/>
          <w:szCs w:val="24"/>
          <w:highlight w:val="none"/>
          <w:lang w:val="en-US" w:eastAsia="zh-CN"/>
        </w:rPr>
        <w:t>竞争性磋商</w:t>
      </w:r>
    </w:p>
    <w:p w14:paraId="78A90596">
      <w:pPr>
        <w:pStyle w:val="4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hr-HR"/>
        </w:rPr>
        <w:t>.预算金额（元）：</w:t>
      </w:r>
      <w:r>
        <w:rPr>
          <w:rFonts w:hint="eastAsia" w:ascii="宋体" w:hAnsi="宋体" w:eastAsia="宋体" w:cs="宋体"/>
          <w:i w:val="0"/>
          <w:iCs w:val="0"/>
          <w:color w:val="auto"/>
          <w:sz w:val="24"/>
          <w:szCs w:val="24"/>
          <w:highlight w:val="none"/>
          <w:u w:val="single"/>
        </w:rPr>
        <w:t xml:space="preserve"> 490000 </w:t>
      </w:r>
    </w:p>
    <w:p w14:paraId="7851BE2C">
      <w:pPr>
        <w:pStyle w:val="40"/>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hr-HR"/>
        </w:rPr>
        <w:t>.</w:t>
      </w:r>
      <w:r>
        <w:rPr>
          <w:rFonts w:hint="eastAsia" w:ascii="宋体" w:hAnsi="宋体" w:eastAsia="宋体" w:cs="宋体"/>
          <w:b/>
          <w:bCs/>
          <w:i w:val="0"/>
          <w:iCs w:val="0"/>
          <w:color w:val="auto"/>
          <w:sz w:val="24"/>
          <w:szCs w:val="24"/>
          <w:highlight w:val="none"/>
        </w:rPr>
        <w:t>最高限价（元）</w:t>
      </w:r>
      <w:r>
        <w:rPr>
          <w:rFonts w:hint="eastAsia" w:ascii="宋体" w:hAnsi="宋体" w:eastAsia="宋体" w:cs="宋体"/>
          <w:b/>
          <w:bCs/>
          <w:i w:val="0"/>
          <w:iCs w:val="0"/>
          <w:color w:val="auto"/>
          <w:sz w:val="24"/>
          <w:szCs w:val="24"/>
          <w:highlight w:val="none"/>
          <w:lang w:val="hr-HR"/>
        </w:rPr>
        <w:t>：</w:t>
      </w:r>
      <w:r>
        <w:rPr>
          <w:rFonts w:hint="eastAsia" w:ascii="宋体" w:hAnsi="宋体" w:eastAsia="宋体" w:cs="宋体"/>
          <w:b/>
          <w:bCs/>
          <w:i w:val="0"/>
          <w:iCs w:val="0"/>
          <w:color w:val="auto"/>
          <w:sz w:val="24"/>
          <w:szCs w:val="24"/>
          <w:highlight w:val="none"/>
          <w:u w:val="single"/>
          <w:lang w:val="hr-HR"/>
        </w:rPr>
        <w:t xml:space="preserve"> 482406.37</w:t>
      </w:r>
      <w:r>
        <w:rPr>
          <w:rFonts w:hint="eastAsia" w:cs="宋体"/>
          <w:b/>
          <w:bCs/>
          <w:i w:val="0"/>
          <w:iCs w:val="0"/>
          <w:color w:val="auto"/>
          <w:sz w:val="24"/>
          <w:szCs w:val="24"/>
          <w:highlight w:val="none"/>
          <w:u w:val="single"/>
          <w:lang w:val="en-US" w:eastAsia="zh-CN"/>
        </w:rPr>
        <w:t xml:space="preserve"> </w:t>
      </w:r>
    </w:p>
    <w:p w14:paraId="1100EAB4">
      <w:pPr>
        <w:pStyle w:val="4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hr-HR"/>
        </w:rPr>
        <w:t>.采购需求：</w:t>
      </w:r>
    </w:p>
    <w:p w14:paraId="54DBE7FF">
      <w:pPr>
        <w:ind w:firstLine="720" w:firstLineChars="300"/>
        <w:rPr>
          <w:rFonts w:hint="eastAsia" w:ascii="宋体" w:hAnsi="宋体" w:eastAsia="宋体" w:cs="宋体"/>
          <w:i w:val="0"/>
          <w:iCs w:val="0"/>
          <w:color w:val="auto"/>
          <w:sz w:val="24"/>
          <w:szCs w:val="24"/>
          <w:highlight w:val="none"/>
          <w:u w:val="single"/>
          <w:lang w:val="hr-HR" w:eastAsia="zh-CN"/>
        </w:rPr>
      </w:pPr>
      <w:r>
        <w:rPr>
          <w:rFonts w:hint="eastAsia" w:ascii="宋体" w:hAnsi="宋体" w:eastAsia="宋体" w:cs="宋体"/>
          <w:i w:val="0"/>
          <w:iCs w:val="0"/>
          <w:color w:val="auto"/>
          <w:sz w:val="24"/>
          <w:szCs w:val="24"/>
          <w:highlight w:val="none"/>
          <w:lang w:val="hr-HR"/>
        </w:rPr>
        <w:t>标项名称：</w:t>
      </w:r>
      <w:r>
        <w:rPr>
          <w:rFonts w:hint="eastAsia" w:cs="宋体"/>
          <w:i w:val="0"/>
          <w:iCs w:val="0"/>
          <w:color w:val="auto"/>
          <w:sz w:val="24"/>
          <w:szCs w:val="24"/>
          <w:highlight w:val="none"/>
          <w:u w:val="single"/>
          <w:lang w:eastAsia="zh-CN"/>
        </w:rPr>
        <w:t>新疆医科大学第一附属医院临床教学楼会议室等楼宇室外屋面防水维修项目</w:t>
      </w:r>
    </w:p>
    <w:p w14:paraId="4E49C802">
      <w:pPr>
        <w:ind w:firstLine="480" w:firstLineChars="20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 数量：</w:t>
      </w:r>
      <w:r>
        <w:rPr>
          <w:rFonts w:hint="eastAsia" w:ascii="宋体" w:hAnsi="宋体" w:eastAsia="宋体" w:cs="宋体"/>
          <w:i w:val="0"/>
          <w:iCs w:val="0"/>
          <w:color w:val="auto"/>
          <w:sz w:val="24"/>
          <w:szCs w:val="24"/>
          <w:highlight w:val="none"/>
          <w:u w:val="single"/>
          <w:lang w:val="hr-HR"/>
        </w:rPr>
        <w:t>1</w:t>
      </w:r>
      <w:r>
        <w:rPr>
          <w:rFonts w:hint="eastAsia" w:ascii="宋体" w:hAnsi="宋体" w:eastAsia="宋体" w:cs="宋体"/>
          <w:i w:val="0"/>
          <w:iCs w:val="0"/>
          <w:color w:val="auto"/>
          <w:sz w:val="24"/>
          <w:szCs w:val="24"/>
          <w:highlight w:val="none"/>
          <w:lang w:val="hr-HR"/>
        </w:rPr>
        <w:t>     </w:t>
      </w:r>
    </w:p>
    <w:p w14:paraId="34F56D0C">
      <w:pPr>
        <w:ind w:firstLine="480" w:firstLineChars="20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 预算金额（元）：490000 </w:t>
      </w:r>
    </w:p>
    <w:p w14:paraId="3657FF73">
      <w:pPr>
        <w:pStyle w:val="4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 单位：</w:t>
      </w:r>
      <w:r>
        <w:rPr>
          <w:rFonts w:hint="eastAsia" w:ascii="宋体" w:hAnsi="宋体" w:eastAsia="宋体" w:cs="宋体"/>
          <w:i w:val="0"/>
          <w:iCs w:val="0"/>
          <w:color w:val="auto"/>
          <w:sz w:val="24"/>
          <w:szCs w:val="24"/>
          <w:highlight w:val="none"/>
          <w:u w:val="single"/>
          <w:lang w:val="hr-HR"/>
        </w:rPr>
        <w:t>项</w:t>
      </w:r>
    </w:p>
    <w:p w14:paraId="242750DC">
      <w:pPr>
        <w:pStyle w:val="40"/>
        <w:ind w:firstLine="720" w:firstLineChars="300"/>
        <w:rPr>
          <w:rFonts w:hint="eastAsia" w:ascii="宋体" w:hAnsi="宋体" w:eastAsia="宋体" w:cs="宋体"/>
          <w:i w:val="0"/>
          <w:iCs w:val="0"/>
          <w:color w:val="auto"/>
          <w:sz w:val="24"/>
          <w:szCs w:val="24"/>
          <w:highlight w:val="none"/>
          <w:u w:val="single"/>
          <w:lang w:eastAsia="zh-CN"/>
        </w:rPr>
      </w:pPr>
      <w:r>
        <w:rPr>
          <w:rFonts w:hint="eastAsia" w:ascii="宋体" w:hAnsi="宋体" w:eastAsia="宋体" w:cs="宋体"/>
          <w:i w:val="0"/>
          <w:iCs w:val="0"/>
          <w:color w:val="auto"/>
          <w:sz w:val="24"/>
          <w:szCs w:val="24"/>
          <w:highlight w:val="none"/>
          <w:lang w:val="hr-HR"/>
        </w:rPr>
        <w:t>简要规格描述：医院临床教学楼会议室等楼宇室外屋面防水维修，维修面积4610平方米，维修内容：拆除老旧防水层，更换为SBS改性防水卷材，铺2层，包含工程量清单中的全部内容</w:t>
      </w:r>
      <w:r>
        <w:rPr>
          <w:rFonts w:hint="eastAsia" w:cs="宋体"/>
          <w:color w:val="auto"/>
          <w:sz w:val="24"/>
          <w:highlight w:val="none"/>
          <w:lang w:val="hr-HR" w:eastAsia="zh-CN"/>
        </w:rPr>
        <w:t>。</w:t>
      </w:r>
    </w:p>
    <w:p w14:paraId="3805C625">
      <w:pPr>
        <w:pStyle w:val="40"/>
        <w:keepNext w:val="0"/>
        <w:keepLines w:val="0"/>
        <w:pageBreakBefore w:val="0"/>
        <w:widowControl w:val="0"/>
        <w:kinsoku/>
        <w:wordWrap w:val="0"/>
        <w:overflowPunct/>
        <w:topLinePunct w:val="0"/>
        <w:autoSpaceDE/>
        <w:autoSpaceDN/>
        <w:bidi w:val="0"/>
        <w:adjustRightInd/>
        <w:snapToGrid/>
        <w:ind w:firstLine="720" w:firstLineChars="30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kern w:val="2"/>
          <w:sz w:val="24"/>
          <w:szCs w:val="24"/>
          <w:highlight w:val="none"/>
          <w:lang w:val="hr-HR" w:eastAsia="zh-CN" w:bidi="ar-SA"/>
        </w:rPr>
        <w:t>备注：详见采购需求</w:t>
      </w:r>
      <w:r>
        <w:rPr>
          <w:rFonts w:hint="eastAsia" w:eastAsia="宋体" w:cs="宋体"/>
          <w:i w:val="0"/>
          <w:iCs w:val="0"/>
          <w:color w:val="auto"/>
          <w:kern w:val="2"/>
          <w:sz w:val="24"/>
          <w:szCs w:val="24"/>
          <w:highlight w:val="none"/>
          <w:lang w:val="hr-HR" w:eastAsia="zh-CN" w:bidi="ar-SA"/>
        </w:rPr>
        <w:t>。</w:t>
      </w:r>
    </w:p>
    <w:p w14:paraId="56FBF6DA">
      <w:pPr>
        <w:pStyle w:val="40"/>
        <w:keepNext w:val="0"/>
        <w:keepLines w:val="0"/>
        <w:pageBreakBefore w:val="0"/>
        <w:widowControl w:val="0"/>
        <w:kinsoku/>
        <w:wordWrap w:val="0"/>
        <w:overflowPunct/>
        <w:topLinePunct w:val="0"/>
        <w:autoSpaceDE/>
        <w:autoSpaceDN/>
        <w:bidi w:val="0"/>
        <w:adjustRightInd/>
        <w:snapToGrid/>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.合同履行期限：</w:t>
      </w:r>
      <w:r>
        <w:rPr>
          <w:rFonts w:hint="eastAsia" w:ascii="宋体" w:hAnsi="宋体" w:eastAsia="宋体" w:cs="宋体"/>
          <w:i w:val="0"/>
          <w:iCs w:val="0"/>
          <w:color w:val="auto"/>
          <w:sz w:val="24"/>
          <w:szCs w:val="24"/>
          <w:highlight w:val="none"/>
          <w:u w:val="none"/>
        </w:rPr>
        <w:t>详见竞争性</w:t>
      </w:r>
      <w:r>
        <w:rPr>
          <w:rFonts w:hint="eastAsia" w:cs="宋体"/>
          <w:i w:val="0"/>
          <w:iCs w:val="0"/>
          <w:color w:val="auto"/>
          <w:sz w:val="24"/>
          <w:szCs w:val="24"/>
          <w:highlight w:val="none"/>
          <w:u w:val="none"/>
          <w:lang w:val="en-US" w:eastAsia="zh-CN"/>
        </w:rPr>
        <w:t>磋商</w:t>
      </w:r>
      <w:r>
        <w:rPr>
          <w:rFonts w:hint="eastAsia" w:ascii="宋体" w:hAnsi="宋体" w:eastAsia="宋体" w:cs="宋体"/>
          <w:i w:val="0"/>
          <w:iCs w:val="0"/>
          <w:color w:val="auto"/>
          <w:sz w:val="24"/>
          <w:szCs w:val="24"/>
          <w:highlight w:val="none"/>
          <w:u w:val="none"/>
        </w:rPr>
        <w:t>文件</w:t>
      </w:r>
      <w:r>
        <w:rPr>
          <w:rFonts w:hint="eastAsia"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 xml:space="preserve"> </w:t>
      </w:r>
      <w:r>
        <w:rPr>
          <w:rFonts w:hint="eastAsia" w:ascii="宋体" w:hAnsi="宋体" w:eastAsia="宋体" w:cs="宋体"/>
          <w:i w:val="0"/>
          <w:iCs w:val="0"/>
          <w:color w:val="auto"/>
          <w:sz w:val="24"/>
          <w:szCs w:val="24"/>
          <w:highlight w:val="none"/>
          <w:u w:val="none"/>
          <w:lang w:val="hr-HR"/>
        </w:rPr>
        <w:t xml:space="preserve"> </w:t>
      </w:r>
    </w:p>
    <w:p w14:paraId="4B098642">
      <w:pPr>
        <w:pStyle w:val="40"/>
        <w:rPr>
          <w:rFonts w:hint="eastAsia" w:ascii="宋体" w:hAnsi="宋体" w:eastAsia="宋体" w:cs="宋体"/>
          <w:i w:val="0"/>
          <w:iCs w:val="0"/>
          <w:color w:val="auto"/>
          <w:sz w:val="24"/>
          <w:szCs w:val="24"/>
          <w:highlight w:val="none"/>
          <w:lang w:val="en-US" w:eastAsia="zh-CN"/>
        </w:rPr>
      </w:pPr>
      <w:bookmarkStart w:id="18" w:name="_Toc35393630"/>
      <w:bookmarkStart w:id="19" w:name="_Toc35393799"/>
      <w:bookmarkStart w:id="20" w:name="_Toc28359013"/>
      <w:bookmarkStart w:id="21" w:name="_Toc44583629"/>
      <w:bookmarkStart w:id="22" w:name="_Toc28359090"/>
      <w:r>
        <w:rPr>
          <w:rFonts w:hint="eastAsia" w:ascii="宋体" w:hAnsi="宋体" w:eastAsia="宋体" w:cs="宋体"/>
          <w:i w:val="0"/>
          <w:iCs w:val="0"/>
          <w:color w:val="auto"/>
          <w:sz w:val="24"/>
          <w:szCs w:val="24"/>
          <w:highlight w:val="none"/>
          <w:lang w:val="en-US" w:eastAsia="zh-CN"/>
        </w:rPr>
        <w:t>8.本项目（</w:t>
      </w:r>
      <w:r>
        <w:rPr>
          <w:rFonts w:hint="eastAsia" w:cs="宋体"/>
          <w:i w:val="0"/>
          <w:iCs w:val="0"/>
          <w:color w:val="auto"/>
          <w:sz w:val="24"/>
          <w:szCs w:val="24"/>
          <w:highlight w:val="none"/>
          <w:lang w:val="en-US" w:eastAsia="zh-CN"/>
        </w:rPr>
        <w:t>否</w:t>
      </w:r>
      <w:r>
        <w:rPr>
          <w:rFonts w:hint="eastAsia" w:ascii="宋体" w:hAnsi="宋体" w:eastAsia="宋体" w:cs="宋体"/>
          <w:i w:val="0"/>
          <w:iCs w:val="0"/>
          <w:color w:val="auto"/>
          <w:sz w:val="24"/>
          <w:szCs w:val="24"/>
          <w:highlight w:val="none"/>
          <w:lang w:val="en-US" w:eastAsia="zh-CN"/>
        </w:rPr>
        <w:t>）接受联合体投标。</w:t>
      </w:r>
    </w:p>
    <w:bookmarkEnd w:id="18"/>
    <w:bookmarkEnd w:id="19"/>
    <w:bookmarkEnd w:id="20"/>
    <w:bookmarkEnd w:id="21"/>
    <w:bookmarkEnd w:id="22"/>
    <w:p w14:paraId="25D3966E">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23" w:name="_Toc109900249"/>
      <w:bookmarkStart w:id="24" w:name="_Toc28695"/>
      <w:bookmarkStart w:id="25" w:name="_Toc109899830"/>
      <w:bookmarkStart w:id="26" w:name="_Toc140132746"/>
      <w:bookmarkStart w:id="27" w:name="_Toc155185861"/>
      <w:bookmarkStart w:id="28" w:name="_Toc109899411"/>
      <w:bookmarkStart w:id="29" w:name="_Toc163492813"/>
      <w:r>
        <w:rPr>
          <w:rFonts w:hint="eastAsia" w:ascii="宋体" w:hAnsi="宋体" w:eastAsia="宋体" w:cs="宋体"/>
          <w:b/>
          <w:bCs/>
          <w:i w:val="0"/>
          <w:iCs w:val="0"/>
          <w:color w:val="auto"/>
          <w:kern w:val="2"/>
          <w:sz w:val="24"/>
          <w:szCs w:val="24"/>
          <w:highlight w:val="none"/>
          <w:lang w:val="en-US" w:eastAsia="zh-CN" w:bidi="ar-SA"/>
        </w:rPr>
        <w:t>二、申请人的</w:t>
      </w:r>
      <w:r>
        <w:rPr>
          <w:rFonts w:hint="eastAsia" w:ascii="宋体" w:hAnsi="宋体" w:eastAsia="宋体" w:cs="宋体"/>
          <w:b/>
          <w:bCs/>
          <w:i w:val="0"/>
          <w:iCs w:val="0"/>
          <w:color w:val="auto"/>
          <w:kern w:val="2"/>
          <w:sz w:val="24"/>
          <w:szCs w:val="24"/>
          <w:highlight w:val="none"/>
          <w:lang w:val="hr-HR" w:eastAsia="zh-CN" w:bidi="ar-SA"/>
        </w:rPr>
        <w:t>资格要求</w:t>
      </w:r>
      <w:bookmarkEnd w:id="23"/>
      <w:bookmarkEnd w:id="24"/>
      <w:bookmarkEnd w:id="25"/>
      <w:bookmarkEnd w:id="26"/>
      <w:bookmarkEnd w:id="27"/>
      <w:bookmarkEnd w:id="28"/>
      <w:bookmarkEnd w:id="29"/>
    </w:p>
    <w:p w14:paraId="75455511">
      <w:pPr>
        <w:ind w:firstLine="480" w:firstLineChars="200"/>
        <w:rPr>
          <w:rFonts w:hint="eastAsia" w:ascii="宋体" w:hAnsi="宋体" w:eastAsia="宋体" w:cs="宋体"/>
          <w:i w:val="0"/>
          <w:iCs w:val="0"/>
          <w:strike/>
          <w:dstrike w:val="0"/>
          <w:color w:val="auto"/>
          <w:sz w:val="24"/>
          <w:szCs w:val="24"/>
          <w:highlight w:val="none"/>
          <w:lang w:val="en-US" w:eastAsia="zh-CN"/>
        </w:rPr>
      </w:pPr>
      <w:bookmarkStart w:id="30" w:name="_Toc28359091"/>
      <w:bookmarkStart w:id="31" w:name="_Toc44583630"/>
      <w:bookmarkStart w:id="32" w:name="_Toc35393631"/>
      <w:bookmarkStart w:id="33" w:name="_Toc28359014"/>
      <w:bookmarkStart w:id="34" w:name="_Toc35393800"/>
      <w:r>
        <w:rPr>
          <w:rFonts w:hint="eastAsia" w:ascii="宋体" w:hAnsi="宋体" w:eastAsia="宋体" w:cs="宋体"/>
          <w:i w:val="0"/>
          <w:iCs w:val="0"/>
          <w:color w:val="auto"/>
          <w:sz w:val="24"/>
          <w:szCs w:val="24"/>
          <w:highlight w:val="none"/>
          <w:lang w:val="en-US" w:eastAsia="zh-CN"/>
        </w:rPr>
        <w:t>1. 满足《中华人民共和国政府采购法》第二十二条规定；</w:t>
      </w:r>
    </w:p>
    <w:p w14:paraId="26CC6F8C">
      <w:pPr>
        <w:ind w:firstLine="480" w:firstLineChars="200"/>
        <w:rPr>
          <w:rFonts w:hint="eastAsia" w:ascii="宋体" w:hAnsi="宋体" w:eastAsia="宋体" w:cs="宋体"/>
          <w:i w:val="0"/>
          <w:iCs w:val="0"/>
          <w:color w:val="auto"/>
          <w:sz w:val="24"/>
          <w:szCs w:val="24"/>
          <w:highlight w:val="none"/>
          <w:u w:val="none"/>
          <w:lang w:val="en-US" w:eastAsia="zh-CN"/>
        </w:rPr>
      </w:pPr>
      <w:bookmarkStart w:id="35" w:name="_Hlk89807755"/>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.落实政府采购政策需满足的资格要求：</w:t>
      </w:r>
      <w:r>
        <w:rPr>
          <w:rFonts w:hint="eastAsia" w:ascii="宋体" w:hAnsi="宋体" w:eastAsia="宋体" w:cs="宋体"/>
          <w:i w:val="0"/>
          <w:iCs w:val="0"/>
          <w:caps w:val="0"/>
          <w:color w:val="auto"/>
          <w:spacing w:val="0"/>
          <w:sz w:val="24"/>
          <w:szCs w:val="24"/>
          <w:highlight w:val="none"/>
        </w:rPr>
        <w:t>标项1：本项目专门面向中小企业采购，供应商须按照采购文件要求提供《中小企业声明函》</w:t>
      </w:r>
      <w:r>
        <w:rPr>
          <w:rFonts w:hint="eastAsia" w:ascii="宋体" w:hAnsi="宋体" w:eastAsia="宋体" w:cs="宋体"/>
          <w:i w:val="0"/>
          <w:iCs w:val="0"/>
          <w:color w:val="auto"/>
          <w:sz w:val="24"/>
          <w:szCs w:val="24"/>
          <w:highlight w:val="none"/>
          <w:u w:val="none"/>
          <w:lang w:val="en-US" w:eastAsia="zh-CN"/>
        </w:rPr>
        <w:t>。</w:t>
      </w:r>
    </w:p>
    <w:p w14:paraId="453BE100">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p>
    <w:p w14:paraId="4335DB38">
      <w:pPr>
        <w:pStyle w:val="40"/>
        <w:ind w:firstLine="480"/>
        <w:rPr>
          <w:rFonts w:hint="eastAsia" w:cs="宋体"/>
          <w:color w:val="auto"/>
          <w:szCs w:val="24"/>
          <w:highlight w:val="none"/>
        </w:rPr>
      </w:pPr>
      <w:r>
        <w:rPr>
          <w:rFonts w:hint="eastAsia" w:ascii="宋体" w:hAnsi="宋体" w:eastAsia="宋体" w:cs="宋体"/>
          <w:i w:val="0"/>
          <w:iCs w:val="0"/>
          <w:caps w:val="0"/>
          <w:color w:val="auto"/>
          <w:spacing w:val="0"/>
          <w:sz w:val="24"/>
          <w:szCs w:val="24"/>
          <w:highlight w:val="none"/>
        </w:rPr>
        <w:t>【标项1】</w:t>
      </w:r>
    </w:p>
    <w:p w14:paraId="01789603">
      <w:pPr>
        <w:ind w:firstLine="482" w:firstLineChars="200"/>
        <w:rPr>
          <w:rFonts w:hint="eastAsia" w:cs="宋体"/>
          <w:b/>
          <w:bCs/>
          <w:i w:val="0"/>
          <w:iCs w:val="0"/>
          <w:color w:val="auto"/>
          <w:sz w:val="24"/>
          <w:szCs w:val="24"/>
          <w:highlight w:val="none"/>
          <w:u w:val="none"/>
          <w:lang w:val="hr-HR" w:eastAsia="zh-CN"/>
        </w:rPr>
      </w:pPr>
      <w:r>
        <w:rPr>
          <w:rFonts w:hint="eastAsia" w:cs="宋体"/>
          <w:b/>
          <w:bCs/>
          <w:i w:val="0"/>
          <w:iCs w:val="0"/>
          <w:color w:val="auto"/>
          <w:sz w:val="24"/>
          <w:szCs w:val="24"/>
          <w:highlight w:val="none"/>
          <w:u w:val="none"/>
          <w:lang w:val="hr-HR" w:eastAsia="zh-CN"/>
        </w:rPr>
        <w:t>（1）供应商须具有由住房和城乡建设部门颁发并在有效期内的建筑工程施工总承包贰级以上(含贰级)资质和《安全生产许可证》（提供有效证书复印件加盖供应商公章）。</w:t>
      </w:r>
    </w:p>
    <w:p w14:paraId="708B4204">
      <w:pPr>
        <w:ind w:firstLine="482" w:firstLineChars="200"/>
        <w:rPr>
          <w:rFonts w:hint="eastAsia" w:cs="宋体"/>
          <w:b/>
          <w:bCs/>
          <w:i w:val="0"/>
          <w:iCs w:val="0"/>
          <w:color w:val="auto"/>
          <w:sz w:val="24"/>
          <w:szCs w:val="24"/>
          <w:highlight w:val="none"/>
          <w:u w:val="none"/>
          <w:lang w:val="hr-HR" w:eastAsia="zh-CN"/>
        </w:rPr>
      </w:pPr>
      <w:r>
        <w:rPr>
          <w:rFonts w:hint="eastAsia" w:cs="宋体"/>
          <w:b/>
          <w:bCs/>
          <w:i w:val="0"/>
          <w:iCs w:val="0"/>
          <w:color w:val="auto"/>
          <w:sz w:val="24"/>
          <w:szCs w:val="24"/>
          <w:highlight w:val="none"/>
          <w:u w:val="none"/>
          <w:lang w:val="hr-HR" w:eastAsia="zh-CN"/>
        </w:rPr>
        <w:t>（2）项目负责人：供应商拟派项目经理须具备建筑工程专业二级以上(含二级)注册建造师执业资格，具有有效的安全生产考核证且未担任其他在建设工程项目的项目经理的书面声明并后附四库一平台或新疆工程建设云无在建截图(提供有效证书复印件加盖供应商公章)。</w:t>
      </w:r>
    </w:p>
    <w:p w14:paraId="242CF492">
      <w:pPr>
        <w:ind w:firstLine="480" w:firstLineChars="200"/>
        <w:rPr>
          <w:rFonts w:hint="eastAsia" w:ascii="宋体" w:hAnsi="宋体" w:eastAsia="宋体" w:cs="宋体"/>
          <w:i w:val="0"/>
          <w:iCs w:val="0"/>
          <w:color w:val="auto"/>
          <w:sz w:val="24"/>
          <w:szCs w:val="24"/>
          <w:highlight w:val="none"/>
          <w:u w:val="none"/>
          <w:lang w:val="hr-HR" w:eastAsia="zh-CN"/>
        </w:rPr>
      </w:pPr>
      <w:r>
        <w:rPr>
          <w:rFonts w:hint="eastAsia" w:ascii="宋体" w:hAnsi="宋体" w:eastAsia="宋体" w:cs="宋体"/>
          <w:i w:val="0"/>
          <w:iCs w:val="0"/>
          <w:color w:val="auto"/>
          <w:sz w:val="24"/>
          <w:szCs w:val="24"/>
          <w:highlight w:val="none"/>
          <w:u w:val="none"/>
          <w:lang w:val="hr-HR" w:eastAsia="zh-CN"/>
        </w:rPr>
        <w:t>（</w:t>
      </w:r>
      <w:r>
        <w:rPr>
          <w:rFonts w:hint="eastAsia" w:cs="宋体"/>
          <w:i w:val="0"/>
          <w:iCs w:val="0"/>
          <w:color w:val="auto"/>
          <w:sz w:val="24"/>
          <w:szCs w:val="24"/>
          <w:highlight w:val="none"/>
          <w:u w:val="none"/>
          <w:lang w:val="en-US" w:eastAsia="zh-CN"/>
        </w:rPr>
        <w:t>3</w:t>
      </w:r>
      <w:r>
        <w:rPr>
          <w:rFonts w:hint="eastAsia" w:ascii="宋体" w:hAnsi="宋体" w:eastAsia="宋体" w:cs="宋体"/>
          <w:i w:val="0"/>
          <w:iCs w:val="0"/>
          <w:color w:val="auto"/>
          <w:sz w:val="24"/>
          <w:szCs w:val="24"/>
          <w:highlight w:val="none"/>
          <w:u w:val="none"/>
          <w:lang w:val="hr-HR" w:eastAsia="zh-CN"/>
        </w:rPr>
        <w:t>）法定代表人或</w:t>
      </w:r>
      <w:r>
        <w:rPr>
          <w:rFonts w:hint="eastAsia" w:ascii="宋体" w:hAnsi="宋体" w:eastAsia="宋体" w:cs="宋体"/>
          <w:i w:val="0"/>
          <w:iCs w:val="0"/>
          <w:color w:val="auto"/>
          <w:sz w:val="24"/>
          <w:szCs w:val="24"/>
          <w:highlight w:val="none"/>
          <w:u w:val="none"/>
          <w:lang w:val="en-US" w:eastAsia="zh-CN"/>
        </w:rPr>
        <w:t>单位</w:t>
      </w:r>
      <w:r>
        <w:rPr>
          <w:rFonts w:hint="eastAsia" w:ascii="宋体" w:hAnsi="宋体" w:eastAsia="宋体" w:cs="宋体"/>
          <w:i w:val="0"/>
          <w:iCs w:val="0"/>
          <w:color w:val="auto"/>
          <w:sz w:val="24"/>
          <w:szCs w:val="24"/>
          <w:highlight w:val="none"/>
          <w:u w:val="none"/>
          <w:lang w:val="hr-HR" w:eastAsia="zh-CN"/>
        </w:rPr>
        <w:t>负责人为同一人或者存在</w:t>
      </w:r>
      <w:r>
        <w:rPr>
          <w:rFonts w:hint="eastAsia" w:ascii="宋体" w:hAnsi="宋体" w:eastAsia="宋体" w:cs="宋体"/>
          <w:i w:val="0"/>
          <w:iCs w:val="0"/>
          <w:color w:val="auto"/>
          <w:sz w:val="24"/>
          <w:szCs w:val="24"/>
          <w:highlight w:val="none"/>
          <w:u w:val="none"/>
          <w:lang w:val="en-US" w:eastAsia="zh-CN"/>
        </w:rPr>
        <w:t>直接</w:t>
      </w:r>
      <w:r>
        <w:rPr>
          <w:rFonts w:hint="eastAsia" w:ascii="宋体" w:hAnsi="宋体" w:eastAsia="宋体" w:cs="宋体"/>
          <w:i w:val="0"/>
          <w:iCs w:val="0"/>
          <w:color w:val="auto"/>
          <w:sz w:val="24"/>
          <w:szCs w:val="24"/>
          <w:highlight w:val="none"/>
          <w:u w:val="none"/>
          <w:lang w:val="hr-HR" w:eastAsia="zh-CN"/>
        </w:rPr>
        <w:t>控股、管理关系的</w:t>
      </w:r>
      <w:r>
        <w:rPr>
          <w:rFonts w:hint="eastAsia" w:ascii="宋体" w:hAnsi="宋体" w:eastAsia="宋体" w:cs="宋体"/>
          <w:i w:val="0"/>
          <w:iCs w:val="0"/>
          <w:color w:val="auto"/>
          <w:sz w:val="24"/>
          <w:szCs w:val="24"/>
          <w:highlight w:val="none"/>
          <w:u w:val="none"/>
          <w:lang w:val="en-US" w:eastAsia="zh-CN"/>
        </w:rPr>
        <w:t>不同供应商</w:t>
      </w:r>
      <w:r>
        <w:rPr>
          <w:rFonts w:hint="eastAsia" w:ascii="宋体" w:hAnsi="宋体" w:eastAsia="宋体" w:cs="宋体"/>
          <w:i w:val="0"/>
          <w:iCs w:val="0"/>
          <w:color w:val="auto"/>
          <w:sz w:val="24"/>
          <w:szCs w:val="24"/>
          <w:highlight w:val="none"/>
          <w:u w:val="none"/>
          <w:lang w:val="hr-HR" w:eastAsia="zh-CN"/>
        </w:rPr>
        <w:t>，不得参加同一合同项下的政府采购活动。</w:t>
      </w:r>
    </w:p>
    <w:p w14:paraId="0C15E6EA">
      <w:pPr>
        <w:pStyle w:val="40"/>
        <w:rPr>
          <w:rFonts w:hint="eastAsia" w:ascii="宋体" w:hAnsi="宋体" w:eastAsia="宋体" w:cs="宋体"/>
          <w:i w:val="0"/>
          <w:iCs w:val="0"/>
          <w:color w:val="auto"/>
          <w:sz w:val="24"/>
          <w:szCs w:val="24"/>
          <w:highlight w:val="none"/>
          <w:u w:val="none"/>
          <w:lang w:val="hr-HR" w:eastAsia="zh-CN"/>
        </w:rPr>
      </w:pPr>
      <w:r>
        <w:rPr>
          <w:rFonts w:hint="eastAsia" w:ascii="宋体" w:hAnsi="宋体" w:eastAsia="宋体" w:cs="宋体"/>
          <w:i w:val="0"/>
          <w:iCs w:val="0"/>
          <w:color w:val="auto"/>
          <w:sz w:val="24"/>
          <w:szCs w:val="24"/>
          <w:highlight w:val="none"/>
          <w:u w:val="none"/>
          <w:lang w:val="en-US" w:eastAsia="zh-CN"/>
        </w:rPr>
        <w:t>（</w:t>
      </w:r>
      <w:r>
        <w:rPr>
          <w:rFonts w:hint="eastAsia" w:cs="宋体"/>
          <w:i w:val="0"/>
          <w:iCs w:val="0"/>
          <w:color w:val="auto"/>
          <w:sz w:val="24"/>
          <w:szCs w:val="24"/>
          <w:highlight w:val="none"/>
          <w:u w:val="none"/>
          <w:lang w:val="en-US" w:eastAsia="zh-CN"/>
        </w:rPr>
        <w:t>4</w:t>
      </w:r>
      <w:r>
        <w:rPr>
          <w:rFonts w:hint="eastAsia" w:ascii="宋体" w:hAnsi="宋体" w:eastAsia="宋体" w:cs="宋体"/>
          <w:i w:val="0"/>
          <w:iCs w:val="0"/>
          <w:color w:val="auto"/>
          <w:sz w:val="24"/>
          <w:szCs w:val="24"/>
          <w:highlight w:val="none"/>
          <w:u w:val="none"/>
          <w:lang w:val="en-US" w:eastAsia="zh-CN"/>
        </w:rPr>
        <w:t>）</w:t>
      </w:r>
      <w:r>
        <w:rPr>
          <w:rFonts w:hint="eastAsia" w:ascii="宋体" w:hAnsi="宋体" w:eastAsia="宋体" w:cs="宋体"/>
          <w:i w:val="0"/>
          <w:iCs w:val="0"/>
          <w:color w:val="auto"/>
          <w:sz w:val="24"/>
          <w:szCs w:val="24"/>
          <w:highlight w:val="none"/>
          <w:u w:val="none"/>
          <w:lang w:val="hr-HR" w:eastAsia="zh-CN"/>
        </w:rPr>
        <w:t>除单一来源采购项目外，为采购项目提供整体设计、规范编制或者项目管理、监理、检测等服务的供应商，不得再参加该采购项目的其他采购活动。</w:t>
      </w:r>
    </w:p>
    <w:p w14:paraId="233A0AC8">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none"/>
          <w:lang w:val="hr-HR" w:eastAsia="zh-CN"/>
        </w:rPr>
        <w:t>（</w:t>
      </w:r>
      <w:r>
        <w:rPr>
          <w:rFonts w:hint="eastAsia" w:cs="宋体"/>
          <w:i w:val="0"/>
          <w:iCs w:val="0"/>
          <w:color w:val="auto"/>
          <w:sz w:val="24"/>
          <w:szCs w:val="24"/>
          <w:highlight w:val="none"/>
          <w:u w:val="none"/>
          <w:lang w:val="en-US" w:eastAsia="zh-CN"/>
        </w:rPr>
        <w:t>5</w:t>
      </w:r>
      <w:r>
        <w:rPr>
          <w:rFonts w:hint="eastAsia" w:ascii="宋体" w:hAnsi="宋体" w:eastAsia="宋体" w:cs="宋体"/>
          <w:i w:val="0"/>
          <w:iCs w:val="0"/>
          <w:color w:val="auto"/>
          <w:sz w:val="24"/>
          <w:szCs w:val="24"/>
          <w:highlight w:val="none"/>
          <w:u w:val="none"/>
          <w:lang w:val="en-US" w:eastAsia="zh-CN"/>
        </w:rPr>
        <w:t>）</w:t>
      </w:r>
      <w:r>
        <w:rPr>
          <w:rFonts w:hint="eastAsia" w:ascii="宋体" w:hAnsi="宋体" w:eastAsia="宋体" w:cs="宋体"/>
          <w:i w:val="0"/>
          <w:iCs w:val="0"/>
          <w:color w:val="auto"/>
          <w:sz w:val="24"/>
          <w:szCs w:val="24"/>
          <w:highlight w:val="none"/>
          <w:u w:val="none"/>
          <w:lang w:val="hr-HR"/>
        </w:rPr>
        <w:t>供应商的信用行为</w:t>
      </w:r>
      <w:r>
        <w:rPr>
          <w:rFonts w:hint="eastAsia" w:ascii="宋体" w:hAnsi="宋体" w:eastAsia="宋体" w:cs="宋体"/>
          <w:i w:val="0"/>
          <w:iCs w:val="0"/>
          <w:color w:val="auto"/>
          <w:sz w:val="24"/>
          <w:szCs w:val="24"/>
          <w:highlight w:val="none"/>
          <w:u w:val="none"/>
          <w:lang w:val="hr-HR" w:eastAsia="zh-CN"/>
        </w:rPr>
        <w:t>：</w:t>
      </w:r>
      <w:r>
        <w:rPr>
          <w:rFonts w:hint="eastAsia" w:ascii="宋体" w:hAnsi="宋体" w:eastAsia="宋体" w:cs="宋体"/>
          <w:i w:val="0"/>
          <w:iCs w:val="0"/>
          <w:color w:val="auto"/>
          <w:sz w:val="24"/>
          <w:szCs w:val="24"/>
          <w:highlight w:val="none"/>
          <w:u w:val="none"/>
          <w:lang w:val="hr-HR"/>
        </w:rPr>
        <w:t>在</w:t>
      </w:r>
      <w:r>
        <w:rPr>
          <w:rFonts w:hint="eastAsia" w:ascii="宋体" w:hAnsi="宋体" w:eastAsia="宋体" w:cs="宋体"/>
          <w:i w:val="0"/>
          <w:iCs w:val="0"/>
          <w:color w:val="auto"/>
          <w:sz w:val="24"/>
          <w:szCs w:val="24"/>
          <w:highlight w:val="none"/>
          <w:u w:val="none"/>
          <w:lang w:val="en-US" w:eastAsia="zh-CN"/>
        </w:rPr>
        <w:t>资格审查阶段经查询</w:t>
      </w:r>
      <w:r>
        <w:rPr>
          <w:rFonts w:hint="eastAsia" w:ascii="宋体" w:hAnsi="宋体" w:eastAsia="宋体" w:cs="宋体"/>
          <w:i w:val="0"/>
          <w:iCs w:val="0"/>
          <w:color w:val="auto"/>
          <w:sz w:val="24"/>
          <w:szCs w:val="24"/>
          <w:highlight w:val="none"/>
          <w:u w:val="none"/>
          <w:lang w:val="hr-HR" w:eastAsia="zh-CN"/>
        </w:rPr>
        <w:t>，</w:t>
      </w:r>
      <w:r>
        <w:rPr>
          <w:rFonts w:hint="eastAsia" w:ascii="宋体" w:hAnsi="宋体" w:eastAsia="宋体" w:cs="宋体"/>
          <w:i w:val="0"/>
          <w:iCs w:val="0"/>
          <w:color w:val="auto"/>
          <w:sz w:val="24"/>
          <w:szCs w:val="24"/>
          <w:highlight w:val="none"/>
          <w:u w:val="none"/>
          <w:lang w:val="en-US" w:eastAsia="zh-CN"/>
        </w:rPr>
        <w:t>未被列入“失信被执行人”、“重大税收违法失信主体”、“政府采购严重违法失信行为记录名单”</w:t>
      </w:r>
      <w:r>
        <w:rPr>
          <w:rFonts w:hint="eastAsia" w:ascii="宋体" w:hAnsi="宋体" w:eastAsia="宋体" w:cs="宋体"/>
          <w:i w:val="0"/>
          <w:iCs w:val="0"/>
          <w:color w:val="auto"/>
          <w:sz w:val="24"/>
          <w:szCs w:val="24"/>
          <w:highlight w:val="none"/>
          <w:u w:val="none"/>
          <w:lang w:val="hr-HR"/>
        </w:rPr>
        <w:t>其中之一</w:t>
      </w:r>
      <w:r>
        <w:rPr>
          <w:rFonts w:hint="eastAsia" w:ascii="宋体" w:hAnsi="宋体" w:eastAsia="宋体" w:cs="宋体"/>
          <w:i w:val="0"/>
          <w:iCs w:val="0"/>
          <w:color w:val="auto"/>
          <w:sz w:val="24"/>
          <w:szCs w:val="24"/>
          <w:highlight w:val="none"/>
          <w:u w:val="none"/>
          <w:lang w:val="hr-HR" w:eastAsia="zh-CN"/>
        </w:rPr>
        <w:t>。如有以上不良信用记录</w:t>
      </w:r>
      <w:r>
        <w:rPr>
          <w:rFonts w:hint="eastAsia" w:ascii="宋体" w:hAnsi="宋体" w:eastAsia="宋体" w:cs="宋体"/>
          <w:i w:val="0"/>
          <w:iCs w:val="0"/>
          <w:color w:val="auto"/>
          <w:sz w:val="24"/>
          <w:szCs w:val="24"/>
          <w:highlight w:val="none"/>
          <w:u w:val="none"/>
          <w:lang w:val="en-US" w:eastAsia="zh-CN"/>
        </w:rPr>
        <w:t>之一</w:t>
      </w:r>
      <w:r>
        <w:rPr>
          <w:rFonts w:hint="eastAsia" w:ascii="宋体" w:hAnsi="宋体" w:eastAsia="宋体" w:cs="宋体"/>
          <w:b w:val="0"/>
          <w:bCs w:val="0"/>
          <w:i w:val="0"/>
          <w:iCs w:val="0"/>
          <w:color w:val="auto"/>
          <w:sz w:val="24"/>
          <w:szCs w:val="24"/>
          <w:highlight w:val="none"/>
          <w:u w:val="none"/>
          <w:lang w:val="en-US" w:eastAsia="zh-CN"/>
        </w:rPr>
        <w:t>的，</w:t>
      </w:r>
      <w:r>
        <w:rPr>
          <w:rFonts w:hint="eastAsia" w:ascii="宋体" w:hAnsi="宋体" w:eastAsia="宋体" w:cs="宋体"/>
          <w:b w:val="0"/>
          <w:bCs w:val="0"/>
          <w:i w:val="0"/>
          <w:iCs w:val="0"/>
          <w:color w:val="auto"/>
          <w:sz w:val="24"/>
          <w:szCs w:val="24"/>
          <w:highlight w:val="none"/>
          <w:u w:val="none"/>
          <w:lang w:val="hr-HR" w:eastAsia="zh-CN"/>
        </w:rPr>
        <w:t>其</w:t>
      </w:r>
      <w:r>
        <w:rPr>
          <w:rFonts w:hint="eastAsia" w:ascii="宋体" w:hAnsi="宋体" w:eastAsia="宋体" w:cs="宋体"/>
          <w:b w:val="0"/>
          <w:bCs w:val="0"/>
          <w:i w:val="0"/>
          <w:iCs w:val="0"/>
          <w:color w:val="auto"/>
          <w:sz w:val="24"/>
          <w:szCs w:val="24"/>
          <w:highlight w:val="none"/>
          <w:u w:val="none"/>
          <w:lang w:val="en-US" w:eastAsia="zh-CN"/>
        </w:rPr>
        <w:t>响应无效</w:t>
      </w:r>
      <w:r>
        <w:rPr>
          <w:rFonts w:hint="eastAsia" w:ascii="宋体" w:hAnsi="宋体" w:eastAsia="宋体" w:cs="宋体"/>
          <w:i w:val="0"/>
          <w:iCs w:val="0"/>
          <w:color w:val="auto"/>
          <w:sz w:val="24"/>
          <w:szCs w:val="24"/>
          <w:highlight w:val="none"/>
          <w:lang w:val="hr-HR"/>
        </w:rPr>
        <w:t>。</w:t>
      </w:r>
    </w:p>
    <w:bookmarkEnd w:id="30"/>
    <w:bookmarkEnd w:id="31"/>
    <w:bookmarkEnd w:id="32"/>
    <w:bookmarkEnd w:id="33"/>
    <w:bookmarkEnd w:id="34"/>
    <w:bookmarkEnd w:id="35"/>
    <w:p w14:paraId="2CD31818">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36" w:name="_Toc23405"/>
      <w:bookmarkStart w:id="37" w:name="_Toc26657"/>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hr-HR" w:eastAsia="zh-CN" w:bidi="ar-SA"/>
        </w:rPr>
        <w:t>获取</w:t>
      </w:r>
      <w:r>
        <w:rPr>
          <w:rFonts w:hint="eastAsia" w:ascii="宋体" w:hAnsi="宋体" w:eastAsia="宋体" w:cs="宋体"/>
          <w:b/>
          <w:bCs/>
          <w:i w:val="0"/>
          <w:iCs w:val="0"/>
          <w:color w:val="auto"/>
          <w:kern w:val="2"/>
          <w:sz w:val="24"/>
          <w:szCs w:val="24"/>
          <w:highlight w:val="none"/>
          <w:lang w:val="en-US" w:eastAsia="zh-CN" w:bidi="ar-SA"/>
        </w:rPr>
        <w:t>采购</w:t>
      </w:r>
      <w:r>
        <w:rPr>
          <w:rFonts w:hint="eastAsia" w:ascii="宋体" w:hAnsi="宋体" w:eastAsia="宋体" w:cs="宋体"/>
          <w:b/>
          <w:bCs/>
          <w:i w:val="0"/>
          <w:iCs w:val="0"/>
          <w:color w:val="auto"/>
          <w:kern w:val="2"/>
          <w:sz w:val="24"/>
          <w:szCs w:val="24"/>
          <w:highlight w:val="none"/>
          <w:lang w:val="hr-HR" w:eastAsia="zh-CN" w:bidi="ar-SA"/>
        </w:rPr>
        <w:t>文件</w:t>
      </w:r>
      <w:bookmarkEnd w:id="36"/>
      <w:bookmarkEnd w:id="37"/>
      <w:r>
        <w:rPr>
          <w:rFonts w:hint="eastAsia" w:ascii="宋体" w:hAnsi="宋体" w:eastAsia="宋体" w:cs="宋体"/>
          <w:b/>
          <w:bCs/>
          <w:i w:val="0"/>
          <w:iCs w:val="0"/>
          <w:color w:val="auto"/>
          <w:kern w:val="2"/>
          <w:sz w:val="24"/>
          <w:szCs w:val="24"/>
          <w:highlight w:val="none"/>
          <w:lang w:val="hr-HR" w:eastAsia="zh-CN" w:bidi="ar-SA"/>
        </w:rPr>
        <w:t xml:space="preserve"> </w:t>
      </w:r>
    </w:p>
    <w:p w14:paraId="0D505180">
      <w:pPr>
        <w:spacing w:line="360" w:lineRule="auto"/>
        <w:ind w:firstLine="540"/>
        <w:rPr>
          <w:rFonts w:hint="eastAsia" w:ascii="宋体" w:hAnsi="宋体" w:eastAsia="宋体" w:cs="宋体"/>
          <w:i w:val="0"/>
          <w:iCs w:val="0"/>
          <w:color w:val="auto"/>
          <w:sz w:val="24"/>
          <w:szCs w:val="24"/>
          <w:highlight w:val="none"/>
          <w:lang w:val="hr-HR" w:eastAsia="zh-CN"/>
        </w:rPr>
      </w:pPr>
      <w:bookmarkStart w:id="38" w:name="_Hlk130457234"/>
      <w:bookmarkStart w:id="39" w:name="_Toc35393632"/>
      <w:bookmarkStart w:id="40" w:name="_Hlk130457261"/>
      <w:bookmarkStart w:id="41" w:name="_Toc28359092"/>
      <w:bookmarkStart w:id="42" w:name="_Toc35393801"/>
      <w:bookmarkStart w:id="43" w:name="_Toc28359015"/>
      <w:bookmarkStart w:id="44" w:name="_Hlk130457327"/>
      <w:r>
        <w:rPr>
          <w:rFonts w:hint="eastAsia" w:ascii="宋体" w:hAnsi="宋体" w:eastAsia="宋体" w:cs="宋体"/>
          <w:i w:val="0"/>
          <w:iCs w:val="0"/>
          <w:color w:val="auto"/>
          <w:sz w:val="24"/>
          <w:szCs w:val="24"/>
          <w:highlight w:val="none"/>
          <w:lang w:val="hr-HR"/>
        </w:rPr>
        <w:t>1.</w:t>
      </w:r>
      <w:bookmarkEnd w:id="38"/>
      <w:bookmarkStart w:id="45" w:name="_Hlk89807779"/>
      <w:r>
        <w:rPr>
          <w:rFonts w:hint="eastAsia" w:cs="宋体"/>
          <w:color w:val="auto"/>
          <w:szCs w:val="24"/>
          <w:highlight w:val="none"/>
          <w:lang w:val="hr-HR"/>
        </w:rPr>
        <w:t>时间：</w:t>
      </w:r>
      <w:r>
        <w:rPr>
          <w:rFonts w:hint="eastAsia" w:cs="宋体"/>
          <w:color w:val="auto"/>
          <w:szCs w:val="24"/>
          <w:highlight w:val="none"/>
          <w:u w:val="single"/>
        </w:rPr>
        <w:t>2025年</w:t>
      </w:r>
      <w:r>
        <w:rPr>
          <w:rFonts w:hint="eastAsia" w:cs="宋体"/>
          <w:color w:val="auto"/>
          <w:szCs w:val="24"/>
          <w:highlight w:val="none"/>
          <w:u w:val="single"/>
          <w:lang w:val="en-US" w:eastAsia="zh-CN"/>
        </w:rPr>
        <w:t>7</w:t>
      </w:r>
      <w:r>
        <w:rPr>
          <w:rFonts w:hint="eastAsia" w:cs="宋体"/>
          <w:color w:val="auto"/>
          <w:szCs w:val="24"/>
          <w:highlight w:val="none"/>
          <w:u w:val="single"/>
        </w:rPr>
        <w:t>月</w:t>
      </w:r>
      <w:r>
        <w:rPr>
          <w:rFonts w:hint="eastAsia" w:cs="宋体"/>
          <w:color w:val="auto"/>
          <w:szCs w:val="24"/>
          <w:highlight w:val="none"/>
          <w:u w:val="single"/>
          <w:lang w:val="en-US" w:eastAsia="zh-CN"/>
        </w:rPr>
        <w:t>11</w:t>
      </w:r>
      <w:r>
        <w:rPr>
          <w:rFonts w:hint="eastAsia" w:cs="宋体"/>
          <w:color w:val="auto"/>
          <w:szCs w:val="24"/>
          <w:highlight w:val="none"/>
          <w:u w:val="single"/>
        </w:rPr>
        <w:t>日</w:t>
      </w:r>
      <w:r>
        <w:rPr>
          <w:rFonts w:hint="eastAsia" w:cs="宋体"/>
          <w:color w:val="auto"/>
          <w:szCs w:val="24"/>
          <w:highlight w:val="none"/>
        </w:rPr>
        <w:t>至</w:t>
      </w:r>
      <w:r>
        <w:rPr>
          <w:rFonts w:hint="eastAsia" w:cs="宋体"/>
          <w:color w:val="auto"/>
          <w:szCs w:val="24"/>
          <w:highlight w:val="none"/>
          <w:u w:val="single"/>
        </w:rPr>
        <w:t>2025年</w:t>
      </w:r>
      <w:r>
        <w:rPr>
          <w:rFonts w:hint="eastAsia" w:cs="宋体"/>
          <w:color w:val="auto"/>
          <w:szCs w:val="24"/>
          <w:highlight w:val="none"/>
          <w:u w:val="single"/>
          <w:lang w:val="en-US" w:eastAsia="zh-CN"/>
        </w:rPr>
        <w:t>7</w:t>
      </w:r>
      <w:r>
        <w:rPr>
          <w:rFonts w:hint="eastAsia" w:cs="宋体"/>
          <w:color w:val="auto"/>
          <w:szCs w:val="24"/>
          <w:highlight w:val="none"/>
          <w:u w:val="single"/>
        </w:rPr>
        <w:t>月</w:t>
      </w:r>
      <w:r>
        <w:rPr>
          <w:rFonts w:hint="eastAsia" w:cs="宋体"/>
          <w:color w:val="auto"/>
          <w:szCs w:val="24"/>
          <w:highlight w:val="none"/>
          <w:u w:val="single"/>
          <w:lang w:val="en-US" w:eastAsia="zh-CN"/>
        </w:rPr>
        <w:t>18</w:t>
      </w:r>
      <w:r>
        <w:rPr>
          <w:rFonts w:hint="eastAsia" w:cs="宋体"/>
          <w:color w:val="auto"/>
          <w:szCs w:val="24"/>
          <w:highlight w:val="none"/>
          <w:u w:val="single"/>
        </w:rPr>
        <w:t>日</w:t>
      </w:r>
      <w:r>
        <w:rPr>
          <w:rFonts w:hint="eastAsia" w:cs="宋体"/>
          <w:color w:val="auto"/>
          <w:szCs w:val="24"/>
          <w:highlight w:val="none"/>
        </w:rPr>
        <w:t>，每天上午</w:t>
      </w:r>
      <w:r>
        <w:rPr>
          <w:rFonts w:hint="eastAsia" w:cs="宋体"/>
          <w:color w:val="auto"/>
          <w:szCs w:val="24"/>
          <w:highlight w:val="none"/>
          <w:u w:val="single"/>
        </w:rPr>
        <w:t xml:space="preserve">00:00 </w:t>
      </w:r>
      <w:r>
        <w:rPr>
          <w:rFonts w:hint="eastAsia" w:cs="宋体"/>
          <w:color w:val="auto"/>
          <w:szCs w:val="24"/>
          <w:highlight w:val="none"/>
        </w:rPr>
        <w:t>至</w:t>
      </w:r>
      <w:r>
        <w:rPr>
          <w:rFonts w:hint="eastAsia" w:cs="宋体"/>
          <w:color w:val="auto"/>
          <w:szCs w:val="24"/>
          <w:highlight w:val="none"/>
          <w:u w:val="single"/>
        </w:rPr>
        <w:t>1</w:t>
      </w:r>
      <w:r>
        <w:rPr>
          <w:rFonts w:hint="eastAsia" w:cs="宋体"/>
          <w:color w:val="auto"/>
          <w:szCs w:val="24"/>
          <w:highlight w:val="none"/>
          <w:u w:val="single"/>
          <w:lang w:val="en-US" w:eastAsia="zh-CN"/>
        </w:rPr>
        <w:t>4</w:t>
      </w:r>
      <w:r>
        <w:rPr>
          <w:rFonts w:hint="eastAsia" w:cs="宋体"/>
          <w:color w:val="auto"/>
          <w:szCs w:val="24"/>
          <w:highlight w:val="none"/>
          <w:u w:val="single"/>
        </w:rPr>
        <w:t>:00</w:t>
      </w:r>
      <w:r>
        <w:rPr>
          <w:rFonts w:hint="eastAsia" w:cs="宋体"/>
          <w:color w:val="auto"/>
          <w:szCs w:val="24"/>
          <w:highlight w:val="none"/>
        </w:rPr>
        <w:t>，下午</w:t>
      </w:r>
      <w:r>
        <w:rPr>
          <w:rFonts w:hint="eastAsia" w:cs="宋体"/>
          <w:color w:val="auto"/>
          <w:szCs w:val="24"/>
          <w:highlight w:val="none"/>
          <w:u w:val="single"/>
        </w:rPr>
        <w:t>1</w:t>
      </w:r>
      <w:r>
        <w:rPr>
          <w:rFonts w:hint="eastAsia" w:cs="宋体"/>
          <w:color w:val="auto"/>
          <w:szCs w:val="24"/>
          <w:highlight w:val="none"/>
          <w:u w:val="single"/>
          <w:lang w:val="en-US" w:eastAsia="zh-CN"/>
        </w:rPr>
        <w:t>4</w:t>
      </w:r>
      <w:r>
        <w:rPr>
          <w:rFonts w:hint="eastAsia" w:cs="宋体"/>
          <w:color w:val="auto"/>
          <w:szCs w:val="24"/>
          <w:highlight w:val="none"/>
          <w:u w:val="single"/>
        </w:rPr>
        <w:t>:00</w:t>
      </w:r>
      <w:r>
        <w:rPr>
          <w:rFonts w:hint="eastAsia" w:cs="宋体"/>
          <w:color w:val="auto"/>
          <w:szCs w:val="24"/>
          <w:highlight w:val="none"/>
        </w:rPr>
        <w:t>至</w:t>
      </w:r>
      <w:r>
        <w:rPr>
          <w:rFonts w:hint="eastAsia" w:cs="宋体"/>
          <w:color w:val="auto"/>
          <w:szCs w:val="24"/>
          <w:highlight w:val="none"/>
          <w:u w:val="single"/>
        </w:rPr>
        <w:t>23:59</w:t>
      </w:r>
      <w:r>
        <w:rPr>
          <w:rFonts w:hint="eastAsia" w:cs="宋体"/>
          <w:color w:val="auto"/>
          <w:szCs w:val="24"/>
          <w:highlight w:val="none"/>
        </w:rPr>
        <w:t>（北京时间，法定节假日除外）</w:t>
      </w:r>
      <w:r>
        <w:rPr>
          <w:rFonts w:hint="eastAsia" w:ascii="宋体" w:hAnsi="宋体" w:eastAsia="宋体" w:cs="宋体"/>
          <w:i w:val="0"/>
          <w:iCs w:val="0"/>
          <w:color w:val="auto"/>
          <w:sz w:val="24"/>
          <w:szCs w:val="24"/>
          <w:highlight w:val="none"/>
          <w:lang w:eastAsia="zh-CN"/>
        </w:rPr>
        <w:t>。</w:t>
      </w:r>
    </w:p>
    <w:p w14:paraId="3AB8C7D4">
      <w:pPr>
        <w:pStyle w:val="4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2.</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lang w:val="hr-HR"/>
        </w:rPr>
        <w:t>：政采云平台线上（网址：https://www.zcygov.cn/）</w:t>
      </w:r>
      <w:r>
        <w:rPr>
          <w:rFonts w:hint="eastAsia" w:ascii="宋体" w:hAnsi="宋体" w:eastAsia="宋体" w:cs="宋体"/>
          <w:i w:val="0"/>
          <w:iCs w:val="0"/>
          <w:color w:val="auto"/>
          <w:sz w:val="24"/>
          <w:szCs w:val="24"/>
          <w:highlight w:val="none"/>
        </w:rPr>
        <w:t>。</w:t>
      </w:r>
      <w:bookmarkEnd w:id="45"/>
    </w:p>
    <w:p w14:paraId="26C08C6C">
      <w:pPr>
        <w:pStyle w:val="4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3.</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lang w:val="hr-HR"/>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296B7876">
      <w:pPr>
        <w:pStyle w:val="4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en-US"/>
        </w:rPr>
        <w:t>售价：</w:t>
      </w:r>
      <w:r>
        <w:rPr>
          <w:rFonts w:hint="eastAsia" w:ascii="宋体" w:hAnsi="宋体" w:eastAsia="宋体" w:cs="宋体"/>
          <w:i w:val="0"/>
          <w:iCs w:val="0"/>
          <w:color w:val="auto"/>
          <w:sz w:val="24"/>
          <w:szCs w:val="24"/>
          <w:highlight w:val="none"/>
          <w:lang w:val="en-US" w:eastAsia="zh-CN"/>
        </w:rPr>
        <w:t>0元。</w:t>
      </w:r>
    </w:p>
    <w:bookmarkEnd w:id="39"/>
    <w:bookmarkEnd w:id="40"/>
    <w:bookmarkEnd w:id="41"/>
    <w:bookmarkEnd w:id="42"/>
    <w:bookmarkEnd w:id="43"/>
    <w:bookmarkEnd w:id="44"/>
    <w:p w14:paraId="7A9E6EB9">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46" w:name="_Toc140132748"/>
      <w:bookmarkStart w:id="47" w:name="_Toc109899832"/>
      <w:bookmarkStart w:id="48" w:name="_Toc109900251"/>
      <w:bookmarkStart w:id="49" w:name="_Toc163492815"/>
      <w:bookmarkStart w:id="50" w:name="_Toc155185863"/>
      <w:bookmarkStart w:id="51" w:name="_Toc109899413"/>
      <w:bookmarkStart w:id="52" w:name="_Toc4788"/>
      <w:bookmarkStart w:id="53" w:name="_Toc19038"/>
      <w:r>
        <w:rPr>
          <w:rFonts w:hint="eastAsia" w:ascii="宋体" w:hAnsi="宋体" w:eastAsia="宋体" w:cs="宋体"/>
          <w:b/>
          <w:bCs/>
          <w:i w:val="0"/>
          <w:iCs w:val="0"/>
          <w:color w:val="auto"/>
          <w:kern w:val="2"/>
          <w:sz w:val="24"/>
          <w:szCs w:val="24"/>
          <w:highlight w:val="none"/>
          <w:lang w:val="en-US" w:eastAsia="zh-CN" w:bidi="ar-SA"/>
        </w:rPr>
        <w:t>四、</w:t>
      </w:r>
      <w:bookmarkEnd w:id="46"/>
      <w:bookmarkEnd w:id="47"/>
      <w:bookmarkEnd w:id="48"/>
      <w:bookmarkEnd w:id="49"/>
      <w:bookmarkEnd w:id="50"/>
      <w:bookmarkEnd w:id="51"/>
      <w:r>
        <w:rPr>
          <w:rFonts w:hint="eastAsia" w:ascii="宋体" w:hAnsi="宋体" w:eastAsia="宋体" w:cs="宋体"/>
          <w:b/>
          <w:bCs/>
          <w:i w:val="0"/>
          <w:iCs w:val="0"/>
          <w:color w:val="auto"/>
          <w:spacing w:val="-6"/>
          <w:kern w:val="2"/>
          <w:sz w:val="24"/>
          <w:szCs w:val="24"/>
          <w:highlight w:val="none"/>
          <w:lang w:val="hr-HR" w:eastAsia="zh-CN" w:bidi="ar-SA"/>
        </w:rPr>
        <w:t>响应文件提交</w:t>
      </w:r>
      <w:bookmarkEnd w:id="52"/>
      <w:bookmarkEnd w:id="53"/>
    </w:p>
    <w:p w14:paraId="11AF967C">
      <w:pPr>
        <w:pStyle w:val="40"/>
        <w:rPr>
          <w:rFonts w:hint="eastAsia" w:ascii="宋体" w:hAnsi="宋体" w:eastAsia="宋体" w:cs="宋体"/>
          <w:i w:val="0"/>
          <w:iCs w:val="0"/>
          <w:color w:val="auto"/>
          <w:sz w:val="24"/>
          <w:szCs w:val="24"/>
          <w:highlight w:val="none"/>
          <w:lang w:eastAsia="zh-CN"/>
        </w:rPr>
      </w:pPr>
      <w:bookmarkStart w:id="54" w:name="_Hlk130457395"/>
      <w:bookmarkStart w:id="55" w:name="_Toc28359094"/>
      <w:bookmarkStart w:id="56" w:name="_Toc44583633"/>
      <w:bookmarkStart w:id="57" w:name="_Toc35393634"/>
      <w:bookmarkStart w:id="58" w:name="_Toc28359017"/>
      <w:bookmarkStart w:id="59" w:name="_Toc35393803"/>
      <w:r>
        <w:rPr>
          <w:rFonts w:hint="eastAsia" w:ascii="宋体" w:hAnsi="宋体" w:eastAsia="宋体" w:cs="宋体"/>
          <w:i w:val="0"/>
          <w:iCs w:val="0"/>
          <w:color w:val="auto"/>
          <w:sz w:val="24"/>
          <w:szCs w:val="24"/>
          <w:highlight w:val="none"/>
        </w:rPr>
        <w:t>1.截止时间</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lang w:eastAsia="zh-CN"/>
        </w:rPr>
        <w:t>2025年</w:t>
      </w:r>
      <w:r>
        <w:rPr>
          <w:rFonts w:hint="eastAsia" w:cs="宋体"/>
          <w:i w:val="0"/>
          <w:iCs w:val="0"/>
          <w:color w:val="auto"/>
          <w:sz w:val="24"/>
          <w:szCs w:val="24"/>
          <w:highlight w:val="none"/>
          <w:u w:val="single"/>
          <w:lang w:val="en-US" w:eastAsia="zh-CN"/>
        </w:rPr>
        <w:t>7</w:t>
      </w:r>
      <w:r>
        <w:rPr>
          <w:rFonts w:hint="eastAsia" w:ascii="宋体" w:hAnsi="宋体" w:eastAsia="宋体" w:cs="宋体"/>
          <w:i w:val="0"/>
          <w:iCs w:val="0"/>
          <w:color w:val="auto"/>
          <w:sz w:val="24"/>
          <w:szCs w:val="24"/>
          <w:highlight w:val="none"/>
          <w:u w:val="single"/>
          <w:lang w:eastAsia="zh-CN"/>
        </w:rPr>
        <w:t>月</w:t>
      </w:r>
      <w:r>
        <w:rPr>
          <w:rFonts w:hint="eastAsia" w:cs="宋体"/>
          <w:i w:val="0"/>
          <w:iCs w:val="0"/>
          <w:color w:val="auto"/>
          <w:sz w:val="24"/>
          <w:szCs w:val="24"/>
          <w:highlight w:val="none"/>
          <w:u w:val="single"/>
          <w:lang w:val="en-US" w:eastAsia="zh-CN"/>
        </w:rPr>
        <w:t>23</w:t>
      </w:r>
      <w:r>
        <w:rPr>
          <w:rFonts w:hint="eastAsia" w:ascii="宋体" w:hAnsi="宋体" w:eastAsia="宋体" w:cs="宋体"/>
          <w:i w:val="0"/>
          <w:iCs w:val="0"/>
          <w:color w:val="auto"/>
          <w:sz w:val="24"/>
          <w:szCs w:val="24"/>
          <w:highlight w:val="none"/>
          <w:u w:val="single"/>
          <w:lang w:eastAsia="zh-CN"/>
        </w:rPr>
        <w:t>日1</w:t>
      </w:r>
      <w:r>
        <w:rPr>
          <w:rFonts w:hint="eastAsia"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lang w:eastAsia="zh-CN"/>
        </w:rPr>
        <w:t>时</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eastAsia="zh-CN"/>
        </w:rPr>
        <w:t>0分</w:t>
      </w:r>
      <w:r>
        <w:rPr>
          <w:rFonts w:hint="eastAsia" w:ascii="宋体" w:hAnsi="宋体" w:eastAsia="宋体" w:cs="宋体"/>
          <w:i w:val="0"/>
          <w:iCs w:val="0"/>
          <w:color w:val="auto"/>
          <w:sz w:val="24"/>
          <w:szCs w:val="24"/>
          <w:highlight w:val="none"/>
          <w:lang w:eastAsia="zh-CN"/>
        </w:rPr>
        <w:t>（北京时间）。</w:t>
      </w:r>
    </w:p>
    <w:p w14:paraId="75BBECBE">
      <w:pPr>
        <w:pStyle w:val="4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2.地点：请登录政采云投标客户端投标</w:t>
      </w:r>
      <w:r>
        <w:rPr>
          <w:rFonts w:hint="eastAsia" w:ascii="宋体" w:hAnsi="宋体" w:eastAsia="宋体" w:cs="宋体"/>
          <w:i w:val="0"/>
          <w:iCs w:val="0"/>
          <w:color w:val="auto"/>
          <w:sz w:val="24"/>
          <w:szCs w:val="24"/>
          <w:highlight w:val="none"/>
        </w:rPr>
        <w:t>。</w:t>
      </w:r>
    </w:p>
    <w:bookmarkEnd w:id="54"/>
    <w:p w14:paraId="490FF7B0">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0" w:name="_Toc16856"/>
      <w:bookmarkStart w:id="61" w:name="_Toc1781"/>
      <w:bookmarkStart w:id="62" w:name="_Toc140132749"/>
      <w:bookmarkStart w:id="63" w:name="_Toc163492816"/>
      <w:bookmarkStart w:id="64" w:name="_Toc109899414"/>
      <w:bookmarkStart w:id="65" w:name="_Toc109899833"/>
      <w:bookmarkStart w:id="66" w:name="_Toc155185864"/>
      <w:bookmarkStart w:id="67" w:name="_Toc109900252"/>
      <w:r>
        <w:rPr>
          <w:rFonts w:hint="eastAsia" w:ascii="宋体" w:hAnsi="宋体" w:eastAsia="宋体" w:cs="宋体"/>
          <w:b/>
          <w:bCs/>
          <w:i w:val="0"/>
          <w:iCs w:val="0"/>
          <w:color w:val="auto"/>
          <w:kern w:val="2"/>
          <w:sz w:val="24"/>
          <w:szCs w:val="24"/>
          <w:highlight w:val="none"/>
          <w:lang w:val="en-US" w:eastAsia="zh-CN" w:bidi="ar-SA"/>
        </w:rPr>
        <w:t>五、</w:t>
      </w:r>
      <w:r>
        <w:rPr>
          <w:rFonts w:hint="eastAsia" w:ascii="宋体" w:hAnsi="宋体" w:cs="宋体"/>
          <w:b/>
          <w:bCs/>
          <w:i w:val="0"/>
          <w:iCs w:val="0"/>
          <w:color w:val="auto"/>
          <w:kern w:val="2"/>
          <w:sz w:val="24"/>
          <w:szCs w:val="24"/>
          <w:highlight w:val="none"/>
          <w:lang w:val="en-US" w:eastAsia="zh-CN" w:bidi="ar-SA"/>
        </w:rPr>
        <w:t>响应文件</w:t>
      </w:r>
      <w:r>
        <w:rPr>
          <w:rFonts w:hint="eastAsia" w:ascii="宋体" w:hAnsi="宋体" w:eastAsia="宋体" w:cs="宋体"/>
          <w:b/>
          <w:bCs/>
          <w:i w:val="0"/>
          <w:iCs w:val="0"/>
          <w:color w:val="auto"/>
          <w:kern w:val="2"/>
          <w:sz w:val="24"/>
          <w:szCs w:val="24"/>
          <w:highlight w:val="none"/>
          <w:lang w:val="en-US" w:eastAsia="zh-CN" w:bidi="ar-SA"/>
        </w:rPr>
        <w:t>开启</w:t>
      </w:r>
      <w:bookmarkEnd w:id="60"/>
      <w:bookmarkEnd w:id="61"/>
    </w:p>
    <w:p w14:paraId="7B283F65">
      <w:pPr>
        <w:pStyle w:val="4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1.时间：</w:t>
      </w:r>
      <w:r>
        <w:rPr>
          <w:rFonts w:hint="eastAsia" w:ascii="宋体" w:hAnsi="宋体" w:eastAsia="宋体" w:cs="宋体"/>
          <w:i w:val="0"/>
          <w:iCs w:val="0"/>
          <w:color w:val="auto"/>
          <w:sz w:val="24"/>
          <w:szCs w:val="24"/>
          <w:highlight w:val="none"/>
          <w:u w:val="single"/>
          <w:lang w:eastAsia="zh-CN"/>
        </w:rPr>
        <w:t>2025年</w:t>
      </w:r>
      <w:r>
        <w:rPr>
          <w:rFonts w:hint="eastAsia" w:cs="宋体"/>
          <w:i w:val="0"/>
          <w:iCs w:val="0"/>
          <w:color w:val="auto"/>
          <w:sz w:val="24"/>
          <w:szCs w:val="24"/>
          <w:highlight w:val="none"/>
          <w:u w:val="single"/>
          <w:lang w:val="en-US" w:eastAsia="zh-CN"/>
        </w:rPr>
        <w:t>7</w:t>
      </w:r>
      <w:r>
        <w:rPr>
          <w:rFonts w:hint="eastAsia" w:ascii="宋体" w:hAnsi="宋体" w:eastAsia="宋体" w:cs="宋体"/>
          <w:i w:val="0"/>
          <w:iCs w:val="0"/>
          <w:color w:val="auto"/>
          <w:sz w:val="24"/>
          <w:szCs w:val="24"/>
          <w:highlight w:val="none"/>
          <w:u w:val="single"/>
          <w:lang w:eastAsia="zh-CN"/>
        </w:rPr>
        <w:t>月</w:t>
      </w:r>
      <w:r>
        <w:rPr>
          <w:rFonts w:hint="eastAsia" w:cs="宋体"/>
          <w:i w:val="0"/>
          <w:iCs w:val="0"/>
          <w:color w:val="auto"/>
          <w:sz w:val="24"/>
          <w:szCs w:val="24"/>
          <w:highlight w:val="none"/>
          <w:u w:val="single"/>
          <w:lang w:val="en-US" w:eastAsia="zh-CN"/>
        </w:rPr>
        <w:t>23</w:t>
      </w:r>
      <w:r>
        <w:rPr>
          <w:rFonts w:hint="eastAsia" w:ascii="宋体" w:hAnsi="宋体" w:eastAsia="宋体" w:cs="宋体"/>
          <w:i w:val="0"/>
          <w:iCs w:val="0"/>
          <w:color w:val="auto"/>
          <w:sz w:val="24"/>
          <w:szCs w:val="24"/>
          <w:highlight w:val="none"/>
          <w:u w:val="single"/>
          <w:lang w:eastAsia="zh-CN"/>
        </w:rPr>
        <w:t>日1</w:t>
      </w:r>
      <w:r>
        <w:rPr>
          <w:rFonts w:hint="eastAsia"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lang w:eastAsia="zh-CN"/>
        </w:rPr>
        <w:t>时</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eastAsia="zh-CN"/>
        </w:rPr>
        <w:t>0分</w:t>
      </w:r>
      <w:r>
        <w:rPr>
          <w:rFonts w:hint="eastAsia" w:ascii="宋体" w:hAnsi="宋体" w:eastAsia="宋体" w:cs="宋体"/>
          <w:i w:val="0"/>
          <w:iCs w:val="0"/>
          <w:color w:val="auto"/>
          <w:sz w:val="24"/>
          <w:szCs w:val="24"/>
          <w:highlight w:val="none"/>
        </w:rPr>
        <w:t>（北京时间）。</w:t>
      </w:r>
    </w:p>
    <w:p w14:paraId="191B5363">
      <w:pPr>
        <w:pStyle w:val="4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供应商登录政采云平台https</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//www.zcygov.cn/，进入“项目采购-开评标管理-右边选择对应项目点击“进入项目”进入开标大厅</w:t>
      </w:r>
      <w:r>
        <w:rPr>
          <w:rFonts w:hint="eastAsia" w:ascii="宋体" w:hAnsi="宋体" w:eastAsia="宋体" w:cs="宋体"/>
          <w:i w:val="0"/>
          <w:iCs w:val="0"/>
          <w:color w:val="auto"/>
          <w:sz w:val="24"/>
          <w:szCs w:val="24"/>
          <w:highlight w:val="none"/>
        </w:rPr>
        <w:t>。</w:t>
      </w:r>
    </w:p>
    <w:p w14:paraId="74A73B2C">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68" w:name="_Toc2594"/>
      <w:bookmarkStart w:id="69" w:name="_Toc582"/>
      <w:r>
        <w:rPr>
          <w:rFonts w:hint="eastAsia" w:ascii="宋体" w:hAnsi="宋体" w:eastAsia="宋体" w:cs="宋体"/>
          <w:b/>
          <w:bCs/>
          <w:i w:val="0"/>
          <w:iCs w:val="0"/>
          <w:color w:val="auto"/>
          <w:kern w:val="2"/>
          <w:sz w:val="24"/>
          <w:szCs w:val="24"/>
          <w:highlight w:val="none"/>
          <w:lang w:val="en-US" w:eastAsia="zh-CN" w:bidi="ar-SA"/>
        </w:rPr>
        <w:t>六、</w:t>
      </w:r>
      <w:r>
        <w:rPr>
          <w:rFonts w:hint="eastAsia" w:ascii="宋体" w:hAnsi="宋体" w:eastAsia="宋体" w:cs="宋体"/>
          <w:b/>
          <w:bCs/>
          <w:i w:val="0"/>
          <w:iCs w:val="0"/>
          <w:color w:val="auto"/>
          <w:kern w:val="2"/>
          <w:sz w:val="24"/>
          <w:szCs w:val="24"/>
          <w:highlight w:val="none"/>
          <w:lang w:val="hr-HR" w:eastAsia="zh-CN" w:bidi="ar-SA"/>
        </w:rPr>
        <w:t>公告期限</w:t>
      </w:r>
      <w:bookmarkEnd w:id="55"/>
      <w:bookmarkEnd w:id="56"/>
      <w:bookmarkEnd w:id="57"/>
      <w:bookmarkEnd w:id="58"/>
      <w:bookmarkEnd w:id="59"/>
      <w:bookmarkEnd w:id="62"/>
      <w:bookmarkEnd w:id="63"/>
      <w:bookmarkEnd w:id="64"/>
      <w:bookmarkEnd w:id="65"/>
      <w:bookmarkEnd w:id="66"/>
      <w:bookmarkEnd w:id="67"/>
      <w:bookmarkEnd w:id="68"/>
      <w:bookmarkEnd w:id="69"/>
    </w:p>
    <w:p w14:paraId="5FBACFA2">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自本公告发布之日起3个工作日。</w:t>
      </w:r>
      <w:bookmarkStart w:id="70" w:name="_Toc35393804"/>
      <w:bookmarkStart w:id="71" w:name="_Toc109900253"/>
      <w:bookmarkStart w:id="72" w:name="_Toc109899834"/>
      <w:bookmarkStart w:id="73" w:name="_Toc163492817"/>
      <w:bookmarkStart w:id="74" w:name="_Toc140132750"/>
      <w:bookmarkStart w:id="75" w:name="_Toc155185865"/>
      <w:bookmarkStart w:id="76" w:name="_Toc35393635"/>
      <w:bookmarkStart w:id="77" w:name="_Toc109899415"/>
      <w:bookmarkStart w:id="78" w:name="_Toc44583634"/>
    </w:p>
    <w:p w14:paraId="6D737EA0">
      <w:pPr>
        <w:pStyle w:val="3"/>
        <w:bidi w:val="0"/>
        <w:spacing w:before="0" w:after="0" w:line="240" w:lineRule="auto"/>
        <w:rPr>
          <w:rFonts w:hint="eastAsia" w:ascii="宋体" w:hAnsi="宋体" w:eastAsia="宋体" w:cs="宋体"/>
          <w:b w:val="0"/>
          <w:bCs w:val="0"/>
          <w:i w:val="0"/>
          <w:iCs w:val="0"/>
          <w:color w:val="auto"/>
          <w:kern w:val="2"/>
          <w:sz w:val="24"/>
          <w:szCs w:val="24"/>
          <w:highlight w:val="none"/>
          <w:lang w:val="hr-HR" w:eastAsia="zh-CN" w:bidi="ar-SA"/>
        </w:rPr>
      </w:pPr>
      <w:bookmarkStart w:id="79" w:name="_Toc2075"/>
      <w:bookmarkStart w:id="80" w:name="_Toc5695"/>
      <w:r>
        <w:rPr>
          <w:rFonts w:hint="eastAsia" w:ascii="宋体" w:hAnsi="宋体" w:eastAsia="宋体" w:cs="宋体"/>
          <w:b/>
          <w:bCs/>
          <w:i w:val="0"/>
          <w:iCs w:val="0"/>
          <w:color w:val="auto"/>
          <w:kern w:val="2"/>
          <w:sz w:val="24"/>
          <w:szCs w:val="24"/>
          <w:highlight w:val="none"/>
          <w:lang w:val="hr-HR" w:eastAsia="zh-CN" w:bidi="ar-SA"/>
        </w:rPr>
        <w:t>七、其他补充事宜</w:t>
      </w:r>
      <w:bookmarkEnd w:id="70"/>
      <w:bookmarkEnd w:id="71"/>
      <w:bookmarkEnd w:id="72"/>
      <w:bookmarkEnd w:id="73"/>
      <w:bookmarkEnd w:id="74"/>
      <w:bookmarkEnd w:id="75"/>
      <w:bookmarkEnd w:id="76"/>
      <w:bookmarkEnd w:id="77"/>
      <w:bookmarkEnd w:id="78"/>
      <w:bookmarkEnd w:id="79"/>
      <w:bookmarkEnd w:id="80"/>
      <w:r>
        <w:rPr>
          <w:rFonts w:hint="eastAsia" w:ascii="宋体" w:hAnsi="宋体" w:cs="宋体"/>
          <w:b w:val="0"/>
          <w:bCs w:val="0"/>
          <w:i w:val="0"/>
          <w:iCs w:val="0"/>
          <w:color w:val="auto"/>
          <w:kern w:val="2"/>
          <w:sz w:val="24"/>
          <w:szCs w:val="24"/>
          <w:highlight w:val="none"/>
          <w:lang w:val="en-US" w:eastAsia="zh-CN" w:bidi="ar-SA"/>
        </w:rPr>
        <w:t xml:space="preserve"> </w:t>
      </w:r>
    </w:p>
    <w:p w14:paraId="44BBE191">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1、本项目实行网上投标，采用电子投标文件。</w:t>
      </w:r>
    </w:p>
    <w:p w14:paraId="7425ED1C">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3ECE8731">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3、供应商将政采云电子交易客户端下载、安装完成后，可通过账号密码或CA登录客户端进行投标文件的制作。在使用政采云投标客户端时，建议使用WIN7及以上操作系统。</w:t>
      </w:r>
    </w:p>
    <w:p w14:paraId="5AA5B76D">
      <w:pPr>
        <w:widowControl/>
        <w:spacing w:line="360" w:lineRule="auto"/>
        <w:ind w:firstLine="482" w:firstLineChars="200"/>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4、其他事项：</w:t>
      </w:r>
    </w:p>
    <w:p w14:paraId="0F360D7D">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①</w:t>
      </w:r>
      <w:r>
        <w:rPr>
          <w:rFonts w:hint="eastAsia" w:ascii="宋体" w:hAnsi="宋体" w:eastAsia="宋体" w:cs="宋体"/>
          <w:color w:val="auto"/>
          <w:kern w:val="0"/>
          <w:sz w:val="24"/>
          <w:szCs w:val="24"/>
          <w:highlight w:val="none"/>
          <w:lang w:eastAsia="zh-CN"/>
        </w:rPr>
        <w:t>如需咨询，请联系新疆CA服务热线 0991-2819290；</w:t>
      </w:r>
    </w:p>
    <w:p w14:paraId="116D7EF5">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②</w:t>
      </w:r>
      <w:r>
        <w:rPr>
          <w:rFonts w:hint="eastAsia" w:ascii="宋体" w:hAnsi="宋体" w:eastAsia="宋体" w:cs="宋体"/>
          <w:color w:val="auto"/>
          <w:kern w:val="0"/>
          <w:sz w:val="24"/>
          <w:szCs w:val="24"/>
          <w:highlight w:val="none"/>
        </w:rPr>
        <w:t>本项目公告期限为</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个工作日，供应商认为采购文件使自己的权益受到损害的，可以自收到采购文件之日（发售截止日之后收到采购文件的，以发售截止日为准）或者采购文件公告期限届满之日起7个工作日内，以书面形式向采购人和采购代理机构提出质疑。分散采购限额标准以上的项目，质疑供应商对采购人、采购代理机构的答复不满意或者采购人、采购代理机构未在规定的时间内作出答复的，可以在答复期满后十五个工作日内向同级政府采购监督管理部门投诉。</w:t>
      </w:r>
    </w:p>
    <w:p w14:paraId="4F2AB33A">
      <w:pPr>
        <w:widowControl/>
        <w:spacing w:line="360" w:lineRule="auto"/>
        <w:ind w:firstLine="480" w:firstLineChars="200"/>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③供应商须注意事项：</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本项目实行电子招投标，供应商须登录政采云平台https://www.zcygov.cn/申请获取采购文件，并通过政采云电子投标客户端制作响应文件，同时自行承担与投标有关的一切费用</w:t>
      </w:r>
      <w:r>
        <w:rPr>
          <w:rFonts w:hint="eastAsia" w:cs="宋体"/>
          <w:color w:val="auto"/>
          <w:kern w:val="0"/>
          <w:sz w:val="24"/>
          <w:szCs w:val="24"/>
          <w:highlight w:val="none"/>
          <w:lang w:val="en-US" w:eastAsia="zh-CN"/>
        </w:rPr>
        <w:t>；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F21DBA7">
      <w:pPr>
        <w:pStyle w:val="6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特别提示：</w:t>
      </w:r>
    </w:p>
    <w:p w14:paraId="67739AD5">
      <w:pPr>
        <w:pStyle w:val="6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1、采购限额标准以上，200万元以下的货物和服务采购项目、400万元以下的工程采购项目，适宜由中小企业提供的，采购人应当专门面向中小企业采购。</w:t>
      </w:r>
    </w:p>
    <w:p w14:paraId="76428DB3">
      <w:pPr>
        <w:pStyle w:val="6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2、超过200万元的货物和服务采购项目，预留该部分采购项目预算总额的30%以上专门面向中小企业采购，其中预留给小微企业的比例不低于60%。</w:t>
      </w:r>
    </w:p>
    <w:p w14:paraId="1F8C12DC">
      <w:pPr>
        <w:pStyle w:val="6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3、超过400万元的工程采购项目中适宜由中小企业提供的，预留该部分采购项目预算总额的40%以上专门面向中小企业采购，其中预留给小微企业的比例不低于60%。</w:t>
      </w:r>
    </w:p>
    <w:p w14:paraId="04913E46">
      <w:pPr>
        <w:pStyle w:val="6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57951F7">
      <w:pPr>
        <w:pStyle w:val="69"/>
        <w:rPr>
          <w:rFonts w:hint="eastAsia"/>
          <w:color w:val="auto"/>
          <w:highlight w:val="none"/>
          <w:lang w:eastAsia="zh-CN"/>
        </w:rPr>
      </w:pPr>
      <w:r>
        <w:rPr>
          <w:rFonts w:hint="eastAsia" w:ascii="宋体" w:hAnsi="宋体" w:eastAsia="宋体" w:cs="宋体"/>
          <w:bCs/>
          <w:color w:val="auto"/>
          <w:kern w:val="0"/>
          <w:sz w:val="24"/>
          <w:szCs w:val="24"/>
          <w:highlight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B5DE100">
      <w:pPr>
        <w:pStyle w:val="3"/>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eastAsia="zh-CN"/>
        </w:rPr>
      </w:pPr>
      <w:bookmarkStart w:id="81" w:name="_Toc11825"/>
      <w:bookmarkStart w:id="82" w:name="_Toc20650"/>
      <w:r>
        <w:rPr>
          <w:rFonts w:hint="eastAsia" w:ascii="宋体" w:hAnsi="宋体" w:eastAsia="宋体" w:cs="宋体"/>
          <w:b/>
          <w:bCs/>
          <w:i w:val="0"/>
          <w:iCs w:val="0"/>
          <w:color w:val="auto"/>
          <w:kern w:val="2"/>
          <w:sz w:val="24"/>
          <w:szCs w:val="24"/>
          <w:highlight w:val="none"/>
          <w:lang w:val="en-US" w:eastAsia="zh-CN" w:bidi="ar-SA"/>
        </w:rPr>
        <w:t>八、</w:t>
      </w:r>
      <w:r>
        <w:rPr>
          <w:rFonts w:hint="eastAsia" w:ascii="宋体" w:hAnsi="宋体" w:eastAsia="宋体" w:cs="宋体"/>
          <w:b/>
          <w:bCs/>
          <w:i w:val="0"/>
          <w:iCs w:val="0"/>
          <w:color w:val="auto"/>
          <w:kern w:val="2"/>
          <w:sz w:val="24"/>
          <w:szCs w:val="24"/>
          <w:highlight w:val="none"/>
          <w:lang w:val="hr-HR" w:eastAsia="zh-CN" w:bidi="ar-SA"/>
        </w:rPr>
        <w:t>凡对本次采购提出询问，请按以下方式联系</w:t>
      </w:r>
      <w:bookmarkEnd w:id="81"/>
      <w:bookmarkEnd w:id="82"/>
    </w:p>
    <w:p w14:paraId="09DFEF02">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1.采购人信息</w:t>
      </w:r>
    </w:p>
    <w:p w14:paraId="4FF3F410">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名 称：</w:t>
      </w:r>
      <w:r>
        <w:rPr>
          <w:rFonts w:hint="eastAsia" w:cs="宋体"/>
          <w:bCs/>
          <w:color w:val="auto"/>
          <w:kern w:val="0"/>
          <w:szCs w:val="24"/>
          <w:highlight w:val="none"/>
          <w:lang w:eastAsia="zh-CN"/>
        </w:rPr>
        <w:t>新疆医科大学第一附属医院</w:t>
      </w:r>
    </w:p>
    <w:p w14:paraId="6A908854">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地 址：</w:t>
      </w:r>
      <w:r>
        <w:rPr>
          <w:rFonts w:hint="eastAsia" w:cs="宋体"/>
          <w:bCs/>
          <w:color w:val="auto"/>
          <w:kern w:val="0"/>
          <w:szCs w:val="24"/>
          <w:highlight w:val="none"/>
          <w:lang w:eastAsia="zh-CN"/>
        </w:rPr>
        <w:t>乌鲁木齐市新医路393号</w:t>
      </w:r>
    </w:p>
    <w:p w14:paraId="0BA5D337">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联系方式：</w:t>
      </w:r>
      <w:r>
        <w:rPr>
          <w:rFonts w:hint="eastAsia" w:cs="宋体"/>
          <w:bCs/>
          <w:color w:val="auto"/>
          <w:kern w:val="0"/>
          <w:szCs w:val="24"/>
          <w:highlight w:val="none"/>
          <w:lang w:eastAsia="zh-CN"/>
        </w:rPr>
        <w:t>0991-4362391</w:t>
      </w:r>
    </w:p>
    <w:p w14:paraId="14CCC2D3">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2.采购代理机构信息</w:t>
      </w:r>
    </w:p>
    <w:p w14:paraId="05AE1052">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名 称：中招国际招标有限公司</w:t>
      </w:r>
    </w:p>
    <w:p w14:paraId="4C454747">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地 址：新疆乌鲁木齐市486号南湖明珠二期十四栋商业写字楼8楼</w:t>
      </w:r>
    </w:p>
    <w:p w14:paraId="55A88025">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联系方式：</w:t>
      </w:r>
      <w:r>
        <w:rPr>
          <w:rFonts w:hint="eastAsia" w:ascii="宋体" w:hAnsi="宋体" w:eastAsia="宋体" w:cs="宋体"/>
          <w:bCs/>
          <w:color w:val="auto"/>
          <w:kern w:val="0"/>
          <w:szCs w:val="24"/>
          <w:highlight w:val="none"/>
        </w:rPr>
        <w:t>1809925997</w:t>
      </w:r>
      <w:r>
        <w:rPr>
          <w:rFonts w:hint="eastAsia" w:ascii="宋体" w:hAnsi="宋体" w:eastAsia="宋体" w:cs="宋体"/>
          <w:bCs/>
          <w:color w:val="auto"/>
          <w:kern w:val="0"/>
          <w:szCs w:val="24"/>
          <w:highlight w:val="none"/>
          <w:lang w:eastAsia="zh-CN"/>
        </w:rPr>
        <w:t>、</w:t>
      </w:r>
      <w:r>
        <w:rPr>
          <w:rFonts w:hint="eastAsia" w:ascii="宋体" w:hAnsi="宋体" w:eastAsia="宋体" w:cs="宋体"/>
          <w:bCs/>
          <w:color w:val="auto"/>
          <w:kern w:val="0"/>
          <w:szCs w:val="24"/>
          <w:highlight w:val="none"/>
        </w:rPr>
        <w:t>17716905655</w:t>
      </w:r>
    </w:p>
    <w:p w14:paraId="1779FC08">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3.项目联系方式</w:t>
      </w:r>
    </w:p>
    <w:p w14:paraId="6F9E34A4">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项目联系人：徐中凤、罗燕、杨骐骏、陈海云、</w:t>
      </w:r>
      <w:r>
        <w:rPr>
          <w:rFonts w:hint="eastAsia" w:cs="宋体"/>
          <w:bCs/>
          <w:color w:val="auto"/>
          <w:kern w:val="0"/>
          <w:szCs w:val="24"/>
          <w:highlight w:val="none"/>
          <w:lang w:eastAsia="zh-CN"/>
        </w:rPr>
        <w:t>程建军</w:t>
      </w:r>
    </w:p>
    <w:p w14:paraId="5AB93340">
      <w:pPr>
        <w:widowControl/>
        <w:shd w:val="clear" w:color="auto"/>
        <w:wordWrap w:val="0"/>
        <w:spacing w:line="480" w:lineRule="exact"/>
        <w:ind w:firstLine="480" w:firstLineChars="200"/>
        <w:rPr>
          <w:rFonts w:hint="eastAsia" w:ascii="宋体" w:hAnsi="宋体" w:eastAsia="宋体" w:cs="宋体"/>
          <w:bCs/>
          <w:color w:val="auto"/>
          <w:kern w:val="0"/>
          <w:szCs w:val="24"/>
          <w:highlight w:val="none"/>
          <w:lang w:eastAsia="zh-CN"/>
        </w:rPr>
      </w:pPr>
      <w:r>
        <w:rPr>
          <w:rFonts w:hint="eastAsia" w:ascii="宋体" w:hAnsi="宋体" w:eastAsia="宋体" w:cs="宋体"/>
          <w:bCs/>
          <w:color w:val="auto"/>
          <w:kern w:val="0"/>
          <w:szCs w:val="24"/>
          <w:highlight w:val="none"/>
        </w:rPr>
        <w:t>电 话：1809925997</w:t>
      </w:r>
      <w:r>
        <w:rPr>
          <w:rFonts w:hint="eastAsia" w:ascii="宋体" w:hAnsi="宋体" w:eastAsia="宋体" w:cs="宋体"/>
          <w:bCs/>
          <w:color w:val="auto"/>
          <w:kern w:val="0"/>
          <w:szCs w:val="24"/>
          <w:highlight w:val="none"/>
          <w:lang w:eastAsia="zh-CN"/>
        </w:rPr>
        <w:t>、</w:t>
      </w:r>
      <w:r>
        <w:rPr>
          <w:rFonts w:hint="eastAsia" w:ascii="宋体" w:hAnsi="宋体" w:eastAsia="宋体" w:cs="宋体"/>
          <w:bCs/>
          <w:color w:val="auto"/>
          <w:kern w:val="0"/>
          <w:szCs w:val="24"/>
          <w:highlight w:val="none"/>
        </w:rPr>
        <w:t>17716905655</w:t>
      </w:r>
    </w:p>
    <w:p w14:paraId="7358A5B7">
      <w:pPr>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br w:type="page"/>
      </w:r>
    </w:p>
    <w:p w14:paraId="1E2C9AB2">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83" w:name="_Toc26127"/>
      <w:r>
        <w:rPr>
          <w:rFonts w:hint="eastAsia" w:ascii="宋体" w:hAnsi="宋体" w:eastAsia="宋体" w:cs="宋体"/>
          <w:b/>
          <w:bCs/>
          <w:color w:val="auto"/>
          <w:kern w:val="44"/>
          <w:sz w:val="36"/>
          <w:szCs w:val="36"/>
          <w:highlight w:val="none"/>
          <w:lang w:val="en-US" w:eastAsia="zh-CN" w:bidi="ar-SA"/>
        </w:rPr>
        <w:t>第二章 供应商须知</w:t>
      </w:r>
      <w:bookmarkEnd w:id="83"/>
    </w:p>
    <w:p w14:paraId="224924B5">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84" w:name="_Toc29984"/>
      <w:r>
        <w:rPr>
          <w:rFonts w:hint="eastAsia" w:eastAsia="宋体" w:asciiTheme="majorHAnsi" w:hAnsiTheme="majorHAnsi" w:cstheme="majorBidi"/>
          <w:b/>
          <w:bCs/>
          <w:color w:val="auto"/>
          <w:kern w:val="2"/>
          <w:sz w:val="28"/>
          <w:szCs w:val="28"/>
          <w:highlight w:val="none"/>
          <w:lang w:val="en-US" w:eastAsia="zh-CN" w:bidi="ar-SA"/>
        </w:rPr>
        <w:t>一、供应商须知前附表</w:t>
      </w:r>
      <w:bookmarkEnd w:id="84"/>
    </w:p>
    <w:p w14:paraId="016068EF">
      <w:pPr>
        <w:pStyle w:val="40"/>
        <w:ind w:firstLine="480"/>
        <w:rPr>
          <w:i w:val="0"/>
          <w:iCs w:val="0"/>
          <w:color w:val="auto"/>
          <w:highlight w:val="none"/>
        </w:rPr>
      </w:pPr>
      <w:r>
        <w:rPr>
          <w:rFonts w:hint="eastAsia"/>
          <w:i w:val="0"/>
          <w:iCs w:val="0"/>
          <w:color w:val="auto"/>
          <w:highlight w:val="none"/>
        </w:rPr>
        <w:t>磋商供应商应仔细阅读本磋商文件的第二章“供应商须知”，下面所列资料是对“供应商须知”的具体补充和说明。如有矛盾，应以本表为准。</w:t>
      </w:r>
      <w:r>
        <w:rPr>
          <w:rFonts w:hint="eastAsia"/>
          <w:i w:val="0"/>
          <w:iCs w:val="0"/>
          <w:color w:val="auto"/>
          <w:highlight w:val="none"/>
          <w:lang w:val="en-US" w:eastAsia="zh-CN"/>
        </w:rPr>
        <w:t>标记“</w:t>
      </w:r>
      <w:r>
        <w:rPr>
          <w:rFonts w:hint="eastAsia" w:ascii="宋体" w:hAnsi="宋体" w:eastAsia="宋体"/>
          <w:i w:val="0"/>
          <w:iCs w:val="0"/>
          <w:color w:val="auto"/>
          <w:highlight w:val="none"/>
          <w:lang w:val="en-US" w:eastAsia="zh-CN"/>
        </w:rPr>
        <w:t>☑”的选项意为适用于本项目，标记“□”的选项意为不适用于本项目。</w:t>
      </w:r>
    </w:p>
    <w:tbl>
      <w:tblPr>
        <w:tblStyle w:val="33"/>
        <w:tblW w:w="9354" w:type="dxa"/>
        <w:tblInd w:w="-45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21"/>
        <w:gridCol w:w="6663"/>
      </w:tblGrid>
      <w:tr w14:paraId="5EEA9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5"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EA5529">
            <w:pPr>
              <w:pStyle w:val="50"/>
              <w:spacing w:line="360" w:lineRule="auto"/>
              <w:jc w:val="center"/>
              <w:rPr>
                <w:rFonts w:hint="eastAsia" w:ascii="宋体" w:hAnsi="宋体" w:eastAsia="宋体" w:cs="宋体"/>
                <w:b/>
                <w:bCs/>
                <w:i w:val="0"/>
                <w:iCs w:val="0"/>
                <w:color w:val="auto"/>
                <w:sz w:val="24"/>
                <w:szCs w:val="24"/>
                <w:highlight w:val="none"/>
              </w:rPr>
            </w:pPr>
            <w:bookmarkStart w:id="85" w:name="_Hlk161703381"/>
            <w:r>
              <w:rPr>
                <w:rFonts w:hint="eastAsia" w:ascii="宋体" w:hAnsi="宋体" w:eastAsia="宋体" w:cs="宋体"/>
                <w:b/>
                <w:bCs/>
                <w:i w:val="0"/>
                <w:iCs w:val="0"/>
                <w:color w:val="auto"/>
                <w:sz w:val="24"/>
                <w:szCs w:val="24"/>
                <w:highlight w:val="none"/>
              </w:rPr>
              <w:t>条款号</w:t>
            </w:r>
          </w:p>
        </w:tc>
        <w:tc>
          <w:tcPr>
            <w:tcW w:w="17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0503F1">
            <w:pPr>
              <w:pStyle w:val="50"/>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条款名称</w:t>
            </w:r>
          </w:p>
        </w:tc>
        <w:tc>
          <w:tcPr>
            <w:tcW w:w="666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777820C">
            <w:pPr>
              <w:pStyle w:val="50"/>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内  容</w:t>
            </w:r>
          </w:p>
        </w:tc>
      </w:tr>
      <w:tr w14:paraId="70547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6" w:hRule="atLeast"/>
        </w:trPr>
        <w:tc>
          <w:tcPr>
            <w:tcW w:w="970" w:type="dxa"/>
            <w:tcBorders>
              <w:top w:val="single" w:color="auto" w:sz="2" w:space="0"/>
              <w:left w:val="single" w:color="auto" w:sz="2" w:space="0"/>
              <w:bottom w:val="single" w:color="auto" w:sz="2" w:space="0"/>
              <w:right w:val="single" w:color="auto" w:sz="2" w:space="0"/>
            </w:tcBorders>
            <w:vAlign w:val="center"/>
          </w:tcPr>
          <w:p w14:paraId="2AEE4073">
            <w:pPr>
              <w:pStyle w:val="50"/>
              <w:spacing w:line="360" w:lineRule="auto"/>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9</w:t>
            </w:r>
            <w:r>
              <w:rPr>
                <w:rFonts w:hint="eastAsia" w:ascii="宋体" w:hAnsi="宋体" w:eastAsia="宋体" w:cs="宋体"/>
                <w:i w:val="0"/>
                <w:iCs w:val="0"/>
                <w:color w:val="auto"/>
                <w:sz w:val="24"/>
                <w:szCs w:val="24"/>
                <w:highlight w:val="none"/>
                <w:lang w:val="en-US" w:eastAsia="zh-CN"/>
              </w:rPr>
              <w:t>.1</w:t>
            </w:r>
          </w:p>
        </w:tc>
        <w:tc>
          <w:tcPr>
            <w:tcW w:w="1721" w:type="dxa"/>
            <w:tcBorders>
              <w:top w:val="single" w:color="auto" w:sz="2" w:space="0"/>
              <w:left w:val="single" w:color="auto" w:sz="2" w:space="0"/>
              <w:bottom w:val="single" w:color="auto" w:sz="2" w:space="0"/>
              <w:right w:val="single" w:color="auto" w:sz="2" w:space="0"/>
            </w:tcBorders>
            <w:vAlign w:val="center"/>
          </w:tcPr>
          <w:p w14:paraId="71CF8DC6">
            <w:pPr>
              <w:pStyle w:val="50"/>
              <w:spacing w:line="360" w:lineRule="auto"/>
              <w:rPr>
                <w:rFonts w:hint="eastAsia" w:ascii="宋体" w:hAnsi="宋体" w:eastAsia="宋体" w:cs="宋体"/>
                <w:i w:val="0"/>
                <w:iCs w:val="0"/>
                <w:color w:val="auto"/>
                <w:sz w:val="24"/>
                <w:szCs w:val="24"/>
                <w:highlight w:val="none"/>
              </w:rPr>
            </w:pPr>
            <w:bookmarkStart w:id="86" w:name="_Hlk143529175"/>
            <w:r>
              <w:rPr>
                <w:rFonts w:hint="eastAsia" w:ascii="宋体" w:hAnsi="宋体" w:eastAsia="宋体" w:cs="宋体"/>
                <w:i w:val="0"/>
                <w:iCs w:val="0"/>
                <w:color w:val="auto"/>
                <w:sz w:val="24"/>
                <w:szCs w:val="24"/>
                <w:highlight w:val="none"/>
              </w:rPr>
              <w:t>现场考察</w:t>
            </w:r>
            <w:bookmarkEnd w:id="86"/>
          </w:p>
        </w:tc>
        <w:tc>
          <w:tcPr>
            <w:tcW w:w="6663" w:type="dxa"/>
            <w:tcBorders>
              <w:top w:val="single" w:color="auto" w:sz="2" w:space="0"/>
              <w:left w:val="single" w:color="auto" w:sz="2" w:space="0"/>
              <w:bottom w:val="single" w:color="auto" w:sz="2" w:space="0"/>
              <w:right w:val="single" w:color="auto" w:sz="2" w:space="0"/>
            </w:tcBorders>
            <w:vAlign w:val="center"/>
          </w:tcPr>
          <w:p w14:paraId="5E2B3EE4">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2238EF6A">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047A7004">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520FC15">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708D8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10DFFA9D">
            <w:pPr>
              <w:pStyle w:val="50"/>
              <w:spacing w:line="360" w:lineRule="auto"/>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9.5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4B699229">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2F17AFF8">
            <w:pPr>
              <w:pStyle w:val="50"/>
              <w:spacing w:line="360" w:lineRule="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4A4C4E96">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193F38F2">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61D1F46">
            <w:pPr>
              <w:pStyle w:val="50"/>
              <w:spacing w:line="360" w:lineRule="auto"/>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0FF5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28" w:hRule="atLeast"/>
        </w:trPr>
        <w:tc>
          <w:tcPr>
            <w:tcW w:w="970" w:type="dxa"/>
            <w:tcBorders>
              <w:top w:val="single" w:color="auto" w:sz="2" w:space="0"/>
              <w:left w:val="single" w:color="auto" w:sz="2" w:space="0"/>
              <w:bottom w:val="single" w:color="auto" w:sz="2" w:space="0"/>
              <w:right w:val="single" w:color="auto" w:sz="2" w:space="0"/>
            </w:tcBorders>
            <w:vAlign w:val="center"/>
          </w:tcPr>
          <w:p w14:paraId="6CBF1A30">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4A7BE250">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询问</w:t>
            </w:r>
          </w:p>
        </w:tc>
        <w:tc>
          <w:tcPr>
            <w:tcW w:w="6663" w:type="dxa"/>
            <w:tcBorders>
              <w:top w:val="single" w:color="auto" w:sz="2" w:space="0"/>
              <w:left w:val="single" w:color="auto" w:sz="2" w:space="0"/>
              <w:bottom w:val="single" w:color="auto" w:sz="2" w:space="0"/>
              <w:right w:val="single" w:color="auto" w:sz="2" w:space="0"/>
            </w:tcBorders>
            <w:vAlign w:val="center"/>
          </w:tcPr>
          <w:p w14:paraId="35CDAC39">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p>
          <w:p w14:paraId="7419497D">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在供应商客户端中按照格式填写询问函，并在生成询问函后加盖电子印章提交</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其他询问方式：</w:t>
            </w:r>
            <w:r>
              <w:rPr>
                <w:rFonts w:hint="eastAsia" w:ascii="宋体" w:hAnsi="宋体" w:eastAsia="宋体" w:cs="宋体"/>
                <w:i w:val="0"/>
                <w:iCs w:val="0"/>
                <w:color w:val="auto"/>
                <w:sz w:val="24"/>
                <w:szCs w:val="24"/>
                <w:highlight w:val="none"/>
                <w:u w:val="single"/>
              </w:rPr>
              <w:t>电话咨询</w:t>
            </w:r>
            <w:r>
              <w:rPr>
                <w:rFonts w:hint="eastAsia" w:ascii="宋体" w:hAnsi="宋体" w:eastAsia="宋体" w:cs="宋体"/>
                <w:i w:val="0"/>
                <w:iCs w:val="0"/>
                <w:color w:val="auto"/>
                <w:sz w:val="24"/>
                <w:szCs w:val="24"/>
                <w:highlight w:val="none"/>
              </w:rPr>
              <w:t>。</w:t>
            </w:r>
          </w:p>
          <w:p w14:paraId="631C46F9">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571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tcBorders>
              <w:top w:val="single" w:color="auto" w:sz="2" w:space="0"/>
              <w:left w:val="single" w:color="auto" w:sz="2" w:space="0"/>
              <w:bottom w:val="single" w:color="auto" w:sz="2" w:space="0"/>
              <w:right w:val="single" w:color="auto" w:sz="2" w:space="0"/>
            </w:tcBorders>
            <w:vAlign w:val="center"/>
          </w:tcPr>
          <w:p w14:paraId="697CBDA8">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56E4A3E9">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响应文件有效期</w:t>
            </w:r>
          </w:p>
        </w:tc>
        <w:tc>
          <w:tcPr>
            <w:tcW w:w="6663" w:type="dxa"/>
            <w:tcBorders>
              <w:top w:val="single" w:color="auto" w:sz="2" w:space="0"/>
              <w:left w:val="single" w:color="auto" w:sz="2" w:space="0"/>
              <w:bottom w:val="single" w:color="auto" w:sz="2" w:space="0"/>
              <w:right w:val="single" w:color="auto" w:sz="2" w:space="0"/>
            </w:tcBorders>
            <w:vAlign w:val="center"/>
          </w:tcPr>
          <w:p w14:paraId="7A8404D2">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49C77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30" w:hRule="atLeast"/>
        </w:trPr>
        <w:tc>
          <w:tcPr>
            <w:tcW w:w="970" w:type="dxa"/>
            <w:tcBorders>
              <w:top w:val="single" w:color="auto" w:sz="2" w:space="0"/>
              <w:left w:val="single" w:color="auto" w:sz="2" w:space="0"/>
              <w:bottom w:val="single" w:color="auto" w:sz="2" w:space="0"/>
              <w:right w:val="single" w:color="auto" w:sz="2" w:space="0"/>
            </w:tcBorders>
            <w:vAlign w:val="center"/>
          </w:tcPr>
          <w:p w14:paraId="26C48057">
            <w:pPr>
              <w:pStyle w:val="50"/>
              <w:spacing w:line="360" w:lineRule="auto"/>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17.1</w:t>
            </w:r>
          </w:p>
        </w:tc>
        <w:tc>
          <w:tcPr>
            <w:tcW w:w="1721" w:type="dxa"/>
            <w:tcBorders>
              <w:top w:val="single" w:color="auto" w:sz="2" w:space="0"/>
              <w:left w:val="single" w:color="auto" w:sz="2" w:space="0"/>
              <w:bottom w:val="single" w:color="auto" w:sz="2" w:space="0"/>
              <w:right w:val="single" w:color="auto" w:sz="2" w:space="0"/>
            </w:tcBorders>
            <w:vAlign w:val="center"/>
          </w:tcPr>
          <w:p w14:paraId="60D2F551">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磋商保证金</w:t>
            </w:r>
          </w:p>
        </w:tc>
        <w:tc>
          <w:tcPr>
            <w:tcW w:w="6663" w:type="dxa"/>
            <w:tcBorders>
              <w:top w:val="single" w:color="auto" w:sz="2" w:space="0"/>
              <w:left w:val="single" w:color="auto" w:sz="2" w:space="0"/>
              <w:bottom w:val="single" w:color="auto" w:sz="2" w:space="0"/>
              <w:right w:val="single" w:color="auto" w:sz="2" w:space="0"/>
            </w:tcBorders>
            <w:vAlign w:val="center"/>
          </w:tcPr>
          <w:p w14:paraId="6C54EE34">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3E23E205">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27327A97">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预算金额</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lang w:eastAsia="zh-CN"/>
              </w:rPr>
              <w:t>。</w:t>
            </w:r>
          </w:p>
          <w:p w14:paraId="59C4595E">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w:t>
            </w:r>
            <w:r>
              <w:rPr>
                <w:rFonts w:hint="eastAsia" w:ascii="宋体" w:hAnsi="宋体" w:cs="宋体"/>
                <w:i w:val="0"/>
                <w:iCs w:val="0"/>
                <w:color w:val="auto"/>
                <w:sz w:val="24"/>
                <w:szCs w:val="24"/>
                <w:highlight w:val="none"/>
                <w:u w:val="single"/>
                <w:lang w:val="en-US" w:eastAsia="zh-CN"/>
              </w:rPr>
              <w:t>3000.00</w:t>
            </w:r>
            <w:r>
              <w:rPr>
                <w:rFonts w:hint="eastAsia" w:ascii="宋体" w:hAnsi="宋体" w:eastAsia="宋体" w:cs="宋体"/>
                <w:i w:val="0"/>
                <w:iCs w:val="0"/>
                <w:color w:val="auto"/>
                <w:sz w:val="24"/>
                <w:szCs w:val="24"/>
                <w:highlight w:val="none"/>
                <w:u w:val="single"/>
              </w:rPr>
              <w:t>元</w:t>
            </w:r>
            <w:r>
              <w:rPr>
                <w:rFonts w:hint="eastAsia" w:ascii="宋体" w:hAnsi="宋体" w:cs="宋体"/>
                <w:i w:val="0"/>
                <w:iCs w:val="0"/>
                <w:color w:val="auto"/>
                <w:sz w:val="24"/>
                <w:szCs w:val="24"/>
                <w:highlight w:val="none"/>
                <w:u w:val="single"/>
                <w:lang w:eastAsia="zh-CN"/>
              </w:rPr>
              <w:t>（</w:t>
            </w:r>
            <w:r>
              <w:rPr>
                <w:rFonts w:hint="eastAsia" w:ascii="宋体" w:hAnsi="宋体" w:cs="宋体"/>
                <w:i w:val="0"/>
                <w:iCs w:val="0"/>
                <w:color w:val="auto"/>
                <w:sz w:val="24"/>
                <w:szCs w:val="24"/>
                <w:highlight w:val="none"/>
                <w:u w:val="single"/>
                <w:lang w:val="en-US" w:eastAsia="zh-CN"/>
              </w:rPr>
              <w:t>叁仟元整</w:t>
            </w:r>
            <w:r>
              <w:rPr>
                <w:rFonts w:hint="eastAsia" w:ascii="宋体" w:hAnsi="宋体" w:cs="宋体"/>
                <w:i w:val="0"/>
                <w:iCs w:val="0"/>
                <w:color w:val="auto"/>
                <w:sz w:val="24"/>
                <w:szCs w:val="24"/>
                <w:highlight w:val="none"/>
                <w:u w:val="single"/>
                <w:lang w:eastAsia="zh-CN"/>
              </w:rPr>
              <w:t>）</w:t>
            </w:r>
            <w:r>
              <w:rPr>
                <w:rFonts w:hint="eastAsia" w:ascii="宋体" w:hAnsi="宋体" w:eastAsia="宋体" w:cs="宋体"/>
                <w:i w:val="0"/>
                <w:iCs w:val="0"/>
                <w:color w:val="auto"/>
                <w:sz w:val="24"/>
                <w:szCs w:val="24"/>
                <w:highlight w:val="none"/>
                <w:lang w:eastAsia="zh-CN"/>
              </w:rPr>
              <w:t>。</w:t>
            </w:r>
          </w:p>
          <w:p w14:paraId="2C722AC3">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0D5BB95D">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6FAB915D">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收取单位：</w:t>
            </w:r>
            <w:r>
              <w:rPr>
                <w:rFonts w:hint="eastAsia" w:ascii="宋体" w:hAnsi="宋体" w:cs="宋体"/>
                <w:color w:val="auto"/>
                <w:kern w:val="0"/>
                <w:sz w:val="24"/>
                <w:szCs w:val="24"/>
                <w:highlight w:val="none"/>
              </w:rPr>
              <w:t>中招国际招标有限公司新疆分公司</w:t>
            </w:r>
            <w:r>
              <w:rPr>
                <w:rFonts w:hint="eastAsia" w:ascii="宋体" w:hAnsi="宋体" w:eastAsia="宋体" w:cs="宋体"/>
                <w:i w:val="0"/>
                <w:iCs w:val="0"/>
                <w:color w:val="auto"/>
                <w:sz w:val="24"/>
                <w:szCs w:val="24"/>
                <w:highlight w:val="none"/>
              </w:rPr>
              <w:t xml:space="preserve">                            </w:t>
            </w:r>
          </w:p>
          <w:p w14:paraId="2350A619">
            <w:pPr>
              <w:pStyle w:val="58"/>
              <w:spacing w:line="360" w:lineRule="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4.收取账号：</w:t>
            </w:r>
          </w:p>
          <w:p w14:paraId="033C6F19">
            <w:pPr>
              <w:pStyle w:val="58"/>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中国工商银行股份有限公司南湖北路支行</w:t>
            </w:r>
          </w:p>
          <w:p w14:paraId="69912EA7">
            <w:pPr>
              <w:pStyle w:val="58"/>
              <w:spacing w:line="360" w:lineRule="auto"/>
              <w:rPr>
                <w:rFonts w:hint="eastAsia" w:ascii="宋体" w:hAnsi="宋体" w:eastAsia="宋体" w:cs="宋体"/>
                <w:i w:val="0"/>
                <w:iCs w:val="0"/>
                <w:color w:val="auto"/>
                <w:sz w:val="24"/>
                <w:szCs w:val="24"/>
                <w:highlight w:val="none"/>
              </w:rPr>
            </w:pPr>
            <w:r>
              <w:rPr>
                <w:rFonts w:hint="eastAsia" w:ascii="宋体" w:hAnsi="宋体" w:cs="宋体"/>
                <w:color w:val="auto"/>
                <w:kern w:val="0"/>
                <w:sz w:val="24"/>
                <w:szCs w:val="24"/>
                <w:highlight w:val="none"/>
              </w:rPr>
              <w:t>账号：3002 0128 1910 0057 504</w:t>
            </w:r>
            <w:r>
              <w:rPr>
                <w:rFonts w:hint="eastAsia" w:ascii="宋体" w:hAnsi="宋体" w:eastAsia="宋体" w:cs="宋体"/>
                <w:i w:val="0"/>
                <w:iCs w:val="0"/>
                <w:color w:val="auto"/>
                <w:sz w:val="24"/>
                <w:szCs w:val="24"/>
                <w:highlight w:val="none"/>
              </w:rPr>
              <w:t xml:space="preserve">              </w:t>
            </w:r>
          </w:p>
          <w:p w14:paraId="2A4C24D5">
            <w:pPr>
              <w:pStyle w:val="6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退还时间：</w:t>
            </w:r>
            <w:r>
              <w:rPr>
                <w:rFonts w:hint="eastAsia" w:ascii="宋体" w:hAnsi="宋体" w:cs="宋体"/>
                <w:i w:val="0"/>
                <w:iCs w:val="0"/>
                <w:color w:val="auto"/>
                <w:sz w:val="24"/>
                <w:szCs w:val="24"/>
                <w:highlight w:val="none"/>
                <w:lang w:val="en-US" w:eastAsia="zh-CN"/>
              </w:rPr>
              <w:t>中标结果发布后5个工作日内。</w:t>
            </w:r>
            <w:r>
              <w:rPr>
                <w:rFonts w:hint="eastAsia" w:ascii="宋体" w:hAnsi="宋体" w:eastAsia="宋体" w:cs="宋体"/>
                <w:i w:val="0"/>
                <w:iCs w:val="0"/>
                <w:color w:val="auto"/>
                <w:sz w:val="24"/>
                <w:szCs w:val="24"/>
                <w:highlight w:val="none"/>
              </w:rPr>
              <w:t xml:space="preserve">             </w:t>
            </w:r>
          </w:p>
          <w:p w14:paraId="0BF13576">
            <w:pPr>
              <w:pStyle w:val="6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3B76FECA">
            <w:pPr>
              <w:pStyle w:val="6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1.以上各类机构出具的以担保函、保证保险承担责任的方式均须满足无条件见索即付条件。</w:t>
            </w:r>
          </w:p>
          <w:p w14:paraId="7D2ADB7E">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2.以担保函、保证保险形式缴纳磋商保证金的，受益人和收取单位须为采购人。</w:t>
            </w:r>
            <w:r>
              <w:rPr>
                <w:rFonts w:hint="eastAsia" w:ascii="宋体" w:hAnsi="宋体" w:eastAsia="宋体" w:cs="宋体"/>
                <w:i w:val="0"/>
                <w:iCs w:val="0"/>
                <w:color w:val="auto"/>
                <w:sz w:val="24"/>
                <w:szCs w:val="24"/>
                <w:highlight w:val="none"/>
              </w:rPr>
              <w:br w:type="textWrapping"/>
            </w:r>
            <w:r>
              <w:rPr>
                <w:rFonts w:hint="eastAsia" w:ascii="宋体" w:hAnsi="宋体" w:cs="宋体"/>
                <w:i w:val="0"/>
                <w:iCs w:val="0"/>
                <w:color w:val="auto"/>
                <w:sz w:val="24"/>
                <w:szCs w:val="24"/>
                <w:highlight w:val="none"/>
                <w:lang w:val="en-US" w:eastAsia="zh-CN"/>
              </w:rPr>
              <w:t xml:space="preserve">  </w:t>
            </w:r>
            <w:r>
              <w:rPr>
                <w:rFonts w:hint="eastAsia" w:ascii="宋体" w:hAnsi="宋体" w:cs="宋体"/>
                <w:b/>
                <w:bCs/>
                <w:i w:val="0"/>
                <w:iCs w:val="0"/>
                <w:color w:val="auto"/>
                <w:sz w:val="24"/>
                <w:szCs w:val="24"/>
                <w:highlight w:val="none"/>
                <w:lang w:val="en-US" w:eastAsia="zh-CN"/>
              </w:rPr>
              <w:t>3.供应商</w:t>
            </w:r>
            <w:r>
              <w:rPr>
                <w:rFonts w:hint="eastAsia" w:ascii="宋体" w:hAnsi="宋体" w:eastAsia="宋体" w:cs="宋体"/>
                <w:b/>
                <w:bCs/>
                <w:i w:val="0"/>
                <w:iCs w:val="0"/>
                <w:color w:val="auto"/>
                <w:sz w:val="24"/>
                <w:szCs w:val="24"/>
                <w:highlight w:val="none"/>
              </w:rPr>
              <w:t>以</w:t>
            </w:r>
            <w:r>
              <w:rPr>
                <w:rFonts w:hint="eastAsia" w:ascii="宋体" w:hAnsi="宋体" w:eastAsia="宋体" w:cs="宋体"/>
                <w:b/>
                <w:bCs/>
                <w:i w:val="0"/>
                <w:iCs w:val="0"/>
                <w:color w:val="auto"/>
                <w:sz w:val="24"/>
                <w:szCs w:val="24"/>
                <w:highlight w:val="none"/>
                <w:lang w:val="en-US" w:eastAsia="zh-CN"/>
              </w:rPr>
              <w:t>保证金</w:t>
            </w:r>
            <w:r>
              <w:rPr>
                <w:rFonts w:hint="eastAsia" w:ascii="宋体" w:hAnsi="宋体" w:eastAsia="宋体" w:cs="宋体"/>
                <w:b/>
                <w:bCs/>
                <w:i w:val="0"/>
                <w:iCs w:val="0"/>
                <w:color w:val="auto"/>
                <w:sz w:val="24"/>
                <w:szCs w:val="24"/>
                <w:highlight w:val="none"/>
              </w:rPr>
              <w:t>形式缴纳磋商保证金的</w:t>
            </w:r>
            <w:r>
              <w:rPr>
                <w:rFonts w:hint="eastAsia" w:ascii="宋体" w:hAnsi="宋体" w:cs="宋体"/>
                <w:b/>
                <w:bCs/>
                <w:i w:val="0"/>
                <w:iCs w:val="0"/>
                <w:color w:val="auto"/>
                <w:sz w:val="24"/>
                <w:szCs w:val="24"/>
                <w:highlight w:val="none"/>
                <w:lang w:val="en-US" w:eastAsia="zh-CN"/>
              </w:rPr>
              <w:t>时请在汇款时注明“TC259H0P4磋商保证金”，对因未注明项目简称及汇款事由而造成保证金不能及时到账的，后果由供应商自负。</w:t>
            </w:r>
          </w:p>
        </w:tc>
      </w:tr>
      <w:tr w14:paraId="4181F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25" w:hRule="atLeast"/>
        </w:trPr>
        <w:tc>
          <w:tcPr>
            <w:tcW w:w="970" w:type="dxa"/>
            <w:tcBorders>
              <w:top w:val="single" w:color="auto" w:sz="2" w:space="0"/>
              <w:left w:val="single" w:color="auto" w:sz="2" w:space="0"/>
              <w:bottom w:val="single" w:color="auto" w:sz="2" w:space="0"/>
              <w:right w:val="single" w:color="auto" w:sz="2" w:space="0"/>
            </w:tcBorders>
            <w:vAlign w:val="center"/>
          </w:tcPr>
          <w:p w14:paraId="75DCCD86">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.2</w:t>
            </w:r>
          </w:p>
        </w:tc>
        <w:tc>
          <w:tcPr>
            <w:tcW w:w="1721" w:type="dxa"/>
            <w:tcBorders>
              <w:top w:val="single" w:color="auto" w:sz="2" w:space="0"/>
              <w:left w:val="single" w:color="auto" w:sz="2" w:space="0"/>
              <w:bottom w:val="single" w:color="auto" w:sz="2" w:space="0"/>
              <w:right w:val="single" w:color="auto" w:sz="2" w:space="0"/>
            </w:tcBorders>
            <w:vAlign w:val="center"/>
          </w:tcPr>
          <w:p w14:paraId="747E8F82">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解密响应文件的时限</w:t>
            </w:r>
          </w:p>
        </w:tc>
        <w:tc>
          <w:tcPr>
            <w:tcW w:w="6663" w:type="dxa"/>
            <w:tcBorders>
              <w:top w:val="single" w:color="auto" w:sz="2" w:space="0"/>
              <w:left w:val="single" w:color="auto" w:sz="2" w:space="0"/>
              <w:bottom w:val="single" w:color="auto" w:sz="2" w:space="0"/>
              <w:right w:val="single" w:color="auto" w:sz="2" w:space="0"/>
            </w:tcBorders>
            <w:vAlign w:val="center"/>
          </w:tcPr>
          <w:p w14:paraId="125EFEDD">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不见面开标默认解密时长：</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30</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分钟</w:t>
            </w:r>
            <w:r>
              <w:rPr>
                <w:rFonts w:hint="eastAsia" w:ascii="宋体" w:hAnsi="宋体" w:eastAsia="宋体" w:cs="宋体"/>
                <w:i w:val="0"/>
                <w:iCs w:val="0"/>
                <w:color w:val="auto"/>
                <w:sz w:val="24"/>
                <w:szCs w:val="24"/>
                <w:highlight w:val="none"/>
              </w:rPr>
              <w:t xml:space="preserve"> </w:t>
            </w:r>
          </w:p>
          <w:p w14:paraId="7EBEE188">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注：</w:t>
            </w:r>
            <w:r>
              <w:rPr>
                <w:rFonts w:hint="eastAsia" w:ascii="宋体" w:hAnsi="宋体" w:eastAsia="宋体" w:cs="宋体"/>
                <w:i w:val="0"/>
                <w:iCs w:val="0"/>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i w:val="0"/>
                <w:iCs w:val="0"/>
                <w:color w:val="auto"/>
                <w:sz w:val="24"/>
                <w:szCs w:val="24"/>
                <w:highlight w:val="none"/>
                <w:lang w:eastAsia="zh-CN"/>
              </w:rPr>
              <w:t>，响应无效</w:t>
            </w:r>
            <w:r>
              <w:rPr>
                <w:rFonts w:hint="eastAsia" w:ascii="宋体" w:hAnsi="宋体" w:eastAsia="宋体" w:cs="宋体"/>
                <w:i w:val="0"/>
                <w:iCs w:val="0"/>
                <w:color w:val="auto"/>
                <w:sz w:val="24"/>
                <w:szCs w:val="24"/>
                <w:highlight w:val="none"/>
              </w:rPr>
              <w:t>。</w:t>
            </w:r>
          </w:p>
        </w:tc>
      </w:tr>
      <w:tr w14:paraId="55F30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5" w:hRule="atLeast"/>
        </w:trPr>
        <w:tc>
          <w:tcPr>
            <w:tcW w:w="970" w:type="dxa"/>
            <w:tcBorders>
              <w:top w:val="single" w:color="auto" w:sz="2" w:space="0"/>
              <w:left w:val="single" w:color="auto" w:sz="2" w:space="0"/>
              <w:bottom w:val="single" w:color="auto" w:sz="2" w:space="0"/>
              <w:right w:val="single" w:color="auto" w:sz="2" w:space="0"/>
            </w:tcBorders>
            <w:vAlign w:val="center"/>
          </w:tcPr>
          <w:p w14:paraId="0A512A01">
            <w:pPr>
              <w:pStyle w:val="50"/>
              <w:spacing w:line="360" w:lineRule="auto"/>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27.2</w:t>
            </w:r>
          </w:p>
        </w:tc>
        <w:tc>
          <w:tcPr>
            <w:tcW w:w="1721" w:type="dxa"/>
            <w:tcBorders>
              <w:top w:val="single" w:color="auto" w:sz="2" w:space="0"/>
              <w:left w:val="single" w:color="auto" w:sz="2" w:space="0"/>
              <w:bottom w:val="single" w:color="auto" w:sz="2" w:space="0"/>
              <w:right w:val="single" w:color="auto" w:sz="2" w:space="0"/>
            </w:tcBorders>
            <w:vAlign w:val="center"/>
          </w:tcPr>
          <w:p w14:paraId="3B1D8DC9">
            <w:pPr>
              <w:pStyle w:val="50"/>
              <w:spacing w:line="360" w:lineRule="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推荐成交候选供应商</w:t>
            </w:r>
          </w:p>
        </w:tc>
        <w:tc>
          <w:tcPr>
            <w:tcW w:w="6663" w:type="dxa"/>
            <w:tcBorders>
              <w:top w:val="single" w:color="auto" w:sz="2" w:space="0"/>
              <w:left w:val="single" w:color="auto" w:sz="2" w:space="0"/>
              <w:bottom w:val="single" w:color="auto" w:sz="2" w:space="0"/>
              <w:right w:val="single" w:color="auto" w:sz="2" w:space="0"/>
            </w:tcBorders>
            <w:vAlign w:val="center"/>
          </w:tcPr>
          <w:p w14:paraId="67201373">
            <w:pPr>
              <w:pStyle w:val="50"/>
              <w:spacing w:line="360" w:lineRule="auto"/>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en-US" w:eastAsia="zh-CN"/>
              </w:rPr>
              <w:t>成交候选供应商数量</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lang w:val="en-US" w:eastAsia="zh-CN"/>
              </w:rPr>
              <w:t>家</w:t>
            </w:r>
          </w:p>
        </w:tc>
      </w:tr>
      <w:tr w14:paraId="15B57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9" w:hRule="atLeast"/>
        </w:trPr>
        <w:tc>
          <w:tcPr>
            <w:tcW w:w="970" w:type="dxa"/>
            <w:tcBorders>
              <w:top w:val="single" w:color="auto" w:sz="2" w:space="0"/>
              <w:left w:val="single" w:color="auto" w:sz="2" w:space="0"/>
              <w:bottom w:val="single" w:color="auto" w:sz="2" w:space="0"/>
              <w:right w:val="single" w:color="auto" w:sz="2" w:space="0"/>
            </w:tcBorders>
            <w:vAlign w:val="center"/>
          </w:tcPr>
          <w:p w14:paraId="37AC9C03">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28</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7F769072">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确定成交供应商</w:t>
            </w:r>
          </w:p>
        </w:tc>
        <w:tc>
          <w:tcPr>
            <w:tcW w:w="6663" w:type="dxa"/>
            <w:tcBorders>
              <w:top w:val="single" w:color="auto" w:sz="2" w:space="0"/>
              <w:left w:val="single" w:color="auto" w:sz="2" w:space="0"/>
              <w:bottom w:val="single" w:color="auto" w:sz="2" w:space="0"/>
              <w:right w:val="single" w:color="auto" w:sz="2" w:space="0"/>
            </w:tcBorders>
            <w:vAlign w:val="center"/>
          </w:tcPr>
          <w:p w14:paraId="77284D4E">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收到评审报告后5个工作日内，按评审报告中推荐的成交候选人排序确定成交供应商。</w:t>
            </w:r>
          </w:p>
          <w:p w14:paraId="5AFD1CC8">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采购人委托磋商小组直接确定成交供应商。</w:t>
            </w:r>
          </w:p>
        </w:tc>
      </w:tr>
      <w:tr w14:paraId="02426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917" w:hRule="atLeast"/>
        </w:trPr>
        <w:tc>
          <w:tcPr>
            <w:tcW w:w="970" w:type="dxa"/>
            <w:tcBorders>
              <w:top w:val="single" w:color="auto" w:sz="2" w:space="0"/>
              <w:left w:val="single" w:color="auto" w:sz="2" w:space="0"/>
              <w:bottom w:val="single" w:color="auto" w:sz="2" w:space="0"/>
              <w:right w:val="single" w:color="auto" w:sz="2" w:space="0"/>
            </w:tcBorders>
            <w:vAlign w:val="center"/>
          </w:tcPr>
          <w:p w14:paraId="027ED33D">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AB44AED">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履约保证金</w:t>
            </w:r>
          </w:p>
        </w:tc>
        <w:tc>
          <w:tcPr>
            <w:tcW w:w="6663" w:type="dxa"/>
            <w:tcBorders>
              <w:top w:val="single" w:color="auto" w:sz="2" w:space="0"/>
              <w:left w:val="single" w:color="auto" w:sz="2" w:space="0"/>
              <w:bottom w:val="single" w:color="auto" w:sz="2" w:space="0"/>
              <w:right w:val="single" w:color="auto" w:sz="2" w:space="0"/>
            </w:tcBorders>
            <w:vAlign w:val="center"/>
          </w:tcPr>
          <w:p w14:paraId="242C35C3">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4900BF28">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1CB543E4">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p>
          <w:p w14:paraId="765D7FA1">
            <w:pPr>
              <w:pStyle w:val="50"/>
              <w:spacing w:line="36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           元</w:t>
            </w:r>
          </w:p>
          <w:p w14:paraId="0067AB47">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278665BD">
            <w:pPr>
              <w:pStyle w:val="60"/>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18EEE24E">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 xml:space="preserve">收取单位：                            </w:t>
            </w:r>
          </w:p>
          <w:p w14:paraId="2A254E9A">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4.收取账号：</w:t>
            </w:r>
            <w:r>
              <w:rPr>
                <w:rFonts w:hint="eastAsia" w:ascii="宋体" w:hAnsi="宋体" w:eastAsia="宋体" w:cs="宋体"/>
                <w:i w:val="0"/>
                <w:iCs w:val="0"/>
                <w:color w:val="auto"/>
                <w:sz w:val="24"/>
                <w:szCs w:val="24"/>
                <w:highlight w:val="none"/>
              </w:rPr>
              <w:t xml:space="preserve">              </w:t>
            </w:r>
          </w:p>
          <w:p w14:paraId="4CB9792C">
            <w:pPr>
              <w:pStyle w:val="50"/>
              <w:spacing w:line="360" w:lineRule="auto"/>
              <w:rPr>
                <w:rFonts w:hint="eastAsia" w:ascii="宋体" w:hAnsi="宋体" w:eastAsia="宋体" w:cs="宋体"/>
                <w:b/>
                <w:bCs/>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 xml:space="preserve">退还时间：              </w:t>
            </w:r>
          </w:p>
          <w:p w14:paraId="08F7956F">
            <w:pPr>
              <w:pStyle w:val="50"/>
              <w:spacing w:line="360" w:lineRule="auto"/>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29B817EB">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23CD9632">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64B5E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861755C">
            <w:pPr>
              <w:pStyle w:val="50"/>
              <w:spacing w:line="360" w:lineRule="auto"/>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32.5</w:t>
            </w:r>
          </w:p>
        </w:tc>
        <w:tc>
          <w:tcPr>
            <w:tcW w:w="1721" w:type="dxa"/>
            <w:tcBorders>
              <w:top w:val="single" w:color="auto" w:sz="2" w:space="0"/>
              <w:left w:val="single" w:color="auto" w:sz="2" w:space="0"/>
              <w:bottom w:val="single" w:color="auto" w:sz="2" w:space="0"/>
              <w:right w:val="single" w:color="auto" w:sz="2" w:space="0"/>
            </w:tcBorders>
            <w:vAlign w:val="center"/>
          </w:tcPr>
          <w:p w14:paraId="04D9510B">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合同分包</w:t>
            </w:r>
          </w:p>
        </w:tc>
        <w:tc>
          <w:tcPr>
            <w:tcW w:w="6663" w:type="dxa"/>
            <w:tcBorders>
              <w:top w:val="single" w:color="auto" w:sz="2" w:space="0"/>
              <w:left w:val="single" w:color="auto" w:sz="2" w:space="0"/>
              <w:bottom w:val="single" w:color="auto" w:sz="2" w:space="0"/>
              <w:right w:val="single" w:color="auto" w:sz="2" w:space="0"/>
            </w:tcBorders>
            <w:vAlign w:val="center"/>
          </w:tcPr>
          <w:p w14:paraId="4344EC45">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本项目的非主体、非关键性工作是否允许分包： </w:t>
            </w:r>
          </w:p>
          <w:p w14:paraId="3D901FC0">
            <w:pPr>
              <w:pStyle w:val="50"/>
              <w:spacing w:line="360" w:lineRule="auto"/>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不允许 </w:t>
            </w:r>
          </w:p>
          <w:p w14:paraId="56DFA0F7">
            <w:pPr>
              <w:pStyle w:val="50"/>
              <w:spacing w:line="360" w:lineRule="auto"/>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□允许，具体要求： </w:t>
            </w:r>
          </w:p>
          <w:p w14:paraId="6C445FF2">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1.可以分包履行的具体内容：_____； </w:t>
            </w:r>
          </w:p>
          <w:p w14:paraId="71BE067E">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2.允许分包的金额或者比例：_____； </w:t>
            </w:r>
          </w:p>
          <w:p w14:paraId="3628979B">
            <w:pPr>
              <w:pStyle w:val="50"/>
              <w:spacing w:line="360" w:lineRule="auto"/>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3.其他要求：_____。</w:t>
            </w:r>
          </w:p>
        </w:tc>
      </w:tr>
      <w:tr w14:paraId="749FB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F3EF9C4">
            <w:pPr>
              <w:pStyle w:val="50"/>
              <w:spacing w:line="360" w:lineRule="auto"/>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33.1</w:t>
            </w:r>
          </w:p>
        </w:tc>
        <w:tc>
          <w:tcPr>
            <w:tcW w:w="1721" w:type="dxa"/>
            <w:tcBorders>
              <w:top w:val="single" w:color="auto" w:sz="2" w:space="0"/>
              <w:left w:val="single" w:color="auto" w:sz="2" w:space="0"/>
              <w:bottom w:val="single" w:color="auto" w:sz="2" w:space="0"/>
              <w:right w:val="single" w:color="auto" w:sz="2" w:space="0"/>
            </w:tcBorders>
            <w:vAlign w:val="center"/>
          </w:tcPr>
          <w:p w14:paraId="66EBB004">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6663" w:type="dxa"/>
            <w:tcBorders>
              <w:top w:val="single" w:color="auto" w:sz="2" w:space="0"/>
              <w:left w:val="single" w:color="auto" w:sz="2" w:space="0"/>
              <w:bottom w:val="single" w:color="auto" w:sz="2" w:space="0"/>
              <w:right w:val="single" w:color="auto" w:sz="2" w:space="0"/>
            </w:tcBorders>
            <w:vAlign w:val="center"/>
          </w:tcPr>
          <w:p w14:paraId="344E9B74">
            <w:pPr>
              <w:pStyle w:val="58"/>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eastAsia="宋体" w:cs="宋体"/>
                <w:color w:val="auto"/>
                <w:sz w:val="24"/>
                <w:highlight w:val="none"/>
              </w:rPr>
              <w:t>纸质版盖章</w:t>
            </w:r>
            <w:r>
              <w:rPr>
                <w:rFonts w:hint="eastAsia" w:ascii="宋体" w:eastAsia="宋体" w:cs="宋体"/>
                <w:color w:val="auto"/>
                <w:sz w:val="24"/>
                <w:highlight w:val="none"/>
                <w:lang w:val="en-US" w:eastAsia="zh-CN"/>
              </w:rPr>
              <w:t>质疑</w:t>
            </w:r>
            <w:r>
              <w:rPr>
                <w:rFonts w:hint="eastAsia" w:ascii="宋体" w:eastAsia="宋体" w:cs="宋体"/>
                <w:color w:val="auto"/>
                <w:sz w:val="24"/>
                <w:highlight w:val="none"/>
              </w:rPr>
              <w:t>函</w:t>
            </w:r>
            <w:r>
              <w:rPr>
                <w:rFonts w:hint="eastAsia" w:ascii="宋体" w:eastAsia="宋体" w:cs="宋体"/>
                <w:color w:val="auto"/>
                <w:sz w:val="24"/>
                <w:highlight w:val="none"/>
                <w:lang w:val="en-US" w:eastAsia="zh-CN"/>
              </w:rPr>
              <w:t>原件</w:t>
            </w:r>
            <w:r>
              <w:rPr>
                <w:rFonts w:hint="eastAsia" w:ascii="宋体" w:eastAsia="宋体" w:cs="宋体"/>
                <w:color w:val="auto"/>
                <w:sz w:val="24"/>
                <w:highlight w:val="none"/>
              </w:rPr>
              <w:t>递交至采购代理公司</w:t>
            </w:r>
            <w:r>
              <w:rPr>
                <w:rFonts w:hint="eastAsia" w:ascii="宋体" w:hAnsi="宋体" w:eastAsia="宋体" w:cs="宋体"/>
                <w:i w:val="0"/>
                <w:iCs w:val="0"/>
                <w:color w:val="auto"/>
                <w:kern w:val="2"/>
                <w:sz w:val="24"/>
                <w:szCs w:val="24"/>
                <w:highlight w:val="none"/>
                <w:lang w:val="zh-CN" w:eastAsia="zh-CN" w:bidi="ar-SA"/>
              </w:rPr>
              <w:t xml:space="preserve">              </w:t>
            </w:r>
          </w:p>
          <w:p w14:paraId="3EAFDFD3">
            <w:pPr>
              <w:pStyle w:val="58"/>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cs="宋体"/>
                <w:i w:val="0"/>
                <w:iCs w:val="0"/>
                <w:color w:val="auto"/>
                <w:sz w:val="24"/>
                <w:szCs w:val="24"/>
                <w:highlight w:val="none"/>
                <w:u w:val="single"/>
                <w:lang w:val="en-US" w:eastAsia="zh-CN"/>
              </w:rPr>
              <w:t>中招国际招标有限公司</w:t>
            </w:r>
            <w:r>
              <w:rPr>
                <w:rFonts w:hint="eastAsia" w:ascii="宋体" w:hAnsi="宋体" w:eastAsia="宋体" w:cs="宋体"/>
                <w:i w:val="0"/>
                <w:iCs w:val="0"/>
                <w:color w:val="auto"/>
                <w:kern w:val="2"/>
                <w:sz w:val="24"/>
                <w:szCs w:val="24"/>
                <w:highlight w:val="none"/>
                <w:lang w:val="zh-CN" w:eastAsia="zh-CN" w:bidi="ar-SA"/>
              </w:rPr>
              <w:t xml:space="preserve">              </w:t>
            </w:r>
          </w:p>
          <w:p w14:paraId="2680A9E0">
            <w:pPr>
              <w:pStyle w:val="58"/>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联系电话：罗燕、徐中凤</w:t>
            </w:r>
            <w:r>
              <w:rPr>
                <w:rFonts w:hint="eastAsia" w:ascii="宋体" w:hAnsi="宋体" w:cs="宋体"/>
                <w:i w:val="0"/>
                <w:iCs w:val="0"/>
                <w:color w:val="auto"/>
                <w:kern w:val="2"/>
                <w:sz w:val="24"/>
                <w:szCs w:val="24"/>
                <w:highlight w:val="none"/>
                <w:lang w:val="en-US" w:eastAsia="zh-CN" w:bidi="ar-SA"/>
              </w:rPr>
              <w:t xml:space="preserve"> </w:t>
            </w:r>
            <w:r>
              <w:rPr>
                <w:rFonts w:hint="eastAsia" w:ascii="宋体" w:hAnsi="宋体" w:eastAsia="宋体" w:cs="宋体"/>
                <w:i w:val="0"/>
                <w:iCs w:val="0"/>
                <w:color w:val="auto"/>
                <w:kern w:val="2"/>
                <w:sz w:val="24"/>
                <w:szCs w:val="24"/>
                <w:highlight w:val="none"/>
                <w:lang w:val="zh-CN" w:eastAsia="zh-CN" w:bidi="ar-SA"/>
              </w:rPr>
              <w:t xml:space="preserve">17716905655、18099259977              </w:t>
            </w:r>
          </w:p>
          <w:p w14:paraId="6C71E447">
            <w:pPr>
              <w:pStyle w:val="58"/>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ascii="宋体" w:hAnsi="宋体" w:eastAsia="宋体" w:cs="宋体"/>
                <w:color w:val="auto"/>
                <w:kern w:val="0"/>
                <w:sz w:val="24"/>
                <w:szCs w:val="24"/>
                <w:highlight w:val="none"/>
              </w:rPr>
              <w:t>新疆乌鲁木齐市486号南湖明珠二期十四栋商业写字楼8楼</w:t>
            </w:r>
            <w:r>
              <w:rPr>
                <w:rFonts w:hint="eastAsia" w:ascii="宋体" w:hAnsi="宋体" w:eastAsia="宋体" w:cs="宋体"/>
                <w:i w:val="0"/>
                <w:iCs w:val="0"/>
                <w:color w:val="auto"/>
                <w:kern w:val="2"/>
                <w:sz w:val="24"/>
                <w:szCs w:val="24"/>
                <w:highlight w:val="none"/>
                <w:lang w:val="zh-CN" w:eastAsia="zh-CN" w:bidi="ar-SA"/>
              </w:rPr>
              <w:t xml:space="preserve">  </w:t>
            </w:r>
          </w:p>
        </w:tc>
      </w:tr>
      <w:tr w14:paraId="333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B4B8253">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20FF725">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采购代理服务费收取方式和标准</w:t>
            </w:r>
          </w:p>
        </w:tc>
        <w:tc>
          <w:tcPr>
            <w:tcW w:w="6663" w:type="dxa"/>
            <w:tcBorders>
              <w:top w:val="single" w:color="auto" w:sz="2" w:space="0"/>
              <w:left w:val="single" w:color="auto" w:sz="2" w:space="0"/>
              <w:bottom w:val="single" w:color="auto" w:sz="2" w:space="0"/>
              <w:right w:val="single" w:color="auto" w:sz="2" w:space="0"/>
            </w:tcBorders>
            <w:vAlign w:val="center"/>
          </w:tcPr>
          <w:p w14:paraId="0E59731F">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收</w:t>
            </w:r>
            <w:r>
              <w:rPr>
                <w:rFonts w:hint="eastAsia" w:ascii="宋体" w:hAnsi="宋体" w:eastAsia="宋体" w:cs="宋体"/>
                <w:i w:val="0"/>
                <w:iCs w:val="0"/>
                <w:color w:val="auto"/>
                <w:sz w:val="24"/>
                <w:szCs w:val="24"/>
                <w:highlight w:val="none"/>
              </w:rPr>
              <w:t>费</w:t>
            </w:r>
            <w:r>
              <w:rPr>
                <w:rFonts w:hint="eastAsia" w:ascii="宋体" w:hAnsi="宋体" w:eastAsia="宋体" w:cs="宋体"/>
                <w:i w:val="0"/>
                <w:iCs w:val="0"/>
                <w:color w:val="auto"/>
                <w:sz w:val="24"/>
                <w:szCs w:val="24"/>
                <w:highlight w:val="none"/>
                <w:lang w:val="en-US" w:eastAsia="zh-CN"/>
              </w:rPr>
              <w:t>对象</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成交</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 xml:space="preserve">支付 </w:t>
            </w:r>
          </w:p>
          <w:p w14:paraId="5B742BCE">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收费</w:t>
            </w:r>
            <w:r>
              <w:rPr>
                <w:rFonts w:hint="eastAsia" w:ascii="宋体" w:hAnsi="宋体" w:eastAsia="宋体" w:cs="宋体"/>
                <w:i w:val="0"/>
                <w:iCs w:val="0"/>
                <w:color w:val="auto"/>
                <w:sz w:val="24"/>
                <w:szCs w:val="24"/>
                <w:highlight w:val="none"/>
              </w:rPr>
              <w:t>标准：</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参照</w:t>
            </w:r>
            <w:r>
              <w:rPr>
                <w:rFonts w:hint="eastAsia" w:ascii="宋体" w:hAnsi="宋体" w:eastAsia="宋体" w:cs="宋体"/>
                <w:color w:val="000000" w:themeColor="text1"/>
                <w:sz w:val="24"/>
                <w:szCs w:val="24"/>
                <w:highlight w:val="none"/>
                <w:u w:val="single"/>
                <w14:textFill>
                  <w14:solidFill>
                    <w14:schemeClr w14:val="tx1"/>
                  </w14:solidFill>
                </w14:textFill>
              </w:rPr>
              <w:t>发改价格[2011]534号及计价格[2002]1980号文件计算的招标代理服务收费标准下浮40%计取。</w:t>
            </w:r>
          </w:p>
          <w:tbl>
            <w:tblPr>
              <w:tblStyle w:val="33"/>
              <w:tblpPr w:leftFromText="180" w:rightFromText="180" w:vertAnchor="text" w:horzAnchor="page" w:tblpXSpec="center" w:tblpY="384"/>
              <w:tblOverlap w:val="never"/>
              <w:tblW w:w="6397" w:type="dxa"/>
              <w:jc w:val="center"/>
              <w:tblLayout w:type="fixed"/>
              <w:tblCellMar>
                <w:top w:w="0" w:type="dxa"/>
                <w:left w:w="0" w:type="dxa"/>
                <w:bottom w:w="0" w:type="dxa"/>
                <w:right w:w="0" w:type="dxa"/>
              </w:tblCellMar>
            </w:tblPr>
            <w:tblGrid>
              <w:gridCol w:w="2098"/>
              <w:gridCol w:w="1433"/>
              <w:gridCol w:w="1433"/>
              <w:gridCol w:w="1433"/>
            </w:tblGrid>
            <w:tr w14:paraId="7865A145">
              <w:tblPrEx>
                <w:tblCellMar>
                  <w:top w:w="0" w:type="dxa"/>
                  <w:left w:w="0" w:type="dxa"/>
                  <w:bottom w:w="0" w:type="dxa"/>
                  <w:right w:w="0" w:type="dxa"/>
                </w:tblCellMar>
              </w:tblPrEx>
              <w:trPr>
                <w:trHeight w:val="2352" w:hRule="atLeast"/>
                <w:jc w:val="center"/>
              </w:trPr>
              <w:tc>
                <w:tcPr>
                  <w:tcW w:w="2098" w:type="dxa"/>
                  <w:tcBorders>
                    <w:top w:val="single" w:color="auto" w:sz="8" w:space="0"/>
                    <w:left w:val="single" w:color="auto" w:sz="8" w:space="0"/>
                    <w:bottom w:val="single" w:color="auto" w:sz="8" w:space="0"/>
                    <w:right w:val="single" w:color="auto" w:sz="8" w:space="0"/>
                  </w:tcBorders>
                </w:tcPr>
                <w:p w14:paraId="2ABFC94F">
                  <w:pPr>
                    <w:spacing w:line="360" w:lineRule="auto"/>
                    <w:ind w:firstLine="840" w:firstLineChars="300"/>
                    <w:rPr>
                      <w:rFonts w:ascii="宋体" w:hAnsi="宋体"/>
                      <w:bCs/>
                      <w:color w:val="auto"/>
                      <w:szCs w:val="20"/>
                      <w:highlight w:val="none"/>
                    </w:rPr>
                  </w:pPr>
                  <w:r>
                    <w:rPr>
                      <w:rFonts w:ascii="宋体" w:hAnsi="宋体"/>
                      <w:color w:val="auto"/>
                      <w:sz w:val="28"/>
                      <w:szCs w:val="28"/>
                      <w:highlight w:val="none"/>
                    </w:rPr>
                    <mc:AlternateContent>
                      <mc:Choice Requires="wps">
                        <w:drawing>
                          <wp:anchor distT="0" distB="0" distL="114300" distR="114300" simplePos="0" relativeHeight="251664384" behindDoc="0" locked="0" layoutInCell="1" allowOverlap="1">
                            <wp:simplePos x="0" y="0"/>
                            <wp:positionH relativeFrom="column">
                              <wp:posOffset>436245</wp:posOffset>
                            </wp:positionH>
                            <wp:positionV relativeFrom="paragraph">
                              <wp:posOffset>0</wp:posOffset>
                            </wp:positionV>
                            <wp:extent cx="893445" cy="1589405"/>
                            <wp:effectExtent l="4445" t="2540" r="16510" b="8255"/>
                            <wp:wrapNone/>
                            <wp:docPr id="6" name="直接连接符 6"/>
                            <wp:cNvGraphicFramePr/>
                            <a:graphic xmlns:a="http://schemas.openxmlformats.org/drawingml/2006/main">
                              <a:graphicData uri="http://schemas.microsoft.com/office/word/2010/wordprocessingShape">
                                <wps:wsp>
                                  <wps:cNvCnPr/>
                                  <wps:spPr>
                                    <a:xfrm>
                                      <a:off x="0" y="0"/>
                                      <a:ext cx="893445" cy="15894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4.35pt;margin-top:0pt;height:125.15pt;width:70.35pt;z-index:251664384;mso-width-relative:page;mso-height-relative:page;" filled="f" stroked="t" coordsize="21600,21600" o:gfxdata="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jDXc/WAAAABwEAAA8AAAAAAAAAAQAgAAAAIgAAAGRycy9kb3ducmV2LnhtbFBLAQIUABQAAAAI&#10;AIdO4kATklim7wEAAN0DAAAOAAAAAAAAAAEAIAAAACUBAABkcnMvZTJvRG9jLnhtbFBLBQYAAAAA&#10;BgAGAFkBAACGBQAAAAA=&#10;">
                            <v:fill on="f" focussize="0,0"/>
                            <v:stroke color="#000000" joinstyle="round"/>
                            <v:imagedata o:title=""/>
                            <o:lock v:ext="edit" aspectratio="f"/>
                          </v:line>
                        </w:pict>
                      </mc:Fallback>
                    </mc:AlternateContent>
                  </w:r>
                  <w:r>
                    <w:rPr>
                      <w:rFonts w:ascii="宋体" w:hAnsi="宋体"/>
                      <w:bCs/>
                      <w:color w:val="auto"/>
                      <w:szCs w:val="20"/>
                      <w:highlight w:val="none"/>
                    </w:rPr>
                    <w:t>服务类型</w:t>
                  </w:r>
                </w:p>
                <w:p w14:paraId="3B9D2514">
                  <w:pPr>
                    <w:spacing w:line="360" w:lineRule="auto"/>
                    <w:ind w:firstLine="240" w:firstLineChars="100"/>
                    <w:rPr>
                      <w:rFonts w:ascii="宋体" w:hAnsi="宋体"/>
                      <w:bCs/>
                      <w:color w:val="auto"/>
                      <w:szCs w:val="20"/>
                      <w:highlight w:val="none"/>
                    </w:rPr>
                  </w:pPr>
                  <w:r>
                    <w:rPr>
                      <w:rFonts w:ascii="宋体" w:hAnsi="宋体"/>
                      <w:bCs/>
                      <w:color w:val="auto"/>
                      <w:szCs w:val="20"/>
                      <w:highlight w:val="none"/>
                    </w:rPr>
                    <w:t>费率</w:t>
                  </w:r>
                </w:p>
                <w:p w14:paraId="61FD1F8A">
                  <w:pPr>
                    <w:spacing w:line="360" w:lineRule="auto"/>
                    <w:rPr>
                      <w:rFonts w:ascii="宋体" w:hAnsi="宋体"/>
                      <w:bCs/>
                      <w:color w:val="auto"/>
                      <w:szCs w:val="20"/>
                      <w:highlight w:val="none"/>
                    </w:rPr>
                  </w:pPr>
                  <w:r>
                    <w:rPr>
                      <w:rFonts w:ascii="宋体" w:hAnsi="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-136525</wp:posOffset>
                            </wp:positionV>
                            <wp:extent cx="1296670" cy="1044575"/>
                            <wp:effectExtent l="3175" t="3810" r="10795" b="18415"/>
                            <wp:wrapNone/>
                            <wp:docPr id="5" name="直接连接符 5"/>
                            <wp:cNvGraphicFramePr/>
                            <a:graphic xmlns:a="http://schemas.openxmlformats.org/drawingml/2006/main">
                              <a:graphicData uri="http://schemas.microsoft.com/office/word/2010/wordprocessingShape">
                                <wps:wsp>
                                  <wps:cNvCnPr/>
                                  <wps:spPr>
                                    <a:xfrm>
                                      <a:off x="0" y="0"/>
                                      <a:ext cx="1296670" cy="1044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45pt;margin-top:-10.75pt;height:82.25pt;width:102.1pt;z-index:251665408;mso-width-relative:page;mso-height-relative:page;" filled="f" stroked="t" coordsize="21600,21600" o:gfxdata="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4U9l1gAAAAgBAAAPAAAAAAAAAAEAIAAAACIAAABkcnMvZG93bnJldi54bWxQSwECFAAU&#10;AAAACACHTuJAW9OCH/MBAADeAwAADgAAAAAAAAABACAAAAAlAQAAZHJzL2Uyb0RvYy54bWxQSwUG&#10;AAAAAAYABgBZAQAAigUAAAAA&#10;">
                            <v:fill on="f" focussize="0,0"/>
                            <v:stroke color="#000000" joinstyle="round"/>
                            <v:imagedata o:title=""/>
                            <o:lock v:ext="edit" aspectratio="f"/>
                          </v:line>
                        </w:pict>
                      </mc:Fallback>
                    </mc:AlternateContent>
                  </w:r>
                </w:p>
                <w:p w14:paraId="5EBD2EA0">
                  <w:pPr>
                    <w:spacing w:line="360" w:lineRule="auto"/>
                    <w:rPr>
                      <w:rFonts w:ascii="宋体" w:hAnsi="宋体"/>
                      <w:bCs/>
                      <w:color w:val="auto"/>
                      <w:szCs w:val="20"/>
                      <w:highlight w:val="none"/>
                    </w:rPr>
                  </w:pPr>
                  <w:r>
                    <w:rPr>
                      <w:rFonts w:ascii="宋体" w:hAnsi="宋体"/>
                      <w:color w:val="auto"/>
                      <w:highlight w:val="none"/>
                    </w:rPr>
                    <mc:AlternateContent>
                      <mc:Choice Requires="wps">
                        <w:drawing>
                          <wp:anchor distT="0" distB="0" distL="114300" distR="114300" simplePos="0" relativeHeight="251663360" behindDoc="0" locked="0" layoutInCell="0" allowOverlap="1">
                            <wp:simplePos x="0" y="0"/>
                            <wp:positionH relativeFrom="column">
                              <wp:posOffset>-114300</wp:posOffset>
                            </wp:positionH>
                            <wp:positionV relativeFrom="paragraph">
                              <wp:posOffset>-9525</wp:posOffset>
                            </wp:positionV>
                            <wp:extent cx="635" cy="0"/>
                            <wp:effectExtent l="0" t="4445" r="0" b="5080"/>
                            <wp:wrapNone/>
                            <wp:docPr id="7" name="直接连接符 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75pt;height:0pt;width:0.05pt;z-index:251663360;mso-width-relative:page;mso-height-relative:page;" filled="f" stroked="t" coordsize="21600,21600" o:allowincell="f" o:gfxdata="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kHnt&#10;1wAAAAkBAAAPAAAAAAAAAAEAIAAAACIAAABkcnMvZG93bnJldi54bWxQSwECFAAUAAAACACHTuJA&#10;h2izp+kBAADUAwAADgAAAAAAAAABACAAAAAmAQAAZHJzL2Uyb0RvYy54bWxQSwUGAAAAAAYABgBZ&#10;AQAAgQUAAAAA&#10;">
                            <v:fill on="f" focussize="0,0"/>
                            <v:stroke color="#000000" joinstyle="round"/>
                            <v:imagedata o:title=""/>
                            <o:lock v:ext="edit" aspectratio="f"/>
                          </v:line>
                        </w:pict>
                      </mc:Fallback>
                    </mc:AlternateContent>
                  </w:r>
                  <w:r>
                    <w:rPr>
                      <w:rFonts w:ascii="宋体" w:hAnsi="宋体"/>
                      <w:bCs/>
                      <w:color w:val="auto"/>
                      <w:szCs w:val="20"/>
                      <w:highlight w:val="none"/>
                    </w:rPr>
                    <w:t>中标</w:t>
                  </w:r>
                </w:p>
                <w:p w14:paraId="7748AF45">
                  <w:pPr>
                    <w:spacing w:line="360" w:lineRule="auto"/>
                    <w:rPr>
                      <w:rFonts w:ascii="宋体" w:hAnsi="宋体"/>
                      <w:color w:val="auto"/>
                      <w:szCs w:val="21"/>
                      <w:highlight w:val="none"/>
                    </w:rPr>
                  </w:pPr>
                  <w:r>
                    <w:rPr>
                      <w:rFonts w:ascii="宋体" w:hAnsi="宋体"/>
                      <w:bCs/>
                      <w:color w:val="auto"/>
                      <w:szCs w:val="20"/>
                      <w:highlight w:val="none"/>
                    </w:rPr>
                    <w:t>金额</w:t>
                  </w:r>
                  <w:r>
                    <w:rPr>
                      <w:rFonts w:hint="eastAsia" w:ascii="宋体" w:hAnsi="宋体"/>
                      <w:bCs/>
                      <w:color w:val="auto"/>
                      <w:szCs w:val="20"/>
                      <w:highlight w:val="none"/>
                    </w:rPr>
                    <w:t>（</w:t>
                  </w:r>
                  <w:r>
                    <w:rPr>
                      <w:rFonts w:ascii="宋体" w:hAnsi="宋体"/>
                      <w:bCs/>
                      <w:color w:val="auto"/>
                      <w:szCs w:val="20"/>
                      <w:highlight w:val="none"/>
                    </w:rPr>
                    <w:t>万元）</w:t>
                  </w:r>
                </w:p>
              </w:tc>
              <w:tc>
                <w:tcPr>
                  <w:tcW w:w="1433" w:type="dxa"/>
                  <w:tcBorders>
                    <w:top w:val="single" w:color="auto" w:sz="8" w:space="0"/>
                    <w:left w:val="nil"/>
                    <w:bottom w:val="single" w:color="auto" w:sz="8" w:space="0"/>
                    <w:right w:val="single" w:color="auto" w:sz="4" w:space="0"/>
                  </w:tcBorders>
                  <w:vAlign w:val="center"/>
                </w:tcPr>
                <w:p w14:paraId="157ADD8B">
                  <w:pPr>
                    <w:spacing w:line="360" w:lineRule="auto"/>
                    <w:jc w:val="center"/>
                    <w:rPr>
                      <w:rFonts w:ascii="宋体" w:hAnsi="宋体"/>
                      <w:color w:val="auto"/>
                      <w:szCs w:val="21"/>
                      <w:highlight w:val="none"/>
                    </w:rPr>
                  </w:pPr>
                  <w:r>
                    <w:rPr>
                      <w:rFonts w:ascii="宋体" w:hAnsi="宋体"/>
                      <w:bCs/>
                      <w:color w:val="auto"/>
                      <w:szCs w:val="20"/>
                      <w:highlight w:val="none"/>
                    </w:rPr>
                    <w:t>货物招标</w:t>
                  </w:r>
                </w:p>
              </w:tc>
              <w:tc>
                <w:tcPr>
                  <w:tcW w:w="1433" w:type="dxa"/>
                  <w:tcBorders>
                    <w:top w:val="single" w:color="auto" w:sz="4" w:space="0"/>
                    <w:left w:val="single" w:color="auto" w:sz="4" w:space="0"/>
                    <w:bottom w:val="single" w:color="auto" w:sz="4" w:space="0"/>
                    <w:right w:val="single" w:color="auto" w:sz="4" w:space="0"/>
                  </w:tcBorders>
                  <w:vAlign w:val="center"/>
                </w:tcPr>
                <w:p w14:paraId="260A250B">
                  <w:pPr>
                    <w:spacing w:line="360" w:lineRule="auto"/>
                    <w:jc w:val="center"/>
                    <w:rPr>
                      <w:rFonts w:ascii="宋体" w:hAnsi="宋体"/>
                      <w:color w:val="auto"/>
                      <w:szCs w:val="21"/>
                      <w:highlight w:val="none"/>
                    </w:rPr>
                  </w:pPr>
                  <w:r>
                    <w:rPr>
                      <w:rFonts w:ascii="宋体" w:hAnsi="宋体"/>
                      <w:bCs/>
                      <w:color w:val="auto"/>
                      <w:szCs w:val="20"/>
                      <w:highlight w:val="none"/>
                    </w:rPr>
                    <w:t>服务招标</w:t>
                  </w:r>
                </w:p>
              </w:tc>
              <w:tc>
                <w:tcPr>
                  <w:tcW w:w="1433" w:type="dxa"/>
                  <w:tcBorders>
                    <w:top w:val="single" w:color="auto" w:sz="4" w:space="0"/>
                    <w:left w:val="single" w:color="auto" w:sz="4" w:space="0"/>
                    <w:bottom w:val="single" w:color="auto" w:sz="4" w:space="0"/>
                    <w:right w:val="single" w:color="auto" w:sz="4" w:space="0"/>
                  </w:tcBorders>
                  <w:vAlign w:val="center"/>
                </w:tcPr>
                <w:p w14:paraId="74189F16">
                  <w:pPr>
                    <w:spacing w:line="360" w:lineRule="auto"/>
                    <w:jc w:val="center"/>
                    <w:rPr>
                      <w:rFonts w:ascii="宋体" w:hAnsi="宋体"/>
                      <w:bCs/>
                      <w:color w:val="auto"/>
                      <w:szCs w:val="20"/>
                      <w:highlight w:val="none"/>
                    </w:rPr>
                  </w:pPr>
                  <w:r>
                    <w:rPr>
                      <w:rFonts w:ascii="宋体" w:hAnsi="宋体"/>
                      <w:bCs/>
                      <w:color w:val="auto"/>
                      <w:szCs w:val="20"/>
                      <w:highlight w:val="none"/>
                    </w:rPr>
                    <w:t>工程招标</w:t>
                  </w:r>
                </w:p>
              </w:tc>
            </w:tr>
            <w:tr w14:paraId="49DAB4E0">
              <w:tblPrEx>
                <w:tblCellMar>
                  <w:top w:w="0" w:type="dxa"/>
                  <w:left w:w="0" w:type="dxa"/>
                  <w:bottom w:w="0" w:type="dxa"/>
                  <w:right w:w="0" w:type="dxa"/>
                </w:tblCellMar>
              </w:tblPrEx>
              <w:trPr>
                <w:trHeight w:val="433" w:hRule="atLeast"/>
                <w:jc w:val="center"/>
              </w:trPr>
              <w:tc>
                <w:tcPr>
                  <w:tcW w:w="2098" w:type="dxa"/>
                  <w:tcBorders>
                    <w:top w:val="single" w:color="auto" w:sz="4" w:space="0"/>
                    <w:left w:val="single" w:color="auto" w:sz="8" w:space="0"/>
                    <w:bottom w:val="single" w:color="auto" w:sz="8" w:space="0"/>
                    <w:right w:val="single" w:color="auto" w:sz="8" w:space="0"/>
                  </w:tcBorders>
                  <w:vAlign w:val="center"/>
                </w:tcPr>
                <w:p w14:paraId="114FBD25">
                  <w:pPr>
                    <w:spacing w:line="360" w:lineRule="auto"/>
                    <w:jc w:val="center"/>
                    <w:rPr>
                      <w:rFonts w:ascii="宋体" w:hAnsi="宋体"/>
                      <w:color w:val="auto"/>
                      <w:szCs w:val="21"/>
                      <w:highlight w:val="none"/>
                    </w:rPr>
                  </w:pPr>
                  <w:r>
                    <w:rPr>
                      <w:rFonts w:ascii="宋体" w:hAnsi="宋体"/>
                      <w:color w:val="auto"/>
                      <w:szCs w:val="20"/>
                      <w:highlight w:val="none"/>
                    </w:rPr>
                    <w:t>100以下</w:t>
                  </w:r>
                </w:p>
              </w:tc>
              <w:tc>
                <w:tcPr>
                  <w:tcW w:w="1433" w:type="dxa"/>
                  <w:tcBorders>
                    <w:top w:val="single" w:color="auto" w:sz="4" w:space="0"/>
                    <w:left w:val="nil"/>
                    <w:bottom w:val="single" w:color="auto" w:sz="8" w:space="0"/>
                    <w:right w:val="single" w:color="auto" w:sz="4" w:space="0"/>
                  </w:tcBorders>
                  <w:vAlign w:val="center"/>
                </w:tcPr>
                <w:p w14:paraId="55EF8A1F">
                  <w:pPr>
                    <w:spacing w:line="360" w:lineRule="auto"/>
                    <w:jc w:val="center"/>
                    <w:rPr>
                      <w:rFonts w:ascii="宋体" w:hAnsi="宋体"/>
                      <w:color w:val="auto"/>
                      <w:szCs w:val="21"/>
                      <w:highlight w:val="none"/>
                    </w:rPr>
                  </w:pPr>
                  <w:r>
                    <w:rPr>
                      <w:rFonts w:ascii="宋体" w:hAnsi="宋体"/>
                      <w:color w:val="auto"/>
                      <w:szCs w:val="20"/>
                      <w:highlight w:val="none"/>
                    </w:rPr>
                    <w:t>1.5%</w:t>
                  </w:r>
                </w:p>
              </w:tc>
              <w:tc>
                <w:tcPr>
                  <w:tcW w:w="1433" w:type="dxa"/>
                  <w:tcBorders>
                    <w:top w:val="single" w:color="auto" w:sz="4" w:space="0"/>
                    <w:left w:val="single" w:color="auto" w:sz="4" w:space="0"/>
                    <w:bottom w:val="single" w:color="auto" w:sz="4" w:space="0"/>
                    <w:right w:val="single" w:color="auto" w:sz="4" w:space="0"/>
                  </w:tcBorders>
                  <w:vAlign w:val="center"/>
                </w:tcPr>
                <w:p w14:paraId="1CBC2C95">
                  <w:pPr>
                    <w:spacing w:line="360" w:lineRule="auto"/>
                    <w:jc w:val="center"/>
                    <w:rPr>
                      <w:rFonts w:ascii="宋体" w:hAnsi="宋体"/>
                      <w:color w:val="auto"/>
                      <w:szCs w:val="21"/>
                      <w:highlight w:val="none"/>
                    </w:rPr>
                  </w:pPr>
                  <w:r>
                    <w:rPr>
                      <w:rFonts w:ascii="宋体" w:hAnsi="宋体"/>
                      <w:color w:val="auto"/>
                      <w:szCs w:val="20"/>
                      <w:highlight w:val="none"/>
                    </w:rPr>
                    <w:t>1.5%</w:t>
                  </w:r>
                </w:p>
              </w:tc>
              <w:tc>
                <w:tcPr>
                  <w:tcW w:w="1433" w:type="dxa"/>
                  <w:tcBorders>
                    <w:top w:val="single" w:color="auto" w:sz="4" w:space="0"/>
                    <w:left w:val="single" w:color="auto" w:sz="4" w:space="0"/>
                    <w:bottom w:val="single" w:color="auto" w:sz="4" w:space="0"/>
                    <w:right w:val="single" w:color="auto" w:sz="4" w:space="0"/>
                  </w:tcBorders>
                  <w:vAlign w:val="center"/>
                </w:tcPr>
                <w:p w14:paraId="4DD51054">
                  <w:pPr>
                    <w:spacing w:line="360" w:lineRule="auto"/>
                    <w:jc w:val="center"/>
                    <w:rPr>
                      <w:rFonts w:ascii="宋体" w:hAnsi="宋体"/>
                      <w:bCs/>
                      <w:color w:val="auto"/>
                      <w:szCs w:val="20"/>
                      <w:highlight w:val="none"/>
                    </w:rPr>
                  </w:pPr>
                  <w:r>
                    <w:rPr>
                      <w:rFonts w:ascii="宋体" w:hAnsi="宋体"/>
                      <w:bCs/>
                      <w:color w:val="auto"/>
                      <w:szCs w:val="20"/>
                      <w:highlight w:val="none"/>
                    </w:rPr>
                    <w:t>1.0%</w:t>
                  </w:r>
                </w:p>
              </w:tc>
            </w:tr>
            <w:tr w14:paraId="11EF68F5">
              <w:tblPrEx>
                <w:tblCellMar>
                  <w:top w:w="0" w:type="dxa"/>
                  <w:left w:w="0" w:type="dxa"/>
                  <w:bottom w:w="0" w:type="dxa"/>
                  <w:right w:w="0" w:type="dxa"/>
                </w:tblCellMar>
              </w:tblPrEx>
              <w:trPr>
                <w:trHeight w:val="433" w:hRule="atLeast"/>
                <w:jc w:val="center"/>
              </w:trPr>
              <w:tc>
                <w:tcPr>
                  <w:tcW w:w="2098" w:type="dxa"/>
                  <w:tcBorders>
                    <w:top w:val="nil"/>
                    <w:left w:val="single" w:color="auto" w:sz="8" w:space="0"/>
                    <w:bottom w:val="single" w:color="auto" w:sz="8" w:space="0"/>
                    <w:right w:val="single" w:color="auto" w:sz="8" w:space="0"/>
                  </w:tcBorders>
                  <w:vAlign w:val="center"/>
                </w:tcPr>
                <w:p w14:paraId="3F711CE4">
                  <w:pPr>
                    <w:spacing w:line="360" w:lineRule="auto"/>
                    <w:jc w:val="center"/>
                    <w:rPr>
                      <w:rFonts w:ascii="宋体" w:hAnsi="宋体"/>
                      <w:color w:val="auto"/>
                      <w:szCs w:val="21"/>
                      <w:highlight w:val="none"/>
                    </w:rPr>
                  </w:pPr>
                  <w:r>
                    <w:rPr>
                      <w:rFonts w:ascii="宋体" w:hAnsi="宋体"/>
                      <w:color w:val="auto"/>
                      <w:szCs w:val="20"/>
                      <w:highlight w:val="none"/>
                    </w:rPr>
                    <w:t>100-500</w:t>
                  </w:r>
                </w:p>
              </w:tc>
              <w:tc>
                <w:tcPr>
                  <w:tcW w:w="1433" w:type="dxa"/>
                  <w:tcBorders>
                    <w:top w:val="nil"/>
                    <w:left w:val="nil"/>
                    <w:bottom w:val="single" w:color="auto" w:sz="8" w:space="0"/>
                    <w:right w:val="single" w:color="auto" w:sz="4" w:space="0"/>
                  </w:tcBorders>
                  <w:vAlign w:val="center"/>
                </w:tcPr>
                <w:p w14:paraId="05DD852E">
                  <w:pPr>
                    <w:spacing w:line="360" w:lineRule="auto"/>
                    <w:jc w:val="center"/>
                    <w:rPr>
                      <w:rFonts w:ascii="宋体" w:hAnsi="宋体"/>
                      <w:color w:val="auto"/>
                      <w:szCs w:val="21"/>
                      <w:highlight w:val="none"/>
                    </w:rPr>
                  </w:pPr>
                  <w:r>
                    <w:rPr>
                      <w:rFonts w:ascii="宋体" w:hAnsi="宋体"/>
                      <w:color w:val="auto"/>
                      <w:szCs w:val="20"/>
                      <w:highlight w:val="none"/>
                    </w:rPr>
                    <w:t>1.1%</w:t>
                  </w:r>
                </w:p>
              </w:tc>
              <w:tc>
                <w:tcPr>
                  <w:tcW w:w="1433" w:type="dxa"/>
                  <w:tcBorders>
                    <w:top w:val="single" w:color="auto" w:sz="4" w:space="0"/>
                    <w:left w:val="single" w:color="auto" w:sz="4" w:space="0"/>
                    <w:bottom w:val="single" w:color="auto" w:sz="4" w:space="0"/>
                    <w:right w:val="single" w:color="auto" w:sz="4" w:space="0"/>
                  </w:tcBorders>
                  <w:vAlign w:val="center"/>
                </w:tcPr>
                <w:p w14:paraId="7AEBCEB1">
                  <w:pPr>
                    <w:spacing w:line="360" w:lineRule="auto"/>
                    <w:jc w:val="center"/>
                    <w:rPr>
                      <w:rFonts w:ascii="宋体" w:hAnsi="宋体"/>
                      <w:color w:val="auto"/>
                      <w:szCs w:val="21"/>
                      <w:highlight w:val="none"/>
                    </w:rPr>
                  </w:pPr>
                  <w:r>
                    <w:rPr>
                      <w:rFonts w:ascii="宋体" w:hAnsi="宋体"/>
                      <w:color w:val="auto"/>
                      <w:szCs w:val="20"/>
                      <w:highlight w:val="none"/>
                    </w:rPr>
                    <w:t>0.8%</w:t>
                  </w:r>
                </w:p>
              </w:tc>
              <w:tc>
                <w:tcPr>
                  <w:tcW w:w="1433" w:type="dxa"/>
                  <w:tcBorders>
                    <w:top w:val="single" w:color="auto" w:sz="4" w:space="0"/>
                    <w:left w:val="single" w:color="auto" w:sz="4" w:space="0"/>
                    <w:bottom w:val="single" w:color="auto" w:sz="4" w:space="0"/>
                    <w:right w:val="single" w:color="auto" w:sz="4" w:space="0"/>
                  </w:tcBorders>
                  <w:vAlign w:val="center"/>
                </w:tcPr>
                <w:p w14:paraId="54B088C5">
                  <w:pPr>
                    <w:spacing w:line="360" w:lineRule="auto"/>
                    <w:jc w:val="center"/>
                    <w:rPr>
                      <w:rFonts w:ascii="宋体" w:hAnsi="宋体"/>
                      <w:bCs/>
                      <w:color w:val="auto"/>
                      <w:szCs w:val="20"/>
                      <w:highlight w:val="none"/>
                    </w:rPr>
                  </w:pPr>
                  <w:r>
                    <w:rPr>
                      <w:rFonts w:ascii="宋体" w:hAnsi="宋体"/>
                      <w:bCs/>
                      <w:color w:val="auto"/>
                      <w:szCs w:val="20"/>
                      <w:highlight w:val="none"/>
                    </w:rPr>
                    <w:t>0.7%</w:t>
                  </w:r>
                </w:p>
              </w:tc>
            </w:tr>
            <w:tr w14:paraId="1A0CEDFC">
              <w:tblPrEx>
                <w:tblCellMar>
                  <w:top w:w="0" w:type="dxa"/>
                  <w:left w:w="0" w:type="dxa"/>
                  <w:bottom w:w="0" w:type="dxa"/>
                  <w:right w:w="0" w:type="dxa"/>
                </w:tblCellMar>
              </w:tblPrEx>
              <w:trPr>
                <w:trHeight w:val="433" w:hRule="atLeast"/>
                <w:jc w:val="center"/>
              </w:trPr>
              <w:tc>
                <w:tcPr>
                  <w:tcW w:w="2098" w:type="dxa"/>
                  <w:tcBorders>
                    <w:top w:val="nil"/>
                    <w:left w:val="single" w:color="auto" w:sz="8" w:space="0"/>
                    <w:bottom w:val="single" w:color="auto" w:sz="8" w:space="0"/>
                    <w:right w:val="single" w:color="auto" w:sz="8" w:space="0"/>
                  </w:tcBorders>
                  <w:vAlign w:val="center"/>
                </w:tcPr>
                <w:p w14:paraId="4CEC38A8">
                  <w:pPr>
                    <w:spacing w:line="360" w:lineRule="auto"/>
                    <w:jc w:val="center"/>
                    <w:rPr>
                      <w:rFonts w:ascii="宋体" w:hAnsi="宋体"/>
                      <w:color w:val="auto"/>
                      <w:szCs w:val="21"/>
                      <w:highlight w:val="none"/>
                    </w:rPr>
                  </w:pPr>
                  <w:r>
                    <w:rPr>
                      <w:rFonts w:ascii="宋体" w:hAnsi="宋体"/>
                      <w:color w:val="auto"/>
                      <w:szCs w:val="20"/>
                      <w:highlight w:val="none"/>
                    </w:rPr>
                    <w:t>500-1000</w:t>
                  </w:r>
                </w:p>
              </w:tc>
              <w:tc>
                <w:tcPr>
                  <w:tcW w:w="1433" w:type="dxa"/>
                  <w:tcBorders>
                    <w:top w:val="nil"/>
                    <w:left w:val="nil"/>
                    <w:bottom w:val="single" w:color="auto" w:sz="8" w:space="0"/>
                    <w:right w:val="single" w:color="auto" w:sz="4" w:space="0"/>
                  </w:tcBorders>
                  <w:vAlign w:val="center"/>
                </w:tcPr>
                <w:p w14:paraId="7BC62EFC">
                  <w:pPr>
                    <w:spacing w:line="360" w:lineRule="auto"/>
                    <w:jc w:val="center"/>
                    <w:rPr>
                      <w:rFonts w:ascii="宋体" w:hAnsi="宋体"/>
                      <w:color w:val="auto"/>
                      <w:szCs w:val="21"/>
                      <w:highlight w:val="none"/>
                    </w:rPr>
                  </w:pPr>
                  <w:r>
                    <w:rPr>
                      <w:rFonts w:ascii="宋体" w:hAnsi="宋体"/>
                      <w:color w:val="auto"/>
                      <w:szCs w:val="20"/>
                      <w:highlight w:val="none"/>
                    </w:rPr>
                    <w:t>0.8%</w:t>
                  </w:r>
                </w:p>
              </w:tc>
              <w:tc>
                <w:tcPr>
                  <w:tcW w:w="1433" w:type="dxa"/>
                  <w:tcBorders>
                    <w:top w:val="single" w:color="auto" w:sz="4" w:space="0"/>
                    <w:left w:val="single" w:color="auto" w:sz="4" w:space="0"/>
                    <w:bottom w:val="single" w:color="auto" w:sz="4" w:space="0"/>
                    <w:right w:val="single" w:color="auto" w:sz="4" w:space="0"/>
                  </w:tcBorders>
                  <w:vAlign w:val="center"/>
                </w:tcPr>
                <w:p w14:paraId="3077523F">
                  <w:pPr>
                    <w:spacing w:line="360" w:lineRule="auto"/>
                    <w:jc w:val="center"/>
                    <w:rPr>
                      <w:rFonts w:ascii="宋体" w:hAnsi="宋体"/>
                      <w:color w:val="auto"/>
                      <w:szCs w:val="21"/>
                      <w:highlight w:val="none"/>
                    </w:rPr>
                  </w:pPr>
                  <w:r>
                    <w:rPr>
                      <w:rFonts w:ascii="宋体" w:hAnsi="宋体"/>
                      <w:color w:val="auto"/>
                      <w:szCs w:val="20"/>
                      <w:highlight w:val="none"/>
                    </w:rPr>
                    <w:t>0.45%</w:t>
                  </w:r>
                </w:p>
              </w:tc>
              <w:tc>
                <w:tcPr>
                  <w:tcW w:w="1433" w:type="dxa"/>
                  <w:tcBorders>
                    <w:top w:val="single" w:color="auto" w:sz="4" w:space="0"/>
                    <w:left w:val="single" w:color="auto" w:sz="4" w:space="0"/>
                    <w:bottom w:val="single" w:color="auto" w:sz="4" w:space="0"/>
                    <w:right w:val="single" w:color="auto" w:sz="4" w:space="0"/>
                  </w:tcBorders>
                  <w:vAlign w:val="center"/>
                </w:tcPr>
                <w:p w14:paraId="052FDFB3">
                  <w:pPr>
                    <w:spacing w:line="360" w:lineRule="auto"/>
                    <w:jc w:val="center"/>
                    <w:rPr>
                      <w:rFonts w:ascii="宋体" w:hAnsi="宋体"/>
                      <w:bCs/>
                      <w:color w:val="auto"/>
                      <w:szCs w:val="20"/>
                      <w:highlight w:val="none"/>
                    </w:rPr>
                  </w:pPr>
                  <w:r>
                    <w:rPr>
                      <w:rFonts w:ascii="宋体" w:hAnsi="宋体"/>
                      <w:bCs/>
                      <w:color w:val="auto"/>
                      <w:szCs w:val="20"/>
                      <w:highlight w:val="none"/>
                    </w:rPr>
                    <w:t>0.55%</w:t>
                  </w:r>
                </w:p>
              </w:tc>
            </w:tr>
            <w:tr w14:paraId="5DB962FE">
              <w:tblPrEx>
                <w:tblCellMar>
                  <w:top w:w="0" w:type="dxa"/>
                  <w:left w:w="0" w:type="dxa"/>
                  <w:bottom w:w="0" w:type="dxa"/>
                  <w:right w:w="0" w:type="dxa"/>
                </w:tblCellMar>
              </w:tblPrEx>
              <w:trPr>
                <w:trHeight w:val="433" w:hRule="atLeast"/>
                <w:jc w:val="center"/>
              </w:trPr>
              <w:tc>
                <w:tcPr>
                  <w:tcW w:w="2098" w:type="dxa"/>
                  <w:tcBorders>
                    <w:top w:val="nil"/>
                    <w:left w:val="single" w:color="auto" w:sz="8" w:space="0"/>
                    <w:bottom w:val="single" w:color="auto" w:sz="8" w:space="0"/>
                    <w:right w:val="single" w:color="auto" w:sz="8" w:space="0"/>
                  </w:tcBorders>
                  <w:vAlign w:val="center"/>
                </w:tcPr>
                <w:p w14:paraId="74C2BB25">
                  <w:pPr>
                    <w:spacing w:line="360" w:lineRule="auto"/>
                    <w:jc w:val="center"/>
                    <w:rPr>
                      <w:rFonts w:ascii="宋体" w:hAnsi="宋体"/>
                      <w:color w:val="auto"/>
                      <w:szCs w:val="21"/>
                      <w:highlight w:val="none"/>
                    </w:rPr>
                  </w:pPr>
                  <w:r>
                    <w:rPr>
                      <w:rFonts w:ascii="宋体" w:hAnsi="宋体"/>
                      <w:color w:val="auto"/>
                      <w:szCs w:val="20"/>
                      <w:highlight w:val="none"/>
                    </w:rPr>
                    <w:t>1000-5000</w:t>
                  </w:r>
                </w:p>
              </w:tc>
              <w:tc>
                <w:tcPr>
                  <w:tcW w:w="1433" w:type="dxa"/>
                  <w:tcBorders>
                    <w:top w:val="nil"/>
                    <w:left w:val="nil"/>
                    <w:bottom w:val="single" w:color="auto" w:sz="8" w:space="0"/>
                    <w:right w:val="single" w:color="auto" w:sz="4" w:space="0"/>
                  </w:tcBorders>
                  <w:vAlign w:val="center"/>
                </w:tcPr>
                <w:p w14:paraId="1C3AE952">
                  <w:pPr>
                    <w:spacing w:line="360" w:lineRule="auto"/>
                    <w:jc w:val="center"/>
                    <w:rPr>
                      <w:rFonts w:ascii="宋体" w:hAnsi="宋体"/>
                      <w:color w:val="auto"/>
                      <w:szCs w:val="21"/>
                      <w:highlight w:val="none"/>
                    </w:rPr>
                  </w:pPr>
                  <w:r>
                    <w:rPr>
                      <w:rFonts w:ascii="宋体" w:hAnsi="宋体"/>
                      <w:color w:val="auto"/>
                      <w:szCs w:val="20"/>
                      <w:highlight w:val="none"/>
                    </w:rPr>
                    <w:t>0.5%</w:t>
                  </w:r>
                </w:p>
              </w:tc>
              <w:tc>
                <w:tcPr>
                  <w:tcW w:w="1433" w:type="dxa"/>
                  <w:tcBorders>
                    <w:top w:val="single" w:color="auto" w:sz="4" w:space="0"/>
                    <w:left w:val="single" w:color="auto" w:sz="4" w:space="0"/>
                    <w:bottom w:val="single" w:color="auto" w:sz="4" w:space="0"/>
                    <w:right w:val="single" w:color="auto" w:sz="4" w:space="0"/>
                  </w:tcBorders>
                  <w:vAlign w:val="center"/>
                </w:tcPr>
                <w:p w14:paraId="5FBC5BE7">
                  <w:pPr>
                    <w:spacing w:line="360" w:lineRule="auto"/>
                    <w:jc w:val="center"/>
                    <w:rPr>
                      <w:rFonts w:ascii="宋体" w:hAnsi="宋体"/>
                      <w:color w:val="auto"/>
                      <w:szCs w:val="21"/>
                      <w:highlight w:val="none"/>
                    </w:rPr>
                  </w:pPr>
                  <w:r>
                    <w:rPr>
                      <w:rFonts w:ascii="宋体" w:hAnsi="宋体"/>
                      <w:color w:val="auto"/>
                      <w:szCs w:val="20"/>
                      <w:highlight w:val="none"/>
                    </w:rPr>
                    <w:t>0.25%</w:t>
                  </w:r>
                </w:p>
              </w:tc>
              <w:tc>
                <w:tcPr>
                  <w:tcW w:w="1433" w:type="dxa"/>
                  <w:tcBorders>
                    <w:top w:val="single" w:color="auto" w:sz="4" w:space="0"/>
                    <w:left w:val="single" w:color="auto" w:sz="4" w:space="0"/>
                    <w:bottom w:val="single" w:color="auto" w:sz="4" w:space="0"/>
                    <w:right w:val="single" w:color="auto" w:sz="4" w:space="0"/>
                  </w:tcBorders>
                  <w:vAlign w:val="center"/>
                </w:tcPr>
                <w:p w14:paraId="5D186A73">
                  <w:pPr>
                    <w:spacing w:line="360" w:lineRule="auto"/>
                    <w:jc w:val="center"/>
                    <w:rPr>
                      <w:rFonts w:ascii="宋体" w:hAnsi="宋体"/>
                      <w:bCs/>
                      <w:color w:val="auto"/>
                      <w:szCs w:val="20"/>
                      <w:highlight w:val="none"/>
                    </w:rPr>
                  </w:pPr>
                  <w:r>
                    <w:rPr>
                      <w:rFonts w:ascii="宋体" w:hAnsi="宋体"/>
                      <w:bCs/>
                      <w:color w:val="auto"/>
                      <w:szCs w:val="20"/>
                      <w:highlight w:val="none"/>
                    </w:rPr>
                    <w:t>0.35%</w:t>
                  </w:r>
                </w:p>
              </w:tc>
            </w:tr>
            <w:tr w14:paraId="5A9B8877">
              <w:tblPrEx>
                <w:tblCellMar>
                  <w:top w:w="0" w:type="dxa"/>
                  <w:left w:w="0" w:type="dxa"/>
                  <w:bottom w:w="0" w:type="dxa"/>
                  <w:right w:w="0" w:type="dxa"/>
                </w:tblCellMar>
              </w:tblPrEx>
              <w:trPr>
                <w:trHeight w:val="433" w:hRule="atLeast"/>
                <w:jc w:val="center"/>
              </w:trPr>
              <w:tc>
                <w:tcPr>
                  <w:tcW w:w="2098" w:type="dxa"/>
                  <w:tcBorders>
                    <w:top w:val="nil"/>
                    <w:left w:val="single" w:color="auto" w:sz="8" w:space="0"/>
                    <w:bottom w:val="single" w:color="auto" w:sz="8" w:space="0"/>
                    <w:right w:val="single" w:color="auto" w:sz="8" w:space="0"/>
                  </w:tcBorders>
                  <w:vAlign w:val="center"/>
                </w:tcPr>
                <w:p w14:paraId="45C7B1D5">
                  <w:pPr>
                    <w:spacing w:line="360" w:lineRule="auto"/>
                    <w:jc w:val="center"/>
                    <w:rPr>
                      <w:rFonts w:ascii="宋体" w:hAnsi="宋体"/>
                      <w:color w:val="auto"/>
                      <w:szCs w:val="20"/>
                      <w:highlight w:val="none"/>
                    </w:rPr>
                  </w:pPr>
                  <w:r>
                    <w:rPr>
                      <w:rFonts w:ascii="宋体" w:hAnsi="宋体"/>
                      <w:color w:val="auto"/>
                      <w:szCs w:val="20"/>
                      <w:highlight w:val="none"/>
                    </w:rPr>
                    <w:t>5000-10000</w:t>
                  </w:r>
                </w:p>
              </w:tc>
              <w:tc>
                <w:tcPr>
                  <w:tcW w:w="1433" w:type="dxa"/>
                  <w:tcBorders>
                    <w:top w:val="nil"/>
                    <w:left w:val="nil"/>
                    <w:bottom w:val="single" w:color="auto" w:sz="8" w:space="0"/>
                    <w:right w:val="single" w:color="auto" w:sz="4" w:space="0"/>
                  </w:tcBorders>
                  <w:vAlign w:val="center"/>
                </w:tcPr>
                <w:p w14:paraId="7EF6715B">
                  <w:pPr>
                    <w:spacing w:line="360" w:lineRule="auto"/>
                    <w:jc w:val="center"/>
                    <w:rPr>
                      <w:rFonts w:ascii="宋体" w:hAnsi="宋体"/>
                      <w:color w:val="auto"/>
                      <w:szCs w:val="20"/>
                      <w:highlight w:val="none"/>
                    </w:rPr>
                  </w:pPr>
                  <w:r>
                    <w:rPr>
                      <w:rFonts w:ascii="宋体" w:hAnsi="宋体"/>
                      <w:color w:val="auto"/>
                      <w:szCs w:val="20"/>
                      <w:highlight w:val="none"/>
                    </w:rPr>
                    <w:t>0.25%</w:t>
                  </w:r>
                </w:p>
              </w:tc>
              <w:tc>
                <w:tcPr>
                  <w:tcW w:w="1433" w:type="dxa"/>
                  <w:tcBorders>
                    <w:top w:val="single" w:color="auto" w:sz="4" w:space="0"/>
                    <w:left w:val="single" w:color="auto" w:sz="4" w:space="0"/>
                    <w:bottom w:val="single" w:color="auto" w:sz="4" w:space="0"/>
                    <w:right w:val="single" w:color="auto" w:sz="4" w:space="0"/>
                  </w:tcBorders>
                  <w:vAlign w:val="center"/>
                </w:tcPr>
                <w:p w14:paraId="590273A4">
                  <w:pPr>
                    <w:spacing w:line="360" w:lineRule="auto"/>
                    <w:jc w:val="center"/>
                    <w:rPr>
                      <w:rFonts w:ascii="宋体" w:hAnsi="宋体"/>
                      <w:color w:val="auto"/>
                      <w:szCs w:val="20"/>
                      <w:highlight w:val="none"/>
                    </w:rPr>
                  </w:pPr>
                  <w:r>
                    <w:rPr>
                      <w:rFonts w:ascii="宋体" w:hAnsi="宋体"/>
                      <w:color w:val="auto"/>
                      <w:szCs w:val="20"/>
                      <w:highlight w:val="none"/>
                    </w:rPr>
                    <w:t>0.10%</w:t>
                  </w:r>
                </w:p>
              </w:tc>
              <w:tc>
                <w:tcPr>
                  <w:tcW w:w="1433" w:type="dxa"/>
                  <w:tcBorders>
                    <w:top w:val="single" w:color="auto" w:sz="4" w:space="0"/>
                    <w:left w:val="single" w:color="auto" w:sz="4" w:space="0"/>
                    <w:bottom w:val="single" w:color="auto" w:sz="4" w:space="0"/>
                    <w:right w:val="single" w:color="auto" w:sz="4" w:space="0"/>
                  </w:tcBorders>
                  <w:vAlign w:val="center"/>
                </w:tcPr>
                <w:p w14:paraId="43F376B2">
                  <w:pPr>
                    <w:spacing w:line="360" w:lineRule="auto"/>
                    <w:jc w:val="center"/>
                    <w:rPr>
                      <w:rFonts w:ascii="宋体" w:hAnsi="宋体"/>
                      <w:bCs/>
                      <w:color w:val="auto"/>
                      <w:szCs w:val="20"/>
                      <w:highlight w:val="none"/>
                    </w:rPr>
                  </w:pPr>
                  <w:r>
                    <w:rPr>
                      <w:rFonts w:ascii="宋体" w:hAnsi="宋体"/>
                      <w:color w:val="auto"/>
                      <w:szCs w:val="20"/>
                      <w:highlight w:val="none"/>
                    </w:rPr>
                    <w:t>0.20%</w:t>
                  </w:r>
                </w:p>
              </w:tc>
            </w:tr>
            <w:tr w14:paraId="39A41780">
              <w:tblPrEx>
                <w:tblCellMar>
                  <w:top w:w="0" w:type="dxa"/>
                  <w:left w:w="0" w:type="dxa"/>
                  <w:bottom w:w="0" w:type="dxa"/>
                  <w:right w:w="0" w:type="dxa"/>
                </w:tblCellMar>
              </w:tblPrEx>
              <w:trPr>
                <w:trHeight w:val="433" w:hRule="atLeast"/>
                <w:jc w:val="center"/>
              </w:trPr>
              <w:tc>
                <w:tcPr>
                  <w:tcW w:w="2098" w:type="dxa"/>
                  <w:tcBorders>
                    <w:top w:val="nil"/>
                    <w:left w:val="single" w:color="auto" w:sz="8" w:space="0"/>
                    <w:bottom w:val="single" w:color="auto" w:sz="8" w:space="0"/>
                    <w:right w:val="single" w:color="auto" w:sz="8" w:space="0"/>
                  </w:tcBorders>
                  <w:vAlign w:val="center"/>
                </w:tcPr>
                <w:p w14:paraId="5DAE1D21">
                  <w:pPr>
                    <w:spacing w:line="360" w:lineRule="auto"/>
                    <w:jc w:val="center"/>
                    <w:rPr>
                      <w:rFonts w:ascii="宋体" w:hAnsi="宋体"/>
                      <w:color w:val="auto"/>
                      <w:szCs w:val="20"/>
                      <w:highlight w:val="none"/>
                    </w:rPr>
                  </w:pPr>
                  <w:r>
                    <w:rPr>
                      <w:rFonts w:ascii="宋体" w:hAnsi="宋体"/>
                      <w:color w:val="auto"/>
                      <w:szCs w:val="20"/>
                      <w:highlight w:val="none"/>
                    </w:rPr>
                    <w:t>10000-100000</w:t>
                  </w:r>
                </w:p>
              </w:tc>
              <w:tc>
                <w:tcPr>
                  <w:tcW w:w="1433" w:type="dxa"/>
                  <w:tcBorders>
                    <w:top w:val="nil"/>
                    <w:left w:val="nil"/>
                    <w:bottom w:val="single" w:color="auto" w:sz="8" w:space="0"/>
                    <w:right w:val="single" w:color="auto" w:sz="4" w:space="0"/>
                  </w:tcBorders>
                  <w:vAlign w:val="center"/>
                </w:tcPr>
                <w:p w14:paraId="5239AF6C">
                  <w:pPr>
                    <w:spacing w:line="360" w:lineRule="auto"/>
                    <w:jc w:val="center"/>
                    <w:rPr>
                      <w:rFonts w:ascii="宋体" w:hAnsi="宋体"/>
                      <w:color w:val="auto"/>
                      <w:szCs w:val="20"/>
                      <w:highlight w:val="none"/>
                    </w:rPr>
                  </w:pPr>
                  <w:r>
                    <w:rPr>
                      <w:rFonts w:ascii="宋体" w:hAnsi="宋体"/>
                      <w:color w:val="auto"/>
                      <w:szCs w:val="20"/>
                      <w:highlight w:val="none"/>
                    </w:rPr>
                    <w:t>0.05%</w:t>
                  </w:r>
                </w:p>
              </w:tc>
              <w:tc>
                <w:tcPr>
                  <w:tcW w:w="1433" w:type="dxa"/>
                  <w:tcBorders>
                    <w:top w:val="single" w:color="auto" w:sz="4" w:space="0"/>
                    <w:left w:val="single" w:color="auto" w:sz="4" w:space="0"/>
                    <w:bottom w:val="single" w:color="auto" w:sz="4" w:space="0"/>
                    <w:right w:val="single" w:color="auto" w:sz="4" w:space="0"/>
                  </w:tcBorders>
                  <w:vAlign w:val="center"/>
                </w:tcPr>
                <w:p w14:paraId="6E7037E7">
                  <w:pPr>
                    <w:spacing w:line="360" w:lineRule="auto"/>
                    <w:jc w:val="center"/>
                    <w:rPr>
                      <w:rFonts w:ascii="宋体" w:hAnsi="宋体"/>
                      <w:color w:val="auto"/>
                      <w:szCs w:val="20"/>
                      <w:highlight w:val="none"/>
                    </w:rPr>
                  </w:pPr>
                  <w:r>
                    <w:rPr>
                      <w:rFonts w:ascii="宋体" w:hAnsi="宋体"/>
                      <w:color w:val="auto"/>
                      <w:szCs w:val="20"/>
                      <w:highlight w:val="none"/>
                    </w:rPr>
                    <w:t>0.05%</w:t>
                  </w:r>
                </w:p>
              </w:tc>
              <w:tc>
                <w:tcPr>
                  <w:tcW w:w="1433" w:type="dxa"/>
                  <w:tcBorders>
                    <w:top w:val="single" w:color="auto" w:sz="4" w:space="0"/>
                    <w:left w:val="single" w:color="auto" w:sz="4" w:space="0"/>
                    <w:bottom w:val="single" w:color="auto" w:sz="4" w:space="0"/>
                    <w:right w:val="single" w:color="auto" w:sz="4" w:space="0"/>
                  </w:tcBorders>
                  <w:vAlign w:val="center"/>
                </w:tcPr>
                <w:p w14:paraId="655CDE62">
                  <w:pPr>
                    <w:spacing w:line="360" w:lineRule="auto"/>
                    <w:jc w:val="center"/>
                    <w:rPr>
                      <w:rFonts w:ascii="宋体" w:hAnsi="宋体"/>
                      <w:bCs/>
                      <w:color w:val="auto"/>
                      <w:szCs w:val="20"/>
                      <w:highlight w:val="none"/>
                    </w:rPr>
                  </w:pPr>
                  <w:r>
                    <w:rPr>
                      <w:rFonts w:ascii="宋体" w:hAnsi="宋体"/>
                      <w:color w:val="auto"/>
                      <w:szCs w:val="20"/>
                      <w:highlight w:val="none"/>
                    </w:rPr>
                    <w:t>0.05%</w:t>
                  </w:r>
                </w:p>
              </w:tc>
            </w:tr>
            <w:tr w14:paraId="1690D828">
              <w:tblPrEx>
                <w:tblCellMar>
                  <w:top w:w="0" w:type="dxa"/>
                  <w:left w:w="0" w:type="dxa"/>
                  <w:bottom w:w="0" w:type="dxa"/>
                  <w:right w:w="0" w:type="dxa"/>
                </w:tblCellMar>
              </w:tblPrEx>
              <w:trPr>
                <w:trHeight w:val="451" w:hRule="atLeast"/>
                <w:jc w:val="center"/>
              </w:trPr>
              <w:tc>
                <w:tcPr>
                  <w:tcW w:w="2098" w:type="dxa"/>
                  <w:tcBorders>
                    <w:top w:val="nil"/>
                    <w:left w:val="single" w:color="auto" w:sz="8" w:space="0"/>
                    <w:bottom w:val="single" w:color="auto" w:sz="8" w:space="0"/>
                    <w:right w:val="single" w:color="auto" w:sz="8" w:space="0"/>
                  </w:tcBorders>
                  <w:vAlign w:val="center"/>
                </w:tcPr>
                <w:p w14:paraId="6695CAE6">
                  <w:pPr>
                    <w:spacing w:line="360" w:lineRule="auto"/>
                    <w:jc w:val="center"/>
                    <w:rPr>
                      <w:rFonts w:ascii="宋体" w:hAnsi="宋体"/>
                      <w:color w:val="auto"/>
                      <w:szCs w:val="21"/>
                      <w:highlight w:val="none"/>
                    </w:rPr>
                  </w:pPr>
                  <w:r>
                    <w:rPr>
                      <w:rFonts w:ascii="宋体" w:hAnsi="宋体"/>
                      <w:color w:val="auto"/>
                      <w:szCs w:val="21"/>
                      <w:highlight w:val="none"/>
                    </w:rPr>
                    <w:t>100000以上</w:t>
                  </w:r>
                </w:p>
              </w:tc>
              <w:tc>
                <w:tcPr>
                  <w:tcW w:w="1433" w:type="dxa"/>
                  <w:tcBorders>
                    <w:top w:val="nil"/>
                    <w:left w:val="nil"/>
                    <w:bottom w:val="single" w:color="auto" w:sz="8" w:space="0"/>
                    <w:right w:val="single" w:color="auto" w:sz="4" w:space="0"/>
                  </w:tcBorders>
                  <w:vAlign w:val="center"/>
                </w:tcPr>
                <w:p w14:paraId="56AA1687">
                  <w:pPr>
                    <w:spacing w:line="360" w:lineRule="auto"/>
                    <w:jc w:val="center"/>
                    <w:rPr>
                      <w:rFonts w:ascii="宋体" w:hAnsi="宋体"/>
                      <w:color w:val="auto"/>
                      <w:szCs w:val="21"/>
                      <w:highlight w:val="none"/>
                    </w:rPr>
                  </w:pPr>
                  <w:r>
                    <w:rPr>
                      <w:rFonts w:ascii="宋体" w:hAnsi="宋体"/>
                      <w:color w:val="auto"/>
                      <w:szCs w:val="20"/>
                      <w:highlight w:val="none"/>
                    </w:rPr>
                    <w:t>0.01%</w:t>
                  </w:r>
                </w:p>
              </w:tc>
              <w:tc>
                <w:tcPr>
                  <w:tcW w:w="1433" w:type="dxa"/>
                  <w:tcBorders>
                    <w:top w:val="single" w:color="auto" w:sz="4" w:space="0"/>
                    <w:left w:val="single" w:color="auto" w:sz="4" w:space="0"/>
                    <w:bottom w:val="single" w:color="auto" w:sz="4" w:space="0"/>
                    <w:right w:val="single" w:color="auto" w:sz="4" w:space="0"/>
                  </w:tcBorders>
                  <w:vAlign w:val="center"/>
                </w:tcPr>
                <w:p w14:paraId="2A412616">
                  <w:pPr>
                    <w:spacing w:line="360" w:lineRule="auto"/>
                    <w:jc w:val="center"/>
                    <w:rPr>
                      <w:rFonts w:ascii="宋体" w:hAnsi="宋体"/>
                      <w:color w:val="auto"/>
                      <w:szCs w:val="21"/>
                      <w:highlight w:val="none"/>
                    </w:rPr>
                  </w:pPr>
                  <w:r>
                    <w:rPr>
                      <w:rFonts w:ascii="宋体" w:hAnsi="宋体"/>
                      <w:color w:val="auto"/>
                      <w:szCs w:val="20"/>
                      <w:highlight w:val="none"/>
                    </w:rPr>
                    <w:t>0.01%</w:t>
                  </w:r>
                </w:p>
              </w:tc>
              <w:tc>
                <w:tcPr>
                  <w:tcW w:w="1433" w:type="dxa"/>
                  <w:tcBorders>
                    <w:top w:val="single" w:color="auto" w:sz="4" w:space="0"/>
                    <w:left w:val="single" w:color="auto" w:sz="4" w:space="0"/>
                    <w:bottom w:val="single" w:color="auto" w:sz="4" w:space="0"/>
                    <w:right w:val="single" w:color="auto" w:sz="4" w:space="0"/>
                  </w:tcBorders>
                  <w:vAlign w:val="center"/>
                </w:tcPr>
                <w:p w14:paraId="30279AE9">
                  <w:pPr>
                    <w:spacing w:line="360" w:lineRule="auto"/>
                    <w:jc w:val="center"/>
                    <w:rPr>
                      <w:rFonts w:ascii="宋体" w:hAnsi="宋体"/>
                      <w:bCs/>
                      <w:color w:val="auto"/>
                      <w:szCs w:val="20"/>
                      <w:highlight w:val="none"/>
                    </w:rPr>
                  </w:pPr>
                  <w:r>
                    <w:rPr>
                      <w:rFonts w:ascii="宋体" w:hAnsi="宋体"/>
                      <w:color w:val="auto"/>
                      <w:szCs w:val="20"/>
                      <w:highlight w:val="none"/>
                    </w:rPr>
                    <w:t>0.01%</w:t>
                  </w:r>
                </w:p>
              </w:tc>
            </w:tr>
          </w:tbl>
          <w:p w14:paraId="5F567DEA">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收取</w:t>
            </w:r>
            <w:r>
              <w:rPr>
                <w:rFonts w:hint="eastAsia" w:ascii="宋体" w:hAnsi="宋体" w:eastAsia="宋体" w:cs="宋体"/>
                <w:i w:val="0"/>
                <w:iCs w:val="0"/>
                <w:color w:val="auto"/>
                <w:sz w:val="24"/>
                <w:szCs w:val="24"/>
                <w:highlight w:val="none"/>
              </w:rPr>
              <w:t>时间：领取成交通知书前</w:t>
            </w:r>
          </w:p>
          <w:p w14:paraId="1EE12DCD">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收取</w:t>
            </w:r>
            <w:r>
              <w:rPr>
                <w:rFonts w:hint="eastAsia" w:ascii="宋体" w:hAnsi="宋体" w:eastAsia="宋体" w:cs="宋体"/>
                <w:i w:val="0"/>
                <w:iCs w:val="0"/>
                <w:color w:val="auto"/>
                <w:sz w:val="24"/>
                <w:szCs w:val="24"/>
                <w:highlight w:val="none"/>
              </w:rPr>
              <w:t>方式：</w:t>
            </w:r>
            <w:r>
              <w:rPr>
                <w:rFonts w:hint="eastAsia" w:ascii="宋体" w:hAnsi="宋体" w:cs="宋体"/>
                <w:color w:val="auto"/>
                <w:sz w:val="24"/>
                <w:highlight w:val="none"/>
              </w:rPr>
              <w:t>电汇，由成交人一次性支付</w:t>
            </w:r>
            <w:r>
              <w:rPr>
                <w:rFonts w:hint="eastAsia" w:cs="宋体"/>
                <w:color w:val="auto"/>
                <w:sz w:val="24"/>
                <w:highlight w:val="none"/>
                <w:lang w:eastAsia="zh-CN"/>
              </w:rPr>
              <w:t>。</w:t>
            </w:r>
          </w:p>
        </w:tc>
      </w:tr>
      <w:tr w14:paraId="6F701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5EB639A">
            <w:pPr>
              <w:pStyle w:val="50"/>
              <w:spacing w:line="360" w:lineRule="auto"/>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39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p>
        </w:tc>
        <w:tc>
          <w:tcPr>
            <w:tcW w:w="1721" w:type="dxa"/>
            <w:tcBorders>
              <w:top w:val="single" w:color="auto" w:sz="2" w:space="0"/>
              <w:left w:val="single" w:color="auto" w:sz="2" w:space="0"/>
              <w:bottom w:val="single" w:color="auto" w:sz="2" w:space="0"/>
              <w:right w:val="single" w:color="auto" w:sz="2" w:space="0"/>
            </w:tcBorders>
            <w:vAlign w:val="center"/>
          </w:tcPr>
          <w:p w14:paraId="623E81DC">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支持中小企业政策</w:t>
            </w:r>
            <w:r>
              <w:rPr>
                <w:rStyle w:val="36"/>
                <w:rFonts w:hint="eastAsia" w:ascii="宋体" w:hAnsi="宋体" w:eastAsia="宋体" w:cs="宋体"/>
                <w:b w:val="0"/>
                <w:i w:val="0"/>
                <w:iCs w:val="0"/>
                <w:color w:val="auto"/>
                <w:sz w:val="24"/>
                <w:szCs w:val="24"/>
                <w:highlight w:val="none"/>
                <w:lang w:val="en-US" w:eastAsia="zh-CN"/>
              </w:rPr>
              <w:t>（非专门面向中小企业采购项目适用）</w:t>
            </w:r>
          </w:p>
        </w:tc>
        <w:tc>
          <w:tcPr>
            <w:tcW w:w="6663" w:type="dxa"/>
            <w:tcBorders>
              <w:top w:val="single" w:color="auto" w:sz="2" w:space="0"/>
              <w:left w:val="single" w:color="auto" w:sz="2" w:space="0"/>
              <w:bottom w:val="single" w:color="auto" w:sz="2" w:space="0"/>
              <w:right w:val="single" w:color="auto" w:sz="2" w:space="0"/>
            </w:tcBorders>
            <w:vAlign w:val="center"/>
          </w:tcPr>
          <w:p w14:paraId="037BAE96">
            <w:pPr>
              <w:pStyle w:val="63"/>
              <w:widowControl w:val="0"/>
              <w:spacing w:before="0" w:beforeAutospacing="0" w:after="0" w:afterAutospacing="0" w:line="36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1</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18DFD5A2">
            <w:pPr>
              <w:pStyle w:val="63"/>
              <w:widowControl w:val="0"/>
              <w:spacing w:before="0" w:beforeAutospacing="0" w:after="0" w:afterAutospacing="0" w:line="36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2</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监狱企业价格扣除：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568FA892">
            <w:pPr>
              <w:pStyle w:val="63"/>
              <w:widowControl w:val="0"/>
              <w:spacing w:before="0" w:beforeAutospacing="0" w:after="0" w:afterAutospacing="0" w:line="36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3</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残疾人福利性单位价格扣除：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30B8D435">
            <w:pPr>
              <w:pStyle w:val="63"/>
              <w:widowControl w:val="0"/>
              <w:spacing w:before="0" w:beforeAutospacing="0" w:after="0" w:afterAutospacing="0" w:line="36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4</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794EB896">
            <w:pPr>
              <w:pStyle w:val="63"/>
              <w:widowControl w:val="0"/>
              <w:spacing w:before="0" w:beforeAutospacing="0" w:after="0" w:afterAutospacing="0" w:line="360" w:lineRule="auto"/>
              <w:jc w:val="both"/>
              <w:rPr>
                <w:rFonts w:hint="eastAsia" w:ascii="宋体" w:hAnsi="宋体" w:eastAsia="宋体" w:cs="宋体"/>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5</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。（允许大中型企业向小微企业分包的项目适用）</w:t>
            </w:r>
          </w:p>
        </w:tc>
      </w:tr>
      <w:tr w14:paraId="0160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vAlign w:val="center"/>
          </w:tcPr>
          <w:p w14:paraId="790F1479">
            <w:pPr>
              <w:pStyle w:val="50"/>
              <w:spacing w:line="360" w:lineRule="auto"/>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39.9</w:t>
            </w:r>
          </w:p>
        </w:tc>
        <w:tc>
          <w:tcPr>
            <w:tcW w:w="1721" w:type="dxa"/>
            <w:tcBorders>
              <w:top w:val="single" w:color="auto" w:sz="2" w:space="0"/>
              <w:left w:val="single" w:color="auto" w:sz="2" w:space="0"/>
              <w:bottom w:val="single" w:color="auto" w:sz="2" w:space="0"/>
              <w:right w:val="single" w:color="auto" w:sz="2" w:space="0"/>
            </w:tcBorders>
            <w:vAlign w:val="center"/>
          </w:tcPr>
          <w:p w14:paraId="4DEF3B1D">
            <w:pPr>
              <w:pStyle w:val="50"/>
              <w:spacing w:line="360" w:lineRule="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标的所属行业</w:t>
            </w:r>
          </w:p>
          <w:p w14:paraId="2A0D024C">
            <w:pPr>
              <w:pStyle w:val="50"/>
              <w:spacing w:line="360" w:lineRule="auto"/>
              <w:rPr>
                <w:rFonts w:hint="eastAsia" w:ascii="宋体" w:hAnsi="宋体" w:eastAsia="宋体" w:cs="宋体"/>
                <w:i w:val="0"/>
                <w:iCs w:val="0"/>
                <w:color w:val="auto"/>
                <w:sz w:val="24"/>
                <w:szCs w:val="24"/>
                <w:highlight w:val="none"/>
              </w:rPr>
            </w:pPr>
            <w:r>
              <w:rPr>
                <w:rStyle w:val="36"/>
                <w:rFonts w:hint="eastAsia" w:ascii="宋体" w:hAnsi="宋体" w:eastAsia="宋体" w:cs="宋体"/>
                <w:b w:val="0"/>
                <w:i w:val="0"/>
                <w:iCs w:val="0"/>
                <w:color w:val="auto"/>
                <w:sz w:val="24"/>
                <w:szCs w:val="24"/>
                <w:highlight w:val="none"/>
                <w:lang w:val="en-US" w:eastAsia="zh-CN"/>
              </w:rPr>
              <w:t>参照后附</w:t>
            </w:r>
            <w:r>
              <w:rPr>
                <w:rStyle w:val="36"/>
                <w:rFonts w:hint="eastAsia" w:ascii="宋体" w:hAnsi="宋体" w:eastAsia="宋体" w:cs="宋体"/>
                <w:b w:val="0"/>
                <w:i w:val="0"/>
                <w:iCs w:val="0"/>
                <w:color w:val="auto"/>
                <w:sz w:val="24"/>
                <w:szCs w:val="24"/>
                <w:highlight w:val="none"/>
                <w:lang w:eastAsia="zh-CN"/>
              </w:rPr>
              <w:t>《</w:t>
            </w:r>
            <w:r>
              <w:rPr>
                <w:rStyle w:val="36"/>
                <w:rFonts w:hint="eastAsia" w:ascii="宋体" w:hAnsi="宋体" w:eastAsia="宋体" w:cs="宋体"/>
                <w:b w:val="0"/>
                <w:i w:val="0"/>
                <w:iCs w:val="0"/>
                <w:color w:val="auto"/>
                <w:sz w:val="24"/>
                <w:szCs w:val="24"/>
                <w:highlight w:val="none"/>
              </w:rPr>
              <w:t>工信部联企业〔2011〕300号</w:t>
            </w:r>
            <w:r>
              <w:rPr>
                <w:rStyle w:val="36"/>
                <w:rFonts w:hint="eastAsia" w:ascii="宋体" w:hAnsi="宋体" w:eastAsia="宋体" w:cs="宋体"/>
                <w:b w:val="0"/>
                <w:i w:val="0"/>
                <w:iCs w:val="0"/>
                <w:color w:val="auto"/>
                <w:sz w:val="24"/>
                <w:szCs w:val="24"/>
                <w:highlight w:val="none"/>
                <w:lang w:eastAsia="zh-CN"/>
              </w:rPr>
              <w:t>》</w:t>
            </w:r>
          </w:p>
        </w:tc>
        <w:tc>
          <w:tcPr>
            <w:tcW w:w="6663" w:type="dxa"/>
            <w:tcBorders>
              <w:top w:val="single" w:color="auto" w:sz="2" w:space="0"/>
              <w:left w:val="single" w:color="auto" w:sz="2" w:space="0"/>
              <w:bottom w:val="single" w:color="auto" w:sz="2" w:space="0"/>
              <w:right w:val="single" w:color="auto" w:sz="2" w:space="0"/>
            </w:tcBorders>
            <w:vAlign w:val="center"/>
          </w:tcPr>
          <w:p w14:paraId="73639D39">
            <w:pPr>
              <w:keepNext w:val="0"/>
              <w:keepLines w:val="0"/>
              <w:widowControl/>
              <w:suppressLineNumbers w:val="0"/>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本项目采购标的对应的中小企业划分标准所属行业： </w:t>
            </w:r>
          </w:p>
          <w:tbl>
            <w:tblPr>
              <w:tblStyle w:val="34"/>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997"/>
              <w:gridCol w:w="3072"/>
            </w:tblGrid>
            <w:tr w14:paraId="385E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664177">
                  <w:pPr>
                    <w:keepNext w:val="0"/>
                    <w:keepLines w:val="0"/>
                    <w:widowControl/>
                    <w:suppressLineNumbers w:val="0"/>
                    <w:spacing w:line="360" w:lineRule="auto"/>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包号</w:t>
                  </w:r>
                </w:p>
              </w:tc>
              <w:tc>
                <w:tcPr>
                  <w:tcW w:w="1997" w:type="dxa"/>
                  <w:vAlign w:val="center"/>
                </w:tcPr>
                <w:p w14:paraId="0AD36816">
                  <w:pPr>
                    <w:keepNext w:val="0"/>
                    <w:keepLines w:val="0"/>
                    <w:widowControl/>
                    <w:suppressLineNumbers w:val="0"/>
                    <w:spacing w:line="360" w:lineRule="auto"/>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标的名称</w:t>
                  </w:r>
                </w:p>
              </w:tc>
              <w:tc>
                <w:tcPr>
                  <w:tcW w:w="3072" w:type="dxa"/>
                  <w:vAlign w:val="center"/>
                </w:tcPr>
                <w:p w14:paraId="2C78D772">
                  <w:pPr>
                    <w:keepNext w:val="0"/>
                    <w:keepLines w:val="0"/>
                    <w:widowControl/>
                    <w:suppressLineNumbers w:val="0"/>
                    <w:spacing w:line="360" w:lineRule="auto"/>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中小企业划分标准所属行业</w:t>
                  </w:r>
                </w:p>
              </w:tc>
            </w:tr>
            <w:tr w14:paraId="53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5DA92CB">
                  <w:pPr>
                    <w:keepNext w:val="0"/>
                    <w:keepLines w:val="0"/>
                    <w:widowControl/>
                    <w:suppressLineNumbers w:val="0"/>
                    <w:spacing w:line="360" w:lineRule="auto"/>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vertAlign w:val="baseline"/>
                      <w:lang w:val="en-US" w:eastAsia="zh-CN" w:bidi="ar"/>
                    </w:rPr>
                    <w:t>第1包</w:t>
                  </w:r>
                </w:p>
              </w:tc>
              <w:tc>
                <w:tcPr>
                  <w:tcW w:w="1997" w:type="dxa"/>
                  <w:vAlign w:val="center"/>
                </w:tcPr>
                <w:p w14:paraId="7B94C3FE">
                  <w:pPr>
                    <w:keepNext w:val="0"/>
                    <w:keepLines w:val="0"/>
                    <w:widowControl/>
                    <w:suppressLineNumbers w:val="0"/>
                    <w:spacing w:line="360" w:lineRule="auto"/>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lang w:eastAsia="zh-CN"/>
                    </w:rPr>
                    <w:t>临床教学楼会议室等楼宇室外屋面防水维修</w:t>
                  </w:r>
                </w:p>
              </w:tc>
              <w:tc>
                <w:tcPr>
                  <w:tcW w:w="3072" w:type="dxa"/>
                  <w:vAlign w:val="center"/>
                </w:tcPr>
                <w:p w14:paraId="33535D95">
                  <w:pPr>
                    <w:keepNext w:val="0"/>
                    <w:keepLines w:val="0"/>
                    <w:widowControl/>
                    <w:suppressLineNumbers w:val="0"/>
                    <w:spacing w:line="360" w:lineRule="auto"/>
                    <w:jc w:val="center"/>
                    <w:rPr>
                      <w:rFonts w:hint="default"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vertAlign w:val="baseline"/>
                      <w:lang w:val="en-US" w:eastAsia="zh-CN" w:bidi="ar"/>
                    </w:rPr>
                    <w:t>建筑业</w:t>
                  </w:r>
                </w:p>
              </w:tc>
            </w:tr>
          </w:tbl>
          <w:p w14:paraId="4176FC14">
            <w:pPr>
              <w:pStyle w:val="50"/>
              <w:spacing w:line="360" w:lineRule="auto"/>
              <w:rPr>
                <w:rFonts w:hint="eastAsia" w:ascii="宋体" w:hAnsi="宋体" w:eastAsia="宋体" w:cs="宋体"/>
                <w:i w:val="0"/>
                <w:iCs w:val="0"/>
                <w:color w:val="auto"/>
                <w:sz w:val="24"/>
                <w:szCs w:val="24"/>
                <w:highlight w:val="none"/>
              </w:rPr>
            </w:pPr>
          </w:p>
        </w:tc>
      </w:tr>
      <w:tr w14:paraId="02EBB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30"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A432A49">
            <w:pPr>
              <w:pStyle w:val="50"/>
              <w:spacing w:line="360" w:lineRule="auto"/>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40.5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045319EF">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优先采购创新节能环保产品</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1F559201">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产品纳入创新产品应用示范推荐目录内企业、所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产品获得节能产品或环境标志产品认证证书的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报价给予</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的价格扣除。</w:t>
            </w:r>
          </w:p>
        </w:tc>
      </w:tr>
      <w:tr w14:paraId="5DE88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786DB02">
            <w:pPr>
              <w:pStyle w:val="50"/>
              <w:spacing w:line="360" w:lineRule="auto"/>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2BEF7B44">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政府采购合同融资政策</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17FC93B6">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有融资需求的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人在获得政府采购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通知书后，即可向开展“政采贷”业务的金融机构提出申请，金融机构依据政府采购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通知书和政府采购合同，为中小微企业提供融资服务。</w:t>
            </w:r>
          </w:p>
          <w:p w14:paraId="123A0A39">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渠道和方式：</w:t>
            </w:r>
            <w:r>
              <w:rPr>
                <w:rFonts w:hint="eastAsia" w:ascii="宋体" w:hAnsi="宋体" w:eastAsia="宋体" w:cs="宋体"/>
                <w:i w:val="0"/>
                <w:iCs w:val="0"/>
                <w:color w:val="auto"/>
                <w:sz w:val="24"/>
                <w:szCs w:val="24"/>
                <w:highlight w:val="none"/>
                <w:lang w:val="en-US" w:eastAsia="zh-CN"/>
              </w:rPr>
              <w:t>详见新疆政府采购网</w:t>
            </w:r>
            <w:r>
              <w:rPr>
                <w:rFonts w:hint="eastAsia" w:ascii="宋体" w:hAnsi="宋体" w:eastAsia="宋体" w:cs="宋体"/>
                <w:i w:val="0"/>
                <w:iCs w:val="0"/>
                <w:color w:val="auto"/>
                <w:sz w:val="24"/>
                <w:szCs w:val="24"/>
                <w:highlight w:val="none"/>
              </w:rPr>
              <w:t>。</w:t>
            </w:r>
          </w:p>
          <w:p w14:paraId="61ADB7F0">
            <w:pPr>
              <w:pStyle w:val="50"/>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r>
              <w:rPr>
                <w:rFonts w:hint="eastAsia" w:ascii="宋体" w:hAnsi="宋体" w:eastAsia="宋体" w:cs="宋体"/>
                <w:i w:val="0"/>
                <w:iCs w:val="0"/>
                <w:color w:val="auto"/>
                <w:sz w:val="24"/>
                <w:szCs w:val="24"/>
                <w:highlight w:val="none"/>
                <w:lang w:eastAsia="zh-CN"/>
              </w:rPr>
              <w:t>。</w:t>
            </w:r>
          </w:p>
        </w:tc>
      </w:tr>
      <w:tr w14:paraId="54F8D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98" w:hRule="atLeast"/>
        </w:trPr>
        <w:tc>
          <w:tcPr>
            <w:tcW w:w="970" w:type="dxa"/>
            <w:tcBorders>
              <w:top w:val="single" w:color="auto" w:sz="2" w:space="0"/>
              <w:left w:val="single" w:color="auto" w:sz="2" w:space="0"/>
              <w:bottom w:val="single" w:color="auto" w:sz="2" w:space="0"/>
              <w:right w:val="single" w:color="auto" w:sz="4" w:space="0"/>
            </w:tcBorders>
            <w:vAlign w:val="center"/>
          </w:tcPr>
          <w:p w14:paraId="342D37A4">
            <w:pPr>
              <w:pStyle w:val="50"/>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4" w:space="0"/>
            </w:tcBorders>
            <w:vAlign w:val="center"/>
          </w:tcPr>
          <w:p w14:paraId="57A459C3">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需要补充的其他内容</w:t>
            </w:r>
          </w:p>
        </w:tc>
        <w:tc>
          <w:tcPr>
            <w:tcW w:w="6663" w:type="dxa"/>
            <w:tcBorders>
              <w:top w:val="single" w:color="auto" w:sz="2" w:space="0"/>
              <w:left w:val="single" w:color="auto" w:sz="4" w:space="0"/>
              <w:bottom w:val="single" w:color="auto" w:sz="2" w:space="0"/>
              <w:right w:val="single" w:color="auto" w:sz="2" w:space="0"/>
            </w:tcBorders>
            <w:vAlign w:val="center"/>
          </w:tcPr>
          <w:p w14:paraId="0FF8CEBC">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电子标书加盖印章的两种方式:一种为电子章;另一种为纸质版盖章后扫描，两种方式的任意一种在评审时均予认可。</w:t>
            </w:r>
          </w:p>
          <w:p w14:paraId="63C3D971">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供应商在上传电子响应文件时，需在“商务技术响应文件”中按响应文件格式要求上传完整的响应文件(从封面开始至最后一页)。</w:t>
            </w:r>
          </w:p>
          <w:p w14:paraId="7766FEAB">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潜在供应商领取文件须提前完成注册、CA证书和电子签章申领和绑定、下载投标客户端。因未注册入库、未办理CA数字证书、CA证书故障、操作不当等原因造成无法投标或投标失败等后果由供应商自行承担。CA证书办理可通过在线APP“新疆政务通”或新疆CA网点办理CA数字证书和电子签章；若单位已经办理过新疆CA证书且证书符合国产密码算法要求，可直接联系发证机构，申请增加“政采云”招投标电子签章，无需重新办理。</w:t>
            </w:r>
          </w:p>
          <w:p w14:paraId="3C3213E8">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★低于成本价不正当竞争预防措施(实质性要求)：在评审过程中，磋商小组认为供应商报价低于成本价，有可能影响产品质</w:t>
            </w:r>
            <w:r>
              <w:rPr>
                <w:rFonts w:hint="eastAsia" w:ascii="宋体" w:hAnsi="宋体" w:eastAsia="宋体" w:cs="宋体"/>
                <w:b w:val="0"/>
                <w:bCs/>
                <w:color w:val="auto"/>
                <w:sz w:val="24"/>
                <w:szCs w:val="24"/>
                <w:highlight w:val="none"/>
                <w:lang w:eastAsia="zh-CN"/>
              </w:rPr>
              <w:t>量或者不能诚信履约的，磋商小组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供应商书面说明应当签字确认或者加盖公章，否则无效。书面说明的签字确认，供应商为法人的，由其法定代表人或者代理人签字确认</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供应商为其他组织的，由其主要负责人或者代理人签字确认</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供应商为自然人的，由其本人或者代理人签字确认。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p w14:paraId="3353CA42">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ascii="宋体" w:hAnsi="宋体" w:eastAsia="宋体" w:cs="宋体"/>
                <w:color w:val="auto"/>
                <w:kern w:val="1"/>
                <w:sz w:val="24"/>
                <w:szCs w:val="24"/>
                <w:highlight w:val="none"/>
              </w:rPr>
              <w:t>在评审过程直至签订合同前的任何时间，如经证实发现供应商提供虚假投标资料(包括技术支持资料)或信息骗取成交的，或者未按本竞争性磋商文件要求提交履约保证金的（如有要求），将取消其成交资格，没收其磋商保证金，并报主管部门备案。</w:t>
            </w:r>
          </w:p>
          <w:p w14:paraId="2C74B85D">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供应商操作指南详见新疆政府采购网（http://www.ccgp-xinjiang.gov.cn/）—办事指南—操作指南。</w:t>
            </w:r>
          </w:p>
          <w:p w14:paraId="1C17D85D">
            <w:pPr>
              <w:pStyle w:val="50"/>
              <w:numPr>
                <w:ilvl w:val="0"/>
                <w:numId w:val="1"/>
              </w:numPr>
              <w:shd w:val="clear"/>
              <w:spacing w:line="360" w:lineRule="auto"/>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系统操作问题请咨询技术支持电话0991-2899144，CA办理问题请咨询新疆CA服务电话0991-2819290，或加QQ号800175577。</w:t>
            </w:r>
          </w:p>
          <w:p w14:paraId="5232ACBF">
            <w:pPr>
              <w:pStyle w:val="50"/>
              <w:numPr>
                <w:ilvl w:val="0"/>
                <w:numId w:val="1"/>
              </w:numPr>
              <w:shd w:val="clear"/>
              <w:spacing w:line="360" w:lineRule="auto"/>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val="en-US" w:eastAsia="zh-CN"/>
              </w:rPr>
              <w:t>为支持和促进中小企业发展，进一步发挥政府采购政策功能，鼓励金融机构积极开发灵活适用的政府采购金融服务产品，拓宽企业融资渠道。鼓励供应商使用政采云电子保函代替现金缴纳磋商保证金，如履约保证金与预付款保证金等，具体可登录【新疆政府采购网】-【电子保函】模块查看：直达链接：</w:t>
            </w:r>
            <w:r>
              <w:rPr>
                <w:rFonts w:hint="eastAsia" w:cs="宋体"/>
                <w:i w:val="0"/>
                <w:iCs w:val="0"/>
                <w:color w:val="auto"/>
                <w:sz w:val="24"/>
                <w:szCs w:val="24"/>
                <w:highlight w:val="none"/>
                <w:lang w:val="en-US" w:eastAsia="zh-CN"/>
              </w:rPr>
              <w:fldChar w:fldCharType="begin"/>
            </w:r>
            <w:r>
              <w:rPr>
                <w:rFonts w:hint="eastAsia" w:cs="宋体"/>
                <w:i w:val="0"/>
                <w:iCs w:val="0"/>
                <w:color w:val="auto"/>
                <w:sz w:val="24"/>
                <w:szCs w:val="24"/>
                <w:highlight w:val="none"/>
                <w:lang w:val="en-US" w:eastAsia="zh-CN"/>
              </w:rPr>
              <w:instrText xml:space="preserve"> HYPERLINK "https://jinrong.zcygov.cn/luban/finance/letter/xinjiang?pageModelFlag=650000" </w:instrText>
            </w:r>
            <w:r>
              <w:rPr>
                <w:rFonts w:hint="eastAsia" w:cs="宋体"/>
                <w:i w:val="0"/>
                <w:iCs w:val="0"/>
                <w:color w:val="auto"/>
                <w:sz w:val="24"/>
                <w:szCs w:val="24"/>
                <w:highlight w:val="none"/>
                <w:lang w:val="en-US" w:eastAsia="zh-CN"/>
              </w:rPr>
              <w:fldChar w:fldCharType="separate"/>
            </w:r>
            <w:r>
              <w:rPr>
                <w:rStyle w:val="37"/>
                <w:rFonts w:hint="eastAsia" w:cs="宋体"/>
                <w:i w:val="0"/>
                <w:iCs w:val="0"/>
                <w:sz w:val="24"/>
                <w:szCs w:val="24"/>
                <w:highlight w:val="none"/>
                <w:lang w:val="en-US" w:eastAsia="zh-CN"/>
              </w:rPr>
              <w:t>https://jinrong.zcygov.cn/luban/finance/letter/xinjiang?pageModelFlag=650000</w:t>
            </w:r>
            <w:r>
              <w:rPr>
                <w:rFonts w:hint="eastAsia" w:cs="宋体"/>
                <w:i w:val="0"/>
                <w:iCs w:val="0"/>
                <w:color w:val="auto"/>
                <w:sz w:val="24"/>
                <w:szCs w:val="24"/>
                <w:highlight w:val="none"/>
                <w:lang w:val="en-US" w:eastAsia="zh-CN"/>
              </w:rPr>
              <w:fldChar w:fldCharType="end"/>
            </w:r>
          </w:p>
        </w:tc>
      </w:tr>
      <w:tr w14:paraId="1707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354" w:type="dxa"/>
            <w:gridSpan w:val="3"/>
            <w:tcBorders>
              <w:top w:val="single" w:color="auto" w:sz="2" w:space="0"/>
              <w:left w:val="single" w:color="auto" w:sz="2" w:space="0"/>
              <w:bottom w:val="single" w:color="auto" w:sz="2" w:space="0"/>
              <w:right w:val="single" w:color="auto" w:sz="2" w:space="0"/>
            </w:tcBorders>
            <w:vAlign w:val="center"/>
          </w:tcPr>
          <w:p w14:paraId="5B1D7000">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除本竞争性磋商文件另有规定外，竞争性磋商文件中出现的类似于“近三年”或“前三年”、“近五年”或“前五年”均指递交响应文件时间以前三年或前五年，以此类推。如：递交响应文件时间为</w:t>
            </w:r>
            <w:r>
              <w:rPr>
                <w:rFonts w:hint="eastAsia" w:cs="宋体"/>
                <w:i w:val="0"/>
                <w:iCs w:val="0"/>
                <w:color w:val="auto"/>
                <w:sz w:val="24"/>
                <w:szCs w:val="24"/>
                <w:highlight w:val="none"/>
                <w:lang w:val="en-US" w:eastAsia="zh-CN"/>
              </w:rPr>
              <w:t>2025</w:t>
            </w:r>
            <w:r>
              <w:rPr>
                <w:rFonts w:hint="eastAsia" w:ascii="宋体" w:hAnsi="宋体" w:eastAsia="宋体" w:cs="宋体"/>
                <w:i w:val="0"/>
                <w:iCs w:val="0"/>
                <w:color w:val="auto"/>
                <w:sz w:val="24"/>
                <w:szCs w:val="24"/>
                <w:highlight w:val="none"/>
              </w:rPr>
              <w:t>年</w:t>
            </w:r>
            <w:r>
              <w:rPr>
                <w:rFonts w:hint="eastAsia"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月</w:t>
            </w:r>
            <w:r>
              <w:rPr>
                <w:rFonts w:hint="eastAsia"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日，则“近三年”是指</w:t>
            </w:r>
            <w:r>
              <w:rPr>
                <w:rFonts w:hint="eastAsia" w:cs="宋体"/>
                <w:i w:val="0"/>
                <w:iCs w:val="0"/>
                <w:color w:val="auto"/>
                <w:sz w:val="24"/>
                <w:szCs w:val="24"/>
                <w:highlight w:val="none"/>
                <w:lang w:val="en-US" w:eastAsia="zh-CN"/>
              </w:rPr>
              <w:t>2022</w:t>
            </w:r>
            <w:r>
              <w:rPr>
                <w:rFonts w:hint="eastAsia" w:ascii="宋体" w:hAnsi="宋体" w:eastAsia="宋体" w:cs="宋体"/>
                <w:i w:val="0"/>
                <w:iCs w:val="0"/>
                <w:color w:val="auto"/>
                <w:sz w:val="24"/>
                <w:szCs w:val="24"/>
                <w:highlight w:val="none"/>
              </w:rPr>
              <w:t>年</w:t>
            </w:r>
            <w:r>
              <w:rPr>
                <w:rFonts w:hint="eastAsia"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月</w:t>
            </w:r>
            <w:r>
              <w:rPr>
                <w:rFonts w:hint="eastAsia"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日至</w:t>
            </w:r>
            <w:r>
              <w:rPr>
                <w:rFonts w:hint="eastAsia" w:cs="宋体"/>
                <w:i w:val="0"/>
                <w:iCs w:val="0"/>
                <w:color w:val="auto"/>
                <w:sz w:val="24"/>
                <w:szCs w:val="24"/>
                <w:highlight w:val="none"/>
                <w:lang w:val="en-US" w:eastAsia="zh-CN"/>
              </w:rPr>
              <w:t>2025</w:t>
            </w:r>
            <w:r>
              <w:rPr>
                <w:rFonts w:hint="eastAsia" w:ascii="宋体" w:hAnsi="宋体" w:eastAsia="宋体" w:cs="宋体"/>
                <w:i w:val="0"/>
                <w:iCs w:val="0"/>
                <w:color w:val="auto"/>
                <w:sz w:val="24"/>
                <w:szCs w:val="24"/>
                <w:highlight w:val="none"/>
              </w:rPr>
              <w:t>年</w:t>
            </w:r>
            <w:r>
              <w:rPr>
                <w:rFonts w:hint="eastAsia"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月</w:t>
            </w:r>
            <w:r>
              <w:rPr>
                <w:rFonts w:hint="eastAsia"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日。</w:t>
            </w:r>
          </w:p>
          <w:p w14:paraId="56860BDC">
            <w:pPr>
              <w:pStyle w:val="50"/>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本竞争性磋商文件所称的“以上”、“以下”、“内”、“以内”，包括本数；所称的“不足”，不包括本数。</w:t>
            </w:r>
          </w:p>
        </w:tc>
      </w:tr>
      <w:bookmarkEnd w:id="85"/>
    </w:tbl>
    <w:p w14:paraId="1CF0D4F4">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87" w:name="_Toc17054"/>
      <w:r>
        <w:rPr>
          <w:rFonts w:hint="eastAsia" w:eastAsia="宋体" w:asciiTheme="majorHAnsi" w:hAnsiTheme="majorHAnsi" w:cstheme="majorBidi"/>
          <w:b/>
          <w:bCs/>
          <w:color w:val="auto"/>
          <w:kern w:val="2"/>
          <w:sz w:val="28"/>
          <w:szCs w:val="28"/>
          <w:highlight w:val="none"/>
          <w:lang w:val="en-US" w:eastAsia="zh-CN" w:bidi="ar-SA"/>
        </w:rPr>
        <w:t>二、供应商须知</w:t>
      </w:r>
      <w:bookmarkEnd w:id="87"/>
    </w:p>
    <w:p w14:paraId="04978FCD">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88" w:name="_Toc109899532"/>
      <w:bookmarkStart w:id="89" w:name="_Toc109897433"/>
      <w:bookmarkStart w:id="90" w:name="_Toc109899951"/>
      <w:bookmarkStart w:id="91" w:name="_Toc109900370"/>
      <w:bookmarkStart w:id="92" w:name="_Toc163493611"/>
      <w:bookmarkStart w:id="93" w:name="_Toc28862"/>
      <w:bookmarkStart w:id="94" w:name="_Toc46771638"/>
      <w:bookmarkStart w:id="95" w:name="_Toc470172694"/>
      <w:r>
        <w:rPr>
          <w:rFonts w:hint="eastAsia" w:ascii="宋体" w:hAnsi="宋体" w:eastAsia="宋体" w:cs="宋体"/>
          <w:b/>
          <w:bCs/>
          <w:color w:val="auto"/>
          <w:kern w:val="2"/>
          <w:sz w:val="24"/>
          <w:szCs w:val="24"/>
          <w:highlight w:val="none"/>
          <w:lang w:val="en-US" w:eastAsia="zh-CN" w:bidi="ar-SA"/>
        </w:rPr>
        <w:t>（一）总则</w:t>
      </w:r>
      <w:bookmarkEnd w:id="88"/>
      <w:bookmarkEnd w:id="89"/>
      <w:bookmarkEnd w:id="90"/>
      <w:bookmarkEnd w:id="91"/>
      <w:bookmarkEnd w:id="92"/>
      <w:bookmarkEnd w:id="93"/>
      <w:bookmarkEnd w:id="94"/>
    </w:p>
    <w:p w14:paraId="18977FAF">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96" w:name="_Toc109899952"/>
      <w:bookmarkStart w:id="97" w:name="_Toc52962726"/>
      <w:bookmarkStart w:id="98" w:name="_Toc470172664"/>
      <w:bookmarkStart w:id="99" w:name="_Toc27243"/>
      <w:bookmarkStart w:id="100" w:name="_Toc109899533"/>
      <w:bookmarkStart w:id="101" w:name="_Toc48688788"/>
      <w:bookmarkStart w:id="102" w:name="_Toc46771639"/>
      <w:bookmarkStart w:id="103" w:name="_Toc46772240"/>
      <w:bookmarkStart w:id="104" w:name="_Toc51674210"/>
      <w:bookmarkStart w:id="105" w:name="_Toc48846108"/>
      <w:bookmarkStart w:id="106" w:name="_Toc52960552"/>
      <w:bookmarkStart w:id="107" w:name="_Toc109897434"/>
      <w:bookmarkStart w:id="108" w:name="_Toc109900371"/>
      <w:r>
        <w:rPr>
          <w:rFonts w:hint="eastAsia" w:ascii="宋体" w:hAnsi="宋体" w:eastAsia="宋体" w:cs="宋体"/>
          <w:b/>
          <w:bCs/>
          <w:color w:val="auto"/>
          <w:kern w:val="2"/>
          <w:sz w:val="24"/>
          <w:szCs w:val="24"/>
          <w:highlight w:val="none"/>
          <w:lang w:val="en-US" w:eastAsia="zh-CN" w:bidi="ar-SA"/>
        </w:rPr>
        <w:t>1.适用范围</w:t>
      </w:r>
      <w:bookmarkEnd w:id="96"/>
      <w:bookmarkEnd w:id="97"/>
      <w:bookmarkEnd w:id="98"/>
      <w:bookmarkEnd w:id="99"/>
      <w:bookmarkEnd w:id="100"/>
      <w:bookmarkEnd w:id="101"/>
      <w:bookmarkEnd w:id="102"/>
      <w:bookmarkEnd w:id="103"/>
      <w:bookmarkEnd w:id="104"/>
      <w:bookmarkEnd w:id="105"/>
      <w:bookmarkEnd w:id="106"/>
      <w:bookmarkEnd w:id="107"/>
      <w:bookmarkEnd w:id="108"/>
    </w:p>
    <w:p w14:paraId="3FAC17DD">
      <w:pPr>
        <w:pStyle w:val="40"/>
        <w:keepNext w:val="0"/>
        <w:keepLines w:val="0"/>
        <w:pageBreakBefore w:val="0"/>
        <w:widowControl w:val="0"/>
        <w:kinsoku/>
        <w:overflowPunct/>
        <w:topLinePunct w:val="0"/>
        <w:bidi w:val="0"/>
        <w:ind w:firstLine="480"/>
        <w:textAlignment w:val="auto"/>
        <w:rPr>
          <w:i w:val="0"/>
          <w:iCs w:val="0"/>
          <w:snapToGrid w:val="0"/>
          <w:color w:val="auto"/>
          <w:highlight w:val="none"/>
        </w:rPr>
      </w:pPr>
      <w:r>
        <w:rPr>
          <w:rFonts w:hint="eastAsia"/>
          <w:i w:val="0"/>
          <w:iCs w:val="0"/>
          <w:snapToGrid w:val="0"/>
          <w:color w:val="auto"/>
          <w:highlight w:val="none"/>
        </w:rPr>
        <w:t>1.1本竞争性磋商文件</w:t>
      </w:r>
      <w:r>
        <w:rPr>
          <w:rFonts w:hint="eastAsia" w:cs="宋体"/>
          <w:i w:val="0"/>
          <w:iCs w:val="0"/>
          <w:snapToGrid w:val="0"/>
          <w:color w:val="auto"/>
          <w:highlight w:val="none"/>
        </w:rPr>
        <w:t>（也称磋商文件或采购文件）</w:t>
      </w:r>
      <w:r>
        <w:rPr>
          <w:rFonts w:hint="eastAsia"/>
          <w:i w:val="0"/>
          <w:iCs w:val="0"/>
          <w:snapToGrid w:val="0"/>
          <w:color w:val="auto"/>
          <w:highlight w:val="none"/>
        </w:rPr>
        <w:t>仅适用于本次竞争性磋商中所述项目的采购活动。</w:t>
      </w:r>
    </w:p>
    <w:p w14:paraId="34F08411">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09" w:name="_Toc163492824"/>
      <w:r>
        <w:rPr>
          <w:rFonts w:hint="eastAsia" w:ascii="宋体" w:hAnsi="宋体" w:eastAsia="宋体" w:cs="宋体"/>
          <w:b/>
          <w:bCs/>
          <w:color w:val="auto"/>
          <w:kern w:val="2"/>
          <w:sz w:val="24"/>
          <w:szCs w:val="24"/>
          <w:highlight w:val="none"/>
          <w:lang w:val="en-US" w:eastAsia="zh-CN" w:bidi="ar-SA"/>
        </w:rPr>
        <w:t>2.基本定义</w:t>
      </w:r>
      <w:bookmarkEnd w:id="109"/>
    </w:p>
    <w:p w14:paraId="768D70C2">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2.1根据《中华人民共和国政府采购法》及其实施条例等有关法律、法规和规章的规定，制定本竞争性磋商文件。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i w:val="0"/>
          <w:iCs w:val="0"/>
          <w:color w:val="auto"/>
          <w:highlight w:val="none"/>
        </w:rPr>
      </w:pPr>
      <w:r>
        <w:rPr>
          <w:rFonts w:hint="eastAsia"/>
          <w:i w:val="0"/>
          <w:iCs w:val="0"/>
          <w:color w:val="auto"/>
          <w:highlight w:val="none"/>
        </w:rPr>
        <w:t>2.2采购人：</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i w:val="0"/>
          <w:iCs w:val="0"/>
          <w:color w:val="auto"/>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i w:val="0"/>
          <w:iCs w:val="0"/>
          <w:color w:val="auto"/>
          <w:highlight w:val="none"/>
        </w:rPr>
      </w:pPr>
      <w:r>
        <w:rPr>
          <w:rFonts w:hint="eastAsia"/>
          <w:i w:val="0"/>
          <w:iCs w:val="0"/>
          <w:color w:val="auto"/>
          <w:highlight w:val="none"/>
        </w:rPr>
        <w:t>2.3采购代理机构：</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i w:val="0"/>
          <w:iCs w:val="0"/>
          <w:color w:val="auto"/>
          <w:highlight w:val="none"/>
          <w:lang w:val="en-US" w:eastAsia="zh-CN"/>
        </w:rPr>
        <w:t>委托的采购代理机构</w:t>
      </w:r>
      <w:r>
        <w:rPr>
          <w:rFonts w:hint="eastAsia"/>
          <w:i w:val="0"/>
          <w:iCs w:val="0"/>
          <w:color w:val="auto"/>
          <w:highlight w:val="none"/>
        </w:rPr>
        <w:t>。</w:t>
      </w:r>
    </w:p>
    <w:p w14:paraId="26D50742">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41307B6">
      <w:pPr>
        <w:spacing w:line="360" w:lineRule="auto"/>
        <w:ind w:firstLine="480" w:firstLineChars="200"/>
        <w:rPr>
          <w:rFonts w:ascii="宋体" w:hAnsi="宋体" w:eastAsia="宋体"/>
          <w:i w:val="0"/>
          <w:iCs w:val="0"/>
          <w:color w:val="auto"/>
          <w:sz w:val="24"/>
          <w:highlight w:val="none"/>
        </w:rPr>
      </w:pPr>
      <w:r>
        <w:rPr>
          <w:rFonts w:hint="eastAsia"/>
          <w:i w:val="0"/>
          <w:iCs w:val="0"/>
          <w:color w:val="auto"/>
          <w:highlight w:val="none"/>
          <w:lang w:val="en-US" w:eastAsia="zh-CN"/>
        </w:rPr>
        <w:t>2.5供应商（也称“申请人”）：指向采购人提供货物、工程或者服务的法人、其他组织或者自然人。</w:t>
      </w:r>
      <w:r>
        <w:rPr>
          <w:rFonts w:hint="eastAsia" w:ascii="宋体" w:hAnsi="宋体" w:eastAsia="宋体"/>
          <w:i w:val="0"/>
          <w:iCs w:val="0"/>
          <w:color w:val="auto"/>
          <w:sz w:val="24"/>
          <w:highlight w:val="none"/>
        </w:rPr>
        <w:t>分支机构不得参加政府采购活动，</w:t>
      </w:r>
      <w:r>
        <w:rPr>
          <w:rFonts w:hint="eastAsia"/>
          <w:i w:val="0"/>
          <w:iCs w:val="0"/>
          <w:color w:val="auto"/>
          <w:highlight w:val="none"/>
        </w:rPr>
        <w:t>但银行、保险、石油石化、电力、电信等</w:t>
      </w:r>
      <w:r>
        <w:rPr>
          <w:rFonts w:hint="eastAsia"/>
          <w:i w:val="0"/>
          <w:iCs w:val="0"/>
          <w:color w:val="auto"/>
          <w:highlight w:val="none"/>
          <w:lang w:val="en-US" w:eastAsia="zh-CN"/>
        </w:rPr>
        <w:t>有</w:t>
      </w:r>
      <w:r>
        <w:rPr>
          <w:rFonts w:hint="eastAsia"/>
          <w:i w:val="0"/>
          <w:iCs w:val="0"/>
          <w:color w:val="auto"/>
          <w:highlight w:val="none"/>
        </w:rPr>
        <w:t>行业特殊</w:t>
      </w:r>
      <w:r>
        <w:rPr>
          <w:rFonts w:hint="eastAsia"/>
          <w:i w:val="0"/>
          <w:iCs w:val="0"/>
          <w:color w:val="auto"/>
          <w:highlight w:val="none"/>
          <w:lang w:val="en-US" w:eastAsia="zh-CN"/>
        </w:rPr>
        <w:t>情况的</w:t>
      </w:r>
      <w:r>
        <w:rPr>
          <w:rFonts w:hint="eastAsia"/>
          <w:i w:val="0"/>
          <w:iCs w:val="0"/>
          <w:color w:val="auto"/>
          <w:highlight w:val="none"/>
        </w:rPr>
        <w:t>除外。</w:t>
      </w:r>
      <w:r>
        <w:rPr>
          <w:rFonts w:ascii="宋体" w:hAnsi="宋体" w:eastAsia="宋体"/>
          <w:i w:val="0"/>
          <w:iCs w:val="0"/>
          <w:color w:val="auto"/>
          <w:sz w:val="24"/>
          <w:highlight w:val="none"/>
        </w:rPr>
        <w:t>本项目的</w:t>
      </w:r>
      <w:r>
        <w:rPr>
          <w:rFonts w:hint="eastAsia"/>
          <w:i w:val="0"/>
          <w:iCs w:val="0"/>
          <w:color w:val="auto"/>
          <w:sz w:val="24"/>
          <w:highlight w:val="none"/>
          <w:lang w:val="en-US" w:eastAsia="zh-CN"/>
        </w:rPr>
        <w:t>供应商</w:t>
      </w:r>
      <w:r>
        <w:rPr>
          <w:rFonts w:ascii="宋体" w:hAnsi="宋体" w:eastAsia="宋体"/>
          <w:i w:val="0"/>
          <w:iCs w:val="0"/>
          <w:color w:val="auto"/>
          <w:sz w:val="24"/>
          <w:highlight w:val="none"/>
        </w:rPr>
        <w:t>须满足以下条件：</w:t>
      </w:r>
    </w:p>
    <w:p w14:paraId="11EA4CC6">
      <w:pPr>
        <w:spacing w:line="360" w:lineRule="auto"/>
        <w:ind w:firstLine="480" w:firstLineChars="200"/>
        <w:rPr>
          <w:rFonts w:ascii="宋体" w:hAnsi="宋体" w:eastAsia="宋体"/>
          <w:i w:val="0"/>
          <w:iCs w:val="0"/>
          <w:color w:val="auto"/>
          <w:sz w:val="24"/>
          <w:highlight w:val="none"/>
        </w:rPr>
      </w:pPr>
      <w:r>
        <w:rPr>
          <w:rFonts w:hint="eastAsia"/>
          <w:i w:val="0"/>
          <w:iCs w:val="0"/>
          <w:color w:val="auto"/>
          <w:sz w:val="24"/>
          <w:highlight w:val="none"/>
          <w:lang w:val="en-US" w:eastAsia="zh-CN"/>
        </w:rPr>
        <w:t>2</w:t>
      </w:r>
      <w:r>
        <w:rPr>
          <w:rFonts w:hint="eastAsia" w:ascii="宋体" w:hAnsi="宋体" w:eastAsia="宋体"/>
          <w:i w:val="0"/>
          <w:iCs w:val="0"/>
          <w:color w:val="auto"/>
          <w:sz w:val="24"/>
          <w:highlight w:val="none"/>
          <w:lang w:eastAsia="zh-CN"/>
        </w:rPr>
        <w:t>.</w:t>
      </w:r>
      <w:r>
        <w:rPr>
          <w:rFonts w:hint="eastAsia"/>
          <w:i w:val="0"/>
          <w:iCs w:val="0"/>
          <w:color w:val="auto"/>
          <w:sz w:val="24"/>
          <w:highlight w:val="none"/>
          <w:lang w:val="en-US" w:eastAsia="zh-CN"/>
        </w:rPr>
        <w:t>5</w:t>
      </w:r>
      <w:r>
        <w:rPr>
          <w:rFonts w:ascii="宋体" w:hAnsi="宋体" w:eastAsia="宋体"/>
          <w:i w:val="0"/>
          <w:iCs w:val="0"/>
          <w:color w:val="auto"/>
          <w:sz w:val="24"/>
          <w:highlight w:val="none"/>
        </w:rPr>
        <w:t>.</w:t>
      </w:r>
      <w:r>
        <w:rPr>
          <w:rFonts w:hint="eastAsia" w:ascii="宋体" w:hAnsi="宋体" w:eastAsia="宋体"/>
          <w:i w:val="0"/>
          <w:iCs w:val="0"/>
          <w:color w:val="auto"/>
          <w:sz w:val="24"/>
          <w:highlight w:val="none"/>
          <w:lang w:val="en-US" w:eastAsia="zh-CN"/>
        </w:rPr>
        <w:t>1</w:t>
      </w:r>
      <w:r>
        <w:rPr>
          <w:rFonts w:ascii="宋体" w:hAnsi="宋体" w:eastAsia="宋体"/>
          <w:i w:val="0"/>
          <w:iCs w:val="0"/>
          <w:color w:val="auto"/>
          <w:sz w:val="24"/>
          <w:highlight w:val="none"/>
        </w:rPr>
        <w:t>具备《中华人民共和国政府采购法》第二十二条规定的</w:t>
      </w:r>
      <w:r>
        <w:rPr>
          <w:rFonts w:hint="eastAsia"/>
          <w:i w:val="0"/>
          <w:iCs w:val="0"/>
          <w:color w:val="auto"/>
          <w:sz w:val="24"/>
          <w:highlight w:val="none"/>
          <w:lang w:val="en-US" w:eastAsia="zh-CN"/>
        </w:rPr>
        <w:t>条件</w:t>
      </w:r>
      <w:r>
        <w:rPr>
          <w:rFonts w:ascii="宋体" w:hAnsi="宋体" w:eastAsia="宋体"/>
          <w:i w:val="0"/>
          <w:iCs w:val="0"/>
          <w:color w:val="auto"/>
          <w:sz w:val="24"/>
          <w:highlight w:val="none"/>
        </w:rPr>
        <w:t>，遵守本项目采购人本级和上级财政部门政府采购的有关规定。</w:t>
      </w:r>
    </w:p>
    <w:p w14:paraId="766B5509">
      <w:pPr>
        <w:pStyle w:val="40"/>
        <w:keepNext w:val="0"/>
        <w:keepLines w:val="0"/>
        <w:pageBreakBefore w:val="0"/>
        <w:widowControl w:val="0"/>
        <w:kinsoku/>
        <w:overflowPunct/>
        <w:topLinePunct w:val="0"/>
        <w:bidi w:val="0"/>
        <w:ind w:firstLine="480"/>
        <w:textAlignment w:val="auto"/>
        <w:rPr>
          <w:rFonts w:ascii="宋体" w:hAnsi="宋体" w:eastAsia="宋体"/>
          <w:i w:val="0"/>
          <w:iCs w:val="0"/>
          <w:color w:val="auto"/>
          <w:sz w:val="24"/>
          <w:highlight w:val="none"/>
        </w:rPr>
      </w:pPr>
      <w:r>
        <w:rPr>
          <w:rFonts w:hint="eastAsia"/>
          <w:i w:val="0"/>
          <w:iCs w:val="0"/>
          <w:color w:val="auto"/>
          <w:sz w:val="24"/>
          <w:highlight w:val="none"/>
          <w:lang w:val="en-US" w:eastAsia="zh-CN"/>
        </w:rPr>
        <w:t>2</w:t>
      </w:r>
      <w:r>
        <w:rPr>
          <w:rFonts w:hint="eastAsia" w:ascii="宋体" w:hAnsi="宋体" w:eastAsia="宋体"/>
          <w:i w:val="0"/>
          <w:iCs w:val="0"/>
          <w:color w:val="auto"/>
          <w:sz w:val="24"/>
          <w:highlight w:val="none"/>
          <w:lang w:eastAsia="zh-CN"/>
        </w:rPr>
        <w:t>.</w:t>
      </w:r>
      <w:r>
        <w:rPr>
          <w:rFonts w:hint="eastAsia"/>
          <w:i w:val="0"/>
          <w:iCs w:val="0"/>
          <w:color w:val="auto"/>
          <w:sz w:val="24"/>
          <w:highlight w:val="none"/>
          <w:lang w:val="en-US" w:eastAsia="zh-CN"/>
        </w:rPr>
        <w:t>5</w:t>
      </w:r>
      <w:r>
        <w:rPr>
          <w:rFonts w:ascii="宋体" w:hAnsi="宋体" w:eastAsia="宋体"/>
          <w:i w:val="0"/>
          <w:iCs w:val="0"/>
          <w:color w:val="auto"/>
          <w:sz w:val="24"/>
          <w:highlight w:val="none"/>
        </w:rPr>
        <w:t>.</w:t>
      </w:r>
      <w:r>
        <w:rPr>
          <w:rFonts w:hint="eastAsia" w:ascii="宋体" w:hAnsi="宋体" w:eastAsia="宋体"/>
          <w:i w:val="0"/>
          <w:iCs w:val="0"/>
          <w:color w:val="auto"/>
          <w:sz w:val="24"/>
          <w:highlight w:val="none"/>
          <w:lang w:val="en-US" w:eastAsia="zh-CN"/>
        </w:rPr>
        <w:t>2</w:t>
      </w:r>
      <w:r>
        <w:rPr>
          <w:rFonts w:ascii="宋体" w:hAnsi="宋体" w:eastAsia="宋体"/>
          <w:i w:val="0"/>
          <w:iCs w:val="0"/>
          <w:color w:val="auto"/>
          <w:sz w:val="24"/>
          <w:highlight w:val="none"/>
        </w:rPr>
        <w:t>以</w:t>
      </w:r>
      <w:r>
        <w:rPr>
          <w:rFonts w:hint="eastAsia"/>
          <w:i w:val="0"/>
          <w:iCs w:val="0"/>
          <w:color w:val="auto"/>
          <w:sz w:val="24"/>
          <w:highlight w:val="none"/>
          <w:lang w:val="en-US" w:eastAsia="zh-CN"/>
        </w:rPr>
        <w:t>竞争性磋商公告中发布</w:t>
      </w:r>
      <w:r>
        <w:rPr>
          <w:rFonts w:ascii="宋体" w:hAnsi="宋体" w:eastAsia="宋体"/>
          <w:i w:val="0"/>
          <w:iCs w:val="0"/>
          <w:color w:val="auto"/>
          <w:sz w:val="24"/>
          <w:highlight w:val="none"/>
        </w:rPr>
        <w:t>的方式</w:t>
      </w:r>
      <w:r>
        <w:rPr>
          <w:rFonts w:hint="eastAsia"/>
          <w:i w:val="0"/>
          <w:iCs w:val="0"/>
          <w:color w:val="auto"/>
          <w:sz w:val="24"/>
          <w:highlight w:val="none"/>
          <w:lang w:eastAsia="zh-CN"/>
        </w:rPr>
        <w:t>依法</w:t>
      </w:r>
      <w:r>
        <w:rPr>
          <w:rFonts w:ascii="宋体" w:hAnsi="宋体" w:eastAsia="宋体"/>
          <w:i w:val="0"/>
          <w:iCs w:val="0"/>
          <w:color w:val="auto"/>
          <w:sz w:val="24"/>
          <w:highlight w:val="none"/>
        </w:rPr>
        <w:t>获得了本项目的</w:t>
      </w:r>
      <w:r>
        <w:rPr>
          <w:rFonts w:hint="eastAsia"/>
          <w:i w:val="0"/>
          <w:iCs w:val="0"/>
          <w:color w:val="auto"/>
          <w:sz w:val="24"/>
          <w:highlight w:val="none"/>
          <w:lang w:val="en-US" w:eastAsia="zh-CN"/>
        </w:rPr>
        <w:t>竞争性磋商</w:t>
      </w:r>
      <w:r>
        <w:rPr>
          <w:rFonts w:ascii="宋体" w:hAnsi="宋体" w:eastAsia="宋体"/>
          <w:i w:val="0"/>
          <w:iCs w:val="0"/>
          <w:color w:val="auto"/>
          <w:sz w:val="24"/>
          <w:highlight w:val="none"/>
        </w:rPr>
        <w:t>文件。</w:t>
      </w:r>
    </w:p>
    <w:p w14:paraId="07B83632">
      <w:pPr>
        <w:ind w:firstLine="480" w:firstLineChars="200"/>
        <w:rPr>
          <w:rFonts w:hint="eastAsia"/>
          <w:i w:val="0"/>
          <w:iCs w:val="0"/>
          <w:color w:val="auto"/>
          <w:highlight w:val="none"/>
          <w:lang w:val="en-US" w:eastAsia="zh-CN"/>
        </w:rPr>
      </w:pPr>
      <w:r>
        <w:rPr>
          <w:rFonts w:hint="eastAsia"/>
          <w:i w:val="0"/>
          <w:iCs w:val="0"/>
          <w:color w:val="auto"/>
          <w:highlight w:val="none"/>
          <w:lang w:val="en-US" w:eastAsia="zh-CN"/>
        </w:rPr>
        <w:t>2.5.3符合本磋商文件规定并参加磋商的供应商。</w:t>
      </w:r>
    </w:p>
    <w:p w14:paraId="323DC0B9">
      <w:pPr>
        <w:pStyle w:val="40"/>
        <w:keepNext w:val="0"/>
        <w:keepLines w:val="0"/>
        <w:pageBreakBefore w:val="0"/>
        <w:widowControl w:val="0"/>
        <w:kinsoku/>
        <w:overflowPunct/>
        <w:topLinePunct w:val="0"/>
        <w:bidi w:val="0"/>
        <w:ind w:firstLine="480"/>
        <w:textAlignment w:val="auto"/>
        <w:rPr>
          <w:rFonts w:hint="default" w:eastAsia="宋体" w:cs="宋体"/>
          <w:i w:val="0"/>
          <w:iCs w:val="0"/>
          <w:snapToGrid w:val="0"/>
          <w:color w:val="auto"/>
          <w:highlight w:val="none"/>
          <w:lang w:val="en-US" w:eastAsia="zh-CN"/>
        </w:rPr>
      </w:pPr>
      <w:r>
        <w:rPr>
          <w:rFonts w:hint="eastAsia"/>
          <w:i w:val="0"/>
          <w:iCs w:val="0"/>
          <w:color w:val="auto"/>
          <w:highlight w:val="none"/>
          <w:lang w:val="en-US" w:eastAsia="zh-CN"/>
        </w:rPr>
        <w:t>2.6</w:t>
      </w:r>
      <w:r>
        <w:rPr>
          <w:rFonts w:hint="eastAsia"/>
          <w:i w:val="0"/>
          <w:iCs w:val="0"/>
          <w:color w:val="auto"/>
          <w:highlight w:val="none"/>
          <w:shd w:val="clear" w:color="auto" w:fill="FFFFFF" w:themeFill="background1"/>
        </w:rPr>
        <w:t>潜在供应商</w:t>
      </w:r>
      <w:r>
        <w:rPr>
          <w:rFonts w:hint="eastAsia"/>
          <w:i w:val="0"/>
          <w:iCs w:val="0"/>
          <w:color w:val="auto"/>
          <w:highlight w:val="none"/>
          <w:shd w:val="clear" w:color="auto" w:fill="FFFFFF" w:themeFill="background1"/>
          <w:lang w:eastAsia="zh-CN"/>
        </w:rPr>
        <w:t>：</w:t>
      </w:r>
      <w:r>
        <w:rPr>
          <w:rFonts w:hint="eastAsia"/>
          <w:i w:val="0"/>
          <w:iCs w:val="0"/>
          <w:color w:val="auto"/>
          <w:highlight w:val="none"/>
          <w:shd w:val="clear" w:color="auto" w:fill="FFFFFF" w:themeFill="background1"/>
          <w:lang w:val="en-US" w:eastAsia="zh-CN"/>
        </w:rPr>
        <w:t>指</w:t>
      </w:r>
      <w:r>
        <w:rPr>
          <w:rFonts w:hint="eastAsia"/>
          <w:i w:val="0"/>
          <w:iCs w:val="0"/>
          <w:color w:val="auto"/>
          <w:highlight w:val="none"/>
          <w:lang w:val="en-US" w:eastAsia="zh-CN"/>
        </w:rPr>
        <w:t>符合本磋商文件规定的供应商</w:t>
      </w:r>
      <w:r>
        <w:rPr>
          <w:rFonts w:ascii="宋体" w:hAnsi="宋体" w:eastAsia="宋体"/>
          <w:i w:val="0"/>
          <w:iCs w:val="0"/>
          <w:color w:val="auto"/>
          <w:sz w:val="24"/>
          <w:highlight w:val="none"/>
        </w:rPr>
        <w:t>。</w:t>
      </w:r>
    </w:p>
    <w:p w14:paraId="4FFEB4B0">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10" w:name="_Toc109899536"/>
      <w:bookmarkStart w:id="111" w:name="_Toc46772243"/>
      <w:bookmarkStart w:id="112" w:name="_Toc46771642"/>
      <w:bookmarkStart w:id="113" w:name="_Toc109899955"/>
      <w:bookmarkStart w:id="114" w:name="_Toc52962729"/>
      <w:bookmarkStart w:id="115" w:name="_Toc51674213"/>
      <w:bookmarkStart w:id="116" w:name="_Toc48846111"/>
      <w:bookmarkStart w:id="117" w:name="_Toc48688791"/>
      <w:bookmarkStart w:id="118" w:name="_Toc52960555"/>
      <w:bookmarkStart w:id="119" w:name="_Toc109900374"/>
      <w:bookmarkStart w:id="120" w:name="_Toc9974"/>
      <w:bookmarkStart w:id="121" w:name="_Toc470172667"/>
      <w:bookmarkStart w:id="122" w:name="_Toc109897437"/>
      <w:r>
        <w:rPr>
          <w:rFonts w:hint="eastAsia" w:ascii="宋体" w:hAnsi="宋体" w:eastAsia="宋体" w:cs="宋体"/>
          <w:b/>
          <w:bCs/>
          <w:color w:val="auto"/>
          <w:kern w:val="2"/>
          <w:sz w:val="24"/>
          <w:szCs w:val="24"/>
          <w:highlight w:val="none"/>
          <w:lang w:val="en-US" w:eastAsia="zh-CN" w:bidi="ar-SA"/>
        </w:rPr>
        <w:t>3.资金来源</w:t>
      </w:r>
    </w:p>
    <w:p w14:paraId="7E10FE0B">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3.1资金来源：</w:t>
      </w:r>
      <w:r>
        <w:rPr>
          <w:rFonts w:hint="eastAsia"/>
          <w:i w:val="0"/>
          <w:iCs w:val="0"/>
          <w:color w:val="auto"/>
          <w:highlight w:val="none"/>
          <w:lang w:val="en-US" w:eastAsia="zh-CN"/>
        </w:rPr>
        <w:t>为财政性资金即</w:t>
      </w:r>
      <w:r>
        <w:rPr>
          <w:rFonts w:hint="eastAsia"/>
          <w:i w:val="0"/>
          <w:iCs w:val="0"/>
          <w:color w:val="auto"/>
          <w:highlight w:val="none"/>
        </w:rPr>
        <w:t>纳入预算管理的资金</w:t>
      </w:r>
      <w:r>
        <w:rPr>
          <w:rFonts w:hint="eastAsia"/>
          <w:i w:val="0"/>
          <w:iCs w:val="0"/>
          <w:color w:val="auto"/>
          <w:highlight w:val="none"/>
          <w:lang w:eastAsia="zh-CN"/>
        </w:rPr>
        <w:t>。</w:t>
      </w:r>
      <w:r>
        <w:rPr>
          <w:rFonts w:hint="eastAsia"/>
          <w:i w:val="0"/>
          <w:iCs w:val="0"/>
          <w:color w:val="auto"/>
          <w:highlight w:val="none"/>
        </w:rPr>
        <w:t>以财政性资金作为还款来源的借贷资金，视同财政性资金。财政性资金与非财政性资金无法分割采购的，统一适用《中华人民共和国政府采购法》及其实施条例。</w:t>
      </w:r>
    </w:p>
    <w:p w14:paraId="5B4402E6">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4.供应商资格要求</w:t>
      </w:r>
    </w:p>
    <w:p w14:paraId="13F68FEF">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4.1</w:t>
      </w:r>
      <w:r>
        <w:rPr>
          <w:rFonts w:hint="eastAsia"/>
          <w:i w:val="0"/>
          <w:iCs w:val="0"/>
          <w:color w:val="auto"/>
          <w:highlight w:val="none"/>
          <w:lang w:val="en-US" w:eastAsia="zh-CN"/>
        </w:rPr>
        <w:t>供应商</w:t>
      </w:r>
      <w:r>
        <w:rPr>
          <w:rFonts w:hint="eastAsia"/>
          <w:i w:val="0"/>
          <w:iCs w:val="0"/>
          <w:color w:val="auto"/>
          <w:highlight w:val="none"/>
        </w:rPr>
        <w:t>资格要求：见“</w:t>
      </w:r>
      <w:r>
        <w:rPr>
          <w:rFonts w:hint="eastAsia"/>
          <w:i w:val="0"/>
          <w:iCs w:val="0"/>
          <w:color w:val="auto"/>
          <w:highlight w:val="none"/>
          <w:lang w:val="en-US" w:eastAsia="zh-CN"/>
        </w:rPr>
        <w:t>第一章 竞争性磋商公告</w:t>
      </w:r>
      <w:r>
        <w:rPr>
          <w:rFonts w:hint="eastAsia"/>
          <w:i w:val="0"/>
          <w:iCs w:val="0"/>
          <w:color w:val="auto"/>
          <w:highlight w:val="none"/>
        </w:rPr>
        <w:t>”；</w:t>
      </w:r>
    </w:p>
    <w:p w14:paraId="3F550184">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zh-CN" w:eastAsia="zh-CN"/>
        </w:rPr>
      </w:pPr>
      <w:r>
        <w:rPr>
          <w:rFonts w:hint="eastAsia"/>
          <w:i w:val="0"/>
          <w:iCs w:val="0"/>
          <w:color w:val="auto"/>
          <w:highlight w:val="none"/>
          <w:lang w:val="en-US" w:eastAsia="zh-CN"/>
        </w:rPr>
        <w:t>4</w:t>
      </w:r>
      <w:r>
        <w:rPr>
          <w:rFonts w:hint="eastAsia"/>
          <w:i w:val="0"/>
          <w:iCs w:val="0"/>
          <w:color w:val="auto"/>
          <w:highlight w:val="none"/>
          <w:lang w:val="zh-CN" w:eastAsia="zh-CN"/>
        </w:rPr>
        <w:t>.</w:t>
      </w:r>
      <w:r>
        <w:rPr>
          <w:rFonts w:hint="eastAsia"/>
          <w:i w:val="0"/>
          <w:iCs w:val="0"/>
          <w:color w:val="auto"/>
          <w:highlight w:val="none"/>
          <w:lang w:val="en-US" w:eastAsia="zh-CN"/>
        </w:rPr>
        <w:t>2</w:t>
      </w:r>
      <w:r>
        <w:rPr>
          <w:rFonts w:hint="eastAsia"/>
          <w:i w:val="0"/>
          <w:iCs w:val="0"/>
          <w:color w:val="auto"/>
          <w:highlight w:val="none"/>
          <w:lang w:val="zh-CN" w:eastAsia="zh-CN"/>
        </w:rPr>
        <w:t>“</w:t>
      </w:r>
      <w:r>
        <w:rPr>
          <w:rFonts w:hint="eastAsia"/>
          <w:i w:val="0"/>
          <w:iCs w:val="0"/>
          <w:color w:val="auto"/>
          <w:highlight w:val="none"/>
          <w:lang w:val="en-US" w:eastAsia="zh-CN"/>
        </w:rPr>
        <w:t>第一章 竞争性磋商公告</w:t>
      </w:r>
      <w:r>
        <w:rPr>
          <w:rFonts w:hint="eastAsia"/>
          <w:i w:val="0"/>
          <w:iCs w:val="0"/>
          <w:color w:val="auto"/>
          <w:highlight w:val="none"/>
          <w:lang w:val="zh-CN" w:eastAsia="zh-CN"/>
        </w:rPr>
        <w:t>”规定接受联合体</w:t>
      </w:r>
      <w:r>
        <w:rPr>
          <w:rFonts w:hint="eastAsia"/>
          <w:i w:val="0"/>
          <w:iCs w:val="0"/>
          <w:color w:val="auto"/>
          <w:highlight w:val="none"/>
          <w:lang w:val="en-US" w:eastAsia="zh-CN"/>
        </w:rPr>
        <w:t>磋商</w:t>
      </w:r>
      <w:r>
        <w:rPr>
          <w:rFonts w:hint="eastAsia"/>
          <w:i w:val="0"/>
          <w:iCs w:val="0"/>
          <w:color w:val="auto"/>
          <w:highlight w:val="none"/>
          <w:lang w:val="zh-CN" w:eastAsia="zh-CN"/>
        </w:rPr>
        <w:t>的，还应遵守以下规定：</w:t>
      </w:r>
    </w:p>
    <w:p w14:paraId="56632A0C">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i w:val="0"/>
          <w:iCs w:val="0"/>
          <w:color w:val="auto"/>
          <w:highlight w:val="none"/>
          <w:lang w:val="en-US" w:eastAsia="zh-CN"/>
        </w:rPr>
        <w:t>4</w:t>
      </w:r>
      <w:r>
        <w:rPr>
          <w:rFonts w:hint="eastAsia"/>
          <w:i w:val="0"/>
          <w:iCs w:val="0"/>
          <w:color w:val="auto"/>
          <w:highlight w:val="none"/>
          <w:lang w:val="zh-CN" w:eastAsia="zh-CN"/>
        </w:rPr>
        <w:t>.</w:t>
      </w:r>
      <w:r>
        <w:rPr>
          <w:rFonts w:hint="eastAsia"/>
          <w:i w:val="0"/>
          <w:iCs w:val="0"/>
          <w:color w:val="auto"/>
          <w:highlight w:val="none"/>
          <w:lang w:val="en-US" w:eastAsia="zh-CN"/>
        </w:rPr>
        <w:t>2.</w:t>
      </w:r>
      <w:r>
        <w:rPr>
          <w:rFonts w:hint="eastAsia"/>
          <w:i w:val="0"/>
          <w:iCs w:val="0"/>
          <w:color w:val="auto"/>
          <w:highlight w:val="none"/>
          <w:lang w:val="zh-CN" w:eastAsia="zh-CN"/>
        </w:rPr>
        <w:t>1两个以上的自然人、法人或者其他组织可以组成一个联合体，以一个供应商的身份共同参加政府采购。</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以联合体形式进行政府采购的，参加联合体的供应商均应当具备《政府采购法》第二十二条规定的条件。</w:t>
      </w:r>
    </w:p>
    <w:p w14:paraId="4A0EFADD">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2.</w:t>
      </w:r>
      <w:r>
        <w:rPr>
          <w:rFonts w:hint="eastAsia" w:cstheme="minorBidi"/>
          <w:i w:val="0"/>
          <w:iCs w:val="0"/>
          <w:color w:val="auto"/>
          <w:kern w:val="2"/>
          <w:sz w:val="24"/>
          <w:szCs w:val="22"/>
          <w:highlight w:val="none"/>
          <w:shd w:val="clear" w:color="auto" w:fill="FFFFFF" w:themeFill="background1"/>
          <w:lang w:val="en-US" w:eastAsia="zh-CN" w:bidi="ar-SA"/>
        </w:rPr>
        <w:t>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联合体各方应按竞争性磋商文件提供的格式签订联合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作为</w:t>
      </w:r>
      <w:r>
        <w:rPr>
          <w:rFonts w:hint="eastAsia" w:cstheme="minorBidi"/>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文件的一部分提交，该协议书对联合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均具有法律约束力。</w:t>
      </w:r>
    </w:p>
    <w:p w14:paraId="078D2F2C">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cstheme="minorBidi"/>
          <w:i w:val="0"/>
          <w:iCs w:val="0"/>
          <w:color w:val="auto"/>
          <w:kern w:val="2"/>
          <w:sz w:val="24"/>
          <w:szCs w:val="22"/>
          <w:highlight w:val="none"/>
          <w:shd w:val="clear" w:color="auto" w:fill="FFFFFF" w:themeFill="background1"/>
          <w:lang w:val="en-US" w:eastAsia="zh-CN" w:bidi="ar-SA"/>
        </w:rPr>
        <w:t>3</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5FA7C088">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cstheme="minorBidi"/>
          <w:i w:val="0"/>
          <w:iCs w:val="0"/>
          <w:color w:val="auto"/>
          <w:kern w:val="2"/>
          <w:sz w:val="24"/>
          <w:szCs w:val="22"/>
          <w:highlight w:val="none"/>
          <w:shd w:val="clear" w:color="auto" w:fill="FFFFFF" w:themeFill="background1"/>
          <w:lang w:val="en-US" w:eastAsia="zh-CN" w:bidi="ar-SA"/>
        </w:rPr>
        <w:t>4</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cstheme="minorBidi"/>
          <w:i w:val="0"/>
          <w:iCs w:val="0"/>
          <w:color w:val="auto"/>
          <w:kern w:val="2"/>
          <w:sz w:val="24"/>
          <w:szCs w:val="22"/>
          <w:highlight w:val="none"/>
          <w:shd w:val="clear" w:color="auto" w:fill="FFFFFF" w:themeFill="background1"/>
          <w:lang w:val="en-US" w:eastAsia="zh-CN" w:bidi="ar-SA"/>
        </w:rPr>
        <w:t>同一合同项下的磋商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，否则相关</w:t>
      </w:r>
      <w:r>
        <w:rPr>
          <w:rFonts w:hint="eastAsia" w:cstheme="minorBidi"/>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将被认定为</w:t>
      </w:r>
      <w:r>
        <w:rPr>
          <w:rFonts w:hint="eastAsia" w:cstheme="minorBidi"/>
          <w:b/>
          <w:bCs/>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b/>
          <w:bCs/>
          <w:i w:val="0"/>
          <w:iCs w:val="0"/>
          <w:color w:val="auto"/>
          <w:kern w:val="2"/>
          <w:sz w:val="24"/>
          <w:szCs w:val="22"/>
          <w:highlight w:val="none"/>
          <w:shd w:val="clear" w:color="auto" w:fill="FFFFFF" w:themeFill="background1"/>
          <w:lang w:val="zh-CN" w:eastAsia="zh-CN" w:bidi="ar-SA"/>
        </w:rPr>
        <w:t>无效</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p>
    <w:p w14:paraId="6F805391">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总金额的比例。</w:t>
      </w:r>
    </w:p>
    <w:p w14:paraId="4BC56E59">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cstheme="minorBidi"/>
          <w:i w:val="0"/>
          <w:iCs w:val="0"/>
          <w:color w:val="auto"/>
          <w:kern w:val="2"/>
          <w:sz w:val="24"/>
          <w:szCs w:val="22"/>
          <w:highlight w:val="none"/>
          <w:shd w:val="clear" w:color="auto" w:fill="FFFFFF" w:themeFill="background1"/>
          <w:lang w:val="en-US" w:eastAsia="zh-CN" w:bidi="ar-SA"/>
        </w:rPr>
        <w:t>6</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w:t>
      </w:r>
      <w:r>
        <w:rPr>
          <w:rFonts w:hint="eastAsia" w:cstheme="minorBidi"/>
          <w:i w:val="0"/>
          <w:iCs w:val="0"/>
          <w:color w:val="auto"/>
          <w:kern w:val="2"/>
          <w:sz w:val="24"/>
          <w:szCs w:val="22"/>
          <w:highlight w:val="none"/>
          <w:shd w:val="clear" w:color="auto" w:fill="FFFFFF" w:themeFill="background1"/>
          <w:lang w:val="en-US" w:eastAsia="zh-CN" w:bidi="ar-SA"/>
        </w:rPr>
        <w:t>成交的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各成员的合法授权代表签字</w:t>
      </w:r>
      <w:r>
        <w:rPr>
          <w:rFonts w:hint="eastAsia" w:cstheme="minorBidi"/>
          <w:i w:val="0"/>
          <w:iCs w:val="0"/>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各成员公章，</w:t>
      </w:r>
      <w:r>
        <w:rPr>
          <w:rFonts w:hint="eastAsia" w:cstheme="minorBidi"/>
          <w:i w:val="0"/>
          <w:iCs w:val="0"/>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6EEFD996">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书面同意并且须遵守相关法律、法规、本次</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的全部相关规定。</w:t>
      </w:r>
    </w:p>
    <w:p w14:paraId="1C0E489A">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8</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对联合体</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的其他资格要求见“</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第一章 竞争性磋商公告</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中的“二、</w:t>
      </w:r>
      <w:r>
        <w:rPr>
          <w:rFonts w:hint="eastAsia" w:cstheme="minorBidi"/>
          <w:i w:val="0"/>
          <w:iCs w:val="0"/>
          <w:color w:val="auto"/>
          <w:kern w:val="2"/>
          <w:sz w:val="24"/>
          <w:szCs w:val="22"/>
          <w:highlight w:val="none"/>
          <w:shd w:val="clear" w:color="auto" w:fill="FFFFFF" w:themeFill="background1"/>
          <w:lang w:val="en-US" w:eastAsia="zh-CN" w:bidi="ar-SA"/>
        </w:rPr>
        <w:t>供应商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要求”</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p>
    <w:p w14:paraId="485F496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5.费用</w:t>
      </w:r>
      <w:bookmarkEnd w:id="110"/>
      <w:bookmarkEnd w:id="111"/>
      <w:bookmarkEnd w:id="112"/>
      <w:bookmarkEnd w:id="113"/>
      <w:bookmarkEnd w:id="114"/>
      <w:bookmarkEnd w:id="115"/>
      <w:bookmarkEnd w:id="116"/>
      <w:bookmarkEnd w:id="117"/>
      <w:bookmarkEnd w:id="118"/>
      <w:bookmarkEnd w:id="119"/>
      <w:bookmarkEnd w:id="120"/>
      <w:bookmarkEnd w:id="121"/>
      <w:bookmarkEnd w:id="122"/>
      <w:r>
        <w:rPr>
          <w:rFonts w:hint="eastAsia" w:ascii="宋体" w:hAnsi="宋体" w:eastAsia="宋体" w:cs="宋体"/>
          <w:b/>
          <w:bCs/>
          <w:color w:val="auto"/>
          <w:kern w:val="2"/>
          <w:sz w:val="24"/>
          <w:szCs w:val="24"/>
          <w:highlight w:val="none"/>
          <w:lang w:val="en-US" w:eastAsia="zh-CN" w:bidi="ar-SA"/>
        </w:rPr>
        <w:t>承担</w:t>
      </w:r>
    </w:p>
    <w:p w14:paraId="3C6741ED">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rFonts w:hint="eastAsia"/>
          <w:i w:val="0"/>
          <w:iCs w:val="0"/>
          <w:snapToGrid w:val="0"/>
          <w:color w:val="auto"/>
          <w:highlight w:val="none"/>
          <w:lang w:val="zh-CN"/>
        </w:rPr>
        <w:t>5.1</w:t>
      </w:r>
      <w:r>
        <w:rPr>
          <w:rFonts w:hint="eastAsia"/>
          <w:i w:val="0"/>
          <w:iCs w:val="0"/>
          <w:snapToGrid w:val="0"/>
          <w:color w:val="auto"/>
          <w:highlight w:val="none"/>
          <w:lang w:val="zh-CN" w:eastAsia="zh-CN"/>
        </w:rPr>
        <w:t>不论</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的结果如何，</w:t>
      </w:r>
      <w:r>
        <w:rPr>
          <w:rFonts w:hint="eastAsia"/>
          <w:i w:val="0"/>
          <w:iCs w:val="0"/>
          <w:snapToGrid w:val="0"/>
          <w:color w:val="auto"/>
          <w:highlight w:val="none"/>
          <w:lang w:val="en-US" w:eastAsia="zh-CN"/>
        </w:rPr>
        <w:t>供应商</w:t>
      </w:r>
      <w:r>
        <w:rPr>
          <w:rFonts w:hint="eastAsia"/>
          <w:i w:val="0"/>
          <w:iCs w:val="0"/>
          <w:snapToGrid w:val="0"/>
          <w:color w:val="auto"/>
          <w:highlight w:val="none"/>
          <w:lang w:val="zh-CN" w:eastAsia="zh-CN"/>
        </w:rPr>
        <w:t>应承担所有与准备和参加</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有关的费用。</w:t>
      </w:r>
    </w:p>
    <w:p w14:paraId="6DDD89B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3" w:name="_Toc161600293"/>
      <w:bookmarkStart w:id="124" w:name="_Toc140132761"/>
      <w:r>
        <w:rPr>
          <w:rFonts w:hint="eastAsia" w:ascii="宋体" w:hAnsi="宋体" w:eastAsia="宋体" w:cs="宋体"/>
          <w:b/>
          <w:bCs/>
          <w:color w:val="auto"/>
          <w:kern w:val="2"/>
          <w:sz w:val="24"/>
          <w:szCs w:val="24"/>
          <w:highlight w:val="none"/>
          <w:lang w:val="en-US" w:eastAsia="zh-CN" w:bidi="ar-SA"/>
        </w:rPr>
        <w:t>6.保密</w:t>
      </w:r>
      <w:bookmarkEnd w:id="123"/>
      <w:bookmarkEnd w:id="124"/>
    </w:p>
    <w:p w14:paraId="6F561E2B">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6.1</w:t>
      </w:r>
      <w:r>
        <w:rPr>
          <w:rFonts w:hint="eastAsia"/>
          <w:i w:val="0"/>
          <w:iCs w:val="0"/>
          <w:color w:val="auto"/>
          <w:highlight w:val="none"/>
          <w:lang w:val="en-US" w:eastAsia="zh-CN"/>
        </w:rPr>
        <w:t xml:space="preserve"> </w:t>
      </w:r>
      <w:r>
        <w:rPr>
          <w:rFonts w:hint="eastAsia"/>
          <w:i w:val="0"/>
          <w:iCs w:val="0"/>
          <w:color w:val="auto"/>
          <w:highlight w:val="none"/>
        </w:rPr>
        <w:t>参与磋商活动的各方应对竞争</w:t>
      </w:r>
      <w:r>
        <w:rPr>
          <w:rFonts w:hint="eastAsia"/>
          <w:i w:val="0"/>
          <w:iCs w:val="0"/>
          <w:color w:val="auto"/>
          <w:highlight w:val="none"/>
          <w:lang w:val="en-US" w:eastAsia="zh-CN"/>
        </w:rPr>
        <w:t>性</w:t>
      </w:r>
      <w:r>
        <w:rPr>
          <w:rFonts w:hint="eastAsia"/>
          <w:i w:val="0"/>
          <w:iCs w:val="0"/>
          <w:color w:val="auto"/>
          <w:highlight w:val="none"/>
        </w:rPr>
        <w:t>磋商文件和响应文件中的商业和技术等秘密保密，否则应承担相应的法律责任。</w:t>
      </w:r>
    </w:p>
    <w:p w14:paraId="577DB7C4">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2 供应商</w:t>
      </w:r>
      <w:r>
        <w:rPr>
          <w:rFonts w:hint="eastAsia" w:ascii="宋体" w:hAnsi="宋体" w:eastAsia="宋体" w:cs="宋体"/>
          <w:i w:val="0"/>
          <w:iCs w:val="0"/>
          <w:color w:val="auto"/>
          <w:kern w:val="2"/>
          <w:sz w:val="24"/>
          <w:szCs w:val="22"/>
          <w:highlight w:val="none"/>
        </w:rPr>
        <w:t>自领取竞争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磋商文件之日起，须承担本竞争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磋商项目保密义务，不得将因本次竞争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磋商获得的信息向第三人外传。由采购人向</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磋商结束后，应采购人要求，</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应归还所有从采购人处获得的保密资料。</w:t>
      </w:r>
    </w:p>
    <w:p w14:paraId="108AE9C4">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 xml:space="preserve">3 </w:t>
      </w:r>
      <w:r>
        <w:rPr>
          <w:rFonts w:hint="eastAsia" w:ascii="宋体" w:hAnsi="宋体" w:eastAsia="宋体" w:cs="宋体"/>
          <w:i w:val="0"/>
          <w:iCs w:val="0"/>
          <w:color w:val="auto"/>
          <w:kern w:val="2"/>
          <w:sz w:val="24"/>
          <w:szCs w:val="22"/>
          <w:highlight w:val="none"/>
        </w:rPr>
        <w:t>采购代理机构有权将</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提供的所有资料向有关政府部门或竞争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磋商的有关人员披露。</w:t>
      </w:r>
    </w:p>
    <w:p w14:paraId="232A1AD6">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i w:val="0"/>
          <w:iCs w:val="0"/>
          <w:color w:val="auto"/>
          <w:kern w:val="2"/>
          <w:sz w:val="24"/>
          <w:szCs w:val="22"/>
          <w:highlight w:val="none"/>
        </w:rPr>
        <w:t>。</w:t>
      </w:r>
      <w:r>
        <w:rPr>
          <w:rFonts w:hint="eastAsia"/>
          <w:i w:val="0"/>
          <w:iCs w:val="0"/>
          <w:color w:val="auto"/>
          <w:highlight w:val="none"/>
        </w:rPr>
        <w:t xml:space="preserve"> </w:t>
      </w:r>
    </w:p>
    <w:p w14:paraId="47EBAEFC">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5" w:name="_Toc140132762"/>
      <w:bookmarkStart w:id="126" w:name="_Toc161600294"/>
      <w:r>
        <w:rPr>
          <w:rFonts w:hint="eastAsia" w:ascii="宋体" w:hAnsi="宋体" w:eastAsia="宋体" w:cs="宋体"/>
          <w:b/>
          <w:bCs/>
          <w:color w:val="auto"/>
          <w:kern w:val="2"/>
          <w:sz w:val="24"/>
          <w:szCs w:val="24"/>
          <w:highlight w:val="none"/>
          <w:lang w:val="en-US" w:eastAsia="zh-CN" w:bidi="ar-SA"/>
        </w:rPr>
        <w:t>7.语言文字</w:t>
      </w:r>
      <w:bookmarkEnd w:id="125"/>
      <w:bookmarkEnd w:id="126"/>
    </w:p>
    <w:p w14:paraId="3121AAFC">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7.1竞争</w:t>
      </w:r>
      <w:r>
        <w:rPr>
          <w:rFonts w:hint="eastAsia"/>
          <w:i w:val="0"/>
          <w:iCs w:val="0"/>
          <w:color w:val="auto"/>
          <w:highlight w:val="none"/>
          <w:lang w:val="en-US" w:eastAsia="zh-CN"/>
        </w:rPr>
        <w:t>性</w:t>
      </w:r>
      <w:r>
        <w:rPr>
          <w:rFonts w:hint="eastAsia"/>
          <w:i w:val="0"/>
          <w:iCs w:val="0"/>
          <w:color w:val="auto"/>
          <w:highlight w:val="none"/>
        </w:rPr>
        <w:t>磋商</w:t>
      </w:r>
      <w:r>
        <w:rPr>
          <w:rFonts w:hint="eastAsia"/>
          <w:i w:val="0"/>
          <w:iCs w:val="0"/>
          <w:color w:val="auto"/>
          <w:highlight w:val="none"/>
          <w:lang w:val="en-US" w:eastAsia="zh-CN"/>
        </w:rPr>
        <w:t>文件及响应</w:t>
      </w:r>
      <w:r>
        <w:rPr>
          <w:rFonts w:hint="eastAsia"/>
          <w:i w:val="0"/>
          <w:iCs w:val="0"/>
          <w:color w:val="auto"/>
          <w:highlight w:val="none"/>
        </w:rPr>
        <w:t>文件使用的语言文字为中文。专用术语使用外文的，应附有中文注释。</w:t>
      </w:r>
      <w:r>
        <w:rPr>
          <w:rFonts w:hint="eastAsia"/>
          <w:i w:val="0"/>
          <w:iCs w:val="0"/>
          <w:color w:val="auto"/>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0762F">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7" w:name="_Toc161600295"/>
      <w:bookmarkStart w:id="128" w:name="_Toc140132763"/>
      <w:r>
        <w:rPr>
          <w:rFonts w:hint="eastAsia" w:ascii="宋体" w:hAnsi="宋体" w:eastAsia="宋体" w:cs="宋体"/>
          <w:b/>
          <w:bCs/>
          <w:color w:val="auto"/>
          <w:kern w:val="2"/>
          <w:sz w:val="24"/>
          <w:szCs w:val="24"/>
          <w:highlight w:val="none"/>
          <w:lang w:val="en-US" w:eastAsia="zh-CN" w:bidi="ar-SA"/>
        </w:rPr>
        <w:t>8.计量单位</w:t>
      </w:r>
      <w:bookmarkEnd w:id="127"/>
      <w:bookmarkEnd w:id="128"/>
    </w:p>
    <w:p w14:paraId="0DC441D4">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8.1所有计量均采用中华人民共和国法定计量单位。</w:t>
      </w:r>
    </w:p>
    <w:p w14:paraId="37E10A0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9" w:name="_Toc161600296"/>
      <w:bookmarkStart w:id="130" w:name="_Toc140132764"/>
      <w:r>
        <w:rPr>
          <w:rFonts w:hint="eastAsia" w:ascii="宋体" w:hAnsi="宋体" w:eastAsia="宋体" w:cs="宋体"/>
          <w:b/>
          <w:bCs/>
          <w:color w:val="auto"/>
          <w:kern w:val="2"/>
          <w:sz w:val="24"/>
          <w:szCs w:val="24"/>
          <w:highlight w:val="none"/>
          <w:lang w:val="en-US" w:eastAsia="zh-CN" w:bidi="ar-SA"/>
        </w:rPr>
        <w:t>9.现场考察和答疑会</w:t>
      </w:r>
      <w:bookmarkEnd w:id="129"/>
      <w:bookmarkEnd w:id="130"/>
    </w:p>
    <w:p w14:paraId="70E7733A">
      <w:pPr>
        <w:pStyle w:val="40"/>
        <w:keepNext w:val="0"/>
        <w:keepLines w:val="0"/>
        <w:pageBreakBefore w:val="0"/>
        <w:widowControl w:val="0"/>
        <w:kinsoku/>
        <w:overflowPunct/>
        <w:topLinePunct w:val="0"/>
        <w:bidi w:val="0"/>
        <w:ind w:firstLine="480"/>
        <w:textAlignment w:val="auto"/>
        <w:rPr>
          <w:i w:val="0"/>
          <w:iCs w:val="0"/>
          <w:color w:val="auto"/>
          <w:highlight w:val="none"/>
        </w:rPr>
      </w:pPr>
      <w:bookmarkStart w:id="131" w:name="_Hlk143529198"/>
      <w:r>
        <w:rPr>
          <w:rFonts w:hint="eastAsia"/>
          <w:i w:val="0"/>
          <w:iCs w:val="0"/>
          <w:color w:val="auto"/>
          <w:highlight w:val="none"/>
        </w:rPr>
        <w:t xml:space="preserve">9.1 “供应商须知前附表”规定组织现场考察的，采购代理机构按“供应商须知前附表”规定的时间、地点组织供应商项目现场考察。 </w:t>
      </w:r>
    </w:p>
    <w:p w14:paraId="473C15DA">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9.2 供应商现场考察发生的费用自理。</w:t>
      </w:r>
    </w:p>
    <w:p w14:paraId="417B1E0B">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9.3 在现场考察中，因供应商自身原因发生的人员伤亡和财产损失，由供应商自行负责。</w:t>
      </w:r>
    </w:p>
    <w:p w14:paraId="2BF7B5CD">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9.4 采购人在现场考察中介绍的项目场地和相关的周边环境情况，仅供供应商在编制响应文件时参考，采购人和采购代理机构不对供应商据此作出的判断和决策负责。</w:t>
      </w:r>
    </w:p>
    <w:p w14:paraId="521951E4">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9.5 “供应商须知前附表”规定召开答疑会的，采购代理机构按“供应商须知前附表”规定的时间和地点召开答疑会，澄清供应商提出的问题。</w:t>
      </w:r>
    </w:p>
    <w:p w14:paraId="7BC8ED9F">
      <w:pPr>
        <w:pStyle w:val="40"/>
        <w:keepNext w:val="0"/>
        <w:keepLines w:val="0"/>
        <w:pageBreakBefore w:val="0"/>
        <w:widowControl w:val="0"/>
        <w:kinsoku/>
        <w:overflowPunct/>
        <w:topLinePunct w:val="0"/>
        <w:autoSpaceDE/>
        <w:autoSpaceDN/>
        <w:bidi w:val="0"/>
        <w:adjustRightInd/>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9.6 由于未参加现场考察或未参加答疑会而导致对项目实际情况不了解，影响响应文件编制、磋商报价准确性、综合因素响应不全面等问题的，由供应商自行承担不利评审后果。</w:t>
      </w:r>
    </w:p>
    <w:bookmarkEnd w:id="131"/>
    <w:p w14:paraId="020D8BF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2" w:name="_Toc161600298"/>
      <w:bookmarkStart w:id="133" w:name="_Toc155185858"/>
      <w:r>
        <w:rPr>
          <w:rFonts w:hint="eastAsia" w:ascii="宋体" w:hAnsi="宋体" w:eastAsia="宋体" w:cs="宋体"/>
          <w:b/>
          <w:bCs/>
          <w:color w:val="auto"/>
          <w:kern w:val="2"/>
          <w:sz w:val="24"/>
          <w:szCs w:val="24"/>
          <w:highlight w:val="none"/>
          <w:lang w:val="en-US" w:eastAsia="zh-CN" w:bidi="ar-SA"/>
        </w:rPr>
        <w:t>10.电子标说明</w:t>
      </w:r>
      <w:bookmarkEnd w:id="132"/>
      <w:bookmarkEnd w:id="133"/>
    </w:p>
    <w:p w14:paraId="24EABCAC">
      <w:pPr>
        <w:pStyle w:val="40"/>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10.1 本次采购采用电子交易方式，电子交易平台为兵团政府采购电子交易云平台（网址：https://www.zcygov.cn/）。</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参与本项目电子交易活动前，</w:t>
      </w:r>
      <w:r>
        <w:rPr>
          <w:rFonts w:hint="eastAsia" w:ascii="宋体" w:hAnsi="宋体" w:eastAsia="宋体"/>
          <w:i w:val="0"/>
          <w:iCs w:val="0"/>
          <w:color w:val="auto"/>
          <w:highlight w:val="none"/>
        </w:rPr>
        <w:t>应</w:t>
      </w:r>
      <w:r>
        <w:rPr>
          <w:rFonts w:hint="eastAsia"/>
          <w:i w:val="0"/>
          <w:iCs w:val="0"/>
          <w:color w:val="auto"/>
          <w:highlight w:val="none"/>
          <w:lang w:val="en-US" w:eastAsia="zh-CN"/>
        </w:rPr>
        <w:t>在</w:t>
      </w:r>
      <w:r>
        <w:rPr>
          <w:rFonts w:hint="eastAsia" w:ascii="宋体" w:hAnsi="宋体" w:eastAsia="宋体"/>
          <w:i w:val="0"/>
          <w:iCs w:val="0"/>
          <w:color w:val="auto"/>
          <w:highlight w:val="none"/>
        </w:rPr>
        <w:t>政</w:t>
      </w:r>
      <w:r>
        <w:rPr>
          <w:rFonts w:hint="eastAsia"/>
          <w:i w:val="0"/>
          <w:iCs w:val="0"/>
          <w:color w:val="auto"/>
          <w:highlight w:val="none"/>
          <w:lang w:val="en-US" w:eastAsia="zh-CN"/>
        </w:rPr>
        <w:t>采</w:t>
      </w:r>
      <w:r>
        <w:rPr>
          <w:rFonts w:hint="eastAsia" w:ascii="宋体" w:hAnsi="宋体" w:eastAsia="宋体"/>
          <w:i w:val="0"/>
          <w:iCs w:val="0"/>
          <w:color w:val="auto"/>
          <w:highlight w:val="none"/>
          <w:lang w:val="en-US"/>
        </w:rPr>
        <w:t>云</w:t>
      </w:r>
      <w:r>
        <w:rPr>
          <w:rFonts w:hint="eastAsia" w:ascii="宋体" w:hAnsi="宋体" w:eastAsia="宋体"/>
          <w:i w:val="0"/>
          <w:iCs w:val="0"/>
          <w:color w:val="auto"/>
          <w:highlight w:val="none"/>
        </w:rPr>
        <w:t>平台</w:t>
      </w:r>
      <w:r>
        <w:rPr>
          <w:rFonts w:hint="eastAsia"/>
          <w:i w:val="0"/>
          <w:iCs w:val="0"/>
          <w:color w:val="auto"/>
          <w:highlight w:val="none"/>
          <w:lang w:val="en-US" w:eastAsia="zh-CN"/>
        </w:rPr>
        <w:t>上</w:t>
      </w:r>
      <w:r>
        <w:rPr>
          <w:rFonts w:hint="eastAsia" w:ascii="宋体" w:hAnsi="宋体" w:eastAsia="宋体"/>
          <w:i w:val="0"/>
          <w:iCs w:val="0"/>
          <w:color w:val="auto"/>
          <w:highlight w:val="none"/>
        </w:rPr>
        <w:t>注册</w:t>
      </w:r>
      <w:r>
        <w:rPr>
          <w:rFonts w:hint="eastAsia"/>
          <w:i w:val="0"/>
          <w:iCs w:val="0"/>
          <w:color w:val="auto"/>
          <w:highlight w:val="none"/>
          <w:lang w:val="en-US" w:eastAsia="zh-CN"/>
        </w:rPr>
        <w:t>供应商账号</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编制电子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文件前还需申领CA证书并绑定帐号。</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应充分考虑完成平台注册、申领CA证书等所需的时间。潜在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领取文件须提前完成注册、CA证书和电子签章申领和绑定、下载投标客户端。因未办理CA数字证书、CA证书故障、操作不当等原因造成无法</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或</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失败等后果由</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自行承担。供应商登录兵团政府采购网“供应商注册”—“新疆生产建设兵团政府采购供应商入驻登记”—“立即登记”进行自助注册绑定。</w:t>
      </w:r>
    </w:p>
    <w:p w14:paraId="1D724A82">
      <w:pPr>
        <w:pStyle w:val="40"/>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 xml:space="preserve">10.2 </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将兵团政府采购电子交易云平台电子交易客户端下载、安装完成后，可通过账号密码或CA登录客户端进行</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文件制作。在使用政采云投标客户端时，建议使用WIN7及以上操作系统。供应商登录兵团政府采购网“下载专区”—“电子招投标客户端下载”下载相关客户端，如有问题可拨打政采云客户服务热线95763进行咨询。</w:t>
      </w:r>
    </w:p>
    <w:p w14:paraId="39742A0A">
      <w:pPr>
        <w:pStyle w:val="40"/>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10.3 加密的电子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文件应在</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文件递交截止时间前通过政采云平台上传完成。逾期上传或者未上传指定地点的</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文件，不予受理。</w:t>
      </w:r>
    </w:p>
    <w:p w14:paraId="03850AD3">
      <w:pPr>
        <w:pStyle w:val="40"/>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 xml:space="preserve">10.4 </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在</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前须提前配置好电脑</w:t>
      </w:r>
      <w:r>
        <w:rPr>
          <w:rFonts w:hint="eastAsia"/>
          <w:i w:val="0"/>
          <w:iCs w:val="0"/>
          <w:color w:val="auto"/>
          <w:highlight w:val="none"/>
          <w:lang w:val="en-US" w:eastAsia="zh-CN"/>
        </w:rPr>
        <w:t>及</w:t>
      </w:r>
      <w:r>
        <w:rPr>
          <w:rFonts w:hint="eastAsia" w:ascii="宋体" w:hAnsi="宋体" w:eastAsia="宋体"/>
          <w:i w:val="0"/>
          <w:iCs w:val="0"/>
          <w:color w:val="auto"/>
          <w:highlight w:val="none"/>
          <w:lang w:val="en-US" w:eastAsia="zh-CN"/>
        </w:rPr>
        <w:t>浏览器，</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时请使用制作加密电子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文件的CA锁进行解密及报价确认。本项目</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文件解密时间详“</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须知前附表”，如因自身原因导致无法正常解密，后果由</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w:t>
      </w:r>
    </w:p>
    <w:p w14:paraId="13D1898E">
      <w:pPr>
        <w:pStyle w:val="40"/>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10.5 如遇“兵团政府采购电子交易云平台（网址：https://www.zcygov.cn/）”电子交易规则调整，以最新要求为准。</w:t>
      </w:r>
    </w:p>
    <w:p w14:paraId="287E4256">
      <w:pPr>
        <w:pStyle w:val="40"/>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10.6 电子交易系统咨询：</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应当充分考虑到电子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可能会发生的各种问题和风险，特别是</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 xml:space="preserve">文件签署、提交等问题，可按照“第一章 </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公告”的联系方式咨询相关人员。</w:t>
      </w:r>
    </w:p>
    <w:p w14:paraId="2B30589C">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ascii="宋体" w:hAnsi="宋体" w:eastAsia="宋体"/>
          <w:i w:val="0"/>
          <w:iCs w:val="0"/>
          <w:color w:val="auto"/>
          <w:highlight w:val="none"/>
          <w:lang w:val="en-US" w:eastAsia="zh-CN"/>
        </w:rPr>
        <w:t>10.7 由于本项目采用电子</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方式，潜在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的名单将在</w:t>
      </w:r>
      <w:r>
        <w:rPr>
          <w:rFonts w:hint="eastAsia"/>
          <w:i w:val="0"/>
          <w:iCs w:val="0"/>
          <w:color w:val="auto"/>
          <w:highlight w:val="none"/>
          <w:lang w:val="en-US" w:eastAsia="zh-CN"/>
        </w:rPr>
        <w:t>递交响应</w:t>
      </w:r>
      <w:r>
        <w:rPr>
          <w:rFonts w:hint="eastAsia" w:ascii="宋体" w:hAnsi="宋体" w:eastAsia="宋体"/>
          <w:i w:val="0"/>
          <w:iCs w:val="0"/>
          <w:color w:val="auto"/>
          <w:highlight w:val="none"/>
          <w:lang w:val="en-US" w:eastAsia="zh-CN"/>
        </w:rPr>
        <w:t>文件截止时间后才会解密。因此，采购人或采购代理机构无法通过传统的传真或邮件方式，将</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文件的澄清或修改内容逐一通知到每位已获取</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文件的潜在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。为确保信息的及时性和准确性，澄清或修改的内容将仅在政采云平台以更正公告的形式发布。潜在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需密切关注该网站，及时查看并下载相关更正公告。若因潜在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未能及时查看或下载相关更正公告，而导致的一切后果，将由潜在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w:t>
      </w:r>
    </w:p>
    <w:p w14:paraId="17FBA29F">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4" w:name="_Toc163493612"/>
      <w:bookmarkStart w:id="135" w:name="_Toc109899956"/>
      <w:bookmarkStart w:id="136" w:name="_Toc20095"/>
      <w:bookmarkStart w:id="137" w:name="_Toc109900375"/>
      <w:bookmarkStart w:id="138" w:name="_Toc470172668"/>
      <w:bookmarkStart w:id="139" w:name="_Toc109897438"/>
      <w:bookmarkStart w:id="140" w:name="_Toc109899537"/>
      <w:bookmarkStart w:id="141" w:name="_Toc46771643"/>
      <w:r>
        <w:rPr>
          <w:rFonts w:hint="eastAsia" w:ascii="宋体" w:hAnsi="宋体" w:eastAsia="宋体" w:cs="宋体"/>
          <w:b/>
          <w:bCs/>
          <w:color w:val="auto"/>
          <w:kern w:val="2"/>
          <w:sz w:val="24"/>
          <w:szCs w:val="24"/>
          <w:highlight w:val="none"/>
          <w:lang w:val="en-US" w:eastAsia="zh-CN" w:bidi="ar-SA"/>
        </w:rPr>
        <w:t>（二）磋商文件</w:t>
      </w:r>
      <w:bookmarkEnd w:id="134"/>
      <w:bookmarkEnd w:id="135"/>
      <w:bookmarkEnd w:id="136"/>
      <w:bookmarkEnd w:id="137"/>
      <w:bookmarkEnd w:id="138"/>
      <w:bookmarkEnd w:id="139"/>
      <w:bookmarkEnd w:id="140"/>
      <w:bookmarkEnd w:id="141"/>
    </w:p>
    <w:p w14:paraId="02C7475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2" w:name="_Toc4547"/>
      <w:bookmarkStart w:id="143" w:name="_Toc48846113"/>
      <w:bookmarkStart w:id="144" w:name="_Toc52962731"/>
      <w:bookmarkStart w:id="145" w:name="_Toc109900376"/>
      <w:bookmarkStart w:id="146" w:name="_Toc46771644"/>
      <w:bookmarkStart w:id="147" w:name="_Toc48688793"/>
      <w:bookmarkStart w:id="148" w:name="_Toc109899538"/>
      <w:bookmarkStart w:id="149" w:name="_Toc109899957"/>
      <w:bookmarkStart w:id="150" w:name="_Toc51674215"/>
      <w:bookmarkStart w:id="151" w:name="_Toc109897439"/>
      <w:bookmarkStart w:id="152" w:name="_Toc46772245"/>
      <w:bookmarkStart w:id="153" w:name="_Toc52960557"/>
      <w:bookmarkStart w:id="154" w:name="_Toc470172669"/>
      <w:r>
        <w:rPr>
          <w:rFonts w:hint="eastAsia" w:ascii="宋体" w:hAnsi="宋体" w:eastAsia="宋体" w:cs="宋体"/>
          <w:b/>
          <w:bCs/>
          <w:color w:val="auto"/>
          <w:kern w:val="2"/>
          <w:sz w:val="24"/>
          <w:szCs w:val="24"/>
          <w:highlight w:val="none"/>
          <w:lang w:val="en-US" w:eastAsia="zh-CN" w:bidi="ar-SA"/>
        </w:rPr>
        <w:t>11.磋商文件的构成</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54909DE4">
      <w:pPr>
        <w:keepNext w:val="0"/>
        <w:keepLines w:val="0"/>
        <w:pageBreakBefore w:val="0"/>
        <w:widowControl w:val="0"/>
        <w:kinsoku/>
        <w:overflowPunct/>
        <w:topLinePunct w:val="0"/>
        <w:bidi w:val="0"/>
        <w:ind w:firstLine="480" w:firstLineChars="200"/>
        <w:textAlignment w:val="auto"/>
        <w:rPr>
          <w:rFonts w:hint="eastAsia" w:eastAsia="宋体" w:cs="仿宋_GB2312"/>
          <w:i w:val="0"/>
          <w:iCs w:val="0"/>
          <w:color w:val="auto"/>
          <w:szCs w:val="24"/>
          <w:highlight w:val="none"/>
          <w:lang w:eastAsia="zh-CN"/>
        </w:rPr>
      </w:pPr>
      <w:bookmarkStart w:id="155" w:name="_Toc48846114"/>
      <w:bookmarkStart w:id="156" w:name="_Toc48688794"/>
      <w:bookmarkStart w:id="157" w:name="_Toc109897440"/>
      <w:bookmarkStart w:id="158" w:name="_Toc46771645"/>
      <w:bookmarkStart w:id="159" w:name="_Toc51674216"/>
      <w:bookmarkStart w:id="160" w:name="_Toc109899539"/>
      <w:bookmarkStart w:id="161" w:name="_Toc46772246"/>
      <w:bookmarkStart w:id="162" w:name="_Toc52962732"/>
      <w:bookmarkStart w:id="163" w:name="_Toc478415174"/>
      <w:bookmarkStart w:id="164" w:name="_Toc109899958"/>
      <w:bookmarkStart w:id="165" w:name="_Toc52960558"/>
      <w:bookmarkStart w:id="166" w:name="_Toc109900377"/>
      <w:r>
        <w:rPr>
          <w:rFonts w:hint="eastAsia" w:cs="仿宋_GB2312"/>
          <w:i w:val="0"/>
          <w:iCs w:val="0"/>
          <w:color w:val="auto"/>
          <w:szCs w:val="24"/>
          <w:highlight w:val="none"/>
        </w:rPr>
        <w:t>第一章 竞争性磋商</w:t>
      </w:r>
      <w:r>
        <w:rPr>
          <w:rFonts w:hint="eastAsia" w:cs="仿宋_GB2312"/>
          <w:i w:val="0"/>
          <w:iCs w:val="0"/>
          <w:color w:val="auto"/>
          <w:szCs w:val="24"/>
          <w:highlight w:val="none"/>
          <w:lang w:val="en-US" w:eastAsia="zh-CN"/>
        </w:rPr>
        <w:t>公告</w:t>
      </w:r>
    </w:p>
    <w:p w14:paraId="7147E8B4">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第二章 供应商须知</w:t>
      </w:r>
    </w:p>
    <w:p w14:paraId="61D89D76">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 xml:space="preserve">第三章 </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采购需求</w:t>
      </w:r>
    </w:p>
    <w:p w14:paraId="6D7BF4EF">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第四章 评审</w:t>
      </w:r>
      <w:r>
        <w:rPr>
          <w:rFonts w:hint="eastAsia" w:cs="仿宋_GB2312"/>
          <w:i w:val="0"/>
          <w:iCs w:val="0"/>
          <w:color w:val="auto"/>
          <w:szCs w:val="24"/>
          <w:highlight w:val="none"/>
          <w:lang w:val="en-US" w:eastAsia="zh-CN"/>
        </w:rPr>
        <w:t>方</w:t>
      </w:r>
      <w:r>
        <w:rPr>
          <w:rFonts w:hint="eastAsia" w:cs="仿宋_GB2312"/>
          <w:i w:val="0"/>
          <w:iCs w:val="0"/>
          <w:color w:val="auto"/>
          <w:szCs w:val="24"/>
          <w:highlight w:val="none"/>
        </w:rPr>
        <w:t>法及标准</w:t>
      </w:r>
    </w:p>
    <w:p w14:paraId="47AC85E7">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第五章 合同草案</w:t>
      </w:r>
    </w:p>
    <w:p w14:paraId="5706B4C2">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第六章 响应文件的格式</w:t>
      </w:r>
    </w:p>
    <w:p w14:paraId="2FA3C6F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12.磋商文件的澄清或修改</w:t>
      </w:r>
      <w:bookmarkEnd w:id="155"/>
      <w:bookmarkEnd w:id="156"/>
      <w:bookmarkEnd w:id="157"/>
      <w:bookmarkEnd w:id="158"/>
      <w:bookmarkEnd w:id="159"/>
      <w:bookmarkEnd w:id="160"/>
      <w:bookmarkEnd w:id="161"/>
      <w:bookmarkEnd w:id="162"/>
      <w:bookmarkEnd w:id="163"/>
      <w:bookmarkEnd w:id="164"/>
      <w:bookmarkEnd w:id="165"/>
      <w:bookmarkEnd w:id="166"/>
    </w:p>
    <w:p w14:paraId="2DDD06DE">
      <w:pPr>
        <w:keepNext w:val="0"/>
        <w:keepLines w:val="0"/>
        <w:pageBreakBefore w:val="0"/>
        <w:widowControl w:val="0"/>
        <w:kinsoku/>
        <w:overflowPunct/>
        <w:topLinePunct w:val="0"/>
        <w:autoSpaceDE/>
        <w:autoSpaceDN/>
        <w:bidi w:val="0"/>
        <w:adjustRightInd/>
        <w:ind w:firstLine="480" w:firstLineChars="200"/>
        <w:textAlignment w:val="auto"/>
        <w:rPr>
          <w:rFonts w:hint="eastAsia" w:cs="仿宋_GB2312"/>
          <w:i w:val="0"/>
          <w:iCs w:val="0"/>
          <w:color w:val="auto"/>
          <w:szCs w:val="24"/>
          <w:highlight w:val="none"/>
        </w:rPr>
      </w:pPr>
      <w:r>
        <w:rPr>
          <w:rFonts w:cs="仿宋_GB2312"/>
          <w:i w:val="0"/>
          <w:iCs w:val="0"/>
          <w:color w:val="auto"/>
          <w:szCs w:val="24"/>
          <w:highlight w:val="none"/>
        </w:rPr>
        <w:t>1</w:t>
      </w:r>
      <w:r>
        <w:rPr>
          <w:rFonts w:hint="eastAsia" w:cs="仿宋_GB2312"/>
          <w:i w:val="0"/>
          <w:iCs w:val="0"/>
          <w:color w:val="auto"/>
          <w:szCs w:val="24"/>
          <w:highlight w:val="none"/>
          <w:lang w:val="en-US" w:eastAsia="zh-CN"/>
        </w:rPr>
        <w:t>2</w:t>
      </w:r>
      <w:r>
        <w:rPr>
          <w:rFonts w:hint="eastAsia" w:cs="仿宋_GB2312"/>
          <w:i w:val="0"/>
          <w:iCs w:val="0"/>
          <w:color w:val="auto"/>
          <w:szCs w:val="24"/>
          <w:highlight w:val="none"/>
        </w:rPr>
        <w:t>.</w:t>
      </w:r>
      <w:r>
        <w:rPr>
          <w:rFonts w:cs="仿宋_GB2312"/>
          <w:i w:val="0"/>
          <w:iCs w:val="0"/>
          <w:color w:val="auto"/>
          <w:szCs w:val="24"/>
          <w:highlight w:val="none"/>
        </w:rPr>
        <w:t>1</w:t>
      </w:r>
      <w:r>
        <w:rPr>
          <w:rFonts w:hint="eastAsia" w:cs="仿宋_GB2312"/>
          <w:i w:val="0"/>
          <w:iCs w:val="0"/>
          <w:color w:val="auto"/>
          <w:szCs w:val="24"/>
          <w:highlight w:val="none"/>
        </w:rPr>
        <w:t xml:space="preserve"> 供应商对采购项目有疑问的，可以按照“供应商须知前附表”中的规定提出询问。提出后，请供应商及时通过交易平台“答疑文件下载”栏目查看答疑文件或澄清文件。必要时，采购代理机构将组织相关专家召开答疑会，如召开，答疑会安排另行通知。采购人或采购代理机构将在收到询问后依法予以答复。对竞争性</w:t>
      </w:r>
      <w:r>
        <w:rPr>
          <w:rFonts w:hint="eastAsia" w:cs="仿宋_GB2312"/>
          <w:i w:val="0"/>
          <w:iCs w:val="0"/>
          <w:color w:val="auto"/>
          <w:szCs w:val="24"/>
          <w:highlight w:val="none"/>
          <w:lang w:val="en-US" w:eastAsia="zh-CN"/>
        </w:rPr>
        <w:t>磋商</w:t>
      </w:r>
      <w:r>
        <w:rPr>
          <w:rFonts w:hint="eastAsia" w:cs="仿宋_GB2312"/>
          <w:i w:val="0"/>
          <w:iCs w:val="0"/>
          <w:color w:val="auto"/>
          <w:szCs w:val="24"/>
          <w:highlight w:val="none"/>
        </w:rPr>
        <w:t>文件询问的答复，在必要时将以澄清形式推送给每个获取竞争性</w:t>
      </w:r>
      <w:r>
        <w:rPr>
          <w:rFonts w:hint="eastAsia" w:cs="仿宋_GB2312"/>
          <w:i w:val="0"/>
          <w:iCs w:val="0"/>
          <w:color w:val="auto"/>
          <w:szCs w:val="24"/>
          <w:highlight w:val="none"/>
          <w:lang w:val="en-US" w:eastAsia="zh-CN"/>
        </w:rPr>
        <w:t>磋商</w:t>
      </w:r>
      <w:r>
        <w:rPr>
          <w:rFonts w:hint="eastAsia" w:cs="仿宋_GB2312"/>
          <w:i w:val="0"/>
          <w:iCs w:val="0"/>
          <w:color w:val="auto"/>
          <w:szCs w:val="24"/>
          <w:highlight w:val="none"/>
        </w:rPr>
        <w:t>文件的潜在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(答复中不包括问题的来源)。</w:t>
      </w:r>
    </w:p>
    <w:p w14:paraId="79F14C28">
      <w:pPr>
        <w:keepNext w:val="0"/>
        <w:keepLines w:val="0"/>
        <w:pageBreakBefore w:val="0"/>
        <w:widowControl w:val="0"/>
        <w:kinsoku/>
        <w:overflowPunct/>
        <w:topLinePunct w:val="0"/>
        <w:autoSpaceDE/>
        <w:autoSpaceDN/>
        <w:bidi w:val="0"/>
        <w:adjustRightInd/>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供应商在规定的时间内未对竞争性</w:t>
      </w:r>
      <w:r>
        <w:rPr>
          <w:rFonts w:hint="eastAsia" w:cs="仿宋_GB2312"/>
          <w:i w:val="0"/>
          <w:iCs w:val="0"/>
          <w:color w:val="auto"/>
          <w:szCs w:val="24"/>
          <w:highlight w:val="none"/>
          <w:lang w:val="en-US" w:eastAsia="zh-CN"/>
        </w:rPr>
        <w:t>磋商</w:t>
      </w:r>
      <w:r>
        <w:rPr>
          <w:rFonts w:hint="eastAsia" w:cs="仿宋_GB2312"/>
          <w:i w:val="0"/>
          <w:iCs w:val="0"/>
          <w:color w:val="auto"/>
          <w:szCs w:val="24"/>
          <w:highlight w:val="none"/>
        </w:rPr>
        <w:t>文件提出疑问或要求澄清的，采购代理机构将视其为同意，对在“供应商须知前附表”中“</w:t>
      </w:r>
      <w:r>
        <w:rPr>
          <w:rFonts w:hint="eastAsia" w:cs="仿宋_GB2312"/>
          <w:i w:val="0"/>
          <w:iCs w:val="0"/>
          <w:color w:val="auto"/>
          <w:szCs w:val="24"/>
          <w:highlight w:val="none"/>
          <w:lang w:val="en-US" w:eastAsia="zh-CN"/>
        </w:rPr>
        <w:t>提出询问的</w:t>
      </w:r>
      <w:r>
        <w:rPr>
          <w:rFonts w:hint="eastAsia" w:cs="仿宋_GB2312"/>
          <w:i w:val="0"/>
          <w:iCs w:val="0"/>
          <w:color w:val="auto"/>
          <w:szCs w:val="24"/>
          <w:highlight w:val="none"/>
        </w:rPr>
        <w:t>时间</w:t>
      </w:r>
      <w:r>
        <w:rPr>
          <w:rFonts w:hint="eastAsia" w:cs="仿宋_GB2312"/>
          <w:i w:val="0"/>
          <w:iCs w:val="0"/>
          <w:color w:val="auto"/>
          <w:szCs w:val="24"/>
          <w:highlight w:val="none"/>
          <w:lang w:val="en-US" w:eastAsia="zh-CN"/>
        </w:rPr>
        <w:t>要求</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之</w:t>
      </w:r>
      <w:r>
        <w:rPr>
          <w:rFonts w:hint="eastAsia" w:cs="仿宋_GB2312"/>
          <w:i w:val="0"/>
          <w:iCs w:val="0"/>
          <w:color w:val="auto"/>
          <w:szCs w:val="24"/>
          <w:highlight w:val="none"/>
        </w:rPr>
        <w:t>后就竞争性</w:t>
      </w:r>
      <w:r>
        <w:rPr>
          <w:rFonts w:hint="eastAsia" w:cs="仿宋_GB2312"/>
          <w:i w:val="0"/>
          <w:iCs w:val="0"/>
          <w:color w:val="auto"/>
          <w:szCs w:val="24"/>
          <w:highlight w:val="none"/>
          <w:lang w:val="en-US" w:eastAsia="zh-CN"/>
        </w:rPr>
        <w:t>磋商</w:t>
      </w:r>
      <w:r>
        <w:rPr>
          <w:rFonts w:hint="eastAsia" w:cs="仿宋_GB2312"/>
          <w:i w:val="0"/>
          <w:iCs w:val="0"/>
          <w:color w:val="auto"/>
          <w:szCs w:val="24"/>
          <w:highlight w:val="none"/>
        </w:rPr>
        <w:t>文件内容提出的疑问及澄清要求将不予受理。</w:t>
      </w:r>
    </w:p>
    <w:p w14:paraId="56DEAB23">
      <w:pPr>
        <w:keepNext w:val="0"/>
        <w:keepLines w:val="0"/>
        <w:pageBreakBefore w:val="0"/>
        <w:widowControl w:val="0"/>
        <w:kinsoku/>
        <w:overflowPunct/>
        <w:topLinePunct w:val="0"/>
        <w:autoSpaceDE/>
        <w:autoSpaceDN/>
        <w:bidi w:val="0"/>
        <w:adjustRightInd/>
        <w:ind w:firstLine="480" w:firstLineChars="200"/>
        <w:textAlignment w:val="auto"/>
        <w:rPr>
          <w:rFonts w:hint="eastAsia"/>
          <w:i w:val="0"/>
          <w:iCs w:val="0"/>
          <w:color w:val="auto"/>
          <w:highlight w:val="none"/>
        </w:rPr>
      </w:pPr>
      <w:r>
        <w:rPr>
          <w:rFonts w:cs="仿宋_GB2312"/>
          <w:i w:val="0"/>
          <w:iCs w:val="0"/>
          <w:color w:val="auto"/>
          <w:szCs w:val="24"/>
          <w:highlight w:val="none"/>
        </w:rPr>
        <w:t>1</w:t>
      </w:r>
      <w:r>
        <w:rPr>
          <w:rFonts w:hint="eastAsia" w:cs="仿宋_GB2312"/>
          <w:i w:val="0"/>
          <w:iCs w:val="0"/>
          <w:color w:val="auto"/>
          <w:szCs w:val="24"/>
          <w:highlight w:val="none"/>
          <w:lang w:val="en-US" w:eastAsia="zh-CN"/>
        </w:rPr>
        <w:t>2</w:t>
      </w:r>
      <w:r>
        <w:rPr>
          <w:rFonts w:hint="eastAsia" w:cs="仿宋_GB2312"/>
          <w:i w:val="0"/>
          <w:iCs w:val="0"/>
          <w:color w:val="auto"/>
          <w:szCs w:val="24"/>
          <w:highlight w:val="none"/>
        </w:rPr>
        <w:t>.2 采购人或者采购代理机构可以对已发出的竞争性</w:t>
      </w:r>
      <w:r>
        <w:rPr>
          <w:rFonts w:hint="eastAsia" w:cs="仿宋_GB2312"/>
          <w:i w:val="0"/>
          <w:iCs w:val="0"/>
          <w:color w:val="auto"/>
          <w:szCs w:val="24"/>
          <w:highlight w:val="none"/>
          <w:lang w:val="en-US" w:eastAsia="zh-CN"/>
        </w:rPr>
        <w:t>磋商</w:t>
      </w:r>
      <w:r>
        <w:rPr>
          <w:rFonts w:hint="eastAsia" w:cs="仿宋_GB2312"/>
          <w:i w:val="0"/>
          <w:iCs w:val="0"/>
          <w:color w:val="auto"/>
          <w:szCs w:val="24"/>
          <w:highlight w:val="none"/>
        </w:rPr>
        <w:t>文件进行必要的澄清或者修改。</w:t>
      </w:r>
      <w:r>
        <w:rPr>
          <w:rFonts w:hint="eastAsia"/>
          <w:i w:val="0"/>
          <w:iCs w:val="0"/>
          <w:color w:val="auto"/>
          <w:highlight w:val="none"/>
        </w:rPr>
        <w:t>澄清或修改的内容为</w:t>
      </w:r>
      <w:r>
        <w:rPr>
          <w:rFonts w:hint="eastAsia" w:cs="仿宋_GB2312"/>
          <w:i w:val="0"/>
          <w:iCs w:val="0"/>
          <w:color w:val="auto"/>
          <w:szCs w:val="24"/>
          <w:highlight w:val="none"/>
        </w:rPr>
        <w:t>竞争性</w:t>
      </w:r>
      <w:r>
        <w:rPr>
          <w:rFonts w:hint="eastAsia"/>
          <w:i w:val="0"/>
          <w:iCs w:val="0"/>
          <w:color w:val="auto"/>
          <w:highlight w:val="none"/>
          <w:lang w:val="en-US" w:eastAsia="zh-CN"/>
        </w:rPr>
        <w:t>磋商</w:t>
      </w:r>
      <w:r>
        <w:rPr>
          <w:rFonts w:hint="eastAsia"/>
          <w:i w:val="0"/>
          <w:iCs w:val="0"/>
          <w:color w:val="auto"/>
          <w:highlight w:val="none"/>
        </w:rPr>
        <w:t>文件的组成部分，并对所有获取</w:t>
      </w:r>
      <w:r>
        <w:rPr>
          <w:rFonts w:hint="eastAsia" w:cs="仿宋_GB2312"/>
          <w:i w:val="0"/>
          <w:iCs w:val="0"/>
          <w:color w:val="auto"/>
          <w:szCs w:val="24"/>
          <w:highlight w:val="none"/>
        </w:rPr>
        <w:t>竞争性</w:t>
      </w:r>
      <w:r>
        <w:rPr>
          <w:rFonts w:hint="eastAsia"/>
          <w:i w:val="0"/>
          <w:iCs w:val="0"/>
          <w:color w:val="auto"/>
          <w:highlight w:val="none"/>
          <w:lang w:val="en-US" w:eastAsia="zh-CN"/>
        </w:rPr>
        <w:t>磋商</w:t>
      </w:r>
      <w:r>
        <w:rPr>
          <w:rFonts w:hint="eastAsia"/>
          <w:i w:val="0"/>
          <w:iCs w:val="0"/>
          <w:color w:val="auto"/>
          <w:highlight w:val="none"/>
        </w:rPr>
        <w:t>文件的潜在</w:t>
      </w:r>
      <w:r>
        <w:rPr>
          <w:rFonts w:hint="eastAsia" w:cs="仿宋_GB2312"/>
          <w:i w:val="0"/>
          <w:iCs w:val="0"/>
          <w:color w:val="auto"/>
          <w:szCs w:val="24"/>
          <w:highlight w:val="none"/>
        </w:rPr>
        <w:t>供应商</w:t>
      </w:r>
      <w:r>
        <w:rPr>
          <w:rFonts w:hint="eastAsia"/>
          <w:i w:val="0"/>
          <w:iCs w:val="0"/>
          <w:color w:val="auto"/>
          <w:highlight w:val="none"/>
        </w:rPr>
        <w:t>具有约束力。</w:t>
      </w:r>
    </w:p>
    <w:p w14:paraId="2EE78435">
      <w:pPr>
        <w:keepNext w:val="0"/>
        <w:keepLines w:val="0"/>
        <w:pageBreakBefore w:val="0"/>
        <w:widowControl w:val="0"/>
        <w:kinsoku/>
        <w:overflowPunct/>
        <w:topLinePunct w:val="0"/>
        <w:bidi w:val="0"/>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2</w:t>
      </w:r>
      <w:r>
        <w:rPr>
          <w:rFonts w:hint="eastAsia" w:cs="仿宋_GB2312"/>
          <w:i w:val="0"/>
          <w:iCs w:val="0"/>
          <w:color w:val="auto"/>
          <w:szCs w:val="24"/>
          <w:highlight w:val="none"/>
        </w:rPr>
        <w:t>.3 竞争性磋商文件的澄清或者修</w:t>
      </w:r>
      <w:r>
        <w:rPr>
          <w:rFonts w:hint="eastAsia"/>
          <w:i w:val="0"/>
          <w:iCs w:val="0"/>
          <w:snapToGrid w:val="0"/>
          <w:color w:val="auto"/>
          <w:highlight w:val="none"/>
          <w:lang w:val="zh-CN"/>
        </w:rPr>
        <w:t>改以当面交接、邮寄、传真或电子邮件、网站披露等其中至少一种方式，发给所有领取竞争性磋商文件的供应商，但不包括问题的来源。对磋商文件澄清或者修改的内容可能影响响应文件编制的，采购人、采购代理机构或者磋商小组应当在提交首次响应文件截止之日5日前，以书面形式通知所有接收</w:t>
      </w:r>
      <w:r>
        <w:rPr>
          <w:rFonts w:hint="eastAsia" w:cs="仿宋_GB2312"/>
          <w:i w:val="0"/>
          <w:iCs w:val="0"/>
          <w:color w:val="auto"/>
          <w:szCs w:val="24"/>
          <w:highlight w:val="none"/>
        </w:rPr>
        <w:t>竞争性</w:t>
      </w:r>
      <w:r>
        <w:rPr>
          <w:rFonts w:hint="eastAsia"/>
          <w:i w:val="0"/>
          <w:iCs w:val="0"/>
          <w:snapToGrid w:val="0"/>
          <w:color w:val="auto"/>
          <w:highlight w:val="none"/>
          <w:lang w:val="zh-CN"/>
        </w:rPr>
        <w:t>磋商文件的供应商，不足5日的，应当顺延提交首次响应文件</w:t>
      </w:r>
      <w:r>
        <w:rPr>
          <w:rFonts w:hint="eastAsia"/>
          <w:i w:val="0"/>
          <w:iCs w:val="0"/>
          <w:snapToGrid w:val="0"/>
          <w:color w:val="auto"/>
          <w:highlight w:val="none"/>
          <w:lang w:val="en-US" w:eastAsia="zh-CN"/>
        </w:rPr>
        <w:t>的</w:t>
      </w:r>
      <w:r>
        <w:rPr>
          <w:rFonts w:hint="eastAsia"/>
          <w:i w:val="0"/>
          <w:iCs w:val="0"/>
          <w:snapToGrid w:val="0"/>
          <w:color w:val="auto"/>
          <w:highlight w:val="none"/>
          <w:lang w:val="zh-CN"/>
        </w:rPr>
        <w:t>截止时间</w:t>
      </w:r>
      <w:r>
        <w:rPr>
          <w:rFonts w:hint="eastAsia" w:cs="仿宋_GB2312"/>
          <w:i w:val="0"/>
          <w:iCs w:val="0"/>
          <w:color w:val="auto"/>
          <w:szCs w:val="24"/>
          <w:highlight w:val="none"/>
        </w:rPr>
        <w:t>。</w:t>
      </w:r>
    </w:p>
    <w:p w14:paraId="30FE311B">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1</w:t>
      </w:r>
      <w:r>
        <w:rPr>
          <w:rFonts w:hint="eastAsia"/>
          <w:i w:val="0"/>
          <w:iCs w:val="0"/>
          <w:color w:val="auto"/>
          <w:highlight w:val="none"/>
          <w:lang w:val="en-US" w:eastAsia="zh-CN"/>
        </w:rPr>
        <w:t>2</w:t>
      </w:r>
      <w:r>
        <w:rPr>
          <w:i w:val="0"/>
          <w:iCs w:val="0"/>
          <w:color w:val="auto"/>
          <w:highlight w:val="none"/>
        </w:rPr>
        <w:t>.</w:t>
      </w:r>
      <w:r>
        <w:rPr>
          <w:rFonts w:hint="eastAsia"/>
          <w:i w:val="0"/>
          <w:iCs w:val="0"/>
          <w:color w:val="auto"/>
          <w:highlight w:val="none"/>
        </w:rPr>
        <w:t xml:space="preserve">4 </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须知”所称“</w:t>
      </w:r>
      <w:r>
        <w:rPr>
          <w:rFonts w:hint="eastAsia"/>
          <w:i w:val="0"/>
          <w:iCs w:val="0"/>
          <w:color w:val="auto"/>
          <w:highlight w:val="none"/>
        </w:rPr>
        <w:t>书面形式</w:t>
      </w:r>
      <w:r>
        <w:rPr>
          <w:rFonts w:hint="eastAsia" w:cs="仿宋_GB2312"/>
          <w:i w:val="0"/>
          <w:iCs w:val="0"/>
          <w:color w:val="auto"/>
          <w:szCs w:val="24"/>
          <w:highlight w:val="none"/>
        </w:rPr>
        <w:t>”</w:t>
      </w:r>
      <w:r>
        <w:rPr>
          <w:rFonts w:hint="eastAsia"/>
          <w:i w:val="0"/>
          <w:iCs w:val="0"/>
          <w:color w:val="auto"/>
          <w:highlight w:val="none"/>
        </w:rPr>
        <w:t>包括系统消息、政府采购</w:t>
      </w:r>
      <w:r>
        <w:rPr>
          <w:rFonts w:hint="eastAsia"/>
          <w:i w:val="0"/>
          <w:iCs w:val="0"/>
          <w:color w:val="auto"/>
          <w:highlight w:val="none"/>
          <w:lang w:val="en-US" w:eastAsia="zh-CN"/>
        </w:rPr>
        <w:t>云平台</w:t>
      </w:r>
      <w:r>
        <w:rPr>
          <w:rFonts w:hint="eastAsia"/>
          <w:i w:val="0"/>
          <w:iCs w:val="0"/>
          <w:color w:val="auto"/>
          <w:highlight w:val="none"/>
        </w:rPr>
        <w:t>发布的公告。</w:t>
      </w:r>
    </w:p>
    <w:p w14:paraId="028E5469">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rPr>
        <w:t>1</w:t>
      </w:r>
      <w:r>
        <w:rPr>
          <w:rFonts w:hint="eastAsia" w:ascii="宋体" w:hAnsi="宋体" w:eastAsia="宋体" w:cs="宋体"/>
          <w:i w:val="0"/>
          <w:iCs w:val="0"/>
          <w:color w:val="auto"/>
          <w:kern w:val="2"/>
          <w:sz w:val="24"/>
          <w:szCs w:val="22"/>
          <w:highlight w:val="none"/>
          <w:lang w:val="en-US" w:eastAsia="zh-CN"/>
        </w:rPr>
        <w:t>2</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5</w:t>
      </w:r>
      <w:r>
        <w:rPr>
          <w:rFonts w:hint="eastAsia" w:ascii="宋体" w:hAnsi="宋体" w:eastAsia="宋体" w:cs="宋体"/>
          <w:i w:val="0"/>
          <w:iCs w:val="0"/>
          <w:color w:val="auto"/>
          <w:kern w:val="2"/>
          <w:sz w:val="24"/>
          <w:szCs w:val="22"/>
          <w:highlight w:val="none"/>
        </w:rPr>
        <w:t>采购代理机构一旦对竞争性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文件作出了澄清、修改，即刻发生效力，采购代理机构有关的澄清、修改文件，将作为竞争性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文件的组成部分，对所有现实的或潜在的</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均具有约束力，而无论是否已经实际收到上述文件。同时，采购代理机构和</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的权利及义务将受到新的截止期的约束。</w:t>
      </w:r>
    </w:p>
    <w:p w14:paraId="6E542BA8">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rPr>
        <w:t>1</w:t>
      </w:r>
      <w:r>
        <w:rPr>
          <w:rFonts w:hint="eastAsia" w:ascii="宋体" w:hAnsi="宋体" w:eastAsia="宋体" w:cs="宋体"/>
          <w:i w:val="0"/>
          <w:iCs w:val="0"/>
          <w:color w:val="auto"/>
          <w:kern w:val="2"/>
          <w:sz w:val="24"/>
          <w:szCs w:val="22"/>
          <w:highlight w:val="none"/>
          <w:lang w:val="en-US" w:eastAsia="zh-CN"/>
        </w:rPr>
        <w:t>2</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采购代理机构对竞争性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文件作出的澄清、修改在平台内进行披露，请</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及时关注并获取相关资料。因登记有误、线路故障或其它任何意外情形，导致</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未及时获取的，采购代理机构不因此承担任何责任，且有关的</w:t>
      </w:r>
      <w:r>
        <w:rPr>
          <w:rFonts w:hint="eastAsia" w:ascii="宋体" w:hAnsi="宋体" w:eastAsia="宋体" w:cs="宋体"/>
          <w:i w:val="0"/>
          <w:iCs w:val="0"/>
          <w:color w:val="auto"/>
          <w:kern w:val="2"/>
          <w:sz w:val="24"/>
          <w:szCs w:val="22"/>
          <w:highlight w:val="none"/>
          <w:lang w:val="en-US" w:eastAsia="zh-CN"/>
        </w:rPr>
        <w:t>磋商</w:t>
      </w:r>
      <w:r>
        <w:rPr>
          <w:rFonts w:hint="eastAsia" w:ascii="宋体" w:hAnsi="宋体" w:eastAsia="宋体" w:cs="宋体"/>
          <w:i w:val="0"/>
          <w:iCs w:val="0"/>
          <w:color w:val="auto"/>
          <w:kern w:val="2"/>
          <w:sz w:val="24"/>
          <w:szCs w:val="22"/>
          <w:highlight w:val="none"/>
        </w:rPr>
        <w:t>活动继续有效地进行。当竞争性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文件的澄清、修改及进行其他答复等就同一内容的表述不一致时，以最后发布的内容为准。</w:t>
      </w:r>
    </w:p>
    <w:p w14:paraId="7D17D0F6">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7" w:name="_Toc46771647"/>
      <w:bookmarkStart w:id="168" w:name="_Toc163493613"/>
      <w:bookmarkStart w:id="169" w:name="_Toc470172672"/>
      <w:bookmarkStart w:id="170" w:name="_Toc109900379"/>
      <w:bookmarkStart w:id="171" w:name="_Toc109899541"/>
      <w:bookmarkStart w:id="172" w:name="_Toc109897442"/>
      <w:bookmarkStart w:id="173" w:name="_Toc14601"/>
      <w:bookmarkStart w:id="174" w:name="_Toc109899960"/>
      <w:r>
        <w:rPr>
          <w:rFonts w:hint="eastAsia" w:ascii="宋体" w:hAnsi="宋体" w:eastAsia="宋体" w:cs="宋体"/>
          <w:b/>
          <w:bCs/>
          <w:color w:val="auto"/>
          <w:kern w:val="2"/>
          <w:sz w:val="24"/>
          <w:szCs w:val="24"/>
          <w:highlight w:val="none"/>
          <w:lang w:val="en-US" w:eastAsia="zh-CN" w:bidi="ar-SA"/>
        </w:rPr>
        <w:t>（三）响应文件</w:t>
      </w:r>
      <w:bookmarkEnd w:id="167"/>
      <w:bookmarkEnd w:id="168"/>
      <w:bookmarkEnd w:id="169"/>
      <w:bookmarkEnd w:id="170"/>
      <w:bookmarkEnd w:id="171"/>
      <w:bookmarkEnd w:id="172"/>
      <w:bookmarkEnd w:id="173"/>
      <w:bookmarkEnd w:id="174"/>
    </w:p>
    <w:p w14:paraId="3A231C5B">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5" w:name="_Toc48688798"/>
      <w:bookmarkStart w:id="176" w:name="_Toc48846118"/>
      <w:bookmarkStart w:id="177" w:name="_Toc109899962"/>
      <w:bookmarkStart w:id="178" w:name="_Toc32272"/>
      <w:bookmarkStart w:id="179" w:name="_Toc51674220"/>
      <w:bookmarkStart w:id="180" w:name="_Toc109897444"/>
      <w:bookmarkStart w:id="181" w:name="_Toc52962736"/>
      <w:bookmarkStart w:id="182" w:name="_Toc109900381"/>
      <w:bookmarkStart w:id="183" w:name="_Toc109899543"/>
      <w:bookmarkStart w:id="184" w:name="_Toc470172674"/>
      <w:bookmarkStart w:id="185" w:name="_Toc52960562"/>
      <w:bookmarkStart w:id="186" w:name="_Toc46772250"/>
      <w:bookmarkStart w:id="187" w:name="_Toc46771649"/>
      <w:r>
        <w:rPr>
          <w:rFonts w:hint="eastAsia" w:ascii="宋体" w:hAnsi="宋体" w:eastAsia="宋体" w:cs="宋体"/>
          <w:b/>
          <w:bCs/>
          <w:color w:val="auto"/>
          <w:kern w:val="2"/>
          <w:sz w:val="24"/>
          <w:szCs w:val="24"/>
          <w:highlight w:val="none"/>
          <w:lang w:val="en-US" w:eastAsia="zh-CN" w:bidi="ar-SA"/>
        </w:rPr>
        <w:t>13.响应文件的</w:t>
      </w:r>
      <w:bookmarkEnd w:id="175"/>
      <w:bookmarkEnd w:id="176"/>
      <w:bookmarkEnd w:id="177"/>
      <w:bookmarkEnd w:id="178"/>
      <w:bookmarkEnd w:id="179"/>
      <w:bookmarkEnd w:id="180"/>
      <w:bookmarkEnd w:id="181"/>
      <w:bookmarkEnd w:id="182"/>
      <w:bookmarkEnd w:id="183"/>
      <w:bookmarkEnd w:id="184"/>
      <w:bookmarkEnd w:id="185"/>
      <w:bookmarkEnd w:id="186"/>
      <w:bookmarkEnd w:id="187"/>
      <w:r>
        <w:rPr>
          <w:rFonts w:hint="eastAsia" w:ascii="宋体" w:hAnsi="宋体" w:eastAsia="宋体" w:cs="宋体"/>
          <w:b/>
          <w:bCs/>
          <w:color w:val="auto"/>
          <w:kern w:val="2"/>
          <w:sz w:val="24"/>
          <w:szCs w:val="24"/>
          <w:highlight w:val="none"/>
          <w:lang w:val="en-US" w:eastAsia="zh-CN" w:bidi="ar-SA"/>
        </w:rPr>
        <w:t>组成</w:t>
      </w:r>
    </w:p>
    <w:p w14:paraId="174A0A3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13</w:t>
      </w:r>
      <w:r>
        <w:rPr>
          <w:rFonts w:hint="eastAsia" w:ascii="宋体" w:hAnsi="宋体" w:eastAsia="宋体" w:cs="宋体"/>
          <w:i w:val="0"/>
          <w:iCs w:val="0"/>
          <w:color w:val="auto"/>
          <w:kern w:val="2"/>
          <w:sz w:val="24"/>
          <w:szCs w:val="22"/>
          <w:highlight w:val="none"/>
        </w:rPr>
        <w:t>.1</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应完整地按竞争性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文件提供的</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文件格式及要求编写</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文件，具体内容详见</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lang w:val="en-US" w:eastAsia="zh-CN"/>
        </w:rPr>
        <w:t>第六章 响应</w:t>
      </w:r>
      <w:r>
        <w:rPr>
          <w:rFonts w:hint="eastAsia" w:ascii="宋体" w:hAnsi="宋体" w:eastAsia="宋体" w:cs="宋体"/>
          <w:i w:val="0"/>
          <w:iCs w:val="0"/>
          <w:color w:val="auto"/>
          <w:kern w:val="2"/>
          <w:sz w:val="24"/>
          <w:szCs w:val="22"/>
          <w:highlight w:val="none"/>
        </w:rPr>
        <w:t>文件</w:t>
      </w:r>
      <w:r>
        <w:rPr>
          <w:rFonts w:hint="eastAsia" w:ascii="宋体" w:hAnsi="宋体" w:eastAsia="宋体" w:cs="宋体"/>
          <w:i w:val="0"/>
          <w:iCs w:val="0"/>
          <w:color w:val="auto"/>
          <w:kern w:val="2"/>
          <w:sz w:val="24"/>
          <w:szCs w:val="22"/>
          <w:highlight w:val="none"/>
          <w:lang w:val="en-US" w:eastAsia="zh-CN"/>
        </w:rPr>
        <w:t>的</w:t>
      </w:r>
      <w:r>
        <w:rPr>
          <w:rFonts w:hint="eastAsia" w:ascii="宋体" w:hAnsi="宋体" w:eastAsia="宋体" w:cs="宋体"/>
          <w:i w:val="0"/>
          <w:iCs w:val="0"/>
          <w:color w:val="auto"/>
          <w:kern w:val="2"/>
          <w:sz w:val="24"/>
          <w:szCs w:val="22"/>
          <w:highlight w:val="none"/>
        </w:rPr>
        <w:t>格式</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的相关内容。</w:t>
      </w:r>
    </w:p>
    <w:p w14:paraId="3BB3A0B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lang w:val="en-US" w:eastAsia="zh-CN"/>
        </w:rPr>
      </w:pPr>
      <w:r>
        <w:rPr>
          <w:rFonts w:hint="eastAsia" w:ascii="宋体" w:hAnsi="宋体" w:eastAsia="宋体" w:cs="宋体"/>
          <w:i w:val="0"/>
          <w:iCs w:val="0"/>
          <w:color w:val="auto"/>
          <w:kern w:val="2"/>
          <w:sz w:val="24"/>
          <w:szCs w:val="22"/>
          <w:highlight w:val="none"/>
          <w:lang w:val="en-US" w:eastAsia="zh-CN"/>
        </w:rPr>
        <w:t>13.2供应商</w:t>
      </w:r>
      <w:r>
        <w:rPr>
          <w:rFonts w:hint="eastAsia" w:ascii="宋体" w:hAnsi="宋体" w:eastAsia="宋体" w:cs="宋体"/>
          <w:i w:val="0"/>
          <w:iCs w:val="0"/>
          <w:color w:val="auto"/>
          <w:kern w:val="2"/>
          <w:sz w:val="24"/>
          <w:szCs w:val="22"/>
          <w:highlight w:val="none"/>
        </w:rPr>
        <w:t>应提交竞争性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文件要求的证明文件，证明其</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内容符合竞争性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文件规定</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该证明文件是</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文件的一部分</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证明文件</w:t>
      </w:r>
      <w:r>
        <w:rPr>
          <w:rFonts w:hint="eastAsia" w:ascii="宋体" w:hAnsi="宋体" w:eastAsia="宋体" w:cs="宋体"/>
          <w:i w:val="0"/>
          <w:iCs w:val="0"/>
          <w:color w:val="auto"/>
          <w:kern w:val="2"/>
          <w:sz w:val="24"/>
          <w:szCs w:val="22"/>
          <w:highlight w:val="none"/>
          <w:lang w:val="en-US" w:eastAsia="zh-CN"/>
        </w:rPr>
        <w:t>形式</w:t>
      </w:r>
      <w:r>
        <w:rPr>
          <w:rFonts w:hint="eastAsia" w:ascii="宋体" w:hAnsi="宋体" w:eastAsia="宋体" w:cs="宋体"/>
          <w:i w:val="0"/>
          <w:iCs w:val="0"/>
          <w:color w:val="auto"/>
          <w:kern w:val="2"/>
          <w:sz w:val="24"/>
          <w:szCs w:val="22"/>
          <w:highlight w:val="none"/>
        </w:rPr>
        <w:t>可以是文字资料、图纸和数据</w:t>
      </w:r>
      <w:bookmarkStart w:id="188" w:name="_Hlk11703583"/>
      <w:r>
        <w:rPr>
          <w:rFonts w:hint="eastAsia" w:ascii="宋体" w:hAnsi="宋体" w:eastAsia="宋体" w:cs="宋体"/>
          <w:i w:val="0"/>
          <w:iCs w:val="0"/>
          <w:color w:val="auto"/>
          <w:kern w:val="2"/>
          <w:sz w:val="24"/>
          <w:szCs w:val="22"/>
          <w:highlight w:val="none"/>
          <w:lang w:val="en-US" w:eastAsia="zh-CN"/>
        </w:rPr>
        <w:t>等。</w:t>
      </w:r>
    </w:p>
    <w:bookmarkEnd w:id="188"/>
    <w:p w14:paraId="781BBAE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lang w:val="en-US" w:eastAsia="zh-CN"/>
        </w:rPr>
      </w:pPr>
      <w:r>
        <w:rPr>
          <w:rFonts w:hint="eastAsia" w:ascii="宋体" w:hAnsi="宋体" w:eastAsia="宋体" w:cs="宋体"/>
          <w:i w:val="0"/>
          <w:iCs w:val="0"/>
          <w:color w:val="auto"/>
          <w:kern w:val="2"/>
          <w:sz w:val="24"/>
          <w:szCs w:val="22"/>
          <w:highlight w:val="none"/>
          <w:lang w:val="en-US" w:eastAsia="zh-CN"/>
        </w:rPr>
        <w:t>13.3</w:t>
      </w:r>
      <w:r>
        <w:rPr>
          <w:rFonts w:hint="eastAsia" w:ascii="宋体" w:hAnsi="宋体" w:eastAsia="宋体" w:cs="宋体"/>
          <w:i w:val="0"/>
          <w:iCs w:val="0"/>
          <w:color w:val="auto"/>
          <w:kern w:val="2"/>
          <w:sz w:val="24"/>
          <w:szCs w:val="22"/>
          <w:highlight w:val="none"/>
        </w:rPr>
        <w:t>为保证公平公正，除非</w:t>
      </w:r>
      <w:r>
        <w:rPr>
          <w:rFonts w:hint="eastAsia" w:ascii="宋体" w:hAnsi="宋体" w:eastAsia="宋体" w:cs="宋体"/>
          <w:i w:val="0"/>
          <w:iCs w:val="0"/>
          <w:color w:val="auto"/>
          <w:kern w:val="2"/>
          <w:sz w:val="24"/>
          <w:szCs w:val="22"/>
          <w:highlight w:val="none"/>
          <w:lang w:val="en-US" w:eastAsia="zh-CN"/>
        </w:rPr>
        <w:t>本磋商文件</w:t>
      </w:r>
      <w:r>
        <w:rPr>
          <w:rFonts w:hint="eastAsia" w:ascii="宋体" w:hAnsi="宋体" w:eastAsia="宋体" w:cs="宋体"/>
          <w:i w:val="0"/>
          <w:iCs w:val="0"/>
          <w:color w:val="auto"/>
          <w:kern w:val="2"/>
          <w:sz w:val="24"/>
          <w:szCs w:val="22"/>
          <w:highlight w:val="none"/>
        </w:rPr>
        <w:t>另有规定或说明，</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对同一项目</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时，不得同时提供备选</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方案。</w:t>
      </w:r>
    </w:p>
    <w:p w14:paraId="5C8E7CA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89" w:name="_Toc52960564"/>
      <w:bookmarkStart w:id="190" w:name="_Toc109899964"/>
      <w:bookmarkStart w:id="191" w:name="_Toc46772252"/>
      <w:bookmarkStart w:id="192" w:name="_Toc470172676"/>
      <w:bookmarkStart w:id="193" w:name="_Toc48688800"/>
      <w:bookmarkStart w:id="194" w:name="_Toc109899545"/>
      <w:bookmarkStart w:id="195" w:name="_Toc51674222"/>
      <w:bookmarkStart w:id="196" w:name="_Toc48846120"/>
      <w:bookmarkStart w:id="197" w:name="_Toc109897446"/>
      <w:bookmarkStart w:id="198" w:name="_Toc46771651"/>
      <w:bookmarkStart w:id="199" w:name="_Toc109900383"/>
      <w:bookmarkStart w:id="200" w:name="_Toc52962738"/>
      <w:bookmarkStart w:id="201" w:name="_Toc24544"/>
      <w:bookmarkStart w:id="202" w:name="_Toc109900382"/>
      <w:bookmarkStart w:id="203" w:name="_Toc52962737"/>
      <w:bookmarkStart w:id="204" w:name="_Toc109899544"/>
      <w:bookmarkStart w:id="205" w:name="_Toc51674221"/>
      <w:bookmarkStart w:id="206" w:name="_Toc48688799"/>
      <w:bookmarkStart w:id="207" w:name="_Toc109899963"/>
      <w:bookmarkStart w:id="208" w:name="_Toc48846119"/>
      <w:bookmarkStart w:id="209" w:name="_Toc109897445"/>
      <w:bookmarkStart w:id="210" w:name="_Toc470172675"/>
      <w:bookmarkStart w:id="211" w:name="_Toc46772251"/>
      <w:bookmarkStart w:id="212" w:name="_Toc46771650"/>
      <w:bookmarkStart w:id="213" w:name="_Toc52960563"/>
      <w:bookmarkStart w:id="214" w:name="_Toc25217"/>
      <w:r>
        <w:rPr>
          <w:rFonts w:hint="eastAsia" w:ascii="宋体" w:hAnsi="宋体" w:eastAsia="宋体" w:cs="宋体"/>
          <w:b/>
          <w:bCs/>
          <w:color w:val="auto"/>
          <w:kern w:val="2"/>
          <w:sz w:val="24"/>
          <w:szCs w:val="24"/>
          <w:highlight w:val="none"/>
          <w:lang w:val="en-US" w:eastAsia="zh-CN" w:bidi="ar-SA"/>
        </w:rPr>
        <w:t>14.磋商报价</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0640D6E7">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.1磋商供应商的报价均应以人民币报价。磋商报价包括磋商供应商在首次提交的响应文件中的报价、磋商过程中的报价和最后报价，</w:t>
      </w:r>
      <w:r>
        <w:rPr>
          <w:rFonts w:hint="eastAsia"/>
          <w:i w:val="0"/>
          <w:iCs w:val="0"/>
          <w:snapToGrid w:val="0"/>
          <w:color w:val="auto"/>
          <w:highlight w:val="none"/>
          <w:lang w:val="en-US" w:eastAsia="zh-CN"/>
        </w:rPr>
        <w:t>且均</w:t>
      </w:r>
      <w:r>
        <w:rPr>
          <w:rFonts w:hint="eastAsia"/>
          <w:i w:val="0"/>
          <w:iCs w:val="0"/>
          <w:snapToGrid w:val="0"/>
          <w:color w:val="auto"/>
          <w:highlight w:val="none"/>
          <w:lang w:val="zh-CN"/>
        </w:rPr>
        <w:t>不得超过</w:t>
      </w:r>
      <w:bookmarkStart w:id="215" w:name="_Hlk161703672"/>
      <w:r>
        <w:rPr>
          <w:rFonts w:hint="eastAsia"/>
          <w:i w:val="0"/>
          <w:iCs w:val="0"/>
          <w:snapToGrid w:val="0"/>
          <w:color w:val="auto"/>
          <w:highlight w:val="none"/>
          <w:lang w:val="zh-CN"/>
        </w:rPr>
        <w:t>“</w:t>
      </w:r>
      <w:r>
        <w:rPr>
          <w:rFonts w:hint="eastAsia"/>
          <w:i w:val="0"/>
          <w:iCs w:val="0"/>
          <w:snapToGrid w:val="0"/>
          <w:color w:val="auto"/>
          <w:highlight w:val="none"/>
          <w:lang w:val="en-US" w:eastAsia="zh-CN"/>
        </w:rPr>
        <w:t>第一章 竞争性磋商公告</w:t>
      </w:r>
      <w:r>
        <w:rPr>
          <w:rFonts w:hint="eastAsia"/>
          <w:i w:val="0"/>
          <w:iCs w:val="0"/>
          <w:snapToGrid w:val="0"/>
          <w:color w:val="auto"/>
          <w:highlight w:val="none"/>
          <w:lang w:val="zh-CN"/>
        </w:rPr>
        <w:t>”中规定</w:t>
      </w:r>
      <w:bookmarkEnd w:id="215"/>
      <w:r>
        <w:rPr>
          <w:rFonts w:hint="eastAsia"/>
          <w:i w:val="0"/>
          <w:iCs w:val="0"/>
          <w:snapToGrid w:val="0"/>
          <w:color w:val="auto"/>
          <w:highlight w:val="none"/>
          <w:lang w:val="zh-CN"/>
        </w:rPr>
        <w:t>的</w:t>
      </w:r>
      <w:r>
        <w:rPr>
          <w:rFonts w:hint="eastAsia"/>
          <w:i w:val="0"/>
          <w:iCs w:val="0"/>
          <w:snapToGrid w:val="0"/>
          <w:color w:val="auto"/>
          <w:highlight w:val="none"/>
          <w:lang w:val="zh-CN" w:eastAsia="zh-CN"/>
        </w:rPr>
        <w:t>最高限价或者预算金额</w:t>
      </w:r>
      <w:r>
        <w:rPr>
          <w:rFonts w:hint="eastAsia"/>
          <w:i w:val="0"/>
          <w:iCs w:val="0"/>
          <w:snapToGrid w:val="0"/>
          <w:color w:val="auto"/>
          <w:highlight w:val="none"/>
          <w:lang w:val="zh-CN"/>
        </w:rPr>
        <w:t>，否则其响应文件将被视为</w:t>
      </w:r>
      <w:r>
        <w:rPr>
          <w:rFonts w:hint="eastAsia"/>
          <w:b/>
          <w:bCs/>
          <w:i w:val="0"/>
          <w:iCs w:val="0"/>
          <w:snapToGrid w:val="0"/>
          <w:color w:val="auto"/>
          <w:highlight w:val="none"/>
          <w:lang w:val="zh-CN"/>
        </w:rPr>
        <w:t>无效文件</w:t>
      </w:r>
      <w:r>
        <w:rPr>
          <w:rFonts w:hint="eastAsia"/>
          <w:i w:val="0"/>
          <w:iCs w:val="0"/>
          <w:snapToGrid w:val="0"/>
          <w:color w:val="auto"/>
          <w:highlight w:val="none"/>
          <w:lang w:val="zh-CN"/>
        </w:rPr>
        <w:t>。</w:t>
      </w:r>
    </w:p>
    <w:p w14:paraId="300639DC">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2供应商应按照本磋商文件规定的采购需求及合同条款进行报价，并按磋商文件确定的格式报出。报价中不得包含磋商文件要求以外的内容，否则，在评审时不予核减。报价中也不得缺漏磋商文件所要求的内容，否则，其响应文件将被视为</w:t>
      </w:r>
      <w:r>
        <w:rPr>
          <w:rFonts w:hint="eastAsia"/>
          <w:b/>
          <w:bCs/>
          <w:i w:val="0"/>
          <w:iCs w:val="0"/>
          <w:snapToGrid w:val="0"/>
          <w:color w:val="auto"/>
          <w:highlight w:val="none"/>
          <w:lang w:val="zh-CN"/>
        </w:rPr>
        <w:t>无效文件</w:t>
      </w:r>
      <w:r>
        <w:rPr>
          <w:rFonts w:hint="eastAsia"/>
          <w:i w:val="0"/>
          <w:iCs w:val="0"/>
          <w:snapToGrid w:val="0"/>
          <w:color w:val="auto"/>
          <w:highlight w:val="none"/>
          <w:lang w:val="zh-CN"/>
        </w:rPr>
        <w:t>。</w:t>
      </w:r>
    </w:p>
    <w:p w14:paraId="487FB39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的报价应包括为完成本项目所发生的一切费用和税费，采购人将不再支付报价以外的任何费用。</w:t>
      </w:r>
      <w:r>
        <w:rPr>
          <w:rFonts w:hint="eastAsia" w:ascii="宋体" w:hAnsi="宋体" w:eastAsia="宋体" w:cstheme="minorBidi"/>
          <w:i w:val="0"/>
          <w:iCs w:val="0"/>
          <w:snapToGrid w:val="0"/>
          <w:color w:val="auto"/>
          <w:kern w:val="2"/>
          <w:sz w:val="24"/>
          <w:szCs w:val="22"/>
          <w:highlight w:val="none"/>
          <w:lang w:val="zh-CN" w:eastAsia="zh-CN" w:bidi="ar-SA"/>
        </w:rPr>
        <w:t>只要投报了一个确定数额的总价，无论分项价格是否全部填报了相应的金额或免费字样，报价应被视为已经包含了但并不限于各</w:t>
      </w:r>
      <w:r>
        <w:rPr>
          <w:rFonts w:hint="eastAsia" w:ascii="宋体" w:hAnsi="宋体" w:eastAsia="宋体" w:cstheme="minorBidi"/>
          <w:i w:val="0"/>
          <w:iCs w:val="0"/>
          <w:snapToGrid w:val="0"/>
          <w:color w:val="auto"/>
          <w:kern w:val="2"/>
          <w:sz w:val="24"/>
          <w:szCs w:val="22"/>
          <w:highlight w:val="none"/>
          <w:lang w:val="en-US" w:eastAsia="zh-CN" w:bidi="ar-SA"/>
        </w:rPr>
        <w:t>分</w:t>
      </w:r>
      <w:r>
        <w:rPr>
          <w:rFonts w:hint="eastAsia" w:ascii="宋体" w:hAnsi="宋体" w:eastAsia="宋体" w:cstheme="minorBidi"/>
          <w:i w:val="0"/>
          <w:iCs w:val="0"/>
          <w:snapToGrid w:val="0"/>
          <w:color w:val="auto"/>
          <w:kern w:val="2"/>
          <w:sz w:val="24"/>
          <w:szCs w:val="22"/>
          <w:highlight w:val="none"/>
          <w:lang w:val="zh-CN" w:eastAsia="zh-CN" w:bidi="ar-SA"/>
        </w:rPr>
        <w:t>项</w:t>
      </w:r>
      <w:r>
        <w:rPr>
          <w:rFonts w:hint="eastAsia" w:ascii="宋体" w:hAnsi="宋体" w:eastAsia="宋体" w:cstheme="minorBidi"/>
          <w:i w:val="0"/>
          <w:iCs w:val="0"/>
          <w:snapToGrid w:val="0"/>
          <w:color w:val="auto"/>
          <w:kern w:val="2"/>
          <w:sz w:val="24"/>
          <w:szCs w:val="22"/>
          <w:highlight w:val="none"/>
          <w:lang w:val="en-US" w:eastAsia="zh-CN" w:bidi="ar-SA"/>
        </w:rPr>
        <w:t>工程费用及</w:t>
      </w:r>
      <w:r>
        <w:rPr>
          <w:rFonts w:hint="eastAsia" w:ascii="宋体" w:hAnsi="宋体" w:eastAsia="宋体" w:cstheme="minorBidi"/>
          <w:i w:val="0"/>
          <w:iCs w:val="0"/>
          <w:snapToGrid w:val="0"/>
          <w:color w:val="auto"/>
          <w:kern w:val="2"/>
          <w:sz w:val="24"/>
          <w:szCs w:val="22"/>
          <w:highlight w:val="none"/>
          <w:lang w:val="zh-CN" w:eastAsia="zh-CN" w:bidi="ar-SA"/>
        </w:rPr>
        <w:t>购买货物及其运送、安装、调试、验收、保险和相关服务等的费用和所需缴纳的所有价格、税、费。在其他情况下，由于</w:t>
      </w:r>
      <w:r>
        <w:rPr>
          <w:rFonts w:hint="eastAsia" w:cstheme="minorBidi"/>
          <w:i w:val="0"/>
          <w:iCs w:val="0"/>
          <w:snapToGrid w:val="0"/>
          <w:color w:val="auto"/>
          <w:kern w:val="2"/>
          <w:sz w:val="24"/>
          <w:szCs w:val="22"/>
          <w:highlight w:val="none"/>
          <w:lang w:val="en-US" w:eastAsia="zh-CN" w:bidi="ar-SA"/>
        </w:rPr>
        <w:t>已标价工程量清单</w:t>
      </w:r>
      <w:r>
        <w:rPr>
          <w:rFonts w:hint="eastAsia" w:ascii="宋体" w:hAnsi="宋体" w:eastAsia="宋体" w:cstheme="minorBidi"/>
          <w:i w:val="0"/>
          <w:iCs w:val="0"/>
          <w:snapToGrid w:val="0"/>
          <w:color w:val="auto"/>
          <w:kern w:val="2"/>
          <w:sz w:val="24"/>
          <w:szCs w:val="22"/>
          <w:highlight w:val="none"/>
          <w:lang w:val="zh-CN" w:eastAsia="zh-CN" w:bidi="ar-SA"/>
        </w:rPr>
        <w:t>填报不完整、不清楚或存在其他任何失误，所导致的任何不利后果均应当由供应商自行承担。</w:t>
      </w:r>
    </w:p>
    <w:p w14:paraId="009FDB1D">
      <w:pPr>
        <w:pStyle w:val="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 xml:space="preserve">的报价应包括但不限于下列内容： </w:t>
      </w:r>
    </w:p>
    <w:p w14:paraId="058AFCD3">
      <w:pPr>
        <w:pStyle w:val="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 xml:space="preserve">14.2.1 磋商工程费用及相关货物（含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2ACD190C">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14.2.2 按照磋商文件要求完成本项目的全部相关费用。</w:t>
      </w:r>
    </w:p>
    <w:p w14:paraId="11C9B78F">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.3</w:t>
      </w:r>
      <w:r>
        <w:rPr>
          <w:rFonts w:hint="eastAsia"/>
          <w:i w:val="0"/>
          <w:iCs w:val="0"/>
          <w:snapToGrid w:val="0"/>
          <w:color w:val="auto"/>
          <w:highlight w:val="none"/>
          <w:lang w:val="en-US" w:eastAsia="zh-CN"/>
        </w:rPr>
        <w:t>供应商</w:t>
      </w:r>
      <w:r>
        <w:rPr>
          <w:rFonts w:hint="eastAsia"/>
          <w:i w:val="0"/>
          <w:iCs w:val="0"/>
          <w:snapToGrid w:val="0"/>
          <w:color w:val="auto"/>
          <w:highlight w:val="none"/>
          <w:lang w:val="zh-CN"/>
        </w:rPr>
        <w:t>须严格按照</w:t>
      </w:r>
      <w:r>
        <w:rPr>
          <w:rFonts w:hint="eastAsia"/>
          <w:i w:val="0"/>
          <w:iCs w:val="0"/>
          <w:snapToGrid w:val="0"/>
          <w:color w:val="auto"/>
          <w:highlight w:val="none"/>
          <w:lang w:val="en-US" w:eastAsia="zh-CN"/>
        </w:rPr>
        <w:t>工程量清单</w:t>
      </w:r>
      <w:r>
        <w:rPr>
          <w:rFonts w:hint="eastAsia"/>
          <w:i w:val="0"/>
          <w:iCs w:val="0"/>
          <w:snapToGrid w:val="0"/>
          <w:color w:val="auto"/>
          <w:highlight w:val="none"/>
          <w:lang w:val="zh-CN"/>
        </w:rPr>
        <w:t>规定的内容填写单价、</w:t>
      </w:r>
      <w:r>
        <w:rPr>
          <w:rFonts w:hint="eastAsia"/>
          <w:i w:val="0"/>
          <w:iCs w:val="0"/>
          <w:snapToGrid w:val="0"/>
          <w:color w:val="auto"/>
          <w:highlight w:val="none"/>
          <w:lang w:val="en-US" w:eastAsia="zh-CN"/>
        </w:rPr>
        <w:t>合价</w:t>
      </w:r>
      <w:r>
        <w:rPr>
          <w:rFonts w:hint="eastAsia"/>
          <w:i w:val="0"/>
          <w:iCs w:val="0"/>
          <w:snapToGrid w:val="0"/>
          <w:color w:val="auto"/>
          <w:highlight w:val="none"/>
          <w:lang w:val="zh-CN"/>
        </w:rPr>
        <w:t>以及其他事项。供应商应根据本磋商文件的规定和要求、市场价格水平及其走势、磋商供应商的管理水平、磋商供应商的方案和由这些因素决定的磋商供应商之于本项目的成本水平等提出自己的报价。报价应合理，并包含完成本磋商文件采购需求全部内容的所有费用，所有根据本磋商文件或其它原因应由磋商供应商支付的税款和其他应交纳的费用都应包括在报价中。</w:t>
      </w:r>
    </w:p>
    <w:p w14:paraId="3DB7F190">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.4供应商在响应文件中注明免费的项目将视为包含在报价中。</w:t>
      </w:r>
    </w:p>
    <w:p w14:paraId="5A2E805F">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.5每一种采购内容只允许有一个报价，否则其响应文件将被视为</w:t>
      </w:r>
      <w:r>
        <w:rPr>
          <w:rFonts w:hint="eastAsia" w:ascii="宋体" w:hAnsi="宋体" w:eastAsia="宋体" w:cstheme="minorBidi"/>
          <w:b/>
          <w:bCs/>
          <w:i w:val="0"/>
          <w:iCs w:val="0"/>
          <w:snapToGrid w:val="0"/>
          <w:color w:val="auto"/>
          <w:kern w:val="2"/>
          <w:sz w:val="24"/>
          <w:szCs w:val="22"/>
          <w:highlight w:val="none"/>
          <w:lang w:val="zh-CN" w:eastAsia="zh-CN" w:bidi="ar-SA"/>
        </w:rPr>
        <w:t>无效文件</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除非磋商文件另有规定，不接受可选择或可调整的磋商方案和报价，任何有选择的或可调整的磋商方案和报价将</w:t>
      </w:r>
      <w:r>
        <w:rPr>
          <w:rFonts w:hint="eastAsia" w:ascii="宋体" w:hAnsi="宋体" w:eastAsia="宋体" w:cstheme="minorBidi"/>
          <w:b/>
          <w:bCs/>
          <w:i w:val="0"/>
          <w:iCs w:val="0"/>
          <w:snapToGrid w:val="0"/>
          <w:color w:val="auto"/>
          <w:kern w:val="2"/>
          <w:sz w:val="24"/>
          <w:szCs w:val="22"/>
          <w:highlight w:val="none"/>
          <w:lang w:val="en-US" w:eastAsia="zh-CN" w:bidi="ar-SA"/>
        </w:rPr>
        <w:t>被视为非响应性磋商而被拒绝</w:t>
      </w:r>
      <w:r>
        <w:rPr>
          <w:rFonts w:hint="eastAsia" w:ascii="宋体" w:hAnsi="宋体" w:eastAsia="宋体" w:cstheme="minorBidi"/>
          <w:i w:val="0"/>
          <w:iCs w:val="0"/>
          <w:snapToGrid w:val="0"/>
          <w:color w:val="auto"/>
          <w:kern w:val="2"/>
          <w:sz w:val="24"/>
          <w:szCs w:val="22"/>
          <w:highlight w:val="none"/>
          <w:lang w:val="en-US" w:eastAsia="zh-CN" w:bidi="ar-SA"/>
        </w:rPr>
        <w:t>。</w:t>
      </w:r>
    </w:p>
    <w:p w14:paraId="2D8474D4">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 xml:space="preserve">14.6 </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对磋商报价若有说明应在响应文件中显著处注明。</w:t>
      </w:r>
    </w:p>
    <w:p w14:paraId="1719007D">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除政策性文件规定以外，</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所报价格在合同实施期间不因市场变化因素而变动。</w:t>
      </w:r>
    </w:p>
    <w:p w14:paraId="749D37C5">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14.7 对于有配件、耗材、选件、备件和特殊工具的货物，还应填报磋商货物配件、耗材、选件表和备件及特殊工具清单，注明品牌、型号、产地、功能、单价、批量折扣等内容，该表格格式由</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自行设计。</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按照上述要求分类报价，其目的是便于评审，但在任何情况下并不限制采购人以其他条款签订合同的权利。</w:t>
      </w:r>
    </w:p>
    <w:p w14:paraId="0B64FFBB">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14.8 最低报价不能作为成交的保证。</w:t>
      </w:r>
    </w:p>
    <w:p w14:paraId="0A894227">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cs="宋体"/>
          <w:i w:val="0"/>
          <w:iCs w:val="0"/>
          <w:color w:val="auto"/>
          <w:kern w:val="0"/>
          <w:sz w:val="24"/>
          <w:szCs w:val="24"/>
          <w:highlight w:val="none"/>
          <w:lang w:val="en-US" w:eastAsia="zh-CN" w:bidi="ar"/>
        </w:rPr>
        <w:t>14.9供应商</w:t>
      </w:r>
      <w:r>
        <w:rPr>
          <w:rFonts w:hint="eastAsia" w:ascii="宋体" w:hAnsi="宋体" w:eastAsia="宋体" w:cs="宋体"/>
          <w:i w:val="0"/>
          <w:iCs w:val="0"/>
          <w:color w:val="auto"/>
          <w:kern w:val="0"/>
          <w:sz w:val="24"/>
          <w:szCs w:val="24"/>
          <w:highlight w:val="none"/>
          <w:lang w:val="en-US" w:eastAsia="zh-CN" w:bidi="ar"/>
        </w:rPr>
        <w:t>不能提供任何有选择性或可调整的报价（</w:t>
      </w:r>
      <w:r>
        <w:rPr>
          <w:rFonts w:hint="eastAsia" w:cs="宋体"/>
          <w:i w:val="0"/>
          <w:iCs w:val="0"/>
          <w:color w:val="auto"/>
          <w:kern w:val="0"/>
          <w:sz w:val="24"/>
          <w:szCs w:val="24"/>
          <w:highlight w:val="none"/>
          <w:lang w:val="en-US" w:eastAsia="zh-CN" w:bidi="ar"/>
        </w:rPr>
        <w:t>磋商</w:t>
      </w:r>
      <w:r>
        <w:rPr>
          <w:rFonts w:hint="eastAsia" w:ascii="宋体" w:hAnsi="宋体" w:eastAsia="宋体" w:cs="宋体"/>
          <w:i w:val="0"/>
          <w:iCs w:val="0"/>
          <w:color w:val="auto"/>
          <w:kern w:val="0"/>
          <w:sz w:val="24"/>
          <w:szCs w:val="24"/>
          <w:highlight w:val="none"/>
          <w:lang w:val="en-US" w:eastAsia="zh-CN" w:bidi="ar"/>
        </w:rPr>
        <w:t>文件另有规定的除外），否则其</w:t>
      </w:r>
      <w:r>
        <w:rPr>
          <w:rFonts w:hint="eastAsia" w:cs="宋体"/>
          <w:b/>
          <w:bCs/>
          <w:i w:val="0"/>
          <w:iCs w:val="0"/>
          <w:color w:val="auto"/>
          <w:kern w:val="0"/>
          <w:sz w:val="24"/>
          <w:szCs w:val="24"/>
          <w:highlight w:val="none"/>
          <w:lang w:val="en-US" w:eastAsia="zh-CN" w:bidi="ar"/>
        </w:rPr>
        <w:t>响应</w:t>
      </w:r>
      <w:r>
        <w:rPr>
          <w:rFonts w:hint="eastAsia" w:ascii="宋体" w:hAnsi="宋体" w:eastAsia="宋体" w:cs="宋体"/>
          <w:b/>
          <w:bCs/>
          <w:i w:val="0"/>
          <w:iCs w:val="0"/>
          <w:color w:val="auto"/>
          <w:kern w:val="0"/>
          <w:sz w:val="24"/>
          <w:szCs w:val="24"/>
          <w:highlight w:val="none"/>
          <w:lang w:val="en-US" w:eastAsia="zh-CN" w:bidi="ar"/>
        </w:rPr>
        <w:t>无效</w:t>
      </w:r>
      <w:r>
        <w:rPr>
          <w:rFonts w:hint="eastAsia" w:ascii="宋体" w:hAnsi="宋体" w:eastAsia="宋体" w:cs="宋体"/>
          <w:i w:val="0"/>
          <w:iCs w:val="0"/>
          <w:color w:val="auto"/>
          <w:kern w:val="0"/>
          <w:sz w:val="24"/>
          <w:szCs w:val="24"/>
          <w:highlight w:val="none"/>
          <w:lang w:val="en-US" w:eastAsia="zh-CN" w:bidi="ar"/>
        </w:rPr>
        <w:t>。</w:t>
      </w:r>
    </w:p>
    <w:p w14:paraId="2AA144BC">
      <w:pPr>
        <w:pStyle w:val="40"/>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14.10采购人不得向供应商索要或者接受其给予的赠品、回扣或者与采购无关的其他商品、服务。</w:t>
      </w:r>
    </w:p>
    <w:p w14:paraId="0CD8AEF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6" w:name="_Toc46772258"/>
      <w:bookmarkStart w:id="217" w:name="_Toc46771657"/>
      <w:bookmarkStart w:id="218" w:name="_Toc109897451"/>
      <w:bookmarkStart w:id="219" w:name="_Toc52962744"/>
      <w:bookmarkStart w:id="220" w:name="_Toc109899969"/>
      <w:bookmarkStart w:id="221" w:name="_Toc48688806"/>
      <w:bookmarkStart w:id="222" w:name="_Toc51674228"/>
      <w:bookmarkStart w:id="223" w:name="_Toc109900388"/>
      <w:bookmarkStart w:id="224" w:name="_Toc52960570"/>
      <w:bookmarkStart w:id="225" w:name="_Toc470172682"/>
      <w:bookmarkStart w:id="226" w:name="_Toc48846126"/>
      <w:bookmarkStart w:id="227" w:name="_Toc109899550"/>
      <w:bookmarkStart w:id="228" w:name="_Toc5668"/>
      <w:bookmarkStart w:id="229" w:name="_Toc109900385"/>
      <w:bookmarkStart w:id="230" w:name="_Toc52960566"/>
      <w:bookmarkStart w:id="231" w:name="_Toc51674224"/>
      <w:bookmarkStart w:id="232" w:name="_Toc46771653"/>
      <w:bookmarkStart w:id="233" w:name="_Toc48688802"/>
      <w:bookmarkStart w:id="234" w:name="_Toc48846122"/>
      <w:bookmarkStart w:id="235" w:name="_Toc109899547"/>
      <w:bookmarkStart w:id="236" w:name="_Toc470172678"/>
      <w:bookmarkStart w:id="237" w:name="_Toc52962740"/>
      <w:bookmarkStart w:id="238" w:name="_Toc3324"/>
      <w:bookmarkStart w:id="239" w:name="_Toc109899966"/>
      <w:bookmarkStart w:id="240" w:name="_Toc109897448"/>
      <w:bookmarkStart w:id="241" w:name="_Toc46772254"/>
      <w:r>
        <w:rPr>
          <w:rFonts w:hint="eastAsia" w:ascii="宋体" w:hAnsi="宋体" w:eastAsia="宋体" w:cs="宋体"/>
          <w:b/>
          <w:bCs/>
          <w:color w:val="auto"/>
          <w:kern w:val="2"/>
          <w:sz w:val="24"/>
          <w:szCs w:val="24"/>
          <w:highlight w:val="none"/>
          <w:lang w:val="en-US" w:eastAsia="zh-CN" w:bidi="ar-SA"/>
        </w:rPr>
        <w:t>15.响应文件有效期</w:t>
      </w:r>
      <w:bookmarkEnd w:id="216"/>
      <w:bookmarkEnd w:id="217"/>
      <w:bookmarkEnd w:id="218"/>
      <w:bookmarkEnd w:id="219"/>
      <w:bookmarkEnd w:id="220"/>
      <w:bookmarkEnd w:id="221"/>
      <w:bookmarkEnd w:id="222"/>
      <w:bookmarkEnd w:id="223"/>
      <w:bookmarkEnd w:id="224"/>
      <w:bookmarkEnd w:id="225"/>
      <w:bookmarkEnd w:id="226"/>
      <w:bookmarkEnd w:id="227"/>
      <w:bookmarkEnd w:id="228"/>
    </w:p>
    <w:p w14:paraId="6C3E470C">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5</w:t>
      </w:r>
      <w:r>
        <w:rPr>
          <w:rFonts w:hint="eastAsia"/>
          <w:i w:val="0"/>
          <w:iCs w:val="0"/>
          <w:snapToGrid w:val="0"/>
          <w:color w:val="auto"/>
          <w:highlight w:val="none"/>
          <w:lang w:val="zh-CN"/>
        </w:rPr>
        <w:t>.1</w:t>
      </w:r>
      <w:r>
        <w:rPr>
          <w:rFonts w:hint="eastAsia"/>
          <w:i w:val="0"/>
          <w:iCs w:val="0"/>
          <w:snapToGrid w:val="0"/>
          <w:color w:val="auto"/>
          <w:highlight w:val="none"/>
          <w:lang w:val="en-US" w:eastAsia="zh-CN"/>
        </w:rPr>
        <w:t>供应商提交的</w:t>
      </w:r>
      <w:r>
        <w:rPr>
          <w:rFonts w:hint="eastAsia"/>
          <w:i w:val="0"/>
          <w:iCs w:val="0"/>
          <w:snapToGrid w:val="0"/>
          <w:color w:val="auto"/>
          <w:highlight w:val="none"/>
          <w:lang w:val="zh-CN"/>
        </w:rPr>
        <w:t>响应文件有效期见“供应商须知前附表”，磋商供应商承诺的响应文件</w:t>
      </w:r>
      <w:r>
        <w:rPr>
          <w:rFonts w:hint="eastAsia"/>
          <w:i w:val="0"/>
          <w:iCs w:val="0"/>
          <w:snapToGrid w:val="0"/>
          <w:color w:val="auto"/>
          <w:highlight w:val="none"/>
          <w:lang w:val="zh-CN" w:eastAsia="zh-CN"/>
        </w:rPr>
        <w:t>有效期少于</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文件规定期限的，其</w:t>
      </w:r>
      <w:r>
        <w:rPr>
          <w:rFonts w:hint="eastAsia"/>
          <w:b/>
          <w:bCs/>
          <w:i w:val="0"/>
          <w:iCs w:val="0"/>
          <w:snapToGrid w:val="0"/>
          <w:color w:val="auto"/>
          <w:highlight w:val="none"/>
          <w:lang w:val="en-US" w:eastAsia="zh-CN"/>
        </w:rPr>
        <w:t>响应</w:t>
      </w:r>
      <w:r>
        <w:rPr>
          <w:rFonts w:hint="eastAsia"/>
          <w:b/>
          <w:bCs/>
          <w:i w:val="0"/>
          <w:iCs w:val="0"/>
          <w:snapToGrid w:val="0"/>
          <w:color w:val="auto"/>
          <w:highlight w:val="none"/>
          <w:lang w:val="zh-CN" w:eastAsia="zh-CN"/>
        </w:rPr>
        <w:t>无效</w:t>
      </w:r>
      <w:r>
        <w:rPr>
          <w:rFonts w:hint="eastAsia"/>
          <w:i w:val="0"/>
          <w:iCs w:val="0"/>
          <w:snapToGrid w:val="0"/>
          <w:color w:val="auto"/>
          <w:highlight w:val="none"/>
          <w:lang w:val="zh-CN" w:eastAsia="zh-CN"/>
        </w:rPr>
        <w:t>。</w:t>
      </w:r>
    </w:p>
    <w:p w14:paraId="4DFC2505">
      <w:pPr>
        <w:keepNext w:val="0"/>
        <w:keepLines w:val="0"/>
        <w:pageBreakBefore w:val="0"/>
        <w:widowControl w:val="0"/>
        <w:kinsoku/>
        <w:overflowPunct/>
        <w:topLinePunct w:val="0"/>
        <w:autoSpaceDE/>
        <w:autoSpaceDN/>
        <w:bidi w:val="0"/>
        <w:adjustRightInd/>
        <w:ind w:firstLine="480" w:firstLineChars="200"/>
        <w:textAlignment w:val="auto"/>
        <w:rPr>
          <w:rFonts w:hint="default"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15.2 响应文件有效期从</w:t>
      </w:r>
      <w:r>
        <w:rPr>
          <w:rFonts w:hint="eastAsia" w:cstheme="minorBidi"/>
          <w:i w:val="0"/>
          <w:iCs w:val="0"/>
          <w:snapToGrid w:val="0"/>
          <w:color w:val="auto"/>
          <w:kern w:val="2"/>
          <w:sz w:val="24"/>
          <w:szCs w:val="22"/>
          <w:highlight w:val="none"/>
          <w:lang w:val="en-US" w:eastAsia="zh-CN" w:bidi="ar-SA"/>
        </w:rPr>
        <w:t>递交</w:t>
      </w:r>
      <w:r>
        <w:rPr>
          <w:rFonts w:hint="eastAsia" w:ascii="宋体" w:hAnsi="宋体" w:eastAsia="宋体" w:cstheme="minorBidi"/>
          <w:i w:val="0"/>
          <w:iCs w:val="0"/>
          <w:snapToGrid w:val="0"/>
          <w:color w:val="auto"/>
          <w:kern w:val="2"/>
          <w:sz w:val="24"/>
          <w:szCs w:val="22"/>
          <w:highlight w:val="none"/>
          <w:lang w:val="en-US" w:eastAsia="zh-CN" w:bidi="ar-SA"/>
        </w:rPr>
        <w:t>响应文件的截止之日起算。响应文件中承诺的有效期应当不少于竞争性磋商文件中载明的响应文件有效期。响应文件有效期内供应商撤销响应文件的，采购人或者采购代理机构可以不退还磋商保证金。</w:t>
      </w:r>
    </w:p>
    <w:p w14:paraId="414B33F5">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5</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3</w:t>
      </w:r>
      <w:r>
        <w:rPr>
          <w:rFonts w:hint="eastAsia" w:ascii="宋体" w:hAnsi="宋体" w:eastAsia="宋体" w:cstheme="minorBidi"/>
          <w:i w:val="0"/>
          <w:iCs w:val="0"/>
          <w:snapToGrid w:val="0"/>
          <w:color w:val="auto"/>
          <w:kern w:val="2"/>
          <w:sz w:val="24"/>
          <w:szCs w:val="22"/>
          <w:highlight w:val="none"/>
          <w:lang w:val="zh-CN" w:eastAsia="zh-CN" w:bidi="ar-SA"/>
        </w:rPr>
        <w:t>特殊情况下，在原响应文件有效期截止之前，采购代理机构或采购人</w:t>
      </w:r>
      <w:r>
        <w:rPr>
          <w:rFonts w:hint="eastAsia"/>
          <w:i w:val="0"/>
          <w:iCs w:val="0"/>
          <w:snapToGrid w:val="0"/>
          <w:color w:val="auto"/>
          <w:highlight w:val="none"/>
          <w:lang w:val="zh-CN"/>
        </w:rPr>
        <w:t>可要求供应商延长响应文件有效期。需要延长响应文件有效期时，采购代理机构或采购人将以书面形式通知所有磋商供应商，供应商应以书面形式答复是否同意延长响应文件有效期。</w:t>
      </w:r>
    </w:p>
    <w:p w14:paraId="3803927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宋体"/>
          <w:i w:val="0"/>
          <w:iCs w:val="0"/>
          <w:snapToGrid w:val="0"/>
          <w:color w:val="auto"/>
          <w:szCs w:val="24"/>
          <w:highlight w:val="none"/>
          <w:lang w:val="zh-CN"/>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5</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供应商同意延长的，</w:t>
      </w:r>
      <w:r>
        <w:rPr>
          <w:rFonts w:hint="eastAsia" w:ascii="宋体" w:hAnsi="宋体" w:eastAsia="宋体" w:cstheme="minorBidi"/>
          <w:i w:val="0"/>
          <w:iCs w:val="0"/>
          <w:snapToGrid w:val="0"/>
          <w:color w:val="auto"/>
          <w:kern w:val="2"/>
          <w:sz w:val="24"/>
          <w:szCs w:val="22"/>
          <w:highlight w:val="none"/>
          <w:lang w:val="en-US" w:eastAsia="zh-CN" w:bidi="ar-SA"/>
        </w:rPr>
        <w:t>其磋商</w:t>
      </w:r>
      <w:r>
        <w:rPr>
          <w:rFonts w:hint="eastAsia" w:ascii="宋体" w:hAnsi="宋体" w:eastAsia="宋体" w:cs="宋体"/>
          <w:i w:val="0"/>
          <w:iCs w:val="0"/>
          <w:snapToGrid w:val="0"/>
          <w:color w:val="auto"/>
          <w:szCs w:val="24"/>
          <w:highlight w:val="none"/>
          <w:lang w:val="zh-CN"/>
        </w:rPr>
        <w:t>保证金的有效期也相应延长</w:t>
      </w:r>
      <w:r>
        <w:rPr>
          <w:rFonts w:hint="eastAsia" w:ascii="宋体" w:hAnsi="宋体" w:eastAsia="宋体" w:cs="宋体"/>
          <w:i w:val="0"/>
          <w:iCs w:val="0"/>
          <w:snapToGrid w:val="0"/>
          <w:color w:val="auto"/>
          <w:szCs w:val="24"/>
          <w:highlight w:val="none"/>
          <w:lang w:val="zh-CN" w:eastAsia="zh-CN"/>
        </w:rPr>
        <w:t>，</w:t>
      </w:r>
      <w:r>
        <w:rPr>
          <w:rFonts w:hint="eastAsia" w:cs="宋体"/>
          <w:i w:val="0"/>
          <w:iCs w:val="0"/>
          <w:snapToGrid w:val="0"/>
          <w:color w:val="auto"/>
          <w:szCs w:val="24"/>
          <w:highlight w:val="none"/>
          <w:lang w:val="zh-CN"/>
        </w:rPr>
        <w:t>不得要求或被允许修改或撤销其响应文件；供应商拒绝延长的，其响应文件在原响应文件有效期满后将不再有效</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但其提交的磋商保证金可予以退还</w:t>
      </w:r>
      <w:r>
        <w:rPr>
          <w:rFonts w:hint="eastAsia" w:cs="宋体"/>
          <w:i w:val="0"/>
          <w:iCs w:val="0"/>
          <w:snapToGrid w:val="0"/>
          <w:color w:val="auto"/>
          <w:szCs w:val="24"/>
          <w:highlight w:val="none"/>
          <w:lang w:val="zh-CN"/>
        </w:rPr>
        <w:t>。</w:t>
      </w:r>
    </w:p>
    <w:bookmarkEnd w:id="229"/>
    <w:bookmarkEnd w:id="230"/>
    <w:bookmarkEnd w:id="231"/>
    <w:bookmarkEnd w:id="232"/>
    <w:bookmarkEnd w:id="233"/>
    <w:bookmarkEnd w:id="234"/>
    <w:bookmarkEnd w:id="235"/>
    <w:bookmarkEnd w:id="236"/>
    <w:bookmarkEnd w:id="237"/>
    <w:bookmarkEnd w:id="238"/>
    <w:bookmarkEnd w:id="239"/>
    <w:bookmarkEnd w:id="240"/>
    <w:bookmarkEnd w:id="241"/>
    <w:p w14:paraId="26D695E6">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16.响应文件的编制</w:t>
      </w:r>
      <w:bookmarkEnd w:id="202"/>
      <w:bookmarkEnd w:id="203"/>
      <w:bookmarkEnd w:id="204"/>
      <w:bookmarkEnd w:id="205"/>
      <w:bookmarkEnd w:id="206"/>
      <w:bookmarkEnd w:id="207"/>
      <w:bookmarkEnd w:id="208"/>
      <w:bookmarkEnd w:id="209"/>
      <w:bookmarkEnd w:id="210"/>
      <w:bookmarkEnd w:id="211"/>
      <w:bookmarkEnd w:id="212"/>
      <w:bookmarkEnd w:id="213"/>
      <w:bookmarkEnd w:id="214"/>
    </w:p>
    <w:p w14:paraId="710ABAB7">
      <w:pPr>
        <w:keepNext w:val="0"/>
        <w:keepLines w:val="0"/>
        <w:pageBreakBefore w:val="0"/>
        <w:widowControl w:val="0"/>
        <w:kinsoku/>
        <w:overflowPunct/>
        <w:topLinePunct w:val="0"/>
        <w:autoSpaceDE/>
        <w:autoSpaceDN/>
        <w:bidi w:val="0"/>
        <w:adjustRightInd/>
        <w:ind w:firstLine="480" w:firstLineChars="200"/>
        <w:textAlignment w:val="auto"/>
        <w:rPr>
          <w:rFonts w:cs="仿宋_GB2312"/>
          <w:i w:val="0"/>
          <w:iCs w:val="0"/>
          <w:color w:val="auto"/>
          <w:szCs w:val="24"/>
          <w:highlight w:val="none"/>
        </w:rPr>
      </w:pPr>
      <w:r>
        <w:rPr>
          <w:rFonts w:cs="仿宋_GB2312"/>
          <w:i w:val="0"/>
          <w:iCs w:val="0"/>
          <w:color w:val="auto"/>
          <w:szCs w:val="24"/>
          <w:highlight w:val="none"/>
        </w:rPr>
        <w:t>1</w:t>
      </w:r>
      <w:r>
        <w:rPr>
          <w:rFonts w:hint="eastAsia" w:cs="仿宋_GB2312"/>
          <w:i w:val="0"/>
          <w:iCs w:val="0"/>
          <w:color w:val="auto"/>
          <w:szCs w:val="24"/>
          <w:highlight w:val="none"/>
          <w:lang w:val="en-US" w:eastAsia="zh-CN"/>
        </w:rPr>
        <w:t>6</w:t>
      </w: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文件应在供应商客户端中进行编制，在</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文件中要求加盖印章的，除有特殊说明之外，</w:t>
      </w:r>
      <w:r>
        <w:rPr>
          <w:rFonts w:hint="eastAsia" w:cs="仿宋_GB2312"/>
          <w:i w:val="0"/>
          <w:iCs w:val="0"/>
          <w:color w:val="auto"/>
          <w:szCs w:val="24"/>
          <w:highlight w:val="none"/>
          <w:lang w:val="en-US" w:eastAsia="zh-CN"/>
        </w:rPr>
        <w:t>可</w:t>
      </w:r>
      <w:r>
        <w:rPr>
          <w:rFonts w:hint="eastAsia" w:cs="仿宋_GB2312"/>
          <w:i w:val="0"/>
          <w:iCs w:val="0"/>
          <w:color w:val="auto"/>
          <w:szCs w:val="24"/>
          <w:highlight w:val="none"/>
        </w:rPr>
        <w:t>使用电子签章签署。</w:t>
      </w:r>
    </w:p>
    <w:p w14:paraId="6FD5FFC6">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1</w:t>
      </w:r>
      <w:r>
        <w:rPr>
          <w:rFonts w:hint="eastAsia"/>
          <w:i w:val="0"/>
          <w:iCs w:val="0"/>
          <w:color w:val="auto"/>
          <w:highlight w:val="none"/>
          <w:lang w:val="en-US" w:eastAsia="zh-CN"/>
        </w:rPr>
        <w:t>6</w:t>
      </w:r>
      <w:r>
        <w:rPr>
          <w:rFonts w:hint="eastAsia"/>
          <w:i w:val="0"/>
          <w:iCs w:val="0"/>
          <w:color w:val="auto"/>
          <w:highlight w:val="none"/>
        </w:rPr>
        <w:t>.</w:t>
      </w:r>
      <w:r>
        <w:rPr>
          <w:i w:val="0"/>
          <w:iCs w:val="0"/>
          <w:color w:val="auto"/>
          <w:highlight w:val="none"/>
        </w:rPr>
        <w:t>2</w:t>
      </w:r>
      <w:r>
        <w:rPr>
          <w:rFonts w:hint="eastAsia"/>
          <w:i w:val="0"/>
          <w:iCs w:val="0"/>
          <w:color w:val="auto"/>
          <w:highlight w:val="none"/>
          <w:lang w:val="en-US" w:eastAsia="zh-CN"/>
        </w:rPr>
        <w:t>供应商</w:t>
      </w:r>
      <w:r>
        <w:rPr>
          <w:rFonts w:hint="eastAsia"/>
          <w:i w:val="0"/>
          <w:iCs w:val="0"/>
          <w:color w:val="auto"/>
          <w:highlight w:val="none"/>
        </w:rPr>
        <w:t>在供应商客户端中按照供应商客户端中的格式要求填写响应内容后，生成</w:t>
      </w:r>
      <w:r>
        <w:rPr>
          <w:rFonts w:hint="eastAsia" w:cs="仿宋_GB2312"/>
          <w:i w:val="0"/>
          <w:iCs w:val="0"/>
          <w:color w:val="auto"/>
          <w:szCs w:val="24"/>
          <w:highlight w:val="none"/>
          <w:lang w:val="en-US" w:eastAsia="zh-CN"/>
        </w:rPr>
        <w:t>响应</w:t>
      </w:r>
      <w:r>
        <w:rPr>
          <w:rFonts w:hint="eastAsia"/>
          <w:i w:val="0"/>
          <w:iCs w:val="0"/>
          <w:color w:val="auto"/>
          <w:highlight w:val="none"/>
        </w:rPr>
        <w:t>文件。</w:t>
      </w:r>
      <w:r>
        <w:rPr>
          <w:rFonts w:hint="eastAsia"/>
          <w:i w:val="0"/>
          <w:iCs w:val="0"/>
          <w:color w:val="auto"/>
          <w:highlight w:val="none"/>
          <w:lang w:val="en-US" w:eastAsia="zh-CN"/>
        </w:rPr>
        <w:t>供应商</w:t>
      </w:r>
      <w:r>
        <w:rPr>
          <w:rFonts w:hint="eastAsia"/>
          <w:i w:val="0"/>
          <w:iCs w:val="0"/>
          <w:color w:val="auto"/>
          <w:highlight w:val="none"/>
        </w:rPr>
        <w:t>须按照</w:t>
      </w:r>
      <w:r>
        <w:rPr>
          <w:rFonts w:hint="eastAsia"/>
          <w:i w:val="0"/>
          <w:iCs w:val="0"/>
          <w:color w:val="auto"/>
          <w:highlight w:val="none"/>
          <w:lang w:val="en-US" w:eastAsia="zh-CN"/>
        </w:rPr>
        <w:t>竞争性磋商</w:t>
      </w:r>
      <w:r>
        <w:rPr>
          <w:rFonts w:hint="eastAsia"/>
          <w:i w:val="0"/>
          <w:iCs w:val="0"/>
          <w:color w:val="auto"/>
          <w:highlight w:val="none"/>
        </w:rPr>
        <w:t>文件的要求对要求加盖印章的部分逐一进行签章。</w:t>
      </w:r>
    </w:p>
    <w:p w14:paraId="4BB98241">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3供应商</w:t>
      </w:r>
      <w:r>
        <w:rPr>
          <w:rFonts w:hint="eastAsia" w:ascii="宋体" w:hAnsi="宋体" w:eastAsia="宋体"/>
          <w:i w:val="0"/>
          <w:iCs w:val="0"/>
          <w:color w:val="auto"/>
          <w:highlight w:val="none"/>
        </w:rPr>
        <w:t>应详细阅读</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文件的全部内容。</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文件须对</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文件中的内容作出实质性和完整的响应，如果</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文件填报的内容不详，或没有提供</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文件中所要求的全部资料及数据，</w:t>
      </w:r>
      <w:r>
        <w:rPr>
          <w:rFonts w:hint="eastAsia" w:ascii="宋体" w:hAnsi="宋体" w:eastAsia="宋体"/>
          <w:b w:val="0"/>
          <w:bCs w:val="0"/>
          <w:i w:val="0"/>
          <w:iCs w:val="0"/>
          <w:color w:val="auto"/>
          <w:highlight w:val="none"/>
        </w:rPr>
        <w:t>将可能</w:t>
      </w:r>
      <w:r>
        <w:rPr>
          <w:rFonts w:hint="eastAsia" w:ascii="宋体" w:hAnsi="宋体" w:eastAsia="宋体"/>
          <w:b/>
          <w:bCs/>
          <w:i w:val="0"/>
          <w:iCs w:val="0"/>
          <w:color w:val="auto"/>
          <w:highlight w:val="none"/>
        </w:rPr>
        <w:t>导致</w:t>
      </w:r>
      <w:r>
        <w:rPr>
          <w:rFonts w:hint="eastAsia"/>
          <w:b/>
          <w:bCs/>
          <w:i w:val="0"/>
          <w:iCs w:val="0"/>
          <w:color w:val="auto"/>
          <w:highlight w:val="none"/>
          <w:lang w:val="en-US" w:eastAsia="zh-CN"/>
        </w:rPr>
        <w:t>其</w:t>
      </w:r>
      <w:r>
        <w:rPr>
          <w:rFonts w:hint="eastAsia"/>
          <w:b/>
          <w:bCs/>
          <w:i w:val="0"/>
          <w:iCs w:val="0"/>
          <w:color w:val="auto"/>
          <w:highlight w:val="none"/>
          <w:lang w:eastAsia="zh-CN"/>
        </w:rPr>
        <w:t>响应</w:t>
      </w:r>
      <w:r>
        <w:rPr>
          <w:rFonts w:hint="eastAsia"/>
          <w:b/>
          <w:bCs/>
          <w:i w:val="0"/>
          <w:iCs w:val="0"/>
          <w:color w:val="auto"/>
          <w:highlight w:val="none"/>
          <w:lang w:val="en-US" w:eastAsia="zh-CN"/>
        </w:rPr>
        <w:t>无效</w:t>
      </w:r>
      <w:r>
        <w:rPr>
          <w:rFonts w:hint="eastAsia" w:ascii="宋体" w:hAnsi="宋体" w:eastAsia="宋体"/>
          <w:i w:val="0"/>
          <w:iCs w:val="0"/>
          <w:color w:val="auto"/>
          <w:highlight w:val="none"/>
        </w:rPr>
        <w:t>。</w:t>
      </w:r>
    </w:p>
    <w:p w14:paraId="2084E86D">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4响应</w:t>
      </w:r>
      <w:r>
        <w:rPr>
          <w:rFonts w:hint="eastAsia" w:ascii="宋体" w:hAnsi="宋体" w:eastAsia="宋体"/>
          <w:i w:val="0"/>
          <w:iCs w:val="0"/>
          <w:color w:val="auto"/>
          <w:highlight w:val="none"/>
        </w:rPr>
        <w:t>文件须严格按照</w:t>
      </w:r>
      <w:r>
        <w:rPr>
          <w:rFonts w:hint="eastAsia" w:ascii="宋体" w:hAnsi="宋体" w:eastAsia="宋体"/>
          <w:i w:val="0"/>
          <w:iCs w:val="0"/>
          <w:color w:val="auto"/>
          <w:highlight w:val="none"/>
          <w:lang w:val="en-US" w:eastAsia="zh-CN"/>
        </w:rPr>
        <w:t>本竞争性磋商</w:t>
      </w:r>
      <w:r>
        <w:rPr>
          <w:rFonts w:hint="eastAsia" w:ascii="宋体" w:hAnsi="宋体" w:eastAsia="宋体"/>
          <w:i w:val="0"/>
          <w:iCs w:val="0"/>
          <w:color w:val="auto"/>
          <w:highlight w:val="none"/>
        </w:rPr>
        <w:t>文件第</w:t>
      </w:r>
      <w:r>
        <w:rPr>
          <w:rFonts w:hint="eastAsia" w:ascii="宋体" w:hAnsi="宋体" w:eastAsia="宋体"/>
          <w:i w:val="0"/>
          <w:iCs w:val="0"/>
          <w:color w:val="auto"/>
          <w:highlight w:val="none"/>
          <w:lang w:val="en-US" w:eastAsia="zh-CN"/>
        </w:rPr>
        <w:t>六章</w:t>
      </w:r>
      <w:r>
        <w:rPr>
          <w:rFonts w:hint="eastAsia" w:ascii="宋体" w:hAnsi="宋体" w:eastAsia="宋体"/>
          <w:i w:val="0"/>
          <w:iCs w:val="0"/>
          <w:color w:val="auto"/>
          <w:highlight w:val="none"/>
        </w:rPr>
        <w:t>规定的格式提交，并按规定的统一格式逐项填写，不准有空项；无相应内容可填的项，应填写“无”、“未测试”、“没有相应指标”等明确的回答文字。由于编排混乱导致</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文件被误读或查找不到，其责任由</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承担。</w:t>
      </w:r>
    </w:p>
    <w:p w14:paraId="71265CA2">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5供应商</w:t>
      </w:r>
      <w:r>
        <w:rPr>
          <w:rFonts w:hint="eastAsia" w:ascii="宋体" w:hAnsi="宋体" w:eastAsia="宋体"/>
          <w:i w:val="0"/>
          <w:iCs w:val="0"/>
          <w:color w:val="auto"/>
          <w:highlight w:val="none"/>
        </w:rPr>
        <w:t>须注意：为合理节约政府采购评审成本，提倡诚实信用的</w:t>
      </w:r>
      <w:r>
        <w:rPr>
          <w:rFonts w:hint="eastAsia" w:ascii="宋体" w:hAnsi="宋体" w:eastAsia="宋体"/>
          <w:i w:val="0"/>
          <w:iCs w:val="0"/>
          <w:color w:val="auto"/>
          <w:highlight w:val="none"/>
          <w:lang w:val="en-US" w:eastAsia="zh-CN"/>
        </w:rPr>
        <w:t>磋商</w:t>
      </w:r>
      <w:r>
        <w:rPr>
          <w:rFonts w:hint="eastAsia" w:ascii="宋体" w:hAnsi="宋体" w:eastAsia="宋体"/>
          <w:i w:val="0"/>
          <w:iCs w:val="0"/>
          <w:color w:val="auto"/>
          <w:highlight w:val="none"/>
        </w:rPr>
        <w:t>行为，特别要求</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应本着诚信精神，在本次</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文件的偏离表中，均以审慎的态度明确、清楚地披露各项偏离。若</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对某一事项是否存在或是否属于偏离不能确定，亦必须在偏离表中清楚地表明该偏离事项，并可以注明不能确定的字样。任何情况下，对于</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没有在偏离表中明确、清楚地披露的事项，包括可能属于被</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在偏离表中遗漏披露的事项，一旦在评审中被发现存在偏离或被认定为属于偏离，则评</w:t>
      </w:r>
      <w:r>
        <w:rPr>
          <w:rFonts w:hint="eastAsia" w:ascii="宋体" w:hAnsi="宋体" w:eastAsia="宋体"/>
          <w:i w:val="0"/>
          <w:iCs w:val="0"/>
          <w:color w:val="auto"/>
          <w:highlight w:val="none"/>
          <w:lang w:val="en-US" w:eastAsia="zh-CN"/>
        </w:rPr>
        <w:t>审</w:t>
      </w:r>
      <w:r>
        <w:rPr>
          <w:rFonts w:hint="eastAsia" w:ascii="宋体" w:hAnsi="宋体" w:eastAsia="宋体"/>
          <w:i w:val="0"/>
          <w:iCs w:val="0"/>
          <w:color w:val="auto"/>
          <w:highlight w:val="none"/>
        </w:rPr>
        <w:t>委员会有权视具体情形评审时予以处理，</w:t>
      </w:r>
      <w:r>
        <w:rPr>
          <w:rFonts w:hint="eastAsia" w:ascii="宋体" w:hAnsi="宋体" w:eastAsia="宋体"/>
          <w:b/>
          <w:bCs/>
          <w:i w:val="0"/>
          <w:iCs w:val="0"/>
          <w:color w:val="auto"/>
          <w:highlight w:val="none"/>
        </w:rPr>
        <w:t>将可能导致</w:t>
      </w:r>
      <w:r>
        <w:rPr>
          <w:rFonts w:hint="eastAsia"/>
          <w:b/>
          <w:bCs/>
          <w:i w:val="0"/>
          <w:iCs w:val="0"/>
          <w:color w:val="auto"/>
          <w:highlight w:val="none"/>
          <w:lang w:eastAsia="zh-CN"/>
        </w:rPr>
        <w:t>响应</w:t>
      </w:r>
      <w:r>
        <w:rPr>
          <w:rFonts w:hint="eastAsia"/>
          <w:b/>
          <w:bCs/>
          <w:i w:val="0"/>
          <w:iCs w:val="0"/>
          <w:color w:val="auto"/>
          <w:highlight w:val="none"/>
          <w:lang w:val="en-US" w:eastAsia="zh-CN"/>
        </w:rPr>
        <w:t>无效</w:t>
      </w:r>
      <w:r>
        <w:rPr>
          <w:rFonts w:hint="eastAsia" w:ascii="宋体" w:hAnsi="宋体" w:eastAsia="宋体"/>
          <w:i w:val="0"/>
          <w:iCs w:val="0"/>
          <w:color w:val="auto"/>
          <w:highlight w:val="none"/>
        </w:rPr>
        <w:t>。</w:t>
      </w:r>
    </w:p>
    <w:p w14:paraId="76CE4755">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i w:val="0"/>
          <w:iCs w:val="0"/>
          <w:color w:val="auto"/>
          <w:highlight w:val="none"/>
          <w:lang w:val="en-US" w:eastAsia="zh-CN"/>
        </w:rPr>
        <w:t>6</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必须保证</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文件所提供的全部资料</w:t>
      </w:r>
      <w:r>
        <w:rPr>
          <w:rFonts w:hint="eastAsia"/>
          <w:i w:val="0"/>
          <w:iCs w:val="0"/>
          <w:color w:val="auto"/>
          <w:highlight w:val="none"/>
          <w:lang w:eastAsia="zh-CN"/>
        </w:rPr>
        <w:t>合法、</w:t>
      </w:r>
      <w:r>
        <w:rPr>
          <w:rFonts w:hint="eastAsia" w:ascii="宋体" w:hAnsi="宋体" w:eastAsia="宋体"/>
          <w:i w:val="0"/>
          <w:iCs w:val="0"/>
          <w:color w:val="auto"/>
          <w:highlight w:val="none"/>
        </w:rPr>
        <w:t>真实可靠，并接受采购</w:t>
      </w:r>
      <w:r>
        <w:rPr>
          <w:rFonts w:hint="eastAsia" w:ascii="宋体" w:hAnsi="宋体" w:eastAsia="宋体"/>
          <w:i w:val="0"/>
          <w:iCs w:val="0"/>
          <w:color w:val="auto"/>
          <w:highlight w:val="none"/>
          <w:lang w:val="en-US" w:eastAsia="zh-CN"/>
        </w:rPr>
        <w:t>人、采购</w:t>
      </w:r>
      <w:r>
        <w:rPr>
          <w:rFonts w:hint="eastAsia" w:ascii="宋体" w:hAnsi="宋体" w:eastAsia="宋体"/>
          <w:i w:val="0"/>
          <w:iCs w:val="0"/>
          <w:color w:val="auto"/>
          <w:highlight w:val="none"/>
        </w:rPr>
        <w:t>代理机构或评</w:t>
      </w:r>
      <w:r>
        <w:rPr>
          <w:rFonts w:hint="eastAsia" w:ascii="宋体" w:hAnsi="宋体" w:eastAsia="宋体"/>
          <w:i w:val="0"/>
          <w:iCs w:val="0"/>
          <w:color w:val="auto"/>
          <w:highlight w:val="none"/>
          <w:lang w:val="en-US" w:eastAsia="zh-CN"/>
        </w:rPr>
        <w:t>审</w:t>
      </w:r>
      <w:r>
        <w:rPr>
          <w:rFonts w:hint="eastAsia" w:ascii="宋体" w:hAnsi="宋体" w:eastAsia="宋体"/>
          <w:i w:val="0"/>
          <w:iCs w:val="0"/>
          <w:color w:val="auto"/>
          <w:highlight w:val="none"/>
        </w:rPr>
        <w:t>委员会对其中任何资料进一步审查的要求。</w:t>
      </w:r>
    </w:p>
    <w:p w14:paraId="4AA7F602">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7供应商</w:t>
      </w:r>
      <w:r>
        <w:rPr>
          <w:rFonts w:hint="eastAsia" w:ascii="宋体" w:hAnsi="宋体" w:eastAsia="宋体"/>
          <w:i w:val="0"/>
          <w:iCs w:val="0"/>
          <w:color w:val="auto"/>
          <w:highlight w:val="none"/>
        </w:rPr>
        <w:t>在</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i w:val="0"/>
          <w:iCs w:val="0"/>
          <w:color w:val="auto"/>
          <w:highlight w:val="none"/>
        </w:rPr>
        <w:t>无效</w:t>
      </w:r>
      <w:r>
        <w:rPr>
          <w:rFonts w:hint="eastAsia" w:ascii="宋体" w:hAnsi="宋体" w:eastAsia="宋体"/>
          <w:b/>
          <w:bCs/>
          <w:i w:val="0"/>
          <w:iCs w:val="0"/>
          <w:color w:val="auto"/>
          <w:highlight w:val="none"/>
          <w:lang w:val="en-US" w:eastAsia="zh-CN"/>
        </w:rPr>
        <w:t>响应</w:t>
      </w:r>
      <w:r>
        <w:rPr>
          <w:rFonts w:hint="eastAsia" w:ascii="宋体" w:hAnsi="宋体" w:eastAsia="宋体"/>
          <w:i w:val="0"/>
          <w:iCs w:val="0"/>
          <w:color w:val="auto"/>
          <w:highlight w:val="none"/>
        </w:rPr>
        <w:t>处理。</w:t>
      </w:r>
    </w:p>
    <w:p w14:paraId="1479B75C">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16.8电子响应文件的编制</w:t>
      </w:r>
    </w:p>
    <w:p w14:paraId="4E46BA5E">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 xml:space="preserve">16.8.1电子响应文件需按竞争性磋商文件要求进行制作编制。响应文件制作时，不同内容按标签提示制作导入，按照竞争性磋商文件中明确的响应文件目录和格式进行编制，保证目录清晰、内容完整。           </w:t>
      </w:r>
    </w:p>
    <w:p w14:paraId="1D4C561F">
      <w:pPr>
        <w:keepNext w:val="0"/>
        <w:keepLines w:val="0"/>
        <w:pageBreakBefore w:val="0"/>
        <w:widowControl w:val="0"/>
        <w:kinsoku/>
        <w:overflowPunct/>
        <w:topLinePunct w:val="0"/>
        <w:bidi w:val="0"/>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16.</w:t>
      </w:r>
      <w:r>
        <w:rPr>
          <w:rFonts w:hint="eastAsia" w:cstheme="minorBidi"/>
          <w:i w:val="0"/>
          <w:iCs w:val="0"/>
          <w:color w:val="auto"/>
          <w:kern w:val="2"/>
          <w:sz w:val="24"/>
          <w:szCs w:val="22"/>
          <w:highlight w:val="none"/>
          <w:shd w:val="clear" w:color="auto" w:fill="FFFFFF" w:themeFill="background1"/>
          <w:lang w:val="en-US" w:eastAsia="zh-CN" w:bidi="ar-SA"/>
        </w:rPr>
        <w:t>8</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2电子磋商文件及响应文件具有法律效力，与其他形式的磋商文件及响应文件在内容和格式上等同，若响应文件与竞争性磋商文件要求不一致，其内容影响成交结果时，责任由供应商自行承担。供应商递交的电子响应文件因供应商自身原因而导致无法导入电子辅助评标系统，该响应文件</w:t>
      </w:r>
      <w:r>
        <w:rPr>
          <w:rFonts w:hint="eastAsia" w:cstheme="minorBidi"/>
          <w:i w:val="0"/>
          <w:iCs w:val="0"/>
          <w:color w:val="auto"/>
          <w:kern w:val="2"/>
          <w:sz w:val="24"/>
          <w:szCs w:val="22"/>
          <w:highlight w:val="none"/>
          <w:shd w:val="clear" w:color="auto" w:fill="FFFFFF" w:themeFill="background1"/>
          <w:lang w:val="en-US" w:eastAsia="zh-CN" w:bidi="ar-SA"/>
        </w:rPr>
        <w:t>被</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视为无效响应文件，</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其响应无效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p>
    <w:p w14:paraId="72852751">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42" w:name="_Toc109899552"/>
      <w:bookmarkStart w:id="243" w:name="_Toc109899971"/>
      <w:bookmarkStart w:id="244" w:name="_Toc470172684"/>
      <w:bookmarkStart w:id="245" w:name="_Toc46771659"/>
      <w:bookmarkStart w:id="246" w:name="_Toc109897453"/>
      <w:bookmarkStart w:id="247" w:name="_Toc109900390"/>
      <w:bookmarkStart w:id="248" w:name="_Toc163493614"/>
      <w:bookmarkStart w:id="249" w:name="_Toc31096"/>
      <w:r>
        <w:rPr>
          <w:rFonts w:hint="eastAsia" w:ascii="宋体" w:hAnsi="宋体" w:eastAsia="宋体" w:cs="宋体"/>
          <w:b/>
          <w:bCs/>
          <w:color w:val="auto"/>
          <w:kern w:val="2"/>
          <w:sz w:val="24"/>
          <w:szCs w:val="24"/>
          <w:highlight w:val="none"/>
          <w:lang w:val="en-US" w:eastAsia="zh-CN" w:bidi="ar-SA"/>
        </w:rPr>
        <w:t>（四）响应文件的</w:t>
      </w:r>
      <w:bookmarkEnd w:id="242"/>
      <w:bookmarkEnd w:id="243"/>
      <w:bookmarkEnd w:id="244"/>
      <w:bookmarkEnd w:id="245"/>
      <w:bookmarkEnd w:id="246"/>
      <w:bookmarkEnd w:id="247"/>
      <w:r>
        <w:rPr>
          <w:rFonts w:hint="eastAsia" w:ascii="宋体" w:hAnsi="宋体" w:eastAsia="宋体" w:cs="宋体"/>
          <w:b/>
          <w:bCs/>
          <w:color w:val="auto"/>
          <w:kern w:val="2"/>
          <w:sz w:val="24"/>
          <w:szCs w:val="24"/>
          <w:highlight w:val="none"/>
          <w:lang w:val="en-US" w:eastAsia="zh-CN" w:bidi="ar-SA"/>
        </w:rPr>
        <w:t>递交</w:t>
      </w:r>
      <w:bookmarkEnd w:id="248"/>
      <w:bookmarkEnd w:id="249"/>
    </w:p>
    <w:p w14:paraId="0181012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50" w:name="_Toc109900489"/>
      <w:bookmarkStart w:id="251" w:name="_Toc109899651"/>
      <w:bookmarkStart w:id="252" w:name="_Toc109897552"/>
      <w:bookmarkStart w:id="253" w:name="_Toc109900070"/>
      <w:bookmarkStart w:id="254" w:name="_Toc156490296"/>
      <w:bookmarkStart w:id="255" w:name="_Toc155095707"/>
      <w:bookmarkStart w:id="256" w:name="_Toc109897553"/>
      <w:bookmarkStart w:id="257" w:name="_Toc109900071"/>
      <w:bookmarkStart w:id="258" w:name="_Toc109899652"/>
      <w:bookmarkStart w:id="259" w:name="_Toc109900490"/>
      <w:bookmarkStart w:id="260" w:name="_Toc156490297"/>
      <w:bookmarkStart w:id="261" w:name="_Toc155095708"/>
      <w:r>
        <w:rPr>
          <w:rFonts w:hint="eastAsia" w:ascii="宋体" w:hAnsi="宋体" w:eastAsia="宋体" w:cs="宋体"/>
          <w:b/>
          <w:bCs/>
          <w:color w:val="auto"/>
          <w:kern w:val="2"/>
          <w:sz w:val="24"/>
          <w:szCs w:val="24"/>
          <w:highlight w:val="none"/>
          <w:lang w:val="en-US" w:eastAsia="zh-CN" w:bidi="ar-SA"/>
        </w:rPr>
        <w:t>17.磋商保证金</w:t>
      </w:r>
    </w:p>
    <w:p w14:paraId="73827BBE">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17.1供应商应按照竞争性磋商文件“供应商须知前附表”规定的金额及要求交纳磋商保证金。供应商自愿超额缴纳磋商保证金的，响应文件不做无效处理。</w:t>
      </w:r>
    </w:p>
    <w:p w14:paraId="597B877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17.2交纳磋商保证金可采用的形式：政府采购法律法规接受的支票、汇票、本票、网上银行支付或者金融机构、担保机构出具的保函等非现金形式。未按</w:t>
      </w:r>
      <w:r>
        <w:rPr>
          <w:rFonts w:hint="eastAsia" w:cstheme="minorBidi"/>
          <w:i w:val="0"/>
          <w:iCs w:val="0"/>
          <w:color w:val="auto"/>
          <w:kern w:val="2"/>
          <w:sz w:val="24"/>
          <w:szCs w:val="22"/>
          <w:highlight w:val="none"/>
          <w:shd w:val="clear" w:color="auto" w:fill="FFFFFF" w:themeFill="background1"/>
          <w:lang w:val="en-US" w:eastAsia="zh-CN" w:bidi="ar-SA"/>
        </w:rPr>
        <w:t>磋商文件</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要求提交磋商保证金的，</w:t>
      </w:r>
      <w:r>
        <w:rPr>
          <w:rFonts w:hint="eastAsia" w:cstheme="minorBidi"/>
          <w:i w:val="0"/>
          <w:iCs w:val="0"/>
          <w:color w:val="auto"/>
          <w:kern w:val="2"/>
          <w:sz w:val="24"/>
          <w:szCs w:val="22"/>
          <w:highlight w:val="none"/>
          <w:shd w:val="clear" w:color="auto" w:fill="FFFFFF" w:themeFill="background1"/>
          <w:lang w:val="en-US" w:eastAsia="zh-CN" w:bidi="ar-SA"/>
        </w:rPr>
        <w:t>其</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响应无效。</w:t>
      </w:r>
      <w:r>
        <w:rPr>
          <w:rFonts w:hint="eastAsia"/>
          <w:i w:val="0"/>
          <w:iCs w:val="0"/>
          <w:color w:val="auto"/>
          <w:highlight w:val="none"/>
          <w:lang w:val="en-US" w:eastAsia="zh-CN"/>
        </w:rPr>
        <w:t>磋商保证金有效期同响应文件有效期。</w:t>
      </w:r>
    </w:p>
    <w:p w14:paraId="2C5506AD">
      <w:pPr>
        <w:pStyle w:val="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17.3磋商保证金到账（保函提交）截止时间同响应文件递交截止时间。以支票、汇票、本票、网上银行支付等形式提交磋商保证金的，应在响应文件递交截止时间前到账；以金融机构、担保机构出具的保函等形式提交磋商保证金的，应在响应文件递交截止时间前将磋商保证金支付件扫描后作为响应文件的组成部分与响应文件一起上传。由于到账时间晚于响应文件递交截止时间，或者票据错误、印鉴不清等原因导致不能到账的</w:t>
      </w:r>
      <w:r>
        <w:rPr>
          <w:rFonts w:hint="eastAsia" w:ascii="宋体" w:hAnsi="宋体" w:eastAsia="宋体" w:cstheme="minorBidi"/>
          <w:b w:val="0"/>
          <w:bCs w:val="0"/>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其响应无效。</w:t>
      </w:r>
    </w:p>
    <w:p w14:paraId="4AA52D7E">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为联合体的，可以由联合体中的一方或者多方共同交纳</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保证金，其交纳的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保证金对联合体各方均具有约束力。</w:t>
      </w:r>
    </w:p>
    <w:p w14:paraId="25D6B141">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17.5</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采购人或者采购代理机构应当在采购活动结束后及时退还供应商的磋商保证金，采用银行保函、担保机构担保函等形式递交的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同意后采购人、采购代理机构可以不再退还，但因供应商自身原因导致无法及时退还的除外。未成交供应商的磋商保证金应当自</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成交</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通知书发出之日起 5 个工作日内退还，成交供应商的磋商保证金应当自采购合同签订之日起 5 个工作日内退还。 </w:t>
      </w:r>
    </w:p>
    <w:p w14:paraId="48C6EAF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6</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在</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响应文件递交</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截止时间前撤回已</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提</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交的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响应</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文件的，自收到</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书面撤回通知之日起 5 个工作日内，退还已收取的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保证金，但因</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自身原因导致无法及时退还的除外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p>
    <w:p w14:paraId="6C0BF0B3">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终止</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磋商的</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项目已经收取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保证金的，自终止采购活动后5个工作日内退还已收取的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保证金及其在银行产生的孳息。</w:t>
      </w:r>
    </w:p>
    <w:p w14:paraId="4DB32745">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有下列情形之一的，磋商保证金不予退还</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宋体"/>
          <w:i w:val="0"/>
          <w:iCs w:val="0"/>
          <w:color w:val="auto"/>
          <w:kern w:val="2"/>
          <w:sz w:val="24"/>
          <w:szCs w:val="22"/>
          <w:highlight w:val="none"/>
        </w:rPr>
        <w:t>情节严重的将其列入不良记录名单</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p>
    <w:p w14:paraId="5C9DB4AF">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17.8.1</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供应商在提交响应文件截止时间后撤回响应文件的； </w:t>
      </w:r>
    </w:p>
    <w:p w14:paraId="6F6CEDEA">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17.8.2</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供应商在响应文件中提供虚假材料的； </w:t>
      </w:r>
    </w:p>
    <w:p w14:paraId="5E5A921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17.8.3</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除因不可抗力或磋商文件认可的情形以外，成交供应商不与采购人签订合同的； </w:t>
      </w:r>
    </w:p>
    <w:p w14:paraId="32224D53">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17.8.4</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供应商与采购人、其他供应商或者采购代理机构恶意串通的； </w:t>
      </w:r>
    </w:p>
    <w:p w14:paraId="224A39E4">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17.8.5</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磋商文件规定的其他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情形。</w:t>
      </w:r>
    </w:p>
    <w:p w14:paraId="69CC8DC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17.9如开启时供应商对本单位磋商保证金缴纳情况有疑义，供应商应在开启结束前向采购人提交书面申请核实保证金缴纳情况。由银行或保险公司核实后出具书面材料予以答复。</w:t>
      </w:r>
    </w:p>
    <w:p w14:paraId="7018BCE4">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17.10为支持和促进中小企业发展，进一步发挥政府采购政策功能，鼓励供应商使用电子保函代替现金缴纳磋商保证金，在线完成保函的申请、审核、开票、出函等环节，供应商企业注意区分办理保函类型，并确认响应文件有效期，如采用政采云电子保函，可登录“兵团政府采购网”—顶部通栏“信用融资”或者“兵团政府采购网”首页“政采贷｜电子保函”快捷模块查看：</w:t>
      </w:r>
    </w:p>
    <w:p w14:paraId="1F3A8C5E">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直达链接（电子保函）：</w:t>
      </w:r>
    </w:p>
    <w:p w14:paraId="15E30E92">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 xml:space="preserve">金融服务支撑热线：0991-2661159     </w:t>
      </w:r>
    </w:p>
    <w:p w14:paraId="784B786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18.响应文件的</w:t>
      </w:r>
      <w:bookmarkEnd w:id="250"/>
      <w:bookmarkEnd w:id="251"/>
      <w:bookmarkEnd w:id="252"/>
      <w:bookmarkEnd w:id="253"/>
      <w:r>
        <w:rPr>
          <w:rFonts w:hint="eastAsia" w:ascii="宋体" w:hAnsi="宋体" w:eastAsia="宋体" w:cs="宋体"/>
          <w:b/>
          <w:bCs/>
          <w:color w:val="auto"/>
          <w:kern w:val="2"/>
          <w:sz w:val="24"/>
          <w:szCs w:val="24"/>
          <w:highlight w:val="none"/>
          <w:lang w:val="en-US" w:eastAsia="zh-CN" w:bidi="ar-SA"/>
        </w:rPr>
        <w:t>加密</w:t>
      </w:r>
      <w:bookmarkEnd w:id="254"/>
      <w:bookmarkEnd w:id="255"/>
    </w:p>
    <w:p w14:paraId="105C769D">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 xml:space="preserve">18.1 </w:t>
      </w:r>
      <w:r>
        <w:rPr>
          <w:rFonts w:hint="eastAsia"/>
          <w:i w:val="0"/>
          <w:iCs w:val="0"/>
          <w:snapToGrid w:val="0"/>
          <w:color w:val="auto"/>
          <w:highlight w:val="none"/>
          <w:lang w:val="zh-CN"/>
        </w:rPr>
        <w:t>供应商在供应商客户端中生成响应文件并完成签章之后，使用CA证书在供应商客户端中对响应文件进行加密。</w:t>
      </w:r>
    </w:p>
    <w:p w14:paraId="0AE412D5">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 xml:space="preserve">18.2 </w:t>
      </w:r>
      <w:r>
        <w:rPr>
          <w:rFonts w:hint="eastAsia"/>
          <w:i w:val="0"/>
          <w:iCs w:val="0"/>
          <w:snapToGrid w:val="0"/>
          <w:color w:val="auto"/>
          <w:highlight w:val="none"/>
          <w:lang w:val="zh-CN"/>
        </w:rPr>
        <w:t>供应商应在供应商客户端中对加密的响应文件进行解密验证，以防止响应文件加密异常，在开启时无法解密。</w:t>
      </w:r>
    </w:p>
    <w:p w14:paraId="79A877BA">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 xml:space="preserve">18.3 </w:t>
      </w:r>
      <w:r>
        <w:rPr>
          <w:rFonts w:hint="eastAsia"/>
          <w:i w:val="0"/>
          <w:iCs w:val="0"/>
          <w:snapToGrid w:val="0"/>
          <w:color w:val="auto"/>
          <w:highlight w:val="none"/>
          <w:lang w:val="zh-CN"/>
        </w:rPr>
        <w:t>供应商应保证加密响应文件的CA证书有效期在开启时间之前。若CA证书有效期临近开启时间，建议供应商提前办理CA证书续期，以免开启时无法进行解密。</w:t>
      </w:r>
    </w:p>
    <w:p w14:paraId="1CDCC9E5">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4</w:t>
      </w:r>
      <w:r>
        <w:rPr>
          <w:rFonts w:hint="eastAsia"/>
          <w:i w:val="0"/>
          <w:iCs w:val="0"/>
          <w:snapToGrid w:val="0"/>
          <w:color w:val="auto"/>
          <w:highlight w:val="none"/>
          <w:lang w:val="zh-CN"/>
        </w:rPr>
        <w:t>供应商</w:t>
      </w:r>
      <w:r>
        <w:rPr>
          <w:rFonts w:hint="eastAsia" w:cs="仿宋_GB2312"/>
          <w:i w:val="0"/>
          <w:iCs w:val="0"/>
          <w:color w:val="auto"/>
          <w:szCs w:val="24"/>
          <w:highlight w:val="none"/>
        </w:rPr>
        <w:t>在</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cs="仿宋_GB2312"/>
          <w:i w:val="0"/>
          <w:iCs w:val="0"/>
          <w:color w:val="auto"/>
          <w:szCs w:val="24"/>
          <w:highlight w:val="none"/>
        </w:rPr>
        <w:t>递交截</w:t>
      </w:r>
      <w:r>
        <w:rPr>
          <w:rFonts w:hint="eastAsia" w:cs="仿宋_GB2312"/>
          <w:i w:val="0"/>
          <w:iCs w:val="0"/>
          <w:color w:val="auto"/>
          <w:szCs w:val="24"/>
          <w:highlight w:val="none"/>
          <w:lang w:val="en-US" w:eastAsia="zh-CN"/>
        </w:rPr>
        <w:t>止</w:t>
      </w:r>
      <w:r>
        <w:rPr>
          <w:rFonts w:hint="eastAsia" w:cs="仿宋_GB2312"/>
          <w:i w:val="0"/>
          <w:iCs w:val="0"/>
          <w:color w:val="auto"/>
          <w:szCs w:val="24"/>
          <w:highlight w:val="none"/>
        </w:rPr>
        <w:t>时间前通过</w:t>
      </w:r>
      <w:r>
        <w:rPr>
          <w:rFonts w:hint="eastAsia" w:cs="仿宋_GB2312"/>
          <w:i w:val="0"/>
          <w:iCs w:val="0"/>
          <w:color w:val="auto"/>
          <w:szCs w:val="24"/>
          <w:highlight w:val="none"/>
          <w:lang w:val="en-US" w:eastAsia="zh-CN"/>
        </w:rPr>
        <w:t>兵团</w:t>
      </w:r>
      <w:r>
        <w:rPr>
          <w:rFonts w:hint="eastAsia" w:cs="仿宋_GB2312"/>
          <w:i w:val="0"/>
          <w:iCs w:val="0"/>
          <w:color w:val="auto"/>
          <w:szCs w:val="24"/>
          <w:highlight w:val="none"/>
        </w:rPr>
        <w:t>政府采购网（http://ccgp-bingtuan.gov.cn/）的”政采云登录入口”登录后，将加密电子</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ascii="宋体" w:hAnsi="宋体" w:eastAsia="宋体" w:cs="仿宋_GB2312"/>
          <w:i w:val="0"/>
          <w:iCs w:val="0"/>
          <w:color w:val="auto"/>
          <w:szCs w:val="24"/>
          <w:highlight w:val="none"/>
        </w:rPr>
        <w:t>（为.jmbs后缀格式）</w:t>
      </w:r>
      <w:r>
        <w:rPr>
          <w:rFonts w:hint="eastAsia" w:cs="仿宋_GB2312"/>
          <w:i w:val="0"/>
          <w:iCs w:val="0"/>
          <w:color w:val="auto"/>
          <w:szCs w:val="24"/>
          <w:highlight w:val="none"/>
        </w:rPr>
        <w:t>上传到对应项目的指定位置</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认为有必要提交的其他资料请于</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cs="仿宋_GB2312"/>
          <w:i w:val="0"/>
          <w:iCs w:val="0"/>
          <w:color w:val="auto"/>
          <w:szCs w:val="24"/>
          <w:highlight w:val="none"/>
        </w:rPr>
        <w:t>递交截止时间前一并提交。</w:t>
      </w:r>
    </w:p>
    <w:p w14:paraId="3896D475">
      <w:pPr>
        <w:keepNext w:val="0"/>
        <w:keepLines w:val="0"/>
        <w:pageBreakBefore w:val="0"/>
        <w:widowControl w:val="0"/>
        <w:kinsoku/>
        <w:overflowPunct/>
        <w:topLinePunct w:val="0"/>
        <w:autoSpaceDE/>
        <w:autoSpaceDN/>
        <w:bidi w:val="0"/>
        <w:adjustRightInd/>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5</w:t>
      </w:r>
      <w:r>
        <w:rPr>
          <w:rFonts w:hint="eastAsia" w:cs="仿宋_GB2312"/>
          <w:i w:val="0"/>
          <w:iCs w:val="0"/>
          <w:color w:val="auto"/>
          <w:szCs w:val="24"/>
          <w:highlight w:val="none"/>
        </w:rPr>
        <w:t>如果</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未按上述要求</w:t>
      </w:r>
      <w:r>
        <w:rPr>
          <w:rFonts w:hint="eastAsia" w:cs="仿宋_GB2312"/>
          <w:i w:val="0"/>
          <w:iCs w:val="0"/>
          <w:color w:val="auto"/>
          <w:szCs w:val="24"/>
          <w:highlight w:val="none"/>
          <w:lang w:val="en-US" w:eastAsia="zh-CN"/>
        </w:rPr>
        <w:t>加密并上传</w:t>
      </w:r>
      <w:r>
        <w:rPr>
          <w:rFonts w:hint="eastAsia" w:cs="仿宋_GB2312"/>
          <w:i w:val="0"/>
          <w:iCs w:val="0"/>
          <w:color w:val="auto"/>
          <w:szCs w:val="24"/>
          <w:highlight w:val="none"/>
        </w:rPr>
        <w:t>，采购代理机构对</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文件的误投</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无法解密、传输错误等问题</w:t>
      </w:r>
      <w:r>
        <w:rPr>
          <w:rFonts w:hint="eastAsia" w:cs="仿宋_GB2312"/>
          <w:i w:val="0"/>
          <w:iCs w:val="0"/>
          <w:color w:val="auto"/>
          <w:szCs w:val="24"/>
          <w:highlight w:val="none"/>
        </w:rPr>
        <w:t>概不负责。对由此造成</w:t>
      </w:r>
      <w:r>
        <w:rPr>
          <w:rFonts w:hint="eastAsia" w:cs="仿宋_GB2312"/>
          <w:i w:val="0"/>
          <w:iCs w:val="0"/>
          <w:color w:val="auto"/>
          <w:szCs w:val="24"/>
          <w:highlight w:val="none"/>
          <w:lang w:val="en-US" w:eastAsia="zh-CN"/>
        </w:rPr>
        <w:t>无法正常开启</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文件，采购代理机构有权予以拒绝，并退回</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w:t>
      </w:r>
    </w:p>
    <w:p w14:paraId="54A49319">
      <w:pPr>
        <w:pStyle w:val="40"/>
        <w:keepNext w:val="0"/>
        <w:keepLines w:val="0"/>
        <w:pageBreakBefore w:val="0"/>
        <w:widowControl w:val="0"/>
        <w:kinsoku/>
        <w:overflowPunct/>
        <w:topLinePunct w:val="0"/>
        <w:bidi w:val="0"/>
        <w:ind w:firstLine="48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6</w:t>
      </w:r>
      <w:r>
        <w:rPr>
          <w:rFonts w:hint="eastAsia" w:cs="仿宋_GB2312"/>
          <w:i w:val="0"/>
          <w:iCs w:val="0"/>
          <w:color w:val="auto"/>
          <w:szCs w:val="24"/>
          <w:highlight w:val="none"/>
        </w:rPr>
        <w:t>本项目采用不见面开</w:t>
      </w:r>
      <w:r>
        <w:rPr>
          <w:rFonts w:hint="eastAsia" w:cs="仿宋_GB2312"/>
          <w:i w:val="0"/>
          <w:iCs w:val="0"/>
          <w:color w:val="auto"/>
          <w:szCs w:val="24"/>
          <w:highlight w:val="none"/>
          <w:lang w:val="en-US" w:eastAsia="zh-CN"/>
        </w:rPr>
        <w:t>启</w:t>
      </w:r>
      <w:r>
        <w:rPr>
          <w:rFonts w:hint="eastAsia" w:cs="仿宋_GB2312"/>
          <w:i w:val="0"/>
          <w:iCs w:val="0"/>
          <w:color w:val="auto"/>
          <w:szCs w:val="24"/>
          <w:highlight w:val="none"/>
        </w:rPr>
        <w:t>方式，无需提供电子</w:t>
      </w:r>
      <w:r>
        <w:rPr>
          <w:rFonts w:hint="eastAsia" w:ascii="宋体" w:hAnsi="宋体" w:eastAsia="宋体" w:cs="仿宋_GB2312"/>
          <w:i w:val="0"/>
          <w:iCs w:val="0"/>
          <w:color w:val="auto"/>
          <w:szCs w:val="24"/>
          <w:highlight w:val="none"/>
          <w:lang w:val="en-US" w:eastAsia="zh-CN"/>
        </w:rPr>
        <w:t>响应</w:t>
      </w:r>
      <w:r>
        <w:rPr>
          <w:rFonts w:hint="eastAsia" w:ascii="宋体" w:hAnsi="宋体" w:eastAsia="宋体" w:cs="仿宋_GB2312"/>
          <w:i w:val="0"/>
          <w:iCs w:val="0"/>
          <w:color w:val="auto"/>
          <w:szCs w:val="24"/>
          <w:highlight w:val="none"/>
        </w:rPr>
        <w:t>文件U盘</w:t>
      </w:r>
      <w:r>
        <w:rPr>
          <w:rFonts w:hint="eastAsia" w:cs="仿宋_GB2312"/>
          <w:i w:val="0"/>
          <w:iCs w:val="0"/>
          <w:color w:val="auto"/>
          <w:szCs w:val="24"/>
          <w:highlight w:val="none"/>
        </w:rPr>
        <w:t>。</w:t>
      </w:r>
    </w:p>
    <w:p w14:paraId="0EEE0E8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19.响应文件的</w:t>
      </w:r>
      <w:bookmarkEnd w:id="256"/>
      <w:bookmarkEnd w:id="257"/>
      <w:bookmarkEnd w:id="258"/>
      <w:bookmarkEnd w:id="259"/>
      <w:r>
        <w:rPr>
          <w:rFonts w:hint="eastAsia" w:ascii="宋体" w:hAnsi="宋体" w:eastAsia="宋体" w:cs="宋体"/>
          <w:b/>
          <w:bCs/>
          <w:color w:val="auto"/>
          <w:kern w:val="2"/>
          <w:sz w:val="24"/>
          <w:szCs w:val="24"/>
          <w:highlight w:val="none"/>
          <w:lang w:val="en-US" w:eastAsia="zh-CN" w:bidi="ar-SA"/>
        </w:rPr>
        <w:t>递交</w:t>
      </w:r>
      <w:bookmarkEnd w:id="260"/>
      <w:bookmarkEnd w:id="261"/>
      <w:r>
        <w:rPr>
          <w:rFonts w:hint="eastAsia" w:ascii="宋体" w:hAnsi="宋体" w:eastAsia="宋体" w:cs="宋体"/>
          <w:b/>
          <w:bCs/>
          <w:color w:val="auto"/>
          <w:kern w:val="2"/>
          <w:sz w:val="24"/>
          <w:szCs w:val="24"/>
          <w:highlight w:val="none"/>
          <w:lang w:val="en-US" w:eastAsia="zh-CN" w:bidi="ar-SA"/>
        </w:rPr>
        <w:t>（上传）</w:t>
      </w:r>
    </w:p>
    <w:p w14:paraId="4BB721FA">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19.1 供应商应在“</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”规定的响应文件递交截止时间前递交（上传）响应文件。</w:t>
      </w:r>
    </w:p>
    <w:p w14:paraId="1788DDFE">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19.2 供应商递交（上传）响应文件的地点见“</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w:t>
      </w:r>
    </w:p>
    <w:p w14:paraId="74B3F1A5">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cs="仿宋_GB2312"/>
          <w:i w:val="0"/>
          <w:iCs w:val="0"/>
          <w:color w:val="auto"/>
          <w:szCs w:val="24"/>
          <w:highlight w:val="none"/>
          <w:lang w:eastAsia="zh-CN"/>
        </w:rPr>
        <w:t>—</w:t>
      </w:r>
      <w:r>
        <w:rPr>
          <w:rFonts w:hint="eastAsia" w:cs="仿宋_GB2312"/>
          <w:i w:val="0"/>
          <w:iCs w:val="0"/>
          <w:color w:val="auto"/>
          <w:szCs w:val="24"/>
          <w:highlight w:val="none"/>
        </w:rPr>
        <w:t>投标文件上传）中获取响应文件递交回执单。</w:t>
      </w:r>
    </w:p>
    <w:p w14:paraId="5634F607">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19.4 供应商应在供应商客户端中下载未加密且完成签章的响应文件妥善保存，以便启动应急开启程序时使用。</w:t>
      </w:r>
    </w:p>
    <w:p w14:paraId="6F8BD19B">
      <w:pPr>
        <w:keepNext w:val="0"/>
        <w:keepLines w:val="0"/>
        <w:pageBreakBefore w:val="0"/>
        <w:widowControl w:val="0"/>
        <w:kinsoku/>
        <w:overflowPunct/>
        <w:topLinePunct w:val="0"/>
        <w:bidi w:val="0"/>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19.5供应商所递交的响应文件不予退还。</w:t>
      </w:r>
    </w:p>
    <w:p w14:paraId="03DDA0A8">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62" w:name="_Toc156490298"/>
      <w:bookmarkStart w:id="263" w:name="_Toc155095709"/>
      <w:r>
        <w:rPr>
          <w:rFonts w:hint="eastAsia" w:ascii="宋体" w:hAnsi="宋体" w:eastAsia="宋体" w:cs="宋体"/>
          <w:b/>
          <w:bCs/>
          <w:color w:val="auto"/>
          <w:kern w:val="2"/>
          <w:sz w:val="24"/>
          <w:szCs w:val="24"/>
          <w:highlight w:val="none"/>
          <w:lang w:val="en-US" w:eastAsia="zh-CN" w:bidi="ar-SA"/>
        </w:rPr>
        <w:t>20.拒收</w:t>
      </w:r>
      <w:bookmarkEnd w:id="262"/>
      <w:bookmarkEnd w:id="263"/>
    </w:p>
    <w:p w14:paraId="6764A5C0">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20</w:t>
      </w:r>
      <w:r>
        <w:rPr>
          <w:rFonts w:hint="eastAsia"/>
          <w:i w:val="0"/>
          <w:iCs w:val="0"/>
          <w:snapToGrid w:val="0"/>
          <w:color w:val="auto"/>
          <w:highlight w:val="none"/>
          <w:lang w:val="zh-CN"/>
        </w:rPr>
        <w:t>.1超过递交响应文件的</w:t>
      </w:r>
      <w:r>
        <w:rPr>
          <w:i w:val="0"/>
          <w:iCs w:val="0"/>
          <w:snapToGrid w:val="0"/>
          <w:color w:val="auto"/>
          <w:highlight w:val="none"/>
          <w:lang w:val="zh-CN"/>
        </w:rPr>
        <w:t>截止时间</w:t>
      </w:r>
      <w:r>
        <w:rPr>
          <w:rFonts w:hint="eastAsia"/>
          <w:i w:val="0"/>
          <w:iCs w:val="0"/>
          <w:snapToGrid w:val="0"/>
          <w:color w:val="auto"/>
          <w:highlight w:val="none"/>
          <w:lang w:val="zh-CN"/>
        </w:rPr>
        <w:t>或者不按照本章要求加密的响应文件，交易系统应当拒收。</w:t>
      </w:r>
    </w:p>
    <w:p w14:paraId="03C096F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64" w:name="_Toc155095710"/>
      <w:bookmarkStart w:id="265" w:name="_Toc109900492"/>
      <w:bookmarkStart w:id="266" w:name="_Toc156490299"/>
      <w:bookmarkStart w:id="267" w:name="_Toc109900073"/>
      <w:bookmarkStart w:id="268" w:name="_Toc109899654"/>
      <w:bookmarkStart w:id="269" w:name="_Toc109897555"/>
      <w:r>
        <w:rPr>
          <w:rFonts w:hint="eastAsia" w:ascii="宋体" w:hAnsi="宋体" w:eastAsia="宋体" w:cs="宋体"/>
          <w:b/>
          <w:bCs/>
          <w:color w:val="auto"/>
          <w:kern w:val="2"/>
          <w:sz w:val="24"/>
          <w:szCs w:val="24"/>
          <w:highlight w:val="none"/>
          <w:lang w:val="en-US" w:eastAsia="zh-CN" w:bidi="ar-SA"/>
        </w:rPr>
        <w:t>21.响应文件的修改与撤回</w:t>
      </w:r>
      <w:bookmarkEnd w:id="264"/>
      <w:bookmarkEnd w:id="265"/>
      <w:bookmarkEnd w:id="266"/>
      <w:bookmarkEnd w:id="267"/>
      <w:bookmarkEnd w:id="268"/>
      <w:bookmarkEnd w:id="269"/>
    </w:p>
    <w:p w14:paraId="059E1BF2">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rFonts w:hint="eastAsia"/>
          <w:i w:val="0"/>
          <w:iCs w:val="0"/>
          <w:snapToGrid w:val="0"/>
          <w:color w:val="auto"/>
          <w:highlight w:val="none"/>
          <w:lang w:val="zh-CN"/>
        </w:rPr>
        <w:t>2</w:t>
      </w:r>
      <w:r>
        <w:rPr>
          <w:rFonts w:hint="eastAsia"/>
          <w:i w:val="0"/>
          <w:iCs w:val="0"/>
          <w:snapToGrid w:val="0"/>
          <w:color w:val="auto"/>
          <w:highlight w:val="none"/>
          <w:lang w:val="zh-CN" w:eastAsia="zh-CN"/>
        </w:rPr>
        <w:t>1</w:t>
      </w:r>
      <w:r>
        <w:rPr>
          <w:rFonts w:hint="eastAsia"/>
          <w:i w:val="0"/>
          <w:iCs w:val="0"/>
          <w:snapToGrid w:val="0"/>
          <w:color w:val="auto"/>
          <w:highlight w:val="none"/>
          <w:lang w:val="zh-CN"/>
        </w:rPr>
        <w:t>.1</w:t>
      </w:r>
      <w:bookmarkStart w:id="270" w:name="_Hlk143532466"/>
      <w:r>
        <w:rPr>
          <w:rFonts w:hint="eastAsia"/>
          <w:i w:val="0"/>
          <w:iCs w:val="0"/>
          <w:snapToGrid w:val="0"/>
          <w:color w:val="auto"/>
          <w:highlight w:val="none"/>
          <w:lang w:val="zh-CN" w:eastAsia="zh-CN"/>
        </w:rPr>
        <w:t>供应商</w:t>
      </w:r>
      <w:r>
        <w:rPr>
          <w:rFonts w:hint="eastAsia"/>
          <w:i w:val="0"/>
          <w:iCs w:val="0"/>
          <w:snapToGrid w:val="0"/>
          <w:color w:val="auto"/>
          <w:highlight w:val="none"/>
          <w:lang w:val="zh-CN"/>
        </w:rPr>
        <w:t>在</w:t>
      </w:r>
      <w:r>
        <w:rPr>
          <w:rFonts w:hint="eastAsia"/>
          <w:i w:val="0"/>
          <w:iCs w:val="0"/>
          <w:snapToGrid w:val="0"/>
          <w:color w:val="auto"/>
          <w:highlight w:val="none"/>
          <w:lang w:val="zh-CN" w:eastAsia="zh-CN"/>
        </w:rPr>
        <w:t>“</w:t>
      </w:r>
      <w:r>
        <w:rPr>
          <w:rFonts w:hint="eastAsia" w:cs="仿宋_GB2312"/>
          <w:i w:val="0"/>
          <w:iCs w:val="0"/>
          <w:color w:val="auto"/>
          <w:szCs w:val="24"/>
          <w:highlight w:val="none"/>
          <w:lang w:val="en-US" w:eastAsia="zh-CN"/>
        </w:rPr>
        <w:t>第一章 竞争性磋商公告</w:t>
      </w:r>
      <w:r>
        <w:rPr>
          <w:rFonts w:hint="eastAsia"/>
          <w:i w:val="0"/>
          <w:iCs w:val="0"/>
          <w:snapToGrid w:val="0"/>
          <w:color w:val="auto"/>
          <w:highlight w:val="none"/>
          <w:lang w:val="zh-CN" w:eastAsia="zh-CN"/>
        </w:rPr>
        <w:t>”</w:t>
      </w:r>
      <w:r>
        <w:rPr>
          <w:rFonts w:hint="eastAsia"/>
          <w:i w:val="0"/>
          <w:iCs w:val="0"/>
          <w:snapToGrid w:val="0"/>
          <w:color w:val="auto"/>
          <w:highlight w:val="none"/>
          <w:lang w:val="zh-CN"/>
        </w:rPr>
        <w:t>规定的</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递交截止时间之前，可在兵团政府采购电子交易云平台上随时撤回已上传的电子</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，将修改好的电子</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在</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递交截止时间前重新上传到兵团政府采购电子交易云平台的</w:t>
      </w:r>
      <w:r>
        <w:rPr>
          <w:rFonts w:hint="eastAsia"/>
          <w:i w:val="0"/>
          <w:iCs w:val="0"/>
          <w:snapToGrid w:val="0"/>
          <w:color w:val="auto"/>
          <w:highlight w:val="none"/>
          <w:lang w:val="zh-CN" w:eastAsia="zh-CN"/>
        </w:rPr>
        <w:t>指</w:t>
      </w:r>
      <w:r>
        <w:rPr>
          <w:rFonts w:hint="eastAsia"/>
          <w:i w:val="0"/>
          <w:iCs w:val="0"/>
          <w:snapToGrid w:val="0"/>
          <w:color w:val="auto"/>
          <w:highlight w:val="none"/>
          <w:lang w:val="zh-CN"/>
        </w:rPr>
        <w:t>定位置。</w:t>
      </w:r>
    </w:p>
    <w:bookmarkEnd w:id="270"/>
    <w:p w14:paraId="6B46A24D">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bookmarkStart w:id="271" w:name="_Toc163493615"/>
      <w:bookmarkStart w:id="272" w:name="_Toc21942"/>
      <w:bookmarkStart w:id="273" w:name="_Toc109900395"/>
      <w:bookmarkStart w:id="274" w:name="_Toc109899976"/>
      <w:bookmarkStart w:id="275" w:name="_Toc46771664"/>
      <w:bookmarkStart w:id="276" w:name="_Toc470172689"/>
      <w:bookmarkStart w:id="277" w:name="_Toc109899557"/>
      <w:bookmarkStart w:id="278" w:name="_Toc109897458"/>
      <w:r>
        <w:rPr>
          <w:rFonts w:hint="eastAsia" w:ascii="宋体" w:hAnsi="宋体" w:eastAsia="宋体" w:cs="宋体"/>
          <w:b/>
          <w:bCs/>
          <w:color w:val="auto"/>
          <w:kern w:val="2"/>
          <w:sz w:val="24"/>
          <w:szCs w:val="24"/>
          <w:highlight w:val="none"/>
          <w:lang w:val="en-US" w:eastAsia="zh-CN" w:bidi="ar-SA"/>
        </w:rPr>
        <w:t>（五）</w:t>
      </w:r>
      <w:bookmarkEnd w:id="271"/>
      <w:r>
        <w:rPr>
          <w:rFonts w:hint="eastAsia" w:ascii="宋体" w:hAnsi="宋体" w:eastAsia="宋体" w:cs="宋体"/>
          <w:b/>
          <w:bCs/>
          <w:color w:val="auto"/>
          <w:kern w:val="2"/>
          <w:sz w:val="24"/>
          <w:szCs w:val="24"/>
          <w:highlight w:val="none"/>
          <w:lang w:val="en-US" w:eastAsia="zh-CN" w:bidi="ar-SA"/>
        </w:rPr>
        <w:t>响应文件开启</w:t>
      </w:r>
      <w:bookmarkEnd w:id="272"/>
    </w:p>
    <w:p w14:paraId="750D725B">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9" w:name="_Hlk161704700"/>
      <w:r>
        <w:rPr>
          <w:rFonts w:hint="eastAsia" w:ascii="宋体" w:hAnsi="宋体" w:eastAsia="宋体" w:cs="宋体"/>
          <w:b/>
          <w:bCs/>
          <w:color w:val="auto"/>
          <w:kern w:val="2"/>
          <w:sz w:val="24"/>
          <w:szCs w:val="24"/>
          <w:highlight w:val="none"/>
          <w:lang w:val="en-US" w:eastAsia="zh-CN" w:bidi="ar-SA"/>
        </w:rPr>
        <w:t>22.响应文件开启</w:t>
      </w:r>
    </w:p>
    <w:p w14:paraId="30320CCC">
      <w:pPr>
        <w:keepNext w:val="0"/>
        <w:keepLines w:val="0"/>
        <w:pageBreakBefore w:val="0"/>
        <w:widowControl w:val="0"/>
        <w:kinsoku/>
        <w:overflowPunct/>
        <w:topLinePunct w:val="0"/>
        <w:bidi w:val="0"/>
        <w:ind w:firstLine="480" w:firstLineChars="200"/>
        <w:textAlignment w:val="auto"/>
        <w:rPr>
          <w:rFonts w:cs="仿宋_GB2312"/>
          <w:bCs/>
          <w:i w:val="0"/>
          <w:iCs w:val="0"/>
          <w:color w:val="auto"/>
          <w:szCs w:val="24"/>
          <w:highlight w:val="none"/>
        </w:rPr>
      </w:pPr>
      <w:bookmarkStart w:id="280" w:name="_Toc140132781"/>
      <w:r>
        <w:rPr>
          <w:rFonts w:hint="eastAsia" w:cs="仿宋_GB2312"/>
          <w:i w:val="0"/>
          <w:iCs w:val="0"/>
          <w:color w:val="auto"/>
          <w:szCs w:val="24"/>
          <w:highlight w:val="none"/>
        </w:rPr>
        <w:t>2</w:t>
      </w:r>
      <w:r>
        <w:rPr>
          <w:rFonts w:hint="eastAsia" w:cs="仿宋_GB2312"/>
          <w:i w:val="0"/>
          <w:iCs w:val="0"/>
          <w:color w:val="auto"/>
          <w:szCs w:val="24"/>
          <w:highlight w:val="none"/>
          <w:lang w:val="en-US" w:eastAsia="zh-CN"/>
        </w:rPr>
        <w:t>2</w:t>
      </w:r>
      <w:r>
        <w:rPr>
          <w:rFonts w:hint="eastAsia" w:cs="仿宋_GB2312"/>
          <w:i w:val="0"/>
          <w:iCs w:val="0"/>
          <w:color w:val="auto"/>
          <w:szCs w:val="24"/>
          <w:highlight w:val="none"/>
        </w:rPr>
        <w:t>.1供应商应按照“</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”中的要求参与开启。</w:t>
      </w:r>
      <w:bookmarkEnd w:id="280"/>
    </w:p>
    <w:p w14:paraId="44C062A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1" w:name="_Toc161600316"/>
      <w:bookmarkStart w:id="282" w:name="_Toc140132782"/>
      <w:r>
        <w:rPr>
          <w:rFonts w:hint="eastAsia" w:ascii="宋体" w:hAnsi="宋体" w:eastAsia="宋体" w:cs="宋体"/>
          <w:b/>
          <w:bCs/>
          <w:color w:val="auto"/>
          <w:kern w:val="2"/>
          <w:sz w:val="24"/>
          <w:szCs w:val="24"/>
          <w:highlight w:val="none"/>
          <w:lang w:val="en-US" w:eastAsia="zh-CN" w:bidi="ar-SA"/>
        </w:rPr>
        <w:t>23.开启时间和地点</w:t>
      </w:r>
      <w:bookmarkEnd w:id="281"/>
      <w:bookmarkEnd w:id="282"/>
    </w:p>
    <w:p w14:paraId="19FC62D6">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2</w:t>
      </w:r>
      <w:r>
        <w:rPr>
          <w:rFonts w:hint="eastAsia" w:cs="仿宋_GB2312"/>
          <w:i w:val="0"/>
          <w:iCs w:val="0"/>
          <w:color w:val="auto"/>
          <w:szCs w:val="24"/>
          <w:highlight w:val="none"/>
          <w:lang w:val="en-US" w:eastAsia="zh-CN"/>
        </w:rPr>
        <w:t>3</w:t>
      </w:r>
      <w:r>
        <w:rPr>
          <w:rFonts w:hint="eastAsia" w:cs="仿宋_GB2312"/>
          <w:i w:val="0"/>
          <w:iCs w:val="0"/>
          <w:color w:val="auto"/>
          <w:szCs w:val="24"/>
          <w:highlight w:val="none"/>
        </w:rPr>
        <w:t>.1开启时间和地点</w:t>
      </w:r>
    </w:p>
    <w:p w14:paraId="74263C6D">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递交</w:t>
      </w:r>
      <w:r>
        <w:rPr>
          <w:rFonts w:hint="eastAsia" w:cs="仿宋_GB2312"/>
          <w:i w:val="0"/>
          <w:iCs w:val="0"/>
          <w:color w:val="auto"/>
          <w:szCs w:val="24"/>
          <w:highlight w:val="none"/>
        </w:rPr>
        <w:t>响应文件截止时间前，供应商登录供应商客户端，</w:t>
      </w:r>
      <w:r>
        <w:rPr>
          <w:rFonts w:cs="仿宋_GB2312"/>
          <w:i w:val="0"/>
          <w:iCs w:val="0"/>
          <w:snapToGrid w:val="0"/>
          <w:color w:val="auto"/>
          <w:highlight w:val="none"/>
          <w:lang w:val="zh-CN"/>
        </w:rPr>
        <w:t>通过</w:t>
      </w:r>
      <w:r>
        <w:rPr>
          <w:rFonts w:hint="eastAsia" w:cs="仿宋_GB2312"/>
          <w:i w:val="0"/>
          <w:iCs w:val="0"/>
          <w:snapToGrid w:val="0"/>
          <w:color w:val="auto"/>
          <w:highlight w:val="none"/>
          <w:lang w:val="zh-CN"/>
        </w:rPr>
        <w:t>供应商客户端</w:t>
      </w:r>
      <w:r>
        <w:rPr>
          <w:rFonts w:cs="仿宋_GB2312"/>
          <w:i w:val="0"/>
          <w:iCs w:val="0"/>
          <w:snapToGrid w:val="0"/>
          <w:color w:val="auto"/>
          <w:highlight w:val="none"/>
          <w:lang w:val="zh-CN"/>
        </w:rPr>
        <w:t>进入</w:t>
      </w:r>
      <w:r>
        <w:rPr>
          <w:rFonts w:hint="eastAsia" w:cs="仿宋_GB2312"/>
          <w:i w:val="0"/>
          <w:iCs w:val="0"/>
          <w:snapToGrid w:val="0"/>
          <w:color w:val="auto"/>
          <w:highlight w:val="none"/>
          <w:lang w:val="zh-CN"/>
        </w:rPr>
        <w:t>交易系统</w:t>
      </w:r>
      <w:r>
        <w:rPr>
          <w:rFonts w:cs="仿宋_GB2312"/>
          <w:i w:val="0"/>
          <w:iCs w:val="0"/>
          <w:color w:val="auto"/>
          <w:szCs w:val="24"/>
          <w:highlight w:val="none"/>
        </w:rPr>
        <w:t>“开标大厅”选择所投项目（或采购包）完成项目签到工作。</w:t>
      </w:r>
    </w:p>
    <w:p w14:paraId="485DC310">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i w:val="0"/>
          <w:iCs w:val="0"/>
          <w:color w:val="auto"/>
          <w:szCs w:val="24"/>
          <w:highlight w:val="none"/>
          <w:lang w:val="zh-CN"/>
        </w:rPr>
        <w:t>（2）在</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w:t>
      </w:r>
      <w:r>
        <w:rPr>
          <w:rFonts w:hint="eastAsia"/>
          <w:i w:val="0"/>
          <w:iCs w:val="0"/>
          <w:color w:val="auto"/>
          <w:szCs w:val="24"/>
          <w:highlight w:val="none"/>
          <w:lang w:val="en-US" w:eastAsia="zh-CN"/>
        </w:rPr>
        <w:t>规</w:t>
      </w:r>
      <w:r>
        <w:rPr>
          <w:rFonts w:hint="eastAsia"/>
          <w:i w:val="0"/>
          <w:iCs w:val="0"/>
          <w:color w:val="auto"/>
          <w:szCs w:val="24"/>
          <w:highlight w:val="none"/>
          <w:lang w:val="zh-CN"/>
        </w:rPr>
        <w:t>定的</w:t>
      </w:r>
      <w:r>
        <w:rPr>
          <w:rFonts w:hint="eastAsia"/>
          <w:i w:val="0"/>
          <w:iCs w:val="0"/>
          <w:color w:val="auto"/>
          <w:szCs w:val="24"/>
          <w:highlight w:val="none"/>
          <w:lang w:val="en-US" w:eastAsia="zh-CN"/>
        </w:rPr>
        <w:t>递交</w:t>
      </w:r>
      <w:r>
        <w:rPr>
          <w:rFonts w:hint="eastAsia"/>
          <w:i w:val="0"/>
          <w:iCs w:val="0"/>
          <w:color w:val="auto"/>
          <w:szCs w:val="24"/>
          <w:highlight w:val="none"/>
          <w:lang w:val="zh-CN"/>
        </w:rPr>
        <w:t>响应文件截止时间、开启时间及地点，采购代理机构</w:t>
      </w:r>
      <w:r>
        <w:rPr>
          <w:rFonts w:hint="eastAsia" w:ascii="宋体" w:hAnsi="宋体" w:eastAsia="宋体"/>
          <w:i w:val="0"/>
          <w:iCs w:val="0"/>
          <w:color w:val="auto"/>
          <w:szCs w:val="24"/>
          <w:highlight w:val="none"/>
          <w:lang w:val="zh-CN"/>
        </w:rPr>
        <w:t>通过</w:t>
      </w:r>
      <w:r>
        <w:rPr>
          <w:rFonts w:hint="eastAsia" w:ascii="宋体" w:hAnsi="宋体" w:eastAsia="宋体"/>
          <w:i w:val="0"/>
          <w:iCs w:val="0"/>
          <w:color w:val="auto"/>
          <w:szCs w:val="24"/>
          <w:highlight w:val="none"/>
          <w:lang w:val="zh-CN" w:eastAsia="zh-CN"/>
        </w:rPr>
        <w:t>兵团政府采购电子交易云平台</w:t>
      </w:r>
      <w:r>
        <w:rPr>
          <w:rFonts w:hint="eastAsia" w:ascii="宋体" w:hAnsi="宋体" w:eastAsia="宋体" w:cs="宋体"/>
          <w:i w:val="0"/>
          <w:iCs w:val="0"/>
          <w:color w:val="auto"/>
          <w:kern w:val="2"/>
          <w:sz w:val="24"/>
          <w:szCs w:val="22"/>
          <w:highlight w:val="none"/>
        </w:rPr>
        <w:t>的“政采云远程开标大厅”</w:t>
      </w:r>
      <w:r>
        <w:rPr>
          <w:rFonts w:hint="eastAsia"/>
          <w:i w:val="0"/>
          <w:iCs w:val="0"/>
          <w:color w:val="auto"/>
          <w:szCs w:val="24"/>
          <w:highlight w:val="none"/>
          <w:lang w:val="zh-CN"/>
        </w:rPr>
        <w:t>组织响应文件开启工作。</w:t>
      </w:r>
    </w:p>
    <w:p w14:paraId="66534CB4">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3</w:t>
      </w:r>
      <w:r>
        <w:rPr>
          <w:i w:val="0"/>
          <w:iCs w:val="0"/>
          <w:color w:val="auto"/>
          <w:highlight w:val="none"/>
        </w:rPr>
        <w:t>.2响应文件开启：</w:t>
      </w:r>
      <w:r>
        <w:rPr>
          <w:rFonts w:hint="eastAsia"/>
          <w:i w:val="0"/>
          <w:iCs w:val="0"/>
          <w:color w:val="auto"/>
          <w:highlight w:val="none"/>
          <w:lang w:val="en-US" w:eastAsia="zh-CN"/>
        </w:rPr>
        <w:t>递交</w:t>
      </w:r>
      <w:r>
        <w:rPr>
          <w:i w:val="0"/>
          <w:iCs w:val="0"/>
          <w:color w:val="auto"/>
          <w:highlight w:val="none"/>
        </w:rPr>
        <w:t>响应文件截止时间到后，工作人员启动开始解密指令，供应商应当按照“供应商须知前附表”规定及时进行响应文件解密，完成响应文件开启工作。</w:t>
      </w:r>
    </w:p>
    <w:p w14:paraId="77684B06">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.3规定的时间内，非因</w:t>
      </w:r>
      <w:r>
        <w:rPr>
          <w:rFonts w:hint="eastAsia"/>
          <w:i w:val="0"/>
          <w:iCs w:val="0"/>
          <w:color w:val="auto"/>
          <w:highlight w:val="none"/>
          <w:lang w:val="zh-CN" w:eastAsia="zh-CN"/>
        </w:rPr>
        <w:t>兵团政府采购电子交易云平台</w:t>
      </w:r>
      <w:r>
        <w:rPr>
          <w:i w:val="0"/>
          <w:iCs w:val="0"/>
          <w:color w:val="auto"/>
          <w:highlight w:val="none"/>
        </w:rPr>
        <w:t>原因造成响应文件未解密的，视为供应商撤回响应文件。停止解密后，已解密开启的响应文件不足3家的，应当终止采购活动。</w:t>
      </w:r>
    </w:p>
    <w:p w14:paraId="46075363">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.4供应商或其授权代表对响应文件开启过程有疑义的，以及认为采购人、</w:t>
      </w:r>
      <w:r>
        <w:rPr>
          <w:rFonts w:hint="eastAsia"/>
          <w:i w:val="0"/>
          <w:iCs w:val="0"/>
          <w:color w:val="auto"/>
          <w:highlight w:val="none"/>
        </w:rPr>
        <w:t>采购代理机构</w:t>
      </w:r>
      <w:r>
        <w:rPr>
          <w:i w:val="0"/>
          <w:iCs w:val="0"/>
          <w:color w:val="auto"/>
          <w:highlight w:val="none"/>
        </w:rPr>
        <w:t>相关工作人员有需要回避的情形的，</w:t>
      </w:r>
      <w:r>
        <w:rPr>
          <w:rFonts w:hint="eastAsia"/>
          <w:i w:val="0"/>
          <w:iCs w:val="0"/>
          <w:color w:val="auto"/>
          <w:highlight w:val="none"/>
        </w:rPr>
        <w:t>应在开</w:t>
      </w:r>
      <w:r>
        <w:rPr>
          <w:rFonts w:hint="eastAsia"/>
          <w:i w:val="0"/>
          <w:iCs w:val="0"/>
          <w:color w:val="auto"/>
          <w:highlight w:val="none"/>
          <w:lang w:val="en-US" w:eastAsia="zh-CN"/>
        </w:rPr>
        <w:t>启</w:t>
      </w:r>
      <w:r>
        <w:rPr>
          <w:rFonts w:hint="eastAsia"/>
          <w:i w:val="0"/>
          <w:iCs w:val="0"/>
          <w:color w:val="auto"/>
          <w:highlight w:val="none"/>
        </w:rPr>
        <w:t>会议中提出询问或者回避申请。采购人、采购代理机构对</w:t>
      </w:r>
      <w:r>
        <w:rPr>
          <w:rFonts w:hint="eastAsia"/>
          <w:i w:val="0"/>
          <w:iCs w:val="0"/>
          <w:color w:val="auto"/>
          <w:highlight w:val="none"/>
          <w:lang w:val="en-US" w:eastAsia="zh-CN"/>
        </w:rPr>
        <w:t>供应商</w:t>
      </w:r>
      <w:r>
        <w:rPr>
          <w:rFonts w:hint="eastAsia"/>
          <w:i w:val="0"/>
          <w:iCs w:val="0"/>
          <w:color w:val="auto"/>
          <w:highlight w:val="none"/>
        </w:rPr>
        <w:t>授权代表提出的询问或者回避申请应当及时处理。</w:t>
      </w:r>
    </w:p>
    <w:p w14:paraId="0486AA50">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w:t>
      </w:r>
      <w:r>
        <w:rPr>
          <w:rFonts w:hint="eastAsia"/>
          <w:i w:val="0"/>
          <w:iCs w:val="0"/>
          <w:color w:val="auto"/>
          <w:highlight w:val="none"/>
          <w:lang w:val="en-US" w:eastAsia="zh-CN"/>
        </w:rPr>
        <w:t>5供应商</w:t>
      </w:r>
      <w:r>
        <w:rPr>
          <w:rFonts w:hint="eastAsia"/>
          <w:i w:val="0"/>
          <w:iCs w:val="0"/>
          <w:color w:val="auto"/>
          <w:highlight w:val="none"/>
        </w:rPr>
        <w:t>未参加开</w:t>
      </w:r>
      <w:r>
        <w:rPr>
          <w:rFonts w:hint="eastAsia"/>
          <w:i w:val="0"/>
          <w:iCs w:val="0"/>
          <w:color w:val="auto"/>
          <w:highlight w:val="none"/>
          <w:lang w:val="en-US" w:eastAsia="zh-CN"/>
        </w:rPr>
        <w:t>启</w:t>
      </w:r>
      <w:r>
        <w:rPr>
          <w:rFonts w:hint="eastAsia"/>
          <w:i w:val="0"/>
          <w:iCs w:val="0"/>
          <w:color w:val="auto"/>
          <w:highlight w:val="none"/>
        </w:rPr>
        <w:t>的，视同认可开</w:t>
      </w:r>
      <w:r>
        <w:rPr>
          <w:rFonts w:hint="eastAsia"/>
          <w:i w:val="0"/>
          <w:iCs w:val="0"/>
          <w:color w:val="auto"/>
          <w:highlight w:val="none"/>
          <w:lang w:val="en-US" w:eastAsia="zh-CN"/>
        </w:rPr>
        <w:t>启</w:t>
      </w:r>
      <w:r>
        <w:rPr>
          <w:rFonts w:hint="eastAsia"/>
          <w:i w:val="0"/>
          <w:iCs w:val="0"/>
          <w:color w:val="auto"/>
          <w:highlight w:val="none"/>
        </w:rPr>
        <w:t>结果。</w:t>
      </w:r>
    </w:p>
    <w:bookmarkEnd w:id="273"/>
    <w:bookmarkEnd w:id="274"/>
    <w:bookmarkEnd w:id="275"/>
    <w:bookmarkEnd w:id="276"/>
    <w:bookmarkEnd w:id="277"/>
    <w:bookmarkEnd w:id="278"/>
    <w:bookmarkEnd w:id="279"/>
    <w:p w14:paraId="55D243EF">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3" w:name="_Toc163492854"/>
      <w:bookmarkStart w:id="284" w:name="_Toc140132785"/>
      <w:bookmarkStart w:id="285" w:name="_Toc20293"/>
      <w:bookmarkStart w:id="286" w:name="_Toc155185877"/>
      <w:r>
        <w:rPr>
          <w:rFonts w:hint="eastAsia" w:ascii="宋体" w:hAnsi="宋体" w:eastAsia="宋体" w:cs="宋体"/>
          <w:b/>
          <w:bCs/>
          <w:color w:val="auto"/>
          <w:kern w:val="2"/>
          <w:sz w:val="24"/>
          <w:szCs w:val="24"/>
          <w:highlight w:val="none"/>
          <w:lang w:val="en-US" w:eastAsia="zh-CN" w:bidi="ar-SA"/>
        </w:rPr>
        <w:t>（六）资格审查</w:t>
      </w:r>
      <w:bookmarkEnd w:id="283"/>
      <w:bookmarkEnd w:id="284"/>
      <w:bookmarkEnd w:id="285"/>
      <w:bookmarkEnd w:id="286"/>
    </w:p>
    <w:p w14:paraId="2C1B5FD6">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7" w:name="_Toc163492855"/>
      <w:r>
        <w:rPr>
          <w:rFonts w:hint="eastAsia" w:ascii="宋体" w:hAnsi="宋体" w:eastAsia="宋体" w:cs="宋体"/>
          <w:b/>
          <w:bCs/>
          <w:color w:val="auto"/>
          <w:kern w:val="2"/>
          <w:sz w:val="24"/>
          <w:szCs w:val="24"/>
          <w:highlight w:val="none"/>
          <w:lang w:val="en-US" w:eastAsia="zh-CN" w:bidi="ar-SA"/>
        </w:rPr>
        <w:t>24.资格审查及审查主体</w:t>
      </w:r>
      <w:bookmarkEnd w:id="287"/>
    </w:p>
    <w:p w14:paraId="0D27F8C1">
      <w:pPr>
        <w:pStyle w:val="40"/>
        <w:keepNext w:val="0"/>
        <w:keepLines w:val="0"/>
        <w:pageBreakBefore w:val="0"/>
        <w:widowControl w:val="0"/>
        <w:kinsoku/>
        <w:overflowPunct/>
        <w:topLinePunct w:val="0"/>
        <w:bidi w:val="0"/>
        <w:ind w:firstLine="480"/>
        <w:textAlignment w:val="auto"/>
        <w:rPr>
          <w:i w:val="0"/>
          <w:iCs w:val="0"/>
          <w:color w:val="auto"/>
          <w:highlight w:val="none"/>
        </w:rPr>
      </w:pPr>
      <w:bookmarkStart w:id="288" w:name="_Toc140132786"/>
      <w:r>
        <w:rPr>
          <w:rFonts w:hint="eastAsia"/>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.1</w:t>
      </w:r>
      <w:r>
        <w:rPr>
          <w:i w:val="0"/>
          <w:iCs w:val="0"/>
          <w:color w:val="auto"/>
          <w:highlight w:val="none"/>
        </w:rPr>
        <w:t>开</w:t>
      </w:r>
      <w:r>
        <w:rPr>
          <w:rFonts w:hint="eastAsia"/>
          <w:i w:val="0"/>
          <w:iCs w:val="0"/>
          <w:color w:val="auto"/>
          <w:highlight w:val="none"/>
          <w:lang w:val="en-US" w:eastAsia="zh-CN"/>
        </w:rPr>
        <w:t>启</w:t>
      </w:r>
      <w:r>
        <w:rPr>
          <w:i w:val="0"/>
          <w:iCs w:val="0"/>
          <w:color w:val="auto"/>
          <w:highlight w:val="none"/>
        </w:rPr>
        <w:t>结束后，</w:t>
      </w:r>
      <w:r>
        <w:rPr>
          <w:rFonts w:hint="eastAsia"/>
          <w:i w:val="0"/>
          <w:iCs w:val="0"/>
          <w:color w:val="auto"/>
          <w:highlight w:val="none"/>
          <w:lang w:val="en-US" w:eastAsia="zh-CN"/>
        </w:rPr>
        <w:t>磋商小组</w:t>
      </w:r>
      <w:r>
        <w:rPr>
          <w:i w:val="0"/>
          <w:iCs w:val="0"/>
          <w:color w:val="auto"/>
          <w:highlight w:val="none"/>
        </w:rPr>
        <w:t>依据法律法规和本</w:t>
      </w:r>
      <w:r>
        <w:rPr>
          <w:rFonts w:hint="eastAsia"/>
          <w:i w:val="0"/>
          <w:iCs w:val="0"/>
          <w:color w:val="auto"/>
          <w:highlight w:val="none"/>
          <w:lang w:val="en-US" w:eastAsia="zh-CN"/>
        </w:rPr>
        <w:t>竞争性磋商</w:t>
      </w:r>
      <w:r>
        <w:rPr>
          <w:i w:val="0"/>
          <w:iCs w:val="0"/>
          <w:color w:val="auto"/>
          <w:highlight w:val="none"/>
        </w:rPr>
        <w:t>文件的规定，依法对</w:t>
      </w:r>
      <w:r>
        <w:rPr>
          <w:rFonts w:hint="eastAsia"/>
          <w:i w:val="0"/>
          <w:iCs w:val="0"/>
          <w:color w:val="auto"/>
          <w:highlight w:val="none"/>
          <w:lang w:val="en-US" w:eastAsia="zh-CN"/>
        </w:rPr>
        <w:t>供应商</w:t>
      </w:r>
      <w:r>
        <w:rPr>
          <w:i w:val="0"/>
          <w:iCs w:val="0"/>
          <w:color w:val="auto"/>
          <w:highlight w:val="none"/>
        </w:rPr>
        <w:t>资格进行审查，以确定</w:t>
      </w:r>
      <w:r>
        <w:rPr>
          <w:rFonts w:hint="eastAsia"/>
          <w:i w:val="0"/>
          <w:iCs w:val="0"/>
          <w:color w:val="auto"/>
          <w:highlight w:val="none"/>
          <w:lang w:val="en-US" w:eastAsia="zh-CN"/>
        </w:rPr>
        <w:t>供应商</w:t>
      </w:r>
      <w:r>
        <w:rPr>
          <w:i w:val="0"/>
          <w:iCs w:val="0"/>
          <w:color w:val="auto"/>
          <w:highlight w:val="none"/>
        </w:rPr>
        <w:t>是否具备</w:t>
      </w:r>
      <w:r>
        <w:rPr>
          <w:rFonts w:hint="eastAsia"/>
          <w:i w:val="0"/>
          <w:iCs w:val="0"/>
          <w:color w:val="auto"/>
          <w:highlight w:val="none"/>
          <w:lang w:val="en-US" w:eastAsia="zh-CN"/>
        </w:rPr>
        <w:t>磋商</w:t>
      </w:r>
      <w:r>
        <w:rPr>
          <w:i w:val="0"/>
          <w:iCs w:val="0"/>
          <w:color w:val="auto"/>
          <w:highlight w:val="none"/>
        </w:rPr>
        <w:t>资格。</w:t>
      </w:r>
      <w:bookmarkEnd w:id="288"/>
    </w:p>
    <w:p w14:paraId="77AFBA72">
      <w:pPr>
        <w:pStyle w:val="40"/>
        <w:keepNext w:val="0"/>
        <w:keepLines w:val="0"/>
        <w:pageBreakBefore w:val="0"/>
        <w:widowControl w:val="0"/>
        <w:kinsoku/>
        <w:overflowPunct/>
        <w:topLinePunct w:val="0"/>
        <w:bidi w:val="0"/>
        <w:ind w:firstLine="480"/>
        <w:textAlignment w:val="auto"/>
        <w:rPr>
          <w:i w:val="0"/>
          <w:iCs w:val="0"/>
          <w:color w:val="auto"/>
          <w:highlight w:val="none"/>
        </w:rPr>
      </w:pPr>
      <w:bookmarkStart w:id="289" w:name="_Toc140132787"/>
      <w:r>
        <w:rPr>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.2</w:t>
      </w:r>
      <w:r>
        <w:rPr>
          <w:i w:val="0"/>
          <w:iCs w:val="0"/>
          <w:color w:val="auto"/>
          <w:highlight w:val="none"/>
        </w:rPr>
        <w:t>资格审查</w:t>
      </w:r>
      <w:r>
        <w:rPr>
          <w:rFonts w:hint="eastAsia"/>
          <w:i w:val="0"/>
          <w:iCs w:val="0"/>
          <w:color w:val="auto"/>
          <w:highlight w:val="none"/>
        </w:rPr>
        <w:t>按“第四章</w:t>
      </w:r>
      <w:r>
        <w:rPr>
          <w:rFonts w:hint="eastAsia"/>
          <w:i w:val="0"/>
          <w:iCs w:val="0"/>
          <w:color w:val="auto"/>
          <w:highlight w:val="none"/>
          <w:lang w:val="en-US" w:eastAsia="zh-CN"/>
        </w:rPr>
        <w:t xml:space="preserve"> </w:t>
      </w:r>
      <w:r>
        <w:rPr>
          <w:rFonts w:cs="仿宋_GB2312"/>
          <w:i w:val="0"/>
          <w:iCs w:val="0"/>
          <w:snapToGrid w:val="0"/>
          <w:color w:val="auto"/>
          <w:highlight w:val="none"/>
          <w:lang w:val="zh-CN"/>
        </w:rPr>
        <w:t>评审</w:t>
      </w:r>
      <w:r>
        <w:rPr>
          <w:rFonts w:hint="eastAsia" w:cs="仿宋_GB2312"/>
          <w:i w:val="0"/>
          <w:iCs w:val="0"/>
          <w:snapToGrid w:val="0"/>
          <w:color w:val="auto"/>
          <w:highlight w:val="none"/>
          <w:lang w:val="en-US" w:eastAsia="zh-CN"/>
        </w:rPr>
        <w:t>方</w:t>
      </w:r>
      <w:r>
        <w:rPr>
          <w:rFonts w:cs="仿宋_GB2312"/>
          <w:i w:val="0"/>
          <w:iCs w:val="0"/>
          <w:snapToGrid w:val="0"/>
          <w:color w:val="auto"/>
          <w:highlight w:val="none"/>
          <w:lang w:val="zh-CN"/>
        </w:rPr>
        <w:t>法</w:t>
      </w:r>
      <w:r>
        <w:rPr>
          <w:rFonts w:hint="eastAsia" w:cs="仿宋_GB2312"/>
          <w:i w:val="0"/>
          <w:iCs w:val="0"/>
          <w:snapToGrid w:val="0"/>
          <w:color w:val="auto"/>
          <w:highlight w:val="none"/>
          <w:lang w:val="zh-CN"/>
        </w:rPr>
        <w:t>及标准</w:t>
      </w:r>
      <w:r>
        <w:rPr>
          <w:rFonts w:hint="eastAsia"/>
          <w:i w:val="0"/>
          <w:iCs w:val="0"/>
          <w:color w:val="auto"/>
          <w:highlight w:val="none"/>
        </w:rPr>
        <w:t>”的规定进行。</w:t>
      </w:r>
      <w:bookmarkEnd w:id="289"/>
    </w:p>
    <w:p w14:paraId="0706620E">
      <w:pPr>
        <w:pStyle w:val="40"/>
        <w:keepNext w:val="0"/>
        <w:keepLines w:val="0"/>
        <w:pageBreakBefore w:val="0"/>
        <w:widowControl w:val="0"/>
        <w:kinsoku/>
        <w:overflowPunct/>
        <w:topLinePunct w:val="0"/>
        <w:bidi w:val="0"/>
        <w:ind w:firstLine="480"/>
        <w:textAlignment w:val="auto"/>
        <w:rPr>
          <w:i w:val="0"/>
          <w:iCs w:val="0"/>
          <w:color w:val="auto"/>
          <w:highlight w:val="none"/>
        </w:rPr>
      </w:pPr>
      <w:bookmarkStart w:id="290" w:name="_Toc140132788"/>
      <w:r>
        <w:rPr>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.3</w:t>
      </w:r>
      <w:r>
        <w:rPr>
          <w:i w:val="0"/>
          <w:iCs w:val="0"/>
          <w:color w:val="auto"/>
          <w:highlight w:val="none"/>
        </w:rPr>
        <w:t>资格审查结束后，应及时对资格审查结果进行复核，对资格审查错误进行及时纠正并记录。</w:t>
      </w:r>
      <w:bookmarkEnd w:id="290"/>
    </w:p>
    <w:p w14:paraId="450772BF">
      <w:pPr>
        <w:pStyle w:val="40"/>
        <w:keepNext w:val="0"/>
        <w:keepLines w:val="0"/>
        <w:pageBreakBefore w:val="0"/>
        <w:widowControl w:val="0"/>
        <w:kinsoku/>
        <w:overflowPunct/>
        <w:topLinePunct w:val="0"/>
        <w:bidi w:val="0"/>
        <w:ind w:firstLine="480"/>
        <w:textAlignment w:val="auto"/>
        <w:rPr>
          <w:rFonts w:hint="default"/>
          <w:i w:val="0"/>
          <w:iCs w:val="0"/>
          <w:color w:val="auto"/>
          <w:highlight w:val="none"/>
          <w:lang w:val="en-US" w:eastAsia="zh-CN"/>
        </w:rPr>
      </w:pPr>
      <w:r>
        <w:rPr>
          <w:rFonts w:hint="eastAsia"/>
          <w:i w:val="0"/>
          <w:iCs w:val="0"/>
          <w:color w:val="auto"/>
          <w:highlight w:val="none"/>
          <w:lang w:val="en-US" w:eastAsia="zh-CN"/>
        </w:rPr>
        <w:t>24.4</w:t>
      </w:r>
      <w:r>
        <w:rPr>
          <w:i w:val="0"/>
          <w:iCs w:val="0"/>
          <w:color w:val="auto"/>
          <w:highlight w:val="none"/>
        </w:rPr>
        <w:t>资格审查</w:t>
      </w:r>
      <w:r>
        <w:rPr>
          <w:rFonts w:hint="eastAsia"/>
          <w:i w:val="0"/>
          <w:iCs w:val="0"/>
          <w:color w:val="auto"/>
          <w:highlight w:val="none"/>
        </w:rPr>
        <w:t>合格</w:t>
      </w:r>
      <w:r>
        <w:rPr>
          <w:rFonts w:hint="eastAsia"/>
          <w:i w:val="0"/>
          <w:iCs w:val="0"/>
          <w:color w:val="auto"/>
          <w:highlight w:val="none"/>
          <w:lang w:val="en-US" w:eastAsia="zh-CN"/>
        </w:rPr>
        <w:t>供应商</w:t>
      </w:r>
      <w:r>
        <w:rPr>
          <w:rFonts w:hint="eastAsia"/>
          <w:i w:val="0"/>
          <w:iCs w:val="0"/>
          <w:color w:val="auto"/>
          <w:highlight w:val="none"/>
        </w:rPr>
        <w:t>不足3家的，不得评</w:t>
      </w:r>
      <w:r>
        <w:rPr>
          <w:rFonts w:hint="eastAsia"/>
          <w:i w:val="0"/>
          <w:iCs w:val="0"/>
          <w:color w:val="auto"/>
          <w:highlight w:val="none"/>
          <w:lang w:val="en-US" w:eastAsia="zh-CN"/>
        </w:rPr>
        <w:t>审</w:t>
      </w:r>
      <w:r>
        <w:rPr>
          <w:rFonts w:hint="eastAsia"/>
          <w:i w:val="0"/>
          <w:iCs w:val="0"/>
          <w:color w:val="auto"/>
          <w:highlight w:val="none"/>
        </w:rPr>
        <w:t>。</w:t>
      </w:r>
    </w:p>
    <w:p w14:paraId="7A1F7D21">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1" w:name="_Toc140132789"/>
      <w:bookmarkStart w:id="292" w:name="_Toc155185878"/>
      <w:bookmarkStart w:id="293" w:name="_Toc163492856"/>
      <w:bookmarkStart w:id="294" w:name="_Toc17133"/>
      <w:r>
        <w:rPr>
          <w:rFonts w:hint="eastAsia" w:ascii="宋体" w:hAnsi="宋体" w:eastAsia="宋体" w:cs="宋体"/>
          <w:b/>
          <w:bCs/>
          <w:color w:val="auto"/>
          <w:kern w:val="2"/>
          <w:sz w:val="24"/>
          <w:szCs w:val="24"/>
          <w:highlight w:val="none"/>
          <w:lang w:val="en-US" w:eastAsia="zh-CN" w:bidi="ar-SA"/>
        </w:rPr>
        <w:t>（七）项目评</w:t>
      </w:r>
      <w:bookmarkEnd w:id="291"/>
      <w:bookmarkEnd w:id="292"/>
      <w:bookmarkEnd w:id="293"/>
      <w:r>
        <w:rPr>
          <w:rFonts w:hint="eastAsia" w:ascii="宋体" w:hAnsi="宋体" w:eastAsia="宋体" w:cs="宋体"/>
          <w:b/>
          <w:bCs/>
          <w:color w:val="auto"/>
          <w:kern w:val="2"/>
          <w:sz w:val="24"/>
          <w:szCs w:val="24"/>
          <w:highlight w:val="none"/>
          <w:lang w:val="en-US" w:eastAsia="zh-CN" w:bidi="ar-SA"/>
        </w:rPr>
        <w:t>审</w:t>
      </w:r>
      <w:bookmarkEnd w:id="294"/>
    </w:p>
    <w:p w14:paraId="4C04DF4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25.评审方法、程序及标准</w:t>
      </w:r>
    </w:p>
    <w:p w14:paraId="0B5D7D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highlight w:val="none"/>
          <w:lang w:val="en-US" w:eastAsia="zh-CN"/>
        </w:rPr>
      </w:pPr>
      <w:r>
        <w:rPr>
          <w:rFonts w:cs="仿宋_GB2312"/>
          <w:i w:val="0"/>
          <w:iCs w:val="0"/>
          <w:snapToGrid w:val="0"/>
          <w:color w:val="auto"/>
          <w:highlight w:val="none"/>
          <w:lang w:val="zh-CN"/>
        </w:rPr>
        <w:t>2</w:t>
      </w:r>
      <w:r>
        <w:rPr>
          <w:rFonts w:hint="eastAsia" w:cs="仿宋_GB2312"/>
          <w:i w:val="0"/>
          <w:iCs w:val="0"/>
          <w:snapToGrid w:val="0"/>
          <w:color w:val="auto"/>
          <w:highlight w:val="none"/>
          <w:lang w:val="en-US" w:eastAsia="zh-CN"/>
        </w:rPr>
        <w:t>5</w:t>
      </w:r>
      <w:r>
        <w:rPr>
          <w:rFonts w:cs="仿宋_GB2312"/>
          <w:i w:val="0"/>
          <w:iCs w:val="0"/>
          <w:snapToGrid w:val="0"/>
          <w:color w:val="auto"/>
          <w:highlight w:val="none"/>
          <w:lang w:val="zh-CN"/>
        </w:rPr>
        <w:t>.1</w:t>
      </w:r>
      <w:r>
        <w:rPr>
          <w:rFonts w:hint="eastAsia" w:cs="仿宋_GB2312"/>
          <w:i w:val="0"/>
          <w:iCs w:val="0"/>
          <w:snapToGrid w:val="0"/>
          <w:color w:val="auto"/>
          <w:highlight w:val="none"/>
          <w:lang w:val="en-US" w:eastAsia="zh-CN"/>
        </w:rPr>
        <w:t>评审方法：综合评分法。</w:t>
      </w:r>
    </w:p>
    <w:p w14:paraId="1D78CC9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highlight w:val="none"/>
          <w:lang w:val="zh-CN"/>
        </w:rPr>
      </w:pPr>
      <w:r>
        <w:rPr>
          <w:rFonts w:cs="仿宋_GB2312"/>
          <w:i w:val="0"/>
          <w:iCs w:val="0"/>
          <w:snapToGrid w:val="0"/>
          <w:color w:val="auto"/>
          <w:highlight w:val="none"/>
          <w:lang w:val="zh-CN" w:eastAsia="zh-CN"/>
        </w:rPr>
        <w:t>综合评分法，是指响应文件满足磋商文件全部实质性要求且按评审因素的量化</w:t>
      </w:r>
      <w:r>
        <w:rPr>
          <w:rFonts w:hint="eastAsia" w:cs="仿宋_GB2312"/>
          <w:i w:val="0"/>
          <w:iCs w:val="0"/>
          <w:snapToGrid w:val="0"/>
          <w:color w:val="auto"/>
          <w:highlight w:val="none"/>
          <w:lang w:val="zh-CN" w:eastAsia="zh-CN"/>
        </w:rPr>
        <w:t>指标评审得分最高的供应商为成交候选供应商的评审方法。</w:t>
      </w:r>
    </w:p>
    <w:p w14:paraId="22FC5B5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highlight w:val="none"/>
          <w:lang w:val="zh-CN"/>
        </w:rPr>
      </w:pPr>
      <w:r>
        <w:rPr>
          <w:rFonts w:hint="eastAsia" w:cs="仿宋_GB2312"/>
          <w:i w:val="0"/>
          <w:iCs w:val="0"/>
          <w:snapToGrid w:val="0"/>
          <w:color w:val="auto"/>
          <w:highlight w:val="none"/>
          <w:lang w:val="en-US" w:eastAsia="zh-CN"/>
        </w:rPr>
        <w:t>本</w:t>
      </w:r>
      <w:r>
        <w:rPr>
          <w:rFonts w:cs="仿宋_GB2312"/>
          <w:i w:val="0"/>
          <w:iCs w:val="0"/>
          <w:snapToGrid w:val="0"/>
          <w:color w:val="auto"/>
          <w:highlight w:val="none"/>
          <w:lang w:val="zh-CN"/>
        </w:rPr>
        <w:t>项目评审方法、程序及标准详见“第</w:t>
      </w:r>
      <w:r>
        <w:rPr>
          <w:rFonts w:hint="eastAsia" w:cs="仿宋_GB2312"/>
          <w:i w:val="0"/>
          <w:iCs w:val="0"/>
          <w:snapToGrid w:val="0"/>
          <w:color w:val="auto"/>
          <w:highlight w:val="none"/>
          <w:lang w:val="en-US" w:eastAsia="zh-CN"/>
        </w:rPr>
        <w:t>四</w:t>
      </w:r>
      <w:r>
        <w:rPr>
          <w:rFonts w:cs="仿宋_GB2312"/>
          <w:i w:val="0"/>
          <w:iCs w:val="0"/>
          <w:snapToGrid w:val="0"/>
          <w:color w:val="auto"/>
          <w:highlight w:val="none"/>
          <w:lang w:val="zh-CN"/>
        </w:rPr>
        <w:t>章 评审</w:t>
      </w:r>
      <w:r>
        <w:rPr>
          <w:rFonts w:hint="eastAsia" w:cs="仿宋_GB2312"/>
          <w:i w:val="0"/>
          <w:iCs w:val="0"/>
          <w:snapToGrid w:val="0"/>
          <w:color w:val="auto"/>
          <w:highlight w:val="none"/>
          <w:lang w:val="en-US" w:eastAsia="zh-CN"/>
        </w:rPr>
        <w:t>方</w:t>
      </w:r>
      <w:r>
        <w:rPr>
          <w:rFonts w:cs="仿宋_GB2312"/>
          <w:i w:val="0"/>
          <w:iCs w:val="0"/>
          <w:snapToGrid w:val="0"/>
          <w:color w:val="auto"/>
          <w:highlight w:val="none"/>
          <w:lang w:val="zh-CN"/>
        </w:rPr>
        <w:t>法</w:t>
      </w:r>
      <w:r>
        <w:rPr>
          <w:rFonts w:hint="eastAsia" w:cs="仿宋_GB2312"/>
          <w:i w:val="0"/>
          <w:iCs w:val="0"/>
          <w:snapToGrid w:val="0"/>
          <w:color w:val="auto"/>
          <w:highlight w:val="none"/>
          <w:lang w:val="zh-CN"/>
        </w:rPr>
        <w:t>及标准</w:t>
      </w:r>
      <w:r>
        <w:rPr>
          <w:rFonts w:cs="仿宋_GB2312"/>
          <w:i w:val="0"/>
          <w:iCs w:val="0"/>
          <w:snapToGrid w:val="0"/>
          <w:color w:val="auto"/>
          <w:highlight w:val="none"/>
          <w:lang w:val="zh-CN"/>
        </w:rPr>
        <w:t>”。</w:t>
      </w:r>
    </w:p>
    <w:p w14:paraId="42E7A75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ascii="宋体" w:hAnsi="宋体" w:eastAsia="宋体" w:cs="仿宋_GB2312"/>
          <w:i w:val="0"/>
          <w:iCs w:val="0"/>
          <w:snapToGrid w:val="0"/>
          <w:color w:val="auto"/>
          <w:highlight w:val="none"/>
          <w:lang w:val="zh-CN"/>
        </w:rPr>
      </w:pPr>
      <w:r>
        <w:rPr>
          <w:rFonts w:cs="仿宋_GB2312"/>
          <w:i w:val="0"/>
          <w:iCs w:val="0"/>
          <w:snapToGrid w:val="0"/>
          <w:color w:val="auto"/>
          <w:highlight w:val="none"/>
          <w:lang w:val="zh-CN"/>
        </w:rPr>
        <w:t>2</w:t>
      </w:r>
      <w:r>
        <w:rPr>
          <w:rFonts w:hint="eastAsia" w:cs="仿宋_GB2312"/>
          <w:i w:val="0"/>
          <w:iCs w:val="0"/>
          <w:snapToGrid w:val="0"/>
          <w:color w:val="auto"/>
          <w:highlight w:val="none"/>
          <w:lang w:val="en-US" w:eastAsia="zh-CN"/>
        </w:rPr>
        <w:t>5</w:t>
      </w:r>
      <w:r>
        <w:rPr>
          <w:rFonts w:cs="仿宋_GB2312"/>
          <w:i w:val="0"/>
          <w:iCs w:val="0"/>
          <w:snapToGrid w:val="0"/>
          <w:color w:val="auto"/>
          <w:highlight w:val="none"/>
          <w:lang w:val="zh-CN"/>
        </w:rPr>
        <w:t>.2磋商准备：供应商应当按照“</w:t>
      </w:r>
      <w:r>
        <w:rPr>
          <w:rFonts w:hint="eastAsia" w:cs="仿宋_GB2312"/>
          <w:i w:val="0"/>
          <w:iCs w:val="0"/>
          <w:snapToGrid w:val="0"/>
          <w:color w:val="auto"/>
          <w:highlight w:val="none"/>
          <w:lang w:val="zh-CN" w:eastAsia="zh-CN"/>
        </w:rPr>
        <w:t>第</w:t>
      </w:r>
      <w:r>
        <w:rPr>
          <w:rFonts w:hint="eastAsia" w:cs="仿宋_GB2312"/>
          <w:i w:val="0"/>
          <w:iCs w:val="0"/>
          <w:snapToGrid w:val="0"/>
          <w:color w:val="auto"/>
          <w:highlight w:val="none"/>
          <w:lang w:val="en-US" w:eastAsia="zh-CN"/>
        </w:rPr>
        <w:t>二</w:t>
      </w:r>
      <w:r>
        <w:rPr>
          <w:rFonts w:hint="eastAsia" w:cs="仿宋_GB2312"/>
          <w:i w:val="0"/>
          <w:iCs w:val="0"/>
          <w:snapToGrid w:val="0"/>
          <w:color w:val="auto"/>
          <w:highlight w:val="none"/>
          <w:lang w:val="zh-CN" w:eastAsia="zh-CN"/>
        </w:rPr>
        <w:t xml:space="preserve">章 </w:t>
      </w:r>
      <w:r>
        <w:rPr>
          <w:rFonts w:hint="eastAsia" w:cs="仿宋_GB2312"/>
          <w:i w:val="0"/>
          <w:iCs w:val="0"/>
          <w:snapToGrid w:val="0"/>
          <w:color w:val="auto"/>
          <w:highlight w:val="none"/>
          <w:lang w:val="en-US" w:eastAsia="zh-CN"/>
        </w:rPr>
        <w:t>供应商须知</w:t>
      </w:r>
      <w:r>
        <w:rPr>
          <w:rFonts w:cs="仿宋_GB2312"/>
          <w:i w:val="0"/>
          <w:iCs w:val="0"/>
          <w:snapToGrid w:val="0"/>
          <w:color w:val="auto"/>
          <w:highlight w:val="none"/>
          <w:lang w:val="zh-CN"/>
        </w:rPr>
        <w:t>”</w:t>
      </w:r>
      <w:r>
        <w:rPr>
          <w:rFonts w:hint="eastAsia" w:cs="仿宋_GB2312"/>
          <w:i w:val="0"/>
          <w:iCs w:val="0"/>
          <w:snapToGrid w:val="0"/>
          <w:color w:val="auto"/>
          <w:highlight w:val="none"/>
          <w:lang w:val="en-US" w:eastAsia="zh-CN"/>
        </w:rPr>
        <w:t>的</w:t>
      </w:r>
      <w:r>
        <w:rPr>
          <w:rFonts w:cs="仿宋_GB2312"/>
          <w:i w:val="0"/>
          <w:iCs w:val="0"/>
          <w:snapToGrid w:val="0"/>
          <w:color w:val="auto"/>
          <w:highlight w:val="none"/>
          <w:lang w:val="zh-CN"/>
        </w:rPr>
        <w:t>要求提前准备好磋商所需的设备，确保设备稳定可靠、互联网畅通</w:t>
      </w:r>
      <w:r>
        <w:rPr>
          <w:rFonts w:hint="eastAsia" w:cs="仿宋_GB2312"/>
          <w:i w:val="0"/>
          <w:iCs w:val="0"/>
          <w:snapToGrid w:val="0"/>
          <w:color w:val="auto"/>
          <w:highlight w:val="none"/>
          <w:lang w:val="zh-CN"/>
        </w:rPr>
        <w:t>。</w:t>
      </w:r>
      <w:r>
        <w:rPr>
          <w:rFonts w:hint="eastAsia" w:cs="仿宋_GB2312"/>
          <w:i w:val="0"/>
          <w:iCs w:val="0"/>
          <w:color w:val="auto"/>
          <w:szCs w:val="24"/>
          <w:highlight w:val="none"/>
        </w:rPr>
        <w:t>供应商登录供应商客户端，</w:t>
      </w:r>
      <w:r>
        <w:rPr>
          <w:rFonts w:cs="仿宋_GB2312"/>
          <w:i w:val="0"/>
          <w:iCs w:val="0"/>
          <w:snapToGrid w:val="0"/>
          <w:color w:val="auto"/>
          <w:highlight w:val="none"/>
          <w:lang w:val="zh-CN"/>
        </w:rPr>
        <w:t>通过</w:t>
      </w:r>
      <w:r>
        <w:rPr>
          <w:rFonts w:hint="eastAsia" w:cs="仿宋_GB2312"/>
          <w:i w:val="0"/>
          <w:iCs w:val="0"/>
          <w:snapToGrid w:val="0"/>
          <w:color w:val="auto"/>
          <w:highlight w:val="none"/>
          <w:lang w:val="zh-CN"/>
        </w:rPr>
        <w:t>供应商客户端</w:t>
      </w:r>
      <w:r>
        <w:rPr>
          <w:rFonts w:cs="仿宋_GB2312"/>
          <w:i w:val="0"/>
          <w:iCs w:val="0"/>
          <w:snapToGrid w:val="0"/>
          <w:color w:val="auto"/>
          <w:highlight w:val="none"/>
          <w:lang w:val="zh-CN"/>
        </w:rPr>
        <w:t>进入</w:t>
      </w:r>
      <w:r>
        <w:rPr>
          <w:rFonts w:hint="eastAsia" w:cs="仿宋_GB2312"/>
          <w:i w:val="0"/>
          <w:iCs w:val="0"/>
          <w:snapToGrid w:val="0"/>
          <w:color w:val="auto"/>
          <w:highlight w:val="none"/>
          <w:lang w:val="zh-CN"/>
        </w:rPr>
        <w:t>交易系统</w:t>
      </w:r>
      <w:r>
        <w:rPr>
          <w:rFonts w:cs="仿宋_GB2312"/>
          <w:i w:val="0"/>
          <w:iCs w:val="0"/>
          <w:snapToGrid w:val="0"/>
          <w:color w:val="auto"/>
          <w:highlight w:val="none"/>
          <w:lang w:val="zh-CN"/>
        </w:rPr>
        <w:t>“</w:t>
      </w:r>
      <w:r>
        <w:rPr>
          <w:rFonts w:hint="eastAsia" w:cs="仿宋_GB2312"/>
          <w:i w:val="0"/>
          <w:iCs w:val="0"/>
          <w:snapToGrid w:val="0"/>
          <w:color w:val="auto"/>
          <w:highlight w:val="none"/>
          <w:lang w:val="en-US" w:eastAsia="zh-CN"/>
        </w:rPr>
        <w:t>开</w:t>
      </w:r>
      <w:r>
        <w:rPr>
          <w:rFonts w:hint="eastAsia" w:cs="仿宋_GB2312"/>
          <w:i w:val="0"/>
          <w:iCs w:val="0"/>
          <w:snapToGrid w:val="0"/>
          <w:color w:val="auto"/>
          <w:highlight w:val="none"/>
          <w:lang w:val="zh-CN"/>
        </w:rPr>
        <w:t>标</w:t>
      </w:r>
      <w:r>
        <w:rPr>
          <w:rFonts w:cs="仿宋_GB2312"/>
          <w:i w:val="0"/>
          <w:iCs w:val="0"/>
          <w:snapToGrid w:val="0"/>
          <w:color w:val="auto"/>
          <w:highlight w:val="none"/>
          <w:lang w:val="zh-CN"/>
        </w:rPr>
        <w:t>大厅”，准时参加在线磋商，按照工作人员提示进行相关操作。未按上述要求进行的，导致的后果由供应</w:t>
      </w:r>
      <w:r>
        <w:rPr>
          <w:rFonts w:ascii="宋体" w:hAnsi="宋体" w:eastAsia="宋体" w:cs="仿宋_GB2312"/>
          <w:i w:val="0"/>
          <w:iCs w:val="0"/>
          <w:snapToGrid w:val="0"/>
          <w:color w:val="auto"/>
          <w:highlight w:val="none"/>
          <w:lang w:val="zh-CN"/>
        </w:rPr>
        <w:t>商自行承担。</w:t>
      </w:r>
    </w:p>
    <w:p w14:paraId="21D93F4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bookmarkStart w:id="295" w:name="_Toc163492857"/>
      <w:bookmarkStart w:id="296" w:name="_Toc140132790"/>
      <w:r>
        <w:rPr>
          <w:rFonts w:hint="eastAsia" w:ascii="宋体" w:hAnsi="宋体" w:eastAsia="宋体" w:cs="宋体"/>
          <w:b/>
          <w:bCs/>
          <w:color w:val="auto"/>
          <w:kern w:val="2"/>
          <w:sz w:val="24"/>
          <w:szCs w:val="24"/>
          <w:highlight w:val="none"/>
          <w:lang w:val="en-US" w:eastAsia="zh-CN" w:bidi="ar-SA"/>
        </w:rPr>
        <w:t>26.</w:t>
      </w:r>
      <w:bookmarkEnd w:id="295"/>
      <w:bookmarkEnd w:id="296"/>
      <w:r>
        <w:rPr>
          <w:rFonts w:hint="eastAsia" w:ascii="宋体" w:hAnsi="宋体" w:eastAsia="宋体" w:cs="宋体"/>
          <w:b/>
          <w:bCs/>
          <w:color w:val="auto"/>
          <w:kern w:val="2"/>
          <w:sz w:val="24"/>
          <w:szCs w:val="24"/>
          <w:highlight w:val="none"/>
          <w:lang w:val="en-US" w:eastAsia="zh-CN" w:bidi="ar-SA"/>
        </w:rPr>
        <w:t>磋商小组</w:t>
      </w:r>
    </w:p>
    <w:p w14:paraId="13BA3C1A">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2</w:t>
      </w:r>
      <w:r>
        <w:rPr>
          <w:rFonts w:hint="eastAsia"/>
          <w:i w:val="0"/>
          <w:iCs w:val="0"/>
          <w:color w:val="auto"/>
          <w:highlight w:val="none"/>
          <w:lang w:val="en-US" w:eastAsia="zh-CN"/>
        </w:rPr>
        <w:t>6</w:t>
      </w:r>
      <w:r>
        <w:rPr>
          <w:rFonts w:hint="eastAsia"/>
          <w:i w:val="0"/>
          <w:iCs w:val="0"/>
          <w:color w:val="auto"/>
          <w:highlight w:val="none"/>
        </w:rPr>
        <w:t>.1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77CA6B57">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6</w:t>
      </w:r>
      <w:r>
        <w:rPr>
          <w:rFonts w:hint="eastAsia"/>
          <w:i w:val="0"/>
          <w:iCs w:val="0"/>
          <w:color w:val="auto"/>
          <w:highlight w:val="none"/>
        </w:rPr>
        <w:t>.2 磋商小组成员有下列情形之一的，应当回避：</w:t>
      </w:r>
    </w:p>
    <w:p w14:paraId="6184A7ED">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（1）参加采购活动前3年内与</w:t>
      </w:r>
      <w:r>
        <w:rPr>
          <w:rFonts w:hint="eastAsia"/>
          <w:i w:val="0"/>
          <w:iCs w:val="0"/>
          <w:color w:val="auto"/>
          <w:highlight w:val="none"/>
          <w:lang w:val="en-US" w:eastAsia="zh-CN"/>
        </w:rPr>
        <w:t>磋商供应商</w:t>
      </w:r>
      <w:r>
        <w:rPr>
          <w:rFonts w:hint="eastAsia"/>
          <w:i w:val="0"/>
          <w:iCs w:val="0"/>
          <w:color w:val="auto"/>
          <w:highlight w:val="none"/>
        </w:rPr>
        <w:t>存在劳动关系；</w:t>
      </w:r>
    </w:p>
    <w:p w14:paraId="655F14B3">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（2）参加采购活动前3年内担任</w:t>
      </w:r>
      <w:r>
        <w:rPr>
          <w:rFonts w:hint="eastAsia"/>
          <w:i w:val="0"/>
          <w:iCs w:val="0"/>
          <w:color w:val="auto"/>
          <w:highlight w:val="none"/>
          <w:lang w:val="en-US" w:eastAsia="zh-CN"/>
        </w:rPr>
        <w:t>磋商供应商</w:t>
      </w:r>
      <w:r>
        <w:rPr>
          <w:rFonts w:hint="eastAsia"/>
          <w:i w:val="0"/>
          <w:iCs w:val="0"/>
          <w:color w:val="auto"/>
          <w:highlight w:val="none"/>
        </w:rPr>
        <w:t>的董事、监事；</w:t>
      </w:r>
    </w:p>
    <w:p w14:paraId="0A4A464C">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（3）参加采购活动前3年内是</w:t>
      </w:r>
      <w:r>
        <w:rPr>
          <w:rFonts w:hint="eastAsia"/>
          <w:i w:val="0"/>
          <w:iCs w:val="0"/>
          <w:color w:val="auto"/>
          <w:highlight w:val="none"/>
          <w:lang w:val="en-US" w:eastAsia="zh-CN"/>
        </w:rPr>
        <w:t>磋商供应商</w:t>
      </w:r>
      <w:r>
        <w:rPr>
          <w:rFonts w:hint="eastAsia"/>
          <w:i w:val="0"/>
          <w:iCs w:val="0"/>
          <w:color w:val="auto"/>
          <w:highlight w:val="none"/>
        </w:rPr>
        <w:t>的控股股东或者实际控制人；</w:t>
      </w:r>
    </w:p>
    <w:p w14:paraId="5811B10D">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（4）与</w:t>
      </w:r>
      <w:r>
        <w:rPr>
          <w:rFonts w:hint="eastAsia"/>
          <w:i w:val="0"/>
          <w:iCs w:val="0"/>
          <w:color w:val="auto"/>
          <w:highlight w:val="none"/>
          <w:lang w:val="en-US" w:eastAsia="zh-CN"/>
        </w:rPr>
        <w:t>磋商供应商</w:t>
      </w:r>
      <w:r>
        <w:rPr>
          <w:rFonts w:hint="eastAsia"/>
          <w:i w:val="0"/>
          <w:iCs w:val="0"/>
          <w:color w:val="auto"/>
          <w:highlight w:val="none"/>
        </w:rPr>
        <w:t>的法定代表人或者负责人有夫妻、直系血亲、三代以内旁系血亲或者近姻亲关系；</w:t>
      </w:r>
    </w:p>
    <w:p w14:paraId="20FB9B78">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（5）与</w:t>
      </w:r>
      <w:r>
        <w:rPr>
          <w:rFonts w:hint="eastAsia"/>
          <w:i w:val="0"/>
          <w:iCs w:val="0"/>
          <w:color w:val="auto"/>
          <w:highlight w:val="none"/>
          <w:lang w:val="en-US" w:eastAsia="zh-CN"/>
        </w:rPr>
        <w:t>磋商供应商</w:t>
      </w:r>
      <w:r>
        <w:rPr>
          <w:rFonts w:hint="eastAsia"/>
          <w:i w:val="0"/>
          <w:iCs w:val="0"/>
          <w:color w:val="auto"/>
          <w:highlight w:val="none"/>
        </w:rPr>
        <w:t>有其他可能影响采购活动公平、公正进行的关系。</w:t>
      </w:r>
    </w:p>
    <w:p w14:paraId="25BEA5A7">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7" w:name="_Toc163492858"/>
      <w:bookmarkStart w:id="298" w:name="_Toc140132791"/>
      <w:r>
        <w:rPr>
          <w:rFonts w:hint="eastAsia" w:ascii="宋体" w:hAnsi="宋体" w:eastAsia="宋体" w:cs="宋体"/>
          <w:b/>
          <w:bCs/>
          <w:color w:val="auto"/>
          <w:kern w:val="2"/>
          <w:sz w:val="24"/>
          <w:szCs w:val="24"/>
          <w:highlight w:val="none"/>
          <w:lang w:val="en-US" w:eastAsia="zh-CN" w:bidi="ar-SA"/>
        </w:rPr>
        <w:t>27.</w:t>
      </w:r>
      <w:bookmarkEnd w:id="297"/>
      <w:bookmarkEnd w:id="298"/>
      <w:r>
        <w:rPr>
          <w:rFonts w:hint="eastAsia" w:ascii="宋体" w:hAnsi="宋体" w:eastAsia="宋体" w:cs="宋体"/>
          <w:b/>
          <w:bCs/>
          <w:color w:val="auto"/>
          <w:kern w:val="2"/>
          <w:sz w:val="24"/>
          <w:szCs w:val="24"/>
          <w:highlight w:val="none"/>
          <w:lang w:val="en-US" w:eastAsia="zh-CN" w:bidi="ar-SA"/>
        </w:rPr>
        <w:t>评审</w:t>
      </w:r>
    </w:p>
    <w:p w14:paraId="4C6C36B4">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lang w:val="en-US" w:eastAsia="zh-CN"/>
        </w:rPr>
        <w:t>27</w:t>
      </w:r>
      <w:r>
        <w:rPr>
          <w:rFonts w:hint="eastAsia"/>
          <w:i w:val="0"/>
          <w:iCs w:val="0"/>
          <w:color w:val="auto"/>
          <w:highlight w:val="none"/>
        </w:rPr>
        <w:t>.</w:t>
      </w:r>
      <w:r>
        <w:rPr>
          <w:rFonts w:hint="eastAsia"/>
          <w:i w:val="0"/>
          <w:iCs w:val="0"/>
          <w:color w:val="auto"/>
          <w:highlight w:val="none"/>
          <w:lang w:val="en-US" w:eastAsia="zh-CN"/>
        </w:rPr>
        <w:t xml:space="preserve">1 </w:t>
      </w:r>
      <w:r>
        <w:rPr>
          <w:rFonts w:hint="eastAsia"/>
          <w:i w:val="0"/>
          <w:iCs w:val="0"/>
          <w:color w:val="auto"/>
          <w:highlight w:val="none"/>
        </w:rPr>
        <w:t>磋商小组按照“第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w:t>
      </w:r>
      <w:r>
        <w:rPr>
          <w:rFonts w:hint="eastAsia"/>
          <w:i w:val="0"/>
          <w:iCs w:val="0"/>
          <w:color w:val="auto"/>
          <w:highlight w:val="none"/>
          <w:lang w:val="en-US" w:eastAsia="zh-CN"/>
        </w:rPr>
        <w:t>审</w:t>
      </w:r>
      <w:r>
        <w:rPr>
          <w:rFonts w:hint="eastAsia"/>
          <w:i w:val="0"/>
          <w:iCs w:val="0"/>
          <w:color w:val="auto"/>
          <w:highlight w:val="none"/>
        </w:rPr>
        <w:t>方法及标准”</w:t>
      </w:r>
      <w:r>
        <w:rPr>
          <w:rFonts w:hint="eastAsia"/>
          <w:i w:val="0"/>
          <w:iCs w:val="0"/>
          <w:color w:val="auto"/>
          <w:highlight w:val="none"/>
          <w:lang w:val="en-US" w:eastAsia="zh-CN"/>
        </w:rPr>
        <w:t>的</w:t>
      </w:r>
      <w:r>
        <w:rPr>
          <w:rFonts w:hint="eastAsia"/>
          <w:i w:val="0"/>
          <w:iCs w:val="0"/>
          <w:color w:val="auto"/>
          <w:highlight w:val="none"/>
        </w:rPr>
        <w:t>规定对</w:t>
      </w:r>
      <w:r>
        <w:rPr>
          <w:rFonts w:hint="eastAsia"/>
          <w:i w:val="0"/>
          <w:iCs w:val="0"/>
          <w:color w:val="auto"/>
          <w:highlight w:val="none"/>
          <w:lang w:val="en-US" w:eastAsia="zh-CN"/>
        </w:rPr>
        <w:t>响应</w:t>
      </w:r>
      <w:r>
        <w:rPr>
          <w:rFonts w:hint="eastAsia"/>
          <w:i w:val="0"/>
          <w:iCs w:val="0"/>
          <w:color w:val="auto"/>
          <w:highlight w:val="none"/>
        </w:rPr>
        <w:t>文件进行评审。“第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w:t>
      </w:r>
      <w:r>
        <w:rPr>
          <w:rFonts w:hint="eastAsia"/>
          <w:i w:val="0"/>
          <w:iCs w:val="0"/>
          <w:color w:val="auto"/>
          <w:highlight w:val="none"/>
          <w:lang w:val="en-US" w:eastAsia="zh-CN"/>
        </w:rPr>
        <w:t>审</w:t>
      </w:r>
      <w:r>
        <w:rPr>
          <w:rFonts w:hint="eastAsia"/>
          <w:i w:val="0"/>
          <w:iCs w:val="0"/>
          <w:color w:val="auto"/>
          <w:highlight w:val="none"/>
        </w:rPr>
        <w:t>方法及标准”没有规定的方法、评审因素和标准，不作为评</w:t>
      </w:r>
      <w:r>
        <w:rPr>
          <w:rFonts w:hint="eastAsia"/>
          <w:i w:val="0"/>
          <w:iCs w:val="0"/>
          <w:color w:val="auto"/>
          <w:highlight w:val="none"/>
          <w:lang w:val="en-US" w:eastAsia="zh-CN"/>
        </w:rPr>
        <w:t>审</w:t>
      </w:r>
      <w:r>
        <w:rPr>
          <w:rFonts w:hint="eastAsia"/>
          <w:i w:val="0"/>
          <w:iCs w:val="0"/>
          <w:color w:val="auto"/>
          <w:highlight w:val="none"/>
        </w:rPr>
        <w:t>依据。</w:t>
      </w:r>
    </w:p>
    <w:p w14:paraId="420234D7">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27</w:t>
      </w:r>
      <w:r>
        <w:rPr>
          <w:rFonts w:hint="eastAsia"/>
          <w:i w:val="0"/>
          <w:iCs w:val="0"/>
          <w:color w:val="auto"/>
          <w:highlight w:val="none"/>
        </w:rPr>
        <w:t>.</w:t>
      </w:r>
      <w:r>
        <w:rPr>
          <w:rFonts w:hint="eastAsia"/>
          <w:i w:val="0"/>
          <w:iCs w:val="0"/>
          <w:color w:val="auto"/>
          <w:highlight w:val="none"/>
          <w:lang w:val="en-US" w:eastAsia="zh-CN"/>
        </w:rPr>
        <w:t xml:space="preserve">2 </w:t>
      </w:r>
      <w:r>
        <w:rPr>
          <w:rFonts w:hint="eastAsia"/>
          <w:i w:val="0"/>
          <w:iCs w:val="0"/>
          <w:color w:val="auto"/>
          <w:highlight w:val="none"/>
        </w:rPr>
        <w:t>磋商小组按“</w:t>
      </w:r>
      <w:r>
        <w:rPr>
          <w:rFonts w:hint="eastAsia"/>
          <w:i w:val="0"/>
          <w:iCs w:val="0"/>
          <w:color w:val="auto"/>
          <w:highlight w:val="none"/>
          <w:lang w:val="en-US" w:eastAsia="zh-CN"/>
        </w:rPr>
        <w:t>供应商</w:t>
      </w:r>
      <w:r>
        <w:rPr>
          <w:rFonts w:hint="eastAsia"/>
          <w:i w:val="0"/>
          <w:iCs w:val="0"/>
          <w:color w:val="auto"/>
          <w:highlight w:val="none"/>
        </w:rPr>
        <w:t>须知前附表”规定的</w:t>
      </w:r>
      <w:r>
        <w:rPr>
          <w:rFonts w:hint="eastAsia"/>
          <w:i w:val="0"/>
          <w:iCs w:val="0"/>
          <w:color w:val="auto"/>
          <w:highlight w:val="none"/>
          <w:lang w:val="en-US" w:eastAsia="zh-CN"/>
        </w:rPr>
        <w:t>成交</w:t>
      </w:r>
      <w:r>
        <w:rPr>
          <w:rFonts w:hint="eastAsia"/>
          <w:i w:val="0"/>
          <w:iCs w:val="0"/>
          <w:color w:val="auto"/>
          <w:highlight w:val="none"/>
        </w:rPr>
        <w:t>候选人数量在评</w:t>
      </w:r>
      <w:r>
        <w:rPr>
          <w:rFonts w:hint="eastAsia"/>
          <w:i w:val="0"/>
          <w:iCs w:val="0"/>
          <w:color w:val="auto"/>
          <w:highlight w:val="none"/>
          <w:lang w:val="en-US" w:eastAsia="zh-CN"/>
        </w:rPr>
        <w:t>审</w:t>
      </w:r>
      <w:r>
        <w:rPr>
          <w:rFonts w:hint="eastAsia"/>
          <w:i w:val="0"/>
          <w:iCs w:val="0"/>
          <w:color w:val="auto"/>
          <w:highlight w:val="none"/>
        </w:rPr>
        <w:t>报告中向采购人推荐</w:t>
      </w:r>
      <w:r>
        <w:rPr>
          <w:rFonts w:hint="eastAsia"/>
          <w:i w:val="0"/>
          <w:iCs w:val="0"/>
          <w:color w:val="auto"/>
          <w:highlight w:val="none"/>
          <w:lang w:val="en-US" w:eastAsia="zh-CN"/>
        </w:rPr>
        <w:t>成交</w:t>
      </w:r>
      <w:r>
        <w:rPr>
          <w:rFonts w:hint="eastAsia"/>
          <w:i w:val="0"/>
          <w:iCs w:val="0"/>
          <w:color w:val="auto"/>
          <w:highlight w:val="none"/>
        </w:rPr>
        <w:t>候选人。</w:t>
      </w:r>
    </w:p>
    <w:p w14:paraId="06FF1854">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27.3 开启之后，直到签订合同止，凡是属于审查、澄清、评价和比较磋商的有关资料以及确定成交意向等，均不得向供应商或者其他与评审无关的人员透露。</w:t>
      </w:r>
    </w:p>
    <w:p w14:paraId="1655FB62">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27.4 在确定成交人之前，供应商试图在响应文件审查、澄清、比较和评审时对</w:t>
      </w:r>
      <w:r>
        <w:rPr>
          <w:rFonts w:hint="eastAsia"/>
          <w:i w:val="0"/>
          <w:iCs w:val="0"/>
          <w:color w:val="auto"/>
          <w:highlight w:val="none"/>
        </w:rPr>
        <w:t>磋商小组</w:t>
      </w:r>
      <w:r>
        <w:rPr>
          <w:rFonts w:hint="eastAsia"/>
          <w:i w:val="0"/>
          <w:iCs w:val="0"/>
          <w:color w:val="auto"/>
          <w:highlight w:val="none"/>
          <w:lang w:val="en-US" w:eastAsia="zh-CN"/>
        </w:rPr>
        <w:t>、采购人和采购代理机构施加任何影响都可能导致其</w:t>
      </w:r>
      <w:r>
        <w:rPr>
          <w:rFonts w:hint="eastAsia"/>
          <w:b/>
          <w:bCs/>
          <w:i w:val="0"/>
          <w:iCs w:val="0"/>
          <w:color w:val="auto"/>
          <w:highlight w:val="none"/>
          <w:lang w:val="en-US" w:eastAsia="zh-CN"/>
        </w:rPr>
        <w:t>响应无效</w:t>
      </w:r>
      <w:r>
        <w:rPr>
          <w:rFonts w:hint="eastAsia"/>
          <w:i w:val="0"/>
          <w:iCs w:val="0"/>
          <w:color w:val="auto"/>
          <w:highlight w:val="none"/>
          <w:lang w:val="en-US" w:eastAsia="zh-CN"/>
        </w:rPr>
        <w:t>。</w:t>
      </w:r>
    </w:p>
    <w:p w14:paraId="67DE196B">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 电子招投标的应急措施</w:t>
      </w:r>
    </w:p>
    <w:p w14:paraId="40C422BF">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27.5.1电子开启、评审如出现下列原因，导致系统无法正常运行或无法正常评审时，应采取应急措施。</w:t>
      </w:r>
    </w:p>
    <w:p w14:paraId="4420F394">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（1）系统服务器发生故障，无法访问或无法使用系统；</w:t>
      </w:r>
    </w:p>
    <w:p w14:paraId="28E034B3">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（2）系统的软件或数据库出现错误，不能进行正常操作；</w:t>
      </w:r>
    </w:p>
    <w:p w14:paraId="08E58AC6">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（3）系统发现有安全漏洞，有潜在的泄密危险；</w:t>
      </w:r>
    </w:p>
    <w:p w14:paraId="1C5B7708">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（4）病毒发作或受到外来病毒的攻击；</w:t>
      </w:r>
    </w:p>
    <w:p w14:paraId="45AC1753">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（5）出现其他不可抗拒的客观原因造成开评标系统无法正常使用。</w:t>
      </w:r>
    </w:p>
    <w:p w14:paraId="7B05A5B4">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出现上述情况时，应对未开启的暂停开启。已在系统内开启、评审的立即停止。采取应急措施时，必须对原有资料及信息作出妥善保密处理。</w:t>
      </w:r>
    </w:p>
    <w:p w14:paraId="3C2F79F8">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27.5.2因系统原因导致供应商均无法解密电子响应文件时，采购代理机构可在开启现场直接导入供应商在递交响应文件截止时间前递交的未加密的电子响应文件进行开启、评审。</w:t>
      </w:r>
    </w:p>
    <w:p w14:paraId="280DDAB9">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27.6 供应商瑕疵滞后发现的处理规则</w:t>
      </w:r>
    </w:p>
    <w:p w14:paraId="11E85EAD">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en-US" w:eastAsia="zh-CN"/>
        </w:rPr>
      </w:pPr>
      <w:r>
        <w:rPr>
          <w:rFonts w:hint="eastAsia"/>
          <w:i w:val="0"/>
          <w:iCs w:val="0"/>
          <w:color w:val="auto"/>
          <w:highlight w:val="none"/>
          <w:lang w:val="en-US" w:eastAsia="zh-CN"/>
        </w:rPr>
        <w:t>27.6.1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w:t>
      </w:r>
      <w:r>
        <w:rPr>
          <w:rFonts w:hint="eastAsia" w:ascii="宋体" w:hAnsi="宋体" w:eastAsia="宋体"/>
          <w:i w:val="0"/>
          <w:iCs w:val="0"/>
          <w:color w:val="auto"/>
          <w:highlight w:val="none"/>
          <w:lang w:val="en-US" w:eastAsia="zh-CN"/>
        </w:rPr>
        <w:t>承担。</w:t>
      </w:r>
    </w:p>
    <w:p w14:paraId="5000462B">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9" w:name="_Toc109900401"/>
      <w:bookmarkStart w:id="300" w:name="_Toc109899982"/>
      <w:bookmarkStart w:id="301" w:name="_Toc163493616"/>
      <w:bookmarkStart w:id="302" w:name="_Toc25959"/>
      <w:bookmarkStart w:id="303" w:name="_Toc109899563"/>
      <w:bookmarkStart w:id="304" w:name="_Toc46771670"/>
      <w:bookmarkStart w:id="305" w:name="_Toc109897464"/>
      <w:bookmarkStart w:id="306" w:name="_Toc470172692"/>
      <w:r>
        <w:rPr>
          <w:rFonts w:hint="eastAsia" w:ascii="宋体" w:hAnsi="宋体" w:eastAsia="宋体" w:cs="宋体"/>
          <w:b/>
          <w:bCs/>
          <w:color w:val="auto"/>
          <w:kern w:val="2"/>
          <w:sz w:val="24"/>
          <w:szCs w:val="24"/>
          <w:highlight w:val="none"/>
          <w:lang w:val="en-US" w:eastAsia="zh-CN" w:bidi="ar-SA"/>
        </w:rPr>
        <w:t>（八）成交</w:t>
      </w:r>
      <w:bookmarkEnd w:id="299"/>
      <w:bookmarkEnd w:id="300"/>
      <w:bookmarkEnd w:id="301"/>
      <w:bookmarkEnd w:id="302"/>
      <w:bookmarkEnd w:id="303"/>
      <w:bookmarkEnd w:id="304"/>
      <w:bookmarkEnd w:id="305"/>
      <w:bookmarkEnd w:id="306"/>
    </w:p>
    <w:p w14:paraId="59C81E9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7" w:name="_Toc48688820"/>
      <w:bookmarkStart w:id="308" w:name="_Toc109899564"/>
      <w:bookmarkStart w:id="309" w:name="_Toc109897465"/>
      <w:bookmarkStart w:id="310" w:name="_Toc52960584"/>
      <w:bookmarkStart w:id="311" w:name="_Toc109900402"/>
      <w:bookmarkStart w:id="312" w:name="_Toc52962758"/>
      <w:bookmarkStart w:id="313" w:name="_Toc109899983"/>
      <w:bookmarkStart w:id="314" w:name="_Toc46772272"/>
      <w:bookmarkStart w:id="315" w:name="_Toc51674242"/>
      <w:bookmarkStart w:id="316" w:name="_Toc46771671"/>
      <w:bookmarkStart w:id="317" w:name="_Toc48846140"/>
      <w:bookmarkStart w:id="318" w:name="_Hlk143533953"/>
      <w:r>
        <w:rPr>
          <w:rFonts w:hint="eastAsia" w:ascii="宋体" w:hAnsi="宋体" w:eastAsia="宋体" w:cs="宋体"/>
          <w:b/>
          <w:bCs/>
          <w:color w:val="auto"/>
          <w:kern w:val="2"/>
          <w:sz w:val="24"/>
          <w:szCs w:val="24"/>
          <w:highlight w:val="none"/>
          <w:lang w:val="en-US" w:eastAsia="zh-CN" w:bidi="ar-SA"/>
        </w:rPr>
        <w:t>28.确定成交供应商</w:t>
      </w:r>
      <w:bookmarkEnd w:id="307"/>
      <w:bookmarkEnd w:id="308"/>
      <w:bookmarkEnd w:id="309"/>
      <w:bookmarkEnd w:id="310"/>
      <w:bookmarkEnd w:id="311"/>
      <w:bookmarkEnd w:id="312"/>
      <w:bookmarkEnd w:id="313"/>
      <w:bookmarkEnd w:id="314"/>
      <w:bookmarkEnd w:id="315"/>
      <w:bookmarkEnd w:id="316"/>
      <w:bookmarkEnd w:id="317"/>
    </w:p>
    <w:p w14:paraId="2A96CF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i w:val="0"/>
          <w:iCs w:val="0"/>
          <w:snapToGrid w:val="0"/>
          <w:color w:val="auto"/>
          <w:highlight w:val="none"/>
          <w:lang w:val="zh-CN"/>
        </w:rPr>
      </w:pPr>
      <w:r>
        <w:rPr>
          <w:rFonts w:hint="eastAsia" w:cs="仿宋_GB2312"/>
          <w:i w:val="0"/>
          <w:iCs w:val="0"/>
          <w:snapToGrid w:val="0"/>
          <w:color w:val="auto"/>
          <w:highlight w:val="none"/>
          <w:lang w:val="en-US" w:eastAsia="zh-CN"/>
        </w:rPr>
        <w:t>28</w:t>
      </w:r>
      <w:r>
        <w:rPr>
          <w:rFonts w:hint="eastAsia" w:cs="仿宋_GB2312"/>
          <w:i w:val="0"/>
          <w:iCs w:val="0"/>
          <w:snapToGrid w:val="0"/>
          <w:color w:val="auto"/>
          <w:highlight w:val="none"/>
          <w:lang w:val="zh-CN"/>
        </w:rPr>
        <w:t>.1</w:t>
      </w:r>
      <w:r>
        <w:rPr>
          <w:rFonts w:hint="eastAsia"/>
          <w:i w:val="0"/>
          <w:iCs w:val="0"/>
          <w:snapToGrid w:val="0"/>
          <w:color w:val="auto"/>
          <w:highlight w:val="none"/>
          <w:lang w:val="zh-CN"/>
        </w:rPr>
        <w:t>确定成交供应商详见“供应商须知前附表”。</w:t>
      </w:r>
    </w:p>
    <w:p w14:paraId="4B64349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29.成交结果公告</w:t>
      </w:r>
    </w:p>
    <w:p w14:paraId="165444EA">
      <w:pPr>
        <w:pStyle w:val="40"/>
        <w:keepNext w:val="0"/>
        <w:keepLines w:val="0"/>
        <w:pageBreakBefore w:val="0"/>
        <w:widowControl w:val="0"/>
        <w:kinsoku/>
        <w:overflowPunct/>
        <w:topLinePunct w:val="0"/>
        <w:bidi w:val="0"/>
        <w:ind w:firstLine="480"/>
        <w:textAlignment w:val="auto"/>
        <w:rPr>
          <w:i w:val="0"/>
          <w:iCs w:val="0"/>
          <w:color w:val="auto"/>
          <w:highlight w:val="none"/>
          <w:lang w:bidi="ar"/>
        </w:rPr>
      </w:pPr>
      <w:r>
        <w:rPr>
          <w:rFonts w:hint="eastAsia" w:cs="仿宋_GB2312"/>
          <w:i w:val="0"/>
          <w:iCs w:val="0"/>
          <w:snapToGrid w:val="0"/>
          <w:color w:val="auto"/>
          <w:highlight w:val="none"/>
          <w:lang w:val="en-US" w:eastAsia="zh-CN"/>
        </w:rPr>
        <w:t>29</w:t>
      </w:r>
      <w:r>
        <w:rPr>
          <w:rFonts w:hint="eastAsia" w:cs="仿宋_GB2312"/>
          <w:i w:val="0"/>
          <w:iCs w:val="0"/>
          <w:snapToGrid w:val="0"/>
          <w:color w:val="auto"/>
          <w:highlight w:val="none"/>
          <w:lang w:val="zh-CN"/>
        </w:rPr>
        <w:t>.</w:t>
      </w:r>
      <w:r>
        <w:rPr>
          <w:rFonts w:cs="仿宋_GB2312"/>
          <w:i w:val="0"/>
          <w:iCs w:val="0"/>
          <w:snapToGrid w:val="0"/>
          <w:color w:val="auto"/>
          <w:highlight w:val="none"/>
          <w:lang w:val="zh-CN"/>
        </w:rPr>
        <w:t>1</w:t>
      </w:r>
      <w:r>
        <w:rPr>
          <w:i w:val="0"/>
          <w:iCs w:val="0"/>
          <w:color w:val="auto"/>
          <w:highlight w:val="none"/>
          <w:lang w:bidi="ar"/>
        </w:rPr>
        <w:t>采购人或者采购代理机构应当在成交供应商确定后2个工作日内，在省级以上财政部门指定的政府采购信息发布媒体上公告成交结果，磋商文件</w:t>
      </w:r>
      <w:r>
        <w:rPr>
          <w:rFonts w:hint="eastAsia"/>
          <w:i w:val="0"/>
          <w:iCs w:val="0"/>
          <w:color w:val="auto"/>
          <w:highlight w:val="none"/>
          <w:lang w:eastAsia="zh-CN" w:bidi="ar"/>
        </w:rPr>
        <w:t>、</w:t>
      </w:r>
      <w:r>
        <w:rPr>
          <w:rFonts w:hint="eastAsia"/>
          <w:bCs/>
          <w:i w:val="0"/>
          <w:iCs w:val="0"/>
          <w:color w:val="auto"/>
          <w:highlight w:val="none"/>
          <w:lang w:eastAsia="zh-CN"/>
        </w:rPr>
        <w:t>成交</w:t>
      </w:r>
      <w:r>
        <w:rPr>
          <w:rFonts w:hint="eastAsia"/>
          <w:bCs/>
          <w:i w:val="0"/>
          <w:iCs w:val="0"/>
          <w:color w:val="auto"/>
          <w:highlight w:val="none"/>
          <w:lang w:val="en-US" w:eastAsia="zh-CN"/>
        </w:rPr>
        <w:t>供应商</w:t>
      </w:r>
      <w:r>
        <w:rPr>
          <w:rFonts w:hint="eastAsia" w:ascii="宋体" w:hAnsi="宋体" w:eastAsia="宋体"/>
          <w:bCs/>
          <w:i w:val="0"/>
          <w:iCs w:val="0"/>
          <w:color w:val="auto"/>
          <w:highlight w:val="none"/>
          <w:lang w:val="en-US" w:eastAsia="zh-CN"/>
        </w:rPr>
        <w:t>的评审总得分</w:t>
      </w:r>
      <w:r>
        <w:rPr>
          <w:i w:val="0"/>
          <w:iCs w:val="0"/>
          <w:color w:val="auto"/>
          <w:highlight w:val="none"/>
          <w:lang w:bidi="ar"/>
        </w:rPr>
        <w:t>随成交结果同时公告。</w:t>
      </w:r>
    </w:p>
    <w:p w14:paraId="31CA8053">
      <w:pPr>
        <w:pStyle w:val="40"/>
        <w:keepNext w:val="0"/>
        <w:keepLines w:val="0"/>
        <w:pageBreakBefore w:val="0"/>
        <w:widowControl w:val="0"/>
        <w:kinsoku/>
        <w:overflowPunct/>
        <w:topLinePunct w:val="0"/>
        <w:bidi w:val="0"/>
        <w:ind w:firstLine="480"/>
        <w:textAlignment w:val="auto"/>
        <w:rPr>
          <w:i w:val="0"/>
          <w:iCs w:val="0"/>
          <w:color w:val="auto"/>
          <w:highlight w:val="none"/>
          <w:lang w:bidi="ar"/>
        </w:rPr>
      </w:pPr>
      <w:r>
        <w:rPr>
          <w:rFonts w:hint="eastAsia"/>
          <w:bCs/>
          <w:i w:val="0"/>
          <w:iCs w:val="0"/>
          <w:color w:val="auto"/>
          <w:highlight w:val="none"/>
          <w:lang w:val="en-US" w:eastAsia="zh-CN"/>
        </w:rPr>
        <w:t>29</w:t>
      </w:r>
      <w:r>
        <w:rPr>
          <w:bCs/>
          <w:i w:val="0"/>
          <w:iCs w:val="0"/>
          <w:color w:val="auto"/>
          <w:highlight w:val="none"/>
        </w:rPr>
        <w:t>.2</w:t>
      </w:r>
      <w:r>
        <w:rPr>
          <w:rFonts w:hint="eastAsia"/>
          <w:bCs/>
          <w:i w:val="0"/>
          <w:iCs w:val="0"/>
          <w:color w:val="auto"/>
          <w:highlight w:val="none"/>
          <w:lang w:eastAsia="zh-CN"/>
        </w:rPr>
        <w:t>成交</w:t>
      </w:r>
      <w:r>
        <w:rPr>
          <w:rFonts w:hint="eastAsia"/>
          <w:bCs/>
          <w:i w:val="0"/>
          <w:iCs w:val="0"/>
          <w:color w:val="auto"/>
          <w:highlight w:val="none"/>
          <w:lang w:val="en-US" w:eastAsia="zh-CN"/>
        </w:rPr>
        <w:t>人</w:t>
      </w:r>
      <w:r>
        <w:rPr>
          <w:rFonts w:hint="eastAsia"/>
          <w:bCs/>
          <w:i w:val="0"/>
          <w:iCs w:val="0"/>
          <w:color w:val="auto"/>
          <w:highlight w:val="none"/>
          <w:lang w:eastAsia="zh-CN"/>
        </w:rPr>
        <w:t>为中小企业</w:t>
      </w:r>
      <w:r>
        <w:rPr>
          <w:rFonts w:hint="eastAsia"/>
          <w:bCs/>
          <w:i w:val="0"/>
          <w:iCs w:val="0"/>
          <w:color w:val="auto"/>
          <w:highlight w:val="none"/>
          <w:lang w:val="en-US" w:eastAsia="zh-CN"/>
        </w:rPr>
        <w:t>享受中小企业扶持政策的</w:t>
      </w:r>
      <w:r>
        <w:rPr>
          <w:rFonts w:hint="eastAsia"/>
          <w:bCs/>
          <w:i w:val="0"/>
          <w:iCs w:val="0"/>
          <w:color w:val="auto"/>
          <w:highlight w:val="none"/>
          <w:lang w:eastAsia="zh-CN"/>
        </w:rPr>
        <w:t>，其“中小企业声明函”随成交结果同时公告。成交</w:t>
      </w:r>
      <w:r>
        <w:rPr>
          <w:rFonts w:hint="eastAsia"/>
          <w:bCs/>
          <w:i w:val="0"/>
          <w:iCs w:val="0"/>
          <w:color w:val="auto"/>
          <w:highlight w:val="none"/>
          <w:lang w:val="en-US" w:eastAsia="zh-CN"/>
        </w:rPr>
        <w:t>人</w:t>
      </w:r>
      <w:r>
        <w:rPr>
          <w:rFonts w:hint="eastAsia"/>
          <w:bCs/>
          <w:i w:val="0"/>
          <w:iCs w:val="0"/>
          <w:color w:val="auto"/>
          <w:highlight w:val="none"/>
          <w:lang w:eastAsia="zh-CN"/>
        </w:rPr>
        <w:t>为残疾人福利性单位的</w:t>
      </w:r>
      <w:r>
        <w:rPr>
          <w:rFonts w:hint="eastAsia" w:ascii="宋体" w:hAnsi="宋体" w:eastAsia="宋体"/>
          <w:bCs/>
          <w:i w:val="0"/>
          <w:iCs w:val="0"/>
          <w:color w:val="auto"/>
          <w:highlight w:val="none"/>
          <w:lang w:eastAsia="zh-CN"/>
        </w:rPr>
        <w:t>，其</w:t>
      </w:r>
      <w:r>
        <w:rPr>
          <w:rFonts w:hint="eastAsia"/>
          <w:bCs/>
          <w:i w:val="0"/>
          <w:iCs w:val="0"/>
          <w:color w:val="auto"/>
          <w:highlight w:val="none"/>
          <w:lang w:eastAsia="zh-CN"/>
        </w:rPr>
        <w:t>“</w:t>
      </w:r>
      <w:r>
        <w:rPr>
          <w:rFonts w:hint="eastAsia" w:ascii="宋体" w:hAnsi="宋体" w:eastAsia="宋体"/>
          <w:bCs/>
          <w:i w:val="0"/>
          <w:iCs w:val="0"/>
          <w:color w:val="auto"/>
          <w:highlight w:val="none"/>
          <w:lang w:eastAsia="zh-CN"/>
        </w:rPr>
        <w:t>残疾人福利性单位声明函</w:t>
      </w:r>
      <w:r>
        <w:rPr>
          <w:rFonts w:hint="eastAsia"/>
          <w:bCs/>
          <w:i w:val="0"/>
          <w:iCs w:val="0"/>
          <w:color w:val="auto"/>
          <w:highlight w:val="none"/>
          <w:lang w:eastAsia="zh-CN"/>
        </w:rPr>
        <w:t>”</w:t>
      </w:r>
      <w:r>
        <w:rPr>
          <w:rFonts w:hint="eastAsia" w:ascii="宋体" w:hAnsi="宋体" w:eastAsia="宋体"/>
          <w:bCs/>
          <w:i w:val="0"/>
          <w:iCs w:val="0"/>
          <w:color w:val="auto"/>
          <w:highlight w:val="none"/>
          <w:lang w:eastAsia="zh-CN"/>
        </w:rPr>
        <w:t>随成交结果同时公告</w:t>
      </w:r>
      <w:r>
        <w:rPr>
          <w:rFonts w:hint="eastAsia"/>
          <w:i w:val="0"/>
          <w:iCs w:val="0"/>
          <w:color w:val="auto"/>
          <w:highlight w:val="none"/>
          <w:lang w:bidi="ar"/>
        </w:rPr>
        <w:t>。</w:t>
      </w:r>
    </w:p>
    <w:p w14:paraId="4CB6B367">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30.成交通知书</w:t>
      </w:r>
    </w:p>
    <w:p w14:paraId="3F3AC502">
      <w:pPr>
        <w:pStyle w:val="40"/>
        <w:keepNext w:val="0"/>
        <w:keepLines w:val="0"/>
        <w:pageBreakBefore w:val="0"/>
        <w:widowControl w:val="0"/>
        <w:kinsoku/>
        <w:overflowPunct/>
        <w:topLinePunct w:val="0"/>
        <w:bidi w:val="0"/>
        <w:ind w:firstLine="480"/>
        <w:textAlignment w:val="auto"/>
        <w:rPr>
          <w:rFonts w:cs="仿宋_GB2312"/>
          <w:i w:val="0"/>
          <w:iCs w:val="0"/>
          <w:snapToGrid w:val="0"/>
          <w:color w:val="auto"/>
          <w:highlight w:val="none"/>
          <w:lang w:val="zh-CN"/>
        </w:rPr>
      </w:pPr>
      <w:r>
        <w:rPr>
          <w:rFonts w:hint="eastAsia" w:cs="仿宋_GB2312"/>
          <w:i w:val="0"/>
          <w:iCs w:val="0"/>
          <w:snapToGrid w:val="0"/>
          <w:color w:val="auto"/>
          <w:highlight w:val="none"/>
          <w:lang w:val="en-US" w:eastAsia="zh-CN"/>
        </w:rPr>
        <w:t>30</w:t>
      </w:r>
      <w:r>
        <w:rPr>
          <w:rFonts w:cs="仿宋_GB2312"/>
          <w:i w:val="0"/>
          <w:iCs w:val="0"/>
          <w:snapToGrid w:val="0"/>
          <w:color w:val="auto"/>
          <w:highlight w:val="none"/>
          <w:lang w:val="zh-CN"/>
        </w:rPr>
        <w:t>.1</w:t>
      </w:r>
      <w:r>
        <w:rPr>
          <w:rFonts w:hint="eastAsia" w:cs="仿宋_GB2312"/>
          <w:i w:val="0"/>
          <w:iCs w:val="0"/>
          <w:snapToGrid w:val="0"/>
          <w:color w:val="auto"/>
          <w:highlight w:val="none"/>
          <w:lang w:val="zh-CN"/>
        </w:rPr>
        <w:t>发布成交结果公告同时向成交供应商发出成交通知书。成交通知书是合同的组成部分,对成交供应商和采购人具有同等法律效力。</w:t>
      </w:r>
    </w:p>
    <w:p w14:paraId="3E2C2D81">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9" w:name="_Toc27222"/>
      <w:bookmarkStart w:id="320" w:name="_Toc163493617"/>
      <w:r>
        <w:rPr>
          <w:rFonts w:hint="eastAsia" w:ascii="宋体" w:hAnsi="宋体" w:eastAsia="宋体" w:cs="宋体"/>
          <w:b/>
          <w:bCs/>
          <w:color w:val="auto"/>
          <w:kern w:val="2"/>
          <w:sz w:val="24"/>
          <w:szCs w:val="24"/>
          <w:highlight w:val="none"/>
          <w:lang w:val="en-US" w:eastAsia="zh-CN" w:bidi="ar-SA"/>
        </w:rPr>
        <w:t>（九）签订合同</w:t>
      </w:r>
      <w:bookmarkEnd w:id="319"/>
      <w:bookmarkEnd w:id="320"/>
    </w:p>
    <w:p w14:paraId="6F871425">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1" w:name="_Toc48688821"/>
      <w:bookmarkStart w:id="322" w:name="_Toc109897466"/>
      <w:bookmarkStart w:id="323" w:name="_Toc51674243"/>
      <w:bookmarkStart w:id="324" w:name="_Toc109899565"/>
      <w:bookmarkStart w:id="325" w:name="_Toc48846141"/>
      <w:bookmarkStart w:id="326" w:name="_Toc52962759"/>
      <w:bookmarkStart w:id="327" w:name="_Toc46772273"/>
      <w:bookmarkStart w:id="328" w:name="_Toc109900403"/>
      <w:bookmarkStart w:id="329" w:name="_Toc52960585"/>
      <w:bookmarkStart w:id="330" w:name="_Toc109899984"/>
      <w:bookmarkStart w:id="331" w:name="_Toc46771672"/>
      <w:r>
        <w:rPr>
          <w:rFonts w:hint="eastAsia" w:ascii="宋体" w:hAnsi="宋体" w:eastAsia="宋体" w:cs="宋体"/>
          <w:b/>
          <w:bCs/>
          <w:color w:val="auto"/>
          <w:kern w:val="2"/>
          <w:sz w:val="24"/>
          <w:szCs w:val="24"/>
          <w:highlight w:val="none"/>
          <w:lang w:val="en-US" w:eastAsia="zh-CN" w:bidi="ar-SA"/>
        </w:rPr>
        <w:t>31.履约保证金</w:t>
      </w:r>
    </w:p>
    <w:p w14:paraId="2934878C">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1</w:t>
      </w:r>
      <w:r>
        <w:rPr>
          <w:i w:val="0"/>
          <w:iCs w:val="0"/>
          <w:color w:val="auto"/>
          <w:highlight w:val="none"/>
        </w:rPr>
        <w:t>.1在签订合同前，</w:t>
      </w:r>
      <w:r>
        <w:rPr>
          <w:rFonts w:hint="eastAsia"/>
          <w:i w:val="0"/>
          <w:iCs w:val="0"/>
          <w:color w:val="auto"/>
          <w:highlight w:val="none"/>
        </w:rPr>
        <w:t>成交供应商</w:t>
      </w:r>
      <w:r>
        <w:rPr>
          <w:i w:val="0"/>
          <w:iCs w:val="0"/>
          <w:color w:val="auto"/>
          <w:highlight w:val="none"/>
        </w:rPr>
        <w:t>应按“</w:t>
      </w:r>
      <w:r>
        <w:rPr>
          <w:rFonts w:hint="eastAsia"/>
          <w:i w:val="0"/>
          <w:iCs w:val="0"/>
          <w:color w:val="auto"/>
          <w:highlight w:val="none"/>
        </w:rPr>
        <w:t>供应商</w:t>
      </w:r>
      <w:r>
        <w:rPr>
          <w:i w:val="0"/>
          <w:iCs w:val="0"/>
          <w:color w:val="auto"/>
          <w:highlight w:val="none"/>
        </w:rPr>
        <w:t>须知前附表”规定的金额、担保形式和采购人认可的履约担保格式向采购人提交履约保证金。</w:t>
      </w:r>
    </w:p>
    <w:p w14:paraId="429BB4A0">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1</w:t>
      </w:r>
      <w:r>
        <w:rPr>
          <w:i w:val="0"/>
          <w:iCs w:val="0"/>
          <w:color w:val="auto"/>
          <w:highlight w:val="none"/>
        </w:rPr>
        <w:t>.2</w:t>
      </w:r>
      <w:r>
        <w:rPr>
          <w:rFonts w:hint="eastAsia"/>
          <w:i w:val="0"/>
          <w:iCs w:val="0"/>
          <w:color w:val="auto"/>
          <w:highlight w:val="none"/>
        </w:rPr>
        <w:t>成交供应商</w:t>
      </w:r>
      <w:r>
        <w:rPr>
          <w:i w:val="0"/>
          <w:iCs w:val="0"/>
          <w:color w:val="auto"/>
          <w:highlight w:val="none"/>
        </w:rPr>
        <w:t>不能按本章第3</w:t>
      </w:r>
      <w:r>
        <w:rPr>
          <w:rFonts w:hint="eastAsia"/>
          <w:i w:val="0"/>
          <w:iCs w:val="0"/>
          <w:color w:val="auto"/>
          <w:highlight w:val="none"/>
          <w:lang w:val="en-US" w:eastAsia="zh-CN"/>
        </w:rPr>
        <w:t>1</w:t>
      </w:r>
      <w:r>
        <w:rPr>
          <w:i w:val="0"/>
          <w:iCs w:val="0"/>
          <w:color w:val="auto"/>
          <w:highlight w:val="none"/>
        </w:rPr>
        <w:t>.1项要求提交履约担保的，视为放弃</w:t>
      </w:r>
      <w:r>
        <w:rPr>
          <w:rFonts w:hint="eastAsia"/>
          <w:i w:val="0"/>
          <w:iCs w:val="0"/>
          <w:color w:val="auto"/>
          <w:highlight w:val="none"/>
        </w:rPr>
        <w:t>成交</w:t>
      </w:r>
      <w:r>
        <w:rPr>
          <w:i w:val="0"/>
          <w:iCs w:val="0"/>
          <w:color w:val="auto"/>
          <w:highlight w:val="none"/>
        </w:rPr>
        <w:t>，给采购人造成损失的，</w:t>
      </w:r>
      <w:r>
        <w:rPr>
          <w:rFonts w:hint="eastAsia"/>
          <w:i w:val="0"/>
          <w:iCs w:val="0"/>
          <w:color w:val="auto"/>
          <w:highlight w:val="none"/>
        </w:rPr>
        <w:t>成交供应商</w:t>
      </w:r>
      <w:r>
        <w:rPr>
          <w:i w:val="0"/>
          <w:iCs w:val="0"/>
          <w:color w:val="auto"/>
          <w:highlight w:val="none"/>
        </w:rPr>
        <w:t>还应当承担民事责任。</w:t>
      </w:r>
    </w:p>
    <w:p w14:paraId="2B0382DC">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32.签订合同</w:t>
      </w:r>
      <w:bookmarkEnd w:id="321"/>
      <w:bookmarkEnd w:id="322"/>
      <w:bookmarkEnd w:id="323"/>
      <w:bookmarkEnd w:id="324"/>
      <w:bookmarkEnd w:id="325"/>
      <w:bookmarkEnd w:id="326"/>
      <w:bookmarkEnd w:id="327"/>
      <w:bookmarkEnd w:id="328"/>
      <w:bookmarkEnd w:id="329"/>
      <w:bookmarkEnd w:id="330"/>
      <w:bookmarkEnd w:id="331"/>
    </w:p>
    <w:p w14:paraId="3E1F8F97">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snapToGrid w:val="0"/>
          <w:color w:val="auto"/>
          <w:highlight w:val="none"/>
          <w:lang w:val="zh-CN"/>
        </w:rPr>
        <w:t>3</w:t>
      </w:r>
      <w:r>
        <w:rPr>
          <w:rFonts w:hint="eastAsia"/>
          <w:i w:val="0"/>
          <w:iCs w:val="0"/>
          <w:snapToGrid w:val="0"/>
          <w:color w:val="auto"/>
          <w:highlight w:val="none"/>
          <w:lang w:val="en-US" w:eastAsia="zh-CN"/>
        </w:rPr>
        <w:t>2</w:t>
      </w:r>
      <w:r>
        <w:rPr>
          <w:i w:val="0"/>
          <w:iCs w:val="0"/>
          <w:snapToGrid w:val="0"/>
          <w:color w:val="auto"/>
          <w:highlight w:val="none"/>
          <w:lang w:val="zh-CN"/>
        </w:rPr>
        <w:t>.1</w:t>
      </w:r>
      <w:r>
        <w:rPr>
          <w:rFonts w:hint="eastAsia"/>
          <w:i w:val="0"/>
          <w:iCs w:val="0"/>
          <w:snapToGrid w:val="0"/>
          <w:color w:val="auto"/>
          <w:highlight w:val="none"/>
          <w:lang w:val="zh-CN"/>
        </w:rPr>
        <w:t>采购人与成交供应商应当在成交通知书发出之日起</w:t>
      </w:r>
      <w:r>
        <w:rPr>
          <w:rFonts w:hint="eastAsia"/>
          <w:i w:val="0"/>
          <w:iCs w:val="0"/>
          <w:snapToGrid w:val="0"/>
          <w:color w:val="auto"/>
          <w:highlight w:val="none"/>
          <w:lang w:val="en-US" w:eastAsia="zh-CN"/>
        </w:rPr>
        <w:t>25</w:t>
      </w:r>
      <w:r>
        <w:rPr>
          <w:rFonts w:hint="eastAsia"/>
          <w:i w:val="0"/>
          <w:iCs w:val="0"/>
          <w:snapToGrid w:val="0"/>
          <w:color w:val="auto"/>
          <w:highlight w:val="none"/>
          <w:lang w:val="zh-CN"/>
        </w:rPr>
        <w:t>日内，按照磋商文件确定的合同文本以及采购标的、规格型号、采购金额、采购数量、技术和服务要求等事项签订政府采购合同。</w:t>
      </w:r>
      <w:r>
        <w:rPr>
          <w:rFonts w:hint="eastAsia"/>
          <w:i w:val="0"/>
          <w:iCs w:val="0"/>
          <w:color w:val="auto"/>
          <w:highlight w:val="none"/>
        </w:rPr>
        <w:t>采购人因不可抗力原因迟延签订合同的，应当自不可抗力事由消除之日起</w:t>
      </w:r>
      <w:r>
        <w:rPr>
          <w:i w:val="0"/>
          <w:iCs w:val="0"/>
          <w:color w:val="auto"/>
          <w:highlight w:val="none"/>
        </w:rPr>
        <w:t>7日内完成合同签订事宜。</w:t>
      </w:r>
      <w:r>
        <w:rPr>
          <w:rFonts w:hint="eastAsia"/>
          <w:i w:val="0"/>
          <w:iCs w:val="0"/>
          <w:color w:val="auto"/>
          <w:highlight w:val="none"/>
        </w:rPr>
        <w:t>所签订的合同不得对</w:t>
      </w:r>
      <w:r>
        <w:rPr>
          <w:rFonts w:hint="eastAsia"/>
          <w:i w:val="0"/>
          <w:iCs w:val="0"/>
          <w:color w:val="auto"/>
          <w:highlight w:val="none"/>
          <w:lang w:val="en-US" w:eastAsia="zh-CN"/>
        </w:rPr>
        <w:t>磋商</w:t>
      </w:r>
      <w:r>
        <w:rPr>
          <w:rFonts w:hint="eastAsia"/>
          <w:i w:val="0"/>
          <w:iCs w:val="0"/>
          <w:color w:val="auto"/>
          <w:highlight w:val="none"/>
        </w:rPr>
        <w:t>文件和</w:t>
      </w:r>
      <w:r>
        <w:rPr>
          <w:rFonts w:hint="eastAsia"/>
          <w:i w:val="0"/>
          <w:iCs w:val="0"/>
          <w:color w:val="auto"/>
          <w:highlight w:val="none"/>
          <w:lang w:val="en-US" w:eastAsia="zh-CN"/>
        </w:rPr>
        <w:t>成交供应商响应</w:t>
      </w:r>
      <w:r>
        <w:rPr>
          <w:rFonts w:hint="eastAsia"/>
          <w:i w:val="0"/>
          <w:iCs w:val="0"/>
          <w:color w:val="auto"/>
          <w:highlight w:val="none"/>
        </w:rPr>
        <w:t>文件作实质性修改。</w:t>
      </w:r>
      <w:r>
        <w:rPr>
          <w:rFonts w:hint="eastAsia"/>
          <w:i w:val="0"/>
          <w:iCs w:val="0"/>
          <w:color w:val="auto"/>
          <w:highlight w:val="none"/>
          <w:lang w:val="en-US" w:eastAsia="zh-CN"/>
        </w:rPr>
        <w:t>成交</w:t>
      </w:r>
      <w:r>
        <w:rPr>
          <w:rFonts w:hint="eastAsia"/>
          <w:i w:val="0"/>
          <w:iCs w:val="0"/>
          <w:color w:val="auto"/>
          <w:highlight w:val="none"/>
        </w:rPr>
        <w:t>人无正当理由拒签合同，给采购人造成损失的，</w:t>
      </w:r>
      <w:r>
        <w:rPr>
          <w:rFonts w:hint="eastAsia"/>
          <w:i w:val="0"/>
          <w:iCs w:val="0"/>
          <w:color w:val="auto"/>
          <w:highlight w:val="none"/>
          <w:lang w:val="en-US" w:eastAsia="zh-CN"/>
        </w:rPr>
        <w:t>成交</w:t>
      </w:r>
      <w:r>
        <w:rPr>
          <w:rFonts w:hint="eastAsia"/>
          <w:i w:val="0"/>
          <w:iCs w:val="0"/>
          <w:color w:val="auto"/>
          <w:highlight w:val="none"/>
        </w:rPr>
        <w:t>人还应当承担民事责任。</w:t>
      </w:r>
    </w:p>
    <w:p w14:paraId="4F6A5CF0">
      <w:pPr>
        <w:pStyle w:val="40"/>
        <w:keepNext w:val="0"/>
        <w:keepLines w:val="0"/>
        <w:pageBreakBefore w:val="0"/>
        <w:widowControl w:val="0"/>
        <w:kinsoku/>
        <w:overflowPunct/>
        <w:topLinePunct w:val="0"/>
        <w:bidi w:val="0"/>
        <w:ind w:firstLine="480"/>
        <w:textAlignment w:val="auto"/>
        <w:rPr>
          <w:i w:val="0"/>
          <w:iCs w:val="0"/>
          <w:color w:val="auto"/>
          <w:highlight w:val="none"/>
          <w:lang w:val="zh-CN"/>
        </w:rPr>
      </w:pPr>
      <w:r>
        <w:rPr>
          <w:i w:val="0"/>
          <w:iCs w:val="0"/>
          <w:color w:val="auto"/>
          <w:highlight w:val="none"/>
        </w:rPr>
        <w:t>3</w:t>
      </w:r>
      <w:r>
        <w:rPr>
          <w:rFonts w:hint="eastAsia"/>
          <w:i w:val="0"/>
          <w:iCs w:val="0"/>
          <w:color w:val="auto"/>
          <w:highlight w:val="none"/>
          <w:lang w:val="en-US" w:eastAsia="zh-CN"/>
        </w:rPr>
        <w:t>2</w:t>
      </w:r>
      <w:r>
        <w:rPr>
          <w:i w:val="0"/>
          <w:iCs w:val="0"/>
          <w:color w:val="auto"/>
          <w:highlight w:val="none"/>
        </w:rPr>
        <w:t>.2</w:t>
      </w:r>
      <w:r>
        <w:rPr>
          <w:rFonts w:hint="eastAsia"/>
          <w:i w:val="0"/>
          <w:iCs w:val="0"/>
          <w:color w:val="auto"/>
          <w:highlight w:val="none"/>
          <w:lang w:val="zh-CN"/>
        </w:rPr>
        <w:t>成交供应商拒绝签订政府采购合同的，采购人可以</w:t>
      </w:r>
      <w:r>
        <w:rPr>
          <w:rFonts w:hint="eastAsia"/>
          <w:i w:val="0"/>
          <w:iCs w:val="0"/>
          <w:color w:val="auto"/>
          <w:highlight w:val="none"/>
          <w:lang w:val="en-US" w:eastAsia="zh-CN"/>
        </w:rPr>
        <w:t>按照</w:t>
      </w:r>
      <w:r>
        <w:rPr>
          <w:rFonts w:hint="eastAsia"/>
          <w:i w:val="0"/>
          <w:iCs w:val="0"/>
          <w:color w:val="auto"/>
          <w:highlight w:val="none"/>
          <w:lang w:val="zh-CN"/>
        </w:rPr>
        <w:t>《政府采购竞争性磋商采购方式管理暂行办法》（财库</w:t>
      </w:r>
      <w:r>
        <w:rPr>
          <w:rFonts w:hint="eastAsia" w:ascii="仿宋" w:hAnsi="仿宋" w:eastAsia="仿宋" w:cs="仿宋"/>
          <w:i w:val="0"/>
          <w:iCs w:val="0"/>
          <w:color w:val="auto"/>
          <w:highlight w:val="none"/>
          <w:lang w:val="zh-CN"/>
        </w:rPr>
        <w:t>〔</w:t>
      </w:r>
      <w:r>
        <w:rPr>
          <w:rFonts w:hint="eastAsia"/>
          <w:i w:val="0"/>
          <w:iCs w:val="0"/>
          <w:color w:val="auto"/>
          <w:highlight w:val="none"/>
          <w:lang w:val="zh-CN"/>
        </w:rPr>
        <w:t>2014</w:t>
      </w:r>
      <w:r>
        <w:rPr>
          <w:rFonts w:hint="eastAsia" w:ascii="仿宋" w:hAnsi="仿宋" w:eastAsia="仿宋" w:cs="仿宋"/>
          <w:i w:val="0"/>
          <w:iCs w:val="0"/>
          <w:color w:val="auto"/>
          <w:highlight w:val="none"/>
          <w:lang w:val="zh-CN"/>
        </w:rPr>
        <w:t>〕</w:t>
      </w:r>
      <w:r>
        <w:rPr>
          <w:rFonts w:hint="eastAsia"/>
          <w:i w:val="0"/>
          <w:iCs w:val="0"/>
          <w:color w:val="auto"/>
          <w:highlight w:val="none"/>
          <w:lang w:val="zh-CN"/>
        </w:rPr>
        <w:t>214号）第二十八条第二款的规定确定其他供应商作为成交供应商并签订政府采购合同，也可以重新开展采购活动。拒绝签订政府采购合同的成交供应商不得参加对该项目重新开展的采购活动。</w:t>
      </w:r>
    </w:p>
    <w:p w14:paraId="2EAB2D84">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2</w:t>
      </w:r>
      <w:r>
        <w:rPr>
          <w:bCs/>
          <w:i w:val="0"/>
          <w:iCs w:val="0"/>
          <w:color w:val="auto"/>
          <w:highlight w:val="none"/>
        </w:rPr>
        <w:t>.3</w:t>
      </w:r>
      <w:r>
        <w:rPr>
          <w:rFonts w:hint="eastAsia"/>
          <w:i w:val="0"/>
          <w:iCs w:val="0"/>
          <w:color w:val="auto"/>
          <w:highlight w:val="none"/>
        </w:rPr>
        <w:t>采购人和</w:t>
      </w:r>
      <w:r>
        <w:rPr>
          <w:rFonts w:hint="eastAsia"/>
          <w:i w:val="0"/>
          <w:iCs w:val="0"/>
          <w:color w:val="auto"/>
          <w:highlight w:val="none"/>
          <w:lang w:val="en-US" w:eastAsia="zh-CN"/>
        </w:rPr>
        <w:t>成交</w:t>
      </w:r>
      <w:r>
        <w:rPr>
          <w:rFonts w:hint="eastAsia"/>
          <w:i w:val="0"/>
          <w:iCs w:val="0"/>
          <w:color w:val="auto"/>
          <w:highlight w:val="none"/>
        </w:rPr>
        <w:t>供应商不得向对方提出任何不合理的要求，作为签订合同的条件，双方不得私下订立背离合同实质性内容的协议。</w:t>
      </w:r>
    </w:p>
    <w:p w14:paraId="0EC5E584">
      <w:pPr>
        <w:pStyle w:val="40"/>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32.4联合体成交的，联合体各方应当共同与采购人签订合同，就采购合同约定的事项向采购人承担连带责任。</w:t>
      </w:r>
    </w:p>
    <w:p w14:paraId="137E1005">
      <w:pPr>
        <w:pStyle w:val="40"/>
        <w:keepNext w:val="0"/>
        <w:keepLines w:val="0"/>
        <w:pageBreakBefore w:val="0"/>
        <w:widowControl w:val="0"/>
        <w:kinsoku/>
        <w:overflowPunct/>
        <w:topLinePunct w:val="0"/>
        <w:bidi w:val="0"/>
        <w:ind w:firstLine="480"/>
        <w:textAlignment w:val="auto"/>
        <w:rPr>
          <w:rFonts w:hint="eastAsia"/>
          <w:b/>
          <w:bCs/>
          <w:i w:val="0"/>
          <w:iCs w:val="0"/>
          <w:color w:val="auto"/>
          <w:highlight w:val="none"/>
          <w:lang w:val="en-US" w:eastAsia="zh-CN"/>
        </w:rPr>
      </w:pPr>
      <w:r>
        <w:rPr>
          <w:rFonts w:hint="eastAsia"/>
          <w:i w:val="0"/>
          <w:iCs w:val="0"/>
          <w:color w:val="auto"/>
          <w:highlight w:val="none"/>
          <w:lang w:val="en-US" w:eastAsia="zh-CN"/>
        </w:rPr>
        <w:t>32.5本项目的非主体、非关键性工作是否允许分包，见“供应商须知前附表”。</w:t>
      </w:r>
      <w:r>
        <w:rPr>
          <w:rFonts w:hint="eastAsia"/>
          <w:i w:val="0"/>
          <w:iCs w:val="0"/>
          <w:color w:val="auto"/>
          <w:highlight w:val="none"/>
        </w:rPr>
        <w:t>供应商未遵守竞争性磋商文件分包规定的，其</w:t>
      </w:r>
      <w:r>
        <w:rPr>
          <w:rFonts w:hint="eastAsia"/>
          <w:b/>
          <w:bCs/>
          <w:i w:val="0"/>
          <w:iCs w:val="0"/>
          <w:color w:val="auto"/>
          <w:highlight w:val="none"/>
        </w:rPr>
        <w:t>响应无效</w:t>
      </w:r>
      <w:r>
        <w:rPr>
          <w:rFonts w:hint="eastAsia"/>
          <w:i w:val="0"/>
          <w:iCs w:val="0"/>
          <w:color w:val="auto"/>
          <w:highlight w:val="none"/>
        </w:rPr>
        <w:t>。</w:t>
      </w:r>
      <w:r>
        <w:rPr>
          <w:rFonts w:hint="eastAsia"/>
          <w:i w:val="0"/>
          <w:iCs w:val="0"/>
          <w:color w:val="auto"/>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b/>
          <w:bCs/>
          <w:i w:val="0"/>
          <w:iCs w:val="0"/>
          <w:color w:val="auto"/>
          <w:highlight w:val="none"/>
          <w:lang w:val="en-US" w:eastAsia="zh-CN"/>
        </w:rPr>
        <w:t>成交无效</w:t>
      </w:r>
      <w:r>
        <w:rPr>
          <w:rFonts w:hint="eastAsia"/>
          <w:i w:val="0"/>
          <w:iCs w:val="0"/>
          <w:color w:val="auto"/>
          <w:highlight w:val="none"/>
          <w:lang w:val="en-US" w:eastAsia="zh-CN"/>
        </w:rPr>
        <w:t>。成交供应商就采购项目和分包项目向采购人负责，分包供应商就分包项目承担责任。</w:t>
      </w:r>
      <w:r>
        <w:rPr>
          <w:rFonts w:hint="eastAsia"/>
          <w:b/>
          <w:bCs/>
          <w:i w:val="0"/>
          <w:iCs w:val="0"/>
          <w:color w:val="auto"/>
          <w:highlight w:val="none"/>
          <w:lang w:val="en-US" w:eastAsia="zh-CN"/>
        </w:rPr>
        <w:t>政府采购合同不能转包。</w:t>
      </w:r>
    </w:p>
    <w:p w14:paraId="0341BE1D">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2</w:t>
      </w: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采购合同履行中，采购人需追加与合同标的相同的</w:t>
      </w:r>
      <w:r>
        <w:rPr>
          <w:rFonts w:hint="eastAsia"/>
          <w:i w:val="0"/>
          <w:iCs w:val="0"/>
          <w:color w:val="auto"/>
          <w:highlight w:val="none"/>
          <w:lang w:val="en-US" w:eastAsia="zh-CN"/>
        </w:rPr>
        <w:t>货物、工程或者服务</w:t>
      </w:r>
      <w:r>
        <w:rPr>
          <w:rFonts w:hint="eastAsia"/>
          <w:i w:val="0"/>
          <w:iCs w:val="0"/>
          <w:color w:val="auto"/>
          <w:highlight w:val="none"/>
        </w:rPr>
        <w:t>的，在不改变合同其他条款的前提下，可以与成交供应商协商签订补充合同，但所有补充合同的采购金额不得超过原合同采购金额的百分之十。</w:t>
      </w:r>
    </w:p>
    <w:p w14:paraId="43E904D8">
      <w:pPr>
        <w:pStyle w:val="40"/>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32.7</w:t>
      </w:r>
      <w:r>
        <w:rPr>
          <w:rFonts w:hint="eastAsia" w:ascii="宋体" w:hAnsi="宋体" w:eastAsia="宋体"/>
          <w:i w:val="0"/>
          <w:iCs w:val="0"/>
          <w:color w:val="auto"/>
          <w:highlight w:val="none"/>
          <w:lang w:val="en-US" w:eastAsia="zh-CN"/>
        </w:rPr>
        <w:t>采购人应于签订合同之日起2个工作日内在政采云平台备案公示。</w:t>
      </w:r>
    </w:p>
    <w:bookmarkEnd w:id="318"/>
    <w:p w14:paraId="4252B453">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2" w:name="_Toc109899566"/>
      <w:bookmarkStart w:id="333" w:name="_Toc109897467"/>
      <w:bookmarkStart w:id="334" w:name="_Toc46771673"/>
      <w:bookmarkStart w:id="335" w:name="_Toc109899985"/>
      <w:bookmarkStart w:id="336" w:name="_Toc109900404"/>
      <w:bookmarkStart w:id="337" w:name="_Toc10341"/>
      <w:bookmarkStart w:id="338" w:name="_Toc163493618"/>
      <w:bookmarkStart w:id="339" w:name="_Toc470172693"/>
      <w:r>
        <w:rPr>
          <w:rFonts w:hint="eastAsia" w:ascii="宋体" w:hAnsi="宋体" w:eastAsia="宋体" w:cs="宋体"/>
          <w:b/>
          <w:bCs/>
          <w:color w:val="auto"/>
          <w:kern w:val="2"/>
          <w:sz w:val="24"/>
          <w:szCs w:val="24"/>
          <w:highlight w:val="none"/>
          <w:lang w:val="en-US" w:eastAsia="zh-CN" w:bidi="ar-SA"/>
        </w:rPr>
        <w:t>（十）质疑和投诉</w:t>
      </w:r>
      <w:bookmarkEnd w:id="332"/>
      <w:bookmarkEnd w:id="333"/>
      <w:bookmarkEnd w:id="334"/>
      <w:bookmarkEnd w:id="335"/>
      <w:bookmarkEnd w:id="336"/>
      <w:bookmarkEnd w:id="337"/>
      <w:bookmarkEnd w:id="338"/>
    </w:p>
    <w:p w14:paraId="000ACFE7">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0" w:name="_Toc109899986"/>
      <w:bookmarkStart w:id="341" w:name="_Toc52960587"/>
      <w:bookmarkStart w:id="342" w:name="_Toc109897468"/>
      <w:bookmarkStart w:id="343" w:name="_Toc46772275"/>
      <w:bookmarkStart w:id="344" w:name="_Toc48846143"/>
      <w:bookmarkStart w:id="345" w:name="_Toc109899567"/>
      <w:bookmarkStart w:id="346" w:name="_Toc51674245"/>
      <w:bookmarkStart w:id="347" w:name="_Toc48688823"/>
      <w:bookmarkStart w:id="348" w:name="_Toc46771674"/>
      <w:bookmarkStart w:id="349" w:name="_Toc52962761"/>
      <w:bookmarkStart w:id="350" w:name="_Toc109900405"/>
      <w:r>
        <w:rPr>
          <w:rFonts w:hint="eastAsia" w:ascii="宋体" w:hAnsi="宋体" w:eastAsia="宋体" w:cs="宋体"/>
          <w:b/>
          <w:bCs/>
          <w:color w:val="auto"/>
          <w:kern w:val="2"/>
          <w:sz w:val="24"/>
          <w:szCs w:val="24"/>
          <w:highlight w:val="none"/>
          <w:lang w:val="en-US" w:eastAsia="zh-CN" w:bidi="ar-SA"/>
        </w:rPr>
        <w:t>33.质疑</w:t>
      </w:r>
      <w:bookmarkEnd w:id="340"/>
      <w:bookmarkEnd w:id="341"/>
      <w:bookmarkEnd w:id="342"/>
      <w:bookmarkEnd w:id="343"/>
      <w:bookmarkEnd w:id="344"/>
      <w:bookmarkEnd w:id="345"/>
      <w:bookmarkEnd w:id="346"/>
      <w:bookmarkEnd w:id="347"/>
      <w:bookmarkEnd w:id="348"/>
      <w:bookmarkEnd w:id="349"/>
      <w:bookmarkEnd w:id="350"/>
    </w:p>
    <w:p w14:paraId="097AA162">
      <w:pPr>
        <w:pStyle w:val="40"/>
        <w:keepNext w:val="0"/>
        <w:keepLines w:val="0"/>
        <w:pageBreakBefore w:val="0"/>
        <w:widowControl w:val="0"/>
        <w:kinsoku/>
        <w:overflowPunct/>
        <w:topLinePunct w:val="0"/>
        <w:autoSpaceDE/>
        <w:autoSpaceDN/>
        <w:bidi w:val="0"/>
        <w:adjustRightInd/>
        <w:textAlignment w:val="auto"/>
        <w:rPr>
          <w:rFonts w:hint="default"/>
          <w:i w:val="0"/>
          <w:iCs w:val="0"/>
          <w:color w:val="auto"/>
          <w:highlight w:val="none"/>
          <w:lang w:val="en-US" w:eastAsia="zh-CN"/>
        </w:rPr>
      </w:pPr>
      <w:r>
        <w:rPr>
          <w:i w:val="0"/>
          <w:iCs w:val="0"/>
          <w:snapToGrid w:val="0"/>
          <w:color w:val="auto"/>
          <w:highlight w:val="none"/>
        </w:rPr>
        <w:t>3</w:t>
      </w:r>
      <w:r>
        <w:rPr>
          <w:rFonts w:hint="eastAsia"/>
          <w:i w:val="0"/>
          <w:iCs w:val="0"/>
          <w:snapToGrid w:val="0"/>
          <w:color w:val="auto"/>
          <w:highlight w:val="none"/>
          <w:lang w:val="en-US" w:eastAsia="zh-CN"/>
        </w:rPr>
        <w:t>3</w:t>
      </w:r>
      <w:r>
        <w:rPr>
          <w:rFonts w:hint="eastAsia"/>
          <w:i w:val="0"/>
          <w:iCs w:val="0"/>
          <w:snapToGrid w:val="0"/>
          <w:color w:val="auto"/>
          <w:highlight w:val="none"/>
          <w:lang w:val="zh-CN"/>
        </w:rPr>
        <w:t>.1</w:t>
      </w:r>
      <w:r>
        <w:rPr>
          <w:rFonts w:hint="eastAsia"/>
          <w:i w:val="0"/>
          <w:iCs w:val="0"/>
          <w:color w:val="auto"/>
          <w:highlight w:val="none"/>
        </w:rPr>
        <w:t>供应商认为</w:t>
      </w:r>
      <w:r>
        <w:rPr>
          <w:rFonts w:hint="eastAsia"/>
          <w:i w:val="0"/>
          <w:iCs w:val="0"/>
          <w:color w:val="auto"/>
          <w:highlight w:val="none"/>
          <w:lang w:eastAsia="zh-CN"/>
        </w:rPr>
        <w:t>磋商</w:t>
      </w:r>
      <w:r>
        <w:rPr>
          <w:rFonts w:hint="eastAsia"/>
          <w:i w:val="0"/>
          <w:iCs w:val="0"/>
          <w:color w:val="auto"/>
          <w:highlight w:val="none"/>
        </w:rPr>
        <w:t>文件、</w:t>
      </w:r>
      <w:r>
        <w:rPr>
          <w:rFonts w:hint="eastAsia"/>
          <w:i w:val="0"/>
          <w:iCs w:val="0"/>
          <w:color w:val="auto"/>
          <w:highlight w:val="none"/>
          <w:lang w:eastAsia="zh-CN"/>
        </w:rPr>
        <w:t>评审</w:t>
      </w:r>
      <w:r>
        <w:rPr>
          <w:rFonts w:hint="eastAsia"/>
          <w:i w:val="0"/>
          <w:iCs w:val="0"/>
          <w:color w:val="auto"/>
          <w:highlight w:val="none"/>
        </w:rPr>
        <w:t>过程、成交结果使自己的权益受到损害的，可以在知道或者应知其权益受到损害之日起7个工作日内，以书面形式向采购人、采购代理机构提出质疑</w:t>
      </w:r>
      <w:r>
        <w:rPr>
          <w:rFonts w:hint="eastAsia"/>
          <w:i w:val="0"/>
          <w:iCs w:val="0"/>
          <w:color w:val="auto"/>
          <w:highlight w:val="none"/>
          <w:lang w:eastAsia="zh-CN"/>
        </w:rPr>
        <w:t>，</w:t>
      </w:r>
      <w:r>
        <w:rPr>
          <w:rFonts w:hint="eastAsia"/>
          <w:i w:val="0"/>
          <w:iCs w:val="0"/>
          <w:color w:val="auto"/>
          <w:highlight w:val="none"/>
          <w:lang w:val="en-US" w:eastAsia="zh-CN"/>
        </w:rPr>
        <w:t>详见“供应商须知前附表”</w:t>
      </w:r>
      <w:r>
        <w:rPr>
          <w:rFonts w:hint="eastAsia"/>
          <w:i w:val="0"/>
          <w:iCs w:val="0"/>
          <w:color w:val="auto"/>
          <w:highlight w:val="none"/>
        </w:rPr>
        <w:t>。供应商在法定质疑期内一次性提出针对同一采购程序环节的质疑。</w:t>
      </w:r>
    </w:p>
    <w:p w14:paraId="35972B93">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3</w:t>
      </w:r>
      <w:r>
        <w:rPr>
          <w:rFonts w:hint="eastAsia"/>
          <w:i w:val="0"/>
          <w:iCs w:val="0"/>
          <w:color w:val="auto"/>
          <w:highlight w:val="none"/>
        </w:rPr>
        <w:t>.2提出质疑的供应商（以下简称质疑供应商）应当是参与所质疑项目采购活动的供应商。</w:t>
      </w:r>
    </w:p>
    <w:p w14:paraId="6503DC74">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33.3</w:t>
      </w:r>
      <w:r>
        <w:rPr>
          <w:rFonts w:hint="eastAsia"/>
          <w:i w:val="0"/>
          <w:iCs w:val="0"/>
          <w:color w:val="auto"/>
          <w:highlight w:val="none"/>
        </w:rPr>
        <w:t>潜在供应商已依法获取其可质疑的</w:t>
      </w:r>
      <w:r>
        <w:rPr>
          <w:rFonts w:hint="eastAsia"/>
          <w:i w:val="0"/>
          <w:iCs w:val="0"/>
          <w:color w:val="auto"/>
          <w:highlight w:val="none"/>
          <w:lang w:eastAsia="zh-CN"/>
        </w:rPr>
        <w:t>磋商</w:t>
      </w:r>
      <w:r>
        <w:rPr>
          <w:rFonts w:hint="eastAsia"/>
          <w:i w:val="0"/>
          <w:iCs w:val="0"/>
          <w:color w:val="auto"/>
          <w:highlight w:val="none"/>
        </w:rPr>
        <w:t>文件的，可以对该文件提出质疑。对</w:t>
      </w:r>
      <w:r>
        <w:rPr>
          <w:rFonts w:hint="eastAsia"/>
          <w:i w:val="0"/>
          <w:iCs w:val="0"/>
          <w:color w:val="auto"/>
          <w:highlight w:val="none"/>
          <w:lang w:eastAsia="zh-CN"/>
        </w:rPr>
        <w:t>磋商</w:t>
      </w:r>
      <w:r>
        <w:rPr>
          <w:rFonts w:hint="eastAsia"/>
          <w:i w:val="0"/>
          <w:iCs w:val="0"/>
          <w:color w:val="auto"/>
          <w:highlight w:val="none"/>
        </w:rPr>
        <w:t>文件提出质疑的，应当在获取</w:t>
      </w:r>
      <w:r>
        <w:rPr>
          <w:rFonts w:hint="eastAsia"/>
          <w:i w:val="0"/>
          <w:iCs w:val="0"/>
          <w:color w:val="auto"/>
          <w:highlight w:val="none"/>
          <w:lang w:eastAsia="zh-CN"/>
        </w:rPr>
        <w:t>磋商</w:t>
      </w:r>
      <w:r>
        <w:rPr>
          <w:rFonts w:hint="eastAsia"/>
          <w:i w:val="0"/>
          <w:iCs w:val="0"/>
          <w:color w:val="auto"/>
          <w:highlight w:val="none"/>
        </w:rPr>
        <w:t>文件或者</w:t>
      </w:r>
      <w:r>
        <w:rPr>
          <w:rFonts w:hint="eastAsia"/>
          <w:i w:val="0"/>
          <w:iCs w:val="0"/>
          <w:color w:val="auto"/>
          <w:highlight w:val="none"/>
          <w:lang w:eastAsia="zh-CN"/>
        </w:rPr>
        <w:t>磋商</w:t>
      </w:r>
      <w:r>
        <w:rPr>
          <w:rFonts w:hint="eastAsia"/>
          <w:i w:val="0"/>
          <w:iCs w:val="0"/>
          <w:color w:val="auto"/>
          <w:highlight w:val="none"/>
        </w:rPr>
        <w:t>文件公告期限届满之日起7个工作日内提出。</w:t>
      </w:r>
    </w:p>
    <w:p w14:paraId="7A916D67">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33.4</w:t>
      </w:r>
      <w:r>
        <w:rPr>
          <w:rFonts w:hint="eastAsia"/>
          <w:i w:val="0"/>
          <w:iCs w:val="0"/>
          <w:color w:val="auto"/>
          <w:highlight w:val="none"/>
        </w:rPr>
        <w:t>供应商提出质疑应当提交质疑函和必要的证明材料。质疑函应当包括下列内容：</w:t>
      </w:r>
    </w:p>
    <w:p w14:paraId="57C1F480">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1</w:t>
      </w:r>
      <w:r>
        <w:rPr>
          <w:rFonts w:hint="eastAsia"/>
          <w:i w:val="0"/>
          <w:iCs w:val="0"/>
          <w:color w:val="auto"/>
          <w:highlight w:val="none"/>
        </w:rPr>
        <w:t>）供应商的姓名或者名称、地址、邮编、联系人及联系电话；</w:t>
      </w:r>
    </w:p>
    <w:p w14:paraId="2B1F4E61">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）质疑项目的名称、编号；</w:t>
      </w:r>
    </w:p>
    <w:p w14:paraId="1AA8BB74">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3</w:t>
      </w:r>
      <w:r>
        <w:rPr>
          <w:rFonts w:hint="eastAsia"/>
          <w:i w:val="0"/>
          <w:iCs w:val="0"/>
          <w:color w:val="auto"/>
          <w:highlight w:val="none"/>
        </w:rPr>
        <w:t>）具体、明确的质疑事项和与质疑事项相关的请求；</w:t>
      </w:r>
    </w:p>
    <w:p w14:paraId="6456E8B1">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4</w:t>
      </w:r>
      <w:r>
        <w:rPr>
          <w:rFonts w:hint="eastAsia"/>
          <w:i w:val="0"/>
          <w:iCs w:val="0"/>
          <w:color w:val="auto"/>
          <w:highlight w:val="none"/>
        </w:rPr>
        <w:t>）事实依据；</w:t>
      </w:r>
    </w:p>
    <w:p w14:paraId="4D032ABB">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5</w:t>
      </w:r>
      <w:r>
        <w:rPr>
          <w:rFonts w:hint="eastAsia"/>
          <w:i w:val="0"/>
          <w:iCs w:val="0"/>
          <w:color w:val="auto"/>
          <w:highlight w:val="none"/>
        </w:rPr>
        <w:t>）必要的法律依据；</w:t>
      </w:r>
    </w:p>
    <w:p w14:paraId="2E14DE4D">
      <w:pPr>
        <w:pStyle w:val="40"/>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）提出质疑的日期。</w:t>
      </w:r>
    </w:p>
    <w:p w14:paraId="553B627B">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供应商为自然人的，应当由本人签字；供应商为法人或者其他组织的，应当由法定代表人、主要负责人，或者其授权代表签字或者盖章，并加盖公章。</w:t>
      </w:r>
    </w:p>
    <w:p w14:paraId="5F1352A8">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.5质疑函不符合上述要求的，采购人或代理机构应书面告知具体事项，质疑人应当按要求进行修改或补充，并在质疑有效期限内提交。</w:t>
      </w:r>
    </w:p>
    <w:p w14:paraId="76BD2AC8">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rPr>
      </w:pPr>
      <w:r>
        <w:rPr>
          <w:rFonts w:hint="eastAsia"/>
          <w:i w:val="0"/>
          <w:iCs w:val="0"/>
          <w:snapToGrid w:val="0"/>
          <w:color w:val="auto"/>
          <w:highlight w:val="none"/>
        </w:rPr>
        <w:t>3</w:t>
      </w:r>
      <w:r>
        <w:rPr>
          <w:rFonts w:hint="eastAsia"/>
          <w:i w:val="0"/>
          <w:iCs w:val="0"/>
          <w:snapToGrid w:val="0"/>
          <w:color w:val="auto"/>
          <w:highlight w:val="none"/>
          <w:lang w:val="en-US" w:eastAsia="zh-CN"/>
        </w:rPr>
        <w:t>3</w:t>
      </w:r>
      <w:r>
        <w:rPr>
          <w:rFonts w:hint="eastAsia"/>
          <w:i w:val="0"/>
          <w:iCs w:val="0"/>
          <w:snapToGrid w:val="0"/>
          <w:color w:val="auto"/>
          <w:highlight w:val="none"/>
        </w:rPr>
        <w:t>.</w:t>
      </w:r>
      <w:r>
        <w:rPr>
          <w:rFonts w:hint="eastAsia"/>
          <w:i w:val="0"/>
          <w:iCs w:val="0"/>
          <w:snapToGrid w:val="0"/>
          <w:color w:val="auto"/>
          <w:highlight w:val="none"/>
          <w:lang w:val="en-US" w:eastAsia="zh-CN"/>
        </w:rPr>
        <w:t>6供应商</w:t>
      </w:r>
      <w:r>
        <w:rPr>
          <w:rFonts w:hint="eastAsia"/>
          <w:i w:val="0"/>
          <w:iCs w:val="0"/>
          <w:snapToGrid w:val="0"/>
          <w:color w:val="auto"/>
          <w:highlight w:val="none"/>
        </w:rPr>
        <w:t>进行虚假和恶意</w:t>
      </w:r>
      <w:r>
        <w:rPr>
          <w:rFonts w:hint="eastAsia"/>
          <w:i w:val="0"/>
          <w:iCs w:val="0"/>
          <w:snapToGrid w:val="0"/>
          <w:color w:val="auto"/>
          <w:highlight w:val="none"/>
          <w:lang w:val="en-US" w:eastAsia="zh-CN"/>
        </w:rPr>
        <w:t>质疑投诉</w:t>
      </w:r>
      <w:r>
        <w:rPr>
          <w:rFonts w:hint="eastAsia"/>
          <w:i w:val="0"/>
          <w:iCs w:val="0"/>
          <w:snapToGrid w:val="0"/>
          <w:color w:val="auto"/>
          <w:highlight w:val="none"/>
        </w:rPr>
        <w:t>的，采购代理机构将提请有关部门将其列入不良记录名单，在一至三年内禁止参加政府采购活动，并将处理决定在相关政府采购媒体上公布。</w:t>
      </w:r>
    </w:p>
    <w:p w14:paraId="0077D2B4">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rPr>
      </w:pPr>
      <w:r>
        <w:rPr>
          <w:rFonts w:hint="eastAsia"/>
          <w:i w:val="0"/>
          <w:iCs w:val="0"/>
          <w:snapToGrid w:val="0"/>
          <w:color w:val="auto"/>
          <w:highlight w:val="none"/>
          <w:lang w:val="en-US" w:eastAsia="zh-CN"/>
        </w:rPr>
        <w:t>33.7</w:t>
      </w:r>
      <w:r>
        <w:rPr>
          <w:rFonts w:hint="eastAsia"/>
          <w:i w:val="0"/>
          <w:iCs w:val="0"/>
          <w:color w:val="auto"/>
          <w:highlight w:val="none"/>
        </w:rPr>
        <w:t>质疑函</w:t>
      </w:r>
      <w:r>
        <w:rPr>
          <w:rFonts w:hint="eastAsia"/>
          <w:i w:val="0"/>
          <w:iCs w:val="0"/>
          <w:color w:val="auto"/>
          <w:highlight w:val="none"/>
          <w:lang w:val="en-US" w:eastAsia="zh-CN"/>
        </w:rPr>
        <w:t>应当使用中文，并采用财政部门制定的范本。</w:t>
      </w:r>
    </w:p>
    <w:p w14:paraId="007DBE4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1" w:name="_Toc46772276"/>
      <w:bookmarkStart w:id="352" w:name="_Toc109897469"/>
      <w:bookmarkStart w:id="353" w:name="_Toc48846144"/>
      <w:bookmarkStart w:id="354" w:name="_Toc48688824"/>
      <w:bookmarkStart w:id="355" w:name="_Toc109899987"/>
      <w:bookmarkStart w:id="356" w:name="_Toc109900406"/>
      <w:bookmarkStart w:id="357" w:name="_Toc52960588"/>
      <w:bookmarkStart w:id="358" w:name="_Toc109899568"/>
      <w:bookmarkStart w:id="359" w:name="_Toc51674246"/>
      <w:bookmarkStart w:id="360" w:name="_Toc46771675"/>
      <w:bookmarkStart w:id="361" w:name="_Toc52962762"/>
      <w:r>
        <w:rPr>
          <w:rFonts w:hint="eastAsia" w:ascii="宋体" w:hAnsi="宋体" w:eastAsia="宋体" w:cs="宋体"/>
          <w:b/>
          <w:bCs/>
          <w:color w:val="auto"/>
          <w:kern w:val="2"/>
          <w:sz w:val="24"/>
          <w:szCs w:val="24"/>
          <w:highlight w:val="none"/>
          <w:lang w:val="en-US" w:eastAsia="zh-CN" w:bidi="ar-SA"/>
        </w:rPr>
        <w:t>34.质疑答复</w:t>
      </w:r>
      <w:bookmarkEnd w:id="351"/>
      <w:bookmarkEnd w:id="352"/>
      <w:bookmarkEnd w:id="353"/>
      <w:bookmarkEnd w:id="354"/>
      <w:bookmarkEnd w:id="355"/>
      <w:bookmarkEnd w:id="356"/>
      <w:bookmarkEnd w:id="357"/>
      <w:bookmarkEnd w:id="358"/>
      <w:bookmarkEnd w:id="359"/>
      <w:bookmarkEnd w:id="360"/>
      <w:bookmarkEnd w:id="361"/>
    </w:p>
    <w:p w14:paraId="43D7F91D">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i w:val="0"/>
          <w:iCs w:val="0"/>
          <w:snapToGrid w:val="0"/>
          <w:color w:val="auto"/>
          <w:highlight w:val="none"/>
        </w:rPr>
        <w:t>3</w:t>
      </w:r>
      <w:r>
        <w:rPr>
          <w:rFonts w:hint="eastAsia"/>
          <w:i w:val="0"/>
          <w:iCs w:val="0"/>
          <w:snapToGrid w:val="0"/>
          <w:color w:val="auto"/>
          <w:highlight w:val="none"/>
          <w:lang w:val="en-US" w:eastAsia="zh-CN"/>
        </w:rPr>
        <w:t>4</w:t>
      </w:r>
      <w:r>
        <w:rPr>
          <w:rFonts w:hint="eastAsia"/>
          <w:i w:val="0"/>
          <w:iCs w:val="0"/>
          <w:snapToGrid w:val="0"/>
          <w:color w:val="auto"/>
          <w:highlight w:val="none"/>
          <w:lang w:val="zh-CN"/>
        </w:rPr>
        <w:t>.1</w:t>
      </w:r>
      <w:r>
        <w:rPr>
          <w:rFonts w:hint="eastAsia" w:ascii="宋体" w:hAnsi="宋体" w:eastAsia="宋体"/>
          <w:i w:val="0"/>
          <w:iCs w:val="0"/>
          <w:color w:val="auto"/>
          <w:highlight w:val="none"/>
        </w:rPr>
        <w:t>采购人、采购代理机构不得拒收质疑供应商在法定质疑期内发出的质疑函，应当在收到质疑函后7个工作日内作出答复，并以书面形式通知质疑供应商和其他有关供应商。</w:t>
      </w:r>
    </w:p>
    <w:p w14:paraId="6776834F">
      <w:pPr>
        <w:pStyle w:val="40"/>
        <w:keepNext w:val="0"/>
        <w:keepLines w:val="0"/>
        <w:pageBreakBefore w:val="0"/>
        <w:widowControl w:val="0"/>
        <w:kinsoku/>
        <w:overflowPunct/>
        <w:topLinePunct w:val="0"/>
        <w:autoSpaceDE/>
        <w:autoSpaceDN/>
        <w:bidi w:val="0"/>
        <w:adjustRightInd/>
        <w:textAlignment w:val="auto"/>
        <w:rPr>
          <w:rFonts w:hint="default"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34.2供应商对评审过程、成交结果提出质疑的，采购人、采购代理机构可以组织原竞争性磋商小组协助答复质疑。</w:t>
      </w:r>
    </w:p>
    <w:p w14:paraId="14E02AAA">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质疑答复应当包括下列内容：</w:t>
      </w:r>
    </w:p>
    <w:p w14:paraId="457CAA68">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1</w:t>
      </w:r>
      <w:r>
        <w:rPr>
          <w:rFonts w:hint="eastAsia" w:ascii="宋体" w:hAnsi="宋体" w:eastAsia="宋体"/>
          <w:i w:val="0"/>
          <w:iCs w:val="0"/>
          <w:color w:val="auto"/>
          <w:highlight w:val="none"/>
          <w:lang w:val="zh-CN" w:eastAsia="zh-CN"/>
        </w:rPr>
        <w:t>）质疑供应商的姓名或者名称；</w:t>
      </w:r>
    </w:p>
    <w:p w14:paraId="462FCFC0">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2</w:t>
      </w:r>
      <w:r>
        <w:rPr>
          <w:rFonts w:hint="eastAsia" w:ascii="宋体" w:hAnsi="宋体" w:eastAsia="宋体"/>
          <w:i w:val="0"/>
          <w:iCs w:val="0"/>
          <w:color w:val="auto"/>
          <w:highlight w:val="none"/>
          <w:lang w:val="zh-CN" w:eastAsia="zh-CN"/>
        </w:rPr>
        <w:t>）收到质疑函的日期、质疑项目名称及编号；</w:t>
      </w:r>
    </w:p>
    <w:p w14:paraId="18D72157">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3</w:t>
      </w:r>
      <w:r>
        <w:rPr>
          <w:rFonts w:hint="eastAsia" w:ascii="宋体" w:hAnsi="宋体" w:eastAsia="宋体"/>
          <w:i w:val="0"/>
          <w:iCs w:val="0"/>
          <w:color w:val="auto"/>
          <w:highlight w:val="none"/>
          <w:lang w:val="zh-CN" w:eastAsia="zh-CN"/>
        </w:rPr>
        <w:t>）质疑事项、质疑答复的具体内容、事实依据和法律依据；</w:t>
      </w:r>
    </w:p>
    <w:p w14:paraId="416368F5">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4</w:t>
      </w:r>
      <w:r>
        <w:rPr>
          <w:rFonts w:hint="eastAsia" w:ascii="宋体" w:hAnsi="宋体" w:eastAsia="宋体"/>
          <w:i w:val="0"/>
          <w:iCs w:val="0"/>
          <w:color w:val="auto"/>
          <w:highlight w:val="none"/>
          <w:lang w:val="zh-CN" w:eastAsia="zh-CN"/>
        </w:rPr>
        <w:t>）告知质疑供应商依法投诉的权利；</w:t>
      </w:r>
    </w:p>
    <w:p w14:paraId="36EE7969">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5</w:t>
      </w:r>
      <w:r>
        <w:rPr>
          <w:rFonts w:hint="eastAsia" w:ascii="宋体" w:hAnsi="宋体" w:eastAsia="宋体"/>
          <w:i w:val="0"/>
          <w:iCs w:val="0"/>
          <w:color w:val="auto"/>
          <w:highlight w:val="none"/>
          <w:lang w:val="zh-CN" w:eastAsia="zh-CN"/>
        </w:rPr>
        <w:t>）质疑答复人名称；</w:t>
      </w:r>
    </w:p>
    <w:p w14:paraId="7E632C0C">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lang w:val="zh-CN" w:eastAsia="zh-CN"/>
        </w:rPr>
        <w:t>）答复质疑的日期。</w:t>
      </w:r>
    </w:p>
    <w:p w14:paraId="56A5E1E9">
      <w:pPr>
        <w:pStyle w:val="40"/>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en-US" w:eastAsia="zh-CN"/>
        </w:rPr>
        <w:t>34.3</w:t>
      </w:r>
      <w:r>
        <w:rPr>
          <w:rFonts w:hint="eastAsia" w:ascii="宋体" w:hAnsi="宋体" w:eastAsia="宋体"/>
          <w:i w:val="0"/>
          <w:iCs w:val="0"/>
          <w:color w:val="auto"/>
          <w:highlight w:val="none"/>
          <w:lang w:val="zh-CN" w:eastAsia="zh-CN"/>
        </w:rPr>
        <w:t>质疑答复的内容不得涉及商业秘密。</w:t>
      </w:r>
    </w:p>
    <w:p w14:paraId="64A43DE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35.投诉</w:t>
      </w:r>
    </w:p>
    <w:p w14:paraId="34C5EAA0">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35.1</w:t>
      </w:r>
      <w:r>
        <w:rPr>
          <w:rFonts w:hint="eastAsia"/>
          <w:i w:val="0"/>
          <w:iCs w:val="0"/>
          <w:color w:val="auto"/>
          <w:highlight w:val="none"/>
        </w:rPr>
        <w:t>质疑供应商对采购人、采购代理机构的答复不满意，或者采购人、采购代理机构未在规定时间内作出答复的，可以在答复期满后15个工作日内向</w:t>
      </w:r>
      <w:r>
        <w:rPr>
          <w:rFonts w:hint="eastAsia"/>
          <w:i w:val="0"/>
          <w:iCs w:val="0"/>
          <w:color w:val="auto"/>
          <w:highlight w:val="none"/>
          <w:lang w:val="en-US" w:eastAsia="zh-CN"/>
        </w:rPr>
        <w:t>同级政府采购监督管理部门</w:t>
      </w:r>
      <w:r>
        <w:rPr>
          <w:rFonts w:hint="eastAsia"/>
          <w:i w:val="0"/>
          <w:iCs w:val="0"/>
          <w:color w:val="auto"/>
          <w:highlight w:val="none"/>
        </w:rPr>
        <w:t>提起投诉。</w:t>
      </w:r>
    </w:p>
    <w:p w14:paraId="7AE3C0F6">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35.2</w:t>
      </w:r>
      <w:r>
        <w:rPr>
          <w:rFonts w:hint="eastAsia"/>
          <w:i w:val="0"/>
          <w:iCs w:val="0"/>
          <w:color w:val="auto"/>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1</w:t>
      </w:r>
      <w:r>
        <w:rPr>
          <w:rFonts w:hint="eastAsia"/>
          <w:i w:val="0"/>
          <w:iCs w:val="0"/>
          <w:color w:val="auto"/>
          <w:highlight w:val="none"/>
        </w:rPr>
        <w:t>）投诉人和被投诉人的姓名或者名称、通讯地址、邮编、联系人及联系电话；</w:t>
      </w:r>
    </w:p>
    <w:p w14:paraId="1A65A103">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）质疑和质疑答复情况说明及相关证明材料；</w:t>
      </w:r>
    </w:p>
    <w:p w14:paraId="675A6D97">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3</w:t>
      </w:r>
      <w:r>
        <w:rPr>
          <w:rFonts w:hint="eastAsia"/>
          <w:i w:val="0"/>
          <w:iCs w:val="0"/>
          <w:color w:val="auto"/>
          <w:highlight w:val="none"/>
        </w:rPr>
        <w:t>）具体、明确的投诉事项和与投诉事项相关的投诉请求；</w:t>
      </w:r>
    </w:p>
    <w:p w14:paraId="4A0C1598">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4</w:t>
      </w:r>
      <w:r>
        <w:rPr>
          <w:rFonts w:hint="eastAsia"/>
          <w:i w:val="0"/>
          <w:iCs w:val="0"/>
          <w:color w:val="auto"/>
          <w:highlight w:val="none"/>
        </w:rPr>
        <w:t>）事实依据；</w:t>
      </w:r>
    </w:p>
    <w:p w14:paraId="4CFD3E01">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5</w:t>
      </w:r>
      <w:r>
        <w:rPr>
          <w:rFonts w:hint="eastAsia"/>
          <w:i w:val="0"/>
          <w:iCs w:val="0"/>
          <w:color w:val="auto"/>
          <w:highlight w:val="none"/>
        </w:rPr>
        <w:t>）法律依据；</w:t>
      </w:r>
    </w:p>
    <w:p w14:paraId="35FA6A4A">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）提起投诉的日期。</w:t>
      </w:r>
    </w:p>
    <w:p w14:paraId="4FC7C3AB">
      <w:pPr>
        <w:pStyle w:val="40"/>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投诉人为自然人的，应当由本人签字；投诉人为法人或者其他组织的，应当由法定代表人、主要负责人，或者其授权代表签字或者盖章，并加盖公章。</w:t>
      </w:r>
    </w:p>
    <w:p w14:paraId="4DF335BD">
      <w:pPr>
        <w:pStyle w:val="40"/>
        <w:keepNext w:val="0"/>
        <w:keepLines w:val="0"/>
        <w:pageBreakBefore w:val="0"/>
        <w:widowControl w:val="0"/>
        <w:kinsoku/>
        <w:overflowPunct/>
        <w:topLinePunct w:val="0"/>
        <w:autoSpaceDE/>
        <w:autoSpaceDN/>
        <w:bidi w:val="0"/>
        <w:adjustRightInd/>
        <w:textAlignment w:val="auto"/>
        <w:rPr>
          <w:rFonts w:hint="eastAsia"/>
          <w:bCs/>
          <w:i w:val="0"/>
          <w:iCs w:val="0"/>
          <w:color w:val="auto"/>
          <w:highlight w:val="none"/>
        </w:rPr>
      </w:pPr>
      <w:r>
        <w:rPr>
          <w:rFonts w:hint="eastAsia"/>
          <w:i w:val="0"/>
          <w:iCs w:val="0"/>
          <w:color w:val="auto"/>
          <w:highlight w:val="none"/>
          <w:lang w:val="en-US" w:eastAsia="zh-CN"/>
        </w:rPr>
        <w:t>35.3</w:t>
      </w:r>
      <w:r>
        <w:rPr>
          <w:rFonts w:hint="eastAsia"/>
          <w:i w:val="0"/>
          <w:iCs w:val="0"/>
          <w:color w:val="auto"/>
          <w:highlight w:val="none"/>
        </w:rPr>
        <w:t>供应商</w:t>
      </w:r>
      <w:r>
        <w:rPr>
          <w:rFonts w:hint="eastAsia"/>
          <w:i w:val="0"/>
          <w:iCs w:val="0"/>
          <w:color w:val="auto"/>
          <w:highlight w:val="none"/>
          <w:lang w:val="en-US" w:eastAsia="zh-CN"/>
        </w:rPr>
        <w:t>质疑、</w:t>
      </w:r>
      <w:r>
        <w:rPr>
          <w:rFonts w:hint="eastAsia"/>
          <w:i w:val="0"/>
          <w:iCs w:val="0"/>
          <w:color w:val="auto"/>
          <w:highlight w:val="none"/>
        </w:rPr>
        <w:t>投诉</w:t>
      </w:r>
      <w:r>
        <w:rPr>
          <w:rFonts w:hint="eastAsia"/>
          <w:i w:val="0"/>
          <w:iCs w:val="0"/>
          <w:color w:val="auto"/>
          <w:highlight w:val="none"/>
          <w:lang w:val="en-US" w:eastAsia="zh-CN"/>
        </w:rPr>
        <w:t>应当有明确的请求和必要的证明材料</w:t>
      </w:r>
      <w:r>
        <w:rPr>
          <w:rFonts w:hint="eastAsia"/>
          <w:i w:val="0"/>
          <w:iCs w:val="0"/>
          <w:color w:val="auto"/>
          <w:highlight w:val="none"/>
          <w:lang w:eastAsia="zh-CN"/>
        </w:rPr>
        <w:t>。</w:t>
      </w:r>
      <w:r>
        <w:rPr>
          <w:rFonts w:hint="eastAsia"/>
          <w:i w:val="0"/>
          <w:iCs w:val="0"/>
          <w:color w:val="auto"/>
          <w:highlight w:val="none"/>
        </w:rPr>
        <w:t>供应商投诉的事项不得超出</w:t>
      </w:r>
      <w:r>
        <w:rPr>
          <w:rFonts w:hint="eastAsia"/>
          <w:i w:val="0"/>
          <w:iCs w:val="0"/>
          <w:color w:val="auto"/>
          <w:highlight w:val="none"/>
          <w:lang w:val="en-US" w:eastAsia="zh-CN"/>
        </w:rPr>
        <w:t>已</w:t>
      </w:r>
      <w:r>
        <w:rPr>
          <w:rFonts w:hint="eastAsia"/>
          <w:i w:val="0"/>
          <w:iCs w:val="0"/>
          <w:color w:val="auto"/>
          <w:highlight w:val="none"/>
        </w:rPr>
        <w:t>质疑事项的范围，但基于质疑答复内容提出的投诉事项除外</w:t>
      </w:r>
      <w:r>
        <w:rPr>
          <w:rFonts w:hint="eastAsia"/>
          <w:bCs/>
          <w:i w:val="0"/>
          <w:iCs w:val="0"/>
          <w:color w:val="auto"/>
          <w:highlight w:val="none"/>
        </w:rPr>
        <w:t>。</w:t>
      </w:r>
    </w:p>
    <w:p w14:paraId="6BEA34E3">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i w:val="0"/>
          <w:iCs w:val="0"/>
          <w:snapToGrid w:val="0"/>
          <w:color w:val="auto"/>
          <w:highlight w:val="none"/>
          <w:lang w:val="en-US" w:eastAsia="zh-CN"/>
        </w:rPr>
        <w:t>35.4</w:t>
      </w:r>
      <w:r>
        <w:rPr>
          <w:rFonts w:hint="eastAsia"/>
          <w:i w:val="0"/>
          <w:iCs w:val="0"/>
          <w:color w:val="auto"/>
          <w:highlight w:val="none"/>
          <w:lang w:val="en-US" w:eastAsia="zh-CN"/>
        </w:rPr>
        <w:t>投诉书应当使用中文，并采用财政部门制定的范本。</w:t>
      </w:r>
    </w:p>
    <w:bookmarkEnd w:id="95"/>
    <w:bookmarkEnd w:id="339"/>
    <w:p w14:paraId="072EB102">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2" w:name="_Toc163493619"/>
      <w:bookmarkStart w:id="363" w:name="_Toc4561"/>
      <w:bookmarkStart w:id="364" w:name="_Toc109899989"/>
      <w:bookmarkStart w:id="365" w:name="_Toc109900408"/>
      <w:bookmarkStart w:id="366" w:name="_Hlk60570485"/>
      <w:bookmarkStart w:id="367" w:name="_Toc109899570"/>
      <w:bookmarkStart w:id="368" w:name="_Toc109897471"/>
      <w:r>
        <w:rPr>
          <w:rFonts w:hint="eastAsia" w:ascii="宋体" w:hAnsi="宋体" w:eastAsia="宋体" w:cs="宋体"/>
          <w:b/>
          <w:bCs/>
          <w:color w:val="auto"/>
          <w:kern w:val="2"/>
          <w:sz w:val="24"/>
          <w:szCs w:val="24"/>
          <w:highlight w:val="none"/>
          <w:lang w:val="en-US" w:eastAsia="zh-CN" w:bidi="ar-SA"/>
        </w:rPr>
        <w:t>（十一）采购代理服务费</w:t>
      </w:r>
      <w:bookmarkEnd w:id="362"/>
      <w:bookmarkEnd w:id="363"/>
    </w:p>
    <w:p w14:paraId="3283230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36.收取方式和标准</w:t>
      </w:r>
    </w:p>
    <w:p w14:paraId="0F0CA960">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6</w:t>
      </w:r>
      <w:r>
        <w:rPr>
          <w:rFonts w:hint="eastAsia"/>
          <w:i w:val="0"/>
          <w:iCs w:val="0"/>
          <w:color w:val="auto"/>
          <w:highlight w:val="none"/>
        </w:rPr>
        <w:t>.1采购代理机构按“供应商须知前附表”规定的方式和标准收取采购代理服务费。</w:t>
      </w:r>
    </w:p>
    <w:p w14:paraId="5E6F9613">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9" w:name="_Toc3122"/>
      <w:bookmarkStart w:id="370" w:name="_Toc163493620"/>
      <w:r>
        <w:rPr>
          <w:rFonts w:hint="eastAsia" w:ascii="宋体" w:hAnsi="宋体" w:eastAsia="宋体" w:cs="宋体"/>
          <w:b/>
          <w:bCs/>
          <w:color w:val="auto"/>
          <w:kern w:val="2"/>
          <w:sz w:val="24"/>
          <w:szCs w:val="24"/>
          <w:highlight w:val="none"/>
          <w:lang w:val="en-US" w:eastAsia="zh-CN" w:bidi="ar-SA"/>
        </w:rPr>
        <w:t>（十二）无效响应和终止采购活动</w:t>
      </w:r>
      <w:bookmarkEnd w:id="369"/>
      <w:bookmarkEnd w:id="370"/>
    </w:p>
    <w:p w14:paraId="02780A3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1" w:name="_Toc161600338"/>
      <w:bookmarkStart w:id="372" w:name="_Toc140132806"/>
      <w:r>
        <w:rPr>
          <w:rFonts w:hint="eastAsia" w:ascii="宋体" w:hAnsi="宋体" w:eastAsia="宋体" w:cs="宋体"/>
          <w:b/>
          <w:bCs/>
          <w:color w:val="auto"/>
          <w:kern w:val="2"/>
          <w:sz w:val="24"/>
          <w:szCs w:val="24"/>
          <w:highlight w:val="none"/>
          <w:lang w:val="en-US" w:eastAsia="zh-CN" w:bidi="ar-SA"/>
        </w:rPr>
        <w:t>37.无效</w:t>
      </w:r>
      <w:bookmarkEnd w:id="371"/>
      <w:bookmarkEnd w:id="372"/>
      <w:r>
        <w:rPr>
          <w:rFonts w:hint="eastAsia" w:ascii="宋体" w:hAnsi="宋体" w:eastAsia="宋体" w:cs="宋体"/>
          <w:b/>
          <w:bCs/>
          <w:color w:val="auto"/>
          <w:kern w:val="2"/>
          <w:sz w:val="24"/>
          <w:szCs w:val="24"/>
          <w:highlight w:val="none"/>
          <w:lang w:val="en-US" w:eastAsia="zh-CN" w:bidi="ar-SA"/>
        </w:rPr>
        <w:t>响应</w:t>
      </w:r>
    </w:p>
    <w:p w14:paraId="132D1B41">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7</w:t>
      </w:r>
      <w:r>
        <w:rPr>
          <w:rFonts w:hint="eastAsia"/>
          <w:i w:val="0"/>
          <w:iCs w:val="0"/>
          <w:color w:val="auto"/>
          <w:highlight w:val="none"/>
        </w:rPr>
        <w:t>.1响应文件存在“第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评审方法及标准”规定的</w:t>
      </w:r>
      <w:r>
        <w:rPr>
          <w:rFonts w:hint="eastAsia"/>
          <w:b/>
          <w:bCs/>
          <w:i w:val="0"/>
          <w:iCs w:val="0"/>
          <w:color w:val="auto"/>
          <w:highlight w:val="none"/>
        </w:rPr>
        <w:t>响应无效</w:t>
      </w:r>
      <w:r>
        <w:rPr>
          <w:rFonts w:hint="eastAsia"/>
          <w:i w:val="0"/>
          <w:iCs w:val="0"/>
          <w:color w:val="auto"/>
          <w:highlight w:val="none"/>
        </w:rPr>
        <w:t>情形的，做</w:t>
      </w:r>
      <w:r>
        <w:rPr>
          <w:rFonts w:hint="eastAsia"/>
          <w:b/>
          <w:bCs/>
          <w:i w:val="0"/>
          <w:iCs w:val="0"/>
          <w:color w:val="auto"/>
          <w:highlight w:val="none"/>
        </w:rPr>
        <w:t>无效响应</w:t>
      </w:r>
      <w:r>
        <w:rPr>
          <w:rFonts w:hint="eastAsia"/>
          <w:i w:val="0"/>
          <w:iCs w:val="0"/>
          <w:color w:val="auto"/>
          <w:highlight w:val="none"/>
        </w:rPr>
        <w:t>处理。</w:t>
      </w:r>
    </w:p>
    <w:p w14:paraId="631C56D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38.终止采购活动</w:t>
      </w:r>
    </w:p>
    <w:p w14:paraId="65CAB1F7">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lang w:val="en-US" w:eastAsia="zh-CN"/>
        </w:rPr>
        <w:t>38</w:t>
      </w:r>
      <w:r>
        <w:rPr>
          <w:rFonts w:hint="eastAsia"/>
          <w:i w:val="0"/>
          <w:iCs w:val="0"/>
          <w:color w:val="auto"/>
          <w:highlight w:val="none"/>
        </w:rPr>
        <w:t>.1出现下列情形之一的，应当终止竞争性磋商采购活动，发布项目终止公告并说明原因，重新开展采购活动：</w:t>
      </w:r>
    </w:p>
    <w:p w14:paraId="3F03AB90">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（1）因情况变化，不再符合规定的竞争性磋商采购方式适用情形的；</w:t>
      </w:r>
    </w:p>
    <w:p w14:paraId="34F0BDE0">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（2）出现影响采购公正的违法、违规行为的；</w:t>
      </w:r>
    </w:p>
    <w:p w14:paraId="3EDE2978">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（3）在采购过程中符合要求的供应商或者报价未超过采购预算的供应商不足</w:t>
      </w:r>
      <w:r>
        <w:rPr>
          <w:i w:val="0"/>
          <w:iCs w:val="0"/>
          <w:color w:val="auto"/>
          <w:highlight w:val="none"/>
        </w:rPr>
        <w:t>3家的（市场竞争不充分的科研项目、需要扶持的科技成果转化项目以及政府购买服务项目&lt;含政府和社会资本合作项目&gt;）的</w:t>
      </w:r>
      <w:r>
        <w:rPr>
          <w:rFonts w:hint="eastAsia"/>
          <w:i w:val="0"/>
          <w:iCs w:val="0"/>
          <w:color w:val="auto"/>
          <w:highlight w:val="none"/>
        </w:rPr>
        <w:t>提交最后报价的供应商</w:t>
      </w:r>
      <w:r>
        <w:rPr>
          <w:i w:val="0"/>
          <w:iCs w:val="0"/>
          <w:color w:val="auto"/>
          <w:highlight w:val="none"/>
        </w:rPr>
        <w:t>可以为2家）</w:t>
      </w:r>
      <w:r>
        <w:rPr>
          <w:rFonts w:hint="eastAsia"/>
          <w:i w:val="0"/>
          <w:iCs w:val="0"/>
          <w:color w:val="auto"/>
          <w:highlight w:val="none"/>
        </w:rPr>
        <w:t>。</w:t>
      </w:r>
    </w:p>
    <w:p w14:paraId="62A80F80">
      <w:pPr>
        <w:pStyle w:val="40"/>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38.2在采购活动中因重大变故，采购任务取消的，采购人或者采购代理机构应当终止采购活动，通知所有参加采购活动的供应商，并将项目实施情况和采购任务取消原因报送本级财政部门。</w:t>
      </w:r>
    </w:p>
    <w:p w14:paraId="35C9F5A9">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3" w:name="_Toc161600340"/>
      <w:bookmarkStart w:id="374" w:name="_Toc140132766"/>
      <w:bookmarkStart w:id="375" w:name="_Toc163493621"/>
      <w:bookmarkStart w:id="376" w:name="_Toc21715"/>
      <w:r>
        <w:rPr>
          <w:rFonts w:hint="eastAsia" w:ascii="宋体" w:hAnsi="宋体" w:eastAsia="宋体" w:cs="宋体"/>
          <w:b/>
          <w:bCs/>
          <w:color w:val="auto"/>
          <w:kern w:val="2"/>
          <w:sz w:val="24"/>
          <w:szCs w:val="24"/>
          <w:highlight w:val="none"/>
          <w:lang w:val="en-US" w:eastAsia="zh-CN" w:bidi="ar-SA"/>
        </w:rPr>
        <w:t>（十三）落实政府采购政策</w:t>
      </w:r>
      <w:bookmarkEnd w:id="373"/>
      <w:bookmarkEnd w:id="374"/>
      <w:bookmarkEnd w:id="375"/>
      <w:r>
        <w:rPr>
          <w:rFonts w:hint="eastAsia" w:ascii="宋体" w:hAnsi="宋体" w:eastAsia="宋体" w:cs="宋体"/>
          <w:b/>
          <w:bCs/>
          <w:color w:val="auto"/>
          <w:kern w:val="2"/>
          <w:sz w:val="24"/>
          <w:szCs w:val="24"/>
          <w:highlight w:val="none"/>
          <w:lang w:val="en-US" w:eastAsia="zh-CN" w:bidi="ar-SA"/>
        </w:rPr>
        <w:t>（包括但不限于下列具体政策要求）</w:t>
      </w:r>
      <w:bookmarkEnd w:id="376"/>
    </w:p>
    <w:p w14:paraId="1F7E860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7" w:name="_Toc161600342"/>
      <w:r>
        <w:rPr>
          <w:rFonts w:hint="eastAsia" w:ascii="宋体" w:hAnsi="宋体" w:eastAsia="宋体" w:cs="宋体"/>
          <w:b/>
          <w:bCs/>
          <w:color w:val="auto"/>
          <w:kern w:val="2"/>
          <w:sz w:val="24"/>
          <w:szCs w:val="24"/>
          <w:highlight w:val="none"/>
          <w:lang w:val="en-US" w:eastAsia="zh-CN" w:bidi="ar-SA"/>
        </w:rPr>
        <w:t>39.中小企业、监狱企业及残疾人福利性单位</w:t>
      </w:r>
      <w:bookmarkEnd w:id="377"/>
    </w:p>
    <w:p w14:paraId="35BD2DE5">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eastAsia"/>
          <w:i w:val="0"/>
          <w:iCs w:val="0"/>
          <w:snapToGrid w:val="0"/>
          <w:color w:val="auto"/>
          <w:highlight w:val="none"/>
        </w:rPr>
        <w:t>.1</w:t>
      </w:r>
      <w:r>
        <w:rPr>
          <w:rFonts w:hint="eastAsia"/>
          <w:i w:val="0"/>
          <w:iCs w:val="0"/>
          <w:snapToGrid w:val="0"/>
          <w:color w:val="auto"/>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i w:val="0"/>
          <w:iCs w:val="0"/>
          <w:snapToGrid w:val="0"/>
          <w:color w:val="auto"/>
          <w:highlight w:val="none"/>
          <w:lang w:val="en-US" w:eastAsia="zh-CN"/>
        </w:rPr>
        <w:t>2022</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19 </w:t>
      </w:r>
      <w:r>
        <w:rPr>
          <w:rFonts w:hint="eastAsia"/>
          <w:i w:val="0"/>
          <w:iCs w:val="0"/>
          <w:snapToGrid w:val="0"/>
          <w:color w:val="auto"/>
          <w:highlight w:val="none"/>
          <w:lang w:val="en-US" w:eastAsia="zh-CN"/>
        </w:rPr>
        <w:t>号）、《政府采购促进中小企业发展管理办法》（财库〔</w:t>
      </w:r>
      <w:r>
        <w:rPr>
          <w:rFonts w:hint="default"/>
          <w:i w:val="0"/>
          <w:iCs w:val="0"/>
          <w:snapToGrid w:val="0"/>
          <w:color w:val="auto"/>
          <w:highlight w:val="none"/>
          <w:lang w:val="en-US" w:eastAsia="zh-CN"/>
        </w:rPr>
        <w:t>2020</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46 </w:t>
      </w:r>
      <w:r>
        <w:rPr>
          <w:rFonts w:hint="eastAsia"/>
          <w:i w:val="0"/>
          <w:iCs w:val="0"/>
          <w:snapToGrid w:val="0"/>
          <w:color w:val="auto"/>
          <w:highlight w:val="none"/>
          <w:lang w:val="en-US" w:eastAsia="zh-CN"/>
        </w:rPr>
        <w:t>号）、《关于印发中小企业划型标准规定的通知》（工信部联企业〔</w:t>
      </w:r>
      <w:r>
        <w:rPr>
          <w:rFonts w:hint="default"/>
          <w:i w:val="0"/>
          <w:iCs w:val="0"/>
          <w:snapToGrid w:val="0"/>
          <w:color w:val="auto"/>
          <w:highlight w:val="none"/>
          <w:lang w:val="en-US" w:eastAsia="zh-CN"/>
        </w:rPr>
        <w:t>2011</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300 </w:t>
      </w:r>
      <w:r>
        <w:rPr>
          <w:rFonts w:hint="eastAsia"/>
          <w:i w:val="0"/>
          <w:iCs w:val="0"/>
          <w:snapToGrid w:val="0"/>
          <w:color w:val="auto"/>
          <w:highlight w:val="none"/>
          <w:lang w:val="en-US" w:eastAsia="zh-CN"/>
        </w:rPr>
        <w:t xml:space="preserve">号）、《金融业企业划型标准规定》（〔2015〕309 号）等国务院批准的中小企业划分标准执行。 </w:t>
      </w:r>
    </w:p>
    <w:p w14:paraId="6EB577E7">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eastAsia="zh-CN"/>
        </w:rPr>
      </w:pPr>
      <w:r>
        <w:rPr>
          <w:rFonts w:hint="eastAsia"/>
          <w:i w:val="0"/>
          <w:iCs w:val="0"/>
          <w:snapToGrid w:val="0"/>
          <w:color w:val="auto"/>
          <w:highlight w:val="none"/>
          <w:lang w:val="en-US" w:eastAsia="zh-CN"/>
        </w:rPr>
        <w:t>39</w:t>
      </w:r>
      <w:r>
        <w:rPr>
          <w:rFonts w:hint="eastAsia"/>
          <w:i w:val="0"/>
          <w:iCs w:val="0"/>
          <w:snapToGrid w:val="0"/>
          <w:color w:val="auto"/>
          <w:highlight w:val="none"/>
        </w:rPr>
        <w:t>.</w:t>
      </w:r>
      <w:r>
        <w:rPr>
          <w:rFonts w:hint="eastAsia"/>
          <w:i w:val="0"/>
          <w:iCs w:val="0"/>
          <w:snapToGrid w:val="0"/>
          <w:color w:val="auto"/>
          <w:highlight w:val="none"/>
          <w:lang w:val="en-US" w:eastAsia="zh-CN"/>
        </w:rPr>
        <w:t>2</w:t>
      </w:r>
      <w:r>
        <w:rPr>
          <w:rFonts w:hint="eastAsia"/>
          <w:i w:val="0"/>
          <w:iCs w:val="0"/>
          <w:snapToGrid w:val="0"/>
          <w:color w:val="auto"/>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i w:val="0"/>
          <w:iCs w:val="0"/>
          <w:snapToGrid w:val="0"/>
          <w:color w:val="auto"/>
          <w:highlight w:val="none"/>
          <w:lang w:eastAsia="zh-CN"/>
        </w:rPr>
        <w:t>需享受中小企业相关政策的，且</w:t>
      </w:r>
      <w:r>
        <w:rPr>
          <w:rFonts w:hint="eastAsia"/>
          <w:i w:val="0"/>
          <w:iCs w:val="0"/>
          <w:snapToGrid w:val="0"/>
          <w:color w:val="auto"/>
          <w:highlight w:val="none"/>
        </w:rPr>
        <w:t>符合上述文件规定的，</w:t>
      </w:r>
      <w:r>
        <w:rPr>
          <w:rFonts w:hint="eastAsia"/>
          <w:i w:val="0"/>
          <w:iCs w:val="0"/>
          <w:snapToGrid w:val="0"/>
          <w:color w:val="auto"/>
          <w:highlight w:val="none"/>
          <w:lang w:eastAsia="zh-CN"/>
        </w:rPr>
        <w:t>应按本磋商文件规定格式</w:t>
      </w:r>
      <w:r>
        <w:rPr>
          <w:rFonts w:hint="eastAsia"/>
          <w:i w:val="0"/>
          <w:iCs w:val="0"/>
          <w:snapToGrid w:val="0"/>
          <w:color w:val="auto"/>
          <w:highlight w:val="none"/>
        </w:rPr>
        <w:t>提供</w:t>
      </w:r>
      <w:r>
        <w:rPr>
          <w:rFonts w:hint="eastAsia"/>
          <w:i w:val="0"/>
          <w:iCs w:val="0"/>
          <w:snapToGrid w:val="0"/>
          <w:color w:val="auto"/>
          <w:highlight w:val="none"/>
          <w:lang w:eastAsia="zh-CN"/>
        </w:rPr>
        <w:t>“</w:t>
      </w:r>
      <w:r>
        <w:rPr>
          <w:rFonts w:hint="eastAsia"/>
          <w:i w:val="0"/>
          <w:iCs w:val="0"/>
          <w:snapToGrid w:val="0"/>
          <w:color w:val="auto"/>
          <w:highlight w:val="none"/>
        </w:rPr>
        <w:t>中小企业声明函</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rPr>
        <w:t>监狱企业证明文件</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lang w:eastAsia="zh-CN"/>
        </w:rPr>
        <w:t>“</w:t>
      </w:r>
      <w:r>
        <w:rPr>
          <w:rFonts w:hint="eastAsia"/>
          <w:i w:val="0"/>
          <w:iCs w:val="0"/>
          <w:snapToGrid w:val="0"/>
          <w:color w:val="auto"/>
          <w:highlight w:val="none"/>
        </w:rPr>
        <w:t>残疾人福利性单位声明函</w:t>
      </w:r>
      <w:r>
        <w:rPr>
          <w:rFonts w:hint="eastAsia"/>
          <w:i w:val="0"/>
          <w:iCs w:val="0"/>
          <w:snapToGrid w:val="0"/>
          <w:color w:val="auto"/>
          <w:highlight w:val="none"/>
          <w:lang w:eastAsia="zh-CN"/>
        </w:rPr>
        <w:t>”</w:t>
      </w:r>
      <w:r>
        <w:rPr>
          <w:rFonts w:hint="eastAsia"/>
          <w:i w:val="0"/>
          <w:iCs w:val="0"/>
          <w:snapToGrid w:val="0"/>
          <w:color w:val="auto"/>
          <w:highlight w:val="none"/>
        </w:rPr>
        <w:t>，评审时，磋商小组将依据</w:t>
      </w:r>
      <w:r>
        <w:rPr>
          <w:rFonts w:hint="eastAsia"/>
          <w:i w:val="0"/>
          <w:iCs w:val="0"/>
          <w:snapToGrid w:val="0"/>
          <w:color w:val="auto"/>
          <w:highlight w:val="none"/>
          <w:lang w:eastAsia="zh-CN"/>
        </w:rPr>
        <w:t>本磋商文件</w:t>
      </w:r>
      <w:r>
        <w:rPr>
          <w:rFonts w:hint="eastAsia"/>
          <w:i w:val="0"/>
          <w:iCs w:val="0"/>
          <w:snapToGrid w:val="0"/>
          <w:color w:val="auto"/>
          <w:highlight w:val="none"/>
        </w:rPr>
        <w:t>“供应商须知前附表”规定的报价扣除比例，对供应商报价进行价格扣除，用扣除后的价格参与评审</w:t>
      </w:r>
      <w:r>
        <w:rPr>
          <w:rFonts w:hint="eastAsia"/>
          <w:i w:val="0"/>
          <w:iCs w:val="0"/>
          <w:snapToGrid w:val="0"/>
          <w:color w:val="auto"/>
          <w:highlight w:val="none"/>
          <w:lang w:eastAsia="zh-CN"/>
        </w:rPr>
        <w:t>；磋商公告中明确项目专门面向中小企业采购的，“</w:t>
      </w:r>
      <w:r>
        <w:rPr>
          <w:rFonts w:hint="eastAsia"/>
          <w:i w:val="0"/>
          <w:iCs w:val="0"/>
          <w:snapToGrid w:val="0"/>
          <w:color w:val="auto"/>
          <w:highlight w:val="none"/>
        </w:rPr>
        <w:t>中小企业声明函</w:t>
      </w:r>
      <w:r>
        <w:rPr>
          <w:rFonts w:hint="eastAsia"/>
          <w:i w:val="0"/>
          <w:iCs w:val="0"/>
          <w:snapToGrid w:val="0"/>
          <w:color w:val="auto"/>
          <w:highlight w:val="none"/>
          <w:lang w:eastAsia="zh-CN"/>
        </w:rPr>
        <w:t>”为资格要求文件，</w:t>
      </w:r>
      <w:r>
        <w:rPr>
          <w:rFonts w:hint="eastAsia"/>
          <w:i w:val="0"/>
          <w:iCs w:val="0"/>
          <w:snapToGrid w:val="0"/>
          <w:color w:val="auto"/>
          <w:highlight w:val="none"/>
        </w:rPr>
        <w:t>供应商</w:t>
      </w:r>
      <w:r>
        <w:rPr>
          <w:rFonts w:hint="eastAsia"/>
          <w:i w:val="0"/>
          <w:iCs w:val="0"/>
          <w:snapToGrid w:val="0"/>
          <w:color w:val="auto"/>
          <w:highlight w:val="none"/>
          <w:lang w:eastAsia="zh-CN"/>
        </w:rPr>
        <w:t>参与磋商须按本磋商文件规定格式</w:t>
      </w:r>
      <w:r>
        <w:rPr>
          <w:rFonts w:hint="eastAsia"/>
          <w:i w:val="0"/>
          <w:iCs w:val="0"/>
          <w:snapToGrid w:val="0"/>
          <w:color w:val="auto"/>
          <w:highlight w:val="none"/>
        </w:rPr>
        <w:t>提供</w:t>
      </w:r>
      <w:r>
        <w:rPr>
          <w:rFonts w:hint="eastAsia"/>
          <w:i w:val="0"/>
          <w:iCs w:val="0"/>
          <w:snapToGrid w:val="0"/>
          <w:color w:val="auto"/>
          <w:highlight w:val="none"/>
          <w:lang w:eastAsia="zh-CN"/>
        </w:rPr>
        <w:t>“</w:t>
      </w:r>
      <w:r>
        <w:rPr>
          <w:rFonts w:hint="eastAsia"/>
          <w:i w:val="0"/>
          <w:iCs w:val="0"/>
          <w:snapToGrid w:val="0"/>
          <w:color w:val="auto"/>
          <w:highlight w:val="none"/>
        </w:rPr>
        <w:t>中小企业声明函</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rPr>
        <w:t>监狱企业证明文件</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lang w:eastAsia="zh-CN"/>
        </w:rPr>
        <w:t>“</w:t>
      </w:r>
      <w:r>
        <w:rPr>
          <w:rFonts w:hint="eastAsia"/>
          <w:i w:val="0"/>
          <w:iCs w:val="0"/>
          <w:snapToGrid w:val="0"/>
          <w:color w:val="auto"/>
          <w:highlight w:val="none"/>
        </w:rPr>
        <w:t>残疾人福利性单位声明函</w:t>
      </w:r>
      <w:r>
        <w:rPr>
          <w:rFonts w:hint="eastAsia"/>
          <w:i w:val="0"/>
          <w:iCs w:val="0"/>
          <w:snapToGrid w:val="0"/>
          <w:color w:val="auto"/>
          <w:highlight w:val="none"/>
          <w:lang w:eastAsia="zh-CN"/>
        </w:rPr>
        <w:t>”等作为资格证明文件。</w:t>
      </w:r>
    </w:p>
    <w:p w14:paraId="4D5E12BD">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 xml:space="preserve">39.3供应商提供的货物、工程或者服务符合下列情形的，享受中小企业扶持政策： </w:t>
      </w:r>
    </w:p>
    <w:p w14:paraId="28856AB5">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1</w:t>
      </w:r>
      <w:r>
        <w:rPr>
          <w:rFonts w:hint="eastAsia"/>
          <w:i w:val="0"/>
          <w:iCs w:val="0"/>
          <w:snapToGrid w:val="0"/>
          <w:color w:val="auto"/>
          <w:highlight w:val="none"/>
          <w:lang w:val="en-US" w:eastAsia="zh-CN"/>
        </w:rPr>
        <w:t xml:space="preserve">在货物采购项目中，货物由中小企业制造，即货物由中小企业生产且使用该中小企业商号或者注册商标； </w:t>
      </w:r>
    </w:p>
    <w:p w14:paraId="54A96D92">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2</w:t>
      </w:r>
      <w:r>
        <w:rPr>
          <w:rFonts w:hint="eastAsia"/>
          <w:i w:val="0"/>
          <w:iCs w:val="0"/>
          <w:snapToGrid w:val="0"/>
          <w:color w:val="auto"/>
          <w:highlight w:val="none"/>
          <w:lang w:val="en-US" w:eastAsia="zh-CN"/>
        </w:rPr>
        <w:t xml:space="preserve">在工程采购项目中，工程由中小企业承建，即工程施工单位为中小企业； </w:t>
      </w:r>
    </w:p>
    <w:p w14:paraId="48F17DE5">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3</w:t>
      </w:r>
      <w:r>
        <w:rPr>
          <w:rFonts w:hint="eastAsia"/>
          <w:i w:val="0"/>
          <w:iCs w:val="0"/>
          <w:snapToGrid w:val="0"/>
          <w:color w:val="auto"/>
          <w:highlight w:val="none"/>
          <w:lang w:val="en-US" w:eastAsia="zh-CN"/>
        </w:rPr>
        <w:t>在服务采购项目中，服务由中小企业承接，即提供服务的人员为中小企业依照《中华人民共和国劳动合同法》订立劳动合同的从业人员。</w:t>
      </w:r>
    </w:p>
    <w:p w14:paraId="6564F254">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i w:val="0"/>
          <w:iCs w:val="0"/>
          <w:snapToGrid w:val="0"/>
          <w:color w:val="auto"/>
          <w:highlight w:val="none"/>
          <w:lang w:val="en-US" w:eastAsia="zh-CN"/>
        </w:rPr>
        <w:t>.</w:t>
      </w:r>
      <w:r>
        <w:rPr>
          <w:rFonts w:hint="eastAsia"/>
          <w:i w:val="0"/>
          <w:iCs w:val="0"/>
          <w:snapToGrid w:val="0"/>
          <w:color w:val="auto"/>
          <w:highlight w:val="none"/>
          <w:lang w:val="en-US" w:eastAsia="zh-CN"/>
        </w:rPr>
        <w:t>4</w:t>
      </w:r>
      <w:r>
        <w:rPr>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在货物采购项目中，供应商提供的货物既有中小企业制造货物，也有大型企业制造货物的，不享受中小企业扶持政策。 </w:t>
      </w:r>
    </w:p>
    <w:p w14:paraId="4ACE7CFF">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5</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以联合体形式参加政府采购活动，联合体各方均为中小企业的，联合体视同中小企业。其中，联合体各方均为小微企业的，联合体视同小微企业。      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6</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6CE3FE3">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7B3D1C25">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.1 </w:t>
      </w:r>
      <w:r>
        <w:rPr>
          <w:rFonts w:hint="eastAsia"/>
          <w:i w:val="0"/>
          <w:iCs w:val="0"/>
          <w:snapToGrid w:val="0"/>
          <w:color w:val="auto"/>
          <w:highlight w:val="none"/>
          <w:lang w:val="en-US" w:eastAsia="zh-CN"/>
        </w:rPr>
        <w:t xml:space="preserve">安置的残疾人占本单位在职职工人数的比例不低于 </w:t>
      </w:r>
      <w:r>
        <w:rPr>
          <w:rFonts w:hint="default"/>
          <w:i w:val="0"/>
          <w:iCs w:val="0"/>
          <w:snapToGrid w:val="0"/>
          <w:color w:val="auto"/>
          <w:highlight w:val="none"/>
          <w:lang w:val="en-US" w:eastAsia="zh-CN"/>
        </w:rPr>
        <w:t xml:space="preserve">25% </w:t>
      </w:r>
      <w:r>
        <w:rPr>
          <w:rFonts w:hint="eastAsia"/>
          <w:i w:val="0"/>
          <w:iCs w:val="0"/>
          <w:snapToGrid w:val="0"/>
          <w:color w:val="auto"/>
          <w:highlight w:val="none"/>
          <w:lang w:val="en-US" w:eastAsia="zh-CN"/>
        </w:rPr>
        <w:t xml:space="preserve">（含 </w:t>
      </w:r>
      <w:r>
        <w:rPr>
          <w:rFonts w:hint="default"/>
          <w:i w:val="0"/>
          <w:iCs w:val="0"/>
          <w:snapToGrid w:val="0"/>
          <w:color w:val="auto"/>
          <w:highlight w:val="none"/>
          <w:lang w:val="en-US" w:eastAsia="zh-CN"/>
        </w:rPr>
        <w:t>25%</w:t>
      </w:r>
      <w:r>
        <w:rPr>
          <w:rFonts w:hint="eastAsia"/>
          <w:i w:val="0"/>
          <w:iCs w:val="0"/>
          <w:snapToGrid w:val="0"/>
          <w:color w:val="auto"/>
          <w:highlight w:val="none"/>
          <w:lang w:val="en-US" w:eastAsia="zh-CN"/>
        </w:rPr>
        <w:t xml:space="preserve">），并且安置的残疾人人数不少于 </w:t>
      </w:r>
      <w:r>
        <w:rPr>
          <w:rFonts w:hint="default"/>
          <w:i w:val="0"/>
          <w:iCs w:val="0"/>
          <w:snapToGrid w:val="0"/>
          <w:color w:val="auto"/>
          <w:highlight w:val="none"/>
          <w:lang w:val="en-US" w:eastAsia="zh-CN"/>
        </w:rPr>
        <w:t xml:space="preserve">10 </w:t>
      </w:r>
      <w:r>
        <w:rPr>
          <w:rFonts w:hint="eastAsia"/>
          <w:i w:val="0"/>
          <w:iCs w:val="0"/>
          <w:snapToGrid w:val="0"/>
          <w:color w:val="auto"/>
          <w:highlight w:val="none"/>
          <w:lang w:val="en-US" w:eastAsia="zh-CN"/>
        </w:rPr>
        <w:t xml:space="preserve">人（含 </w:t>
      </w:r>
      <w:r>
        <w:rPr>
          <w:rFonts w:hint="default"/>
          <w:i w:val="0"/>
          <w:iCs w:val="0"/>
          <w:snapToGrid w:val="0"/>
          <w:color w:val="auto"/>
          <w:highlight w:val="none"/>
          <w:lang w:val="en-US" w:eastAsia="zh-CN"/>
        </w:rPr>
        <w:t>10</w:t>
      </w:r>
      <w:r>
        <w:rPr>
          <w:rFonts w:hint="eastAsia"/>
          <w:i w:val="0"/>
          <w:iCs w:val="0"/>
          <w:snapToGrid w:val="0"/>
          <w:color w:val="auto"/>
          <w:highlight w:val="none"/>
          <w:lang w:val="en-US" w:eastAsia="zh-CN"/>
        </w:rPr>
        <w:t xml:space="preserve">人）； </w:t>
      </w:r>
    </w:p>
    <w:p w14:paraId="69558579">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.2 </w:t>
      </w:r>
      <w:r>
        <w:rPr>
          <w:rFonts w:hint="eastAsia"/>
          <w:i w:val="0"/>
          <w:iCs w:val="0"/>
          <w:snapToGrid w:val="0"/>
          <w:color w:val="auto"/>
          <w:highlight w:val="none"/>
          <w:lang w:val="en-US" w:eastAsia="zh-CN"/>
        </w:rPr>
        <w:t xml:space="preserve">依法与安置的每位残疾人签订了1年以上（含1年）的劳动合同或服务协议； </w:t>
      </w:r>
    </w:p>
    <w:p w14:paraId="40185FCE">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.3 </w:t>
      </w:r>
      <w:r>
        <w:rPr>
          <w:rFonts w:hint="eastAsia"/>
          <w:i w:val="0"/>
          <w:iCs w:val="0"/>
          <w:snapToGrid w:val="0"/>
          <w:color w:val="auto"/>
          <w:highlight w:val="none"/>
          <w:lang w:val="en-US" w:eastAsia="zh-CN"/>
        </w:rPr>
        <w:t xml:space="preserve">为安置的每位残疾人按月足额缴纳了基本养老保险、基本医疗保险、失业保险、工伤保险和生育保险等社会保险费； </w:t>
      </w:r>
    </w:p>
    <w:p w14:paraId="45EC5F94">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.4 </w:t>
      </w:r>
      <w:r>
        <w:rPr>
          <w:rFonts w:hint="eastAsia"/>
          <w:i w:val="0"/>
          <w:iCs w:val="0"/>
          <w:snapToGrid w:val="0"/>
          <w:color w:val="auto"/>
          <w:highlight w:val="none"/>
          <w:lang w:val="en-US" w:eastAsia="zh-CN"/>
        </w:rPr>
        <w:t xml:space="preserve">通过银行等金融机构向安置的每位残疾人，按月支付了不低于单位所在区县适用的经省级人民政府批准的月最低工资标准的工资； </w:t>
      </w:r>
    </w:p>
    <w:p w14:paraId="1C5031C4">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.5 </w:t>
      </w:r>
      <w:r>
        <w:rPr>
          <w:rFonts w:hint="eastAsia"/>
          <w:i w:val="0"/>
          <w:iCs w:val="0"/>
          <w:snapToGrid w:val="0"/>
          <w:color w:val="auto"/>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78AAEEE">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.6 </w:t>
      </w:r>
      <w:r>
        <w:rPr>
          <w:rFonts w:hint="eastAsia"/>
          <w:i w:val="0"/>
          <w:iCs w:val="0"/>
          <w:snapToGrid w:val="0"/>
          <w:color w:val="auto"/>
          <w:highlight w:val="none"/>
          <w:lang w:val="en-US" w:eastAsia="zh-CN"/>
        </w:rPr>
        <w:t>前款所称残疾人是指法定劳动年龄内，持有《中华人民共和国残疾人证》或者《中华人民共和国残疾军人证（</w:t>
      </w:r>
      <w:r>
        <w:rPr>
          <w:i w:val="0"/>
          <w:iCs w:val="0"/>
          <w:snapToGrid w:val="0"/>
          <w:color w:val="auto"/>
          <w:highlight w:val="none"/>
          <w:lang w:val="en-US" w:eastAsia="zh-CN"/>
        </w:rPr>
        <w:t xml:space="preserve">1 </w:t>
      </w:r>
      <w:r>
        <w:rPr>
          <w:rFonts w:hint="eastAsia"/>
          <w:i w:val="0"/>
          <w:iCs w:val="0"/>
          <w:snapToGrid w:val="0"/>
          <w:color w:val="auto"/>
          <w:highlight w:val="none"/>
          <w:lang w:val="en-US" w:eastAsia="zh-CN"/>
        </w:rPr>
        <w:t xml:space="preserve">至 </w:t>
      </w:r>
      <w:r>
        <w:rPr>
          <w:rFonts w:hint="default"/>
          <w:i w:val="0"/>
          <w:iCs w:val="0"/>
          <w:snapToGrid w:val="0"/>
          <w:color w:val="auto"/>
          <w:highlight w:val="none"/>
          <w:lang w:val="en-US" w:eastAsia="zh-CN"/>
        </w:rPr>
        <w:t xml:space="preserve">8 </w:t>
      </w:r>
      <w:r>
        <w:rPr>
          <w:rFonts w:hint="eastAsia"/>
          <w:i w:val="0"/>
          <w:iCs w:val="0"/>
          <w:snapToGrid w:val="0"/>
          <w:color w:val="auto"/>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2D1237DB">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8</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本项目是否专门面向中小企业预留采购份额见“第一章 竞争性磋商邀请”。</w:t>
      </w:r>
    </w:p>
    <w:p w14:paraId="5A70CB6C">
      <w:pPr>
        <w:pStyle w:val="40"/>
        <w:keepNext w:val="0"/>
        <w:keepLines w:val="0"/>
        <w:pageBreakBefore w:val="0"/>
        <w:widowControl w:val="0"/>
        <w:kinsoku/>
        <w:overflowPunct/>
        <w:topLinePunct w:val="0"/>
        <w:bidi w:val="0"/>
        <w:ind w:firstLine="480"/>
        <w:textAlignment w:val="auto"/>
        <w:rPr>
          <w:rFonts w:hint="eastAsia"/>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9</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采购标的对应的中小企业划分标准所属行业见“供应商须知前附表”。    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10小微企业价格评审优惠的政策调整：见“第四章 评审方法及标准”。</w:t>
      </w:r>
    </w:p>
    <w:p w14:paraId="76C0345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8" w:name="_Toc161600343"/>
      <w:r>
        <w:rPr>
          <w:rFonts w:hint="eastAsia" w:ascii="宋体" w:hAnsi="宋体" w:eastAsia="宋体" w:cs="宋体"/>
          <w:b/>
          <w:bCs/>
          <w:color w:val="auto"/>
          <w:kern w:val="2"/>
          <w:sz w:val="24"/>
          <w:szCs w:val="24"/>
          <w:highlight w:val="none"/>
          <w:lang w:val="en-US" w:eastAsia="zh-CN" w:bidi="ar-SA"/>
        </w:rPr>
        <w:t>40.政府采购节能产品、环境标志产品</w:t>
      </w:r>
      <w:bookmarkEnd w:id="378"/>
    </w:p>
    <w:p w14:paraId="64FC5172">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i w:val="0"/>
          <w:iCs w:val="0"/>
          <w:snapToGrid w:val="0"/>
          <w:color w:val="auto"/>
          <w:highlight w:val="none"/>
          <w:lang w:val="en-US" w:eastAsia="zh-CN"/>
        </w:rPr>
        <w:t xml:space="preserve">.1 </w:t>
      </w:r>
      <w:r>
        <w:rPr>
          <w:rFonts w:hint="eastAsia"/>
          <w:i w:val="0"/>
          <w:iCs w:val="0"/>
          <w:snapToGrid w:val="0"/>
          <w:color w:val="auto"/>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i w:val="0"/>
          <w:iCs w:val="0"/>
          <w:snapToGrid w:val="0"/>
          <w:color w:val="auto"/>
          <w:highlight w:val="none"/>
          <w:lang w:val="en-US" w:eastAsia="zh-CN"/>
        </w:rPr>
        <w:t>2019</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9 </w:t>
      </w:r>
      <w:r>
        <w:rPr>
          <w:rFonts w:hint="eastAsia"/>
          <w:i w:val="0"/>
          <w:iCs w:val="0"/>
          <w:snapToGrid w:val="0"/>
          <w:color w:val="auto"/>
          <w:highlight w:val="none"/>
          <w:lang w:val="en-US" w:eastAsia="zh-CN"/>
        </w:rPr>
        <w:t xml:space="preserve">号）、《关于印发环境标志产品政府采购品目清单的通知》（财库〔2019〕18号）、《关于印发节能产品政府采购品目清单的通知》（财库〔2019〕19号）的规定。 </w:t>
      </w:r>
    </w:p>
    <w:p w14:paraId="017FF1A4">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.2 </w:t>
      </w:r>
      <w:r>
        <w:rPr>
          <w:rFonts w:hint="eastAsia"/>
          <w:i w:val="0"/>
          <w:iCs w:val="0"/>
          <w:snapToGrid w:val="0"/>
          <w:color w:val="auto"/>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3797307">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.3 </w:t>
      </w:r>
      <w:r>
        <w:rPr>
          <w:rFonts w:hint="eastAsia"/>
          <w:i w:val="0"/>
          <w:iCs w:val="0"/>
          <w:snapToGrid w:val="0"/>
          <w:color w:val="auto"/>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b/>
          <w:bCs/>
          <w:i w:val="0"/>
          <w:iCs w:val="0"/>
          <w:snapToGrid w:val="0"/>
          <w:color w:val="auto"/>
          <w:highlight w:val="none"/>
          <w:lang w:val="en-US" w:eastAsia="zh-CN"/>
        </w:rPr>
        <w:t>响应无效</w:t>
      </w:r>
      <w:r>
        <w:rPr>
          <w:rFonts w:hint="eastAsia"/>
          <w:i w:val="0"/>
          <w:iCs w:val="0"/>
          <w:snapToGrid w:val="0"/>
          <w:color w:val="auto"/>
          <w:highlight w:val="none"/>
          <w:lang w:val="en-US" w:eastAsia="zh-CN"/>
        </w:rPr>
        <w:t xml:space="preserve">。 </w:t>
      </w:r>
    </w:p>
    <w:p w14:paraId="73ADF023">
      <w:pPr>
        <w:pStyle w:val="40"/>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.4 </w:t>
      </w:r>
      <w:r>
        <w:rPr>
          <w:rFonts w:hint="eastAsia"/>
          <w:i w:val="0"/>
          <w:iCs w:val="0"/>
          <w:snapToGrid w:val="0"/>
          <w:color w:val="auto"/>
          <w:highlight w:val="none"/>
          <w:lang w:val="en-US" w:eastAsia="zh-CN"/>
        </w:rPr>
        <w:t>非政府强制采购的节能产品或环境标志产品，依据品目清单和认证证书实施政府优先采购。优先采购的具体规定见“第四章 评审方法及标准”（如涉及）。</w:t>
      </w:r>
    </w:p>
    <w:p w14:paraId="1E54CD45">
      <w:pPr>
        <w:pStyle w:val="40"/>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snapToGrid w:val="0"/>
          <w:color w:val="auto"/>
          <w:highlight w:val="none"/>
          <w:lang w:val="en-US" w:eastAsia="zh-CN"/>
        </w:rPr>
        <w:t>40.5 供应商</w:t>
      </w:r>
      <w:r>
        <w:rPr>
          <w:rFonts w:hint="eastAsia"/>
          <w:i w:val="0"/>
          <w:iCs w:val="0"/>
          <w:snapToGrid w:val="0"/>
          <w:color w:val="auto"/>
          <w:highlight w:val="none"/>
        </w:rPr>
        <w:t>所</w:t>
      </w:r>
      <w:r>
        <w:rPr>
          <w:rFonts w:hint="eastAsia"/>
          <w:i w:val="0"/>
          <w:iCs w:val="0"/>
          <w:snapToGrid w:val="0"/>
          <w:color w:val="auto"/>
          <w:highlight w:val="none"/>
          <w:lang w:val="en-US" w:eastAsia="zh-CN"/>
        </w:rPr>
        <w:t>报</w:t>
      </w:r>
      <w:r>
        <w:rPr>
          <w:rFonts w:hint="eastAsia"/>
          <w:i w:val="0"/>
          <w:iCs w:val="0"/>
          <w:snapToGrid w:val="0"/>
          <w:color w:val="auto"/>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i w:val="0"/>
          <w:iCs w:val="0"/>
          <w:snapToGrid w:val="0"/>
          <w:color w:val="auto"/>
          <w:highlight w:val="none"/>
          <w:lang w:val="en-US" w:eastAsia="zh-CN"/>
        </w:rPr>
        <w:t>报</w:t>
      </w:r>
      <w:r>
        <w:rPr>
          <w:rFonts w:hint="eastAsia"/>
          <w:i w:val="0"/>
          <w:iCs w:val="0"/>
          <w:snapToGrid w:val="0"/>
          <w:color w:val="auto"/>
          <w:highlight w:val="none"/>
        </w:rPr>
        <w:t>产品不一致的，视为未提供。属于政府强制采购产品的，</w:t>
      </w:r>
      <w:r>
        <w:rPr>
          <w:i w:val="0"/>
          <w:iCs w:val="0"/>
          <w:snapToGrid w:val="0"/>
          <w:color w:val="auto"/>
          <w:highlight w:val="none"/>
        </w:rPr>
        <w:t>已作为</w:t>
      </w:r>
      <w:r>
        <w:rPr>
          <w:rFonts w:hint="eastAsia"/>
          <w:i w:val="0"/>
          <w:iCs w:val="0"/>
          <w:snapToGrid w:val="0"/>
          <w:color w:val="auto"/>
          <w:highlight w:val="none"/>
          <w:lang w:val="en-US" w:eastAsia="zh-CN"/>
        </w:rPr>
        <w:t>响应</w:t>
      </w:r>
      <w:r>
        <w:rPr>
          <w:i w:val="0"/>
          <w:iCs w:val="0"/>
          <w:snapToGrid w:val="0"/>
          <w:color w:val="auto"/>
          <w:highlight w:val="none"/>
        </w:rPr>
        <w:t>时强制性要求不再给予</w:t>
      </w:r>
      <w:r>
        <w:rPr>
          <w:rFonts w:hint="eastAsia"/>
          <w:i w:val="0"/>
          <w:iCs w:val="0"/>
          <w:snapToGrid w:val="0"/>
          <w:color w:val="auto"/>
          <w:highlight w:val="none"/>
          <w:lang w:val="en-US" w:eastAsia="zh-CN"/>
        </w:rPr>
        <w:t>价格评审优惠</w:t>
      </w:r>
      <w:r>
        <w:rPr>
          <w:rFonts w:hint="eastAsia"/>
          <w:i w:val="0"/>
          <w:iCs w:val="0"/>
          <w:snapToGrid w:val="0"/>
          <w:color w:val="auto"/>
          <w:highlight w:val="none"/>
        </w:rPr>
        <w:t>，未提供认证证书的视为</w:t>
      </w:r>
      <w:r>
        <w:rPr>
          <w:rFonts w:hint="eastAsia"/>
          <w:b/>
          <w:bCs/>
          <w:i w:val="0"/>
          <w:iCs w:val="0"/>
          <w:snapToGrid w:val="0"/>
          <w:color w:val="auto"/>
          <w:highlight w:val="none"/>
        </w:rPr>
        <w:t>无效响应</w:t>
      </w:r>
      <w:r>
        <w:rPr>
          <w:rFonts w:hint="eastAsia"/>
          <w:i w:val="0"/>
          <w:iCs w:val="0"/>
          <w:snapToGrid w:val="0"/>
          <w:color w:val="auto"/>
          <w:highlight w:val="none"/>
        </w:rPr>
        <w:t>。属于</w:t>
      </w:r>
      <w:r>
        <w:rPr>
          <w:rFonts w:hint="eastAsia"/>
          <w:i w:val="0"/>
          <w:iCs w:val="0"/>
          <w:snapToGrid w:val="0"/>
          <w:color w:val="auto"/>
          <w:highlight w:val="none"/>
          <w:lang w:val="en-US" w:eastAsia="zh-CN"/>
        </w:rPr>
        <w:t>优先采购</w:t>
      </w:r>
      <w:r>
        <w:rPr>
          <w:rFonts w:hint="eastAsia"/>
          <w:i w:val="0"/>
          <w:iCs w:val="0"/>
          <w:snapToGrid w:val="0"/>
          <w:color w:val="auto"/>
          <w:highlight w:val="none"/>
        </w:rPr>
        <w:t>节能产品政府采购品目清单、环境标志产品政府采购品目清单</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创新产品</w:t>
      </w:r>
      <w:r>
        <w:rPr>
          <w:rFonts w:hint="eastAsia"/>
          <w:i w:val="0"/>
          <w:iCs w:val="0"/>
          <w:snapToGrid w:val="0"/>
          <w:color w:val="auto"/>
          <w:highlight w:val="none"/>
        </w:rPr>
        <w:t>范围的，按照“</w:t>
      </w:r>
      <w:r>
        <w:rPr>
          <w:rFonts w:hint="eastAsia"/>
          <w:i w:val="0"/>
          <w:iCs w:val="0"/>
          <w:snapToGrid w:val="0"/>
          <w:color w:val="auto"/>
          <w:highlight w:val="none"/>
          <w:lang w:val="en-US" w:eastAsia="zh-CN"/>
        </w:rPr>
        <w:t>第四章 评审方法及标准</w:t>
      </w:r>
      <w:r>
        <w:rPr>
          <w:rFonts w:hint="eastAsia"/>
          <w:i w:val="0"/>
          <w:iCs w:val="0"/>
          <w:snapToGrid w:val="0"/>
          <w:color w:val="auto"/>
          <w:highlight w:val="none"/>
        </w:rPr>
        <w:t>”中相关规定</w:t>
      </w:r>
      <w:r>
        <w:rPr>
          <w:rFonts w:hint="eastAsia"/>
          <w:i w:val="0"/>
          <w:iCs w:val="0"/>
          <w:color w:val="auto"/>
          <w:highlight w:val="none"/>
          <w:lang w:val="en-US" w:eastAsia="zh-CN"/>
        </w:rPr>
        <w:t>在评审时给予</w:t>
      </w:r>
      <w:r>
        <w:rPr>
          <w:rFonts w:hint="eastAsia"/>
          <w:i w:val="0"/>
          <w:iCs w:val="0"/>
          <w:snapToGrid w:val="0"/>
          <w:color w:val="auto"/>
          <w:highlight w:val="none"/>
          <w:lang w:val="en-US" w:eastAsia="zh-CN"/>
        </w:rPr>
        <w:t>价格评审优惠</w:t>
      </w:r>
      <w:r>
        <w:rPr>
          <w:rFonts w:hint="eastAsia"/>
          <w:i w:val="0"/>
          <w:iCs w:val="0"/>
          <w:color w:val="auto"/>
          <w:highlight w:val="none"/>
          <w:lang w:val="en-US" w:eastAsia="zh-CN"/>
        </w:rPr>
        <w:t>，具体详见</w:t>
      </w:r>
      <w:r>
        <w:rPr>
          <w:rFonts w:hint="eastAsia"/>
          <w:i w:val="0"/>
          <w:iCs w:val="0"/>
          <w:snapToGrid w:val="0"/>
          <w:color w:val="auto"/>
          <w:highlight w:val="none"/>
          <w:lang w:val="en-US" w:eastAsia="zh-CN"/>
        </w:rPr>
        <w:t>“供应商须知前附表”及</w:t>
      </w:r>
      <w:r>
        <w:rPr>
          <w:rFonts w:hint="eastAsia"/>
          <w:i w:val="0"/>
          <w:iCs w:val="0"/>
          <w:color w:val="auto"/>
          <w:highlight w:val="none"/>
          <w:lang w:val="en-US" w:eastAsia="zh-CN"/>
        </w:rPr>
        <w:t>“第四章 评审方法及标准”</w:t>
      </w:r>
      <w:r>
        <w:rPr>
          <w:rFonts w:hint="eastAsia"/>
          <w:i w:val="0"/>
          <w:iCs w:val="0"/>
          <w:color w:val="auto"/>
          <w:highlight w:val="none"/>
        </w:rPr>
        <w:t>。</w:t>
      </w:r>
    </w:p>
    <w:p w14:paraId="17C511E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41.正版软件</w:t>
      </w:r>
    </w:p>
    <w:p w14:paraId="1F0E8307">
      <w:pPr>
        <w:pStyle w:val="40"/>
        <w:keepNext w:val="0"/>
        <w:keepLines w:val="0"/>
        <w:pageBreakBefore w:val="0"/>
        <w:widowControl w:val="0"/>
        <w:kinsoku/>
        <w:overflowPunct/>
        <w:topLinePunct w:val="0"/>
        <w:autoSpaceDE/>
        <w:autoSpaceDN/>
        <w:bidi w:val="0"/>
        <w:adjustRightInd/>
        <w:snapToGri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41.1 依据《财政部 国家发展改革委 信息产业部关于印发无线局域网产品政府采购实施意见的通知》（财库〔</w:t>
      </w:r>
      <w:r>
        <w:rPr>
          <w:rFonts w:hint="default"/>
          <w:i w:val="0"/>
          <w:iCs w:val="0"/>
          <w:snapToGrid w:val="0"/>
          <w:color w:val="auto"/>
          <w:highlight w:val="none"/>
          <w:lang w:val="en-US" w:eastAsia="zh-CN"/>
        </w:rPr>
        <w:t>2005</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366 </w:t>
      </w:r>
      <w:r>
        <w:rPr>
          <w:rFonts w:hint="eastAsia"/>
          <w:i w:val="0"/>
          <w:iCs w:val="0"/>
          <w:snapToGrid w:val="0"/>
          <w:color w:val="auto"/>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b/>
          <w:bCs/>
          <w:i w:val="0"/>
          <w:iCs w:val="0"/>
          <w:snapToGrid w:val="0"/>
          <w:color w:val="auto"/>
          <w:highlight w:val="none"/>
          <w:lang w:val="en-US" w:eastAsia="zh-CN"/>
        </w:rPr>
        <w:t>响应无效</w:t>
      </w:r>
      <w:r>
        <w:rPr>
          <w:rFonts w:hint="eastAsia"/>
          <w:i w:val="0"/>
          <w:iCs w:val="0"/>
          <w:snapToGrid w:val="0"/>
          <w:color w:val="auto"/>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34806368">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41.2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7A1724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42.网络安全专用产品 </w:t>
      </w:r>
    </w:p>
    <w:p w14:paraId="4CF97C48">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42.1 所报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 </w:t>
      </w:r>
    </w:p>
    <w:p w14:paraId="05D0648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43.采购需求标准 </w:t>
      </w:r>
    </w:p>
    <w:bookmarkEnd w:id="364"/>
    <w:bookmarkEnd w:id="365"/>
    <w:bookmarkEnd w:id="366"/>
    <w:bookmarkEnd w:id="367"/>
    <w:bookmarkEnd w:id="368"/>
    <w:p w14:paraId="12518086">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bookmarkStart w:id="379" w:name="_Toc109897475"/>
      <w:bookmarkStart w:id="380" w:name="_Toc109899993"/>
      <w:bookmarkStart w:id="381" w:name="_Toc163493622"/>
      <w:bookmarkStart w:id="382" w:name="_Toc109899574"/>
      <w:bookmarkStart w:id="383" w:name="_Toc109900412"/>
      <w:r>
        <w:rPr>
          <w:rFonts w:hint="eastAsia"/>
          <w:i w:val="0"/>
          <w:iCs w:val="0"/>
          <w:snapToGrid w:val="0"/>
          <w:color w:val="auto"/>
          <w:highlight w:val="none"/>
          <w:lang w:val="en-US" w:eastAsia="zh-CN"/>
        </w:rPr>
        <w:t xml:space="preserve">43.1 商品包装、快递包装政府采购需求标准（试行） </w:t>
      </w:r>
    </w:p>
    <w:p w14:paraId="527BC2D1">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 项目采购需求”。 </w:t>
      </w:r>
    </w:p>
    <w:p w14:paraId="088B5DEF">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43.2 绿色数据中心政府采购需求标准（试行） </w:t>
      </w:r>
    </w:p>
    <w:p w14:paraId="2BAD2545">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 项目采购需求”。 </w:t>
      </w:r>
    </w:p>
    <w:p w14:paraId="33C6F27D">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43.3台式计算机政府采购需求标准</w:t>
      </w:r>
    </w:p>
    <w:p w14:paraId="7FE94F3A">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 项目采购需求”。</w:t>
      </w:r>
    </w:p>
    <w:p w14:paraId="683C9A61">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43.4便携式计算机政府采购需求标准</w:t>
      </w:r>
    </w:p>
    <w:p w14:paraId="56D621A3">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 项目采购需求”。</w:t>
      </w:r>
    </w:p>
    <w:p w14:paraId="48ED6666">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43.5一体式计算机政府采购需求标准</w:t>
      </w:r>
    </w:p>
    <w:p w14:paraId="7A06F60A">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 项目采购需求”。</w:t>
      </w:r>
    </w:p>
    <w:p w14:paraId="6AA36A4C">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43.6工作站政府采购需求标准</w:t>
      </w:r>
    </w:p>
    <w:p w14:paraId="401E4836">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 项目采购需求”。</w:t>
      </w:r>
    </w:p>
    <w:p w14:paraId="6AA55F4D">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43.7通用服务器政府采购需求标准</w:t>
      </w:r>
    </w:p>
    <w:p w14:paraId="6FE6FE7A">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 项目采购需求”。</w:t>
      </w:r>
    </w:p>
    <w:p w14:paraId="5E799E3E">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43.8操作系统政府采购需求标准</w:t>
      </w:r>
    </w:p>
    <w:p w14:paraId="71E70859">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 项目采购需求”。</w:t>
      </w:r>
    </w:p>
    <w:p w14:paraId="757FBE31">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43.9数据库政府采购需求标准</w:t>
      </w:r>
    </w:p>
    <w:p w14:paraId="4096E2F1">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 项目采购需求”。</w:t>
      </w:r>
    </w:p>
    <w:p w14:paraId="0F23144D">
      <w:pPr>
        <w:pStyle w:val="40"/>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43.10物业管理服务政府采购需求标准（办公场所类）（试行）</w:t>
      </w:r>
    </w:p>
    <w:p w14:paraId="0169F247">
      <w:pPr>
        <w:pStyle w:val="40"/>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 项目采购需求”。</w:t>
      </w:r>
    </w:p>
    <w:p w14:paraId="38AF6858">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4" w:name="_Toc141"/>
      <w:r>
        <w:rPr>
          <w:rFonts w:hint="eastAsia" w:ascii="宋体" w:hAnsi="宋体" w:eastAsia="宋体" w:cs="宋体"/>
          <w:b/>
          <w:bCs/>
          <w:color w:val="auto"/>
          <w:kern w:val="2"/>
          <w:sz w:val="24"/>
          <w:szCs w:val="24"/>
          <w:highlight w:val="none"/>
          <w:lang w:val="en-US" w:eastAsia="zh-CN" w:bidi="ar-SA"/>
        </w:rPr>
        <w:t>（十四）政府采购合同融资政策</w:t>
      </w:r>
      <w:bookmarkEnd w:id="379"/>
      <w:bookmarkEnd w:id="380"/>
      <w:bookmarkEnd w:id="381"/>
      <w:bookmarkEnd w:id="382"/>
      <w:bookmarkEnd w:id="383"/>
      <w:bookmarkEnd w:id="384"/>
    </w:p>
    <w:p w14:paraId="78CE466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5" w:name="_Toc161600345"/>
      <w:bookmarkStart w:id="386" w:name="_Toc109897476"/>
      <w:r>
        <w:rPr>
          <w:rFonts w:hint="eastAsia" w:ascii="宋体" w:hAnsi="宋体" w:eastAsia="宋体" w:cs="宋体"/>
          <w:b/>
          <w:bCs/>
          <w:color w:val="auto"/>
          <w:kern w:val="2"/>
          <w:sz w:val="24"/>
          <w:szCs w:val="24"/>
          <w:highlight w:val="none"/>
          <w:lang w:val="en-US" w:eastAsia="zh-CN" w:bidi="ar-SA"/>
        </w:rPr>
        <w:t>44.政府采购合同融资政策</w:t>
      </w:r>
      <w:bookmarkEnd w:id="385"/>
    </w:p>
    <w:p w14:paraId="59269D30">
      <w:pPr>
        <w:pStyle w:val="40"/>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4</w:t>
      </w:r>
      <w:r>
        <w:rPr>
          <w:rFonts w:hint="eastAsia"/>
          <w:i w:val="0"/>
          <w:iCs w:val="0"/>
          <w:color w:val="auto"/>
          <w:highlight w:val="none"/>
          <w:lang w:val="en-US" w:eastAsia="zh-CN"/>
        </w:rPr>
        <w:t>4</w:t>
      </w:r>
      <w:r>
        <w:rPr>
          <w:rFonts w:hint="eastAsia"/>
          <w:i w:val="0"/>
          <w:iCs w:val="0"/>
          <w:color w:val="auto"/>
          <w:highlight w:val="none"/>
        </w:rPr>
        <w:t>.1政府采购合同融资政策：见供应商须知前附表。</w:t>
      </w:r>
    </w:p>
    <w:p w14:paraId="032E5A3C">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7" w:name="_Toc109900413"/>
      <w:bookmarkStart w:id="388" w:name="_Toc163493623"/>
      <w:bookmarkStart w:id="389" w:name="_Toc109899575"/>
      <w:bookmarkStart w:id="390" w:name="_Toc109899994"/>
      <w:bookmarkStart w:id="391" w:name="_Toc9657"/>
      <w:r>
        <w:rPr>
          <w:rFonts w:hint="eastAsia" w:ascii="宋体" w:hAnsi="宋体" w:eastAsia="宋体" w:cs="宋体"/>
          <w:b/>
          <w:bCs/>
          <w:color w:val="auto"/>
          <w:kern w:val="2"/>
          <w:sz w:val="24"/>
          <w:szCs w:val="24"/>
          <w:highlight w:val="none"/>
          <w:lang w:val="en-US" w:eastAsia="zh-CN" w:bidi="ar-SA"/>
        </w:rPr>
        <w:t>（十五）其他</w:t>
      </w:r>
      <w:bookmarkEnd w:id="386"/>
      <w:bookmarkEnd w:id="387"/>
      <w:bookmarkEnd w:id="388"/>
      <w:bookmarkEnd w:id="389"/>
      <w:bookmarkEnd w:id="390"/>
      <w:bookmarkEnd w:id="391"/>
    </w:p>
    <w:p w14:paraId="0C2C4C1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2" w:name="_Toc161600347"/>
      <w:r>
        <w:rPr>
          <w:rFonts w:hint="eastAsia" w:ascii="宋体" w:hAnsi="宋体" w:eastAsia="宋体" w:cs="宋体"/>
          <w:b/>
          <w:bCs/>
          <w:color w:val="auto"/>
          <w:kern w:val="2"/>
          <w:sz w:val="24"/>
          <w:szCs w:val="24"/>
          <w:highlight w:val="none"/>
          <w:lang w:val="en-US" w:eastAsia="zh-CN" w:bidi="ar-SA"/>
        </w:rPr>
        <w:t>45.需要补充的其他内容</w:t>
      </w:r>
      <w:bookmarkEnd w:id="392"/>
    </w:p>
    <w:p w14:paraId="3957C993">
      <w:pPr>
        <w:pStyle w:val="40"/>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4</w:t>
      </w:r>
      <w:r>
        <w:rPr>
          <w:rFonts w:hint="eastAsia"/>
          <w:i w:val="0"/>
          <w:iCs w:val="0"/>
          <w:color w:val="auto"/>
          <w:highlight w:val="none"/>
          <w:lang w:val="en-US" w:eastAsia="zh-CN"/>
        </w:rPr>
        <w:t>5</w:t>
      </w:r>
      <w:r>
        <w:rPr>
          <w:rFonts w:hint="eastAsia"/>
          <w:i w:val="0"/>
          <w:iCs w:val="0"/>
          <w:color w:val="auto"/>
          <w:highlight w:val="none"/>
        </w:rPr>
        <w:t>.1需要补充的其他内容：见供应商须知前附表。</w:t>
      </w:r>
    </w:p>
    <w:p w14:paraId="740594B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3" w:name="_Toc109899576"/>
      <w:bookmarkStart w:id="394" w:name="_Toc109897477"/>
      <w:bookmarkStart w:id="395" w:name="_Toc109900414"/>
      <w:bookmarkStart w:id="396" w:name="_Toc109899995"/>
      <w:r>
        <w:rPr>
          <w:rFonts w:hint="eastAsia" w:ascii="宋体" w:hAnsi="宋体" w:eastAsia="宋体" w:cs="宋体"/>
          <w:b/>
          <w:bCs/>
          <w:color w:val="auto"/>
          <w:kern w:val="2"/>
          <w:sz w:val="24"/>
          <w:szCs w:val="24"/>
          <w:highlight w:val="none"/>
          <w:lang w:val="en-US" w:eastAsia="zh-CN" w:bidi="ar-SA"/>
        </w:rPr>
        <w:t>46.适用法律</w:t>
      </w:r>
      <w:bookmarkEnd w:id="393"/>
      <w:bookmarkEnd w:id="394"/>
      <w:bookmarkEnd w:id="395"/>
      <w:bookmarkEnd w:id="396"/>
    </w:p>
    <w:p w14:paraId="48B6B3F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4</w:t>
      </w:r>
      <w:r>
        <w:rPr>
          <w:rFonts w:hint="eastAsia" w:cs="仿宋_GB2312"/>
          <w:i w:val="0"/>
          <w:iCs w:val="0"/>
          <w:snapToGrid w:val="0"/>
          <w:color w:val="auto"/>
          <w:szCs w:val="24"/>
          <w:highlight w:val="none"/>
          <w:lang w:val="en-US" w:eastAsia="zh-CN"/>
        </w:rPr>
        <w:t>6</w:t>
      </w:r>
      <w:r>
        <w:rPr>
          <w:rFonts w:cs="仿宋_GB2312"/>
          <w:i w:val="0"/>
          <w:iCs w:val="0"/>
          <w:snapToGrid w:val="0"/>
          <w:color w:val="auto"/>
          <w:szCs w:val="24"/>
          <w:highlight w:val="none"/>
          <w:lang w:val="zh-CN"/>
        </w:rPr>
        <w:t>.1</w:t>
      </w:r>
      <w:r>
        <w:rPr>
          <w:rFonts w:hint="eastAsia" w:cs="仿宋_GB2312"/>
          <w:i w:val="0"/>
          <w:iCs w:val="0"/>
          <w:snapToGrid w:val="0"/>
          <w:color w:val="auto"/>
          <w:szCs w:val="24"/>
          <w:highlight w:val="none"/>
          <w:lang w:val="zh-CN"/>
        </w:rPr>
        <w:t>采购人、采购代理机构及供应商的一切采购活动均适用《</w:t>
      </w:r>
      <w:r>
        <w:rPr>
          <w:rFonts w:hint="eastAsia"/>
          <w:i w:val="0"/>
          <w:iCs w:val="0"/>
          <w:snapToGrid w:val="0"/>
          <w:color w:val="auto"/>
          <w:highlight w:val="none"/>
        </w:rPr>
        <w:t>中华人民共和国</w:t>
      </w:r>
      <w:r>
        <w:rPr>
          <w:rFonts w:hint="eastAsia" w:cs="仿宋_GB2312"/>
          <w:i w:val="0"/>
          <w:iCs w:val="0"/>
          <w:snapToGrid w:val="0"/>
          <w:color w:val="auto"/>
          <w:szCs w:val="24"/>
          <w:highlight w:val="none"/>
          <w:lang w:val="zh-CN"/>
        </w:rPr>
        <w:t>政府采购法》、《</w:t>
      </w:r>
      <w:r>
        <w:rPr>
          <w:rFonts w:hint="eastAsia"/>
          <w:i w:val="0"/>
          <w:iCs w:val="0"/>
          <w:snapToGrid w:val="0"/>
          <w:color w:val="auto"/>
          <w:highlight w:val="none"/>
        </w:rPr>
        <w:t>中华人民共和国</w:t>
      </w:r>
      <w:r>
        <w:rPr>
          <w:rFonts w:hint="eastAsia" w:cs="仿宋_GB2312"/>
          <w:i w:val="0"/>
          <w:iCs w:val="0"/>
          <w:snapToGrid w:val="0"/>
          <w:color w:val="auto"/>
          <w:szCs w:val="24"/>
          <w:highlight w:val="none"/>
          <w:lang w:val="zh-CN"/>
        </w:rPr>
        <w:t>政府采购法实施条例》、</w:t>
      </w:r>
      <w:r>
        <w:rPr>
          <w:rFonts w:hint="eastAsia" w:cs="宋体"/>
          <w:i w:val="0"/>
          <w:iCs w:val="0"/>
          <w:color w:val="auto"/>
          <w:szCs w:val="24"/>
          <w:highlight w:val="none"/>
        </w:rPr>
        <w:t>《政府采购竞争性磋商采购方式管理暂行办法》（财库〔</w:t>
      </w:r>
      <w:r>
        <w:rPr>
          <w:rFonts w:cs="宋体"/>
          <w:i w:val="0"/>
          <w:iCs w:val="0"/>
          <w:color w:val="auto"/>
          <w:szCs w:val="24"/>
          <w:highlight w:val="none"/>
        </w:rPr>
        <w:t>2014〕214号</w:t>
      </w:r>
      <w:r>
        <w:rPr>
          <w:rFonts w:hint="eastAsia" w:cs="宋体"/>
          <w:i w:val="0"/>
          <w:iCs w:val="0"/>
          <w:color w:val="auto"/>
          <w:szCs w:val="24"/>
          <w:highlight w:val="none"/>
        </w:rPr>
        <w:t>）</w:t>
      </w:r>
      <w:r>
        <w:rPr>
          <w:rFonts w:hint="eastAsia" w:cs="仿宋_GB2312"/>
          <w:i w:val="0"/>
          <w:iCs w:val="0"/>
          <w:snapToGrid w:val="0"/>
          <w:color w:val="auto"/>
          <w:szCs w:val="24"/>
          <w:highlight w:val="none"/>
          <w:lang w:val="zh-CN"/>
        </w:rPr>
        <w:t>及相关法律法规。</w:t>
      </w:r>
    </w:p>
    <w:p w14:paraId="7EF83039">
      <w:pPr>
        <w:pStyle w:val="40"/>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cs="仿宋_GB2312"/>
          <w:i w:val="0"/>
          <w:iCs w:val="0"/>
          <w:snapToGrid w:val="0"/>
          <w:color w:val="auto"/>
          <w:szCs w:val="24"/>
          <w:highlight w:val="none"/>
          <w:lang w:val="zh-CN"/>
        </w:rPr>
        <w:t>4</w:t>
      </w:r>
      <w:r>
        <w:rPr>
          <w:rFonts w:hint="eastAsia" w:cs="仿宋_GB2312"/>
          <w:i w:val="0"/>
          <w:iCs w:val="0"/>
          <w:snapToGrid w:val="0"/>
          <w:color w:val="auto"/>
          <w:szCs w:val="24"/>
          <w:highlight w:val="none"/>
          <w:lang w:val="en-US" w:eastAsia="zh-CN"/>
        </w:rPr>
        <w:t>6</w:t>
      </w:r>
      <w:r>
        <w:rPr>
          <w:rFonts w:cs="仿宋_GB2312"/>
          <w:i w:val="0"/>
          <w:iCs w:val="0"/>
          <w:snapToGrid w:val="0"/>
          <w:color w:val="auto"/>
          <w:szCs w:val="24"/>
          <w:highlight w:val="none"/>
          <w:lang w:val="zh-CN"/>
        </w:rPr>
        <w:t>.2</w:t>
      </w:r>
      <w:r>
        <w:rPr>
          <w:rFonts w:hint="eastAsia"/>
          <w:i w:val="0"/>
          <w:iCs w:val="0"/>
          <w:snapToGrid w:val="0"/>
          <w:color w:val="auto"/>
          <w:highlight w:val="none"/>
          <w:lang w:val="zh-CN"/>
        </w:rPr>
        <w:t>政府采购合同的履行、违约责任和解决争议的方法等适用《</w:t>
      </w:r>
      <w:r>
        <w:rPr>
          <w:rFonts w:hint="eastAsia"/>
          <w:i w:val="0"/>
          <w:iCs w:val="0"/>
          <w:snapToGrid w:val="0"/>
          <w:color w:val="auto"/>
          <w:highlight w:val="none"/>
        </w:rPr>
        <w:t>中华人民共和国</w:t>
      </w:r>
      <w:r>
        <w:rPr>
          <w:rFonts w:hint="eastAsia"/>
          <w:i w:val="0"/>
          <w:iCs w:val="0"/>
          <w:snapToGrid w:val="0"/>
          <w:color w:val="auto"/>
          <w:highlight w:val="none"/>
          <w:lang w:val="zh-CN"/>
        </w:rPr>
        <w:t>民法典》。</w:t>
      </w:r>
    </w:p>
    <w:p w14:paraId="5A914310">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7" w:name="_Toc161600349"/>
      <w:bookmarkStart w:id="398" w:name="_Toc155185887"/>
      <w:r>
        <w:rPr>
          <w:rFonts w:hint="eastAsia" w:ascii="宋体" w:hAnsi="宋体" w:eastAsia="宋体" w:cs="宋体"/>
          <w:b/>
          <w:bCs/>
          <w:color w:val="auto"/>
          <w:kern w:val="2"/>
          <w:sz w:val="24"/>
          <w:szCs w:val="24"/>
          <w:highlight w:val="none"/>
          <w:lang w:val="en-US" w:eastAsia="zh-CN" w:bidi="ar-SA"/>
        </w:rPr>
        <w:t>47.解释权</w:t>
      </w:r>
      <w:bookmarkEnd w:id="397"/>
      <w:bookmarkEnd w:id="398"/>
    </w:p>
    <w:p w14:paraId="02BEF40F">
      <w:pPr>
        <w:pStyle w:val="40"/>
        <w:keepNext w:val="0"/>
        <w:keepLines w:val="0"/>
        <w:pageBreakBefore w:val="0"/>
        <w:widowControl w:val="0"/>
        <w:kinsoku/>
        <w:overflowPunct/>
        <w:topLinePunct w:val="0"/>
        <w:bidi w:val="0"/>
        <w:ind w:firstLine="480"/>
        <w:textAlignment w:val="auto"/>
        <w:rPr>
          <w:i w:val="0"/>
          <w:iCs w:val="0"/>
          <w:snapToGrid w:val="0"/>
          <w:color w:val="auto"/>
          <w:highlight w:val="none"/>
        </w:rPr>
      </w:pPr>
      <w:r>
        <w:rPr>
          <w:rFonts w:hint="eastAsia"/>
          <w:i w:val="0"/>
          <w:iCs w:val="0"/>
          <w:snapToGrid w:val="0"/>
          <w:color w:val="auto"/>
          <w:highlight w:val="none"/>
          <w:lang w:val="en-US" w:eastAsia="zh-CN"/>
        </w:rPr>
        <w:t>47</w:t>
      </w:r>
      <w:r>
        <w:rPr>
          <w:rFonts w:hint="eastAsia"/>
          <w:i w:val="0"/>
          <w:iCs w:val="0"/>
          <w:snapToGrid w:val="0"/>
          <w:color w:val="auto"/>
          <w:highlight w:val="none"/>
        </w:rPr>
        <w:t>.1本竞争性磋商文件最终解释权归采购人或采购代理机构所有。</w:t>
      </w:r>
    </w:p>
    <w:p w14:paraId="6A67B13D">
      <w:pPr>
        <w:pStyle w:val="40"/>
        <w:ind w:firstLine="480"/>
        <w:rPr>
          <w:i w:val="0"/>
          <w:iCs w:val="0"/>
          <w:color w:val="auto"/>
          <w:highlight w:val="none"/>
        </w:rPr>
      </w:pPr>
    </w:p>
    <w:p w14:paraId="216F1C6D">
      <w:pPr>
        <w:pStyle w:val="40"/>
        <w:ind w:firstLine="480"/>
        <w:rPr>
          <w:i w:val="0"/>
          <w:iCs w:val="0"/>
          <w:color w:val="auto"/>
          <w:highlight w:val="none"/>
        </w:rPr>
      </w:pPr>
    </w:p>
    <w:p w14:paraId="099E4F92">
      <w:pPr>
        <w:pStyle w:val="40"/>
        <w:ind w:firstLine="480"/>
        <w:rPr>
          <w:i w:val="0"/>
          <w:iCs w:val="0"/>
          <w:color w:val="auto"/>
          <w:highlight w:val="none"/>
        </w:rPr>
        <w:sectPr>
          <w:footerReference r:id="rId7" w:type="default"/>
          <w:pgSz w:w="11906" w:h="16838"/>
          <w:pgMar w:top="1440" w:right="1803" w:bottom="1440" w:left="1803" w:header="652" w:footer="652" w:gutter="0"/>
          <w:pgNumType w:fmt="decimal" w:start="1"/>
          <w:cols w:space="0" w:num="1"/>
          <w:rtlGutter w:val="0"/>
          <w:docGrid w:type="lines" w:linePitch="332" w:charSpace="0"/>
        </w:sectPr>
      </w:pPr>
    </w:p>
    <w:p w14:paraId="39B2275E">
      <w:pPr>
        <w:pStyle w:val="2"/>
        <w:keepNext w:val="0"/>
        <w:keepLines w:val="0"/>
        <w:pageBreakBefore/>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399" w:name="_Toc20887"/>
      <w:r>
        <w:rPr>
          <w:rFonts w:hint="eastAsia" w:ascii="宋体" w:hAnsi="宋体" w:eastAsia="宋体" w:cs="宋体"/>
          <w:b/>
          <w:bCs/>
          <w:color w:val="auto"/>
          <w:kern w:val="44"/>
          <w:sz w:val="36"/>
          <w:szCs w:val="36"/>
          <w:highlight w:val="none"/>
          <w:lang w:val="en-US" w:eastAsia="zh-CN" w:bidi="ar-SA"/>
        </w:rPr>
        <w:t>第三章 项目采购需求</w:t>
      </w:r>
      <w:bookmarkEnd w:id="399"/>
    </w:p>
    <w:p w14:paraId="3B355BEA">
      <w:pPr>
        <w:spacing w:line="480" w:lineRule="exact"/>
        <w:jc w:val="left"/>
        <w:rPr>
          <w:rFonts w:hint="eastAsia" w:ascii="宋体" w:hAnsi="宋体"/>
          <w:sz w:val="24"/>
        </w:rPr>
      </w:pPr>
      <w:bookmarkStart w:id="400" w:name="_Toc163492886"/>
      <w:bookmarkStart w:id="401" w:name="_Toc155185889"/>
      <w:bookmarkStart w:id="402" w:name="_Toc140132812"/>
      <w:bookmarkStart w:id="403" w:name="OLE_LINK15"/>
      <w:r>
        <w:rPr>
          <w:rFonts w:hint="eastAsia" w:ascii="宋体" w:hAnsi="宋体"/>
          <w:sz w:val="24"/>
        </w:rPr>
        <w:t>（一）项目概况：新疆医科大学第一附属医院临床教学楼会议室等楼宇室外屋面防水维修项目</w:t>
      </w:r>
    </w:p>
    <w:p w14:paraId="3F0D12A9">
      <w:pPr>
        <w:spacing w:line="480" w:lineRule="exact"/>
        <w:jc w:val="left"/>
        <w:rPr>
          <w:rFonts w:hint="eastAsia" w:ascii="宋体" w:hAnsi="宋体"/>
          <w:sz w:val="24"/>
        </w:rPr>
      </w:pPr>
      <w:r>
        <w:rPr>
          <w:rFonts w:hint="eastAsia" w:ascii="宋体" w:hAnsi="宋体"/>
          <w:sz w:val="24"/>
        </w:rPr>
        <w:t>（二）技术服务要求：</w:t>
      </w:r>
    </w:p>
    <w:p w14:paraId="7BA1258C">
      <w:pPr>
        <w:spacing w:line="480" w:lineRule="exact"/>
        <w:jc w:val="left"/>
        <w:rPr>
          <w:rFonts w:hint="eastAsia" w:ascii="宋体" w:hAnsi="宋体"/>
          <w:sz w:val="24"/>
        </w:rPr>
      </w:pPr>
      <w:r>
        <w:rPr>
          <w:rFonts w:hint="eastAsia" w:ascii="宋体" w:hAnsi="宋体"/>
          <w:sz w:val="24"/>
        </w:rPr>
        <w:t>医院临床教学楼会议室等楼宇室外屋面防水维修，维修面积4610平方米，维修内容：拆除老旧防水层，更换为SBS改性防水卷材，铺2层，包含工程量清单中的全部内容。工程量清单详见附件。</w:t>
      </w:r>
    </w:p>
    <w:p w14:paraId="0AAFC1FF">
      <w:pPr>
        <w:spacing w:line="480" w:lineRule="exact"/>
        <w:jc w:val="left"/>
        <w:rPr>
          <w:rFonts w:hint="eastAsia" w:ascii="宋体" w:hAnsi="宋体"/>
          <w:sz w:val="24"/>
        </w:rPr>
      </w:pPr>
      <w:r>
        <w:rPr>
          <w:rFonts w:hint="eastAsia" w:ascii="宋体" w:hAnsi="宋体"/>
          <w:sz w:val="24"/>
        </w:rPr>
        <w:t>（三）商务要求</w:t>
      </w:r>
    </w:p>
    <w:p w14:paraId="797A528B">
      <w:pPr>
        <w:spacing w:line="480" w:lineRule="exact"/>
        <w:jc w:val="left"/>
        <w:rPr>
          <w:rFonts w:hint="eastAsia" w:ascii="宋体" w:hAnsi="宋体"/>
          <w:sz w:val="24"/>
        </w:rPr>
      </w:pPr>
      <w:r>
        <w:rPr>
          <w:rFonts w:hint="eastAsia" w:ascii="宋体" w:hAnsi="宋体"/>
          <w:sz w:val="24"/>
        </w:rPr>
        <w:t>1.工期：30天。</w:t>
      </w:r>
    </w:p>
    <w:p w14:paraId="3D576C12">
      <w:pPr>
        <w:spacing w:line="480" w:lineRule="exact"/>
        <w:jc w:val="left"/>
        <w:rPr>
          <w:rFonts w:hint="eastAsia" w:ascii="宋体" w:hAnsi="宋体"/>
          <w:sz w:val="24"/>
        </w:rPr>
      </w:pPr>
      <w:r>
        <w:rPr>
          <w:rFonts w:hint="eastAsia" w:ascii="宋体" w:hAnsi="宋体"/>
          <w:sz w:val="24"/>
        </w:rPr>
        <w:t>2.地点：乌鲁木齐市鲤鱼山南路137号。</w:t>
      </w:r>
    </w:p>
    <w:p w14:paraId="23040D77">
      <w:pPr>
        <w:spacing w:line="480" w:lineRule="exact"/>
        <w:jc w:val="left"/>
        <w:rPr>
          <w:rFonts w:hint="eastAsia" w:ascii="宋体" w:hAnsi="宋体"/>
          <w:sz w:val="24"/>
        </w:rPr>
      </w:pPr>
      <w:r>
        <w:rPr>
          <w:rFonts w:hint="eastAsia" w:ascii="宋体" w:hAnsi="宋体"/>
          <w:sz w:val="24"/>
        </w:rPr>
        <w:t>3.付款方式：签订合同且工程竣工验收合格后，支付至合同总价 80%（扣除暂列金、专业工程暂估价的80%）；结算定案后经施工单位、造价单位、建设单位盖章确认后支付至确认结算定案价的 97%；剩余结算定案价的 3%，质保期满无任何质量问题后无息支付。</w:t>
      </w:r>
    </w:p>
    <w:p w14:paraId="131355D3">
      <w:pPr>
        <w:spacing w:line="480" w:lineRule="exact"/>
        <w:jc w:val="left"/>
        <w:rPr>
          <w:rFonts w:hint="eastAsia" w:ascii="宋体" w:hAnsi="宋体"/>
          <w:sz w:val="24"/>
        </w:rPr>
      </w:pPr>
    </w:p>
    <w:p w14:paraId="5A2B97F0">
      <w:pPr>
        <w:spacing w:line="480" w:lineRule="exact"/>
        <w:jc w:val="left"/>
        <w:rPr>
          <w:rFonts w:hint="eastAsia" w:ascii="宋体" w:hAnsi="宋体"/>
          <w:sz w:val="24"/>
        </w:rPr>
      </w:pPr>
    </w:p>
    <w:bookmarkEnd w:id="400"/>
    <w:bookmarkEnd w:id="401"/>
    <w:bookmarkEnd w:id="402"/>
    <w:bookmarkEnd w:id="403"/>
    <w:p w14:paraId="6AFAF672">
      <w:pPr>
        <w:rPr>
          <w:rFonts w:hint="eastAsia" w:ascii="宋体" w:hAnsi="宋体" w:eastAsia="宋体" w:cs="宋体"/>
          <w:b/>
          <w:bCs/>
          <w:color w:val="auto"/>
          <w:kern w:val="44"/>
          <w:sz w:val="36"/>
          <w:szCs w:val="36"/>
          <w:highlight w:val="none"/>
          <w:lang w:val="en-US" w:eastAsia="zh-CN" w:bidi="ar-SA"/>
        </w:rPr>
      </w:pPr>
      <w:bookmarkStart w:id="404" w:name="_Toc5960"/>
      <w:r>
        <w:rPr>
          <w:rFonts w:hint="eastAsia" w:ascii="宋体" w:hAnsi="宋体" w:eastAsia="宋体" w:cs="宋体"/>
          <w:b/>
          <w:bCs/>
          <w:color w:val="auto"/>
          <w:kern w:val="44"/>
          <w:sz w:val="36"/>
          <w:szCs w:val="36"/>
          <w:highlight w:val="none"/>
          <w:lang w:val="en-US" w:eastAsia="zh-CN" w:bidi="ar-SA"/>
        </w:rPr>
        <w:br w:type="page"/>
      </w:r>
    </w:p>
    <w:p w14:paraId="28FA2165">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第四章 评审方法及标准</w:t>
      </w:r>
      <w:bookmarkEnd w:id="404"/>
    </w:p>
    <w:p w14:paraId="3C2D8384">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05" w:name="_Toc17394"/>
      <w:r>
        <w:rPr>
          <w:rFonts w:hint="eastAsia" w:ascii="宋体" w:hAnsi="宋体" w:eastAsia="宋体" w:cs="宋体"/>
          <w:color w:val="auto"/>
          <w:sz w:val="28"/>
          <w:szCs w:val="28"/>
          <w:highlight w:val="none"/>
          <w:lang w:val="en-US" w:eastAsia="zh-CN"/>
        </w:rPr>
        <w:t>一、</w:t>
      </w:r>
      <w:r>
        <w:rPr>
          <w:rFonts w:hint="eastAsia" w:ascii="宋体" w:hAnsi="宋体" w:eastAsia="宋体" w:cs="宋体"/>
          <w:color w:val="auto"/>
          <w:sz w:val="28"/>
          <w:szCs w:val="28"/>
          <w:highlight w:val="none"/>
          <w:lang w:val="zh-CN" w:eastAsia="zh-CN"/>
        </w:rPr>
        <w:t>评审方法</w:t>
      </w:r>
      <w:bookmarkEnd w:id="405"/>
    </w:p>
    <w:p w14:paraId="53640E9C">
      <w:pPr>
        <w:pStyle w:val="40"/>
        <w:ind w:firstLine="480"/>
        <w:rPr>
          <w:i w:val="0"/>
          <w:iCs w:val="0"/>
          <w:color w:val="auto"/>
          <w:highlight w:val="none"/>
        </w:rPr>
      </w:pPr>
      <w:r>
        <w:rPr>
          <w:rFonts w:hint="eastAsia"/>
          <w:i w:val="0"/>
          <w:iCs w:val="0"/>
          <w:color w:val="auto"/>
          <w:highlight w:val="none"/>
        </w:rPr>
        <w:t>本项目采用综合评分法。综合评分法是指经磋商确定最终采购需求和提交最后报价</w:t>
      </w:r>
      <w:r>
        <w:rPr>
          <w:rFonts w:hint="eastAsia"/>
          <w:b/>
          <w:bCs/>
          <w:i w:val="0"/>
          <w:iCs w:val="0"/>
          <w:color w:val="auto"/>
          <w:szCs w:val="24"/>
          <w:highlight w:val="none"/>
          <w:lang w:val="zh-CN"/>
        </w:rPr>
        <w:t>（因落实政府采购政策进行价格调整的，以调整后的价格计算）</w:t>
      </w:r>
      <w:r>
        <w:rPr>
          <w:rFonts w:hint="eastAsia"/>
          <w:i w:val="0"/>
          <w:iCs w:val="0"/>
          <w:color w:val="auto"/>
          <w:highlight w:val="none"/>
        </w:rPr>
        <w:t>的供应商的响应文件满足磋商文件全部实质性要求且按评审因素的量化指标评审得分最高的供应商为成交候选供应商的评审方法。</w:t>
      </w:r>
    </w:p>
    <w:p w14:paraId="2E5B7BB0">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06" w:name="_Toc9874"/>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评审程序</w:t>
      </w:r>
      <w:bookmarkEnd w:id="406"/>
    </w:p>
    <w:p w14:paraId="25412360">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07" w:name="_Toc27650"/>
      <w:bookmarkStart w:id="408" w:name="_Toc163493634"/>
      <w:r>
        <w:rPr>
          <w:rFonts w:hint="eastAsia" w:ascii="宋体" w:hAnsi="宋体" w:eastAsia="宋体" w:cs="宋体"/>
          <w:b/>
          <w:bCs/>
          <w:color w:val="auto"/>
          <w:kern w:val="2"/>
          <w:sz w:val="24"/>
          <w:szCs w:val="24"/>
          <w:highlight w:val="none"/>
          <w:lang w:val="zh-CN" w:eastAsia="zh-CN" w:bidi="ar-SA"/>
        </w:rPr>
        <w:t>（一）资格审查和符合性审查</w:t>
      </w:r>
      <w:bookmarkEnd w:id="407"/>
      <w:bookmarkEnd w:id="408"/>
    </w:p>
    <w:p w14:paraId="64549C54">
      <w:pPr>
        <w:tabs>
          <w:tab w:val="left" w:pos="312"/>
        </w:tabs>
        <w:wordWrap w:val="0"/>
        <w:adjustRightInd w:val="0"/>
        <w:snapToGrid w:val="0"/>
        <w:ind w:firstLine="480" w:firstLineChars="200"/>
        <w:rPr>
          <w:i w:val="0"/>
          <w:iCs w:val="0"/>
          <w:color w:val="auto"/>
          <w:highlight w:val="none"/>
          <w:lang w:val="zh-CN"/>
        </w:rPr>
      </w:pPr>
      <w:r>
        <w:rPr>
          <w:rFonts w:hint="eastAsia"/>
          <w:i w:val="0"/>
          <w:iCs w:val="0"/>
          <w:color w:val="auto"/>
          <w:szCs w:val="24"/>
          <w:highlight w:val="none"/>
        </w:rPr>
        <w:t>1</w:t>
      </w:r>
      <w:r>
        <w:rPr>
          <w:i w:val="0"/>
          <w:iCs w:val="0"/>
          <w:color w:val="auto"/>
          <w:szCs w:val="24"/>
          <w:highlight w:val="none"/>
        </w:rPr>
        <w:t>.</w:t>
      </w:r>
      <w:r>
        <w:rPr>
          <w:rFonts w:hint="eastAsia"/>
          <w:i w:val="0"/>
          <w:iCs w:val="0"/>
          <w:color w:val="auto"/>
          <w:szCs w:val="24"/>
          <w:highlight w:val="none"/>
        </w:rPr>
        <w:t>磋商小组</w:t>
      </w:r>
      <w:r>
        <w:rPr>
          <w:rFonts w:hint="eastAsia" w:cs="宋体"/>
          <w:i w:val="0"/>
          <w:iCs w:val="0"/>
          <w:color w:val="auto"/>
          <w:highlight w:val="none"/>
        </w:rPr>
        <w:t>根据磋商文件规定的供应商资格条件、评</w:t>
      </w:r>
      <w:r>
        <w:rPr>
          <w:rFonts w:hint="eastAsia" w:cs="宋体"/>
          <w:i w:val="0"/>
          <w:iCs w:val="0"/>
          <w:color w:val="auto"/>
          <w:highlight w:val="none"/>
          <w:lang w:val="en-US" w:eastAsia="zh-CN"/>
        </w:rPr>
        <w:t>审</w:t>
      </w:r>
      <w:r>
        <w:rPr>
          <w:rFonts w:hint="eastAsia" w:cs="宋体"/>
          <w:i w:val="0"/>
          <w:iCs w:val="0"/>
          <w:color w:val="auto"/>
          <w:highlight w:val="none"/>
        </w:rPr>
        <w:t>成交的标准等事项，对供应商的响应文件进行评审。资格审查和符合性审查不符合磋商文件要求的响应文件，按</w:t>
      </w:r>
      <w:r>
        <w:rPr>
          <w:rFonts w:hint="eastAsia" w:cs="宋体"/>
          <w:b/>
          <w:bCs/>
          <w:i w:val="0"/>
          <w:iCs w:val="0"/>
          <w:color w:val="auto"/>
          <w:highlight w:val="none"/>
        </w:rPr>
        <w:t>无效文件</w:t>
      </w:r>
      <w:r>
        <w:rPr>
          <w:rFonts w:hint="eastAsia" w:cs="宋体"/>
          <w:i w:val="0"/>
          <w:iCs w:val="0"/>
          <w:color w:val="auto"/>
          <w:highlight w:val="none"/>
        </w:rPr>
        <w:t>处理，不进入磋商，并告知有关供应商</w:t>
      </w:r>
      <w:r>
        <w:rPr>
          <w:rFonts w:hint="eastAsia"/>
          <w:i w:val="0"/>
          <w:iCs w:val="0"/>
          <w:color w:val="auto"/>
          <w:highlight w:val="none"/>
          <w:lang w:val="zh-CN"/>
        </w:rPr>
        <w:t>。</w:t>
      </w:r>
    </w:p>
    <w:p w14:paraId="34DAF073">
      <w:pPr>
        <w:pStyle w:val="40"/>
        <w:ind w:firstLine="480"/>
        <w:rPr>
          <w:i w:val="0"/>
          <w:iCs w:val="0"/>
          <w:color w:val="auto"/>
          <w:highlight w:val="none"/>
        </w:rPr>
      </w:pPr>
      <w:r>
        <w:rPr>
          <w:rFonts w:hint="eastAsia"/>
          <w:i w:val="0"/>
          <w:iCs w:val="0"/>
          <w:color w:val="auto"/>
          <w:highlight w:val="none"/>
        </w:rPr>
        <w:t>2.</w:t>
      </w:r>
      <w:r>
        <w:rPr>
          <w:rFonts w:hint="eastAsia"/>
          <w:i w:val="0"/>
          <w:iCs w:val="0"/>
          <w:highlight w:val="none"/>
          <w:lang w:val="en-US" w:eastAsia="zh-CN"/>
        </w:rPr>
        <w:t>通过</w:t>
      </w:r>
      <w:r>
        <w:rPr>
          <w:rFonts w:hint="eastAsia" w:cs="宋体"/>
          <w:i w:val="0"/>
          <w:iCs w:val="0"/>
          <w:highlight w:val="none"/>
        </w:rPr>
        <w:t>资格性审查和符合性审查</w:t>
      </w:r>
      <w:r>
        <w:rPr>
          <w:rFonts w:hint="eastAsia" w:cs="宋体"/>
          <w:i w:val="0"/>
          <w:iCs w:val="0"/>
          <w:highlight w:val="none"/>
          <w:lang w:val="en-US" w:eastAsia="zh-CN"/>
        </w:rPr>
        <w:t>的</w:t>
      </w:r>
      <w:r>
        <w:rPr>
          <w:rFonts w:hint="eastAsia"/>
          <w:i w:val="0"/>
          <w:iCs w:val="0"/>
          <w:color w:val="auto"/>
          <w:highlight w:val="none"/>
        </w:rPr>
        <w:t>有效</w:t>
      </w:r>
      <w:r>
        <w:rPr>
          <w:rFonts w:hint="eastAsia"/>
          <w:i w:val="0"/>
          <w:iCs w:val="0"/>
          <w:color w:val="auto"/>
          <w:highlight w:val="none"/>
          <w:lang w:eastAsia="zh-CN"/>
        </w:rPr>
        <w:t>供应商</w:t>
      </w:r>
      <w:r>
        <w:rPr>
          <w:rFonts w:hint="eastAsia"/>
          <w:i w:val="0"/>
          <w:iCs w:val="0"/>
          <w:color w:val="auto"/>
          <w:highlight w:val="none"/>
        </w:rPr>
        <w:t>不足3家的应当终止竞争性磋商采购活动，发布项目终止公告并说明原因，重新开展采购活动。</w:t>
      </w:r>
    </w:p>
    <w:p w14:paraId="2480155A">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09" w:name="_Toc7731"/>
      <w:bookmarkStart w:id="410" w:name="_Toc163493635"/>
      <w:bookmarkStart w:id="411" w:name="_Hlk158124046"/>
      <w:bookmarkStart w:id="412" w:name="_Toc102114946"/>
      <w:bookmarkStart w:id="413" w:name="_Toc102056244"/>
      <w:bookmarkStart w:id="414" w:name="_Toc102116048"/>
      <w:bookmarkStart w:id="415" w:name="_Toc102119879"/>
      <w:bookmarkStart w:id="416" w:name="_Toc102116178"/>
      <w:bookmarkStart w:id="417" w:name="_Toc102057744"/>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响应文件澄清</w:t>
      </w:r>
      <w:bookmarkEnd w:id="409"/>
      <w:bookmarkEnd w:id="410"/>
    </w:p>
    <w:p w14:paraId="4E589A43">
      <w:pPr>
        <w:pStyle w:val="40"/>
        <w:ind w:firstLine="480"/>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E33E43">
      <w:pPr>
        <w:pStyle w:val="40"/>
        <w:ind w:firstLine="480"/>
        <w:rPr>
          <w:i w:val="0"/>
          <w:iCs w:val="0"/>
          <w:color w:val="auto"/>
          <w:highlight w:val="none"/>
        </w:rPr>
      </w:pPr>
      <w:r>
        <w:rPr>
          <w:rFonts w:hint="eastAsia" w:ascii="宋体" w:hAnsi="宋体" w:eastAsia="宋体"/>
          <w:i w:val="0"/>
          <w:iCs w:val="0"/>
          <w:color w:val="auto"/>
          <w:highlight w:val="none"/>
          <w:lang w:val="en-US" w:eastAsia="zh-CN"/>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bookmarkEnd w:id="411"/>
    <w:p w14:paraId="27E4E052">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18" w:name="_Toc163493636"/>
      <w:bookmarkStart w:id="419" w:name="_Toc24784"/>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磋商程序</w:t>
      </w:r>
      <w:bookmarkEnd w:id="418"/>
      <w:bookmarkEnd w:id="419"/>
    </w:p>
    <w:p w14:paraId="3B21DF86">
      <w:pPr>
        <w:pStyle w:val="40"/>
        <w:ind w:firstLine="480"/>
        <w:rPr>
          <w:i w:val="0"/>
          <w:iCs w:val="0"/>
          <w:color w:val="auto"/>
          <w:highlight w:val="none"/>
        </w:rPr>
      </w:pPr>
      <w:r>
        <w:rPr>
          <w:rFonts w:hint="eastAsia"/>
          <w:i w:val="0"/>
          <w:iCs w:val="0"/>
          <w:color w:val="auto"/>
          <w:highlight w:val="none"/>
        </w:rPr>
        <w:t>磋商小组应当依据磋商文件规定的程序、评</w:t>
      </w:r>
      <w:r>
        <w:rPr>
          <w:rFonts w:hint="eastAsia"/>
          <w:i w:val="0"/>
          <w:iCs w:val="0"/>
          <w:color w:val="auto"/>
          <w:highlight w:val="none"/>
          <w:lang w:val="en-US" w:eastAsia="zh-CN"/>
        </w:rPr>
        <w:t>审</w:t>
      </w:r>
      <w:r>
        <w:rPr>
          <w:rFonts w:hint="eastAsia"/>
          <w:i w:val="0"/>
          <w:iCs w:val="0"/>
          <w:color w:val="auto"/>
          <w:highlight w:val="none"/>
        </w:rPr>
        <w:t>成交的标准等事项与</w:t>
      </w:r>
      <w:r>
        <w:rPr>
          <w:rFonts w:hint="eastAsia" w:cs="Helvetica"/>
          <w:i w:val="0"/>
          <w:iCs w:val="0"/>
          <w:color w:val="auto"/>
          <w:szCs w:val="24"/>
          <w:highlight w:val="none"/>
          <w:lang w:val="zh-CN"/>
        </w:rPr>
        <w:t>实质性</w:t>
      </w:r>
      <w:r>
        <w:rPr>
          <w:rFonts w:hint="eastAsia"/>
          <w:i w:val="0"/>
          <w:iCs w:val="0"/>
          <w:color w:val="auto"/>
          <w:highlight w:val="none"/>
        </w:rPr>
        <w:t>响应磋商文件要求的供应商</w:t>
      </w:r>
      <w:r>
        <w:rPr>
          <w:i w:val="0"/>
          <w:iCs w:val="0"/>
          <w:color w:val="auto"/>
          <w:highlight w:val="none"/>
        </w:rPr>
        <w:t>进行</w:t>
      </w:r>
      <w:r>
        <w:rPr>
          <w:rFonts w:hint="eastAsia"/>
          <w:i w:val="0"/>
          <w:iCs w:val="0"/>
          <w:color w:val="auto"/>
          <w:highlight w:val="none"/>
        </w:rPr>
        <w:t>磋商。</w:t>
      </w:r>
    </w:p>
    <w:p w14:paraId="410355B6">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1.第一轮磋商</w:t>
      </w:r>
    </w:p>
    <w:p w14:paraId="2DE3353A">
      <w:pPr>
        <w:pStyle w:val="40"/>
        <w:ind w:firstLine="480"/>
        <w:rPr>
          <w:rFonts w:cs="宋体"/>
          <w:i w:val="0"/>
          <w:iCs w:val="0"/>
          <w:color w:val="auto"/>
          <w:szCs w:val="24"/>
          <w:highlight w:val="none"/>
        </w:rPr>
      </w:pPr>
      <w:r>
        <w:rPr>
          <w:rFonts w:hint="eastAsia"/>
          <w:i w:val="0"/>
          <w:iCs w:val="0"/>
          <w:color w:val="auto"/>
          <w:highlight w:val="none"/>
          <w:lang w:val="zh-CN"/>
        </w:rPr>
        <w:t>1</w:t>
      </w:r>
      <w:r>
        <w:rPr>
          <w:i w:val="0"/>
          <w:iCs w:val="0"/>
          <w:color w:val="auto"/>
          <w:highlight w:val="none"/>
          <w:lang w:val="zh-CN"/>
        </w:rPr>
        <w:t>.1</w:t>
      </w:r>
      <w:r>
        <w:rPr>
          <w:rFonts w:hint="eastAsia"/>
          <w:i w:val="0"/>
          <w:iCs w:val="0"/>
          <w:color w:val="auto"/>
          <w:highlight w:val="none"/>
          <w:lang w:val="zh-CN"/>
        </w:rPr>
        <w:t>磋商小组将按照系统随机的顺序决定供应商的磋商顺序，并集中与单一供应商分别进行磋商</w:t>
      </w:r>
      <w:r>
        <w:rPr>
          <w:rFonts w:hint="eastAsia" w:cs="宋体"/>
          <w:i w:val="0"/>
          <w:iCs w:val="0"/>
          <w:color w:val="auto"/>
          <w:szCs w:val="24"/>
          <w:highlight w:val="none"/>
        </w:rPr>
        <w:t>。</w:t>
      </w:r>
    </w:p>
    <w:p w14:paraId="51723349">
      <w:pPr>
        <w:pStyle w:val="40"/>
        <w:ind w:firstLine="480"/>
        <w:rPr>
          <w:rFonts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.2</w:t>
      </w:r>
      <w:r>
        <w:rPr>
          <w:rFonts w:hint="eastAsia" w:cs="宋体"/>
          <w:i w:val="0"/>
          <w:iCs w:val="0"/>
          <w:color w:val="auto"/>
          <w:szCs w:val="24"/>
          <w:highlight w:val="none"/>
        </w:rPr>
        <w:t>磋商小组所有成员应当对照磋商文件和响应文件就采购需求、质量和服务等内容集中与单一供应商分别进行磋商，并给予所有参加磋商的供应商平等的磋商机会。在磋商中，磋商的任何一方不得透露与磋商有关的其他供应商的技术资料、价格和其他信息。</w:t>
      </w:r>
    </w:p>
    <w:p w14:paraId="71EE9FD4">
      <w:pPr>
        <w:pStyle w:val="40"/>
        <w:ind w:firstLine="480"/>
        <w:rPr>
          <w:rFonts w:hint="eastAsia" w:eastAsia="宋体" w:cs="宋体"/>
          <w:i w:val="0"/>
          <w:iCs w:val="0"/>
          <w:color w:val="auto"/>
          <w:szCs w:val="24"/>
          <w:highlight w:val="none"/>
          <w:lang w:eastAsia="zh-CN"/>
        </w:rPr>
      </w:pPr>
      <w:r>
        <w:rPr>
          <w:rFonts w:hint="eastAsia" w:cs="宋体"/>
          <w:i w:val="0"/>
          <w:iCs w:val="0"/>
          <w:color w:val="auto"/>
          <w:szCs w:val="24"/>
          <w:highlight w:val="none"/>
        </w:rPr>
        <w:t>1</w:t>
      </w:r>
      <w:r>
        <w:rPr>
          <w:rFonts w:cs="宋体"/>
          <w:i w:val="0"/>
          <w:iCs w:val="0"/>
          <w:color w:val="auto"/>
          <w:szCs w:val="24"/>
          <w:highlight w:val="none"/>
        </w:rPr>
        <w:t>.3</w:t>
      </w:r>
      <w:r>
        <w:rPr>
          <w:rFonts w:hint="eastAsia" w:cs="宋体"/>
          <w:i w:val="0"/>
          <w:iCs w:val="0"/>
          <w:color w:val="auto"/>
          <w:szCs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5261153F">
      <w:pPr>
        <w:pStyle w:val="40"/>
        <w:ind w:firstLine="480"/>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.4</w:t>
      </w:r>
      <w:r>
        <w:rPr>
          <w:rFonts w:hint="eastAsia" w:cs="宋体"/>
          <w:i w:val="0"/>
          <w:iCs w:val="0"/>
          <w:color w:val="auto"/>
          <w:szCs w:val="24"/>
          <w:highlight w:val="none"/>
        </w:rPr>
        <w:t>对磋商文件作出的实质性变动的内容是磋商文件的有效组成部分。磋商小组应将磋商文件的变动情况以书面</w:t>
      </w:r>
      <w:r>
        <w:rPr>
          <w:rFonts w:hint="eastAsia" w:cs="宋体"/>
          <w:i w:val="0"/>
          <w:iCs w:val="0"/>
          <w:color w:val="auto"/>
          <w:szCs w:val="24"/>
          <w:highlight w:val="none"/>
          <w:lang w:val="en-US" w:eastAsia="zh-CN"/>
        </w:rPr>
        <w:t>形</w:t>
      </w:r>
      <w:r>
        <w:rPr>
          <w:rFonts w:hint="eastAsia" w:cs="宋体"/>
          <w:i w:val="0"/>
          <w:iCs w:val="0"/>
          <w:color w:val="auto"/>
          <w:szCs w:val="24"/>
          <w:highlight w:val="none"/>
        </w:rPr>
        <w:t>式通知所有参加磋商的供应商。</w:t>
      </w:r>
    </w:p>
    <w:p w14:paraId="708F2F98">
      <w:pPr>
        <w:pStyle w:val="40"/>
        <w:ind w:firstLine="480"/>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.5</w:t>
      </w:r>
      <w:r>
        <w:rPr>
          <w:rFonts w:hint="eastAsia" w:cs="宋体"/>
          <w:i w:val="0"/>
          <w:iCs w:val="0"/>
          <w:color w:val="auto"/>
          <w:szCs w:val="24"/>
          <w:highlight w:val="none"/>
        </w:rPr>
        <w:t>供应商应当按照磋商文件的变动情况和磋商小组的要求在规定的时间内重新提交响应文件，并由其法定代表人或授权代表签字或者加盖公章。由授权代表签字的，应当附法定代表人授权书。供应商为自然人的，应当由本人签字并附身份证明。逾时不提交的，视同退出磋商。</w:t>
      </w:r>
    </w:p>
    <w:p w14:paraId="296A5BF1">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2.多轮磋商</w:t>
      </w:r>
    </w:p>
    <w:p w14:paraId="07D8F4C4">
      <w:pPr>
        <w:pStyle w:val="40"/>
        <w:ind w:firstLine="480"/>
        <w:rPr>
          <w:i w:val="0"/>
          <w:iCs w:val="0"/>
          <w:color w:val="auto"/>
          <w:highlight w:val="none"/>
        </w:rPr>
      </w:pPr>
      <w:r>
        <w:rPr>
          <w:i w:val="0"/>
          <w:iCs w:val="0"/>
          <w:color w:val="auto"/>
          <w:highlight w:val="none"/>
        </w:rPr>
        <w:t>2.1</w:t>
      </w:r>
      <w:r>
        <w:rPr>
          <w:rFonts w:hint="eastAsia"/>
          <w:i w:val="0"/>
          <w:iCs w:val="0"/>
          <w:color w:val="auto"/>
          <w:highlight w:val="none"/>
        </w:rPr>
        <w:t>磋商文件中不能详细列明采购标的的技术、服务要求，需经磋商由供应商提供最终设计方案或解决方案的项目，磋商小组可以根据采购人对采购需求的确认情况，进行多轮磋商，直到采购人代表最终确认采购需求为止。</w:t>
      </w:r>
    </w:p>
    <w:p w14:paraId="7990D9D0">
      <w:pPr>
        <w:pStyle w:val="40"/>
        <w:ind w:firstLine="480"/>
        <w:rPr>
          <w:i w:val="0"/>
          <w:iCs w:val="0"/>
          <w:color w:val="auto"/>
          <w:sz w:val="28"/>
          <w:highlight w:val="none"/>
        </w:rPr>
      </w:pPr>
      <w:r>
        <w:rPr>
          <w:rFonts w:hint="eastAsia"/>
          <w:i w:val="0"/>
          <w:iCs w:val="0"/>
          <w:color w:val="auto"/>
          <w:highlight w:val="none"/>
        </w:rPr>
        <w:t>2</w:t>
      </w:r>
      <w:r>
        <w:rPr>
          <w:i w:val="0"/>
          <w:iCs w:val="0"/>
          <w:color w:val="auto"/>
          <w:highlight w:val="none"/>
        </w:rPr>
        <w:t>.3</w:t>
      </w:r>
      <w:r>
        <w:rPr>
          <w:rFonts w:hint="eastAsia"/>
          <w:i w:val="0"/>
          <w:iCs w:val="0"/>
          <w:color w:val="auto"/>
          <w:highlight w:val="none"/>
        </w:rPr>
        <w:t>磋商程序同第一轮磋商。</w:t>
      </w:r>
    </w:p>
    <w:p w14:paraId="47413248">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3.最后报价</w:t>
      </w:r>
    </w:p>
    <w:p w14:paraId="7172DA31">
      <w:pPr>
        <w:pStyle w:val="40"/>
        <w:ind w:firstLine="480"/>
        <w:rPr>
          <w:i w:val="0"/>
          <w:iCs w:val="0"/>
          <w:color w:val="auto"/>
          <w:highlight w:val="none"/>
        </w:rPr>
      </w:pPr>
      <w:r>
        <w:rPr>
          <w:rFonts w:hint="eastAsia"/>
          <w:i w:val="0"/>
          <w:iCs w:val="0"/>
          <w:color w:val="auto"/>
          <w:highlight w:val="none"/>
        </w:rPr>
        <w:t>3</w:t>
      </w:r>
      <w:r>
        <w:rPr>
          <w:i w:val="0"/>
          <w:iCs w:val="0"/>
          <w:color w:val="auto"/>
          <w:highlight w:val="none"/>
        </w:rPr>
        <w:t>.1</w:t>
      </w:r>
      <w:r>
        <w:rPr>
          <w:rFonts w:hint="eastAsia"/>
          <w:i w:val="0"/>
          <w:iCs w:val="0"/>
          <w:color w:val="auto"/>
          <w:highlight w:val="none"/>
        </w:rPr>
        <w:t>磋商文件中能够详细列明采购标的的技术、服务要求的，磋商结束后，磋商小组应当要求所有</w:t>
      </w:r>
      <w:r>
        <w:rPr>
          <w:rFonts w:hint="eastAsia"/>
          <w:i w:val="0"/>
          <w:iCs w:val="0"/>
          <w:color w:val="auto"/>
          <w:highlight w:val="none"/>
          <w:lang w:val="en-US" w:eastAsia="zh-CN"/>
        </w:rPr>
        <w:t>实质性响应</w:t>
      </w:r>
      <w:r>
        <w:rPr>
          <w:rFonts w:hint="eastAsia"/>
          <w:i w:val="0"/>
          <w:iCs w:val="0"/>
          <w:color w:val="auto"/>
          <w:highlight w:val="none"/>
        </w:rPr>
        <w:t>的供应商，在规定时间内，以书面的方式经授权代表签字（或加盖公章）后提交最后报价，提交最后报价的供应商不得少于3家</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w:t>
      </w:r>
    </w:p>
    <w:p w14:paraId="443FE82F">
      <w:pPr>
        <w:pStyle w:val="40"/>
        <w:ind w:firstLine="480"/>
        <w:rPr>
          <w:rFonts w:hint="eastAsia"/>
          <w:i w:val="0"/>
          <w:iCs w:val="0"/>
          <w:color w:val="auto"/>
          <w:highlight w:val="none"/>
        </w:rPr>
      </w:pPr>
      <w:r>
        <w:rPr>
          <w:i w:val="0"/>
          <w:iCs w:val="0"/>
          <w:color w:val="auto"/>
          <w:highlight w:val="none"/>
        </w:rPr>
        <w:t>3.2</w:t>
      </w:r>
      <w:r>
        <w:rPr>
          <w:rFonts w:hint="eastAsia"/>
          <w:i w:val="0"/>
          <w:iCs w:val="0"/>
          <w:color w:val="auto"/>
          <w:highlight w:val="none"/>
        </w:rPr>
        <w:t>磋商文件中不能详细列明采购标的的技术、服务要求，需经磋商由供应商提供最</w:t>
      </w:r>
      <w:r>
        <w:rPr>
          <w:rFonts w:hint="eastAsia"/>
          <w:i w:val="0"/>
          <w:iCs w:val="0"/>
          <w:color w:val="auto"/>
          <w:highlight w:val="none"/>
          <w:lang w:val="en-US" w:eastAsia="zh-CN"/>
        </w:rPr>
        <w:t>终</w:t>
      </w:r>
      <w:r>
        <w:rPr>
          <w:rFonts w:hint="eastAsia"/>
          <w:i w:val="0"/>
          <w:iCs w:val="0"/>
          <w:color w:val="auto"/>
          <w:highlight w:val="none"/>
        </w:rPr>
        <w:t>设计方案或解决方案的，磋商结束后，磋商小组应当按照少数服从多数的原则投票推荐3家以上供应商的设计方案或者解决方案，并要求其在规定时间内提交最后报价。</w:t>
      </w:r>
    </w:p>
    <w:p w14:paraId="78592F04">
      <w:pPr>
        <w:pStyle w:val="40"/>
        <w:ind w:firstLine="480"/>
        <w:rPr>
          <w:rFonts w:ascii="宋体" w:hAnsi="宋体" w:eastAsia="宋体"/>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最后报价是供应商响应文件的有效组成部分。逾时不提交的，视同退出</w:t>
      </w:r>
      <w:r>
        <w:rPr>
          <w:rFonts w:hint="eastAsia" w:ascii="宋体" w:hAnsi="宋体" w:eastAsia="宋体"/>
          <w:i w:val="0"/>
          <w:iCs w:val="0"/>
          <w:color w:val="auto"/>
          <w:highlight w:val="none"/>
        </w:rPr>
        <w:t>磋商。</w:t>
      </w:r>
    </w:p>
    <w:p w14:paraId="24098F81">
      <w:pPr>
        <w:pStyle w:val="40"/>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最后</w:t>
      </w:r>
      <w:r>
        <w:rPr>
          <w:rFonts w:ascii="宋体" w:hAnsi="宋体" w:eastAsia="宋体"/>
          <w:i w:val="0"/>
          <w:iCs w:val="0"/>
          <w:color w:val="auto"/>
          <w:highlight w:val="none"/>
          <w:lang w:val="zh-CN"/>
        </w:rPr>
        <w:t>报价出现</w:t>
      </w:r>
      <w:r>
        <w:rPr>
          <w:rFonts w:hint="eastAsia" w:ascii="宋体" w:hAnsi="宋体" w:eastAsia="宋体"/>
          <w:i w:val="0"/>
          <w:iCs w:val="0"/>
          <w:color w:val="auto"/>
          <w:highlight w:val="none"/>
          <w:lang w:val="zh-CN"/>
        </w:rPr>
        <w:t>前后不一致的</w:t>
      </w:r>
      <w:r>
        <w:rPr>
          <w:rFonts w:ascii="宋体" w:hAnsi="宋体" w:eastAsia="宋体"/>
          <w:i w:val="0"/>
          <w:iCs w:val="0"/>
          <w:color w:val="auto"/>
          <w:highlight w:val="none"/>
          <w:lang w:val="zh-CN"/>
        </w:rPr>
        <w:t>，按照下列规定修正：</w:t>
      </w:r>
    </w:p>
    <w:p w14:paraId="21548021">
      <w:pPr>
        <w:pStyle w:val="40"/>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（1）</w:t>
      </w:r>
      <w:r>
        <w:rPr>
          <w:rFonts w:ascii="宋体" w:hAnsi="宋体" w:eastAsia="宋体"/>
          <w:i w:val="0"/>
          <w:iCs w:val="0"/>
          <w:color w:val="auto"/>
          <w:highlight w:val="none"/>
          <w:lang w:val="zh-CN"/>
        </w:rPr>
        <w:t>大写金额和小写金额不一致的，以大写金额为准</w:t>
      </w:r>
      <w:r>
        <w:rPr>
          <w:rFonts w:hint="eastAsia" w:ascii="宋体" w:hAnsi="宋体" w:eastAsia="宋体"/>
          <w:i w:val="0"/>
          <w:iCs w:val="0"/>
          <w:color w:val="auto"/>
          <w:highlight w:val="none"/>
          <w:lang w:val="zh-CN"/>
        </w:rPr>
        <w:t>；</w:t>
      </w:r>
    </w:p>
    <w:p w14:paraId="4E1BDE3A">
      <w:pPr>
        <w:pStyle w:val="40"/>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（2）</w:t>
      </w:r>
      <w:r>
        <w:rPr>
          <w:rFonts w:ascii="宋体" w:hAnsi="宋体" w:eastAsia="宋体"/>
          <w:i w:val="0"/>
          <w:iCs w:val="0"/>
          <w:color w:val="auto"/>
          <w:highlight w:val="none"/>
          <w:lang w:val="zh-CN"/>
        </w:rPr>
        <w:t>单价金额</w:t>
      </w:r>
      <w:r>
        <w:rPr>
          <w:rFonts w:ascii="宋体" w:hAnsi="宋体" w:eastAsia="宋体"/>
          <w:i w:val="0"/>
          <w:iCs w:val="0"/>
          <w:color w:val="auto"/>
          <w:highlight w:val="none"/>
        </w:rPr>
        <w:t>小数点</w:t>
      </w:r>
      <w:r>
        <w:rPr>
          <w:rFonts w:ascii="宋体" w:hAnsi="宋体" w:eastAsia="宋体"/>
          <w:i w:val="0"/>
          <w:iCs w:val="0"/>
          <w:color w:val="auto"/>
          <w:highlight w:val="none"/>
          <w:lang w:val="zh-CN"/>
        </w:rPr>
        <w:t>或百分比有明显错位的，以</w:t>
      </w:r>
      <w:r>
        <w:rPr>
          <w:rFonts w:hint="eastAsia" w:ascii="宋体" w:hAnsi="宋体" w:eastAsia="宋体"/>
          <w:i w:val="0"/>
          <w:iCs w:val="0"/>
          <w:color w:val="auto"/>
          <w:highlight w:val="none"/>
          <w:lang w:val="zh-CN"/>
        </w:rPr>
        <w:t>最后报价表</w:t>
      </w:r>
      <w:r>
        <w:rPr>
          <w:rFonts w:ascii="宋体" w:hAnsi="宋体" w:eastAsia="宋体"/>
          <w:i w:val="0"/>
          <w:iCs w:val="0"/>
          <w:color w:val="auto"/>
          <w:highlight w:val="none"/>
          <w:lang w:val="zh-CN"/>
        </w:rPr>
        <w:t>的总价为准，并修改单价</w:t>
      </w:r>
      <w:r>
        <w:rPr>
          <w:rFonts w:hint="eastAsia" w:ascii="宋体" w:hAnsi="宋体" w:eastAsia="宋体"/>
          <w:i w:val="0"/>
          <w:iCs w:val="0"/>
          <w:color w:val="auto"/>
          <w:highlight w:val="none"/>
          <w:lang w:val="zh-CN"/>
        </w:rPr>
        <w:t>；</w:t>
      </w:r>
    </w:p>
    <w:p w14:paraId="4EE75050">
      <w:pPr>
        <w:pStyle w:val="40"/>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（3）</w:t>
      </w:r>
      <w:r>
        <w:rPr>
          <w:rFonts w:ascii="宋体" w:hAnsi="宋体" w:eastAsia="宋体"/>
          <w:i w:val="0"/>
          <w:iCs w:val="0"/>
          <w:color w:val="auto"/>
          <w:highlight w:val="none"/>
          <w:lang w:val="zh-CN"/>
        </w:rPr>
        <w:t>总价金额与按单价汇总金额不一致的，以单价金额计算结果为准</w:t>
      </w:r>
      <w:r>
        <w:rPr>
          <w:rFonts w:hint="eastAsia" w:ascii="宋体" w:hAnsi="宋体" w:eastAsia="宋体"/>
          <w:i w:val="0"/>
          <w:iCs w:val="0"/>
          <w:color w:val="auto"/>
          <w:highlight w:val="none"/>
          <w:lang w:val="zh-CN"/>
        </w:rPr>
        <w:t>；</w:t>
      </w:r>
    </w:p>
    <w:p w14:paraId="2FC6DFE7">
      <w:pPr>
        <w:pStyle w:val="40"/>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（4）</w:t>
      </w:r>
      <w:r>
        <w:rPr>
          <w:rFonts w:ascii="宋体" w:hAnsi="宋体" w:eastAsia="宋体"/>
          <w:i w:val="0"/>
          <w:iCs w:val="0"/>
          <w:color w:val="auto"/>
          <w:highlight w:val="none"/>
          <w:lang w:val="zh-CN"/>
        </w:rPr>
        <w:t>同时出现</w:t>
      </w:r>
      <w:r>
        <w:rPr>
          <w:rFonts w:ascii="宋体" w:hAnsi="宋体" w:eastAsia="宋体"/>
          <w:i w:val="0"/>
          <w:iCs w:val="0"/>
          <w:color w:val="auto"/>
          <w:highlight w:val="none"/>
        </w:rPr>
        <w:t>两种</w:t>
      </w:r>
      <w:r>
        <w:rPr>
          <w:rFonts w:ascii="宋体" w:hAnsi="宋体" w:eastAsia="宋体"/>
          <w:i w:val="0"/>
          <w:iCs w:val="0"/>
          <w:color w:val="auto"/>
          <w:highlight w:val="none"/>
          <w:lang w:val="zh-CN"/>
        </w:rPr>
        <w:t>以上不一致的，按照前款规定的顺序修正</w:t>
      </w:r>
      <w:r>
        <w:rPr>
          <w:rFonts w:hint="eastAsia" w:ascii="宋体" w:hAnsi="宋体" w:eastAsia="宋体"/>
          <w:i w:val="0"/>
          <w:iCs w:val="0"/>
          <w:color w:val="auto"/>
          <w:highlight w:val="none"/>
          <w:lang w:val="zh-CN"/>
        </w:rPr>
        <w:t>；</w:t>
      </w:r>
    </w:p>
    <w:p w14:paraId="5DE843A7">
      <w:pPr>
        <w:pStyle w:val="40"/>
        <w:ind w:firstLine="480"/>
        <w:rPr>
          <w:rFonts w:ascii="宋体" w:hAnsi="宋体" w:eastAsia="宋体"/>
          <w:i w:val="0"/>
          <w:iCs w:val="0"/>
          <w:color w:val="auto"/>
          <w:highlight w:val="none"/>
        </w:rPr>
      </w:pPr>
      <w:r>
        <w:rPr>
          <w:rFonts w:ascii="宋体" w:hAnsi="宋体" w:eastAsia="宋体"/>
          <w:i w:val="0"/>
          <w:iCs w:val="0"/>
          <w:color w:val="auto"/>
          <w:highlight w:val="none"/>
          <w:lang w:val="zh-CN"/>
        </w:rPr>
        <w:t>修正后的报价</w:t>
      </w:r>
      <w:r>
        <w:rPr>
          <w:rFonts w:hint="eastAsia" w:ascii="宋体" w:hAnsi="宋体" w:eastAsia="宋体"/>
          <w:i w:val="0"/>
          <w:iCs w:val="0"/>
          <w:color w:val="auto"/>
          <w:highlight w:val="none"/>
          <w:lang w:val="zh-CN"/>
        </w:rPr>
        <w:t>应通过书面方式</w:t>
      </w:r>
      <w:r>
        <w:rPr>
          <w:rFonts w:ascii="宋体" w:hAnsi="宋体" w:eastAsia="宋体"/>
          <w:i w:val="0"/>
          <w:iCs w:val="0"/>
          <w:color w:val="auto"/>
          <w:highlight w:val="none"/>
          <w:lang w:val="zh-CN"/>
        </w:rPr>
        <w:t>通知</w:t>
      </w:r>
      <w:r>
        <w:rPr>
          <w:rFonts w:hint="eastAsia" w:ascii="宋体" w:hAnsi="宋体" w:eastAsia="宋体"/>
          <w:i w:val="0"/>
          <w:iCs w:val="0"/>
          <w:color w:val="auto"/>
          <w:highlight w:val="none"/>
          <w:lang w:val="zh-CN"/>
        </w:rPr>
        <w:t>供应商，由</w:t>
      </w:r>
      <w:r>
        <w:rPr>
          <w:rFonts w:ascii="宋体" w:hAnsi="宋体" w:eastAsia="宋体"/>
          <w:i w:val="0"/>
          <w:iCs w:val="0"/>
          <w:color w:val="auto"/>
          <w:highlight w:val="none"/>
          <w:lang w:val="zh-CN"/>
        </w:rPr>
        <w:t>供应商</w:t>
      </w:r>
      <w:r>
        <w:rPr>
          <w:rFonts w:hint="eastAsia" w:ascii="宋体" w:hAnsi="宋体" w:eastAsia="宋体"/>
          <w:i w:val="0"/>
          <w:iCs w:val="0"/>
          <w:color w:val="auto"/>
          <w:highlight w:val="none"/>
          <w:lang w:val="zh-CN"/>
        </w:rPr>
        <w:t>授权代表签字（或加盖公章）</w:t>
      </w:r>
      <w:r>
        <w:rPr>
          <w:rFonts w:ascii="宋体" w:hAnsi="宋体" w:eastAsia="宋体"/>
          <w:i w:val="0"/>
          <w:iCs w:val="0"/>
          <w:color w:val="auto"/>
          <w:highlight w:val="none"/>
          <w:lang w:val="zh-CN"/>
        </w:rPr>
        <w:t>确认后产生约束力，供应商不确认的，</w:t>
      </w:r>
      <w:r>
        <w:rPr>
          <w:rFonts w:hint="eastAsia" w:ascii="宋体" w:hAnsi="宋体" w:eastAsia="宋体"/>
          <w:i w:val="0"/>
          <w:iCs w:val="0"/>
          <w:color w:val="auto"/>
          <w:highlight w:val="none"/>
          <w:lang w:val="zh-CN"/>
        </w:rPr>
        <w:t>按照</w:t>
      </w:r>
      <w:r>
        <w:rPr>
          <w:rFonts w:ascii="宋体" w:hAnsi="宋体" w:eastAsia="宋体"/>
          <w:b/>
          <w:bCs/>
          <w:i w:val="0"/>
          <w:iCs w:val="0"/>
          <w:color w:val="auto"/>
          <w:highlight w:val="none"/>
          <w:lang w:val="zh-CN"/>
        </w:rPr>
        <w:t>无效</w:t>
      </w:r>
      <w:r>
        <w:rPr>
          <w:rFonts w:hint="eastAsia" w:ascii="宋体" w:hAnsi="宋体" w:eastAsia="宋体"/>
          <w:b/>
          <w:bCs/>
          <w:i w:val="0"/>
          <w:iCs w:val="0"/>
          <w:color w:val="auto"/>
          <w:highlight w:val="none"/>
          <w:lang w:val="zh-CN"/>
        </w:rPr>
        <w:t>响应</w:t>
      </w:r>
      <w:r>
        <w:rPr>
          <w:rFonts w:hint="eastAsia" w:ascii="宋体" w:hAnsi="宋体" w:eastAsia="宋体"/>
          <w:i w:val="0"/>
          <w:iCs w:val="0"/>
          <w:color w:val="auto"/>
          <w:highlight w:val="none"/>
          <w:lang w:val="zh-CN"/>
        </w:rPr>
        <w:t>处理</w:t>
      </w:r>
      <w:r>
        <w:rPr>
          <w:rFonts w:ascii="宋体" w:hAnsi="宋体" w:eastAsia="宋体"/>
          <w:i w:val="0"/>
          <w:iCs w:val="0"/>
          <w:color w:val="auto"/>
          <w:highlight w:val="none"/>
          <w:lang w:val="zh-CN"/>
        </w:rPr>
        <w:t>。</w:t>
      </w:r>
    </w:p>
    <w:p w14:paraId="492B1BCC">
      <w:pPr>
        <w:tabs>
          <w:tab w:val="left" w:pos="993"/>
        </w:tabs>
        <w:wordWrap w:val="0"/>
        <w:adjustRightInd w:val="0"/>
        <w:snapToGrid w:val="0"/>
        <w:ind w:firstLine="480" w:firstLineChars="200"/>
        <w:rPr>
          <w:i w:val="0"/>
          <w:iCs w:val="0"/>
          <w:color w:val="auto"/>
          <w:highlight w:val="none"/>
        </w:rPr>
      </w:pPr>
      <w:r>
        <w:rPr>
          <w:rFonts w:hint="eastAsia" w:ascii="宋体" w:hAnsi="宋体" w:eastAsia="宋体"/>
          <w:i w:val="0"/>
          <w:iCs w:val="0"/>
          <w:color w:val="auto"/>
          <w:highlight w:val="none"/>
          <w:lang w:val="en-US" w:eastAsia="zh-CN"/>
        </w:rPr>
        <w:t>3.4已提交响应文件的供应商，在提交最后报价之前，可以根据磋商情况退出磋商</w:t>
      </w:r>
      <w:r>
        <w:rPr>
          <w:rFonts w:hint="eastAsia"/>
          <w:i w:val="0"/>
          <w:iCs w:val="0"/>
          <w:color w:val="auto"/>
          <w:highlight w:val="none"/>
          <w:lang w:val="en-US" w:eastAsia="zh-CN"/>
        </w:rPr>
        <w:t>，</w:t>
      </w:r>
      <w:r>
        <w:rPr>
          <w:rFonts w:hint="eastAsia" w:ascii="宋体" w:hAnsi="宋体" w:eastAsia="宋体"/>
          <w:i w:val="0"/>
          <w:iCs w:val="0"/>
          <w:color w:val="auto"/>
          <w:highlight w:val="none"/>
          <w:lang w:val="en-US" w:eastAsia="zh-CN"/>
        </w:rPr>
        <w:t>退出磋商供应商的磋商保证金</w:t>
      </w:r>
      <w:r>
        <w:rPr>
          <w:rFonts w:hint="eastAsia"/>
          <w:i w:val="0"/>
          <w:iCs w:val="0"/>
          <w:color w:val="auto"/>
          <w:highlight w:val="none"/>
          <w:lang w:val="en-US" w:eastAsia="zh-CN"/>
        </w:rPr>
        <w:t>可予以</w:t>
      </w:r>
      <w:r>
        <w:rPr>
          <w:rFonts w:hint="eastAsia" w:ascii="宋体" w:hAnsi="宋体" w:eastAsia="宋体"/>
          <w:i w:val="0"/>
          <w:iCs w:val="0"/>
          <w:color w:val="auto"/>
          <w:highlight w:val="none"/>
          <w:lang w:val="en-US" w:eastAsia="zh-CN"/>
        </w:rPr>
        <w:t>退还</w:t>
      </w:r>
      <w:r>
        <w:rPr>
          <w:i w:val="0"/>
          <w:iCs w:val="0"/>
          <w:color w:val="auto"/>
          <w:szCs w:val="24"/>
          <w:highlight w:val="none"/>
          <w:lang w:val="zh-CN"/>
        </w:rPr>
        <w:t>。</w:t>
      </w:r>
    </w:p>
    <w:p w14:paraId="37D01FAF">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0" w:name="_Toc102114947"/>
      <w:bookmarkStart w:id="421" w:name="_Toc102057745"/>
      <w:bookmarkStart w:id="422" w:name="_Toc102116049"/>
      <w:bookmarkStart w:id="423" w:name="_Toc102119880"/>
      <w:bookmarkStart w:id="424" w:name="_Toc102056245"/>
      <w:bookmarkStart w:id="425" w:name="_Toc102116179"/>
      <w:r>
        <w:rPr>
          <w:rFonts w:hint="eastAsia" w:ascii="宋体" w:hAnsi="宋体" w:eastAsia="宋体" w:cs="宋体"/>
          <w:b/>
          <w:bCs/>
          <w:color w:val="auto"/>
          <w:kern w:val="2"/>
          <w:sz w:val="24"/>
          <w:szCs w:val="24"/>
          <w:highlight w:val="none"/>
          <w:lang w:val="en-US" w:eastAsia="zh-CN" w:bidi="ar-SA"/>
        </w:rPr>
        <w:t>4.商务技术评审</w:t>
      </w:r>
    </w:p>
    <w:p w14:paraId="2D2ED263">
      <w:pPr>
        <w:pStyle w:val="40"/>
        <w:ind w:firstLine="480"/>
        <w:rPr>
          <w:i w:val="0"/>
          <w:iCs w:val="0"/>
          <w:color w:val="auto"/>
          <w:highlight w:val="none"/>
          <w:lang w:val="zh-CN"/>
        </w:rPr>
      </w:pPr>
      <w:r>
        <w:rPr>
          <w:rFonts w:hint="eastAsia"/>
          <w:i w:val="0"/>
          <w:iCs w:val="0"/>
          <w:color w:val="auto"/>
          <w:highlight w:val="none"/>
          <w:lang w:val="zh-CN"/>
        </w:rPr>
        <w:t>4</w:t>
      </w:r>
      <w:r>
        <w:rPr>
          <w:i w:val="0"/>
          <w:iCs w:val="0"/>
          <w:color w:val="auto"/>
          <w:highlight w:val="none"/>
          <w:lang w:val="zh-CN"/>
        </w:rPr>
        <w:t>.1</w:t>
      </w:r>
      <w:r>
        <w:rPr>
          <w:rFonts w:hint="eastAsia"/>
          <w:i w:val="0"/>
          <w:iCs w:val="0"/>
          <w:color w:val="auto"/>
          <w:highlight w:val="none"/>
          <w:lang w:val="zh-CN"/>
        </w:rPr>
        <w:t>经磋商确定最终采购需求和提交最后报价的供应商后，由磋商小组采用综合评分法对提交最后报价的供应商的响应文件和最后报价进行综合评分。</w:t>
      </w:r>
    </w:p>
    <w:bookmarkEnd w:id="412"/>
    <w:bookmarkEnd w:id="413"/>
    <w:bookmarkEnd w:id="414"/>
    <w:bookmarkEnd w:id="415"/>
    <w:bookmarkEnd w:id="416"/>
    <w:bookmarkEnd w:id="417"/>
    <w:bookmarkEnd w:id="420"/>
    <w:bookmarkEnd w:id="421"/>
    <w:bookmarkEnd w:id="422"/>
    <w:bookmarkEnd w:id="423"/>
    <w:bookmarkEnd w:id="424"/>
    <w:bookmarkEnd w:id="425"/>
    <w:p w14:paraId="11B2A599">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6" w:name="_Toc102116181"/>
      <w:bookmarkStart w:id="427" w:name="_Toc102116051"/>
      <w:bookmarkStart w:id="428" w:name="_Toc102119882"/>
      <w:bookmarkStart w:id="429" w:name="_Toc102056247"/>
      <w:bookmarkStart w:id="430" w:name="_Toc102114949"/>
      <w:bookmarkStart w:id="431" w:name="_Toc102057747"/>
      <w:r>
        <w:rPr>
          <w:rFonts w:hint="eastAsia" w:ascii="宋体" w:hAnsi="宋体" w:eastAsia="宋体" w:cs="宋体"/>
          <w:b/>
          <w:bCs/>
          <w:color w:val="auto"/>
          <w:kern w:val="2"/>
          <w:sz w:val="24"/>
          <w:szCs w:val="24"/>
          <w:highlight w:val="none"/>
          <w:lang w:val="en-US" w:eastAsia="zh-CN" w:bidi="ar-SA"/>
        </w:rPr>
        <w:t>5.报价评</w:t>
      </w:r>
      <w:bookmarkEnd w:id="426"/>
      <w:bookmarkEnd w:id="427"/>
      <w:bookmarkEnd w:id="428"/>
      <w:bookmarkEnd w:id="429"/>
      <w:bookmarkEnd w:id="430"/>
      <w:bookmarkEnd w:id="431"/>
      <w:r>
        <w:rPr>
          <w:rFonts w:hint="eastAsia" w:ascii="宋体" w:hAnsi="宋体" w:eastAsia="宋体" w:cs="宋体"/>
          <w:b/>
          <w:bCs/>
          <w:color w:val="auto"/>
          <w:kern w:val="2"/>
          <w:sz w:val="24"/>
          <w:szCs w:val="24"/>
          <w:highlight w:val="none"/>
          <w:lang w:val="en-US" w:eastAsia="zh-CN" w:bidi="ar-SA"/>
        </w:rPr>
        <w:t>审</w:t>
      </w:r>
    </w:p>
    <w:p w14:paraId="055B48E8">
      <w:pPr>
        <w:pStyle w:val="40"/>
        <w:ind w:firstLine="480"/>
        <w:rPr>
          <w:i w:val="0"/>
          <w:iCs w:val="0"/>
          <w:color w:val="auto"/>
          <w:highlight w:val="none"/>
          <w:lang w:val="zh-CN"/>
        </w:rPr>
      </w:pPr>
      <w:r>
        <w:rPr>
          <w:rFonts w:hint="eastAsia"/>
          <w:i w:val="0"/>
          <w:iCs w:val="0"/>
          <w:color w:val="auto"/>
          <w:highlight w:val="none"/>
          <w:lang w:val="zh-CN"/>
        </w:rPr>
        <w:t>5</w:t>
      </w:r>
      <w:r>
        <w:rPr>
          <w:i w:val="0"/>
          <w:iCs w:val="0"/>
          <w:color w:val="auto"/>
          <w:highlight w:val="none"/>
          <w:lang w:val="zh-CN"/>
        </w:rPr>
        <w:t>.1</w:t>
      </w:r>
      <w:r>
        <w:rPr>
          <w:rFonts w:hint="eastAsia"/>
          <w:i w:val="0"/>
          <w:iCs w:val="0"/>
          <w:color w:val="auto"/>
          <w:highlight w:val="none"/>
          <w:lang w:val="zh-CN"/>
        </w:rPr>
        <w:t>报价合理性说明：磋商</w:t>
      </w:r>
      <w:r>
        <w:rPr>
          <w:i w:val="0"/>
          <w:iCs w:val="0"/>
          <w:color w:val="auto"/>
          <w:highlight w:val="none"/>
          <w:lang w:val="zh-CN"/>
        </w:rPr>
        <w:t>小组认为供应商的</w:t>
      </w:r>
      <w:r>
        <w:rPr>
          <w:rFonts w:hint="eastAsia"/>
          <w:i w:val="0"/>
          <w:iCs w:val="0"/>
          <w:color w:val="auto"/>
          <w:highlight w:val="none"/>
          <w:lang w:val="zh-CN"/>
        </w:rPr>
        <w:t>最后</w:t>
      </w:r>
      <w:r>
        <w:rPr>
          <w:i w:val="0"/>
          <w:iCs w:val="0"/>
          <w:color w:val="auto"/>
          <w:highlight w:val="none"/>
          <w:lang w:val="zh-CN"/>
        </w:rPr>
        <w:t>报价明显低于其他供应商</w:t>
      </w:r>
      <w:r>
        <w:rPr>
          <w:rFonts w:hint="eastAsia"/>
          <w:i w:val="0"/>
          <w:iCs w:val="0"/>
          <w:color w:val="auto"/>
          <w:highlight w:val="none"/>
          <w:lang w:val="zh-CN"/>
        </w:rPr>
        <w:t>最后</w:t>
      </w:r>
      <w:r>
        <w:rPr>
          <w:i w:val="0"/>
          <w:iCs w:val="0"/>
          <w:color w:val="auto"/>
          <w:highlight w:val="none"/>
          <w:lang w:val="zh-CN"/>
        </w:rPr>
        <w:t>报价，有可能影响</w:t>
      </w:r>
      <w:r>
        <w:rPr>
          <w:rFonts w:hint="eastAsia"/>
          <w:i w:val="0"/>
          <w:iCs w:val="0"/>
          <w:color w:val="auto"/>
          <w:highlight w:val="none"/>
          <w:lang w:val="en-US" w:eastAsia="zh-CN"/>
        </w:rPr>
        <w:t>工程</w:t>
      </w:r>
      <w:r>
        <w:rPr>
          <w:i w:val="0"/>
          <w:iCs w:val="0"/>
          <w:color w:val="auto"/>
          <w:highlight w:val="none"/>
          <w:lang w:val="zh-CN"/>
        </w:rPr>
        <w:t>质量或者不能诚信履约的，应当要求其</w:t>
      </w:r>
      <w:r>
        <w:rPr>
          <w:rFonts w:hint="eastAsia"/>
          <w:i w:val="0"/>
          <w:iCs w:val="0"/>
          <w:color w:val="auto"/>
          <w:highlight w:val="none"/>
          <w:lang w:val="zh-CN"/>
        </w:rPr>
        <w:t>在</w:t>
      </w:r>
      <w:r>
        <w:rPr>
          <w:i w:val="0"/>
          <w:iCs w:val="0"/>
          <w:color w:val="auto"/>
          <w:highlight w:val="none"/>
          <w:lang w:val="zh-CN"/>
        </w:rPr>
        <w:t>合理的时间内提供说明，必要时提交相关证明材料；供应商不能证明其</w:t>
      </w:r>
      <w:r>
        <w:rPr>
          <w:rFonts w:hint="eastAsia"/>
          <w:i w:val="0"/>
          <w:iCs w:val="0"/>
          <w:color w:val="auto"/>
          <w:highlight w:val="none"/>
          <w:lang w:val="zh-CN"/>
        </w:rPr>
        <w:t>最后</w:t>
      </w:r>
      <w:r>
        <w:rPr>
          <w:i w:val="0"/>
          <w:iCs w:val="0"/>
          <w:color w:val="auto"/>
          <w:highlight w:val="none"/>
          <w:lang w:val="zh-CN"/>
        </w:rPr>
        <w:t>报价合理性的，</w:t>
      </w:r>
      <w:r>
        <w:rPr>
          <w:rFonts w:hint="eastAsia"/>
          <w:i w:val="0"/>
          <w:iCs w:val="0"/>
          <w:color w:val="auto"/>
          <w:highlight w:val="none"/>
          <w:lang w:val="zh-CN"/>
        </w:rPr>
        <w:t>磋商</w:t>
      </w:r>
      <w:r>
        <w:rPr>
          <w:i w:val="0"/>
          <w:iCs w:val="0"/>
          <w:color w:val="auto"/>
          <w:highlight w:val="none"/>
          <w:lang w:val="zh-CN"/>
        </w:rPr>
        <w:t>小组</w:t>
      </w:r>
      <w:r>
        <w:rPr>
          <w:rFonts w:hint="eastAsia"/>
          <w:i w:val="0"/>
          <w:iCs w:val="0"/>
          <w:color w:val="auto"/>
          <w:highlight w:val="none"/>
          <w:lang w:val="zh-CN"/>
        </w:rPr>
        <w:t>应当将其作</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i w:val="0"/>
          <w:iCs w:val="0"/>
          <w:color w:val="auto"/>
          <w:highlight w:val="none"/>
          <w:lang w:val="zh-CN"/>
        </w:rPr>
        <w:t>。</w:t>
      </w:r>
    </w:p>
    <w:p w14:paraId="1B3E8B52">
      <w:pPr>
        <w:pStyle w:val="40"/>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5.1.1供应商应根据答疑内容在规定的时间内提供说明和相关证明材料，磋商小组认定相关证明材料对此报价的说明或者证明材料可以佐证此报价的工程质量和具有诚信履约能力，予以通过审查；</w:t>
      </w:r>
    </w:p>
    <w:p w14:paraId="61371D00">
      <w:pPr>
        <w:pStyle w:val="40"/>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5.1.2供应商提供的说明或者证明材料必须按照国家相关规定，逐项对其报价作详细陈述，并由法定代表人或者其授权代表签字确认并加盖公章；</w:t>
      </w:r>
    </w:p>
    <w:p w14:paraId="3E3AF71F">
      <w:pPr>
        <w:pStyle w:val="40"/>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5.1.3供应商不能合理说明或者不能提供相关证明材料的，由磋商小组认定该供应商以低于成本报价竞标，有可能影响工程质量或者不能诚信履约，应当</w:t>
      </w:r>
      <w:r>
        <w:rPr>
          <w:rFonts w:hint="eastAsia"/>
          <w:i w:val="0"/>
          <w:iCs w:val="0"/>
          <w:color w:val="auto"/>
          <w:highlight w:val="none"/>
          <w:lang w:val="zh-CN"/>
        </w:rPr>
        <w:t>将其作为</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rFonts w:hint="eastAsia" w:ascii="宋体" w:hAnsi="宋体" w:eastAsia="宋体"/>
          <w:i w:val="0"/>
          <w:iCs w:val="0"/>
          <w:color w:val="auto"/>
          <w:highlight w:val="none"/>
          <w:lang w:val="en-US" w:eastAsia="zh-CN"/>
        </w:rPr>
        <w:t>；</w:t>
      </w:r>
    </w:p>
    <w:p w14:paraId="4914FC82">
      <w:pPr>
        <w:pStyle w:val="40"/>
        <w:ind w:firstLine="480"/>
        <w:rPr>
          <w:i w:val="0"/>
          <w:iCs w:val="0"/>
          <w:color w:val="auto"/>
          <w:highlight w:val="none"/>
          <w:lang w:val="zh-CN"/>
        </w:rPr>
      </w:pPr>
      <w:r>
        <w:rPr>
          <w:rFonts w:hint="eastAsia" w:ascii="宋体" w:hAnsi="宋体" w:eastAsia="宋体"/>
          <w:i w:val="0"/>
          <w:iCs w:val="0"/>
          <w:color w:val="auto"/>
          <w:highlight w:val="none"/>
          <w:lang w:val="en-US" w:eastAsia="zh-CN"/>
        </w:rPr>
        <w:t>5.1.4供应商也可以有预见性地准备好上述要求的书面说明和相关证明材料并加盖公章。</w:t>
      </w:r>
    </w:p>
    <w:p w14:paraId="22BF777A">
      <w:pPr>
        <w:pStyle w:val="40"/>
        <w:ind w:firstLine="480"/>
        <w:rPr>
          <w:i w:val="0"/>
          <w:iCs w:val="0"/>
          <w:color w:val="auto"/>
          <w:highlight w:val="none"/>
          <w:lang w:val="zh-CN"/>
        </w:rPr>
      </w:pPr>
      <w:r>
        <w:rPr>
          <w:rFonts w:hint="eastAsia"/>
          <w:i w:val="0"/>
          <w:iCs w:val="0"/>
          <w:color w:val="auto"/>
          <w:highlight w:val="none"/>
          <w:lang w:val="zh-CN"/>
        </w:rPr>
        <w:t>5</w:t>
      </w:r>
      <w:r>
        <w:rPr>
          <w:i w:val="0"/>
          <w:iCs w:val="0"/>
          <w:color w:val="auto"/>
          <w:highlight w:val="none"/>
          <w:lang w:val="zh-CN"/>
        </w:rPr>
        <w:t>.2</w:t>
      </w:r>
      <w:r>
        <w:rPr>
          <w:rFonts w:hint="eastAsia"/>
          <w:i w:val="0"/>
          <w:iCs w:val="0"/>
          <w:color w:val="auto"/>
          <w:highlight w:val="none"/>
          <w:lang w:val="zh-CN"/>
        </w:rPr>
        <w:t>价格扣除：</w:t>
      </w:r>
      <w:r>
        <w:rPr>
          <w:i w:val="0"/>
          <w:iCs w:val="0"/>
          <w:color w:val="auto"/>
          <w:highlight w:val="none"/>
          <w:lang w:val="zh-CN"/>
        </w:rPr>
        <w:t xml:space="preserve"> </w:t>
      </w:r>
    </w:p>
    <w:p w14:paraId="1F4B5526">
      <w:pPr>
        <w:pStyle w:val="40"/>
        <w:numPr>
          <w:ilvl w:val="0"/>
          <w:numId w:val="0"/>
        </w:numPr>
        <w:shd w:val="clear" w:color="auto" w:fill="FFFFFF" w:themeFill="background1"/>
        <w:ind w:firstLine="480" w:firstLineChars="200"/>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（1）</w:t>
      </w:r>
      <w:r>
        <w:rPr>
          <w:rFonts w:hint="eastAsia"/>
          <w:i w:val="0"/>
          <w:iCs w:val="0"/>
          <w:color w:val="auto"/>
          <w:highlight w:val="none"/>
        </w:rPr>
        <w:t>非专门面向中小企业的采购项目或采购包，对符合规定的小微企业（监狱企业、残疾人福利性单位、联合体各方均为小微企业的联合体、符合小微企业划分标准的个体工商户视同小微企业）报价按照竞争性磋商文件</w:t>
      </w:r>
      <w:r>
        <w:rPr>
          <w:rFonts w:hint="eastAsia"/>
          <w:i w:val="0"/>
          <w:iCs w:val="0"/>
          <w:color w:val="auto"/>
          <w:highlight w:val="none"/>
          <w:lang w:eastAsia="zh-CN"/>
        </w:rPr>
        <w:t>“</w:t>
      </w:r>
      <w:r>
        <w:rPr>
          <w:rFonts w:hint="eastAsia"/>
          <w:i w:val="0"/>
          <w:iCs w:val="0"/>
          <w:color w:val="auto"/>
          <w:highlight w:val="none"/>
        </w:rPr>
        <w:t>供应商须知前附表”中的规定扣除，对小微企业中的监狱企业、残疾人福利性单位、采购产品纳入创新产品应用示范推荐目录内企业、采购产品获得节能产品或环境标志产品认证证书的企业报价按照本竞争性磋商文件</w:t>
      </w:r>
      <w:r>
        <w:rPr>
          <w:rFonts w:hint="eastAsia"/>
          <w:i w:val="0"/>
          <w:iCs w:val="0"/>
          <w:color w:val="auto"/>
          <w:highlight w:val="none"/>
          <w:lang w:eastAsia="zh-CN"/>
        </w:rPr>
        <w:t>“</w:t>
      </w:r>
      <w:r>
        <w:rPr>
          <w:rFonts w:hint="eastAsia"/>
          <w:i w:val="0"/>
          <w:iCs w:val="0"/>
          <w:color w:val="auto"/>
          <w:highlight w:val="none"/>
        </w:rPr>
        <w:t>供应商须知前附表”中的规定扣除，用扣除后的价格计算评审基准价。</w:t>
      </w:r>
    </w:p>
    <w:p w14:paraId="72014FEF">
      <w:pPr>
        <w:pStyle w:val="40"/>
        <w:numPr>
          <w:ilvl w:val="0"/>
          <w:numId w:val="0"/>
        </w:numPr>
        <w:shd w:val="clear" w:color="auto" w:fill="FFFFFF" w:themeFill="background1"/>
        <w:ind w:firstLine="480" w:firstLineChars="200"/>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（2）</w:t>
      </w:r>
      <w:r>
        <w:rPr>
          <w:rFonts w:hint="eastAsia"/>
          <w:i w:val="0"/>
          <w:iCs w:val="0"/>
          <w:color w:val="auto"/>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1A495953">
      <w:pPr>
        <w:pStyle w:val="40"/>
        <w:numPr>
          <w:ilvl w:val="0"/>
          <w:numId w:val="0"/>
        </w:numPr>
        <w:shd w:val="clear" w:color="auto" w:fill="FFFFFF" w:themeFill="background1"/>
        <w:ind w:firstLine="480" w:firstLineChars="200"/>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（3）组成联合体或者接受分包的小微企业与联合体内其他企业、分包企业</w:t>
      </w:r>
      <w:r>
        <w:rPr>
          <w:rFonts w:hint="default" w:ascii="宋体" w:hAnsi="宋体" w:eastAsia="宋体" w:cstheme="minorBidi"/>
          <w:i w:val="0"/>
          <w:iCs w:val="0"/>
          <w:color w:val="auto"/>
          <w:kern w:val="2"/>
          <w:sz w:val="24"/>
          <w:szCs w:val="22"/>
          <w:highlight w:val="none"/>
          <w:lang w:val="en-US" w:eastAsia="zh-CN" w:bidi="ar-SA"/>
        </w:rPr>
        <w:t>之间存在直接控股、管理关系的，不享受价格扣除优惠政策。</w:t>
      </w:r>
    </w:p>
    <w:p w14:paraId="60984AA9">
      <w:pPr>
        <w:pStyle w:val="40"/>
        <w:numPr>
          <w:ilvl w:val="0"/>
          <w:numId w:val="0"/>
        </w:numPr>
        <w:shd w:val="clear" w:color="auto" w:fill="FFFFFF" w:themeFill="background1"/>
        <w:ind w:firstLine="480" w:firstLineChars="200"/>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4</w:t>
      </w:r>
      <w:r>
        <w:rPr>
          <w:rFonts w:ascii="宋体" w:hAnsi="宋体" w:eastAsia="宋体" w:cstheme="minorBidi"/>
          <w:i w:val="0"/>
          <w:iCs w:val="0"/>
          <w:color w:val="auto"/>
          <w:kern w:val="2"/>
          <w:sz w:val="24"/>
          <w:szCs w:val="22"/>
          <w:highlight w:val="none"/>
          <w:lang w:val="en-US" w:eastAsia="zh-CN" w:bidi="ar-SA"/>
        </w:rPr>
        <w:t>）价格扣除比例对小型企业和微型企业同等对待，不作区分。</w:t>
      </w:r>
    </w:p>
    <w:p w14:paraId="19B743D0">
      <w:pPr>
        <w:pStyle w:val="40"/>
        <w:numPr>
          <w:ilvl w:val="0"/>
          <w:numId w:val="0"/>
        </w:numPr>
        <w:shd w:val="clear" w:color="auto" w:fill="FFFFFF" w:themeFill="background1"/>
        <w:ind w:firstLine="480" w:firstLineChars="200"/>
        <w:rPr>
          <w:rFonts w:hint="eastAsia"/>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5</w:t>
      </w:r>
      <w:r>
        <w:rPr>
          <w:rFonts w:ascii="宋体" w:hAnsi="宋体" w:eastAsia="宋体" w:cstheme="minorBidi"/>
          <w:i w:val="0"/>
          <w:iCs w:val="0"/>
          <w:color w:val="auto"/>
          <w:kern w:val="2"/>
          <w:sz w:val="24"/>
          <w:szCs w:val="22"/>
          <w:highlight w:val="none"/>
          <w:lang w:val="en-US" w:eastAsia="zh-CN" w:bidi="ar-SA"/>
        </w:rPr>
        <w:t>）</w:t>
      </w:r>
      <w:r>
        <w:rPr>
          <w:rFonts w:hint="eastAsia"/>
          <w:i w:val="0"/>
          <w:iCs w:val="0"/>
          <w:color w:val="auto"/>
          <w:highlight w:val="none"/>
        </w:rPr>
        <w:t>专门面向中小企业、预留部分采购份额面向中小企业采购的项目或采购包，评审时不再进行价格扣除。</w:t>
      </w:r>
    </w:p>
    <w:p w14:paraId="145719F7">
      <w:pPr>
        <w:pStyle w:val="40"/>
        <w:numPr>
          <w:ilvl w:val="0"/>
          <w:numId w:val="0"/>
        </w:numPr>
        <w:shd w:val="clear" w:color="auto" w:fill="FFFFFF" w:themeFill="background1"/>
        <w:ind w:firstLine="480" w:firstLineChars="200"/>
        <w:rPr>
          <w:i w:val="0"/>
          <w:iCs w:val="0"/>
          <w:color w:val="auto"/>
          <w:highlight w:val="none"/>
        </w:rPr>
      </w:pPr>
      <w:r>
        <w:rPr>
          <w:rFonts w:hint="eastAsia"/>
          <w:i w:val="0"/>
          <w:iCs w:val="0"/>
          <w:color w:val="auto"/>
          <w:highlight w:val="none"/>
          <w:lang w:eastAsia="zh-CN"/>
        </w:rPr>
        <w:t>（</w:t>
      </w:r>
      <w:r>
        <w:rPr>
          <w:rFonts w:hint="eastAsia"/>
          <w:i w:val="0"/>
          <w:iCs w:val="0"/>
          <w:color w:val="auto"/>
          <w:highlight w:val="none"/>
          <w:lang w:val="en-US" w:eastAsia="zh-CN"/>
        </w:rPr>
        <w:t>6）若供应商同时属于小型或微型企业、监狱企业、残疾人福利性单位 中的两种及以上，将不重复享受小微企业价格扣减的优惠政策。</w:t>
      </w:r>
    </w:p>
    <w:p w14:paraId="7D70505D">
      <w:pPr>
        <w:pStyle w:val="40"/>
        <w:ind w:firstLine="480"/>
        <w:rPr>
          <w:rFonts w:hint="eastAsia"/>
          <w:i w:val="0"/>
          <w:iCs w:val="0"/>
          <w:color w:val="auto"/>
          <w:highlight w:val="none"/>
          <w:lang w:val="zh-CN"/>
        </w:rPr>
      </w:pPr>
      <w:r>
        <w:rPr>
          <w:i w:val="0"/>
          <w:iCs w:val="0"/>
          <w:color w:val="auto"/>
          <w:highlight w:val="none"/>
          <w:lang w:val="zh-CN"/>
        </w:rPr>
        <w:t>5.3价格分采用</w:t>
      </w:r>
      <w:r>
        <w:rPr>
          <w:i w:val="0"/>
          <w:iCs w:val="0"/>
          <w:color w:val="auto"/>
          <w:szCs w:val="24"/>
          <w:highlight w:val="none"/>
          <w:lang w:val="zh-CN"/>
        </w:rPr>
        <w:t>低价</w:t>
      </w:r>
      <w:r>
        <w:rPr>
          <w:i w:val="0"/>
          <w:iCs w:val="0"/>
          <w:color w:val="auto"/>
          <w:highlight w:val="none"/>
          <w:lang w:val="zh-CN"/>
        </w:rPr>
        <w:t>优先法计算，</w:t>
      </w:r>
      <w:r>
        <w:rPr>
          <w:rFonts w:hint="eastAsia"/>
          <w:i w:val="0"/>
          <w:iCs w:val="0"/>
          <w:color w:val="auto"/>
          <w:highlight w:val="none"/>
          <w:lang w:val="zh-CN"/>
        </w:rPr>
        <w:t>即满足磋商文件要求且最后报价最低的供应商的价格为磋商基准价，其价格分为满分。其他供应商的价格分统一按照下列公式计算：</w:t>
      </w:r>
    </w:p>
    <w:p w14:paraId="75AC352D">
      <w:pPr>
        <w:pStyle w:val="40"/>
        <w:ind w:firstLine="480"/>
        <w:rPr>
          <w:rFonts w:hint="eastAsia"/>
          <w:i w:val="0"/>
          <w:iCs w:val="0"/>
          <w:color w:val="auto"/>
          <w:highlight w:val="none"/>
          <w:lang w:val="zh-CN"/>
        </w:rPr>
      </w:pPr>
      <w:r>
        <w:rPr>
          <w:rFonts w:hint="eastAsia"/>
          <w:i w:val="0"/>
          <w:iCs w:val="0"/>
          <w:color w:val="auto"/>
          <w:highlight w:val="none"/>
          <w:lang w:val="zh-CN"/>
        </w:rPr>
        <w:t>磋商报价得分=（磋商基准价/最后磋商报价）×</w:t>
      </w:r>
      <w:r>
        <w:rPr>
          <w:rFonts w:hint="eastAsia"/>
          <w:i w:val="0"/>
          <w:iCs w:val="0"/>
          <w:color w:val="auto"/>
          <w:highlight w:val="none"/>
        </w:rPr>
        <w:t>价格分值</w:t>
      </w:r>
    </w:p>
    <w:p w14:paraId="72A4C42D">
      <w:pPr>
        <w:pStyle w:val="40"/>
        <w:ind w:firstLine="480"/>
        <w:rPr>
          <w:i w:val="0"/>
          <w:iCs w:val="0"/>
          <w:color w:val="auto"/>
          <w:highlight w:val="none"/>
          <w:lang w:val="zh-CN"/>
        </w:rPr>
      </w:pPr>
      <w:r>
        <w:rPr>
          <w:rFonts w:hint="eastAsia"/>
          <w:i w:val="0"/>
          <w:iCs w:val="0"/>
          <w:color w:val="auto"/>
          <w:highlight w:val="none"/>
          <w:lang w:val="zh-CN"/>
        </w:rPr>
        <w:t>项目评审过程中，不得去掉最后报价中的最高报价和最低报价。</w:t>
      </w:r>
      <w:r>
        <w:rPr>
          <w:i w:val="0"/>
          <w:iCs w:val="0"/>
          <w:color w:val="auto"/>
          <w:highlight w:val="none"/>
          <w:lang w:val="zh-CN"/>
        </w:rPr>
        <w:t>计算方法详见本章“三、</w:t>
      </w:r>
      <w:r>
        <w:rPr>
          <w:rFonts w:hint="eastAsia"/>
          <w:i w:val="0"/>
          <w:iCs w:val="0"/>
          <w:color w:val="auto"/>
          <w:highlight w:val="none"/>
          <w:lang w:val="zh-CN"/>
        </w:rPr>
        <w:t>评审</w:t>
      </w:r>
      <w:r>
        <w:rPr>
          <w:i w:val="0"/>
          <w:iCs w:val="0"/>
          <w:color w:val="auto"/>
          <w:highlight w:val="none"/>
          <w:lang w:val="zh-CN"/>
        </w:rPr>
        <w:t>标准”中的具体计算公式。</w:t>
      </w:r>
    </w:p>
    <w:p w14:paraId="576E9827">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2" w:name="_Toc102116053"/>
      <w:bookmarkStart w:id="433" w:name="_Toc102119884"/>
      <w:bookmarkStart w:id="434" w:name="_Toc102116183"/>
      <w:bookmarkStart w:id="435" w:name="_Toc102057749"/>
      <w:bookmarkStart w:id="436" w:name="_Toc102114951"/>
      <w:bookmarkStart w:id="437" w:name="_Toc102056249"/>
      <w:bookmarkStart w:id="438" w:name="_Toc102114952"/>
      <w:bookmarkStart w:id="439" w:name="_Toc102116054"/>
      <w:bookmarkStart w:id="440" w:name="_Toc102057750"/>
      <w:bookmarkStart w:id="441" w:name="_Toc102116184"/>
      <w:bookmarkStart w:id="442" w:name="_Toc102119885"/>
      <w:bookmarkStart w:id="443" w:name="_Toc102056250"/>
      <w:r>
        <w:rPr>
          <w:rFonts w:hint="eastAsia" w:ascii="宋体" w:hAnsi="宋体" w:eastAsia="宋体" w:cs="宋体"/>
          <w:b/>
          <w:bCs/>
          <w:color w:val="auto"/>
          <w:kern w:val="2"/>
          <w:sz w:val="24"/>
          <w:szCs w:val="24"/>
          <w:highlight w:val="none"/>
          <w:lang w:val="en-US" w:eastAsia="zh-CN" w:bidi="ar-SA"/>
        </w:rPr>
        <w:t>6.计分办法</w:t>
      </w:r>
      <w:bookmarkEnd w:id="432"/>
      <w:bookmarkEnd w:id="433"/>
      <w:bookmarkEnd w:id="434"/>
      <w:bookmarkEnd w:id="435"/>
      <w:bookmarkEnd w:id="436"/>
      <w:bookmarkEnd w:id="437"/>
      <w:r>
        <w:rPr>
          <w:rFonts w:hint="eastAsia" w:ascii="宋体" w:hAnsi="宋体" w:eastAsia="宋体" w:cs="宋体"/>
          <w:b/>
          <w:bCs/>
          <w:color w:val="auto"/>
          <w:kern w:val="2"/>
          <w:sz w:val="24"/>
          <w:szCs w:val="24"/>
          <w:highlight w:val="none"/>
          <w:lang w:val="en-US" w:eastAsia="zh-CN" w:bidi="ar-SA"/>
        </w:rPr>
        <w:t>及复核</w:t>
      </w:r>
    </w:p>
    <w:p w14:paraId="3C92B2FD">
      <w:pPr>
        <w:pStyle w:val="40"/>
        <w:ind w:firstLine="480"/>
        <w:rPr>
          <w:i w:val="0"/>
          <w:iCs w:val="0"/>
          <w:color w:val="auto"/>
          <w:kern w:val="0"/>
          <w:highlight w:val="none"/>
          <w:lang w:val="zh-CN"/>
        </w:rPr>
      </w:pPr>
      <w:r>
        <w:rPr>
          <w:rFonts w:hint="eastAsia"/>
          <w:i w:val="0"/>
          <w:iCs w:val="0"/>
          <w:color w:val="auto"/>
          <w:highlight w:val="none"/>
          <w:lang w:val="zh-CN"/>
        </w:rPr>
        <w:t>6</w:t>
      </w:r>
      <w:r>
        <w:rPr>
          <w:i w:val="0"/>
          <w:iCs w:val="0"/>
          <w:color w:val="auto"/>
          <w:highlight w:val="none"/>
          <w:lang w:val="zh-CN"/>
        </w:rPr>
        <w:t>.1</w:t>
      </w:r>
      <w:r>
        <w:rPr>
          <w:rFonts w:hint="eastAsia"/>
          <w:i w:val="0"/>
          <w:iCs w:val="0"/>
          <w:color w:val="auto"/>
          <w:highlight w:val="none"/>
          <w:lang w:val="zh-CN"/>
        </w:rPr>
        <w:t>评审过程中，各项分值一般精确到小数点后两位，评审得分应当为商务评分、技术评分、报价评分之和。磋商小组各成员应当汇总每个供应商的得分。</w:t>
      </w:r>
    </w:p>
    <w:p w14:paraId="7ED690F0">
      <w:pPr>
        <w:pStyle w:val="40"/>
        <w:ind w:firstLine="480"/>
        <w:rPr>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.2</w:t>
      </w:r>
      <w:r>
        <w:rPr>
          <w:rFonts w:hint="eastAsia"/>
          <w:i w:val="0"/>
          <w:iCs w:val="0"/>
          <w:color w:val="auto"/>
          <w:highlight w:val="none"/>
          <w:lang w:val="zh-CN"/>
        </w:rPr>
        <w:t>评审结果汇总完成后，采购代理机构应当对评审结果进行复核。经复核发现存在以下情形之一的，磋商小组应当当场修改评审结果，并在评审报告中记载：</w:t>
      </w:r>
    </w:p>
    <w:p w14:paraId="51E15D43">
      <w:pPr>
        <w:pStyle w:val="40"/>
        <w:ind w:firstLine="480"/>
        <w:rPr>
          <w:rFonts w:cs="Times New Roman"/>
          <w:i w:val="0"/>
          <w:iCs w:val="0"/>
          <w:color w:val="auto"/>
          <w:szCs w:val="20"/>
          <w:highlight w:val="none"/>
          <w:lang w:val="zh-CN"/>
        </w:rPr>
      </w:pPr>
      <w:r>
        <w:rPr>
          <w:rFonts w:hint="eastAsia"/>
          <w:i w:val="0"/>
          <w:iCs w:val="0"/>
          <w:color w:val="auto"/>
          <w:highlight w:val="none"/>
          <w:lang w:val="zh-CN"/>
        </w:rPr>
        <w:t>（1）</w:t>
      </w:r>
      <w:r>
        <w:rPr>
          <w:rFonts w:hint="eastAsia"/>
          <w:i w:val="0"/>
          <w:iCs w:val="0"/>
          <w:color w:val="auto"/>
          <w:highlight w:val="none"/>
          <w:lang w:val="zh-CN" w:eastAsia="zh-CN"/>
        </w:rPr>
        <w:t>资格性检查认定错误</w:t>
      </w:r>
      <w:r>
        <w:rPr>
          <w:rFonts w:hint="eastAsia"/>
          <w:i w:val="0"/>
          <w:iCs w:val="0"/>
          <w:color w:val="auto"/>
          <w:highlight w:val="none"/>
          <w:lang w:val="zh-CN"/>
        </w:rPr>
        <w:t xml:space="preserve">的； </w:t>
      </w:r>
    </w:p>
    <w:p w14:paraId="3DE5652F">
      <w:pPr>
        <w:pStyle w:val="40"/>
        <w:ind w:firstLine="480"/>
        <w:rPr>
          <w:rFonts w:cs="Times New Roman"/>
          <w:i w:val="0"/>
          <w:iCs w:val="0"/>
          <w:color w:val="auto"/>
          <w:szCs w:val="20"/>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2</w:t>
      </w:r>
      <w:r>
        <w:rPr>
          <w:rFonts w:hint="eastAsia"/>
          <w:i w:val="0"/>
          <w:iCs w:val="0"/>
          <w:color w:val="auto"/>
          <w:highlight w:val="none"/>
          <w:lang w:val="zh-CN"/>
        </w:rPr>
        <w:t xml:space="preserve">）分值汇总计算错误的； </w:t>
      </w:r>
    </w:p>
    <w:p w14:paraId="37EA074D">
      <w:pPr>
        <w:pStyle w:val="40"/>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）分项评分超出评分标准范围的；</w:t>
      </w:r>
    </w:p>
    <w:p w14:paraId="5B7DD6FF">
      <w:pPr>
        <w:pStyle w:val="40"/>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4</w:t>
      </w:r>
      <w:r>
        <w:rPr>
          <w:rFonts w:hint="eastAsia"/>
          <w:i w:val="0"/>
          <w:iCs w:val="0"/>
          <w:color w:val="auto"/>
          <w:highlight w:val="none"/>
          <w:lang w:val="zh-CN"/>
        </w:rPr>
        <w:t>）</w:t>
      </w:r>
      <w:r>
        <w:rPr>
          <w:rFonts w:hint="eastAsia" w:cs="Helvetica"/>
          <w:i w:val="0"/>
          <w:iCs w:val="0"/>
          <w:color w:val="auto"/>
          <w:szCs w:val="24"/>
          <w:highlight w:val="none"/>
          <w:lang w:val="zh-CN"/>
        </w:rPr>
        <w:t>磋商小组</w:t>
      </w:r>
      <w:r>
        <w:rPr>
          <w:rFonts w:hint="eastAsia"/>
          <w:i w:val="0"/>
          <w:iCs w:val="0"/>
          <w:color w:val="auto"/>
          <w:highlight w:val="none"/>
          <w:lang w:val="zh-CN"/>
        </w:rPr>
        <w:t>成员对客观</w:t>
      </w:r>
      <w:r>
        <w:rPr>
          <w:rFonts w:hint="eastAsia"/>
          <w:i w:val="0"/>
          <w:iCs w:val="0"/>
          <w:color w:val="auto"/>
          <w:highlight w:val="none"/>
          <w:lang w:val="en-US" w:eastAsia="zh-CN"/>
        </w:rPr>
        <w:t>分</w:t>
      </w:r>
      <w:r>
        <w:rPr>
          <w:rFonts w:hint="eastAsia"/>
          <w:i w:val="0"/>
          <w:iCs w:val="0"/>
          <w:color w:val="auto"/>
          <w:highlight w:val="none"/>
          <w:lang w:val="zh-CN"/>
        </w:rPr>
        <w:t>评分不一致的；</w:t>
      </w:r>
    </w:p>
    <w:p w14:paraId="3B75BF42">
      <w:pPr>
        <w:pStyle w:val="40"/>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5</w:t>
      </w:r>
      <w:r>
        <w:rPr>
          <w:rFonts w:hint="eastAsia"/>
          <w:i w:val="0"/>
          <w:iCs w:val="0"/>
          <w:color w:val="auto"/>
          <w:highlight w:val="none"/>
          <w:lang w:val="zh-CN"/>
        </w:rPr>
        <w:t>）经</w:t>
      </w:r>
      <w:r>
        <w:rPr>
          <w:rFonts w:hint="eastAsia" w:cs="Helvetica"/>
          <w:i w:val="0"/>
          <w:iCs w:val="0"/>
          <w:color w:val="auto"/>
          <w:szCs w:val="24"/>
          <w:highlight w:val="none"/>
          <w:lang w:val="zh-CN"/>
        </w:rPr>
        <w:t>磋商小组</w:t>
      </w:r>
      <w:r>
        <w:rPr>
          <w:rFonts w:hint="eastAsia" w:cs="Helvetica"/>
          <w:i w:val="0"/>
          <w:iCs w:val="0"/>
          <w:color w:val="auto"/>
          <w:szCs w:val="24"/>
          <w:highlight w:val="none"/>
          <w:lang w:val="en-US" w:eastAsia="zh-CN"/>
        </w:rPr>
        <w:t>一致</w:t>
      </w:r>
      <w:r>
        <w:rPr>
          <w:rFonts w:hint="eastAsia"/>
          <w:i w:val="0"/>
          <w:iCs w:val="0"/>
          <w:color w:val="auto"/>
          <w:highlight w:val="none"/>
          <w:lang w:val="zh-CN"/>
        </w:rPr>
        <w:t>认定评分畸高、畸低的。</w:t>
      </w:r>
    </w:p>
    <w:p w14:paraId="10B8F738">
      <w:pPr>
        <w:pStyle w:val="40"/>
        <w:ind w:firstLine="480"/>
        <w:rPr>
          <w:rFonts w:hint="eastAsia"/>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.3</w:t>
      </w:r>
      <w:r>
        <w:rPr>
          <w:rFonts w:hint="eastAsia"/>
          <w:i w:val="0"/>
          <w:iCs w:val="0"/>
          <w:color w:val="auto"/>
          <w:highlight w:val="none"/>
          <w:lang w:val="zh-CN"/>
        </w:rPr>
        <w:t>各供应商的最终得分为磋商小组所有成员对各供应商评审得分汇总后的算术平均值。</w:t>
      </w:r>
    </w:p>
    <w:p w14:paraId="502A4CD0">
      <w:pPr>
        <w:pStyle w:val="40"/>
        <w:ind w:firstLine="480"/>
        <w:rPr>
          <w:rFonts w:hint="eastAsia"/>
          <w:i w:val="0"/>
          <w:iCs w:val="0"/>
          <w:color w:val="auto"/>
          <w:highlight w:val="none"/>
          <w:lang w:val="en-US" w:eastAsia="zh-CN"/>
        </w:rPr>
      </w:pPr>
      <w:r>
        <w:rPr>
          <w:rFonts w:hint="eastAsia"/>
          <w:i w:val="0"/>
          <w:iCs w:val="0"/>
          <w:color w:val="auto"/>
          <w:highlight w:val="none"/>
          <w:lang w:val="en-US" w:eastAsia="zh-CN"/>
        </w:rPr>
        <w:t>6.4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3A5AB6DE">
      <w:pPr>
        <w:pStyle w:val="40"/>
        <w:ind w:firstLine="480"/>
        <w:rPr>
          <w:rFonts w:hint="eastAsia"/>
          <w:i w:val="0"/>
          <w:iCs w:val="0"/>
          <w:color w:val="auto"/>
          <w:highlight w:val="none"/>
          <w:lang w:val="en-US" w:eastAsia="zh-CN"/>
        </w:rPr>
      </w:pPr>
      <w:r>
        <w:rPr>
          <w:rFonts w:hint="eastAsia"/>
          <w:i w:val="0"/>
          <w:iCs w:val="0"/>
          <w:color w:val="auto"/>
          <w:highlight w:val="none"/>
          <w:lang w:val="en-US" w:eastAsia="zh-CN"/>
        </w:rPr>
        <w:t>6.5采购人或者采购代理机构不得通过对供应商进行考察等方式改变评审结果。</w:t>
      </w:r>
    </w:p>
    <w:p w14:paraId="1F8EBB86">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7.评审报告</w:t>
      </w:r>
      <w:bookmarkEnd w:id="438"/>
      <w:bookmarkEnd w:id="439"/>
      <w:bookmarkEnd w:id="440"/>
      <w:bookmarkEnd w:id="441"/>
      <w:bookmarkEnd w:id="442"/>
      <w:bookmarkEnd w:id="443"/>
    </w:p>
    <w:p w14:paraId="2AE7A31A">
      <w:pPr>
        <w:pStyle w:val="40"/>
        <w:ind w:firstLine="480"/>
        <w:rPr>
          <w:rFonts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.1</w:t>
      </w:r>
      <w:r>
        <w:rPr>
          <w:rFonts w:hint="eastAsia" w:cs="Helvetica"/>
          <w:i w:val="0"/>
          <w:iCs w:val="0"/>
          <w:color w:val="auto"/>
          <w:szCs w:val="24"/>
          <w:highlight w:val="none"/>
          <w:lang w:val="zh-CN"/>
        </w:rPr>
        <w:t>磋商小组</w:t>
      </w:r>
      <w:r>
        <w:rPr>
          <w:rFonts w:hint="eastAsia"/>
          <w:i w:val="0"/>
          <w:iCs w:val="0"/>
          <w:color w:val="auto"/>
          <w:highlight w:val="none"/>
        </w:rPr>
        <w:t>从质量和服务均能满足磋商文件实质性要求的供应商中，按照综合得分由高到低的顺序推荐3名</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以上</w:t>
      </w:r>
      <w:r>
        <w:rPr>
          <w:rFonts w:hint="eastAsia" w:cs="Helvetica"/>
          <w:i w:val="0"/>
          <w:iCs w:val="0"/>
          <w:color w:val="auto"/>
          <w:szCs w:val="24"/>
          <w:highlight w:val="none"/>
          <w:lang w:val="zh-CN"/>
        </w:rPr>
        <w:t>成交</w:t>
      </w:r>
      <w:r>
        <w:rPr>
          <w:rFonts w:hint="eastAsia"/>
          <w:i w:val="0"/>
          <w:iCs w:val="0"/>
          <w:color w:val="auto"/>
          <w:highlight w:val="none"/>
        </w:rPr>
        <w:t>候选供应商。评审得</w:t>
      </w:r>
      <w:r>
        <w:rPr>
          <w:i w:val="0"/>
          <w:iCs w:val="0"/>
          <w:color w:val="auto"/>
          <w:highlight w:val="none"/>
        </w:rPr>
        <w:t>分相同的，</w:t>
      </w:r>
      <w:r>
        <w:rPr>
          <w:rFonts w:hint="eastAsia" w:cs="Helvetica"/>
          <w:i w:val="0"/>
          <w:iCs w:val="0"/>
          <w:color w:val="auto"/>
          <w:szCs w:val="24"/>
          <w:highlight w:val="none"/>
          <w:lang w:val="zh-CN"/>
        </w:rPr>
        <w:t>磋商小组</w:t>
      </w:r>
      <w:r>
        <w:rPr>
          <w:rFonts w:hint="eastAsia"/>
          <w:i w:val="0"/>
          <w:iCs w:val="0"/>
          <w:color w:val="auto"/>
          <w:highlight w:val="none"/>
        </w:rPr>
        <w:t>按照最后报价由低到高的顺序</w:t>
      </w:r>
      <w:r>
        <w:rPr>
          <w:i w:val="0"/>
          <w:iCs w:val="0"/>
          <w:color w:val="auto"/>
          <w:highlight w:val="none"/>
        </w:rPr>
        <w:t>推荐</w:t>
      </w:r>
      <w:r>
        <w:rPr>
          <w:rFonts w:hint="eastAsia"/>
          <w:i w:val="0"/>
          <w:iCs w:val="0"/>
          <w:color w:val="auto"/>
          <w:highlight w:val="none"/>
        </w:rPr>
        <w:t>；得分相同且最后报价相同的，按</w:t>
      </w:r>
      <w:r>
        <w:rPr>
          <w:rFonts w:hint="eastAsia"/>
          <w:i w:val="0"/>
          <w:iCs w:val="0"/>
          <w:color w:val="auto"/>
          <w:highlight w:val="none"/>
          <w:lang w:val="en-US" w:eastAsia="zh-CN"/>
        </w:rPr>
        <w:t>照</w:t>
      </w:r>
      <w:r>
        <w:rPr>
          <w:rFonts w:hint="eastAsia"/>
          <w:i w:val="0"/>
          <w:iCs w:val="0"/>
          <w:color w:val="auto"/>
          <w:highlight w:val="none"/>
        </w:rPr>
        <w:t>技术</w:t>
      </w:r>
      <w:r>
        <w:rPr>
          <w:rFonts w:hint="eastAsia"/>
          <w:i w:val="0"/>
          <w:iCs w:val="0"/>
          <w:color w:val="auto"/>
          <w:highlight w:val="none"/>
          <w:lang w:val="en-US" w:eastAsia="zh-CN"/>
        </w:rPr>
        <w:t>指标</w:t>
      </w:r>
      <w:r>
        <w:rPr>
          <w:rFonts w:hint="eastAsia"/>
          <w:i w:val="0"/>
          <w:iCs w:val="0"/>
          <w:color w:val="auto"/>
          <w:highlight w:val="none"/>
        </w:rPr>
        <w:t>优劣顺序推荐</w:t>
      </w:r>
      <w:r>
        <w:rPr>
          <w:rFonts w:hint="eastAsia" w:cs="Helvetica"/>
          <w:i w:val="0"/>
          <w:iCs w:val="0"/>
          <w:color w:val="auto"/>
          <w:szCs w:val="24"/>
          <w:highlight w:val="none"/>
          <w:lang w:val="zh-CN"/>
        </w:rPr>
        <w:t>。响应文件满足磋商文件全部实质性要求且评审得分</w:t>
      </w:r>
      <w:r>
        <w:rPr>
          <w:rFonts w:cs="Helvetica"/>
          <w:i w:val="0"/>
          <w:iCs w:val="0"/>
          <w:color w:val="auto"/>
          <w:szCs w:val="24"/>
          <w:highlight w:val="none"/>
          <w:lang w:val="zh-CN"/>
        </w:rPr>
        <w:t>最高</w:t>
      </w:r>
      <w:r>
        <w:rPr>
          <w:rFonts w:hint="eastAsia" w:cs="Helvetica"/>
          <w:i w:val="0"/>
          <w:iCs w:val="0"/>
          <w:color w:val="auto"/>
          <w:szCs w:val="24"/>
          <w:highlight w:val="none"/>
          <w:lang w:val="zh-CN"/>
        </w:rPr>
        <w:t>的供应商为排名第一的成交候选供应商。</w:t>
      </w:r>
      <w:r>
        <w:rPr>
          <w:rFonts w:hint="eastAsia"/>
          <w:i w:val="0"/>
          <w:iCs w:val="0"/>
          <w:color w:val="auto"/>
          <w:highlight w:val="none"/>
        </w:rPr>
        <w:t>磋商小组依据评审结果</w:t>
      </w:r>
      <w:r>
        <w:rPr>
          <w:rFonts w:hint="eastAsia"/>
          <w:i w:val="0"/>
          <w:iCs w:val="0"/>
          <w:color w:val="auto"/>
          <w:highlight w:val="none"/>
          <w:lang w:eastAsia="zh-CN"/>
        </w:rPr>
        <w:t>形成评审报告。</w:t>
      </w:r>
    </w:p>
    <w:p w14:paraId="110BB818">
      <w:pPr>
        <w:pStyle w:val="40"/>
        <w:ind w:firstLine="480"/>
        <w:rPr>
          <w:rFonts w:hint="eastAsia"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w:t>
      </w:r>
      <w:r>
        <w:rPr>
          <w:rFonts w:hint="eastAsia" w:cs="Helvetica"/>
          <w:i w:val="0"/>
          <w:iCs w:val="0"/>
          <w:color w:val="auto"/>
          <w:szCs w:val="24"/>
          <w:highlight w:val="none"/>
          <w:lang w:val="en-US" w:eastAsia="zh-CN"/>
        </w:rPr>
        <w:t>2</w:t>
      </w:r>
      <w:r>
        <w:rPr>
          <w:rFonts w:hint="eastAsia"/>
          <w:i w:val="0"/>
          <w:iCs w:val="0"/>
          <w:color w:val="auto"/>
          <w:highlight w:val="none"/>
          <w:lang w:val="zh-CN"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cs="Helvetica"/>
          <w:i w:val="0"/>
          <w:iCs w:val="0"/>
          <w:color w:val="auto"/>
          <w:szCs w:val="24"/>
          <w:highlight w:val="none"/>
          <w:lang w:val="zh-CN"/>
        </w:rPr>
        <w:t>。</w:t>
      </w:r>
    </w:p>
    <w:p w14:paraId="25913F09">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8.响应无效的情形</w:t>
      </w:r>
    </w:p>
    <w:p w14:paraId="21B88F58">
      <w:pPr>
        <w:keepNext w:val="0"/>
        <w:keepLines w:val="0"/>
        <w:widowControl/>
        <w:suppressLineNumbers w:val="0"/>
        <w:ind w:firstLine="480" w:firstLineChars="200"/>
        <w:jc w:val="left"/>
        <w:rPr>
          <w:rFonts w:hint="eastAsia" w:cstheme="minorBidi"/>
          <w:i w:val="0"/>
          <w:iCs w:val="0"/>
          <w:color w:val="auto"/>
          <w:kern w:val="2"/>
          <w:sz w:val="24"/>
          <w:szCs w:val="22"/>
          <w:highlight w:val="none"/>
          <w:lang w:val="en-US" w:eastAsia="zh-CN" w:bidi="ar-SA"/>
        </w:rPr>
      </w:pPr>
      <w:r>
        <w:rPr>
          <w:rFonts w:hint="eastAsia" w:cstheme="minorBidi"/>
          <w:i w:val="0"/>
          <w:iCs w:val="0"/>
          <w:color w:val="auto"/>
          <w:kern w:val="2"/>
          <w:sz w:val="24"/>
          <w:szCs w:val="22"/>
          <w:highlight w:val="none"/>
          <w:lang w:val="en-US" w:eastAsia="zh-CN" w:bidi="ar-SA"/>
        </w:rPr>
        <w:t>8.1</w:t>
      </w:r>
      <w:r>
        <w:rPr>
          <w:rFonts w:hint="eastAsia" w:ascii="宋体" w:hAnsi="宋体" w:eastAsia="宋体" w:cs="宋体"/>
          <w:b w:val="0"/>
          <w:bCs w:val="0"/>
          <w:i w:val="0"/>
          <w:iCs w:val="0"/>
          <w:color w:val="auto"/>
          <w:sz w:val="24"/>
          <w:szCs w:val="24"/>
          <w:highlight w:val="none"/>
        </w:rPr>
        <w:t>供应商存在下列情况之一的，</w:t>
      </w:r>
      <w:r>
        <w:rPr>
          <w:rFonts w:hint="eastAsia" w:cs="宋体"/>
          <w:b w:val="0"/>
          <w:bCs w:val="0"/>
          <w:i w:val="0"/>
          <w:iCs w:val="0"/>
          <w:color w:val="auto"/>
          <w:sz w:val="24"/>
          <w:szCs w:val="24"/>
          <w:highlight w:val="none"/>
          <w:lang w:val="en-US" w:eastAsia="zh-CN"/>
        </w:rPr>
        <w:t>其</w:t>
      </w:r>
      <w:r>
        <w:rPr>
          <w:rFonts w:hint="eastAsia" w:cs="宋体"/>
          <w:b/>
          <w:bCs/>
          <w:i w:val="0"/>
          <w:iCs w:val="0"/>
          <w:color w:val="auto"/>
          <w:sz w:val="24"/>
          <w:szCs w:val="24"/>
          <w:highlight w:val="none"/>
          <w:lang w:val="en-US" w:eastAsia="zh-CN"/>
        </w:rPr>
        <w:t>响应</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val="0"/>
          <w:bCs w:val="0"/>
          <w:i w:val="0"/>
          <w:iCs w:val="0"/>
          <w:color w:val="auto"/>
          <w:sz w:val="24"/>
          <w:szCs w:val="24"/>
          <w:highlight w:val="none"/>
        </w:rPr>
        <w:t>：</w:t>
      </w:r>
    </w:p>
    <w:p w14:paraId="702D1A6A">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不同供应商的响应文件由同一单位或者个人编制；</w:t>
      </w:r>
    </w:p>
    <w:p w14:paraId="2B2A7ABE">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不同供应商委托同一单位或者个人办理</w:t>
      </w:r>
      <w:r>
        <w:rPr>
          <w:rFonts w:hint="eastAsia" w:ascii="宋体" w:hAnsi="宋体" w:eastAsia="宋体" w:cs="宋体"/>
          <w:b w:val="0"/>
          <w:bCs w:val="0"/>
          <w:i w:val="0"/>
          <w:iCs w:val="0"/>
          <w:color w:val="auto"/>
          <w:sz w:val="24"/>
          <w:szCs w:val="24"/>
          <w:highlight w:val="none"/>
          <w:lang w:val="en-US" w:eastAsia="zh-CN"/>
        </w:rPr>
        <w:t>磋商响应</w:t>
      </w:r>
      <w:r>
        <w:rPr>
          <w:rFonts w:hint="eastAsia" w:ascii="宋体" w:hAnsi="宋体" w:eastAsia="宋体" w:cs="宋体"/>
          <w:b w:val="0"/>
          <w:bCs w:val="0"/>
          <w:i w:val="0"/>
          <w:iCs w:val="0"/>
          <w:color w:val="auto"/>
          <w:sz w:val="24"/>
          <w:szCs w:val="24"/>
          <w:highlight w:val="none"/>
        </w:rPr>
        <w:t>事宜；</w:t>
      </w:r>
    </w:p>
    <w:p w14:paraId="4EE2FB0A">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不同供应商的响应文件载明的项目管理成员或者联系人员为同一人；</w:t>
      </w:r>
    </w:p>
    <w:p w14:paraId="53A78381">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4）</w:t>
      </w:r>
      <w:r>
        <w:rPr>
          <w:rFonts w:hint="eastAsia" w:ascii="宋体" w:hAnsi="宋体" w:eastAsia="宋体" w:cs="宋体"/>
          <w:b w:val="0"/>
          <w:bCs w:val="0"/>
          <w:i w:val="0"/>
          <w:iCs w:val="0"/>
          <w:color w:val="auto"/>
          <w:sz w:val="24"/>
          <w:szCs w:val="24"/>
          <w:highlight w:val="none"/>
        </w:rPr>
        <w:t>不同供应商的响应文件异常一致或者</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报价呈规律性差异；</w:t>
      </w:r>
    </w:p>
    <w:p w14:paraId="60D5A539">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5）</w:t>
      </w:r>
      <w:r>
        <w:rPr>
          <w:rFonts w:hint="eastAsia" w:ascii="宋体" w:hAnsi="宋体" w:eastAsia="宋体" w:cs="宋体"/>
          <w:b w:val="0"/>
          <w:bCs w:val="0"/>
          <w:i w:val="0"/>
          <w:iCs w:val="0"/>
          <w:color w:val="auto"/>
          <w:sz w:val="24"/>
          <w:szCs w:val="24"/>
          <w:highlight w:val="none"/>
        </w:rPr>
        <w:t>不同供应商的响应文件相互混装；</w:t>
      </w:r>
    </w:p>
    <w:p w14:paraId="2FF50D83">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6）</w:t>
      </w:r>
      <w:r>
        <w:rPr>
          <w:rFonts w:hint="eastAsia" w:ascii="宋体" w:hAnsi="宋体" w:eastAsia="宋体" w:cs="宋体"/>
          <w:b w:val="0"/>
          <w:bCs w:val="0"/>
          <w:i w:val="0"/>
          <w:iCs w:val="0"/>
          <w:color w:val="auto"/>
          <w:sz w:val="24"/>
          <w:szCs w:val="24"/>
          <w:highlight w:val="none"/>
        </w:rPr>
        <w:t>不同供应商的磋商保证金从同一单位或者个人的账户转出</w:t>
      </w:r>
      <w:r>
        <w:rPr>
          <w:rFonts w:hint="eastAsia" w:ascii="宋体" w:hAnsi="宋体" w:eastAsia="宋体" w:cs="宋体"/>
          <w:b w:val="0"/>
          <w:bCs w:val="0"/>
          <w:i w:val="0"/>
          <w:iCs w:val="0"/>
          <w:color w:val="auto"/>
          <w:sz w:val="24"/>
          <w:szCs w:val="24"/>
          <w:highlight w:val="none"/>
          <w:lang w:val="en-US" w:eastAsia="zh-CN"/>
        </w:rPr>
        <w:t>；</w:t>
      </w:r>
    </w:p>
    <w:p w14:paraId="1C3AF755">
      <w:pPr>
        <w:pStyle w:val="40"/>
        <w:rPr>
          <w:rFonts w:hint="eastAsia"/>
          <w:i w:val="0"/>
          <w:iCs w:val="0"/>
          <w:color w:val="auto"/>
          <w:highlight w:val="none"/>
          <w:lang w:val="en-US" w:eastAsia="zh-CN"/>
        </w:rPr>
      </w:pPr>
      <w:r>
        <w:rPr>
          <w:rFonts w:hint="eastAsia"/>
          <w:i w:val="0"/>
          <w:iCs w:val="0"/>
          <w:color w:val="auto"/>
          <w:highlight w:val="none"/>
          <w:lang w:val="en-US" w:eastAsia="zh-CN"/>
        </w:rPr>
        <w:t>（7）</w:t>
      </w:r>
      <w:r>
        <w:rPr>
          <w:rFonts w:hint="eastAsia"/>
          <w:i w:val="0"/>
          <w:iCs w:val="0"/>
          <w:color w:val="auto"/>
          <w:highlight w:val="none"/>
          <w:lang w:val="zh-CN" w:eastAsia="zh-CN"/>
        </w:rPr>
        <w:t>不同</w:t>
      </w:r>
      <w:r>
        <w:rPr>
          <w:rFonts w:hint="eastAsia"/>
          <w:i w:val="0"/>
          <w:iCs w:val="0"/>
          <w:color w:val="auto"/>
          <w:highlight w:val="none"/>
          <w:lang w:val="en-US" w:eastAsia="zh-CN"/>
        </w:rPr>
        <w:t>供应商</w:t>
      </w:r>
      <w:r>
        <w:rPr>
          <w:rFonts w:hint="eastAsia"/>
          <w:i w:val="0"/>
          <w:iCs w:val="0"/>
          <w:color w:val="auto"/>
          <w:highlight w:val="none"/>
          <w:lang w:val="zh-CN" w:eastAsia="zh-CN"/>
        </w:rPr>
        <w:t>使用同一电脑（机器特征值一致：如MAC地址等）或使用同一电子密钥，编制或上传电子</w:t>
      </w:r>
      <w:r>
        <w:rPr>
          <w:rFonts w:hint="eastAsia"/>
          <w:i w:val="0"/>
          <w:iCs w:val="0"/>
          <w:color w:val="auto"/>
          <w:highlight w:val="none"/>
          <w:lang w:val="en-US" w:eastAsia="zh-CN"/>
        </w:rPr>
        <w:t>响应</w:t>
      </w:r>
      <w:r>
        <w:rPr>
          <w:rFonts w:hint="eastAsia"/>
          <w:i w:val="0"/>
          <w:iCs w:val="0"/>
          <w:color w:val="auto"/>
          <w:highlight w:val="none"/>
          <w:lang w:val="zh-CN" w:eastAsia="zh-CN"/>
        </w:rPr>
        <w:t>文件</w:t>
      </w:r>
      <w:r>
        <w:rPr>
          <w:rFonts w:hint="eastAsia"/>
          <w:i w:val="0"/>
          <w:iCs w:val="0"/>
          <w:color w:val="auto"/>
          <w:highlight w:val="none"/>
          <w:lang w:val="en-US" w:eastAsia="zh-CN"/>
        </w:rPr>
        <w:t>；</w:t>
      </w:r>
    </w:p>
    <w:p w14:paraId="29DA958A">
      <w:pPr>
        <w:pStyle w:val="40"/>
        <w:rPr>
          <w:rFonts w:hint="eastAsia"/>
          <w:i w:val="0"/>
          <w:iCs w:val="0"/>
          <w:color w:val="auto"/>
          <w:highlight w:val="none"/>
          <w:lang w:val="en-US" w:eastAsia="zh-CN"/>
        </w:rPr>
      </w:pPr>
      <w:r>
        <w:rPr>
          <w:rFonts w:hint="eastAsia"/>
          <w:i w:val="0"/>
          <w:iCs w:val="0"/>
          <w:color w:val="auto"/>
          <w:highlight w:val="none"/>
          <w:lang w:val="en-US" w:eastAsia="zh-CN"/>
        </w:rPr>
        <w:t>（8）法律、法规、规章和竞争性磋商文件规定的其他响应无效的情形。</w:t>
      </w:r>
    </w:p>
    <w:p w14:paraId="51CFEB2F">
      <w:pPr>
        <w:pStyle w:val="61"/>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 xml:space="preserve"> </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小组应当审查</w:t>
      </w:r>
      <w:r>
        <w:rPr>
          <w:rFonts w:hint="eastAsia" w:ascii="宋体" w:hAnsi="宋体" w:eastAsia="宋体" w:cs="宋体"/>
          <w:b w:val="0"/>
          <w:bCs w:val="0"/>
          <w:i w:val="0"/>
          <w:iCs w:val="0"/>
          <w:color w:val="auto"/>
          <w:sz w:val="24"/>
          <w:szCs w:val="24"/>
          <w:highlight w:val="none"/>
          <w:lang w:val="en-US" w:eastAsia="zh-CN"/>
        </w:rPr>
        <w:t>所有供应商的</w:t>
      </w:r>
      <w:r>
        <w:rPr>
          <w:rFonts w:hint="eastAsia" w:ascii="宋体" w:hAnsi="宋体" w:eastAsia="宋体" w:cs="宋体"/>
          <w:b w:val="0"/>
          <w:bCs w:val="0"/>
          <w:i w:val="0"/>
          <w:iCs w:val="0"/>
          <w:color w:val="auto"/>
          <w:sz w:val="24"/>
          <w:szCs w:val="24"/>
          <w:highlight w:val="none"/>
        </w:rPr>
        <w:t>响应文件是否对竞争性磋商文件提出的所有实质性要求和条件做出响应。未能在实质上响应的</w:t>
      </w:r>
      <w:r>
        <w:rPr>
          <w:rFonts w:hint="eastAsia" w:ascii="宋体" w:hAnsi="宋体" w:eastAsia="宋体"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6F68AA68">
      <w:pPr>
        <w:pStyle w:val="40"/>
        <w:ind w:firstLine="480"/>
        <w:rPr>
          <w:rFonts w:hint="eastAsia" w:cs="Helvetica"/>
          <w:i w:val="0"/>
          <w:iCs w:val="0"/>
          <w:color w:val="auto"/>
          <w:szCs w:val="24"/>
          <w:highlight w:val="none"/>
          <w:lang w:val="zh-CN"/>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 xml:space="preserve"> 供应商不得误导、干扰</w:t>
      </w:r>
      <w:r>
        <w:rPr>
          <w:rFonts w:hint="eastAsia" w:ascii="宋体" w:hAnsi="宋体" w:eastAsia="宋体" w:cs="宋体"/>
          <w:b w:val="0"/>
          <w:bCs w:val="0"/>
          <w:i w:val="0"/>
          <w:iCs w:val="0"/>
          <w:color w:val="auto"/>
          <w:sz w:val="24"/>
          <w:szCs w:val="24"/>
          <w:highlight w:val="none"/>
          <w:lang w:val="en-US" w:eastAsia="zh-CN"/>
        </w:rPr>
        <w:t>磋商小组</w:t>
      </w:r>
      <w:r>
        <w:rPr>
          <w:rFonts w:hint="eastAsia" w:ascii="宋体" w:hAnsi="宋体" w:eastAsia="宋体" w:cs="宋体"/>
          <w:b w:val="0"/>
          <w:bCs w:val="0"/>
          <w:i w:val="0"/>
          <w:iCs w:val="0"/>
          <w:color w:val="auto"/>
          <w:sz w:val="24"/>
          <w:szCs w:val="24"/>
          <w:highlight w:val="none"/>
        </w:rPr>
        <w:t>的评审活动，否则其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054A61A3">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44" w:name="_Toc102116022"/>
      <w:bookmarkStart w:id="445" w:name="_Toc102114920"/>
      <w:bookmarkStart w:id="446" w:name="_Toc102057718"/>
      <w:bookmarkStart w:id="447" w:name="_Toc102116152"/>
      <w:bookmarkStart w:id="448" w:name="_Toc102056218"/>
      <w:bookmarkStart w:id="449" w:name="_Toc102119853"/>
      <w:r>
        <w:rPr>
          <w:rFonts w:hint="eastAsia" w:ascii="宋体" w:hAnsi="宋体" w:eastAsia="宋体" w:cs="宋体"/>
          <w:b/>
          <w:bCs/>
          <w:color w:val="auto"/>
          <w:kern w:val="2"/>
          <w:sz w:val="24"/>
          <w:szCs w:val="24"/>
          <w:highlight w:val="none"/>
          <w:lang w:val="en-US" w:eastAsia="zh-CN" w:bidi="ar-SA"/>
        </w:rPr>
        <w:t>9.停止评审的情形</w:t>
      </w:r>
      <w:bookmarkEnd w:id="444"/>
      <w:bookmarkEnd w:id="445"/>
      <w:bookmarkEnd w:id="446"/>
      <w:bookmarkEnd w:id="447"/>
      <w:bookmarkEnd w:id="448"/>
      <w:bookmarkEnd w:id="449"/>
    </w:p>
    <w:p w14:paraId="58A3D9D5">
      <w:pPr>
        <w:keepNext w:val="0"/>
        <w:keepLines w:val="0"/>
        <w:widowControl/>
        <w:suppressLineNumbers w:val="0"/>
        <w:ind w:firstLine="480" w:firstLineChars="200"/>
        <w:jc w:val="left"/>
        <w:rPr>
          <w:rFonts w:hint="eastAsia" w:ascii="宋体" w:hAnsi="宋体" w:eastAsia="宋体" w:cstheme="minorBidi"/>
          <w:i w:val="0"/>
          <w:iCs w:val="0"/>
          <w:color w:val="auto"/>
          <w:kern w:val="2"/>
          <w:sz w:val="24"/>
          <w:szCs w:val="22"/>
          <w:highlight w:val="none"/>
          <w:lang w:val="zh-CN" w:eastAsia="zh-CN" w:bidi="ar-SA"/>
        </w:rPr>
      </w:pPr>
      <w:r>
        <w:rPr>
          <w:rFonts w:hint="eastAsia"/>
          <w:i w:val="0"/>
          <w:iCs w:val="0"/>
          <w:color w:val="auto"/>
          <w:highlight w:val="none"/>
          <w:lang w:val="en-US" w:eastAsia="zh-CN"/>
        </w:rPr>
        <w:t>9</w:t>
      </w:r>
      <w:r>
        <w:rPr>
          <w:i w:val="0"/>
          <w:iCs w:val="0"/>
          <w:color w:val="auto"/>
          <w:highlight w:val="none"/>
          <w:lang w:val="zh-CN"/>
        </w:rPr>
        <w:t>.1</w:t>
      </w:r>
      <w:r>
        <w:rPr>
          <w:rFonts w:hint="eastAsia" w:ascii="宋体" w:hAnsi="宋体" w:eastAsia="宋体" w:cstheme="minorBidi"/>
          <w:i w:val="0"/>
          <w:iCs w:val="0"/>
          <w:color w:val="auto"/>
          <w:kern w:val="2"/>
          <w:sz w:val="24"/>
          <w:szCs w:val="22"/>
          <w:highlight w:val="none"/>
          <w:lang w:val="en-US" w:eastAsia="zh-CN" w:bidi="ar-SA"/>
        </w:rPr>
        <w:t>磋商小组在评审过程中发现供应商有行贿、提供虚假材料或者串通等违法行为的，应当及时向财政部门报告。</w:t>
      </w:r>
    </w:p>
    <w:p w14:paraId="51B564B3">
      <w:pPr>
        <w:pStyle w:val="40"/>
        <w:ind w:firstLine="480"/>
        <w:rPr>
          <w:i w:val="0"/>
          <w:iCs w:val="0"/>
          <w:color w:val="auto"/>
          <w:highlight w:val="none"/>
          <w:lang w:val="zh-CN"/>
        </w:rPr>
      </w:pPr>
      <w:r>
        <w:rPr>
          <w:rFonts w:hint="eastAsia"/>
          <w:i w:val="0"/>
          <w:iCs w:val="0"/>
          <w:color w:val="auto"/>
          <w:highlight w:val="none"/>
          <w:lang w:val="en-US" w:eastAsia="zh-CN"/>
        </w:rPr>
        <w:t>9.2</w:t>
      </w:r>
      <w:r>
        <w:rPr>
          <w:rFonts w:hint="eastAsia"/>
          <w:i w:val="0"/>
          <w:iCs w:val="0"/>
          <w:color w:val="auto"/>
          <w:highlight w:val="none"/>
          <w:lang w:val="zh-CN"/>
        </w:rPr>
        <w:t>磋商小组发现磋商文件存在歧义、重大缺陷导致评审工作无法进行，或者磋商文件内容违反国家有关强制性规定的，应当停止评审工作，与采购人或者采购代理机构沟通并作书面记录。采购人或者采购代理机构确认后，应当修改磋商文件，重新组织采购活动。</w:t>
      </w:r>
    </w:p>
    <w:p w14:paraId="72A0944C">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default" w:ascii="宋体" w:hAnsi="宋体" w:eastAsia="宋体" w:cs="宋体"/>
          <w:color w:val="auto"/>
          <w:sz w:val="28"/>
          <w:szCs w:val="28"/>
          <w:highlight w:val="none"/>
          <w:lang w:val="en-US" w:eastAsia="zh-CN"/>
        </w:rPr>
      </w:pPr>
      <w:bookmarkStart w:id="450" w:name="_Toc11101"/>
      <w:bookmarkStart w:id="451" w:name="_Toc156490348"/>
      <w:bookmarkStart w:id="452" w:name="_Toc163493639"/>
      <w:r>
        <w:rPr>
          <w:rFonts w:hint="eastAsia" w:ascii="宋体" w:hAnsi="宋体" w:eastAsia="宋体" w:cs="宋体"/>
          <w:color w:val="auto"/>
          <w:sz w:val="28"/>
          <w:szCs w:val="28"/>
          <w:highlight w:val="none"/>
          <w:lang w:val="en-US" w:eastAsia="zh-CN"/>
        </w:rPr>
        <w:t>三、</w:t>
      </w:r>
      <w:r>
        <w:rPr>
          <w:rFonts w:hint="eastAsia" w:ascii="宋体" w:hAnsi="宋体" w:eastAsia="宋体" w:cs="宋体"/>
          <w:color w:val="auto"/>
          <w:sz w:val="28"/>
          <w:szCs w:val="28"/>
          <w:highlight w:val="none"/>
          <w:lang w:val="zh-CN" w:eastAsia="zh-CN"/>
        </w:rPr>
        <w:t>评审</w:t>
      </w:r>
      <w:r>
        <w:rPr>
          <w:rFonts w:hint="eastAsia" w:ascii="宋体" w:hAnsi="宋体" w:eastAsia="宋体" w:cs="宋体"/>
          <w:color w:val="auto"/>
          <w:sz w:val="28"/>
          <w:szCs w:val="28"/>
          <w:highlight w:val="none"/>
          <w:lang w:val="en-US" w:eastAsia="zh-CN"/>
        </w:rPr>
        <w:t>其他要求</w:t>
      </w:r>
      <w:bookmarkEnd w:id="450"/>
    </w:p>
    <w:p w14:paraId="3B9B7B2C">
      <w:pPr>
        <w:pStyle w:val="40"/>
        <w:keepNext w:val="0"/>
        <w:keepLines w:val="0"/>
        <w:pageBreakBefore w:val="0"/>
        <w:widowControl w:val="0"/>
        <w:kinsoku/>
        <w:overflowPunct/>
        <w:topLinePunct w:val="0"/>
        <w:autoSpaceDE/>
        <w:autoSpaceDN/>
        <w:bidi w:val="0"/>
        <w:adjustRightInd/>
        <w:snapToGrid/>
        <w:ind w:firstLine="480" w:firstLineChars="0"/>
        <w:textAlignment w:val="auto"/>
        <w:rPr>
          <w:rFonts w:hint="eastAsia"/>
          <w:i w:val="0"/>
          <w:iCs w:val="0"/>
          <w:color w:val="auto"/>
          <w:highlight w:val="none"/>
          <w:shd w:val="clear" w:color="auto" w:fill="FFFFFF" w:themeFill="background1"/>
          <w:lang w:val="en-US" w:eastAsia="zh-CN"/>
        </w:rPr>
      </w:pPr>
      <w:r>
        <w:rPr>
          <w:rFonts w:hint="eastAsia"/>
          <w:i w:val="0"/>
          <w:iCs w:val="0"/>
          <w:color w:val="auto"/>
          <w:highlight w:val="none"/>
          <w:shd w:val="clear" w:color="auto" w:fill="FFFFFF" w:themeFill="background1"/>
          <w:lang w:val="zh-CN" w:eastAsia="zh-CN"/>
        </w:rPr>
        <w:t>【</w:t>
      </w:r>
      <w:r>
        <w:rPr>
          <w:rFonts w:hint="eastAsia"/>
          <w:i w:val="0"/>
          <w:iCs w:val="0"/>
          <w:color w:val="auto"/>
          <w:highlight w:val="none"/>
          <w:shd w:val="clear" w:color="auto" w:fill="FFFFFF" w:themeFill="background1"/>
          <w:lang w:val="en-US" w:eastAsia="zh-CN"/>
        </w:rPr>
        <w:t>无</w:t>
      </w:r>
      <w:r>
        <w:rPr>
          <w:rFonts w:hint="eastAsia"/>
          <w:i w:val="0"/>
          <w:iCs w:val="0"/>
          <w:color w:val="auto"/>
          <w:highlight w:val="none"/>
          <w:shd w:val="clear" w:color="auto" w:fill="FFFFFF" w:themeFill="background1"/>
          <w:lang w:val="zh-CN" w:eastAsia="zh-CN"/>
        </w:rPr>
        <w:t>】</w:t>
      </w:r>
    </w:p>
    <w:p w14:paraId="5672636A">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53" w:name="_Toc31418"/>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评审标准</w:t>
      </w:r>
      <w:bookmarkEnd w:id="453"/>
    </w:p>
    <w:p w14:paraId="32B0EEA1">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4" w:name="_Toc3334"/>
      <w:bookmarkStart w:id="455" w:name="_Toc163493638"/>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kern w:val="2"/>
          <w:sz w:val="24"/>
          <w:szCs w:val="24"/>
          <w:highlight w:val="none"/>
          <w:lang w:val="zh-CN" w:eastAsia="zh-CN" w:bidi="ar-SA"/>
        </w:rPr>
        <w:t>资格审查表</w:t>
      </w:r>
      <w:bookmarkEnd w:id="454"/>
      <w:bookmarkEnd w:id="455"/>
    </w:p>
    <w:tbl>
      <w:tblPr>
        <w:tblStyle w:val="33"/>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57" w:type="dxa"/>
          <w:left w:w="108" w:type="dxa"/>
          <w:bottom w:w="57" w:type="dxa"/>
          <w:right w:w="108" w:type="dxa"/>
        </w:tblCellMar>
      </w:tblPr>
      <w:tblGrid>
        <w:gridCol w:w="820"/>
        <w:gridCol w:w="1645"/>
        <w:gridCol w:w="5545"/>
        <w:gridCol w:w="1355"/>
      </w:tblGrid>
      <w:tr w14:paraId="4541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820" w:type="dxa"/>
            <w:shd w:val="clear" w:color="auto" w:fill="auto"/>
            <w:vAlign w:val="center"/>
          </w:tcPr>
          <w:p w14:paraId="6EA8B30A">
            <w:pPr>
              <w:pStyle w:val="50"/>
              <w:spacing w:line="240" w:lineRule="auto"/>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序号</w:t>
            </w:r>
          </w:p>
        </w:tc>
        <w:tc>
          <w:tcPr>
            <w:tcW w:w="1645" w:type="dxa"/>
            <w:shd w:val="clear" w:color="auto" w:fill="auto"/>
            <w:vAlign w:val="center"/>
          </w:tcPr>
          <w:p w14:paraId="17B41B65">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审查因素</w:t>
            </w:r>
          </w:p>
        </w:tc>
        <w:tc>
          <w:tcPr>
            <w:tcW w:w="5545" w:type="dxa"/>
            <w:shd w:val="clear" w:color="auto" w:fill="auto"/>
            <w:vAlign w:val="center"/>
          </w:tcPr>
          <w:p w14:paraId="193E6858">
            <w:pPr>
              <w:pStyle w:val="50"/>
              <w:spacing w:line="240" w:lineRule="auto"/>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审查内容</w:t>
            </w:r>
          </w:p>
        </w:tc>
        <w:tc>
          <w:tcPr>
            <w:tcW w:w="1355" w:type="dxa"/>
            <w:shd w:val="clear" w:color="auto" w:fill="auto"/>
            <w:vAlign w:val="center"/>
          </w:tcPr>
          <w:p w14:paraId="6F255403">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格式要求</w:t>
            </w:r>
          </w:p>
        </w:tc>
      </w:tr>
      <w:tr w14:paraId="53C6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20" w:hRule="atLeast"/>
          <w:jc w:val="center"/>
        </w:trPr>
        <w:tc>
          <w:tcPr>
            <w:tcW w:w="820" w:type="dxa"/>
            <w:shd w:val="clear" w:color="auto" w:fill="auto"/>
            <w:vAlign w:val="center"/>
          </w:tcPr>
          <w:p w14:paraId="1A01EA2C">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w:t>
            </w:r>
          </w:p>
        </w:tc>
        <w:tc>
          <w:tcPr>
            <w:tcW w:w="1645" w:type="dxa"/>
            <w:shd w:val="clear" w:color="auto" w:fill="auto"/>
            <w:vAlign w:val="center"/>
          </w:tcPr>
          <w:p w14:paraId="56F1203B">
            <w:pPr>
              <w:pStyle w:val="50"/>
              <w:spacing w:line="240" w:lineRule="auto"/>
              <w:jc w:val="both"/>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满足《政府采购法》第二十二条规定</w:t>
            </w:r>
          </w:p>
        </w:tc>
        <w:tc>
          <w:tcPr>
            <w:tcW w:w="5545" w:type="dxa"/>
            <w:shd w:val="clear" w:color="auto" w:fill="auto"/>
            <w:vAlign w:val="center"/>
          </w:tcPr>
          <w:p w14:paraId="39C3BEC9">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具体规定见“第一章 竞争性磋商公告”</w:t>
            </w:r>
          </w:p>
        </w:tc>
        <w:tc>
          <w:tcPr>
            <w:tcW w:w="1355" w:type="dxa"/>
            <w:shd w:val="clear" w:color="auto" w:fill="auto"/>
            <w:vAlign w:val="center"/>
          </w:tcPr>
          <w:p w14:paraId="63A554A2">
            <w:pPr>
              <w:pStyle w:val="50"/>
              <w:spacing w:line="240" w:lineRule="auto"/>
              <w:jc w:val="center"/>
              <w:rPr>
                <w:rFonts w:hint="eastAsia" w:ascii="宋体" w:hAnsi="宋体" w:eastAsia="宋体" w:cs="宋体"/>
                <w:b/>
                <w:bCs/>
                <w:i w:val="0"/>
                <w:iCs w:val="0"/>
                <w:color w:val="auto"/>
                <w:sz w:val="21"/>
                <w:szCs w:val="21"/>
                <w:highlight w:val="none"/>
              </w:rPr>
            </w:pPr>
          </w:p>
        </w:tc>
      </w:tr>
      <w:tr w14:paraId="3C16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820" w:type="dxa"/>
            <w:shd w:val="clear" w:color="auto" w:fill="auto"/>
            <w:vAlign w:val="center"/>
          </w:tcPr>
          <w:p w14:paraId="3FED9D5D">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1-1</w:t>
            </w:r>
          </w:p>
        </w:tc>
        <w:tc>
          <w:tcPr>
            <w:tcW w:w="1645" w:type="dxa"/>
            <w:shd w:val="clear" w:color="auto" w:fill="auto"/>
            <w:vAlign w:val="center"/>
          </w:tcPr>
          <w:p w14:paraId="31C34359">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color w:val="auto"/>
                <w:sz w:val="21"/>
                <w:szCs w:val="21"/>
                <w:highlight w:val="none"/>
              </w:rPr>
              <w:t>具有独立承担民事责任的能力</w:t>
            </w:r>
          </w:p>
        </w:tc>
        <w:tc>
          <w:tcPr>
            <w:tcW w:w="5545" w:type="dxa"/>
            <w:shd w:val="clear" w:color="auto" w:fill="auto"/>
            <w:vAlign w:val="center"/>
          </w:tcPr>
          <w:p w14:paraId="1DC6A871">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rPr>
            </w:pPr>
            <w:r>
              <w:rPr>
                <w:rFonts w:hint="eastAsia" w:ascii="宋体" w:hAnsi="宋体" w:eastAsia="宋体" w:cs="宋体"/>
                <w:color w:val="auto"/>
                <w:sz w:val="21"/>
                <w:szCs w:val="21"/>
                <w:highlight w:val="none"/>
                <w:lang w:eastAsia="zh-CN"/>
              </w:rPr>
              <w:t>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是企业，应提供“营业执照”；如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是事业单位，应提供 “事业单位法人证书”；如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是社会团体，应提供“社会团体法人登记证书”；如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是个体工商户，应提供有效的“个体工商户营业执照”；如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是自然人，应提供有效的自然人身份证明。</w:t>
            </w:r>
          </w:p>
        </w:tc>
        <w:tc>
          <w:tcPr>
            <w:tcW w:w="1355" w:type="dxa"/>
            <w:shd w:val="clear" w:color="auto" w:fill="auto"/>
            <w:vAlign w:val="center"/>
          </w:tcPr>
          <w:p w14:paraId="6C2329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5A5E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820" w:type="dxa"/>
            <w:shd w:val="clear" w:color="auto" w:fill="auto"/>
            <w:vAlign w:val="center"/>
          </w:tcPr>
          <w:p w14:paraId="7C9A3910">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1-2</w:t>
            </w:r>
          </w:p>
        </w:tc>
        <w:tc>
          <w:tcPr>
            <w:tcW w:w="1645" w:type="dxa"/>
            <w:shd w:val="clear" w:color="auto" w:fill="auto"/>
            <w:vAlign w:val="center"/>
          </w:tcPr>
          <w:p w14:paraId="174BA105">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具有良好的商业信誉和健全的财务会计制度</w:t>
            </w:r>
          </w:p>
        </w:tc>
        <w:tc>
          <w:tcPr>
            <w:tcW w:w="5545" w:type="dxa"/>
            <w:shd w:val="clear" w:color="auto" w:fill="auto"/>
            <w:vAlign w:val="center"/>
          </w:tcPr>
          <w:p w14:paraId="3D457196">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cs="宋体"/>
                <w:color w:val="auto"/>
                <w:sz w:val="21"/>
                <w:szCs w:val="21"/>
                <w:highlight w:val="none"/>
                <w:lang w:val="en-US" w:eastAsia="zh-CN"/>
              </w:rPr>
              <w:t>供应商需提供近三年任一年度（2022年度或2023年度或2024年度）财务审计报告或近一年内银行提供的资信证明（新公司从成立之日起算）</w:t>
            </w:r>
            <w:r>
              <w:rPr>
                <w:rFonts w:hint="eastAsia" w:ascii="宋体" w:hAnsi="宋体" w:eastAsia="宋体" w:cs="宋体"/>
                <w:color w:val="auto"/>
                <w:sz w:val="21"/>
                <w:szCs w:val="21"/>
                <w:highlight w:val="none"/>
                <w:lang w:val="en-US" w:eastAsia="zh-CN"/>
              </w:rPr>
              <w:t>；</w:t>
            </w:r>
          </w:p>
        </w:tc>
        <w:tc>
          <w:tcPr>
            <w:tcW w:w="1355" w:type="dxa"/>
            <w:shd w:val="clear" w:color="auto" w:fill="auto"/>
            <w:vAlign w:val="center"/>
          </w:tcPr>
          <w:p w14:paraId="283542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6DDC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820" w:type="dxa"/>
            <w:shd w:val="clear" w:color="auto" w:fill="auto"/>
            <w:vAlign w:val="center"/>
          </w:tcPr>
          <w:p w14:paraId="0F7DFCD3">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1-3</w:t>
            </w:r>
          </w:p>
        </w:tc>
        <w:tc>
          <w:tcPr>
            <w:tcW w:w="1645" w:type="dxa"/>
            <w:shd w:val="clear" w:color="auto" w:fill="auto"/>
            <w:vAlign w:val="center"/>
          </w:tcPr>
          <w:p w14:paraId="3B45511E">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有依法缴纳税收和社会保障资金的良好记录</w:t>
            </w:r>
          </w:p>
        </w:tc>
        <w:tc>
          <w:tcPr>
            <w:tcW w:w="5545" w:type="dxa"/>
            <w:shd w:val="clear" w:color="auto" w:fill="auto"/>
            <w:vAlign w:val="center"/>
          </w:tcPr>
          <w:p w14:paraId="61FB7B77">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依法缴纳税收的证明材料：本项目</w:t>
            </w:r>
            <w:r>
              <w:rPr>
                <w:rFonts w:hint="eastAsia" w:ascii="宋体" w:hAnsi="宋体" w:eastAsia="宋体" w:cs="宋体"/>
                <w:color w:val="auto"/>
                <w:sz w:val="21"/>
                <w:szCs w:val="21"/>
                <w:highlight w:val="none"/>
                <w:lang w:eastAsia="zh-CN"/>
              </w:rPr>
              <w:t>响应截止</w:t>
            </w:r>
            <w:r>
              <w:rPr>
                <w:rFonts w:hint="eastAsia" w:ascii="宋体" w:hAnsi="宋体" w:eastAsia="宋体" w:cs="宋体"/>
                <w:color w:val="auto"/>
                <w:sz w:val="21"/>
                <w:szCs w:val="21"/>
                <w:highlight w:val="none"/>
              </w:rPr>
              <w:t xml:space="preserve">时间前 6 个月内（至少提供1个月）缴纳税收的凭据（完税证、缴款书、印花税票、银行代扣（代缴）转账凭证等均可）； </w:t>
            </w:r>
          </w:p>
          <w:p w14:paraId="75087E93">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依法缴纳社会保障资金的证明材料：本项目</w:t>
            </w:r>
            <w:r>
              <w:rPr>
                <w:rFonts w:hint="eastAsia" w:ascii="宋体" w:hAnsi="宋体" w:eastAsia="宋体" w:cs="宋体"/>
                <w:color w:val="auto"/>
                <w:sz w:val="21"/>
                <w:szCs w:val="21"/>
                <w:highlight w:val="none"/>
                <w:lang w:eastAsia="zh-CN"/>
              </w:rPr>
              <w:t>响应截止</w:t>
            </w:r>
            <w:r>
              <w:rPr>
                <w:rFonts w:hint="eastAsia" w:ascii="宋体" w:hAnsi="宋体" w:eastAsia="宋体" w:cs="宋体"/>
                <w:color w:val="auto"/>
                <w:sz w:val="21"/>
                <w:szCs w:val="21"/>
                <w:highlight w:val="none"/>
              </w:rPr>
              <w:t xml:space="preserve">时间时间前 6个月内（至少提供1个月）缴纳社会保险的凭据（专用收据或社会保险交纳清单）； </w:t>
            </w:r>
          </w:p>
          <w:p w14:paraId="398C096A">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为其他组织或自然人的，也需要按此项规定提供缴纳税收的凭据和交纳社会保险的凭据。如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的社会保险为委托第三方代缴，还需同时提供</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与第三方服务机构签署的服务合同（合同中应明确写明第三方为</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代缴其社会保险）。</w:t>
            </w:r>
          </w:p>
          <w:p w14:paraId="7ECA98FF">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rPr>
              <w:t>依法不需要缴纳社会保障资金的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，须提供相应文件证明其依法不需要缴纳社会保障资金。</w:t>
            </w:r>
          </w:p>
        </w:tc>
        <w:tc>
          <w:tcPr>
            <w:tcW w:w="1355" w:type="dxa"/>
            <w:shd w:val="clear" w:color="auto" w:fill="auto"/>
            <w:vAlign w:val="center"/>
          </w:tcPr>
          <w:p w14:paraId="53D5BE9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2CC2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20" w:type="dxa"/>
            <w:shd w:val="clear" w:color="auto" w:fill="auto"/>
            <w:vAlign w:val="center"/>
          </w:tcPr>
          <w:p w14:paraId="0848BC1A">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1-4</w:t>
            </w:r>
          </w:p>
        </w:tc>
        <w:tc>
          <w:tcPr>
            <w:tcW w:w="1645" w:type="dxa"/>
            <w:shd w:val="clear" w:color="auto" w:fill="auto"/>
            <w:vAlign w:val="center"/>
          </w:tcPr>
          <w:p w14:paraId="4BF90B78">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具有履行合同所必需的设备和专业技术能力</w:t>
            </w:r>
          </w:p>
        </w:tc>
        <w:tc>
          <w:tcPr>
            <w:tcW w:w="5545" w:type="dxa"/>
            <w:shd w:val="clear" w:color="auto" w:fill="auto"/>
            <w:vAlign w:val="center"/>
          </w:tcPr>
          <w:p w14:paraId="4EE865B2">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履行合同所必须的设备和专业技术能力的证明材料或声明。</w:t>
            </w:r>
          </w:p>
        </w:tc>
        <w:tc>
          <w:tcPr>
            <w:tcW w:w="1355" w:type="dxa"/>
            <w:shd w:val="clear" w:color="auto" w:fill="auto"/>
            <w:vAlign w:val="center"/>
          </w:tcPr>
          <w:p w14:paraId="3CDF38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332D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820" w:type="dxa"/>
            <w:shd w:val="clear" w:color="auto" w:fill="auto"/>
            <w:vAlign w:val="center"/>
          </w:tcPr>
          <w:p w14:paraId="37D79E8A">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1-5</w:t>
            </w:r>
          </w:p>
        </w:tc>
        <w:tc>
          <w:tcPr>
            <w:tcW w:w="1645" w:type="dxa"/>
            <w:shd w:val="clear" w:color="auto" w:fill="auto"/>
            <w:vAlign w:val="center"/>
          </w:tcPr>
          <w:p w14:paraId="23649951">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参加政府采购活动前三年内，在经营活动中没有重大违法记录</w:t>
            </w:r>
          </w:p>
        </w:tc>
        <w:tc>
          <w:tcPr>
            <w:tcW w:w="5545" w:type="dxa"/>
            <w:shd w:val="clear" w:color="auto" w:fill="auto"/>
            <w:vAlign w:val="center"/>
          </w:tcPr>
          <w:p w14:paraId="0566470D">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rPr>
              <w:t>参加政府采购活动前3年内在经营活动中没有重大违法记录的书面声明。</w:t>
            </w:r>
          </w:p>
        </w:tc>
        <w:tc>
          <w:tcPr>
            <w:tcW w:w="1355" w:type="dxa"/>
            <w:shd w:val="clear" w:color="auto" w:fill="auto"/>
            <w:vAlign w:val="center"/>
          </w:tcPr>
          <w:p w14:paraId="0E254F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4583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820" w:type="dxa"/>
            <w:shd w:val="clear" w:color="auto" w:fill="auto"/>
            <w:vAlign w:val="center"/>
          </w:tcPr>
          <w:p w14:paraId="0F99C38B">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1-6</w:t>
            </w:r>
          </w:p>
        </w:tc>
        <w:tc>
          <w:tcPr>
            <w:tcW w:w="1645" w:type="dxa"/>
            <w:shd w:val="clear" w:color="auto" w:fill="auto"/>
            <w:vAlign w:val="center"/>
          </w:tcPr>
          <w:p w14:paraId="781C06E9">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kern w:val="0"/>
                <w:sz w:val="21"/>
                <w:szCs w:val="21"/>
                <w:highlight w:val="none"/>
                <w:lang w:val="en-US" w:eastAsia="zh-CN" w:bidi="ar"/>
              </w:rPr>
            </w:pPr>
            <w:r>
              <w:rPr>
                <w:rFonts w:hint="eastAsia" w:ascii="宋体" w:hAnsi="宋体" w:eastAsia="宋体" w:cs="宋体"/>
                <w:color w:val="auto"/>
                <w:sz w:val="21"/>
                <w:szCs w:val="21"/>
                <w:highlight w:val="none"/>
              </w:rPr>
              <w:t>未列入失信被执行人、重大税收违法案件当事人名单、政府采购严重违法失信行为记录名单</w:t>
            </w:r>
          </w:p>
        </w:tc>
        <w:tc>
          <w:tcPr>
            <w:tcW w:w="5545" w:type="dxa"/>
            <w:shd w:val="clear" w:color="auto" w:fill="auto"/>
            <w:vAlign w:val="center"/>
          </w:tcPr>
          <w:p w14:paraId="2EF4E77B">
            <w:pPr>
              <w:pStyle w:val="7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kern w:val="0"/>
                <w:sz w:val="21"/>
                <w:szCs w:val="21"/>
                <w:highlight w:val="none"/>
                <w:lang w:val="en-US" w:eastAsia="zh-CN" w:bidi="ar"/>
              </w:rPr>
            </w:pPr>
            <w:r>
              <w:rPr>
                <w:rFonts w:hint="eastAsia" w:ascii="宋体" w:hAnsi="宋体" w:eastAsia="宋体" w:cs="宋体"/>
                <w:color w:val="auto"/>
                <w:sz w:val="21"/>
                <w:szCs w:val="21"/>
                <w:highlight w:val="none"/>
              </w:rPr>
              <w:t>“信用中国”网站或“中国政府采购网”查询信息：1、未被列入失信被执行人；2、不是重大税收违法案件当事人名单的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；3、未被列入政府采购严重违法失信行为记录名单。</w:t>
            </w:r>
          </w:p>
        </w:tc>
        <w:tc>
          <w:tcPr>
            <w:tcW w:w="1355" w:type="dxa"/>
            <w:shd w:val="clear" w:color="auto" w:fill="auto"/>
            <w:vAlign w:val="center"/>
          </w:tcPr>
          <w:p w14:paraId="550216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3DEE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824" w:hRule="atLeast"/>
          <w:jc w:val="center"/>
        </w:trPr>
        <w:tc>
          <w:tcPr>
            <w:tcW w:w="820" w:type="dxa"/>
            <w:shd w:val="clear" w:color="auto" w:fill="auto"/>
            <w:vAlign w:val="center"/>
          </w:tcPr>
          <w:p w14:paraId="63FEDFB2">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1-7</w:t>
            </w:r>
          </w:p>
        </w:tc>
        <w:tc>
          <w:tcPr>
            <w:tcW w:w="1645" w:type="dxa"/>
            <w:shd w:val="clear" w:color="auto" w:fill="auto"/>
            <w:vAlign w:val="center"/>
          </w:tcPr>
          <w:p w14:paraId="1FBA0CE6">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法律、行政法规规定的其他条件</w:t>
            </w:r>
          </w:p>
        </w:tc>
        <w:tc>
          <w:tcPr>
            <w:tcW w:w="5545" w:type="dxa"/>
            <w:shd w:val="clear" w:color="auto" w:fill="auto"/>
            <w:vAlign w:val="center"/>
          </w:tcPr>
          <w:p w14:paraId="10ECC0DF">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法律、行政法规规定的其他条件</w:t>
            </w:r>
          </w:p>
        </w:tc>
        <w:tc>
          <w:tcPr>
            <w:tcW w:w="1355" w:type="dxa"/>
            <w:shd w:val="clear" w:color="auto" w:fill="auto"/>
            <w:vAlign w:val="center"/>
          </w:tcPr>
          <w:p w14:paraId="36D55E83">
            <w:pPr>
              <w:pStyle w:val="50"/>
              <w:spacing w:line="240" w:lineRule="auto"/>
              <w:jc w:val="center"/>
              <w:rPr>
                <w:rFonts w:hint="eastAsia" w:ascii="宋体" w:hAnsi="宋体" w:eastAsia="宋体" w:cs="宋体"/>
                <w:b/>
                <w:bCs/>
                <w:i w:val="0"/>
                <w:iCs w:val="0"/>
                <w:color w:val="auto"/>
                <w:sz w:val="21"/>
                <w:szCs w:val="21"/>
                <w:highlight w:val="none"/>
              </w:rPr>
            </w:pPr>
          </w:p>
        </w:tc>
      </w:tr>
      <w:tr w14:paraId="749D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764" w:hRule="atLeast"/>
          <w:jc w:val="center"/>
        </w:trPr>
        <w:tc>
          <w:tcPr>
            <w:tcW w:w="820" w:type="dxa"/>
            <w:shd w:val="clear" w:color="auto" w:fill="auto"/>
            <w:vAlign w:val="center"/>
          </w:tcPr>
          <w:p w14:paraId="7D70709F">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w:t>
            </w:r>
          </w:p>
        </w:tc>
        <w:tc>
          <w:tcPr>
            <w:tcW w:w="1645" w:type="dxa"/>
            <w:shd w:val="clear" w:color="auto" w:fill="auto"/>
            <w:vAlign w:val="center"/>
          </w:tcPr>
          <w:p w14:paraId="1260EC7D">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落实政府采购政策需满足的资格要求</w:t>
            </w:r>
          </w:p>
        </w:tc>
        <w:tc>
          <w:tcPr>
            <w:tcW w:w="5545" w:type="dxa"/>
            <w:shd w:val="clear" w:color="auto" w:fill="auto"/>
            <w:vAlign w:val="center"/>
          </w:tcPr>
          <w:p w14:paraId="4A7ED4E2">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具体要求见“第一章 竞争性磋商公告”</w:t>
            </w:r>
          </w:p>
        </w:tc>
        <w:tc>
          <w:tcPr>
            <w:tcW w:w="1355" w:type="dxa"/>
            <w:shd w:val="clear" w:color="auto" w:fill="auto"/>
            <w:vAlign w:val="center"/>
          </w:tcPr>
          <w:p w14:paraId="1E9B443D">
            <w:pPr>
              <w:pStyle w:val="50"/>
              <w:spacing w:line="240" w:lineRule="auto"/>
              <w:jc w:val="center"/>
              <w:rPr>
                <w:rFonts w:hint="eastAsia" w:ascii="宋体" w:hAnsi="宋体" w:eastAsia="宋体" w:cs="宋体"/>
                <w:b/>
                <w:bCs/>
                <w:i w:val="0"/>
                <w:iCs w:val="0"/>
                <w:color w:val="auto"/>
                <w:sz w:val="21"/>
                <w:szCs w:val="21"/>
                <w:highlight w:val="none"/>
              </w:rPr>
            </w:pPr>
          </w:p>
        </w:tc>
      </w:tr>
      <w:tr w14:paraId="0E64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518" w:hRule="atLeast"/>
          <w:jc w:val="center"/>
        </w:trPr>
        <w:tc>
          <w:tcPr>
            <w:tcW w:w="820" w:type="dxa"/>
            <w:shd w:val="clear" w:color="auto" w:fill="auto"/>
            <w:vAlign w:val="center"/>
          </w:tcPr>
          <w:p w14:paraId="54E6EEA5">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2-1</w:t>
            </w:r>
          </w:p>
        </w:tc>
        <w:tc>
          <w:tcPr>
            <w:tcW w:w="1645" w:type="dxa"/>
            <w:shd w:val="clear" w:color="auto" w:fill="auto"/>
            <w:vAlign w:val="center"/>
          </w:tcPr>
          <w:p w14:paraId="7D84FF84">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中小企业政策</w:t>
            </w:r>
          </w:p>
        </w:tc>
        <w:tc>
          <w:tcPr>
            <w:tcW w:w="5545" w:type="dxa"/>
            <w:shd w:val="clear" w:color="auto" w:fill="auto"/>
            <w:vAlign w:val="center"/>
          </w:tcPr>
          <w:p w14:paraId="492660E3">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具体要求见</w:t>
            </w:r>
            <w:r>
              <w:rPr>
                <w:rFonts w:hint="eastAsia" w:ascii="宋体" w:hAnsi="宋体" w:eastAsia="宋体" w:cs="宋体"/>
                <w:i w:val="0"/>
                <w:iCs w:val="0"/>
                <w:color w:val="auto"/>
                <w:sz w:val="21"/>
                <w:szCs w:val="21"/>
                <w:highlight w:val="none"/>
                <w:lang w:val="en-US" w:eastAsia="zh-CN"/>
              </w:rPr>
              <w:t>“第一章 竞争性磋商公告”</w:t>
            </w:r>
          </w:p>
        </w:tc>
        <w:tc>
          <w:tcPr>
            <w:tcW w:w="1355" w:type="dxa"/>
            <w:shd w:val="clear" w:color="auto" w:fill="auto"/>
            <w:vAlign w:val="center"/>
          </w:tcPr>
          <w:p w14:paraId="75D74742">
            <w:pPr>
              <w:pStyle w:val="50"/>
              <w:spacing w:line="240" w:lineRule="auto"/>
              <w:jc w:val="center"/>
              <w:rPr>
                <w:rFonts w:hint="eastAsia" w:ascii="宋体" w:hAnsi="宋体" w:eastAsia="宋体" w:cs="宋体"/>
                <w:b/>
                <w:bCs/>
                <w:i w:val="0"/>
                <w:iCs w:val="0"/>
                <w:color w:val="auto"/>
                <w:sz w:val="21"/>
                <w:szCs w:val="21"/>
                <w:highlight w:val="none"/>
              </w:rPr>
            </w:pPr>
          </w:p>
        </w:tc>
      </w:tr>
      <w:tr w14:paraId="112B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8" w:hRule="atLeast"/>
          <w:jc w:val="center"/>
        </w:trPr>
        <w:tc>
          <w:tcPr>
            <w:tcW w:w="820" w:type="dxa"/>
            <w:shd w:val="clear" w:color="auto" w:fill="auto"/>
            <w:vAlign w:val="center"/>
          </w:tcPr>
          <w:p w14:paraId="15321CBF">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2-1-1</w:t>
            </w:r>
          </w:p>
        </w:tc>
        <w:tc>
          <w:tcPr>
            <w:tcW w:w="1645" w:type="dxa"/>
            <w:shd w:val="clear" w:color="auto" w:fill="auto"/>
            <w:vAlign w:val="center"/>
          </w:tcPr>
          <w:p w14:paraId="2C53752D">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中小企业证明文件</w:t>
            </w:r>
          </w:p>
        </w:tc>
        <w:tc>
          <w:tcPr>
            <w:tcW w:w="5545" w:type="dxa"/>
            <w:shd w:val="clear" w:color="auto" w:fill="auto"/>
            <w:vAlign w:val="center"/>
          </w:tcPr>
          <w:p w14:paraId="2F3DBD7C">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【当本项目（包）涉及预留份额专门面向中小企业采购，此时建议在《资格证明文件》中提供】</w:t>
            </w:r>
          </w:p>
          <w:p w14:paraId="1F5DB1DF">
            <w:pPr>
              <w:keepNext w:val="0"/>
              <w:keepLines w:val="0"/>
              <w:widowControl/>
              <w:suppressLineNumbers w:val="0"/>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 xml:space="preserve">单独响应的，应提供“中小企业声明函”或“残疾人福利性单位声明函”或由省级以上监狱管理局、戒毒管理局（含新疆生产建设兵团）出具的属于监狱企业的证明文件。 </w:t>
            </w:r>
          </w:p>
          <w:p w14:paraId="6FB49724">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w:t>
            </w:r>
            <w:r>
              <w:rPr>
                <w:rFonts w:hint="eastAsia" w:ascii="宋体" w:hAnsi="宋体" w:eastAsia="宋体" w:cs="宋体"/>
                <w:i w:val="0"/>
                <w:iCs w:val="0"/>
                <w:color w:val="auto"/>
                <w:spacing w:val="-6"/>
                <w:kern w:val="0"/>
                <w:sz w:val="21"/>
                <w:szCs w:val="21"/>
                <w:highlight w:val="none"/>
                <w:lang w:val="en-US" w:eastAsia="zh-CN" w:bidi="ar"/>
              </w:rPr>
              <w:t>如</w:t>
            </w:r>
            <w:r>
              <w:rPr>
                <w:rFonts w:hint="eastAsia" w:ascii="宋体" w:hAnsi="宋体" w:eastAsia="宋体" w:cs="宋体"/>
                <w:i w:val="0"/>
                <w:iCs w:val="0"/>
                <w:color w:val="auto"/>
                <w:sz w:val="21"/>
                <w:szCs w:val="21"/>
                <w:highlight w:val="none"/>
                <w:lang w:val="en-US" w:eastAsia="zh-CN"/>
              </w:rPr>
              <w:t>竞争性磋商</w:t>
            </w:r>
            <w:r>
              <w:rPr>
                <w:rFonts w:hint="eastAsia" w:ascii="宋体" w:hAnsi="宋体" w:eastAsia="宋体" w:cs="宋体"/>
                <w:i w:val="0"/>
                <w:iCs w:val="0"/>
                <w:color w:val="auto"/>
                <w:spacing w:val="-6"/>
                <w:kern w:val="0"/>
                <w:sz w:val="21"/>
                <w:szCs w:val="21"/>
                <w:highlight w:val="none"/>
                <w:lang w:val="en-US" w:eastAsia="zh-CN" w:bidi="ar"/>
              </w:rPr>
              <w:t>文件允许以联合体形式参加或者允许合同分包的，且供应商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w:t>
            </w:r>
            <w:r>
              <w:rPr>
                <w:rFonts w:hint="eastAsia" w:ascii="宋体" w:hAnsi="宋体" w:eastAsia="宋体" w:cs="宋体"/>
                <w:i w:val="0"/>
                <w:iCs w:val="0"/>
                <w:color w:val="auto"/>
                <w:sz w:val="21"/>
                <w:szCs w:val="21"/>
                <w:highlight w:val="none"/>
                <w:lang w:val="en-US" w:eastAsia="zh-CN"/>
              </w:rPr>
              <w:t>竞争性磋商</w:t>
            </w:r>
            <w:r>
              <w:rPr>
                <w:rFonts w:hint="eastAsia" w:ascii="宋体" w:hAnsi="宋体" w:eastAsia="宋体" w:cs="宋体"/>
                <w:i w:val="0"/>
                <w:iCs w:val="0"/>
                <w:color w:val="auto"/>
                <w:spacing w:val="-6"/>
                <w:kern w:val="0"/>
                <w:sz w:val="21"/>
                <w:szCs w:val="21"/>
                <w:highlight w:val="none"/>
                <w:lang w:val="en-US" w:eastAsia="zh-CN" w:bidi="ar"/>
              </w:rPr>
              <w:t>文件关于预留份额的要求。</w:t>
            </w:r>
          </w:p>
        </w:tc>
        <w:tc>
          <w:tcPr>
            <w:tcW w:w="1355" w:type="dxa"/>
            <w:shd w:val="clear" w:color="auto" w:fill="auto"/>
            <w:vAlign w:val="center"/>
          </w:tcPr>
          <w:p w14:paraId="0FC39B9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2B7A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64" w:hRule="atLeast"/>
          <w:jc w:val="center"/>
        </w:trPr>
        <w:tc>
          <w:tcPr>
            <w:tcW w:w="820" w:type="dxa"/>
            <w:shd w:val="clear" w:color="auto" w:fill="auto"/>
            <w:vAlign w:val="center"/>
          </w:tcPr>
          <w:p w14:paraId="3E8E8164">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2-1-2</w:t>
            </w:r>
          </w:p>
        </w:tc>
        <w:tc>
          <w:tcPr>
            <w:tcW w:w="1645" w:type="dxa"/>
            <w:shd w:val="clear" w:color="auto" w:fill="auto"/>
            <w:vAlign w:val="center"/>
          </w:tcPr>
          <w:p w14:paraId="335A1D3C">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拟分包情况说明及分包意向协议书</w:t>
            </w:r>
            <w:r>
              <w:rPr>
                <w:rFonts w:hint="eastAsia" w:cs="宋体"/>
                <w:color w:val="auto"/>
                <w:kern w:val="0"/>
                <w:szCs w:val="21"/>
                <w:highlight w:val="none"/>
                <w:lang w:eastAsia="zh-CN" w:bidi="ar"/>
              </w:rPr>
              <w:t>（</w:t>
            </w:r>
            <w:r>
              <w:rPr>
                <w:rFonts w:hint="eastAsia" w:cs="宋体"/>
                <w:color w:val="auto"/>
                <w:kern w:val="0"/>
                <w:szCs w:val="21"/>
                <w:highlight w:val="none"/>
                <w:lang w:val="en-US" w:eastAsia="zh-CN" w:bidi="ar"/>
              </w:rPr>
              <w:t>本项目不适用</w:t>
            </w:r>
            <w:r>
              <w:rPr>
                <w:rFonts w:hint="eastAsia" w:cs="宋体"/>
                <w:color w:val="auto"/>
                <w:kern w:val="0"/>
                <w:szCs w:val="21"/>
                <w:highlight w:val="none"/>
                <w:lang w:eastAsia="zh-CN" w:bidi="ar"/>
              </w:rPr>
              <w:t>）</w:t>
            </w:r>
          </w:p>
        </w:tc>
        <w:tc>
          <w:tcPr>
            <w:tcW w:w="5545" w:type="dxa"/>
            <w:shd w:val="clear" w:color="auto" w:fill="auto"/>
            <w:vAlign w:val="center"/>
          </w:tcPr>
          <w:p w14:paraId="62762905">
            <w:pPr>
              <w:keepNext w:val="0"/>
              <w:keepLines w:val="0"/>
              <w:widowControl/>
              <w:suppressLineNumbers w:val="0"/>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如本项目（包）要求通过分包措施预留部分采购份额面向中小企业采购、且</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 xml:space="preserve">因落实政府采购政策拟进行分包的，必须提供；否则无须提供。 </w:t>
            </w:r>
          </w:p>
          <w:p w14:paraId="11B918C7">
            <w:pPr>
              <w:pStyle w:val="50"/>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对于预留份额专门面向中小企业采购的项目（包），组成联合体或者接受分包合同的中小企业与联合体内其他企业、分包企业之间不得存在直接控股、管理关系。</w:t>
            </w:r>
          </w:p>
        </w:tc>
        <w:tc>
          <w:tcPr>
            <w:tcW w:w="1355" w:type="dxa"/>
            <w:shd w:val="clear" w:color="auto" w:fill="auto"/>
            <w:vAlign w:val="center"/>
          </w:tcPr>
          <w:p w14:paraId="06656F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p w14:paraId="06F64FF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p>
        </w:tc>
      </w:tr>
      <w:tr w14:paraId="6FE5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860" w:hRule="atLeast"/>
          <w:jc w:val="center"/>
        </w:trPr>
        <w:tc>
          <w:tcPr>
            <w:tcW w:w="820" w:type="dxa"/>
            <w:shd w:val="clear" w:color="auto" w:fill="auto"/>
            <w:vAlign w:val="center"/>
          </w:tcPr>
          <w:p w14:paraId="47343007">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2-2</w:t>
            </w:r>
          </w:p>
        </w:tc>
        <w:tc>
          <w:tcPr>
            <w:tcW w:w="1645" w:type="dxa"/>
            <w:shd w:val="clear" w:color="auto" w:fill="auto"/>
            <w:vAlign w:val="center"/>
          </w:tcPr>
          <w:p w14:paraId="45A042FB">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spacing w:val="-6"/>
                <w:kern w:val="0"/>
                <w:sz w:val="21"/>
                <w:szCs w:val="21"/>
                <w:highlight w:val="none"/>
                <w:lang w:val="en-US" w:eastAsia="zh-CN" w:bidi="ar"/>
              </w:rPr>
              <w:t>其它落实政府采购政策的资格要求</w:t>
            </w:r>
          </w:p>
        </w:tc>
        <w:tc>
          <w:tcPr>
            <w:tcW w:w="5545" w:type="dxa"/>
            <w:shd w:val="clear" w:color="auto" w:fill="auto"/>
            <w:vAlign w:val="center"/>
          </w:tcPr>
          <w:p w14:paraId="34169742">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如有，见</w:t>
            </w:r>
            <w:r>
              <w:rPr>
                <w:rFonts w:hint="eastAsia" w:ascii="宋体" w:hAnsi="宋体" w:eastAsia="宋体" w:cs="宋体"/>
                <w:i w:val="0"/>
                <w:iCs w:val="0"/>
                <w:color w:val="auto"/>
                <w:sz w:val="21"/>
                <w:szCs w:val="21"/>
                <w:highlight w:val="none"/>
                <w:lang w:val="en-US" w:eastAsia="zh-CN"/>
              </w:rPr>
              <w:t>“第一章 竞争性磋商公告”</w:t>
            </w:r>
          </w:p>
        </w:tc>
        <w:tc>
          <w:tcPr>
            <w:tcW w:w="1355" w:type="dxa"/>
            <w:shd w:val="clear" w:color="auto" w:fill="auto"/>
            <w:vAlign w:val="center"/>
          </w:tcPr>
          <w:p w14:paraId="4432CDD1">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提供证明文件的电子件或电子证照</w:t>
            </w:r>
          </w:p>
        </w:tc>
      </w:tr>
      <w:tr w14:paraId="0E5E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4" w:hRule="atLeast"/>
          <w:jc w:val="center"/>
        </w:trPr>
        <w:tc>
          <w:tcPr>
            <w:tcW w:w="820" w:type="dxa"/>
            <w:shd w:val="clear" w:color="auto" w:fill="auto"/>
            <w:vAlign w:val="center"/>
          </w:tcPr>
          <w:p w14:paraId="12294255">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w:t>
            </w:r>
          </w:p>
        </w:tc>
        <w:tc>
          <w:tcPr>
            <w:tcW w:w="1645" w:type="dxa"/>
            <w:shd w:val="clear" w:color="auto" w:fill="auto"/>
            <w:vAlign w:val="center"/>
          </w:tcPr>
          <w:p w14:paraId="54EFAA2A">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本项目的特定资格要求</w:t>
            </w:r>
          </w:p>
        </w:tc>
        <w:tc>
          <w:tcPr>
            <w:tcW w:w="5545" w:type="dxa"/>
            <w:shd w:val="clear" w:color="auto" w:fill="auto"/>
            <w:vAlign w:val="center"/>
          </w:tcPr>
          <w:p w14:paraId="00A37450">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如有，见</w:t>
            </w:r>
            <w:r>
              <w:rPr>
                <w:rFonts w:hint="eastAsia" w:ascii="宋体" w:hAnsi="宋体" w:eastAsia="宋体" w:cs="宋体"/>
                <w:i w:val="0"/>
                <w:iCs w:val="0"/>
                <w:color w:val="auto"/>
                <w:sz w:val="21"/>
                <w:szCs w:val="21"/>
                <w:highlight w:val="none"/>
                <w:lang w:val="en-US" w:eastAsia="zh-CN"/>
              </w:rPr>
              <w:t>“第一章 竞争性磋商公告”</w:t>
            </w:r>
          </w:p>
        </w:tc>
        <w:tc>
          <w:tcPr>
            <w:tcW w:w="1355" w:type="dxa"/>
            <w:shd w:val="clear" w:color="auto" w:fill="auto"/>
            <w:vAlign w:val="center"/>
          </w:tcPr>
          <w:p w14:paraId="156F7E34">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p>
        </w:tc>
      </w:tr>
      <w:tr w14:paraId="3319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820" w:type="dxa"/>
            <w:shd w:val="clear" w:color="auto" w:fill="auto"/>
            <w:vAlign w:val="center"/>
          </w:tcPr>
          <w:p w14:paraId="397933C2">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3-1</w:t>
            </w:r>
          </w:p>
        </w:tc>
        <w:tc>
          <w:tcPr>
            <w:tcW w:w="1645" w:type="dxa"/>
            <w:shd w:val="clear" w:color="auto" w:fill="auto"/>
            <w:vAlign w:val="center"/>
          </w:tcPr>
          <w:p w14:paraId="7F226DD1">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本项目对于联合体的要求</w:t>
            </w:r>
            <w:r>
              <w:rPr>
                <w:rFonts w:hint="eastAsia" w:cs="宋体"/>
                <w:color w:val="auto"/>
                <w:kern w:val="0"/>
                <w:szCs w:val="21"/>
                <w:highlight w:val="none"/>
                <w:lang w:eastAsia="zh-CN" w:bidi="ar"/>
              </w:rPr>
              <w:t>（</w:t>
            </w:r>
            <w:r>
              <w:rPr>
                <w:rFonts w:hint="eastAsia" w:cs="宋体"/>
                <w:color w:val="auto"/>
                <w:kern w:val="0"/>
                <w:szCs w:val="21"/>
                <w:highlight w:val="none"/>
                <w:lang w:val="en-US" w:eastAsia="zh-CN" w:bidi="ar"/>
              </w:rPr>
              <w:t>本项目不适用</w:t>
            </w:r>
            <w:r>
              <w:rPr>
                <w:rFonts w:hint="eastAsia" w:cs="宋体"/>
                <w:color w:val="auto"/>
                <w:kern w:val="0"/>
                <w:szCs w:val="21"/>
                <w:highlight w:val="none"/>
                <w:lang w:eastAsia="zh-CN" w:bidi="ar"/>
              </w:rPr>
              <w:t>）</w:t>
            </w:r>
          </w:p>
        </w:tc>
        <w:tc>
          <w:tcPr>
            <w:tcW w:w="5545" w:type="dxa"/>
            <w:shd w:val="clear" w:color="auto" w:fill="auto"/>
            <w:vAlign w:val="center"/>
          </w:tcPr>
          <w:p w14:paraId="71F764B8">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1、如本项目接受联合体磋商，且</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 xml:space="preserve">为联合体时必须提供《联合体协议书》，明确各方拟承担的工作和责任，并指定联合体牵头人，授权其代表所有联合体成员负责本项目磋商和合同实施阶段的牵头、协调工作。该联合体协议书应当作为响应文件的组成部分，与响应文件其他内容同时递交。 </w:t>
            </w:r>
          </w:p>
          <w:p w14:paraId="517DB6B7">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2、联合体各成员单位均须提供本表中序号1-1、1-2 的证明文件。联合体各成员单位均应满足本表 1-3 及 1-4 项规定。 </w:t>
            </w:r>
          </w:p>
          <w:p w14:paraId="75AA7FA6">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eastAsia="宋体" w:cs="宋体"/>
                <w:i w:val="0"/>
                <w:iCs w:val="0"/>
                <w:color w:val="auto"/>
                <w:spacing w:val="-6"/>
                <w:kern w:val="0"/>
                <w:sz w:val="21"/>
                <w:szCs w:val="21"/>
                <w:highlight w:val="none"/>
                <w:lang w:val="en-US" w:eastAsia="zh-CN" w:bidi="ar"/>
              </w:rPr>
              <w:t xml:space="preserve">本表序号 </w:t>
            </w:r>
            <w:r>
              <w:rPr>
                <w:rFonts w:hint="eastAsia" w:ascii="宋体" w:hAnsi="宋体" w:eastAsia="宋体" w:cs="宋体"/>
                <w:i w:val="0"/>
                <w:iCs w:val="0"/>
                <w:color w:val="auto"/>
                <w:kern w:val="0"/>
                <w:sz w:val="21"/>
                <w:szCs w:val="21"/>
                <w:highlight w:val="none"/>
                <w:lang w:val="en-US" w:eastAsia="zh-CN" w:bidi="ar"/>
              </w:rPr>
              <w:t xml:space="preserve">3-2 及 </w:t>
            </w:r>
            <w:r>
              <w:rPr>
                <w:rFonts w:hint="eastAsia" w:ascii="宋体" w:hAnsi="宋体" w:eastAsia="宋体" w:cs="宋体"/>
                <w:i w:val="0"/>
                <w:iCs w:val="0"/>
                <w:color w:val="auto"/>
                <w:spacing w:val="-6"/>
                <w:kern w:val="0"/>
                <w:sz w:val="21"/>
                <w:szCs w:val="21"/>
                <w:highlight w:val="none"/>
                <w:lang w:val="en-US" w:eastAsia="zh-CN" w:bidi="ar"/>
              </w:rPr>
              <w:t>3-3 项规定的其他特定资格要求中的每一小项要求，按照《联合体协议书》的分工，联合体各方应具备承担工作所需的特定资格要求并提供证明材料。</w:t>
            </w:r>
            <w:r>
              <w:rPr>
                <w:rFonts w:hint="eastAsia" w:ascii="宋体" w:hAnsi="宋体" w:eastAsia="宋体" w:cs="宋体"/>
                <w:i w:val="0"/>
                <w:iCs w:val="0"/>
                <w:color w:val="auto"/>
                <w:kern w:val="0"/>
                <w:sz w:val="21"/>
                <w:szCs w:val="21"/>
                <w:highlight w:val="none"/>
                <w:lang w:val="en-US" w:eastAsia="zh-CN" w:bidi="ar"/>
              </w:rPr>
              <w:t xml:space="preserve"> </w:t>
            </w:r>
          </w:p>
          <w:p w14:paraId="6C940A5D">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4、联合体中有同类资质的供应商按照联合体分工承担相同工作的，应当按照资质等级较低的供应商确定资质等级。 </w:t>
            </w:r>
          </w:p>
          <w:p w14:paraId="44D93A1E">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5、以联合体形式参加政府采购活动的，联合体各方不得再单独参加或者与其他供应商另外组成联合体参加同一合同项下的政府采购活动。 </w:t>
            </w:r>
          </w:p>
          <w:p w14:paraId="7D878FCE">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6、若联合体中任一成员单位中途退出，则该联合体的响应无效。 </w:t>
            </w:r>
          </w:p>
          <w:p w14:paraId="4FF9B429">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7、本项目不接受联合体磋商时，</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不得为联合体。</w:t>
            </w:r>
          </w:p>
        </w:tc>
        <w:tc>
          <w:tcPr>
            <w:tcW w:w="1355" w:type="dxa"/>
            <w:shd w:val="clear" w:color="auto" w:fill="auto"/>
            <w:vAlign w:val="center"/>
          </w:tcPr>
          <w:p w14:paraId="599BE434">
            <w:pPr>
              <w:pStyle w:val="50"/>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提供《联合体协议书》原件的电子件 </w:t>
            </w:r>
          </w:p>
          <w:p w14:paraId="76D91C9A">
            <w:pPr>
              <w:pStyle w:val="50"/>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6750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820" w:type="dxa"/>
            <w:shd w:val="clear" w:color="auto" w:fill="auto"/>
            <w:vAlign w:val="center"/>
          </w:tcPr>
          <w:p w14:paraId="777E2B93">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3-2</w:t>
            </w:r>
          </w:p>
        </w:tc>
        <w:tc>
          <w:tcPr>
            <w:tcW w:w="1645" w:type="dxa"/>
            <w:shd w:val="clear" w:color="auto" w:fill="auto"/>
            <w:vAlign w:val="center"/>
          </w:tcPr>
          <w:p w14:paraId="051DCADA">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政府购买服务承接主体的要求</w:t>
            </w:r>
            <w:r>
              <w:rPr>
                <w:rFonts w:hint="eastAsia" w:cs="宋体"/>
                <w:color w:val="auto"/>
                <w:kern w:val="0"/>
                <w:szCs w:val="21"/>
                <w:highlight w:val="none"/>
                <w:lang w:eastAsia="zh-CN" w:bidi="ar"/>
              </w:rPr>
              <w:t>（</w:t>
            </w:r>
            <w:r>
              <w:rPr>
                <w:rFonts w:hint="eastAsia" w:cs="宋体"/>
                <w:color w:val="auto"/>
                <w:kern w:val="0"/>
                <w:szCs w:val="21"/>
                <w:highlight w:val="none"/>
                <w:lang w:val="en-US" w:eastAsia="zh-CN" w:bidi="ar"/>
              </w:rPr>
              <w:t>本项目不适用</w:t>
            </w:r>
            <w:r>
              <w:rPr>
                <w:rFonts w:hint="eastAsia" w:cs="宋体"/>
                <w:color w:val="auto"/>
                <w:kern w:val="0"/>
                <w:szCs w:val="21"/>
                <w:highlight w:val="none"/>
                <w:lang w:eastAsia="zh-CN" w:bidi="ar"/>
              </w:rPr>
              <w:t>）</w:t>
            </w:r>
          </w:p>
        </w:tc>
        <w:tc>
          <w:tcPr>
            <w:tcW w:w="5545" w:type="dxa"/>
            <w:shd w:val="clear" w:color="auto" w:fill="auto"/>
            <w:vAlign w:val="center"/>
          </w:tcPr>
          <w:p w14:paraId="0FD94462">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如本项目属于政府购买服务，</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不属于公益一类事业单位、使用事业编制且由财政拨款保障的群团组织。</w:t>
            </w:r>
          </w:p>
        </w:tc>
        <w:tc>
          <w:tcPr>
            <w:tcW w:w="1355" w:type="dxa"/>
            <w:shd w:val="clear" w:color="auto" w:fill="auto"/>
            <w:vAlign w:val="center"/>
          </w:tcPr>
          <w:p w14:paraId="0A438944">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提供证明文件的电子件或电子证照</w:t>
            </w:r>
          </w:p>
        </w:tc>
      </w:tr>
      <w:tr w14:paraId="07EA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20" w:type="dxa"/>
            <w:shd w:val="clear" w:color="auto" w:fill="auto"/>
            <w:vAlign w:val="center"/>
          </w:tcPr>
          <w:p w14:paraId="532F2E39">
            <w:pPr>
              <w:pStyle w:val="50"/>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3-3</w:t>
            </w:r>
          </w:p>
        </w:tc>
        <w:tc>
          <w:tcPr>
            <w:tcW w:w="1645" w:type="dxa"/>
            <w:shd w:val="clear" w:color="auto" w:fill="auto"/>
            <w:vAlign w:val="center"/>
          </w:tcPr>
          <w:p w14:paraId="542E22A5">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其他特定资格要求</w:t>
            </w:r>
          </w:p>
        </w:tc>
        <w:tc>
          <w:tcPr>
            <w:tcW w:w="5545" w:type="dxa"/>
            <w:shd w:val="clear" w:color="auto" w:fill="auto"/>
            <w:vAlign w:val="center"/>
          </w:tcPr>
          <w:p w14:paraId="22041818">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如有，见</w:t>
            </w:r>
            <w:r>
              <w:rPr>
                <w:rFonts w:hint="eastAsia" w:ascii="宋体" w:hAnsi="宋体" w:eastAsia="宋体" w:cs="宋体"/>
                <w:i w:val="0"/>
                <w:iCs w:val="0"/>
                <w:color w:val="auto"/>
                <w:sz w:val="21"/>
                <w:szCs w:val="21"/>
                <w:highlight w:val="none"/>
                <w:lang w:val="en-US" w:eastAsia="zh-CN"/>
              </w:rPr>
              <w:t>“第一章 竞争性磋商公告”</w:t>
            </w:r>
          </w:p>
        </w:tc>
        <w:tc>
          <w:tcPr>
            <w:tcW w:w="1355" w:type="dxa"/>
            <w:shd w:val="clear" w:color="auto" w:fill="auto"/>
            <w:vAlign w:val="center"/>
          </w:tcPr>
          <w:p w14:paraId="3396FB3B">
            <w:pPr>
              <w:pStyle w:val="50"/>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提供证明文件的电子件或电子证照</w:t>
            </w:r>
          </w:p>
        </w:tc>
      </w:tr>
    </w:tbl>
    <w:p w14:paraId="354DFF7C">
      <w:pPr>
        <w:spacing w:line="360" w:lineRule="auto"/>
        <w:rPr>
          <w:rFonts w:hint="eastAsia"/>
          <w:b/>
          <w:bCs/>
          <w:i w:val="0"/>
          <w:iCs w:val="0"/>
          <w:color w:val="auto"/>
          <w:sz w:val="21"/>
          <w:szCs w:val="21"/>
          <w:highlight w:val="none"/>
        </w:rPr>
      </w:pPr>
    </w:p>
    <w:p w14:paraId="53A41A5F">
      <w:pPr>
        <w:spacing w:line="360" w:lineRule="auto"/>
        <w:rPr>
          <w:b/>
          <w:bCs/>
          <w:i w:val="0"/>
          <w:iCs w:val="0"/>
          <w:color w:val="auto"/>
          <w:sz w:val="21"/>
          <w:szCs w:val="21"/>
          <w:highlight w:val="none"/>
        </w:rPr>
      </w:pPr>
      <w:r>
        <w:rPr>
          <w:rFonts w:hint="eastAsia"/>
          <w:b/>
          <w:bCs/>
          <w:i w:val="0"/>
          <w:iCs w:val="0"/>
          <w:color w:val="auto"/>
          <w:sz w:val="21"/>
          <w:szCs w:val="21"/>
          <w:highlight w:val="none"/>
        </w:rPr>
        <w:t>备注：</w:t>
      </w:r>
    </w:p>
    <w:p w14:paraId="509818B3">
      <w:pPr>
        <w:pStyle w:val="44"/>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i w:val="0"/>
          <w:iCs w:val="0"/>
          <w:color w:val="auto"/>
          <w:sz w:val="21"/>
          <w:szCs w:val="21"/>
          <w:highlight w:val="none"/>
        </w:rPr>
        <w:t>1.</w:t>
      </w:r>
      <w:r>
        <w:rPr>
          <w:rFonts w:hint="eastAsia"/>
          <w:i w:val="0"/>
          <w:iCs w:val="0"/>
          <w:color w:val="auto"/>
          <w:sz w:val="21"/>
          <w:szCs w:val="21"/>
          <w:highlight w:val="none"/>
          <w:lang w:eastAsia="zh-CN"/>
        </w:rPr>
        <w:t>供应商须按上表格式要求提供相关证明文件</w:t>
      </w:r>
      <w:r>
        <w:rPr>
          <w:rFonts w:hint="eastAsia"/>
          <w:i w:val="0"/>
          <w:iCs w:val="0"/>
          <w:color w:val="auto"/>
          <w:sz w:val="21"/>
          <w:szCs w:val="21"/>
          <w:highlight w:val="none"/>
        </w:rPr>
        <w:t>，响应文件中须编入清晰的扫描件或网页截图。所有证明材料须清晰可辨认，如因证明材料模糊无法辨认，缺页、漏页导致无法进行评审认定的</w:t>
      </w:r>
      <w:r>
        <w:rPr>
          <w:rFonts w:hint="eastAsia"/>
          <w:i w:val="0"/>
          <w:iCs w:val="0"/>
          <w:color w:val="auto"/>
          <w:sz w:val="21"/>
          <w:szCs w:val="21"/>
          <w:highlight w:val="none"/>
          <w:lang w:eastAsia="zh-CN"/>
        </w:rPr>
        <w:t>，</w:t>
      </w:r>
      <w:r>
        <w:rPr>
          <w:rFonts w:hint="eastAsia"/>
          <w:i w:val="0"/>
          <w:iCs w:val="0"/>
          <w:color w:val="auto"/>
          <w:sz w:val="21"/>
          <w:szCs w:val="21"/>
          <w:highlight w:val="none"/>
        </w:rPr>
        <w:t>责任由供应商</w:t>
      </w:r>
      <w:r>
        <w:rPr>
          <w:rFonts w:hint="eastAsia"/>
          <w:i w:val="0"/>
          <w:iCs w:val="0"/>
          <w:color w:val="auto"/>
          <w:sz w:val="21"/>
          <w:szCs w:val="21"/>
          <w:highlight w:val="none"/>
          <w:lang w:val="en-US" w:eastAsia="zh-CN"/>
        </w:rPr>
        <w:t>承担</w:t>
      </w:r>
      <w:r>
        <w:rPr>
          <w:rFonts w:hint="eastAsia"/>
          <w:i w:val="0"/>
          <w:iCs w:val="0"/>
          <w:color w:val="auto"/>
          <w:sz w:val="21"/>
          <w:szCs w:val="21"/>
          <w:highlight w:val="none"/>
        </w:rPr>
        <w:t>。</w:t>
      </w:r>
    </w:p>
    <w:p w14:paraId="7CBBBAE9">
      <w:pPr>
        <w:pStyle w:val="44"/>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2.</w:t>
      </w:r>
      <w:r>
        <w:rPr>
          <w:rFonts w:hint="eastAsia"/>
          <w:i w:val="0"/>
          <w:iCs w:val="0"/>
          <w:color w:val="auto"/>
          <w:sz w:val="21"/>
          <w:szCs w:val="21"/>
          <w:highlight w:val="none"/>
          <w:lang w:val="zh-CN"/>
        </w:rPr>
        <w:t>信用信息核</w:t>
      </w:r>
      <w:r>
        <w:rPr>
          <w:rFonts w:hint="eastAsia"/>
          <w:i w:val="0"/>
          <w:iCs w:val="0"/>
          <w:color w:val="auto"/>
          <w:sz w:val="21"/>
          <w:szCs w:val="21"/>
          <w:highlight w:val="none"/>
        </w:rPr>
        <w:t>查</w:t>
      </w:r>
    </w:p>
    <w:p w14:paraId="0FB875AC">
      <w:pPr>
        <w:pStyle w:val="40"/>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rFonts w:hint="eastAsia"/>
          <w:i w:val="0"/>
          <w:iCs w:val="0"/>
          <w:color w:val="auto"/>
          <w:sz w:val="21"/>
          <w:szCs w:val="21"/>
          <w:highlight w:val="none"/>
        </w:rPr>
        <w:t>2.1资格审查</w:t>
      </w:r>
      <w:r>
        <w:rPr>
          <w:rFonts w:hint="eastAsia"/>
          <w:i w:val="0"/>
          <w:iCs w:val="0"/>
          <w:color w:val="auto"/>
          <w:sz w:val="21"/>
          <w:szCs w:val="21"/>
          <w:highlight w:val="none"/>
          <w:lang w:eastAsia="zh-CN"/>
        </w:rPr>
        <w:t>阶段</w:t>
      </w:r>
      <w:r>
        <w:rPr>
          <w:rFonts w:hint="eastAsia"/>
          <w:i w:val="0"/>
          <w:iCs w:val="0"/>
          <w:color w:val="auto"/>
          <w:sz w:val="21"/>
          <w:szCs w:val="21"/>
          <w:highlight w:val="none"/>
        </w:rPr>
        <w:t>应当核查供应商信用记录，供应商被列入失信被执行人、重大税收违法失信主体、政府采购严重违法失信行为记录名单的，采购</w:t>
      </w:r>
      <w:r>
        <w:rPr>
          <w:rFonts w:hint="eastAsia"/>
          <w:i w:val="0"/>
          <w:iCs w:val="0"/>
          <w:color w:val="auto"/>
          <w:sz w:val="21"/>
          <w:szCs w:val="21"/>
          <w:highlight w:val="none"/>
          <w:lang w:val="en-US" w:eastAsia="zh-CN"/>
        </w:rPr>
        <w:t>人</w:t>
      </w:r>
      <w:r>
        <w:rPr>
          <w:rFonts w:hint="eastAsia"/>
          <w:i w:val="0"/>
          <w:iCs w:val="0"/>
          <w:color w:val="auto"/>
          <w:sz w:val="21"/>
          <w:szCs w:val="21"/>
          <w:highlight w:val="none"/>
        </w:rPr>
        <w:t>拒绝其参与政府采购活动。</w:t>
      </w:r>
    </w:p>
    <w:p w14:paraId="6C038B85">
      <w:pPr>
        <w:pStyle w:val="40"/>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rFonts w:hint="eastAsia"/>
          <w:i w:val="0"/>
          <w:iCs w:val="0"/>
          <w:color w:val="auto"/>
          <w:sz w:val="21"/>
          <w:szCs w:val="21"/>
          <w:highlight w:val="none"/>
        </w:rPr>
        <w:t>2.2以联合体形式参与磋商的，应当核查联合体所有成员和信用记录，联合体成员存在不良信用记录的，视同联合体存在不良信用信息。</w:t>
      </w:r>
    </w:p>
    <w:p w14:paraId="72E0CBEB">
      <w:pPr>
        <w:pStyle w:val="44"/>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rFonts w:hint="eastAsia"/>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3.</w:t>
      </w:r>
      <w:r>
        <w:rPr>
          <w:rFonts w:hint="eastAsia"/>
          <w:i w:val="0"/>
          <w:iCs w:val="0"/>
          <w:color w:val="auto"/>
          <w:sz w:val="21"/>
          <w:szCs w:val="21"/>
          <w:highlight w:val="none"/>
        </w:rPr>
        <w:t>对于响应文件中有任意一条不满足上表要求的</w:t>
      </w:r>
      <w:r>
        <w:rPr>
          <w:rFonts w:hint="eastAsia"/>
          <w:i w:val="0"/>
          <w:iCs w:val="0"/>
          <w:color w:val="auto"/>
          <w:sz w:val="21"/>
          <w:szCs w:val="21"/>
          <w:highlight w:val="none"/>
          <w:lang w:eastAsia="zh-CN"/>
        </w:rPr>
        <w:t>，</w:t>
      </w:r>
      <w:r>
        <w:rPr>
          <w:rFonts w:hint="eastAsia"/>
          <w:i w:val="0"/>
          <w:iCs w:val="0"/>
          <w:color w:val="auto"/>
          <w:sz w:val="21"/>
          <w:szCs w:val="21"/>
          <w:highlight w:val="none"/>
        </w:rPr>
        <w:t>将导致其</w:t>
      </w:r>
      <w:r>
        <w:rPr>
          <w:rFonts w:hint="eastAsia"/>
          <w:b/>
          <w:bCs/>
          <w:i w:val="0"/>
          <w:iCs w:val="0"/>
          <w:color w:val="auto"/>
          <w:sz w:val="21"/>
          <w:szCs w:val="21"/>
          <w:highlight w:val="none"/>
        </w:rPr>
        <w:t>响应无效</w:t>
      </w:r>
      <w:r>
        <w:rPr>
          <w:rFonts w:hint="eastAsia"/>
          <w:i w:val="0"/>
          <w:iCs w:val="0"/>
          <w:color w:val="auto"/>
          <w:sz w:val="21"/>
          <w:szCs w:val="21"/>
          <w:highlight w:val="none"/>
        </w:rPr>
        <w:t>，不</w:t>
      </w:r>
      <w:r>
        <w:rPr>
          <w:rFonts w:hint="eastAsia"/>
          <w:i w:val="0"/>
          <w:iCs w:val="0"/>
          <w:color w:val="auto"/>
          <w:sz w:val="21"/>
          <w:szCs w:val="21"/>
          <w:highlight w:val="none"/>
          <w:lang w:val="en-US" w:eastAsia="zh-CN"/>
        </w:rPr>
        <w:t>得</w:t>
      </w:r>
      <w:r>
        <w:rPr>
          <w:rFonts w:hint="eastAsia"/>
          <w:i w:val="0"/>
          <w:iCs w:val="0"/>
          <w:color w:val="auto"/>
          <w:sz w:val="21"/>
          <w:szCs w:val="21"/>
          <w:highlight w:val="none"/>
        </w:rPr>
        <w:t>进入下一项评审。</w:t>
      </w:r>
    </w:p>
    <w:p w14:paraId="613615CA">
      <w:pPr>
        <w:pStyle w:val="6"/>
        <w:keepNext w:val="0"/>
        <w:keepLines w:val="0"/>
        <w:pageBreakBefore w:val="0"/>
        <w:widowControl w:val="0"/>
        <w:numPr>
          <w:ilvl w:val="0"/>
          <w:numId w:val="0"/>
        </w:numP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6" w:name="_Toc27818"/>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符合性审查表</w:t>
      </w:r>
      <w:bookmarkEnd w:id="451"/>
      <w:bookmarkEnd w:id="452"/>
      <w:bookmarkEnd w:id="456"/>
    </w:p>
    <w:tbl>
      <w:tblPr>
        <w:tblStyle w:val="33"/>
        <w:tblW w:w="5424"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1301"/>
        <w:gridCol w:w="5479"/>
        <w:gridCol w:w="865"/>
        <w:gridCol w:w="1087"/>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4" w:type="pct"/>
            <w:vMerge w:val="restart"/>
            <w:shd w:val="clear" w:color="auto" w:fill="D8D8D8" w:themeFill="background1" w:themeFillShade="D9"/>
            <w:vAlign w:val="center"/>
          </w:tcPr>
          <w:p w14:paraId="3B188FC3">
            <w:pPr>
              <w:pStyle w:val="50"/>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序号</w:t>
            </w:r>
          </w:p>
        </w:tc>
        <w:tc>
          <w:tcPr>
            <w:tcW w:w="704" w:type="pct"/>
            <w:vMerge w:val="restart"/>
            <w:shd w:val="clear" w:color="auto" w:fill="D8D8D8" w:themeFill="background1" w:themeFillShade="D9"/>
            <w:vAlign w:val="center"/>
          </w:tcPr>
          <w:p w14:paraId="316B5F87">
            <w:pPr>
              <w:pStyle w:val="50"/>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审查项名称</w:t>
            </w:r>
          </w:p>
        </w:tc>
        <w:tc>
          <w:tcPr>
            <w:tcW w:w="2964" w:type="pct"/>
            <w:vMerge w:val="restart"/>
            <w:shd w:val="clear" w:color="auto" w:fill="D8D8D8" w:themeFill="background1" w:themeFillShade="D9"/>
            <w:vAlign w:val="center"/>
          </w:tcPr>
          <w:p w14:paraId="44B32FDC">
            <w:pPr>
              <w:pStyle w:val="50"/>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审查内容</w:t>
            </w:r>
          </w:p>
        </w:tc>
        <w:tc>
          <w:tcPr>
            <w:tcW w:w="1056" w:type="pct"/>
            <w:gridSpan w:val="2"/>
            <w:shd w:val="clear" w:color="auto" w:fill="D8D8D8" w:themeFill="background1" w:themeFillShade="D9"/>
            <w:vAlign w:val="center"/>
          </w:tcPr>
          <w:p w14:paraId="2724C461">
            <w:pPr>
              <w:pStyle w:val="50"/>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4" w:type="pct"/>
            <w:vMerge w:val="continue"/>
            <w:shd w:val="clear" w:color="auto" w:fill="D8D8D8" w:themeFill="background1" w:themeFillShade="D9"/>
            <w:vAlign w:val="center"/>
          </w:tcPr>
          <w:p w14:paraId="1859AA86">
            <w:pPr>
              <w:pStyle w:val="50"/>
              <w:jc w:val="center"/>
              <w:rPr>
                <w:rFonts w:hint="eastAsia" w:ascii="宋体" w:hAnsi="宋体" w:eastAsia="宋体" w:cs="宋体"/>
                <w:b/>
                <w:bCs/>
                <w:i w:val="0"/>
                <w:iCs w:val="0"/>
                <w:color w:val="auto"/>
                <w:sz w:val="21"/>
                <w:szCs w:val="21"/>
                <w:highlight w:val="none"/>
                <w:lang w:val="zh-CN"/>
              </w:rPr>
            </w:pPr>
          </w:p>
        </w:tc>
        <w:tc>
          <w:tcPr>
            <w:tcW w:w="704" w:type="pct"/>
            <w:vMerge w:val="continue"/>
            <w:shd w:val="clear" w:color="auto" w:fill="D8D8D8" w:themeFill="background1" w:themeFillShade="D9"/>
            <w:vAlign w:val="center"/>
          </w:tcPr>
          <w:p w14:paraId="51EF0565">
            <w:pPr>
              <w:pStyle w:val="50"/>
              <w:jc w:val="center"/>
              <w:rPr>
                <w:rFonts w:hint="eastAsia" w:ascii="宋体" w:hAnsi="宋体" w:eastAsia="宋体" w:cs="宋体"/>
                <w:b/>
                <w:bCs/>
                <w:i w:val="0"/>
                <w:iCs w:val="0"/>
                <w:color w:val="auto"/>
                <w:sz w:val="21"/>
                <w:szCs w:val="21"/>
                <w:highlight w:val="none"/>
                <w:lang w:val="zh-CN"/>
              </w:rPr>
            </w:pPr>
          </w:p>
        </w:tc>
        <w:tc>
          <w:tcPr>
            <w:tcW w:w="2964" w:type="pct"/>
            <w:vMerge w:val="continue"/>
            <w:shd w:val="clear" w:color="auto" w:fill="D8D8D8" w:themeFill="background1" w:themeFillShade="D9"/>
            <w:vAlign w:val="center"/>
          </w:tcPr>
          <w:p w14:paraId="2128C077">
            <w:pPr>
              <w:pStyle w:val="50"/>
              <w:jc w:val="center"/>
              <w:rPr>
                <w:rFonts w:hint="eastAsia" w:ascii="宋体" w:hAnsi="宋体" w:eastAsia="宋体" w:cs="宋体"/>
                <w:b/>
                <w:bCs/>
                <w:i w:val="0"/>
                <w:iCs w:val="0"/>
                <w:color w:val="auto"/>
                <w:sz w:val="21"/>
                <w:szCs w:val="21"/>
                <w:highlight w:val="none"/>
                <w:lang w:val="zh-CN"/>
              </w:rPr>
            </w:pPr>
          </w:p>
        </w:tc>
        <w:tc>
          <w:tcPr>
            <w:tcW w:w="468" w:type="pct"/>
            <w:shd w:val="clear" w:color="auto" w:fill="D8D8D8" w:themeFill="background1" w:themeFillShade="D9"/>
            <w:vAlign w:val="center"/>
          </w:tcPr>
          <w:p w14:paraId="0CAA21D7">
            <w:pPr>
              <w:pStyle w:val="50"/>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符合</w:t>
            </w:r>
          </w:p>
        </w:tc>
        <w:tc>
          <w:tcPr>
            <w:tcW w:w="588" w:type="pct"/>
            <w:shd w:val="clear" w:color="auto" w:fill="D8D8D8" w:themeFill="background1" w:themeFillShade="D9"/>
            <w:vAlign w:val="center"/>
          </w:tcPr>
          <w:p w14:paraId="15D1F439">
            <w:pPr>
              <w:pStyle w:val="50"/>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274" w:type="pct"/>
            <w:shd w:val="clear" w:color="auto" w:fill="auto"/>
            <w:vAlign w:val="center"/>
          </w:tcPr>
          <w:p w14:paraId="4A515C07">
            <w:pPr>
              <w:pStyle w:val="50"/>
              <w:numPr>
                <w:ilvl w:val="0"/>
                <w:numId w:val="0"/>
              </w:numPr>
              <w:ind w:left="420" w:leftChars="0" w:hanging="420" w:firstLineChars="0"/>
              <w:jc w:val="center"/>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kern w:val="2"/>
                <w:sz w:val="21"/>
                <w:szCs w:val="21"/>
                <w:highlight w:val="none"/>
                <w:lang w:val="zh-CN" w:eastAsia="zh-CN" w:bidi="ar-SA"/>
              </w:rPr>
              <w:t>1</w:t>
            </w:r>
          </w:p>
        </w:tc>
        <w:tc>
          <w:tcPr>
            <w:tcW w:w="704" w:type="pct"/>
            <w:vAlign w:val="center"/>
          </w:tcPr>
          <w:p w14:paraId="5E0E3062">
            <w:pPr>
              <w:pStyle w:val="50"/>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rPr>
              <w:t>签署</w:t>
            </w:r>
          </w:p>
        </w:tc>
        <w:tc>
          <w:tcPr>
            <w:tcW w:w="2964" w:type="pct"/>
            <w:shd w:val="clear" w:color="auto" w:fill="auto"/>
            <w:vAlign w:val="center"/>
          </w:tcPr>
          <w:p w14:paraId="0FA4ED80">
            <w:pPr>
              <w:pStyle w:val="50"/>
              <w:rPr>
                <w:rFonts w:hint="eastAsia" w:ascii="宋体" w:hAnsi="宋体" w:eastAsia="宋体" w:cs="宋体"/>
                <w:i w:val="0"/>
                <w:iCs w:val="0"/>
                <w:color w:val="auto"/>
                <w:sz w:val="21"/>
                <w:szCs w:val="21"/>
                <w:highlight w:val="none"/>
                <w:lang w:val="zh-CN" w:eastAsia="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en-US" w:eastAsia="zh-CN"/>
              </w:rPr>
              <w:t>按磋商文件要求签署、盖章的</w:t>
            </w:r>
          </w:p>
        </w:tc>
        <w:tc>
          <w:tcPr>
            <w:tcW w:w="468" w:type="pct"/>
            <w:shd w:val="clear" w:color="auto" w:fill="auto"/>
            <w:vAlign w:val="center"/>
          </w:tcPr>
          <w:p w14:paraId="1E1F1EB1">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5325BAA">
            <w:pPr>
              <w:pStyle w:val="50"/>
              <w:rPr>
                <w:rFonts w:hint="eastAsia" w:ascii="宋体" w:hAnsi="宋体" w:eastAsia="宋体" w:cs="宋体"/>
                <w:i w:val="0"/>
                <w:iCs w:val="0"/>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4" w:type="pct"/>
            <w:shd w:val="clear" w:color="auto" w:fill="auto"/>
            <w:vAlign w:val="center"/>
          </w:tcPr>
          <w:p w14:paraId="70154C2F">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2</w:t>
            </w:r>
          </w:p>
        </w:tc>
        <w:tc>
          <w:tcPr>
            <w:tcW w:w="704" w:type="pct"/>
            <w:shd w:val="clear" w:color="auto" w:fill="auto"/>
            <w:vAlign w:val="center"/>
          </w:tcPr>
          <w:p w14:paraId="1B390AF0">
            <w:pPr>
              <w:pStyle w:val="50"/>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实质性要求</w:t>
            </w:r>
          </w:p>
        </w:tc>
        <w:tc>
          <w:tcPr>
            <w:tcW w:w="2964" w:type="pct"/>
            <w:shd w:val="clear" w:color="auto" w:fill="auto"/>
            <w:vAlign w:val="center"/>
          </w:tcPr>
          <w:p w14:paraId="6D95F485">
            <w:pPr>
              <w:pStyle w:val="50"/>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zh-CN" w:eastAsia="zh-CN"/>
              </w:rPr>
              <w:t>满足</w:t>
            </w:r>
            <w:r>
              <w:rPr>
                <w:rFonts w:hint="eastAsia" w:ascii="宋体" w:hAnsi="宋体" w:eastAsia="宋体" w:cs="宋体"/>
                <w:i w:val="0"/>
                <w:iCs w:val="0"/>
                <w:color w:val="auto"/>
                <w:sz w:val="21"/>
                <w:szCs w:val="21"/>
                <w:highlight w:val="none"/>
                <w:lang w:val="en-US" w:eastAsia="zh-CN"/>
              </w:rPr>
              <w:t>磋商</w:t>
            </w:r>
            <w:r>
              <w:rPr>
                <w:rFonts w:hint="eastAsia" w:ascii="宋体" w:hAnsi="宋体" w:eastAsia="宋体" w:cs="宋体"/>
                <w:i w:val="0"/>
                <w:iCs w:val="0"/>
                <w:color w:val="auto"/>
                <w:sz w:val="21"/>
                <w:szCs w:val="21"/>
                <w:highlight w:val="none"/>
                <w:lang w:val="zh-CN" w:eastAsia="zh-CN"/>
              </w:rPr>
              <w:t>文件中标注“★”号的实质性条款（或指标）要求的</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具体详见</w:t>
            </w:r>
            <w:r>
              <w:rPr>
                <w:rFonts w:hint="eastAsia" w:ascii="宋体" w:hAnsi="宋体" w:eastAsia="宋体" w:cs="宋体"/>
                <w:i w:val="0"/>
                <w:iCs w:val="0"/>
                <w:color w:val="auto"/>
                <w:sz w:val="21"/>
                <w:szCs w:val="21"/>
                <w:highlight w:val="none"/>
                <w:lang w:val="zh-CN"/>
              </w:rPr>
              <w:t>“实质性响应一览表”</w:t>
            </w:r>
          </w:p>
        </w:tc>
        <w:tc>
          <w:tcPr>
            <w:tcW w:w="468" w:type="pct"/>
            <w:shd w:val="clear" w:color="auto" w:fill="auto"/>
            <w:vAlign w:val="center"/>
          </w:tcPr>
          <w:p w14:paraId="4C63B966">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A615EFE">
            <w:pPr>
              <w:pStyle w:val="50"/>
              <w:rPr>
                <w:rFonts w:hint="eastAsia" w:ascii="宋体" w:hAnsi="宋体" w:eastAsia="宋体" w:cs="宋体"/>
                <w:i w:val="0"/>
                <w:iCs w:val="0"/>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4" w:type="pct"/>
            <w:shd w:val="clear" w:color="auto" w:fill="auto"/>
            <w:vAlign w:val="center"/>
          </w:tcPr>
          <w:p w14:paraId="48860C47">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3</w:t>
            </w:r>
          </w:p>
        </w:tc>
        <w:tc>
          <w:tcPr>
            <w:tcW w:w="704" w:type="pct"/>
            <w:vAlign w:val="center"/>
          </w:tcPr>
          <w:p w14:paraId="31EA832C">
            <w:pPr>
              <w:pStyle w:val="50"/>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磋商响应性报价</w:t>
            </w:r>
          </w:p>
        </w:tc>
        <w:tc>
          <w:tcPr>
            <w:tcW w:w="2964" w:type="pct"/>
            <w:shd w:val="clear" w:color="auto" w:fill="auto"/>
            <w:vAlign w:val="center"/>
          </w:tcPr>
          <w:p w14:paraId="02D97709">
            <w:pPr>
              <w:pStyle w:val="50"/>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供应商报价未超过磋商文件中规定的最高限价或者预算金额的</w:t>
            </w:r>
          </w:p>
        </w:tc>
        <w:tc>
          <w:tcPr>
            <w:tcW w:w="468" w:type="pct"/>
            <w:shd w:val="clear" w:color="auto" w:fill="auto"/>
            <w:vAlign w:val="center"/>
          </w:tcPr>
          <w:p w14:paraId="18835E98">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2826E79">
            <w:pPr>
              <w:pStyle w:val="50"/>
              <w:rPr>
                <w:rFonts w:hint="eastAsia" w:ascii="宋体" w:hAnsi="宋体" w:eastAsia="宋体" w:cs="宋体"/>
                <w:i w:val="0"/>
                <w:iCs w:val="0"/>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4" w:type="pct"/>
            <w:shd w:val="clear" w:color="auto" w:fill="auto"/>
            <w:vAlign w:val="center"/>
          </w:tcPr>
          <w:p w14:paraId="0D25BA5B">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4</w:t>
            </w:r>
          </w:p>
        </w:tc>
        <w:tc>
          <w:tcPr>
            <w:tcW w:w="704" w:type="pct"/>
            <w:vAlign w:val="center"/>
          </w:tcPr>
          <w:p w14:paraId="6B53D7DD">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虚假材料</w:t>
            </w:r>
          </w:p>
        </w:tc>
        <w:tc>
          <w:tcPr>
            <w:tcW w:w="2964" w:type="pct"/>
            <w:shd w:val="clear" w:color="auto" w:fill="auto"/>
            <w:vAlign w:val="center"/>
          </w:tcPr>
          <w:p w14:paraId="3C241A91">
            <w:pPr>
              <w:pStyle w:val="50"/>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提供虚假材料的</w:t>
            </w:r>
          </w:p>
        </w:tc>
        <w:tc>
          <w:tcPr>
            <w:tcW w:w="468" w:type="pct"/>
            <w:shd w:val="clear" w:color="auto" w:fill="auto"/>
            <w:vAlign w:val="center"/>
          </w:tcPr>
          <w:p w14:paraId="4B513014">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48AFA180">
            <w:pPr>
              <w:pStyle w:val="50"/>
              <w:rPr>
                <w:rFonts w:hint="eastAsia" w:ascii="宋体" w:hAnsi="宋体" w:eastAsia="宋体" w:cs="宋体"/>
                <w:i w:val="0"/>
                <w:iCs w:val="0"/>
                <w:color w:val="auto"/>
                <w:sz w:val="21"/>
                <w:szCs w:val="21"/>
                <w:highlight w:val="none"/>
                <w:lang w:val="zh-CN"/>
              </w:rPr>
            </w:pPr>
          </w:p>
        </w:tc>
      </w:tr>
      <w:tr w14:paraId="2260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4" w:type="pct"/>
            <w:shd w:val="clear" w:color="auto" w:fill="auto"/>
            <w:vAlign w:val="center"/>
          </w:tcPr>
          <w:p w14:paraId="5772C4C0">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5</w:t>
            </w:r>
          </w:p>
        </w:tc>
        <w:tc>
          <w:tcPr>
            <w:tcW w:w="704" w:type="pct"/>
            <w:vAlign w:val="center"/>
          </w:tcPr>
          <w:p w14:paraId="1817A2C0">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联合体</w:t>
            </w:r>
          </w:p>
        </w:tc>
        <w:tc>
          <w:tcPr>
            <w:tcW w:w="2964" w:type="pct"/>
            <w:shd w:val="clear" w:color="auto" w:fill="auto"/>
            <w:vAlign w:val="center"/>
          </w:tcPr>
          <w:p w14:paraId="39640874">
            <w:pPr>
              <w:pStyle w:val="50"/>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磋商文件规定接受联合体磋商的，</w:t>
            </w:r>
            <w:r>
              <w:rPr>
                <w:rFonts w:hint="eastAsia" w:ascii="宋体" w:hAnsi="宋体" w:eastAsia="宋体" w:cs="宋体"/>
                <w:i w:val="0"/>
                <w:iCs w:val="0"/>
                <w:color w:val="auto"/>
                <w:sz w:val="21"/>
                <w:szCs w:val="21"/>
                <w:highlight w:val="none"/>
                <w:lang w:val="zh-CN" w:eastAsia="zh-CN"/>
              </w:rPr>
              <w:t>联合体供应商提交</w:t>
            </w:r>
            <w:r>
              <w:rPr>
                <w:rFonts w:hint="eastAsia" w:ascii="宋体" w:hAnsi="宋体" w:eastAsia="宋体" w:cs="宋体"/>
                <w:i w:val="0"/>
                <w:iCs w:val="0"/>
                <w:color w:val="auto"/>
                <w:sz w:val="21"/>
                <w:szCs w:val="21"/>
                <w:highlight w:val="none"/>
                <w:lang w:val="en-US" w:eastAsia="zh-CN"/>
              </w:rPr>
              <w:t>了</w:t>
            </w:r>
            <w:r>
              <w:rPr>
                <w:rFonts w:hint="eastAsia" w:ascii="宋体" w:hAnsi="宋体" w:eastAsia="宋体" w:cs="宋体"/>
                <w:i w:val="0"/>
                <w:iCs w:val="0"/>
                <w:color w:val="auto"/>
                <w:sz w:val="21"/>
                <w:szCs w:val="21"/>
                <w:highlight w:val="none"/>
                <w:lang w:val="zh-CN" w:eastAsia="zh-CN"/>
              </w:rPr>
              <w:t>各方共同签署的联合体协议【</w:t>
            </w:r>
            <w:r>
              <w:rPr>
                <w:rFonts w:hint="eastAsia" w:ascii="宋体" w:hAnsi="宋体" w:eastAsia="宋体" w:cs="宋体"/>
                <w:i w:val="0"/>
                <w:iCs w:val="0"/>
                <w:color w:val="auto"/>
                <w:sz w:val="21"/>
                <w:szCs w:val="21"/>
                <w:highlight w:val="none"/>
                <w:lang w:val="en-US" w:eastAsia="zh-CN"/>
              </w:rPr>
              <w:t>如允许联合体磋商的</w:t>
            </w:r>
            <w:r>
              <w:rPr>
                <w:rFonts w:hint="eastAsia" w:ascii="宋体" w:hAnsi="宋体" w:eastAsia="宋体" w:cs="宋体"/>
                <w:i w:val="0"/>
                <w:iCs w:val="0"/>
                <w:color w:val="auto"/>
                <w:sz w:val="21"/>
                <w:szCs w:val="21"/>
                <w:highlight w:val="none"/>
                <w:lang w:val="zh-CN" w:eastAsia="zh-CN"/>
              </w:rPr>
              <w:t>】</w:t>
            </w:r>
          </w:p>
        </w:tc>
        <w:tc>
          <w:tcPr>
            <w:tcW w:w="468" w:type="pct"/>
            <w:shd w:val="clear" w:color="auto" w:fill="auto"/>
            <w:vAlign w:val="center"/>
          </w:tcPr>
          <w:p w14:paraId="2C782F18">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163069B8">
            <w:pPr>
              <w:pStyle w:val="50"/>
              <w:rPr>
                <w:rFonts w:hint="eastAsia" w:ascii="宋体" w:hAnsi="宋体" w:eastAsia="宋体" w:cs="宋体"/>
                <w:i w:val="0"/>
                <w:iCs w:val="0"/>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4" w:type="pct"/>
            <w:shd w:val="clear" w:color="auto" w:fill="auto"/>
            <w:vAlign w:val="center"/>
          </w:tcPr>
          <w:p w14:paraId="31C12A1B">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6</w:t>
            </w:r>
          </w:p>
        </w:tc>
        <w:tc>
          <w:tcPr>
            <w:tcW w:w="704" w:type="pct"/>
            <w:vAlign w:val="center"/>
          </w:tcPr>
          <w:p w14:paraId="55194F4F">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磋商保证金</w:t>
            </w:r>
          </w:p>
        </w:tc>
        <w:tc>
          <w:tcPr>
            <w:tcW w:w="2964" w:type="pct"/>
            <w:shd w:val="clear" w:color="auto" w:fill="auto"/>
            <w:vAlign w:val="center"/>
          </w:tcPr>
          <w:p w14:paraId="4803457A">
            <w:pPr>
              <w:pStyle w:val="50"/>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磋商文件规定应当缴纳的，供应商按磋商文件的规定缴纳磋商保证金的</w:t>
            </w:r>
          </w:p>
        </w:tc>
        <w:tc>
          <w:tcPr>
            <w:tcW w:w="468" w:type="pct"/>
            <w:shd w:val="clear" w:color="auto" w:fill="auto"/>
            <w:vAlign w:val="center"/>
          </w:tcPr>
          <w:p w14:paraId="194FF3C2">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372B823">
            <w:pPr>
              <w:pStyle w:val="50"/>
              <w:rPr>
                <w:rFonts w:hint="eastAsia" w:ascii="宋体" w:hAnsi="宋体" w:eastAsia="宋体" w:cs="宋体"/>
                <w:i w:val="0"/>
                <w:iCs w:val="0"/>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4" w:type="pct"/>
            <w:shd w:val="clear" w:color="auto" w:fill="auto"/>
            <w:vAlign w:val="center"/>
          </w:tcPr>
          <w:p w14:paraId="6C002E13">
            <w:pPr>
              <w:pStyle w:val="50"/>
              <w:numPr>
                <w:ilvl w:val="0"/>
                <w:numId w:val="0"/>
              </w:numPr>
              <w:ind w:left="0" w:leftChars="0" w:firstLine="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7</w:t>
            </w:r>
          </w:p>
        </w:tc>
        <w:tc>
          <w:tcPr>
            <w:tcW w:w="704" w:type="pct"/>
            <w:vAlign w:val="center"/>
          </w:tcPr>
          <w:p w14:paraId="5C91A4A7">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响应文件的澄清、说明、补正</w:t>
            </w:r>
          </w:p>
        </w:tc>
        <w:tc>
          <w:tcPr>
            <w:tcW w:w="2964" w:type="pct"/>
            <w:shd w:val="clear" w:color="auto" w:fill="auto"/>
            <w:vAlign w:val="center"/>
          </w:tcPr>
          <w:p w14:paraId="3E6052BB">
            <w:pPr>
              <w:pStyle w:val="50"/>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eastAsia="zh-CN"/>
              </w:rPr>
              <w:t>评审期间,</w:t>
            </w: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按磋商小组的要求提交经授权代表签字的澄清、说明、更正且澄清、说明、更正未超出响应文件范围或</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改变</w:t>
            </w: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文件的实质性内容</w:t>
            </w:r>
          </w:p>
        </w:tc>
        <w:tc>
          <w:tcPr>
            <w:tcW w:w="468" w:type="pct"/>
            <w:shd w:val="clear" w:color="auto" w:fill="auto"/>
            <w:vAlign w:val="center"/>
          </w:tcPr>
          <w:p w14:paraId="1EA81190">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394B23D">
            <w:pPr>
              <w:pStyle w:val="50"/>
              <w:rPr>
                <w:rFonts w:hint="eastAsia" w:ascii="宋体" w:hAnsi="宋体" w:eastAsia="宋体" w:cs="宋体"/>
                <w:i w:val="0"/>
                <w:iCs w:val="0"/>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4" w:type="pct"/>
            <w:shd w:val="clear" w:color="auto" w:fill="auto"/>
            <w:vAlign w:val="center"/>
          </w:tcPr>
          <w:p w14:paraId="09617D9C">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en-US" w:eastAsia="zh-CN" w:bidi="ar-SA"/>
              </w:rPr>
              <w:t>8</w:t>
            </w:r>
          </w:p>
        </w:tc>
        <w:tc>
          <w:tcPr>
            <w:tcW w:w="704" w:type="pct"/>
            <w:vAlign w:val="center"/>
          </w:tcPr>
          <w:p w14:paraId="2016E93A">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供应商影响评审</w:t>
            </w:r>
          </w:p>
        </w:tc>
        <w:tc>
          <w:tcPr>
            <w:tcW w:w="2964" w:type="pct"/>
            <w:shd w:val="clear" w:color="auto" w:fill="auto"/>
            <w:vAlign w:val="center"/>
          </w:tcPr>
          <w:p w14:paraId="50B76BB4">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对采购人、采购代理机构、磋商小组及其工作人员</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施加影响,</w:t>
            </w:r>
            <w:r>
              <w:rPr>
                <w:rFonts w:hint="eastAsia" w:ascii="宋体" w:hAnsi="宋体" w:eastAsia="宋体" w:cs="宋体"/>
                <w:i w:val="0"/>
                <w:iCs w:val="0"/>
                <w:color w:val="auto"/>
                <w:sz w:val="21"/>
                <w:szCs w:val="21"/>
                <w:highlight w:val="none"/>
                <w:lang w:val="en-US" w:eastAsia="zh-CN"/>
              </w:rPr>
              <w:t>无</w:t>
            </w:r>
            <w:r>
              <w:rPr>
                <w:rFonts w:hint="eastAsia" w:ascii="宋体" w:hAnsi="宋体" w:eastAsia="宋体" w:cs="宋体"/>
                <w:i w:val="0"/>
                <w:iCs w:val="0"/>
                <w:color w:val="auto"/>
                <w:sz w:val="21"/>
                <w:szCs w:val="21"/>
                <w:highlight w:val="none"/>
                <w:lang w:val="zh-CN" w:eastAsia="zh-CN"/>
              </w:rPr>
              <w:t>有碍公平、公正</w:t>
            </w:r>
            <w:r>
              <w:rPr>
                <w:rFonts w:hint="eastAsia" w:ascii="宋体" w:hAnsi="宋体" w:eastAsia="宋体" w:cs="宋体"/>
                <w:i w:val="0"/>
                <w:iCs w:val="0"/>
                <w:color w:val="auto"/>
                <w:sz w:val="21"/>
                <w:szCs w:val="21"/>
                <w:highlight w:val="none"/>
                <w:lang w:val="en-US" w:eastAsia="zh-CN"/>
              </w:rPr>
              <w:t>行为的</w:t>
            </w:r>
          </w:p>
        </w:tc>
        <w:tc>
          <w:tcPr>
            <w:tcW w:w="468" w:type="pct"/>
            <w:shd w:val="clear" w:color="auto" w:fill="auto"/>
            <w:vAlign w:val="center"/>
          </w:tcPr>
          <w:p w14:paraId="75DB24A7">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D6DA84C">
            <w:pPr>
              <w:pStyle w:val="50"/>
              <w:rPr>
                <w:rFonts w:hint="eastAsia" w:ascii="宋体" w:hAnsi="宋体" w:eastAsia="宋体" w:cs="宋体"/>
                <w:i w:val="0"/>
                <w:iCs w:val="0"/>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332BD4A6">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9</w:t>
            </w:r>
          </w:p>
        </w:tc>
        <w:tc>
          <w:tcPr>
            <w:tcW w:w="704" w:type="pct"/>
            <w:vAlign w:val="center"/>
          </w:tcPr>
          <w:p w14:paraId="56EEFE7E">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附加条件</w:t>
            </w:r>
          </w:p>
        </w:tc>
        <w:tc>
          <w:tcPr>
            <w:tcW w:w="2964" w:type="pct"/>
            <w:shd w:val="clear" w:color="auto" w:fill="auto"/>
            <w:vAlign w:val="center"/>
          </w:tcPr>
          <w:p w14:paraId="618DB2FB">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响应文件没有采购人不能接受的附加条件的</w:t>
            </w:r>
          </w:p>
        </w:tc>
        <w:tc>
          <w:tcPr>
            <w:tcW w:w="468" w:type="pct"/>
            <w:shd w:val="clear" w:color="auto" w:fill="auto"/>
            <w:vAlign w:val="center"/>
          </w:tcPr>
          <w:p w14:paraId="36C2A679">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3E4201A">
            <w:pPr>
              <w:pStyle w:val="50"/>
              <w:rPr>
                <w:rFonts w:hint="eastAsia" w:ascii="宋体" w:hAnsi="宋体" w:eastAsia="宋体" w:cs="宋体"/>
                <w:i w:val="0"/>
                <w:iCs w:val="0"/>
                <w:color w:val="auto"/>
                <w:sz w:val="21"/>
                <w:szCs w:val="21"/>
                <w:highlight w:val="none"/>
                <w:lang w:val="zh-CN"/>
              </w:rPr>
            </w:pPr>
          </w:p>
        </w:tc>
      </w:tr>
      <w:tr w14:paraId="681D0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trPr>
        <w:tc>
          <w:tcPr>
            <w:tcW w:w="274" w:type="pct"/>
            <w:shd w:val="clear" w:color="auto" w:fill="auto"/>
            <w:vAlign w:val="center"/>
          </w:tcPr>
          <w:p w14:paraId="323D8C9D">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10</w:t>
            </w:r>
          </w:p>
        </w:tc>
        <w:tc>
          <w:tcPr>
            <w:tcW w:w="704" w:type="pct"/>
            <w:shd w:val="clear" w:color="auto" w:fill="auto"/>
            <w:vAlign w:val="center"/>
          </w:tcPr>
          <w:p w14:paraId="39D684C7">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工程量清单</w:t>
            </w:r>
          </w:p>
        </w:tc>
        <w:tc>
          <w:tcPr>
            <w:tcW w:w="2964" w:type="pct"/>
            <w:shd w:val="clear" w:color="auto" w:fill="auto"/>
            <w:vAlign w:val="center"/>
          </w:tcPr>
          <w:p w14:paraId="5050123A">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未改变磋商文件提供工程量清单中的项目编码、项目名称、项目特征、计量单位和工程量的</w:t>
            </w:r>
          </w:p>
        </w:tc>
        <w:tc>
          <w:tcPr>
            <w:tcW w:w="468" w:type="pct"/>
            <w:shd w:val="clear" w:color="auto" w:fill="auto"/>
            <w:vAlign w:val="center"/>
          </w:tcPr>
          <w:p w14:paraId="68B59918">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69FE525">
            <w:pPr>
              <w:pStyle w:val="50"/>
              <w:rPr>
                <w:rFonts w:hint="eastAsia" w:ascii="宋体" w:hAnsi="宋体" w:eastAsia="宋体" w:cs="宋体"/>
                <w:i w:val="0"/>
                <w:iCs w:val="0"/>
                <w:color w:val="auto"/>
                <w:sz w:val="21"/>
                <w:szCs w:val="21"/>
                <w:highlight w:val="none"/>
                <w:lang w:val="zh-CN"/>
              </w:rPr>
            </w:pPr>
          </w:p>
        </w:tc>
      </w:tr>
      <w:tr w14:paraId="5A8F7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trPr>
        <w:tc>
          <w:tcPr>
            <w:tcW w:w="274" w:type="pct"/>
            <w:shd w:val="clear" w:color="auto" w:fill="auto"/>
            <w:vAlign w:val="center"/>
          </w:tcPr>
          <w:p w14:paraId="26A2A042">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11</w:t>
            </w:r>
          </w:p>
        </w:tc>
        <w:tc>
          <w:tcPr>
            <w:tcW w:w="704" w:type="pct"/>
            <w:shd w:val="clear" w:color="auto" w:fill="auto"/>
            <w:vAlign w:val="center"/>
          </w:tcPr>
          <w:p w14:paraId="60C87E39">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不可竞争费</w:t>
            </w:r>
          </w:p>
        </w:tc>
        <w:tc>
          <w:tcPr>
            <w:tcW w:w="2964" w:type="pct"/>
            <w:shd w:val="clear" w:color="auto" w:fill="auto"/>
            <w:vAlign w:val="center"/>
          </w:tcPr>
          <w:p w14:paraId="341E17CE">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未改动规费、税金及安全文明施工费中“环境保护费、文明施工费、安全施工费”等不可竞争费的计费基础和费率的</w:t>
            </w:r>
          </w:p>
        </w:tc>
        <w:tc>
          <w:tcPr>
            <w:tcW w:w="468" w:type="pct"/>
            <w:shd w:val="clear" w:color="auto" w:fill="auto"/>
            <w:vAlign w:val="center"/>
          </w:tcPr>
          <w:p w14:paraId="06D8A276">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BCCA9D3">
            <w:pPr>
              <w:pStyle w:val="50"/>
              <w:rPr>
                <w:rFonts w:hint="eastAsia" w:ascii="宋体" w:hAnsi="宋体" w:eastAsia="宋体" w:cs="宋体"/>
                <w:i w:val="0"/>
                <w:iCs w:val="0"/>
                <w:color w:val="auto"/>
                <w:sz w:val="21"/>
                <w:szCs w:val="21"/>
                <w:highlight w:val="none"/>
                <w:lang w:val="zh-CN"/>
              </w:rPr>
            </w:pPr>
          </w:p>
        </w:tc>
      </w:tr>
      <w:tr w14:paraId="116B5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274" w:type="pct"/>
            <w:shd w:val="clear" w:color="auto" w:fill="auto"/>
            <w:vAlign w:val="center"/>
          </w:tcPr>
          <w:p w14:paraId="4D7CA5EE">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12</w:t>
            </w:r>
          </w:p>
        </w:tc>
        <w:tc>
          <w:tcPr>
            <w:tcW w:w="704" w:type="pct"/>
            <w:shd w:val="clear" w:color="auto" w:fill="auto"/>
            <w:vAlign w:val="center"/>
          </w:tcPr>
          <w:p w14:paraId="4DAFF46B">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暂估价</w:t>
            </w:r>
          </w:p>
        </w:tc>
        <w:tc>
          <w:tcPr>
            <w:tcW w:w="2964" w:type="pct"/>
            <w:shd w:val="clear" w:color="auto" w:fill="auto"/>
            <w:vAlign w:val="center"/>
          </w:tcPr>
          <w:p w14:paraId="4631CD40">
            <w:pPr>
              <w:pStyle w:val="5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未改动暂列金、专业工程暂估价的；未改动材料、设备等暂估单价的</w:t>
            </w:r>
          </w:p>
        </w:tc>
        <w:tc>
          <w:tcPr>
            <w:tcW w:w="468" w:type="pct"/>
            <w:shd w:val="clear" w:color="auto" w:fill="auto"/>
            <w:vAlign w:val="center"/>
          </w:tcPr>
          <w:p w14:paraId="0CDC72D6">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43A811F5">
            <w:pPr>
              <w:pStyle w:val="50"/>
              <w:rPr>
                <w:rFonts w:hint="eastAsia" w:ascii="宋体" w:hAnsi="宋体" w:eastAsia="宋体" w:cs="宋体"/>
                <w:i w:val="0"/>
                <w:iCs w:val="0"/>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274" w:type="pct"/>
            <w:shd w:val="clear" w:color="auto" w:fill="auto"/>
            <w:vAlign w:val="center"/>
          </w:tcPr>
          <w:p w14:paraId="3CD6AABE">
            <w:pPr>
              <w:pStyle w:val="50"/>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13</w:t>
            </w:r>
          </w:p>
        </w:tc>
        <w:tc>
          <w:tcPr>
            <w:tcW w:w="704" w:type="pct"/>
            <w:vAlign w:val="center"/>
          </w:tcPr>
          <w:p w14:paraId="40726A5F">
            <w:pPr>
              <w:pStyle w:val="50"/>
              <w:rPr>
                <w:rFonts w:hint="eastAsia" w:ascii="宋体" w:hAnsi="宋体" w:eastAsia="宋体" w:cs="宋体"/>
                <w:i w:val="0"/>
                <w:iCs w:val="0"/>
                <w:color w:val="auto"/>
                <w:sz w:val="21"/>
                <w:szCs w:val="21"/>
                <w:highlight w:val="none"/>
                <w:lang w:val="zh-CN"/>
              </w:rPr>
            </w:pPr>
            <w:r>
              <w:rPr>
                <w:rFonts w:hint="eastAsia" w:cs="宋体"/>
                <w:i w:val="0"/>
                <w:iCs w:val="0"/>
                <w:color w:val="auto"/>
                <w:sz w:val="21"/>
                <w:szCs w:val="21"/>
                <w:highlight w:val="none"/>
                <w:lang w:val="en-US" w:eastAsia="zh-CN"/>
              </w:rPr>
              <w:t>其</w:t>
            </w:r>
            <w:bookmarkStart w:id="1530" w:name="_GoBack"/>
            <w:bookmarkEnd w:id="1530"/>
            <w:r>
              <w:rPr>
                <w:rFonts w:hint="eastAsia" w:ascii="宋体" w:hAnsi="宋体" w:eastAsia="宋体" w:cs="宋体"/>
                <w:i w:val="0"/>
                <w:iCs w:val="0"/>
                <w:color w:val="auto"/>
                <w:sz w:val="21"/>
                <w:szCs w:val="21"/>
                <w:highlight w:val="none"/>
                <w:lang w:val="zh-CN"/>
              </w:rPr>
              <w:t>他无效情形</w:t>
            </w:r>
          </w:p>
        </w:tc>
        <w:tc>
          <w:tcPr>
            <w:tcW w:w="2964" w:type="pct"/>
            <w:shd w:val="clear" w:color="auto" w:fill="auto"/>
            <w:vAlign w:val="center"/>
          </w:tcPr>
          <w:p w14:paraId="05CC0303">
            <w:pPr>
              <w:pStyle w:val="50"/>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en-US" w:eastAsia="zh-CN"/>
              </w:rPr>
              <w:t>未出现</w:t>
            </w:r>
            <w:r>
              <w:rPr>
                <w:rFonts w:hint="eastAsia" w:ascii="宋体" w:hAnsi="宋体" w:eastAsia="宋体" w:cs="宋体"/>
                <w:i w:val="0"/>
                <w:iCs w:val="0"/>
                <w:color w:val="auto"/>
                <w:sz w:val="21"/>
                <w:szCs w:val="21"/>
                <w:highlight w:val="none"/>
                <w:lang w:val="zh-CN" w:eastAsia="zh-CN"/>
              </w:rPr>
              <w:t>法律、法规、规章以及本磋商文件规定属于</w:t>
            </w: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无效的其他情形。</w:t>
            </w:r>
          </w:p>
        </w:tc>
        <w:tc>
          <w:tcPr>
            <w:tcW w:w="468" w:type="pct"/>
            <w:shd w:val="clear" w:color="auto" w:fill="auto"/>
            <w:vAlign w:val="center"/>
          </w:tcPr>
          <w:p w14:paraId="3A44DE13">
            <w:pPr>
              <w:pStyle w:val="50"/>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D1C94D8">
            <w:pPr>
              <w:pStyle w:val="50"/>
              <w:rPr>
                <w:rFonts w:hint="eastAsia" w:ascii="宋体" w:hAnsi="宋体" w:eastAsia="宋体" w:cs="宋体"/>
                <w:i w:val="0"/>
                <w:iCs w:val="0"/>
                <w:color w:val="auto"/>
                <w:sz w:val="21"/>
                <w:szCs w:val="21"/>
                <w:highlight w:val="none"/>
                <w:lang w:val="zh-CN"/>
              </w:rPr>
            </w:pPr>
          </w:p>
        </w:tc>
      </w:tr>
    </w:tbl>
    <w:p w14:paraId="0A735208">
      <w:pPr>
        <w:shd w:val="clear" w:color="auto" w:fill="FFFFFF"/>
        <w:tabs>
          <w:tab w:val="left" w:pos="3045"/>
        </w:tabs>
        <w:autoSpaceDE w:val="0"/>
        <w:autoSpaceDN w:val="0"/>
        <w:adjustRightInd w:val="0"/>
        <w:snapToGrid w:val="0"/>
        <w:spacing w:line="360" w:lineRule="exact"/>
        <w:rPr>
          <w:rFonts w:hint="eastAsia" w:ascii="宋体" w:hAnsi="宋体" w:cs="宋体"/>
          <w:b/>
          <w:i w:val="0"/>
          <w:iCs w:val="0"/>
          <w:color w:val="auto"/>
          <w:sz w:val="24"/>
          <w:highlight w:val="none"/>
        </w:rPr>
      </w:pPr>
    </w:p>
    <w:p w14:paraId="4230CCFE">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5039C59A">
      <w:pPr>
        <w:shd w:val="clear" w:color="auto" w:fill="FFFFFF"/>
        <w:tabs>
          <w:tab w:val="left" w:pos="3045"/>
        </w:tabs>
        <w:autoSpaceDE w:val="0"/>
        <w:autoSpaceDN w:val="0"/>
        <w:adjustRightInd w:val="0"/>
        <w:snapToGrid w:val="0"/>
        <w:spacing w:line="360" w:lineRule="exact"/>
        <w:rPr>
          <w:rFonts w:hint="eastAsia"/>
          <w:color w:val="auto"/>
          <w:highlight w:val="none"/>
        </w:rPr>
      </w:pPr>
      <w:r>
        <w:rPr>
          <w:rFonts w:hint="eastAsia" w:ascii="宋体" w:hAnsi="宋体" w:cs="宋体"/>
          <w:b/>
          <w:color w:val="auto"/>
          <w:sz w:val="24"/>
          <w:highlight w:val="none"/>
        </w:rPr>
        <w:t>符合</w:t>
      </w:r>
      <w:r>
        <w:rPr>
          <w:rFonts w:hint="eastAsia" w:ascii="宋体" w:hAnsi="宋体" w:cs="宋体"/>
          <w:b/>
          <w:color w:val="auto"/>
          <w:sz w:val="24"/>
          <w:highlight w:val="none"/>
          <w:lang w:eastAsia="zh-CN"/>
        </w:rPr>
        <w:t>性</w:t>
      </w:r>
      <w:r>
        <w:rPr>
          <w:rFonts w:hint="eastAsia" w:ascii="宋体" w:hAnsi="宋体" w:cs="宋体"/>
          <w:b/>
          <w:color w:val="auto"/>
          <w:sz w:val="24"/>
          <w:highlight w:val="none"/>
        </w:rPr>
        <w:t>检查</w:t>
      </w:r>
      <w:r>
        <w:rPr>
          <w:rFonts w:hint="eastAsia" w:cs="宋体"/>
          <w:b/>
          <w:color w:val="auto"/>
          <w:sz w:val="24"/>
          <w:highlight w:val="none"/>
          <w:lang w:val="en-US" w:eastAsia="zh-CN"/>
        </w:rPr>
        <w:t>-</w:t>
      </w:r>
      <w:r>
        <w:rPr>
          <w:rFonts w:hint="eastAsia" w:ascii="宋体" w:hAnsi="宋体" w:cs="宋体"/>
          <w:b/>
          <w:color w:val="auto"/>
          <w:sz w:val="24"/>
          <w:highlight w:val="none"/>
        </w:rPr>
        <w:t>附表</w:t>
      </w:r>
    </w:p>
    <w:p w14:paraId="5B0DC6FD">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bookmarkStart w:id="457" w:name="_Toc787"/>
      <w:r>
        <w:rPr>
          <w:rFonts w:hint="eastAsia" w:ascii="宋体" w:hAnsi="宋体" w:eastAsia="宋体" w:cstheme="minorBidi"/>
          <w:b/>
          <w:bCs/>
          <w:color w:val="auto"/>
          <w:kern w:val="2"/>
          <w:sz w:val="28"/>
          <w:szCs w:val="28"/>
          <w:highlight w:val="none"/>
          <w:lang w:val="zh-CN" w:eastAsia="zh-CN" w:bidi="ar-SA"/>
        </w:rPr>
        <w:t>实质性响应一览表</w:t>
      </w:r>
      <w:bookmarkEnd w:id="457"/>
    </w:p>
    <w:p w14:paraId="24AB75D6">
      <w:pPr>
        <w:shd w:val="clear" w:color="auto" w:fill="FFFFFF"/>
        <w:tabs>
          <w:tab w:val="left" w:pos="3045"/>
        </w:tabs>
        <w:autoSpaceDE w:val="0"/>
        <w:autoSpaceDN w:val="0"/>
        <w:adjustRightInd w:val="0"/>
        <w:snapToGrid w:val="0"/>
        <w:spacing w:line="360" w:lineRule="exact"/>
        <w:jc w:val="center"/>
        <w:rPr>
          <w:rFonts w:hint="eastAsia" w:ascii="宋体" w:hAnsi="宋体" w:cs="宋体"/>
          <w:b/>
          <w:color w:val="auto"/>
          <w:sz w:val="24"/>
          <w:highlight w:val="none"/>
        </w:rPr>
      </w:pPr>
      <w:r>
        <w:rPr>
          <w:rFonts w:hint="eastAsia" w:ascii="宋体" w:hAnsi="宋体" w:cs="宋体"/>
          <w:b w:val="0"/>
          <w:bCs/>
          <w:color w:val="auto"/>
          <w:sz w:val="24"/>
          <w:highlight w:val="none"/>
        </w:rPr>
        <w:t>（供应商须对本附表所有内容逐条响应且无负偏离，否则</w:t>
      </w:r>
      <w:r>
        <w:rPr>
          <w:rFonts w:hint="eastAsia" w:cs="宋体"/>
          <w:b/>
          <w:color w:val="auto"/>
          <w:sz w:val="24"/>
          <w:highlight w:val="none"/>
          <w:lang w:val="en-US" w:eastAsia="zh-CN"/>
        </w:rPr>
        <w:t>响应</w:t>
      </w:r>
      <w:r>
        <w:rPr>
          <w:rFonts w:hint="eastAsia" w:ascii="宋体" w:hAnsi="宋体" w:cs="宋体"/>
          <w:b/>
          <w:color w:val="auto"/>
          <w:sz w:val="24"/>
          <w:highlight w:val="none"/>
        </w:rPr>
        <w:t>无效</w:t>
      </w:r>
      <w:r>
        <w:rPr>
          <w:rFonts w:hint="eastAsia" w:ascii="宋体" w:hAnsi="宋体" w:cs="宋体"/>
          <w:b w:val="0"/>
          <w:bCs/>
          <w:color w:val="auto"/>
          <w:sz w:val="24"/>
          <w:highlight w:val="none"/>
        </w:rPr>
        <w:t>）</w:t>
      </w:r>
    </w:p>
    <w:p w14:paraId="400FC2BB">
      <w:pPr>
        <w:pStyle w:val="25"/>
        <w:rPr>
          <w:rFonts w:hint="eastAsia" w:ascii="宋体" w:hAnsi="宋体" w:cs="宋体"/>
          <w:color w:val="auto"/>
          <w:highlight w:val="none"/>
        </w:rPr>
      </w:pPr>
    </w:p>
    <w:tbl>
      <w:tblPr>
        <w:tblStyle w:val="33"/>
        <w:tblW w:w="5173" w:type="pct"/>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325"/>
        <w:gridCol w:w="3213"/>
        <w:gridCol w:w="1918"/>
        <w:gridCol w:w="683"/>
      </w:tblGrid>
      <w:tr w14:paraId="1404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81" w:type="pct"/>
            <w:vMerge w:val="restart"/>
            <w:noWrap w:val="0"/>
            <w:vAlign w:val="center"/>
          </w:tcPr>
          <w:p w14:paraId="7974C54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3141" w:type="pct"/>
            <w:gridSpan w:val="2"/>
            <w:noWrap w:val="0"/>
            <w:vAlign w:val="center"/>
          </w:tcPr>
          <w:p w14:paraId="4F79053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文件要求的实质性响应内容</w:t>
            </w:r>
          </w:p>
        </w:tc>
        <w:tc>
          <w:tcPr>
            <w:tcW w:w="1088" w:type="pct"/>
            <w:vMerge w:val="restart"/>
            <w:noWrap w:val="0"/>
            <w:vAlign w:val="center"/>
          </w:tcPr>
          <w:p w14:paraId="1DFD5A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文件具体</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内容</w:t>
            </w:r>
          </w:p>
        </w:tc>
        <w:tc>
          <w:tcPr>
            <w:tcW w:w="387" w:type="pct"/>
            <w:vMerge w:val="restart"/>
            <w:noWrap w:val="0"/>
            <w:vAlign w:val="center"/>
          </w:tcPr>
          <w:p w14:paraId="182E982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w:t>
            </w:r>
          </w:p>
        </w:tc>
      </w:tr>
      <w:tr w14:paraId="3C4C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81" w:type="pct"/>
            <w:vMerge w:val="continue"/>
            <w:noWrap w:val="0"/>
            <w:vAlign w:val="center"/>
          </w:tcPr>
          <w:p w14:paraId="72371D4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p>
        </w:tc>
        <w:tc>
          <w:tcPr>
            <w:tcW w:w="1318" w:type="pct"/>
            <w:shd w:val="clear" w:color="auto" w:fill="auto"/>
            <w:noWrap w:val="0"/>
            <w:vAlign w:val="center"/>
          </w:tcPr>
          <w:p w14:paraId="1BF208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实质性要求</w:t>
            </w:r>
          </w:p>
        </w:tc>
        <w:tc>
          <w:tcPr>
            <w:tcW w:w="1822" w:type="pct"/>
            <w:shd w:val="clear" w:color="auto" w:fill="auto"/>
            <w:noWrap w:val="0"/>
            <w:vAlign w:val="center"/>
          </w:tcPr>
          <w:p w14:paraId="7E16D5C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磋商文件中的规定</w:t>
            </w:r>
          </w:p>
        </w:tc>
        <w:tc>
          <w:tcPr>
            <w:tcW w:w="1088" w:type="pct"/>
            <w:vMerge w:val="continue"/>
            <w:noWrap w:val="0"/>
            <w:vAlign w:val="center"/>
          </w:tcPr>
          <w:p w14:paraId="70107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c>
          <w:tcPr>
            <w:tcW w:w="387" w:type="pct"/>
            <w:vMerge w:val="continue"/>
            <w:noWrap w:val="0"/>
            <w:vAlign w:val="center"/>
          </w:tcPr>
          <w:p w14:paraId="34815FA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r>
      <w:tr w14:paraId="6468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381" w:type="pct"/>
            <w:noWrap w:val="0"/>
            <w:vAlign w:val="center"/>
          </w:tcPr>
          <w:p w14:paraId="1D030E8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1318" w:type="pct"/>
            <w:noWrap w:val="0"/>
            <w:vAlign w:val="center"/>
          </w:tcPr>
          <w:p w14:paraId="2AE01BE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1822" w:type="pct"/>
            <w:noWrap w:val="0"/>
            <w:vAlign w:val="center"/>
          </w:tcPr>
          <w:p w14:paraId="27457AC5">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响应文件递交截止日期后90日历日</w:t>
            </w:r>
          </w:p>
        </w:tc>
        <w:tc>
          <w:tcPr>
            <w:tcW w:w="1088" w:type="pct"/>
            <w:noWrap w:val="0"/>
            <w:vAlign w:val="center"/>
          </w:tcPr>
          <w:p w14:paraId="1B8FC5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87" w:type="pct"/>
            <w:noWrap w:val="0"/>
            <w:vAlign w:val="center"/>
          </w:tcPr>
          <w:p w14:paraId="7AC0423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160B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81" w:type="pct"/>
            <w:noWrap w:val="0"/>
            <w:vAlign w:val="center"/>
          </w:tcPr>
          <w:p w14:paraId="501E13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1318" w:type="pct"/>
            <w:noWrap w:val="0"/>
            <w:vAlign w:val="center"/>
          </w:tcPr>
          <w:p w14:paraId="65BB59B1">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eastAsia="宋体" w:cs="宋体"/>
                <w:i w:val="0"/>
                <w:iCs w:val="0"/>
                <w:color w:val="auto"/>
                <w:sz w:val="21"/>
                <w:szCs w:val="21"/>
                <w:highlight w:val="none"/>
                <w:lang w:val="en-US" w:eastAsia="zh-CN"/>
              </w:rPr>
            </w:pPr>
            <w:r>
              <w:rPr>
                <w:rFonts w:hint="eastAsia" w:cs="宋体"/>
                <w:i w:val="0"/>
                <w:iCs w:val="0"/>
                <w:color w:val="auto"/>
                <w:sz w:val="21"/>
                <w:szCs w:val="21"/>
                <w:highlight w:val="none"/>
                <w:lang w:val="en-US" w:eastAsia="zh-CN"/>
              </w:rPr>
              <w:t>付款方式</w:t>
            </w:r>
          </w:p>
        </w:tc>
        <w:tc>
          <w:tcPr>
            <w:tcW w:w="1822" w:type="pct"/>
            <w:noWrap w:val="0"/>
            <w:vAlign w:val="center"/>
          </w:tcPr>
          <w:p w14:paraId="0AAF3A88">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cs="宋体"/>
                <w:i w:val="0"/>
                <w:iCs w:val="0"/>
                <w:color w:val="auto"/>
                <w:sz w:val="21"/>
                <w:szCs w:val="21"/>
                <w:highlight w:val="none"/>
                <w:lang w:eastAsia="zh-CN"/>
              </w:rPr>
              <w:t>签订合同且工程竣工验收合格后，支付至合同总价 80%（扣除暂列金、专业工程暂估价的80%）；结算定案后经施工单位、造价单位、建设单位盖章确认后支付至确认结算定案价的 97%；剩余结算定案价的 3%，质保期满无任何质量问题后无息支付。</w:t>
            </w:r>
          </w:p>
        </w:tc>
        <w:tc>
          <w:tcPr>
            <w:tcW w:w="1088" w:type="pct"/>
            <w:noWrap w:val="0"/>
            <w:vAlign w:val="center"/>
          </w:tcPr>
          <w:p w14:paraId="0ED460E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387" w:type="pct"/>
            <w:noWrap w:val="0"/>
            <w:vAlign w:val="center"/>
          </w:tcPr>
          <w:p w14:paraId="79B8A0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6CBB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81" w:type="pct"/>
            <w:noWrap w:val="0"/>
            <w:vAlign w:val="center"/>
          </w:tcPr>
          <w:p w14:paraId="28CC6CF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1318" w:type="pct"/>
            <w:noWrap w:val="0"/>
            <w:vAlign w:val="center"/>
          </w:tcPr>
          <w:p w14:paraId="1C9AFC62">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eastAsia="宋体" w:cs="宋体"/>
                <w:i w:val="0"/>
                <w:iCs w:val="0"/>
                <w:color w:val="auto"/>
                <w:kern w:val="2"/>
                <w:sz w:val="21"/>
                <w:szCs w:val="21"/>
                <w:highlight w:val="none"/>
                <w:lang w:val="en-US" w:eastAsia="zh-CN" w:bidi="ar-SA"/>
              </w:rPr>
            </w:pPr>
            <w:r>
              <w:rPr>
                <w:rFonts w:hint="eastAsia" w:cs="宋体"/>
                <w:i w:val="0"/>
                <w:iCs w:val="0"/>
                <w:color w:val="auto"/>
                <w:kern w:val="2"/>
                <w:sz w:val="21"/>
                <w:szCs w:val="21"/>
                <w:highlight w:val="none"/>
                <w:lang w:val="en-US" w:eastAsia="zh-CN" w:bidi="ar-SA"/>
              </w:rPr>
              <w:t>工期</w:t>
            </w:r>
          </w:p>
        </w:tc>
        <w:tc>
          <w:tcPr>
            <w:tcW w:w="1822" w:type="pct"/>
            <w:noWrap w:val="0"/>
            <w:vAlign w:val="center"/>
          </w:tcPr>
          <w:p w14:paraId="46223A2E">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default" w:ascii="宋体" w:hAnsi="宋体" w:eastAsia="宋体" w:cs="宋体"/>
                <w:i w:val="0"/>
                <w:iCs w:val="0"/>
                <w:color w:val="auto"/>
                <w:kern w:val="0"/>
                <w:sz w:val="21"/>
                <w:szCs w:val="21"/>
                <w:highlight w:val="none"/>
                <w:lang w:val="en-US" w:eastAsia="zh-CN" w:bidi="ar-SA"/>
              </w:rPr>
            </w:pPr>
            <w:r>
              <w:rPr>
                <w:rFonts w:hint="eastAsia" w:ascii="宋体" w:eastAsia="宋体" w:cs="宋体"/>
                <w:i w:val="0"/>
                <w:iCs w:val="0"/>
                <w:color w:val="auto"/>
                <w:kern w:val="2"/>
                <w:sz w:val="21"/>
                <w:szCs w:val="21"/>
                <w:highlight w:val="none"/>
                <w:lang w:val="en-US" w:eastAsia="zh-CN" w:bidi="ar-SA"/>
              </w:rPr>
              <w:t>30天</w:t>
            </w:r>
          </w:p>
        </w:tc>
        <w:tc>
          <w:tcPr>
            <w:tcW w:w="1088" w:type="pct"/>
            <w:noWrap w:val="0"/>
            <w:vAlign w:val="center"/>
          </w:tcPr>
          <w:p w14:paraId="5A56FEB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387" w:type="pct"/>
            <w:noWrap w:val="0"/>
            <w:vAlign w:val="center"/>
          </w:tcPr>
          <w:p w14:paraId="135B649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F3F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81" w:type="pct"/>
            <w:noWrap w:val="0"/>
            <w:vAlign w:val="center"/>
          </w:tcPr>
          <w:p w14:paraId="3FE9665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1318" w:type="pct"/>
            <w:noWrap w:val="0"/>
            <w:vAlign w:val="center"/>
          </w:tcPr>
          <w:p w14:paraId="66957625">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eastAsia="宋体" w:cs="宋体"/>
                <w:i w:val="0"/>
                <w:iCs w:val="0"/>
                <w:color w:val="auto"/>
                <w:kern w:val="2"/>
                <w:sz w:val="21"/>
                <w:szCs w:val="21"/>
                <w:highlight w:val="none"/>
                <w:lang w:val="en-US" w:eastAsia="zh-CN" w:bidi="ar-SA"/>
              </w:rPr>
            </w:pPr>
            <w:r>
              <w:rPr>
                <w:rFonts w:hint="eastAsia" w:cs="宋体"/>
                <w:i w:val="0"/>
                <w:iCs w:val="0"/>
                <w:color w:val="auto"/>
                <w:kern w:val="2"/>
                <w:sz w:val="21"/>
                <w:szCs w:val="21"/>
                <w:highlight w:val="none"/>
                <w:lang w:val="en-US" w:eastAsia="zh-CN" w:bidi="ar-SA"/>
              </w:rPr>
              <w:t>服务地点</w:t>
            </w:r>
          </w:p>
        </w:tc>
        <w:tc>
          <w:tcPr>
            <w:tcW w:w="1822" w:type="pct"/>
            <w:noWrap w:val="0"/>
            <w:vAlign w:val="center"/>
          </w:tcPr>
          <w:p w14:paraId="5FCDF23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乌鲁木齐市鲤鱼山南路137号</w:t>
            </w:r>
          </w:p>
        </w:tc>
        <w:tc>
          <w:tcPr>
            <w:tcW w:w="1088" w:type="pct"/>
            <w:noWrap w:val="0"/>
            <w:vAlign w:val="center"/>
          </w:tcPr>
          <w:p w14:paraId="56E63EA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387" w:type="pct"/>
            <w:noWrap w:val="0"/>
            <w:vAlign w:val="center"/>
          </w:tcPr>
          <w:p w14:paraId="3CC63F8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bl>
    <w:p w14:paraId="679008A5">
      <w:pPr>
        <w:shd w:val="clear" w:color="auto" w:fill="FFFFFF"/>
        <w:tabs>
          <w:tab w:val="left" w:pos="3045"/>
        </w:tabs>
        <w:autoSpaceDE w:val="0"/>
        <w:autoSpaceDN w:val="0"/>
        <w:adjustRightInd w:val="0"/>
        <w:snapToGrid w:val="0"/>
        <w:spacing w:line="360" w:lineRule="exact"/>
        <w:rPr>
          <w:rFonts w:hint="eastAsia" w:ascii="宋体" w:hAnsi="宋体" w:cs="宋体"/>
          <w:b/>
          <w:i w:val="0"/>
          <w:iCs w:val="0"/>
          <w:color w:val="auto"/>
          <w:sz w:val="24"/>
          <w:highlight w:val="none"/>
        </w:rPr>
      </w:pPr>
    </w:p>
    <w:p w14:paraId="5DFE4AA9">
      <w:pPr>
        <w:shd w:val="clear" w:color="auto" w:fill="FFFFFF"/>
        <w:tabs>
          <w:tab w:val="left" w:pos="3045"/>
        </w:tabs>
        <w:autoSpaceDE w:val="0"/>
        <w:autoSpaceDN w:val="0"/>
        <w:adjustRightInd w:val="0"/>
        <w:snapToGrid w:val="0"/>
        <w:spacing w:line="360" w:lineRule="exact"/>
        <w:rPr>
          <w:rFonts w:hint="eastAsia" w:ascii="宋体" w:hAnsi="宋体" w:cs="宋体"/>
          <w:b/>
          <w:i w:val="0"/>
          <w:iCs w:val="0"/>
          <w:color w:val="auto"/>
          <w:sz w:val="24"/>
          <w:highlight w:val="none"/>
        </w:rPr>
      </w:pPr>
    </w:p>
    <w:p w14:paraId="73C7580B">
      <w:pPr>
        <w:rPr>
          <w:rFonts w:hint="default" w:eastAsia="宋体"/>
          <w:b/>
          <w:bCs/>
          <w:i w:val="0"/>
          <w:iCs w:val="0"/>
          <w:color w:val="auto"/>
          <w:sz w:val="21"/>
          <w:szCs w:val="21"/>
          <w:highlight w:val="none"/>
          <w:lang w:val="en-US" w:eastAsia="zh-CN"/>
        </w:rPr>
      </w:pPr>
      <w:r>
        <w:rPr>
          <w:rFonts w:hint="eastAsia"/>
          <w:b/>
          <w:bCs/>
          <w:i w:val="0"/>
          <w:iCs w:val="0"/>
          <w:color w:val="auto"/>
          <w:sz w:val="21"/>
          <w:szCs w:val="21"/>
          <w:highlight w:val="none"/>
          <w:lang w:val="en-US" w:eastAsia="zh-CN"/>
        </w:rPr>
        <w:t>注：“实质性响应一览表”中的内容为参考，可根据项目情况自行设置。</w:t>
      </w:r>
    </w:p>
    <w:p w14:paraId="3D420025">
      <w:pPr>
        <w:pStyle w:val="6"/>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8" w:name="_Toc163493640"/>
      <w:bookmarkStart w:id="459" w:name="_Toc29964"/>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评分标准</w:t>
      </w:r>
      <w:bookmarkEnd w:id="458"/>
      <w:bookmarkEnd w:id="459"/>
    </w:p>
    <w:p w14:paraId="06EEC6BD">
      <w:pPr>
        <w:rPr>
          <w:rFonts w:hint="default"/>
          <w:i w:val="0"/>
          <w:iCs w:val="0"/>
          <w:color w:val="auto"/>
          <w:sz w:val="21"/>
          <w:szCs w:val="21"/>
          <w:highlight w:val="none"/>
          <w:lang w:val="en-US" w:eastAsia="zh-CN"/>
        </w:rPr>
      </w:pPr>
      <w:r>
        <w:rPr>
          <w:rFonts w:hint="eastAsia"/>
          <w:i w:val="0"/>
          <w:iCs w:val="0"/>
          <w:color w:val="auto"/>
          <w:sz w:val="21"/>
          <w:szCs w:val="21"/>
          <w:highlight w:val="none"/>
          <w:lang w:val="en-US" w:eastAsia="zh-CN"/>
        </w:rPr>
        <w:t>注：以下评标分项根据项目实际情况可自行设置。</w:t>
      </w:r>
    </w:p>
    <w:tbl>
      <w:tblPr>
        <w:tblStyle w:val="33"/>
        <w:tblW w:w="9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316"/>
        <w:gridCol w:w="6764"/>
        <w:gridCol w:w="854"/>
      </w:tblGrid>
      <w:tr w14:paraId="55BE2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992" w:type="dxa"/>
            <w:vAlign w:val="center"/>
          </w:tcPr>
          <w:p w14:paraId="485F1C3E">
            <w:pPr>
              <w:jc w:val="center"/>
              <w:rPr>
                <w:rFonts w:cs="方正黑体_GBK"/>
                <w:sz w:val="20"/>
                <w:szCs w:val="20"/>
              </w:rPr>
            </w:pPr>
            <w:r>
              <w:rPr>
                <w:rFonts w:hint="eastAsia" w:cs="方正黑体_GBK"/>
                <w:sz w:val="20"/>
                <w:szCs w:val="20"/>
                <w:lang w:val="en-US"/>
              </w:rPr>
              <w:t>评分项目</w:t>
            </w:r>
          </w:p>
        </w:tc>
        <w:tc>
          <w:tcPr>
            <w:tcW w:w="1316" w:type="dxa"/>
            <w:vAlign w:val="center"/>
          </w:tcPr>
          <w:p w14:paraId="03CB61C0">
            <w:pPr>
              <w:jc w:val="center"/>
              <w:rPr>
                <w:rFonts w:cs="方正黑体_GBK"/>
                <w:sz w:val="20"/>
                <w:szCs w:val="20"/>
                <w:lang w:val="en-US"/>
              </w:rPr>
            </w:pPr>
            <w:r>
              <w:rPr>
                <w:rFonts w:hint="eastAsia" w:cs="方正黑体_GBK"/>
                <w:sz w:val="20"/>
                <w:szCs w:val="20"/>
                <w:lang w:val="en-US"/>
              </w:rPr>
              <w:t>评分因素</w:t>
            </w:r>
          </w:p>
        </w:tc>
        <w:tc>
          <w:tcPr>
            <w:tcW w:w="6764" w:type="dxa"/>
            <w:vAlign w:val="center"/>
          </w:tcPr>
          <w:p w14:paraId="2C71B374">
            <w:pPr>
              <w:jc w:val="center"/>
              <w:rPr>
                <w:rFonts w:cs="方正黑体_GBK"/>
                <w:sz w:val="20"/>
                <w:szCs w:val="20"/>
              </w:rPr>
            </w:pPr>
            <w:r>
              <w:rPr>
                <w:rFonts w:hint="eastAsia" w:cs="方正黑体_GBK"/>
                <w:sz w:val="20"/>
                <w:szCs w:val="20"/>
                <w:lang w:val="en-US"/>
              </w:rPr>
              <w:t>评审内容</w:t>
            </w:r>
          </w:p>
        </w:tc>
        <w:tc>
          <w:tcPr>
            <w:tcW w:w="854" w:type="dxa"/>
            <w:vAlign w:val="center"/>
          </w:tcPr>
          <w:p w14:paraId="20FE4588">
            <w:pPr>
              <w:jc w:val="center"/>
              <w:rPr>
                <w:rFonts w:cs="方正黑体_GBK"/>
                <w:sz w:val="20"/>
                <w:szCs w:val="20"/>
              </w:rPr>
            </w:pPr>
            <w:r>
              <w:rPr>
                <w:rFonts w:hint="eastAsia" w:cs="方正黑体_GBK"/>
                <w:sz w:val="20"/>
                <w:szCs w:val="20"/>
                <w:lang w:val="en-US"/>
              </w:rPr>
              <w:t>分值</w:t>
            </w:r>
          </w:p>
        </w:tc>
      </w:tr>
      <w:tr w14:paraId="43CA7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992" w:type="dxa"/>
            <w:vAlign w:val="center"/>
          </w:tcPr>
          <w:p w14:paraId="7A89833A">
            <w:pPr>
              <w:jc w:val="center"/>
              <w:rPr>
                <w:sz w:val="20"/>
                <w:szCs w:val="20"/>
              </w:rPr>
            </w:pPr>
            <w:r>
              <w:rPr>
                <w:rFonts w:hint="eastAsia"/>
                <w:sz w:val="20"/>
                <w:szCs w:val="20"/>
              </w:rPr>
              <w:t>价格部分（</w:t>
            </w:r>
            <w:r>
              <w:rPr>
                <w:rFonts w:hint="eastAsia"/>
                <w:sz w:val="20"/>
                <w:szCs w:val="20"/>
                <w:lang w:val="en-US"/>
              </w:rPr>
              <w:t>30</w:t>
            </w:r>
            <w:r>
              <w:rPr>
                <w:rFonts w:hint="eastAsia"/>
                <w:sz w:val="20"/>
                <w:szCs w:val="20"/>
              </w:rPr>
              <w:t>分）</w:t>
            </w:r>
          </w:p>
        </w:tc>
        <w:tc>
          <w:tcPr>
            <w:tcW w:w="1316" w:type="dxa"/>
            <w:vAlign w:val="center"/>
          </w:tcPr>
          <w:p w14:paraId="00C8DBCB">
            <w:pPr>
              <w:jc w:val="center"/>
              <w:rPr>
                <w:sz w:val="20"/>
                <w:szCs w:val="20"/>
              </w:rPr>
            </w:pPr>
            <w:r>
              <w:rPr>
                <w:rFonts w:hint="eastAsia"/>
                <w:sz w:val="20"/>
                <w:szCs w:val="20"/>
              </w:rPr>
              <w:t>磋商报价</w:t>
            </w:r>
          </w:p>
        </w:tc>
        <w:tc>
          <w:tcPr>
            <w:tcW w:w="6764" w:type="dxa"/>
          </w:tcPr>
          <w:p w14:paraId="34A4B8CA">
            <w:pPr>
              <w:rPr>
                <w:sz w:val="20"/>
                <w:szCs w:val="20"/>
              </w:rPr>
            </w:pPr>
            <w:r>
              <w:rPr>
                <w:rFonts w:hint="eastAsia"/>
                <w:sz w:val="20"/>
                <w:szCs w:val="20"/>
              </w:rPr>
              <w:t xml:space="preserve">综合评分法中的价格分统一采用低价优先法计算，即满足磋商文件要求（通过资格、符合性审查）且最后报价最低的供应商的价格（指价格核准后的价格，下同）为磋商基准价，其价格得分为满分。其他供应商的价格得分统一按照下列公式计算： </w:t>
            </w:r>
          </w:p>
          <w:p w14:paraId="2E51EBA5">
            <w:pPr>
              <w:rPr>
                <w:sz w:val="20"/>
                <w:szCs w:val="20"/>
              </w:rPr>
            </w:pPr>
            <w:r>
              <w:rPr>
                <w:rFonts w:hint="eastAsia"/>
                <w:sz w:val="20"/>
                <w:szCs w:val="20"/>
              </w:rPr>
              <w:t>磋商基准价=满足磋商文件要求（通过资格、符合性审查）且最后报价最低的供应商的价格（指价格核准后的价格，下同）</w:t>
            </w:r>
          </w:p>
          <w:p w14:paraId="17C9E45C">
            <w:pPr>
              <w:rPr>
                <w:sz w:val="20"/>
                <w:szCs w:val="20"/>
              </w:rPr>
            </w:pPr>
            <w:r>
              <w:rPr>
                <w:rFonts w:hint="eastAsia"/>
                <w:sz w:val="20"/>
                <w:szCs w:val="20"/>
              </w:rPr>
              <w:t xml:space="preserve">磋商报价得分=(磋商基准价/最后磋商报价)×价格权重×100 </w:t>
            </w:r>
          </w:p>
        </w:tc>
        <w:tc>
          <w:tcPr>
            <w:tcW w:w="854" w:type="dxa"/>
            <w:vAlign w:val="center"/>
          </w:tcPr>
          <w:p w14:paraId="4DF17962">
            <w:pPr>
              <w:jc w:val="center"/>
              <w:rPr>
                <w:sz w:val="20"/>
                <w:szCs w:val="20"/>
                <w:lang w:val="en-US"/>
              </w:rPr>
            </w:pPr>
            <w:r>
              <w:rPr>
                <w:rFonts w:hint="eastAsia"/>
                <w:sz w:val="20"/>
                <w:szCs w:val="20"/>
                <w:lang w:val="en-US"/>
              </w:rPr>
              <w:t>30</w:t>
            </w:r>
          </w:p>
        </w:tc>
      </w:tr>
      <w:tr w14:paraId="035EC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992" w:type="dxa"/>
            <w:vMerge w:val="restart"/>
            <w:vAlign w:val="center"/>
          </w:tcPr>
          <w:p w14:paraId="473BBEE5">
            <w:pPr>
              <w:jc w:val="center"/>
              <w:rPr>
                <w:sz w:val="20"/>
                <w:szCs w:val="20"/>
                <w:lang w:val="en-US"/>
              </w:rPr>
            </w:pPr>
            <w:r>
              <w:rPr>
                <w:rFonts w:hint="eastAsia"/>
                <w:sz w:val="20"/>
                <w:szCs w:val="20"/>
              </w:rPr>
              <w:t>商务部分（</w:t>
            </w:r>
            <w:r>
              <w:rPr>
                <w:sz w:val="20"/>
                <w:szCs w:val="20"/>
                <w:lang w:val="en-US"/>
              </w:rPr>
              <w:t>23</w:t>
            </w:r>
            <w:r>
              <w:rPr>
                <w:rFonts w:hint="eastAsia"/>
                <w:sz w:val="20"/>
                <w:szCs w:val="20"/>
              </w:rPr>
              <w:t>分）</w:t>
            </w:r>
          </w:p>
        </w:tc>
        <w:tc>
          <w:tcPr>
            <w:tcW w:w="1316" w:type="dxa"/>
            <w:vAlign w:val="center"/>
          </w:tcPr>
          <w:p w14:paraId="5A171FA5">
            <w:pPr>
              <w:jc w:val="center"/>
              <w:rPr>
                <w:sz w:val="20"/>
                <w:szCs w:val="20"/>
              </w:rPr>
            </w:pPr>
            <w:r>
              <w:rPr>
                <w:rFonts w:hint="eastAsia"/>
                <w:color w:val="000000"/>
                <w:sz w:val="20"/>
                <w:szCs w:val="20"/>
              </w:rPr>
              <w:t>项目业绩</w:t>
            </w:r>
          </w:p>
        </w:tc>
        <w:tc>
          <w:tcPr>
            <w:tcW w:w="6764" w:type="dxa"/>
          </w:tcPr>
          <w:p w14:paraId="4425EF95">
            <w:pPr>
              <w:rPr>
                <w:sz w:val="20"/>
                <w:szCs w:val="20"/>
                <w:lang w:val="en-US"/>
              </w:rPr>
            </w:pPr>
            <w:r>
              <w:rPr>
                <w:rFonts w:hint="eastAsia"/>
                <w:sz w:val="20"/>
                <w:szCs w:val="20"/>
                <w:lang w:val="en-US"/>
              </w:rPr>
              <w:t>根据供应商202</w:t>
            </w:r>
            <w:r>
              <w:rPr>
                <w:rFonts w:hint="eastAsia"/>
                <w:sz w:val="20"/>
                <w:szCs w:val="20"/>
                <w:lang w:val="en-US" w:eastAsia="zh-CN"/>
              </w:rPr>
              <w:t>2</w:t>
            </w:r>
            <w:r>
              <w:rPr>
                <w:rFonts w:hint="eastAsia"/>
                <w:sz w:val="20"/>
                <w:szCs w:val="20"/>
                <w:lang w:val="en-US"/>
              </w:rPr>
              <w:t>年</w:t>
            </w:r>
            <w:r>
              <w:rPr>
                <w:rFonts w:hint="eastAsia"/>
                <w:sz w:val="20"/>
                <w:szCs w:val="20"/>
                <w:lang w:val="en-US" w:eastAsia="zh-CN"/>
              </w:rPr>
              <w:t>7</w:t>
            </w:r>
            <w:r>
              <w:rPr>
                <w:rFonts w:hint="eastAsia"/>
                <w:sz w:val="20"/>
                <w:szCs w:val="20"/>
                <w:lang w:val="en-US"/>
              </w:rPr>
              <w:t>月1日至今（以合同签订时间为准）具有的类似项目业绩进行评审，每提供一个项目业绩得</w:t>
            </w:r>
            <w:r>
              <w:rPr>
                <w:sz w:val="20"/>
                <w:szCs w:val="20"/>
                <w:lang w:val="en-US"/>
              </w:rPr>
              <w:t>2</w:t>
            </w:r>
            <w:r>
              <w:rPr>
                <w:rFonts w:hint="eastAsia"/>
                <w:sz w:val="20"/>
                <w:szCs w:val="20"/>
                <w:lang w:val="en-US"/>
              </w:rPr>
              <w:t>分，最高得1</w:t>
            </w:r>
            <w:r>
              <w:rPr>
                <w:sz w:val="20"/>
                <w:szCs w:val="20"/>
                <w:lang w:val="en-US"/>
              </w:rPr>
              <w:t>0</w:t>
            </w:r>
            <w:r>
              <w:rPr>
                <w:rFonts w:hint="eastAsia"/>
                <w:sz w:val="20"/>
                <w:szCs w:val="20"/>
                <w:lang w:val="en-US"/>
              </w:rPr>
              <w:t>分。注：须提供项目中标通知书或合同关键页（名称页、金额页、盖章页）</w:t>
            </w:r>
            <w:r>
              <w:rPr>
                <w:rFonts w:hint="eastAsia"/>
                <w:sz w:val="20"/>
                <w:szCs w:val="20"/>
              </w:rPr>
              <w:t>及竣工验收表</w:t>
            </w:r>
            <w:r>
              <w:rPr>
                <w:rFonts w:hint="eastAsia"/>
                <w:sz w:val="20"/>
                <w:szCs w:val="20"/>
                <w:lang w:val="en-US"/>
              </w:rPr>
              <w:t>加盖供应商公章。</w:t>
            </w:r>
          </w:p>
        </w:tc>
        <w:tc>
          <w:tcPr>
            <w:tcW w:w="854" w:type="dxa"/>
            <w:vAlign w:val="center"/>
          </w:tcPr>
          <w:p w14:paraId="7E64FD85">
            <w:pPr>
              <w:jc w:val="center"/>
              <w:rPr>
                <w:sz w:val="20"/>
                <w:szCs w:val="20"/>
                <w:lang w:val="en-US"/>
              </w:rPr>
            </w:pPr>
            <w:r>
              <w:rPr>
                <w:color w:val="000000"/>
                <w:sz w:val="20"/>
                <w:szCs w:val="20"/>
                <w:lang w:val="en-US"/>
              </w:rPr>
              <w:t>10</w:t>
            </w:r>
          </w:p>
        </w:tc>
      </w:tr>
      <w:tr w14:paraId="2DC80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992" w:type="dxa"/>
            <w:vMerge w:val="continue"/>
            <w:vAlign w:val="center"/>
          </w:tcPr>
          <w:p w14:paraId="02C90C91">
            <w:pPr>
              <w:jc w:val="center"/>
              <w:rPr>
                <w:rFonts w:hint="eastAsia"/>
                <w:sz w:val="20"/>
                <w:szCs w:val="20"/>
              </w:rPr>
            </w:pPr>
          </w:p>
        </w:tc>
        <w:tc>
          <w:tcPr>
            <w:tcW w:w="1316" w:type="dxa"/>
            <w:vAlign w:val="center"/>
          </w:tcPr>
          <w:p w14:paraId="75F3CDBF">
            <w:pPr>
              <w:jc w:val="center"/>
              <w:rPr>
                <w:rFonts w:hint="eastAsia"/>
                <w:color w:val="000000"/>
                <w:sz w:val="20"/>
                <w:szCs w:val="20"/>
              </w:rPr>
            </w:pPr>
            <w:r>
              <w:rPr>
                <w:rFonts w:hint="eastAsia"/>
                <w:bCs/>
                <w:sz w:val="20"/>
                <w:szCs w:val="20"/>
                <w:lang w:val="en-US"/>
              </w:rPr>
              <w:t>项目负责人</w:t>
            </w:r>
          </w:p>
        </w:tc>
        <w:tc>
          <w:tcPr>
            <w:tcW w:w="6764" w:type="dxa"/>
          </w:tcPr>
          <w:p w14:paraId="4097985B">
            <w:pPr>
              <w:tabs>
                <w:tab w:val="left" w:pos="761"/>
                <w:tab w:val="left" w:pos="1662"/>
                <w:tab w:val="left" w:pos="3363"/>
                <w:tab w:val="left" w:pos="3887"/>
                <w:tab w:val="left" w:pos="9649"/>
              </w:tabs>
              <w:spacing w:line="276" w:lineRule="auto"/>
              <w:rPr>
                <w:sz w:val="20"/>
                <w:szCs w:val="20"/>
              </w:rPr>
            </w:pPr>
            <w:r>
              <w:rPr>
                <w:rFonts w:hint="eastAsia"/>
                <w:sz w:val="20"/>
                <w:szCs w:val="20"/>
              </w:rPr>
              <w:t>项目负责人</w:t>
            </w:r>
            <w:r>
              <w:rPr>
                <w:sz w:val="20"/>
                <w:szCs w:val="20"/>
              </w:rPr>
              <w:t>202</w:t>
            </w:r>
            <w:r>
              <w:rPr>
                <w:rFonts w:hint="eastAsia"/>
                <w:sz w:val="20"/>
                <w:szCs w:val="20"/>
                <w:lang w:val="en-US" w:eastAsia="zh-CN"/>
              </w:rPr>
              <w:t>2</w:t>
            </w:r>
            <w:r>
              <w:rPr>
                <w:sz w:val="20"/>
                <w:szCs w:val="20"/>
              </w:rPr>
              <w:t>年</w:t>
            </w:r>
            <w:r>
              <w:rPr>
                <w:rFonts w:hint="eastAsia"/>
                <w:sz w:val="20"/>
                <w:szCs w:val="20"/>
                <w:lang w:val="en-US" w:eastAsia="zh-CN"/>
              </w:rPr>
              <w:t>7</w:t>
            </w:r>
            <w:r>
              <w:rPr>
                <w:sz w:val="20"/>
                <w:szCs w:val="20"/>
              </w:rPr>
              <w:t>月</w:t>
            </w:r>
            <w:r>
              <w:rPr>
                <w:rFonts w:hint="eastAsia"/>
                <w:sz w:val="20"/>
                <w:szCs w:val="20"/>
              </w:rPr>
              <w:t>1日</w:t>
            </w:r>
            <w:r>
              <w:rPr>
                <w:sz w:val="20"/>
                <w:szCs w:val="20"/>
              </w:rPr>
              <w:t>至今有类似项目业绩的，每一项得1分，最高3分</w:t>
            </w:r>
            <w:r>
              <w:rPr>
                <w:rFonts w:hint="eastAsia"/>
                <w:sz w:val="20"/>
                <w:szCs w:val="20"/>
              </w:rPr>
              <w:t>。</w:t>
            </w:r>
          </w:p>
          <w:p w14:paraId="12BCA0AC">
            <w:pPr>
              <w:tabs>
                <w:tab w:val="left" w:pos="900"/>
              </w:tabs>
              <w:rPr>
                <w:sz w:val="20"/>
                <w:szCs w:val="20"/>
              </w:rPr>
            </w:pPr>
            <w:r>
              <w:rPr>
                <w:rFonts w:hint="eastAsia"/>
                <w:sz w:val="20"/>
                <w:szCs w:val="20"/>
              </w:rPr>
              <w:t>注</w:t>
            </w:r>
            <w:r>
              <w:rPr>
                <w:rFonts w:hint="eastAsia"/>
                <w:sz w:val="20"/>
                <w:szCs w:val="20"/>
                <w:lang w:val="en"/>
              </w:rPr>
              <w:t>:</w:t>
            </w:r>
            <w:r>
              <w:rPr>
                <w:rFonts w:hint="eastAsia"/>
                <w:sz w:val="20"/>
                <w:szCs w:val="20"/>
              </w:rPr>
              <w:t>（须提供中标通知书</w:t>
            </w:r>
            <w:r>
              <w:rPr>
                <w:rFonts w:hint="eastAsia"/>
                <w:sz w:val="20"/>
                <w:szCs w:val="20"/>
                <w:lang w:val="en-US"/>
              </w:rPr>
              <w:t>或者合同关键页（名称页、金额页、盖章页）</w:t>
            </w:r>
            <w:r>
              <w:rPr>
                <w:rFonts w:hint="eastAsia"/>
                <w:sz w:val="20"/>
                <w:szCs w:val="20"/>
              </w:rPr>
              <w:t>及竣工验收表，业绩证明材料须反映项目负责人。以合同签订时间为准）</w:t>
            </w:r>
            <w:r>
              <w:rPr>
                <w:rFonts w:hint="eastAsia"/>
                <w:sz w:val="20"/>
                <w:szCs w:val="20"/>
                <w:lang w:val="en-US"/>
              </w:rPr>
              <w:t>加盖供应商公章。</w:t>
            </w:r>
          </w:p>
          <w:p w14:paraId="252905A3">
            <w:pPr>
              <w:rPr>
                <w:rFonts w:hint="eastAsia"/>
                <w:sz w:val="20"/>
                <w:szCs w:val="20"/>
                <w:lang w:val="en-US"/>
              </w:rPr>
            </w:pPr>
            <w:r>
              <w:rPr>
                <w:rFonts w:hint="eastAsia"/>
                <w:sz w:val="20"/>
                <w:szCs w:val="20"/>
              </w:rPr>
              <w:t>注：项目负责人业绩不可与企业项目业绩重复，重复提供不得分</w:t>
            </w:r>
          </w:p>
        </w:tc>
        <w:tc>
          <w:tcPr>
            <w:tcW w:w="854" w:type="dxa"/>
            <w:vAlign w:val="center"/>
          </w:tcPr>
          <w:p w14:paraId="31CA0253">
            <w:pPr>
              <w:jc w:val="center"/>
              <w:rPr>
                <w:color w:val="000000"/>
                <w:sz w:val="20"/>
                <w:szCs w:val="20"/>
                <w:lang w:val="en-US"/>
              </w:rPr>
            </w:pPr>
            <w:r>
              <w:rPr>
                <w:sz w:val="20"/>
                <w:szCs w:val="20"/>
                <w:lang w:val="en-US"/>
              </w:rPr>
              <w:t>3</w:t>
            </w:r>
          </w:p>
        </w:tc>
      </w:tr>
      <w:tr w14:paraId="17971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jc w:val="center"/>
        </w:trPr>
        <w:tc>
          <w:tcPr>
            <w:tcW w:w="992" w:type="dxa"/>
            <w:vMerge w:val="continue"/>
          </w:tcPr>
          <w:p w14:paraId="653A609F">
            <w:pPr>
              <w:rPr>
                <w:sz w:val="20"/>
                <w:szCs w:val="20"/>
                <w:lang w:val="en-US"/>
              </w:rPr>
            </w:pPr>
          </w:p>
        </w:tc>
        <w:tc>
          <w:tcPr>
            <w:tcW w:w="1316" w:type="dxa"/>
            <w:vAlign w:val="center"/>
          </w:tcPr>
          <w:p w14:paraId="0B99971F">
            <w:pPr>
              <w:widowControl/>
              <w:jc w:val="center"/>
              <w:rPr>
                <w:bCs/>
                <w:sz w:val="20"/>
                <w:szCs w:val="20"/>
                <w:lang w:val="en-US"/>
              </w:rPr>
            </w:pPr>
            <w:r>
              <w:rPr>
                <w:rFonts w:hint="eastAsia"/>
                <w:bCs/>
                <w:sz w:val="20"/>
                <w:szCs w:val="20"/>
                <w:lang w:val="en-US"/>
              </w:rPr>
              <w:t>人员配置（项目负责人除外）</w:t>
            </w:r>
          </w:p>
        </w:tc>
        <w:tc>
          <w:tcPr>
            <w:tcW w:w="6764" w:type="dxa"/>
            <w:tcBorders>
              <w:right w:val="single" w:color="auto" w:sz="4" w:space="0"/>
            </w:tcBorders>
          </w:tcPr>
          <w:p w14:paraId="0EFB7CFA">
            <w:pPr>
              <w:rPr>
                <w:rFonts w:hint="eastAsia"/>
                <w:sz w:val="20"/>
                <w:szCs w:val="20"/>
                <w:lang w:val="en-US"/>
              </w:rPr>
            </w:pPr>
            <w:r>
              <w:rPr>
                <w:rFonts w:hint="eastAsia"/>
                <w:sz w:val="20"/>
                <w:szCs w:val="20"/>
                <w:lang w:val="en-US"/>
              </w:rPr>
              <w:t>1</w:t>
            </w:r>
            <w:r>
              <w:rPr>
                <w:sz w:val="20"/>
                <w:szCs w:val="20"/>
                <w:lang w:val="en-US"/>
              </w:rPr>
              <w:t>.</w:t>
            </w:r>
            <w:r>
              <w:rPr>
                <w:rFonts w:hint="eastAsia"/>
                <w:sz w:val="20"/>
                <w:szCs w:val="20"/>
                <w:lang w:val="en-US"/>
              </w:rPr>
              <w:t>技术负责人：具备建筑工程专业中级及以上职称。提供得2分。（提供证书复印件加盖公章，未提供不得分）</w:t>
            </w:r>
          </w:p>
          <w:p w14:paraId="1E472E32">
            <w:pPr>
              <w:rPr>
                <w:rFonts w:hint="eastAsia"/>
                <w:sz w:val="20"/>
                <w:szCs w:val="20"/>
                <w:lang w:val="en-US"/>
              </w:rPr>
            </w:pPr>
            <w:r>
              <w:rPr>
                <w:rFonts w:hint="eastAsia"/>
                <w:sz w:val="20"/>
                <w:szCs w:val="20"/>
                <w:lang w:val="en-US"/>
              </w:rPr>
              <w:t>2</w:t>
            </w:r>
            <w:r>
              <w:rPr>
                <w:sz w:val="20"/>
                <w:szCs w:val="20"/>
                <w:lang w:val="en-US"/>
              </w:rPr>
              <w:t>.</w:t>
            </w:r>
            <w:r>
              <w:rPr>
                <w:rFonts w:hint="eastAsia"/>
                <w:sz w:val="20"/>
                <w:szCs w:val="20"/>
                <w:lang w:val="en-US"/>
              </w:rPr>
              <w:t>施工员</w:t>
            </w:r>
            <w:r>
              <w:rPr>
                <w:sz w:val="20"/>
                <w:szCs w:val="20"/>
                <w:lang w:val="en-US"/>
              </w:rPr>
              <w:t>(测量员)、质量员、安全员、标准员、材料员、机械员、劳务员(预算</w:t>
            </w:r>
            <w:r>
              <w:rPr>
                <w:rFonts w:hint="eastAsia"/>
                <w:sz w:val="20"/>
                <w:szCs w:val="20"/>
                <w:lang w:val="en-US"/>
              </w:rPr>
              <w:t>员</w:t>
            </w:r>
            <w:r>
              <w:rPr>
                <w:sz w:val="20"/>
                <w:szCs w:val="20"/>
                <w:lang w:val="en-US"/>
              </w:rPr>
              <w:t>)、资料员等人员配置情况（需附人员岗位证书复印件）从八大员是否配备齐全评分。</w:t>
            </w:r>
            <w:r>
              <w:rPr>
                <w:rFonts w:hint="eastAsia"/>
                <w:sz w:val="20"/>
                <w:szCs w:val="20"/>
                <w:lang w:val="en-US"/>
              </w:rPr>
              <w:t>全部满足得</w:t>
            </w:r>
            <w:r>
              <w:rPr>
                <w:sz w:val="20"/>
                <w:szCs w:val="20"/>
                <w:lang w:val="en-US"/>
              </w:rPr>
              <w:t>8分，缺少1人扣1分，扣完为止。</w:t>
            </w:r>
          </w:p>
        </w:tc>
        <w:tc>
          <w:tcPr>
            <w:tcW w:w="854" w:type="dxa"/>
            <w:tcBorders>
              <w:left w:val="single" w:color="auto" w:sz="4" w:space="0"/>
            </w:tcBorders>
            <w:vAlign w:val="center"/>
          </w:tcPr>
          <w:p w14:paraId="2BC3F4E7">
            <w:pPr>
              <w:jc w:val="center"/>
              <w:rPr>
                <w:sz w:val="20"/>
                <w:szCs w:val="20"/>
                <w:lang w:val="en-US"/>
              </w:rPr>
            </w:pPr>
            <w:r>
              <w:rPr>
                <w:sz w:val="20"/>
                <w:szCs w:val="20"/>
                <w:lang w:val="en-US"/>
              </w:rPr>
              <w:t>10</w:t>
            </w:r>
          </w:p>
        </w:tc>
      </w:tr>
      <w:tr w14:paraId="061BF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vMerge w:val="restart"/>
            <w:vAlign w:val="center"/>
          </w:tcPr>
          <w:p w14:paraId="7BF0B4C7">
            <w:pPr>
              <w:jc w:val="center"/>
              <w:rPr>
                <w:sz w:val="20"/>
                <w:szCs w:val="20"/>
                <w:lang w:val="en-US"/>
              </w:rPr>
            </w:pPr>
            <w:r>
              <w:rPr>
                <w:rFonts w:hint="eastAsia"/>
                <w:sz w:val="20"/>
                <w:szCs w:val="20"/>
              </w:rPr>
              <w:t>技术部分（</w:t>
            </w:r>
            <w:r>
              <w:rPr>
                <w:sz w:val="20"/>
                <w:szCs w:val="20"/>
                <w:lang w:val="en-US"/>
              </w:rPr>
              <w:t>47</w:t>
            </w:r>
            <w:r>
              <w:rPr>
                <w:rFonts w:hint="eastAsia"/>
                <w:sz w:val="20"/>
                <w:szCs w:val="20"/>
              </w:rPr>
              <w:t>分）</w:t>
            </w:r>
          </w:p>
        </w:tc>
        <w:tc>
          <w:tcPr>
            <w:tcW w:w="1316" w:type="dxa"/>
            <w:vAlign w:val="center"/>
          </w:tcPr>
          <w:p w14:paraId="5C542FE6">
            <w:pPr>
              <w:jc w:val="center"/>
              <w:rPr>
                <w:color w:val="000000"/>
                <w:sz w:val="20"/>
                <w:szCs w:val="20"/>
                <w:lang w:val="en-US"/>
              </w:rPr>
            </w:pPr>
            <w:r>
              <w:rPr>
                <w:rFonts w:hint="eastAsia"/>
                <w:color w:val="000000"/>
                <w:sz w:val="20"/>
                <w:szCs w:val="20"/>
                <w:lang w:val="en-US"/>
              </w:rPr>
              <w:t>项目实施方案</w:t>
            </w:r>
          </w:p>
        </w:tc>
        <w:tc>
          <w:tcPr>
            <w:tcW w:w="6764" w:type="dxa"/>
            <w:tcBorders>
              <w:right w:val="single" w:color="auto" w:sz="4" w:space="0"/>
            </w:tcBorders>
          </w:tcPr>
          <w:p w14:paraId="5B2F4B9E">
            <w:pPr>
              <w:rPr>
                <w:color w:val="000000"/>
                <w:sz w:val="20"/>
                <w:szCs w:val="20"/>
                <w:lang w:val="en-US"/>
              </w:rPr>
            </w:pPr>
            <w:r>
              <w:rPr>
                <w:rFonts w:hint="eastAsia"/>
                <w:color w:val="000000"/>
                <w:sz w:val="20"/>
                <w:szCs w:val="20"/>
                <w:lang w:val="en-US"/>
              </w:rPr>
              <w:t>提供项目整体实施方案：</w:t>
            </w:r>
          </w:p>
          <w:p w14:paraId="4074DB5E">
            <w:pPr>
              <w:rPr>
                <w:color w:val="000000"/>
                <w:sz w:val="20"/>
                <w:szCs w:val="20"/>
                <w:lang w:val="en-US"/>
              </w:rPr>
            </w:pPr>
            <w:r>
              <w:rPr>
                <w:rFonts w:hint="eastAsia"/>
                <w:color w:val="000000"/>
                <w:sz w:val="20"/>
                <w:szCs w:val="20"/>
                <w:lang w:val="en-US"/>
              </w:rPr>
              <w:t>①具有管理架构；</w:t>
            </w:r>
          </w:p>
          <w:p w14:paraId="5E107F5C">
            <w:pPr>
              <w:rPr>
                <w:color w:val="000000"/>
                <w:sz w:val="20"/>
                <w:szCs w:val="20"/>
                <w:lang w:val="en-US"/>
              </w:rPr>
            </w:pPr>
            <w:r>
              <w:rPr>
                <w:rFonts w:hint="eastAsia"/>
                <w:color w:val="000000"/>
                <w:sz w:val="20"/>
                <w:szCs w:val="20"/>
                <w:lang w:val="en-US"/>
              </w:rPr>
              <w:t>②有完整的施工计划；</w:t>
            </w:r>
          </w:p>
          <w:p w14:paraId="39F2E0F0">
            <w:pPr>
              <w:rPr>
                <w:color w:val="000000"/>
                <w:sz w:val="20"/>
                <w:szCs w:val="20"/>
                <w:lang w:val="en-US"/>
              </w:rPr>
            </w:pPr>
            <w:r>
              <w:rPr>
                <w:rFonts w:hint="eastAsia"/>
                <w:color w:val="000000"/>
                <w:sz w:val="20"/>
                <w:szCs w:val="20"/>
                <w:lang w:val="en-US"/>
              </w:rPr>
              <w:t>③质量服务计划表；</w:t>
            </w:r>
          </w:p>
          <w:p w14:paraId="35AC1BF9">
            <w:pPr>
              <w:rPr>
                <w:color w:val="000000"/>
                <w:sz w:val="20"/>
                <w:szCs w:val="20"/>
                <w:lang w:val="en-US"/>
              </w:rPr>
            </w:pPr>
            <w:r>
              <w:rPr>
                <w:rFonts w:hint="eastAsia"/>
                <w:color w:val="000000"/>
                <w:sz w:val="20"/>
                <w:szCs w:val="20"/>
                <w:lang w:val="en-US"/>
              </w:rPr>
              <w:t>④人员配备方案；</w:t>
            </w:r>
          </w:p>
          <w:p w14:paraId="26B9EF8F">
            <w:pPr>
              <w:rPr>
                <w:color w:val="000000"/>
                <w:sz w:val="20"/>
                <w:szCs w:val="20"/>
                <w:lang w:val="en-US"/>
              </w:rPr>
            </w:pPr>
            <w:r>
              <w:rPr>
                <w:rFonts w:hint="eastAsia"/>
                <w:color w:val="000000"/>
                <w:sz w:val="20"/>
                <w:szCs w:val="20"/>
                <w:lang w:val="en-US"/>
              </w:rPr>
              <w:t>⑤机械设备使用方案；</w:t>
            </w:r>
          </w:p>
          <w:p w14:paraId="4627FB18">
            <w:pPr>
              <w:rPr>
                <w:color w:val="000000"/>
                <w:sz w:val="20"/>
                <w:szCs w:val="20"/>
                <w:lang w:val="en-US"/>
              </w:rPr>
            </w:pPr>
            <w:r>
              <w:rPr>
                <w:rFonts w:hint="eastAsia"/>
                <w:color w:val="000000"/>
                <w:sz w:val="20"/>
                <w:szCs w:val="20"/>
                <w:lang w:val="en-US"/>
              </w:rPr>
              <w:t>⑥资金使用计划；</w:t>
            </w:r>
          </w:p>
          <w:p w14:paraId="2DDB25BF">
            <w:pPr>
              <w:spacing w:line="300" w:lineRule="auto"/>
              <w:ind w:right="-63"/>
              <w:rPr>
                <w:color w:val="000000"/>
                <w:sz w:val="20"/>
                <w:szCs w:val="20"/>
              </w:rPr>
            </w:pPr>
            <w:r>
              <w:rPr>
                <w:rFonts w:hint="eastAsia"/>
                <w:color w:val="000000"/>
                <w:sz w:val="20"/>
                <w:szCs w:val="20"/>
                <w:lang w:val="en-US"/>
              </w:rPr>
              <w:t>计划详细、合理可行，分析该项目重点、难点，提供施工现场平面布置图，包括但不限于上述要点方案完整详细的得</w:t>
            </w:r>
            <w:r>
              <w:rPr>
                <w:color w:val="000000"/>
                <w:sz w:val="20"/>
                <w:szCs w:val="20"/>
                <w:lang w:val="en-US"/>
              </w:rPr>
              <w:t>15分，每存在一处缺漏或描述笼统、不详实、不完整的扣2.5分，扣完为止。</w:t>
            </w:r>
          </w:p>
        </w:tc>
        <w:tc>
          <w:tcPr>
            <w:tcW w:w="854" w:type="dxa"/>
            <w:tcBorders>
              <w:left w:val="single" w:color="auto" w:sz="4" w:space="0"/>
            </w:tcBorders>
            <w:vAlign w:val="center"/>
          </w:tcPr>
          <w:p w14:paraId="4B43E102">
            <w:pPr>
              <w:jc w:val="center"/>
              <w:rPr>
                <w:color w:val="000000"/>
                <w:sz w:val="20"/>
                <w:szCs w:val="20"/>
                <w:lang w:val="en-US"/>
              </w:rPr>
            </w:pPr>
            <w:r>
              <w:rPr>
                <w:color w:val="000000"/>
                <w:sz w:val="20"/>
                <w:szCs w:val="20"/>
                <w:lang w:val="en-US"/>
              </w:rPr>
              <w:t>15</w:t>
            </w:r>
          </w:p>
        </w:tc>
      </w:tr>
      <w:tr w14:paraId="651C6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vMerge w:val="continue"/>
            <w:vAlign w:val="center"/>
          </w:tcPr>
          <w:p w14:paraId="3DB59D09">
            <w:pPr>
              <w:jc w:val="center"/>
              <w:rPr>
                <w:rFonts w:hint="eastAsia"/>
                <w:sz w:val="20"/>
                <w:szCs w:val="20"/>
              </w:rPr>
            </w:pPr>
          </w:p>
        </w:tc>
        <w:tc>
          <w:tcPr>
            <w:tcW w:w="1316" w:type="dxa"/>
            <w:vAlign w:val="center"/>
          </w:tcPr>
          <w:p w14:paraId="7B563BA8">
            <w:pPr>
              <w:jc w:val="center"/>
              <w:rPr>
                <w:rFonts w:hint="eastAsia"/>
                <w:color w:val="000000"/>
                <w:sz w:val="20"/>
                <w:szCs w:val="20"/>
                <w:lang w:val="en-US"/>
              </w:rPr>
            </w:pPr>
            <w:r>
              <w:rPr>
                <w:rFonts w:hint="eastAsia"/>
                <w:color w:val="000000"/>
                <w:sz w:val="20"/>
                <w:szCs w:val="20"/>
                <w:lang w:val="en-US"/>
              </w:rPr>
              <w:t>质量管理及质量保证措施</w:t>
            </w:r>
          </w:p>
        </w:tc>
        <w:tc>
          <w:tcPr>
            <w:tcW w:w="6764" w:type="dxa"/>
            <w:tcBorders>
              <w:right w:val="single" w:color="auto" w:sz="4" w:space="0"/>
            </w:tcBorders>
          </w:tcPr>
          <w:p w14:paraId="507F43C4">
            <w:pPr>
              <w:rPr>
                <w:color w:val="000000"/>
                <w:sz w:val="20"/>
                <w:szCs w:val="20"/>
                <w:lang w:val="en-US"/>
              </w:rPr>
            </w:pPr>
            <w:r>
              <w:rPr>
                <w:rFonts w:hint="eastAsia"/>
                <w:color w:val="000000"/>
                <w:sz w:val="20"/>
                <w:szCs w:val="20"/>
                <w:lang w:val="en-US"/>
              </w:rPr>
              <w:t>针对工程的质量管理及质量保证措施方案进行评审：</w:t>
            </w:r>
          </w:p>
          <w:p w14:paraId="3D579297">
            <w:pPr>
              <w:rPr>
                <w:color w:val="000000"/>
                <w:sz w:val="20"/>
                <w:szCs w:val="20"/>
                <w:lang w:val="en-US"/>
              </w:rPr>
            </w:pPr>
            <w:r>
              <w:rPr>
                <w:rFonts w:hint="eastAsia"/>
                <w:color w:val="000000"/>
                <w:sz w:val="20"/>
                <w:szCs w:val="20"/>
                <w:lang w:val="en-US"/>
              </w:rPr>
              <w:t>①保证质量的施工要素控制措施方案；</w:t>
            </w:r>
          </w:p>
          <w:p w14:paraId="639F8EBC">
            <w:pPr>
              <w:rPr>
                <w:color w:val="000000"/>
                <w:sz w:val="20"/>
                <w:szCs w:val="20"/>
                <w:lang w:val="en-US"/>
              </w:rPr>
            </w:pPr>
            <w:r>
              <w:rPr>
                <w:rFonts w:hint="eastAsia"/>
                <w:color w:val="000000"/>
                <w:sz w:val="20"/>
                <w:szCs w:val="20"/>
                <w:lang w:val="en-US"/>
              </w:rPr>
              <w:t>②质量控制的管理制度；</w:t>
            </w:r>
          </w:p>
          <w:p w14:paraId="7B33A101">
            <w:pPr>
              <w:rPr>
                <w:color w:val="000000"/>
                <w:sz w:val="20"/>
                <w:szCs w:val="20"/>
                <w:lang w:val="en-US"/>
              </w:rPr>
            </w:pPr>
            <w:r>
              <w:rPr>
                <w:rFonts w:hint="eastAsia"/>
                <w:color w:val="000000"/>
                <w:sz w:val="20"/>
                <w:szCs w:val="20"/>
                <w:lang w:val="en-US"/>
              </w:rPr>
              <w:t>③质量管理的组织措施；</w:t>
            </w:r>
          </w:p>
          <w:p w14:paraId="06B493FC">
            <w:pPr>
              <w:rPr>
                <w:color w:val="000000"/>
                <w:sz w:val="20"/>
                <w:szCs w:val="20"/>
                <w:lang w:val="en-US"/>
              </w:rPr>
            </w:pPr>
            <w:r>
              <w:rPr>
                <w:rFonts w:hint="eastAsia"/>
                <w:color w:val="000000"/>
                <w:sz w:val="20"/>
                <w:szCs w:val="20"/>
                <w:lang w:val="en-US"/>
              </w:rPr>
              <w:t>④对主要工序、施工工艺、材料验收等的质量控制方案。</w:t>
            </w:r>
          </w:p>
          <w:p w14:paraId="363B909F">
            <w:pPr>
              <w:rPr>
                <w:rFonts w:hint="eastAsia"/>
                <w:color w:val="000000"/>
                <w:sz w:val="20"/>
                <w:szCs w:val="20"/>
                <w:lang w:val="en-US"/>
              </w:rPr>
            </w:pPr>
            <w:r>
              <w:rPr>
                <w:rFonts w:hint="eastAsia"/>
                <w:color w:val="000000"/>
                <w:sz w:val="20"/>
                <w:szCs w:val="20"/>
                <w:lang w:val="en-US"/>
              </w:rPr>
              <w:t>包括但不限于上述要点方案或制度完整详细的得8分，每存在一处缺漏或描述笼统、不详实、不完整的扣</w:t>
            </w:r>
            <w:r>
              <w:rPr>
                <w:color w:val="000000"/>
                <w:sz w:val="20"/>
                <w:szCs w:val="20"/>
                <w:lang w:val="en-US"/>
              </w:rPr>
              <w:t>2</w:t>
            </w:r>
            <w:r>
              <w:rPr>
                <w:rFonts w:hint="eastAsia"/>
                <w:color w:val="000000"/>
                <w:sz w:val="20"/>
                <w:szCs w:val="20"/>
                <w:lang w:val="en-US"/>
              </w:rPr>
              <w:t>分，扣完为止。</w:t>
            </w:r>
          </w:p>
        </w:tc>
        <w:tc>
          <w:tcPr>
            <w:tcW w:w="854" w:type="dxa"/>
            <w:tcBorders>
              <w:left w:val="single" w:color="auto" w:sz="4" w:space="0"/>
            </w:tcBorders>
            <w:vAlign w:val="center"/>
          </w:tcPr>
          <w:p w14:paraId="2627EF84">
            <w:pPr>
              <w:jc w:val="center"/>
              <w:rPr>
                <w:color w:val="000000"/>
                <w:sz w:val="20"/>
                <w:szCs w:val="20"/>
                <w:lang w:val="en-US"/>
              </w:rPr>
            </w:pPr>
            <w:r>
              <w:rPr>
                <w:rFonts w:hint="eastAsia"/>
                <w:color w:val="000000"/>
                <w:sz w:val="20"/>
                <w:szCs w:val="20"/>
                <w:lang w:val="en-US"/>
              </w:rPr>
              <w:t>8</w:t>
            </w:r>
          </w:p>
        </w:tc>
      </w:tr>
      <w:tr w14:paraId="3A1F6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vMerge w:val="continue"/>
            <w:vAlign w:val="center"/>
          </w:tcPr>
          <w:p w14:paraId="0109E639">
            <w:pPr>
              <w:jc w:val="center"/>
              <w:rPr>
                <w:rFonts w:hint="eastAsia"/>
                <w:sz w:val="20"/>
                <w:szCs w:val="20"/>
              </w:rPr>
            </w:pPr>
          </w:p>
        </w:tc>
        <w:tc>
          <w:tcPr>
            <w:tcW w:w="1316" w:type="dxa"/>
            <w:vAlign w:val="center"/>
          </w:tcPr>
          <w:p w14:paraId="73D1C1D7">
            <w:pPr>
              <w:jc w:val="center"/>
              <w:rPr>
                <w:rFonts w:hint="eastAsia"/>
                <w:color w:val="000000"/>
                <w:sz w:val="20"/>
                <w:szCs w:val="20"/>
                <w:lang w:val="en-US"/>
              </w:rPr>
            </w:pPr>
            <w:r>
              <w:rPr>
                <w:rFonts w:hint="eastAsia"/>
                <w:color w:val="000000"/>
                <w:sz w:val="20"/>
                <w:szCs w:val="20"/>
                <w:lang w:val="en-US"/>
              </w:rPr>
              <w:t>施工工期保证措施</w:t>
            </w:r>
          </w:p>
        </w:tc>
        <w:tc>
          <w:tcPr>
            <w:tcW w:w="6764" w:type="dxa"/>
            <w:tcBorders>
              <w:right w:val="single" w:color="auto" w:sz="4" w:space="0"/>
            </w:tcBorders>
          </w:tcPr>
          <w:p w14:paraId="468985F4">
            <w:pPr>
              <w:rPr>
                <w:color w:val="000000"/>
                <w:sz w:val="20"/>
                <w:szCs w:val="20"/>
                <w:lang w:val="en-US"/>
              </w:rPr>
            </w:pPr>
            <w:r>
              <w:rPr>
                <w:rFonts w:hint="eastAsia"/>
                <w:color w:val="000000"/>
                <w:sz w:val="20"/>
                <w:szCs w:val="20"/>
                <w:lang w:val="en-US"/>
              </w:rPr>
              <w:t>针对工程施工进度控制和工期保证措施方案进行评审：</w:t>
            </w:r>
          </w:p>
          <w:p w14:paraId="24E4B2F1">
            <w:pPr>
              <w:rPr>
                <w:color w:val="000000"/>
                <w:sz w:val="20"/>
                <w:szCs w:val="20"/>
                <w:lang w:val="en-US"/>
              </w:rPr>
            </w:pPr>
            <w:r>
              <w:rPr>
                <w:rFonts w:hint="eastAsia"/>
                <w:color w:val="000000"/>
                <w:sz w:val="20"/>
                <w:szCs w:val="20"/>
                <w:lang w:val="en-US"/>
              </w:rPr>
              <w:t>①施工整体进度计划；</w:t>
            </w:r>
          </w:p>
          <w:p w14:paraId="74B17E18">
            <w:pPr>
              <w:rPr>
                <w:color w:val="000000"/>
                <w:sz w:val="20"/>
                <w:szCs w:val="20"/>
                <w:lang w:val="en-US"/>
              </w:rPr>
            </w:pPr>
            <w:r>
              <w:rPr>
                <w:rFonts w:hint="eastAsia"/>
                <w:color w:val="000000"/>
                <w:sz w:val="20"/>
                <w:szCs w:val="20"/>
                <w:lang w:val="en-US"/>
              </w:rPr>
              <w:t>②进度控制和工期保证措施；</w:t>
            </w:r>
          </w:p>
          <w:p w14:paraId="583F67E9">
            <w:pPr>
              <w:rPr>
                <w:color w:val="000000"/>
                <w:sz w:val="20"/>
                <w:szCs w:val="20"/>
                <w:lang w:val="en-US"/>
              </w:rPr>
            </w:pPr>
            <w:r>
              <w:rPr>
                <w:rFonts w:hint="eastAsia"/>
                <w:color w:val="000000"/>
                <w:sz w:val="20"/>
                <w:szCs w:val="20"/>
                <w:lang w:val="en-US"/>
              </w:rPr>
              <w:t>③明确可行的节点目标；</w:t>
            </w:r>
          </w:p>
          <w:p w14:paraId="138245F7">
            <w:pPr>
              <w:rPr>
                <w:color w:val="000000"/>
                <w:sz w:val="20"/>
                <w:szCs w:val="20"/>
                <w:lang w:val="en-US"/>
              </w:rPr>
            </w:pPr>
            <w:r>
              <w:rPr>
                <w:rFonts w:hint="eastAsia"/>
                <w:color w:val="000000"/>
                <w:sz w:val="20"/>
                <w:szCs w:val="20"/>
                <w:lang w:val="en-US"/>
              </w:rPr>
              <w:t>④提供相应的横道图；</w:t>
            </w:r>
          </w:p>
          <w:p w14:paraId="51064A98">
            <w:pPr>
              <w:rPr>
                <w:rFonts w:hint="eastAsia"/>
                <w:sz w:val="20"/>
                <w:szCs w:val="20"/>
              </w:rPr>
            </w:pPr>
            <w:r>
              <w:rPr>
                <w:rFonts w:hint="eastAsia"/>
                <w:color w:val="000000"/>
                <w:sz w:val="20"/>
                <w:szCs w:val="20"/>
                <w:lang w:val="en-US"/>
              </w:rPr>
              <w:t>包括但不限于上述要点方案完整详细的得</w:t>
            </w:r>
            <w:r>
              <w:rPr>
                <w:color w:val="000000"/>
                <w:sz w:val="20"/>
                <w:szCs w:val="20"/>
                <w:lang w:val="en-US"/>
              </w:rPr>
              <w:t>8分，每存在一处缺漏或描述笼统、不详实、不完整的扣2分，扣完为止。</w:t>
            </w:r>
          </w:p>
        </w:tc>
        <w:tc>
          <w:tcPr>
            <w:tcW w:w="854" w:type="dxa"/>
            <w:tcBorders>
              <w:left w:val="single" w:color="auto" w:sz="4" w:space="0"/>
            </w:tcBorders>
            <w:vAlign w:val="center"/>
          </w:tcPr>
          <w:p w14:paraId="79688767">
            <w:pPr>
              <w:jc w:val="center"/>
              <w:rPr>
                <w:color w:val="000000"/>
                <w:sz w:val="20"/>
                <w:szCs w:val="20"/>
                <w:lang w:val="en-US"/>
              </w:rPr>
            </w:pPr>
            <w:r>
              <w:rPr>
                <w:rFonts w:hint="eastAsia"/>
                <w:color w:val="000000"/>
                <w:sz w:val="20"/>
                <w:szCs w:val="20"/>
                <w:lang w:val="en-US"/>
              </w:rPr>
              <w:t>8</w:t>
            </w:r>
          </w:p>
        </w:tc>
      </w:tr>
      <w:tr w14:paraId="78541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vMerge w:val="continue"/>
          </w:tcPr>
          <w:p w14:paraId="42B777BE">
            <w:pPr>
              <w:rPr>
                <w:rFonts w:hint="eastAsia"/>
                <w:sz w:val="20"/>
                <w:szCs w:val="20"/>
              </w:rPr>
            </w:pPr>
          </w:p>
        </w:tc>
        <w:tc>
          <w:tcPr>
            <w:tcW w:w="1316" w:type="dxa"/>
            <w:vAlign w:val="center"/>
          </w:tcPr>
          <w:p w14:paraId="13798240">
            <w:pPr>
              <w:jc w:val="center"/>
              <w:rPr>
                <w:rFonts w:hint="eastAsia"/>
                <w:color w:val="000000"/>
                <w:sz w:val="20"/>
                <w:szCs w:val="20"/>
                <w:lang w:val="en-US"/>
              </w:rPr>
            </w:pPr>
            <w:r>
              <w:rPr>
                <w:rFonts w:hint="eastAsia"/>
                <w:color w:val="000000"/>
                <w:sz w:val="20"/>
                <w:szCs w:val="20"/>
                <w:lang w:val="en-US"/>
              </w:rPr>
              <w:t>施工安全及文明施工措施</w:t>
            </w:r>
          </w:p>
        </w:tc>
        <w:tc>
          <w:tcPr>
            <w:tcW w:w="6764" w:type="dxa"/>
            <w:tcBorders>
              <w:right w:val="single" w:color="auto" w:sz="4" w:space="0"/>
            </w:tcBorders>
          </w:tcPr>
          <w:p w14:paraId="64E87006">
            <w:pPr>
              <w:rPr>
                <w:color w:val="000000"/>
                <w:sz w:val="20"/>
                <w:szCs w:val="20"/>
              </w:rPr>
            </w:pPr>
            <w:r>
              <w:rPr>
                <w:rFonts w:hint="eastAsia"/>
                <w:color w:val="000000"/>
                <w:sz w:val="20"/>
                <w:szCs w:val="20"/>
                <w:lang w:val="en-US"/>
              </w:rPr>
              <w:t>针对本项目提供工程施工安全及文明施工措施方案进行评审：</w:t>
            </w:r>
          </w:p>
          <w:p w14:paraId="441E8B25">
            <w:pPr>
              <w:rPr>
                <w:color w:val="000000"/>
                <w:sz w:val="20"/>
                <w:szCs w:val="20"/>
                <w:lang w:val="en-US"/>
              </w:rPr>
            </w:pPr>
            <w:r>
              <w:rPr>
                <w:rFonts w:hint="eastAsia"/>
                <w:color w:val="000000"/>
                <w:sz w:val="20"/>
                <w:szCs w:val="20"/>
                <w:lang w:val="en-US"/>
              </w:rPr>
              <w:t>①安全保障组织管理机构；</w:t>
            </w:r>
          </w:p>
          <w:p w14:paraId="62CCD2AC">
            <w:pPr>
              <w:rPr>
                <w:color w:val="000000"/>
                <w:sz w:val="20"/>
                <w:szCs w:val="20"/>
                <w:lang w:val="en-US"/>
              </w:rPr>
            </w:pPr>
            <w:r>
              <w:rPr>
                <w:rFonts w:hint="eastAsia"/>
                <w:color w:val="000000"/>
                <w:sz w:val="20"/>
                <w:szCs w:val="20"/>
                <w:lang w:val="en-US"/>
              </w:rPr>
              <w:t>②安全生产管理措施；</w:t>
            </w:r>
          </w:p>
          <w:p w14:paraId="66BAEE38">
            <w:pPr>
              <w:rPr>
                <w:color w:val="000000"/>
                <w:sz w:val="20"/>
                <w:szCs w:val="20"/>
                <w:lang w:val="en-US"/>
              </w:rPr>
            </w:pPr>
            <w:r>
              <w:rPr>
                <w:rFonts w:hint="eastAsia"/>
                <w:color w:val="000000"/>
                <w:sz w:val="20"/>
                <w:szCs w:val="20"/>
                <w:lang w:val="en-US"/>
              </w:rPr>
              <w:t>③安全检查及安全防护措施；</w:t>
            </w:r>
          </w:p>
          <w:p w14:paraId="2C51BD1A">
            <w:pPr>
              <w:rPr>
                <w:color w:val="000000"/>
                <w:sz w:val="20"/>
                <w:szCs w:val="20"/>
                <w:lang w:val="en-US"/>
              </w:rPr>
            </w:pPr>
            <w:r>
              <w:rPr>
                <w:rFonts w:hint="eastAsia"/>
                <w:color w:val="000000"/>
                <w:sz w:val="20"/>
                <w:szCs w:val="20"/>
                <w:lang w:val="en-US"/>
              </w:rPr>
              <w:t>④文明施工组织管理措施；</w:t>
            </w:r>
          </w:p>
          <w:p w14:paraId="56D0515B">
            <w:pPr>
              <w:rPr>
                <w:color w:val="000000"/>
                <w:sz w:val="20"/>
                <w:szCs w:val="20"/>
                <w:lang w:val="en-US"/>
              </w:rPr>
            </w:pPr>
            <w:r>
              <w:rPr>
                <w:rFonts w:hint="eastAsia"/>
                <w:color w:val="000000"/>
                <w:sz w:val="20"/>
                <w:szCs w:val="20"/>
                <w:lang w:val="en-US"/>
              </w:rPr>
              <w:t>⑤文明施工现场管理；</w:t>
            </w:r>
          </w:p>
          <w:p w14:paraId="10CDF1C5">
            <w:pPr>
              <w:rPr>
                <w:color w:val="000000"/>
                <w:sz w:val="20"/>
                <w:szCs w:val="20"/>
                <w:lang w:val="en-US"/>
              </w:rPr>
            </w:pPr>
            <w:r>
              <w:rPr>
                <w:rFonts w:hint="eastAsia"/>
                <w:color w:val="000000"/>
                <w:sz w:val="20"/>
                <w:szCs w:val="20"/>
                <w:lang w:val="en-US"/>
              </w:rPr>
              <w:t>⑥文明施工目视管理。</w:t>
            </w:r>
          </w:p>
          <w:p w14:paraId="37869D01">
            <w:pPr>
              <w:rPr>
                <w:rFonts w:hint="eastAsia"/>
                <w:sz w:val="20"/>
                <w:szCs w:val="20"/>
              </w:rPr>
            </w:pPr>
            <w:r>
              <w:rPr>
                <w:rFonts w:hint="eastAsia"/>
                <w:color w:val="000000"/>
                <w:sz w:val="20"/>
                <w:szCs w:val="20"/>
                <w:lang w:val="en-US"/>
              </w:rPr>
              <w:t>包括但不限于上述要点方案或制度完整详细的得</w:t>
            </w:r>
            <w:r>
              <w:rPr>
                <w:color w:val="000000"/>
                <w:sz w:val="20"/>
                <w:szCs w:val="20"/>
                <w:lang w:val="en-US"/>
              </w:rPr>
              <w:t>6</w:t>
            </w:r>
            <w:r>
              <w:rPr>
                <w:rFonts w:hint="eastAsia"/>
                <w:color w:val="000000"/>
                <w:sz w:val="20"/>
                <w:szCs w:val="20"/>
                <w:lang w:val="en-US"/>
              </w:rPr>
              <w:t>分，每存在一处缺漏或描述笼统、不详实、不完整的扣</w:t>
            </w:r>
            <w:r>
              <w:rPr>
                <w:color w:val="000000"/>
                <w:sz w:val="20"/>
                <w:szCs w:val="20"/>
                <w:lang w:val="en-US"/>
              </w:rPr>
              <w:t>1</w:t>
            </w:r>
            <w:r>
              <w:rPr>
                <w:rFonts w:hint="eastAsia"/>
                <w:color w:val="000000"/>
                <w:sz w:val="20"/>
                <w:szCs w:val="20"/>
                <w:lang w:val="en-US"/>
              </w:rPr>
              <w:t>分，扣完为止。</w:t>
            </w:r>
          </w:p>
        </w:tc>
        <w:tc>
          <w:tcPr>
            <w:tcW w:w="854" w:type="dxa"/>
            <w:tcBorders>
              <w:left w:val="single" w:color="auto" w:sz="4" w:space="0"/>
            </w:tcBorders>
            <w:vAlign w:val="center"/>
          </w:tcPr>
          <w:p w14:paraId="4241FB57">
            <w:pPr>
              <w:jc w:val="center"/>
              <w:rPr>
                <w:color w:val="000000"/>
                <w:sz w:val="20"/>
                <w:szCs w:val="20"/>
                <w:lang w:val="en-US"/>
              </w:rPr>
            </w:pPr>
            <w:r>
              <w:rPr>
                <w:color w:val="000000"/>
                <w:sz w:val="20"/>
                <w:szCs w:val="20"/>
                <w:lang w:val="en-US"/>
              </w:rPr>
              <w:t>6</w:t>
            </w:r>
          </w:p>
        </w:tc>
      </w:tr>
      <w:tr w14:paraId="7231F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vMerge w:val="continue"/>
          </w:tcPr>
          <w:p w14:paraId="2025E243">
            <w:pPr>
              <w:rPr>
                <w:rFonts w:hint="eastAsia"/>
                <w:sz w:val="20"/>
                <w:szCs w:val="20"/>
              </w:rPr>
            </w:pPr>
          </w:p>
        </w:tc>
        <w:tc>
          <w:tcPr>
            <w:tcW w:w="1316" w:type="dxa"/>
            <w:vAlign w:val="center"/>
          </w:tcPr>
          <w:p w14:paraId="6865F0FD">
            <w:pPr>
              <w:jc w:val="center"/>
              <w:rPr>
                <w:rFonts w:hint="eastAsia"/>
                <w:color w:val="000000"/>
                <w:sz w:val="20"/>
                <w:szCs w:val="20"/>
                <w:lang w:val="en-US"/>
              </w:rPr>
            </w:pPr>
            <w:r>
              <w:rPr>
                <w:rFonts w:hint="eastAsia"/>
                <w:color w:val="000000"/>
                <w:sz w:val="20"/>
                <w:szCs w:val="20"/>
                <w:lang w:val="en-US"/>
              </w:rPr>
              <w:t>保修期内服务方案</w:t>
            </w:r>
          </w:p>
        </w:tc>
        <w:tc>
          <w:tcPr>
            <w:tcW w:w="6764" w:type="dxa"/>
            <w:tcBorders>
              <w:right w:val="single" w:color="auto" w:sz="4" w:space="0"/>
            </w:tcBorders>
            <w:vAlign w:val="center"/>
          </w:tcPr>
          <w:p w14:paraId="0C9A5B13">
            <w:pPr>
              <w:rPr>
                <w:color w:val="000000"/>
                <w:sz w:val="20"/>
                <w:szCs w:val="20"/>
                <w:lang w:val="en-US"/>
              </w:rPr>
            </w:pPr>
            <w:r>
              <w:rPr>
                <w:rFonts w:hint="eastAsia"/>
                <w:sz w:val="20"/>
                <w:szCs w:val="20"/>
              </w:rPr>
              <w:t>提供</w:t>
            </w:r>
            <w:r>
              <w:rPr>
                <w:rFonts w:hint="eastAsia"/>
                <w:color w:val="000000"/>
                <w:sz w:val="20"/>
                <w:szCs w:val="20"/>
                <w:lang w:val="en-US"/>
              </w:rPr>
              <w:t>保修期内服务方案：</w:t>
            </w:r>
          </w:p>
          <w:p w14:paraId="18A497B6">
            <w:pPr>
              <w:rPr>
                <w:sz w:val="20"/>
                <w:szCs w:val="20"/>
              </w:rPr>
            </w:pPr>
            <w:r>
              <w:rPr>
                <w:rFonts w:hint="eastAsia"/>
                <w:color w:val="000000"/>
                <w:sz w:val="20"/>
                <w:szCs w:val="20"/>
                <w:lang w:val="en-US"/>
              </w:rPr>
              <w:t>①</w:t>
            </w:r>
            <w:r>
              <w:rPr>
                <w:rFonts w:hint="eastAsia"/>
                <w:sz w:val="20"/>
                <w:szCs w:val="20"/>
              </w:rPr>
              <w:t>保修方式；</w:t>
            </w:r>
          </w:p>
          <w:p w14:paraId="7D5CD03E">
            <w:pPr>
              <w:rPr>
                <w:sz w:val="20"/>
                <w:szCs w:val="20"/>
              </w:rPr>
            </w:pPr>
            <w:r>
              <w:rPr>
                <w:rFonts w:hint="eastAsia"/>
                <w:sz w:val="20"/>
                <w:szCs w:val="20"/>
              </w:rPr>
              <w:t>②服务内容；</w:t>
            </w:r>
          </w:p>
          <w:p w14:paraId="6CADE464">
            <w:pPr>
              <w:rPr>
                <w:sz w:val="20"/>
                <w:szCs w:val="20"/>
              </w:rPr>
            </w:pPr>
            <w:r>
              <w:rPr>
                <w:rFonts w:hint="eastAsia"/>
                <w:sz w:val="20"/>
                <w:szCs w:val="20"/>
              </w:rPr>
              <w:t>③保修目标；</w:t>
            </w:r>
          </w:p>
          <w:p w14:paraId="661FB28F">
            <w:pPr>
              <w:rPr>
                <w:sz w:val="20"/>
                <w:szCs w:val="20"/>
              </w:rPr>
            </w:pPr>
            <w:r>
              <w:rPr>
                <w:rFonts w:hint="eastAsia"/>
                <w:sz w:val="20"/>
                <w:szCs w:val="20"/>
              </w:rPr>
              <w:t>④服务费用；</w:t>
            </w:r>
          </w:p>
          <w:p w14:paraId="6911F6E2">
            <w:pPr>
              <w:rPr>
                <w:sz w:val="20"/>
                <w:szCs w:val="20"/>
              </w:rPr>
            </w:pPr>
            <w:r>
              <w:rPr>
                <w:rFonts w:hint="eastAsia"/>
                <w:sz w:val="20"/>
                <w:szCs w:val="20"/>
              </w:rPr>
              <w:t>⑤维修人员配备；</w:t>
            </w:r>
          </w:p>
          <w:p w14:paraId="29DB1325">
            <w:pPr>
              <w:rPr>
                <w:rFonts w:hint="eastAsia"/>
                <w:sz w:val="20"/>
                <w:szCs w:val="20"/>
              </w:rPr>
            </w:pPr>
            <w:r>
              <w:rPr>
                <w:rFonts w:hint="eastAsia"/>
                <w:sz w:val="20"/>
                <w:szCs w:val="20"/>
              </w:rPr>
              <w:t>包括但不限于上述要点提供方案完整详细的得</w:t>
            </w:r>
            <w:r>
              <w:rPr>
                <w:sz w:val="20"/>
                <w:szCs w:val="20"/>
              </w:rPr>
              <w:t>10分，每存在一处缺漏或描述笼统、不详实、不完整的扣2分，扣完为止。</w:t>
            </w:r>
          </w:p>
        </w:tc>
        <w:tc>
          <w:tcPr>
            <w:tcW w:w="854" w:type="dxa"/>
            <w:tcBorders>
              <w:left w:val="single" w:color="auto" w:sz="4" w:space="0"/>
            </w:tcBorders>
            <w:vAlign w:val="center"/>
          </w:tcPr>
          <w:p w14:paraId="547A483C">
            <w:pPr>
              <w:jc w:val="center"/>
              <w:rPr>
                <w:color w:val="000000"/>
                <w:sz w:val="20"/>
                <w:szCs w:val="20"/>
                <w:lang w:val="en-US"/>
              </w:rPr>
            </w:pPr>
            <w:r>
              <w:rPr>
                <w:color w:val="000000"/>
                <w:sz w:val="20"/>
                <w:szCs w:val="20"/>
                <w:lang w:val="en-US"/>
              </w:rPr>
              <w:t>10</w:t>
            </w:r>
          </w:p>
        </w:tc>
      </w:tr>
      <w:tr w14:paraId="1164F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9072" w:type="dxa"/>
            <w:gridSpan w:val="3"/>
          </w:tcPr>
          <w:p w14:paraId="668D28B8">
            <w:pPr>
              <w:rPr>
                <w:sz w:val="20"/>
                <w:szCs w:val="20"/>
              </w:rPr>
            </w:pPr>
            <w:r>
              <w:rPr>
                <w:rFonts w:hint="eastAsia"/>
                <w:sz w:val="20"/>
                <w:szCs w:val="20"/>
              </w:rPr>
              <w:t xml:space="preserve">合计 </w:t>
            </w:r>
          </w:p>
        </w:tc>
        <w:tc>
          <w:tcPr>
            <w:tcW w:w="854" w:type="dxa"/>
          </w:tcPr>
          <w:p w14:paraId="50601726">
            <w:pPr>
              <w:jc w:val="center"/>
              <w:rPr>
                <w:sz w:val="20"/>
                <w:szCs w:val="20"/>
              </w:rPr>
            </w:pPr>
            <w:r>
              <w:rPr>
                <w:rFonts w:hint="eastAsia"/>
                <w:sz w:val="20"/>
                <w:szCs w:val="20"/>
              </w:rPr>
              <w:t>1</w:t>
            </w:r>
            <w:r>
              <w:rPr>
                <w:rFonts w:hint="eastAsia"/>
                <w:sz w:val="20"/>
                <w:szCs w:val="20"/>
                <w:lang w:val="en-US"/>
              </w:rPr>
              <w:t>00</w:t>
            </w:r>
          </w:p>
        </w:tc>
      </w:tr>
    </w:tbl>
    <w:p w14:paraId="46FE2E73">
      <w:pPr>
        <w:pStyle w:val="13"/>
        <w:rPr>
          <w:rFonts w:hint="eastAsia"/>
          <w:i w:val="0"/>
          <w:iCs w:val="0"/>
          <w:color w:val="auto"/>
          <w:highlight w:val="none"/>
          <w:lang w:val="zh-CN" w:eastAsia="zh-CN"/>
        </w:rPr>
      </w:pPr>
    </w:p>
    <w:p w14:paraId="111219DC">
      <w:pPr>
        <w:rPr>
          <w:i w:val="0"/>
          <w:iCs w:val="0"/>
          <w:color w:val="auto"/>
          <w:highlight w:val="none"/>
        </w:rPr>
        <w:sectPr>
          <w:footerReference r:id="rId8" w:type="default"/>
          <w:pgSz w:w="11906" w:h="16838"/>
          <w:pgMar w:top="1440" w:right="1803" w:bottom="1440" w:left="1803" w:header="652" w:footer="652" w:gutter="0"/>
          <w:pgNumType w:fmt="decimal"/>
          <w:cols w:space="0" w:num="1"/>
          <w:rtlGutter w:val="0"/>
          <w:docGrid w:type="lines" w:linePitch="332" w:charSpace="0"/>
        </w:sectPr>
      </w:pPr>
    </w:p>
    <w:p w14:paraId="641B48DF">
      <w:pPr>
        <w:pStyle w:val="2"/>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i w:val="0"/>
          <w:iCs w:val="0"/>
          <w:color w:val="auto"/>
          <w:highlight w:val="none"/>
        </w:rPr>
      </w:pPr>
      <w:bookmarkStart w:id="460" w:name="_Toc16371"/>
      <w:r>
        <w:rPr>
          <w:rFonts w:hint="eastAsia" w:ascii="宋体" w:hAnsi="宋体" w:eastAsia="宋体" w:cs="宋体"/>
          <w:b/>
          <w:bCs/>
          <w:color w:val="auto"/>
          <w:kern w:val="44"/>
          <w:sz w:val="36"/>
          <w:szCs w:val="36"/>
          <w:highlight w:val="none"/>
          <w:lang w:val="en-US" w:eastAsia="zh-CN" w:bidi="ar-SA"/>
        </w:rPr>
        <w:t xml:space="preserve">第五章 </w:t>
      </w:r>
      <w:r>
        <w:rPr>
          <w:rFonts w:hint="eastAsia" w:ascii="宋体" w:hAnsi="宋体" w:eastAsia="宋体" w:cs="宋体"/>
          <w:b/>
          <w:bCs/>
          <w:color w:val="auto"/>
          <w:kern w:val="44"/>
          <w:sz w:val="36"/>
          <w:szCs w:val="36"/>
          <w:highlight w:val="none"/>
          <w:lang w:val="zh-CN" w:eastAsia="zh-CN" w:bidi="ar-SA"/>
        </w:rPr>
        <w:t>合同草案</w:t>
      </w:r>
      <w:bookmarkEnd w:id="460"/>
    </w:p>
    <w:p w14:paraId="25B1FD2B">
      <w:pPr>
        <w:keepNext/>
        <w:keepLines/>
        <w:pageBreakBefore w:val="0"/>
        <w:widowControl w:val="0"/>
        <w:numPr>
          <w:ilvl w:val="0"/>
          <w:numId w:val="0"/>
        </w:numPr>
        <w:kinsoku/>
        <w:wordWrap/>
        <w:overflowPunct/>
        <w:topLinePunct w:val="0"/>
        <w:autoSpaceDE/>
        <w:autoSpaceDN/>
        <w:bidi w:val="0"/>
        <w:adjustRightInd/>
        <w:snapToGrid/>
        <w:spacing w:before="0" w:after="0" w:line="240" w:lineRule="exact"/>
        <w:ind w:left="420" w:leftChars="0" w:hanging="420" w:firstLineChars="0"/>
        <w:textAlignment w:val="auto"/>
        <w:outlineLvl w:val="9"/>
        <w:rPr>
          <w:rFonts w:hint="eastAsia" w:ascii="宋体" w:hAnsi="宋体" w:eastAsia="黑体" w:cstheme="minorBidi"/>
          <w:b/>
          <w:bCs/>
          <w:i w:val="0"/>
          <w:iCs w:val="0"/>
          <w:color w:val="auto"/>
          <w:kern w:val="44"/>
          <w:sz w:val="44"/>
          <w:szCs w:val="44"/>
          <w:highlight w:val="none"/>
          <w:lang w:val="en-US" w:eastAsia="zh-CN" w:bidi="ar-SA"/>
        </w:rPr>
      </w:pPr>
    </w:p>
    <w:p w14:paraId="65F496B9">
      <w:pPr>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（GF—2017—0201）</w:t>
      </w:r>
    </w:p>
    <w:p w14:paraId="549A1EFA">
      <w:pPr>
        <w:jc w:val="center"/>
        <w:rPr>
          <w:rFonts w:hint="eastAsia" w:ascii="宋体" w:hAnsi="宋体" w:eastAsia="宋体" w:cs="宋体"/>
          <w:b/>
          <w:color w:val="auto"/>
          <w:sz w:val="24"/>
          <w:szCs w:val="24"/>
        </w:rPr>
      </w:pPr>
    </w:p>
    <w:p w14:paraId="18ACB14E">
      <w:pPr>
        <w:jc w:val="center"/>
        <w:rPr>
          <w:rFonts w:hint="eastAsia" w:ascii="宋体" w:hAnsi="宋体" w:eastAsia="宋体" w:cs="宋体"/>
          <w:b/>
          <w:color w:val="auto"/>
          <w:sz w:val="24"/>
          <w:szCs w:val="24"/>
        </w:rPr>
      </w:pPr>
    </w:p>
    <w:p w14:paraId="32FEC1C1">
      <w:pPr>
        <w:jc w:val="center"/>
        <w:rPr>
          <w:rFonts w:hint="eastAsia" w:ascii="宋体" w:hAnsi="宋体" w:eastAsia="宋体" w:cs="宋体"/>
          <w:b/>
          <w:color w:val="auto"/>
          <w:sz w:val="24"/>
          <w:szCs w:val="24"/>
        </w:rPr>
      </w:pPr>
    </w:p>
    <w:p w14:paraId="0B88CBD6">
      <w:pPr>
        <w:jc w:val="center"/>
        <w:rPr>
          <w:rFonts w:hint="eastAsia" w:ascii="宋体" w:hAnsi="宋体" w:eastAsia="宋体" w:cs="宋体"/>
          <w:b/>
          <w:color w:val="auto"/>
          <w:sz w:val="24"/>
          <w:szCs w:val="24"/>
        </w:rPr>
      </w:pPr>
    </w:p>
    <w:p w14:paraId="2D9DC181">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建设工程施工合同</w:t>
      </w:r>
      <w:r>
        <w:rPr>
          <w:rFonts w:hint="eastAsia" w:ascii="宋体" w:hAnsi="宋体" w:eastAsia="宋体" w:cs="宋体"/>
          <w:b/>
          <w:color w:val="auto"/>
          <w:sz w:val="24"/>
          <w:szCs w:val="24"/>
        </w:rPr>
        <w:br w:type="textWrapping"/>
      </w:r>
      <w:r>
        <w:rPr>
          <w:rFonts w:hint="eastAsia" w:ascii="宋体" w:hAnsi="宋体" w:eastAsia="宋体" w:cs="宋体"/>
          <w:b/>
          <w:color w:val="auto"/>
          <w:sz w:val="24"/>
          <w:szCs w:val="24"/>
        </w:rPr>
        <w:t>（  填写工程名称  ）</w:t>
      </w:r>
    </w:p>
    <w:p w14:paraId="03FEFC8F">
      <w:pPr>
        <w:jc w:val="center"/>
        <w:rPr>
          <w:rFonts w:hint="eastAsia" w:ascii="宋体" w:hAnsi="宋体" w:eastAsia="宋体" w:cs="宋体"/>
          <w:b/>
          <w:color w:val="auto"/>
          <w:sz w:val="24"/>
          <w:szCs w:val="24"/>
        </w:rPr>
      </w:pPr>
    </w:p>
    <w:p w14:paraId="32F29F77">
      <w:pPr>
        <w:jc w:val="center"/>
        <w:rPr>
          <w:rFonts w:hint="eastAsia" w:ascii="宋体" w:hAnsi="宋体" w:eastAsia="宋体" w:cs="宋体"/>
          <w:b/>
          <w:color w:val="auto"/>
          <w:sz w:val="24"/>
          <w:szCs w:val="24"/>
        </w:rPr>
      </w:pPr>
    </w:p>
    <w:p w14:paraId="34C7D07C">
      <w:pPr>
        <w:jc w:val="center"/>
        <w:rPr>
          <w:rFonts w:hint="eastAsia" w:ascii="宋体" w:hAnsi="宋体" w:eastAsia="宋体" w:cs="宋体"/>
          <w:b/>
          <w:color w:val="auto"/>
          <w:sz w:val="24"/>
          <w:szCs w:val="24"/>
        </w:rPr>
      </w:pPr>
    </w:p>
    <w:p w14:paraId="7EA98BDF">
      <w:pPr>
        <w:jc w:val="center"/>
        <w:rPr>
          <w:rFonts w:hint="eastAsia" w:ascii="宋体" w:hAnsi="宋体" w:eastAsia="宋体" w:cs="宋体"/>
          <w:b/>
          <w:color w:val="auto"/>
          <w:sz w:val="24"/>
          <w:szCs w:val="24"/>
        </w:rPr>
      </w:pPr>
    </w:p>
    <w:p w14:paraId="58306170">
      <w:pPr>
        <w:jc w:val="center"/>
        <w:rPr>
          <w:rFonts w:hint="eastAsia" w:ascii="宋体" w:hAnsi="宋体" w:eastAsia="宋体" w:cs="宋体"/>
          <w:b/>
          <w:color w:val="auto"/>
          <w:sz w:val="24"/>
          <w:szCs w:val="24"/>
        </w:rPr>
      </w:pPr>
    </w:p>
    <w:p w14:paraId="3A71A2C7">
      <w:pPr>
        <w:rPr>
          <w:rFonts w:hint="eastAsia" w:ascii="宋体" w:hAnsi="宋体" w:eastAsia="宋体" w:cs="宋体"/>
          <w:b/>
          <w:color w:val="auto"/>
          <w:sz w:val="24"/>
          <w:szCs w:val="24"/>
        </w:rPr>
      </w:pPr>
    </w:p>
    <w:p w14:paraId="4C4038BA">
      <w:pPr>
        <w:rPr>
          <w:rFonts w:hint="eastAsia" w:ascii="宋体" w:hAnsi="宋体" w:eastAsia="宋体" w:cs="宋体"/>
          <w:b/>
          <w:color w:val="auto"/>
          <w:sz w:val="24"/>
          <w:szCs w:val="24"/>
        </w:rPr>
      </w:pPr>
    </w:p>
    <w:p w14:paraId="377C56BE">
      <w:pPr>
        <w:ind w:firstLine="964" w:firstLineChars="400"/>
        <w:rPr>
          <w:rFonts w:hint="eastAsia" w:ascii="宋体" w:hAnsi="宋体" w:eastAsia="宋体" w:cs="宋体"/>
          <w:b/>
          <w:color w:val="auto"/>
          <w:sz w:val="24"/>
          <w:szCs w:val="24"/>
        </w:rPr>
      </w:pPr>
      <w:r>
        <w:rPr>
          <w:rFonts w:hint="eastAsia" w:ascii="宋体" w:hAnsi="宋体" w:eastAsia="宋体" w:cs="宋体"/>
          <w:b/>
          <w:color w:val="auto"/>
          <w:sz w:val="24"/>
          <w:szCs w:val="24"/>
        </w:rPr>
        <w:t>合 同 编 号：</w:t>
      </w:r>
    </w:p>
    <w:p w14:paraId="499C623D">
      <w:pPr>
        <w:ind w:firstLine="482" w:firstLineChars="200"/>
        <w:rPr>
          <w:rFonts w:hint="eastAsia" w:ascii="宋体" w:hAnsi="宋体" w:eastAsia="宋体" w:cs="宋体"/>
          <w:b/>
          <w:bCs/>
          <w:color w:val="auto"/>
          <w:sz w:val="24"/>
          <w:szCs w:val="24"/>
        </w:rPr>
      </w:pPr>
    </w:p>
    <w:p w14:paraId="66A2F97E">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年   月   日</w:t>
      </w:r>
    </w:p>
    <w:p w14:paraId="4E2CF1E2">
      <w:pPr>
        <w:ind w:right="3108" w:rightChars="1295" w:firstLine="3129" w:firstLineChars="1304"/>
        <w:jc w:val="distribute"/>
        <w:rPr>
          <w:rFonts w:hint="eastAsia" w:ascii="宋体" w:hAnsi="宋体" w:eastAsia="宋体" w:cs="宋体"/>
          <w:b/>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3970020</wp:posOffset>
                </wp:positionH>
                <wp:positionV relativeFrom="paragraph">
                  <wp:posOffset>120015</wp:posOffset>
                </wp:positionV>
                <wp:extent cx="723900" cy="457200"/>
                <wp:effectExtent l="4445" t="4445" r="5715" b="1333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01AA0EB">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643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14:paraId="701AA0EB">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auto"/>
          <w:sz w:val="24"/>
          <w:szCs w:val="24"/>
        </w:rPr>
        <w:t>住房城乡建设部</w:t>
      </w:r>
    </w:p>
    <w:p w14:paraId="3CD860F3">
      <w:pPr>
        <w:ind w:right="3108" w:rightChars="1295" w:firstLine="2062" w:firstLineChars="856"/>
        <w:jc w:val="distribute"/>
        <w:rPr>
          <w:rFonts w:hint="eastAsia" w:ascii="宋体" w:hAnsi="宋体" w:eastAsia="宋体" w:cs="宋体"/>
          <w:b/>
          <w:color w:val="auto"/>
          <w:sz w:val="24"/>
          <w:szCs w:val="24"/>
        </w:rPr>
      </w:pPr>
      <w:r>
        <w:rPr>
          <w:rFonts w:hint="eastAsia" w:ascii="宋体" w:hAnsi="宋体" w:eastAsia="宋体" w:cs="宋体"/>
          <w:b/>
          <w:color w:val="auto"/>
          <w:sz w:val="24"/>
          <w:szCs w:val="24"/>
        </w:rPr>
        <w:t>国家工商行政管理总局</w:t>
      </w:r>
    </w:p>
    <w:p w14:paraId="656FF5F0">
      <w:pPr>
        <w:rPr>
          <w:rFonts w:hint="eastAsia" w:ascii="宋体" w:hAnsi="宋体" w:eastAsia="宋体" w:cs="宋体"/>
          <w:b/>
          <w:color w:val="auto"/>
          <w:sz w:val="24"/>
          <w:szCs w:val="24"/>
        </w:rPr>
      </w:pPr>
    </w:p>
    <w:p w14:paraId="41BCDF8F">
      <w:pPr>
        <w:pStyle w:val="71"/>
        <w:spacing w:before="0" w:after="0" w:line="240" w:lineRule="auto"/>
        <w:jc w:val="center"/>
        <w:outlineLvl w:val="9"/>
        <w:rPr>
          <w:rFonts w:hint="eastAsia" w:ascii="宋体" w:hAnsi="宋体" w:eastAsia="宋体" w:cs="宋体"/>
          <w:color w:val="auto"/>
          <w:sz w:val="24"/>
          <w:szCs w:val="24"/>
          <w:lang w:val="zh-CN"/>
        </w:rPr>
      </w:pPr>
      <w:r>
        <w:rPr>
          <w:rFonts w:hint="eastAsia" w:ascii="宋体" w:hAnsi="宋体" w:eastAsia="宋体" w:cs="宋体"/>
          <w:b w:val="0"/>
          <w:color w:val="auto"/>
          <w:sz w:val="24"/>
          <w:szCs w:val="24"/>
        </w:rPr>
        <w:br w:type="page"/>
      </w:r>
      <w:bookmarkStart w:id="461" w:name="_Toc296503025"/>
      <w:bookmarkStart w:id="462" w:name="_Toc296890982"/>
      <w:r>
        <w:rPr>
          <w:rFonts w:hint="eastAsia" w:ascii="宋体" w:hAnsi="宋体" w:eastAsia="宋体" w:cs="宋体"/>
          <w:color w:val="auto"/>
          <w:sz w:val="24"/>
          <w:szCs w:val="24"/>
          <w:lang w:val="zh-CN"/>
        </w:rPr>
        <w:t>说  明</w:t>
      </w:r>
    </w:p>
    <w:p w14:paraId="7D620F41">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7D2269ED">
      <w:pPr>
        <w:ind w:firstLine="480" w:firstLineChars="200"/>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一、《示范文本》的组成</w:t>
      </w:r>
    </w:p>
    <w:p w14:paraId="4DF60EA4">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《示范文本》由合同协议书、通用合同条款和专用合同条款三部分组成。</w:t>
      </w:r>
    </w:p>
    <w:p w14:paraId="240E826D">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（一）合同协议书</w:t>
      </w:r>
    </w:p>
    <w:p w14:paraId="1BAF3038">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505AF638">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（二）通用合同条款</w:t>
      </w:r>
    </w:p>
    <w:p w14:paraId="1348C6D9">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通用合同条款是合同当事人根据《中华人民共和国建筑法》、《中华人民共和国合同法》等法律法规的规定，就工程建设的实施及相关事项，对合同当事人的权利义务作出的原则性约定。</w:t>
      </w:r>
    </w:p>
    <w:p w14:paraId="536C0802">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230C2EA1">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（三）专用合同条款</w:t>
      </w:r>
    </w:p>
    <w:p w14:paraId="42AF9163">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71643A78">
      <w:pPr>
        <w:ind w:right="29" w:rightChars="12"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1.专用合同条款的编号应与相应的通用合同条款的编号一致；</w:t>
      </w:r>
    </w:p>
    <w:p w14:paraId="20A46B32">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2.合同当事人可以通过对专用合同条款的修改，满足具体建设工程的特殊要求，避免直接修改通用合同条款；</w:t>
      </w:r>
    </w:p>
    <w:p w14:paraId="45C620C5">
      <w:pPr>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3.在专用合同条款中有横道线的地方，合同当事人可针对相应的通用合同条款进行细化、完善、补充、修改或另行约定；如无细化、完善、补充、修改或另行约定，则填写“无”或划“/”。</w:t>
      </w:r>
    </w:p>
    <w:p w14:paraId="565B632C">
      <w:pPr>
        <w:ind w:firstLine="480" w:firstLineChars="200"/>
        <w:outlineLvl w:val="9"/>
        <w:rPr>
          <w:rFonts w:hint="eastAsia" w:ascii="宋体" w:hAnsi="宋体" w:eastAsia="宋体" w:cs="宋体"/>
          <w:b/>
          <w:color w:val="auto"/>
          <w:sz w:val="24"/>
          <w:szCs w:val="24"/>
        </w:rPr>
      </w:pPr>
      <w:r>
        <w:rPr>
          <w:rFonts w:hint="eastAsia" w:ascii="宋体" w:hAnsi="宋体" w:eastAsia="宋体" w:cs="宋体"/>
          <w:bCs/>
          <w:color w:val="auto"/>
          <w:sz w:val="24"/>
          <w:szCs w:val="24"/>
        </w:rPr>
        <w:t>二、《示范文本》的性质和适用范围</w:t>
      </w:r>
    </w:p>
    <w:p w14:paraId="016CA4E6">
      <w:pPr>
        <w:ind w:firstLine="480" w:firstLineChars="200"/>
        <w:outlineLvl w:val="9"/>
        <w:rPr>
          <w:rFonts w:hint="eastAsia" w:ascii="宋体" w:hAnsi="宋体" w:eastAsia="宋体" w:cs="宋体"/>
          <w:color w:val="auto"/>
          <w:sz w:val="24"/>
          <w:szCs w:val="24"/>
        </w:rPr>
        <w:sectPr>
          <w:footerReference r:id="rId9" w:type="default"/>
          <w:pgSz w:w="11906" w:h="16838"/>
          <w:pgMar w:top="1440" w:right="1803" w:bottom="1440" w:left="1803" w:header="652" w:footer="652" w:gutter="0"/>
          <w:pgNumType w:fmt="decimal"/>
          <w:cols w:space="0" w:num="1"/>
          <w:rtlGutter w:val="0"/>
          <w:docGrid w:type="lines" w:linePitch="332" w:charSpace="0"/>
        </w:sectPr>
      </w:pPr>
      <w:r>
        <w:rPr>
          <w:rFonts w:hint="eastAsia" w:ascii="宋体" w:hAnsi="宋体" w:eastAsia="宋体" w:cs="宋体"/>
          <w:color w:val="auto"/>
          <w:sz w:val="24"/>
          <w:szCs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1EB5E933">
      <w:pPr>
        <w:pStyle w:val="71"/>
        <w:spacing w:before="120" w:after="120"/>
        <w:jc w:val="center"/>
        <w:rPr>
          <w:rFonts w:hint="eastAsia" w:ascii="宋体" w:hAnsi="宋体" w:eastAsia="宋体" w:cs="宋体"/>
          <w:color w:val="auto"/>
          <w:sz w:val="24"/>
          <w:szCs w:val="24"/>
        </w:rPr>
      </w:pPr>
      <w:r>
        <w:rPr>
          <w:rFonts w:hint="eastAsia" w:ascii="宋体" w:hAnsi="宋体" w:eastAsia="宋体" w:cs="宋体"/>
          <w:color w:val="auto"/>
          <w:sz w:val="24"/>
          <w:szCs w:val="24"/>
          <w:lang w:val="zh-CN"/>
        </w:rPr>
        <w:t>目  录</w:t>
      </w:r>
    </w:p>
    <w:p w14:paraId="6F332FC0">
      <w:pPr>
        <w:pStyle w:val="6"/>
        <w:jc w:val="center"/>
        <w:rPr>
          <w:rFonts w:hint="eastAsia" w:ascii="宋体" w:hAnsi="宋体" w:eastAsia="宋体" w:cs="宋体"/>
          <w:color w:val="auto"/>
          <w:sz w:val="24"/>
          <w:szCs w:val="24"/>
        </w:rPr>
        <w:sectPr>
          <w:footerReference r:id="rId10" w:type="first"/>
          <w:pgSz w:w="11906" w:h="16838"/>
          <w:pgMar w:top="1440" w:right="1803" w:bottom="1440" w:left="1803" w:header="652" w:footer="652" w:gutter="0"/>
          <w:pgNumType w:fmt="decimal"/>
          <w:cols w:space="0" w:num="1"/>
          <w:rtlGutter w:val="0"/>
          <w:docGrid w:type="lines" w:linePitch="332" w:charSpace="0"/>
        </w:sectPr>
      </w:pPr>
      <w:bookmarkStart w:id="463" w:name="_Toc351203480"/>
    </w:p>
    <w:bookmarkEnd w:id="461"/>
    <w:bookmarkEnd w:id="462"/>
    <w:bookmarkEnd w:id="463"/>
    <w:p w14:paraId="6ACF55E3">
      <w:pPr>
        <w:pStyle w:val="6"/>
        <w:pageBreakBefore w:val="0"/>
        <w:widowControl w:val="0"/>
        <w:kinsoku/>
        <w:wordWrap/>
        <w:overflowPunct/>
        <w:topLinePunct w:val="0"/>
        <w:bidi w:val="0"/>
        <w:snapToGrid/>
        <w:spacing w:line="480" w:lineRule="exact"/>
        <w:jc w:val="center"/>
        <w:textAlignment w:val="auto"/>
        <w:rPr>
          <w:rFonts w:hint="eastAsia" w:ascii="宋体" w:hAnsi="宋体" w:eastAsia="宋体" w:cs="宋体"/>
          <w:b w:val="0"/>
          <w:color w:val="000000"/>
          <w:sz w:val="24"/>
          <w:szCs w:val="24"/>
          <w:highlight w:val="none"/>
        </w:rPr>
      </w:pPr>
      <w:r>
        <w:rPr>
          <w:rFonts w:hint="eastAsia" w:ascii="宋体" w:hAnsi="宋体" w:eastAsia="宋体" w:cs="宋体"/>
          <w:sz w:val="24"/>
          <w:szCs w:val="24"/>
          <w:highlight w:val="none"/>
        </w:rPr>
        <w:t>第一部分 合同协议书</w:t>
      </w:r>
    </w:p>
    <w:p w14:paraId="7AFCF07B">
      <w:pPr>
        <w:pageBreakBefore w:val="0"/>
        <w:widowControl w:val="0"/>
        <w:kinsoku/>
        <w:wordWrap/>
        <w:overflowPunct/>
        <w:topLinePunct w:val="0"/>
        <w:bidi w:val="0"/>
        <w:snapToGrid/>
        <w:spacing w:line="480" w:lineRule="exact"/>
        <w:textAlignment w:val="auto"/>
        <w:rPr>
          <w:rFonts w:hint="eastAsia" w:ascii="宋体" w:hAnsi="宋体" w:eastAsia="宋体" w:cs="宋体"/>
          <w:b/>
          <w:color w:val="000000"/>
          <w:sz w:val="24"/>
          <w:szCs w:val="24"/>
          <w:highlight w:val="none"/>
          <w:u w:val="single"/>
        </w:rPr>
      </w:pPr>
      <w:r>
        <w:rPr>
          <w:rFonts w:hint="eastAsia" w:ascii="宋体" w:hAnsi="宋体" w:eastAsia="宋体" w:cs="宋体"/>
          <w:b/>
          <w:color w:val="000000"/>
          <w:sz w:val="24"/>
          <w:szCs w:val="24"/>
          <w:highlight w:val="none"/>
        </w:rPr>
        <w:t>发包人（全称）：</w:t>
      </w:r>
      <w:r>
        <w:rPr>
          <w:rFonts w:hint="eastAsia" w:ascii="宋体" w:hAnsi="宋体" w:eastAsia="宋体" w:cs="宋体"/>
          <w:b/>
          <w:color w:val="000000"/>
          <w:sz w:val="24"/>
          <w:szCs w:val="24"/>
          <w:highlight w:val="none"/>
          <w:u w:val="single"/>
        </w:rPr>
        <w:t>                       </w:t>
      </w:r>
    </w:p>
    <w:p w14:paraId="072F1A37">
      <w:pPr>
        <w:pageBreakBefore w:val="0"/>
        <w:widowControl w:val="0"/>
        <w:kinsoku/>
        <w:wordWrap/>
        <w:overflowPunct/>
        <w:topLinePunct w:val="0"/>
        <w:bidi w:val="0"/>
        <w:snapToGrid/>
        <w:spacing w:line="480" w:lineRule="exact"/>
        <w:textAlignment w:val="auto"/>
        <w:rPr>
          <w:rFonts w:hint="eastAsia" w:ascii="宋体" w:hAnsi="宋体" w:eastAsia="宋体" w:cs="宋体"/>
          <w:b/>
          <w:color w:val="000000"/>
          <w:sz w:val="24"/>
          <w:szCs w:val="24"/>
          <w:highlight w:val="none"/>
          <w:u w:val="single"/>
        </w:rPr>
      </w:pPr>
      <w:r>
        <w:rPr>
          <w:rFonts w:hint="eastAsia" w:ascii="宋体" w:hAnsi="宋体" w:eastAsia="宋体" w:cs="宋体"/>
          <w:b/>
          <w:color w:val="000000"/>
          <w:sz w:val="24"/>
          <w:szCs w:val="24"/>
          <w:highlight w:val="none"/>
        </w:rPr>
        <w:t>承包人（全称）：</w:t>
      </w:r>
      <w:r>
        <w:rPr>
          <w:rFonts w:hint="eastAsia" w:ascii="宋体" w:hAnsi="宋体" w:eastAsia="宋体" w:cs="宋体"/>
          <w:b/>
          <w:color w:val="000000"/>
          <w:sz w:val="24"/>
          <w:szCs w:val="24"/>
          <w:highlight w:val="none"/>
          <w:u w:val="single"/>
        </w:rPr>
        <w:t>                      </w:t>
      </w:r>
    </w:p>
    <w:p w14:paraId="3492F78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根据《中华人民共和国</w:t>
      </w:r>
      <w:r>
        <w:rPr>
          <w:rFonts w:hint="eastAsia" w:ascii="宋体" w:hAnsi="宋体" w:eastAsia="宋体" w:cs="宋体"/>
          <w:color w:val="000000"/>
          <w:sz w:val="24"/>
          <w:szCs w:val="24"/>
          <w:highlight w:val="none"/>
          <w:lang w:eastAsia="zh-CN"/>
        </w:rPr>
        <w:t>民法典</w:t>
      </w:r>
      <w:r>
        <w:rPr>
          <w:rFonts w:hint="eastAsia" w:ascii="宋体" w:hAnsi="宋体" w:eastAsia="宋体" w:cs="宋体"/>
          <w:color w:val="000000"/>
          <w:sz w:val="24"/>
          <w:szCs w:val="24"/>
          <w:highlight w:val="none"/>
        </w:rPr>
        <w:t>》、《中华人民共和国建筑法》及有关法律规定，遵循平等、自愿、公平和诚实信用的原则，双方就</w:t>
      </w:r>
    </w:p>
    <w:p w14:paraId="534079B8">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工程施工及有关事项协商一致，共同达成如下协议：</w:t>
      </w:r>
    </w:p>
    <w:p w14:paraId="4528EFA0">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r>
        <w:rPr>
          <w:rFonts w:hint="eastAsia" w:ascii="宋体" w:hAnsi="宋体" w:eastAsia="宋体" w:cs="宋体"/>
          <w:b w:val="0"/>
          <w:color w:val="000000"/>
          <w:sz w:val="24"/>
          <w:szCs w:val="24"/>
          <w:highlight w:val="none"/>
        </w:rPr>
        <w:t xml:space="preserve"> </w:t>
      </w:r>
      <w:bookmarkStart w:id="464" w:name="_Toc351203481"/>
      <w:r>
        <w:rPr>
          <w:rFonts w:hint="eastAsia" w:ascii="宋体" w:hAnsi="宋体" w:eastAsia="宋体" w:cs="宋体"/>
          <w:b w:val="0"/>
          <w:color w:val="000000"/>
          <w:sz w:val="24"/>
          <w:szCs w:val="24"/>
          <w:highlight w:val="none"/>
        </w:rPr>
        <w:t>一、工程概况</w:t>
      </w:r>
      <w:bookmarkEnd w:id="464"/>
    </w:p>
    <w:p w14:paraId="438F0CFF">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color w:val="000000"/>
          <w:sz w:val="24"/>
          <w:szCs w:val="24"/>
          <w:highlight w:val="none"/>
          <w:u w:val="single"/>
        </w:rPr>
      </w:pPr>
      <w:r>
        <w:rPr>
          <w:rFonts w:hint="eastAsia" w:ascii="宋体" w:hAnsi="宋体" w:eastAsia="宋体" w:cs="宋体"/>
          <w:bCs/>
          <w:color w:val="000000"/>
          <w:sz w:val="24"/>
          <w:szCs w:val="24"/>
          <w:highlight w:val="none"/>
        </w:rPr>
        <w:t>1.工程名称</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w:t>
      </w:r>
    </w:p>
    <w:p w14:paraId="1AE92674">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2.工程地点：</w:t>
      </w:r>
      <w:r>
        <w:rPr>
          <w:rFonts w:hint="eastAsia" w:ascii="宋体" w:hAnsi="宋体" w:eastAsia="宋体" w:cs="宋体"/>
          <w:color w:val="000000"/>
          <w:sz w:val="24"/>
          <w:szCs w:val="24"/>
          <w:highlight w:val="none"/>
          <w:u w:val="single"/>
        </w:rPr>
        <w:t xml:space="preserve">新疆乌鲁木齐市新市区鲤鱼山路137号 </w:t>
      </w:r>
      <w:r>
        <w:rPr>
          <w:rFonts w:hint="eastAsia" w:ascii="宋体" w:hAnsi="宋体" w:eastAsia="宋体" w:cs="宋体"/>
          <w:color w:val="000000"/>
          <w:sz w:val="24"/>
          <w:szCs w:val="24"/>
          <w:highlight w:val="none"/>
        </w:rPr>
        <w:t>。</w:t>
      </w:r>
    </w:p>
    <w:p w14:paraId="5315B4D0">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3.工程立项批准文号：</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 </w:t>
      </w:r>
      <w:r>
        <w:rPr>
          <w:rFonts w:hint="eastAsia" w:ascii="宋体" w:hAnsi="宋体" w:eastAsia="宋体" w:cs="宋体"/>
          <w:bCs/>
          <w:color w:val="000000"/>
          <w:sz w:val="24"/>
          <w:szCs w:val="24"/>
          <w:highlight w:val="none"/>
        </w:rPr>
        <w:t>。</w:t>
      </w:r>
    </w:p>
    <w:p w14:paraId="22974D2E">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4.资金来源：</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自筹</w:t>
      </w:r>
      <w:r>
        <w:rPr>
          <w:rFonts w:hint="eastAsia" w:ascii="宋体" w:hAnsi="宋体" w:eastAsia="宋体" w:cs="宋体"/>
          <w:color w:val="000000"/>
          <w:sz w:val="24"/>
          <w:szCs w:val="24"/>
          <w:highlight w:val="none"/>
          <w:u w:val="single"/>
        </w:rPr>
        <w:t xml:space="preserve">       </w:t>
      </w:r>
      <w:r>
        <w:rPr>
          <w:rFonts w:hint="eastAsia" w:ascii="宋体" w:hAnsi="宋体" w:eastAsia="宋体" w:cs="宋体"/>
          <w:bCs/>
          <w:color w:val="000000"/>
          <w:sz w:val="24"/>
          <w:szCs w:val="24"/>
          <w:highlight w:val="none"/>
        </w:rPr>
        <w:t>。</w:t>
      </w:r>
    </w:p>
    <w:p w14:paraId="3D58DED8">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5.工程内容：</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以甲方现场最终确定项目为准</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bCs/>
          <w:color w:val="000000"/>
          <w:sz w:val="24"/>
          <w:szCs w:val="24"/>
          <w:highlight w:val="none"/>
        </w:rPr>
        <w:t>。</w:t>
      </w:r>
    </w:p>
    <w:p w14:paraId="43A0B451">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群体工程应附《承包人承揽工程项目一览表》（附件1）。</w:t>
      </w:r>
    </w:p>
    <w:p w14:paraId="29C9215C">
      <w:pPr>
        <w:pageBreakBefore w:val="0"/>
        <w:widowControl w:val="0"/>
        <w:kinsoku/>
        <w:wordWrap/>
        <w:overflowPunct/>
        <w:topLinePunct w:val="0"/>
        <w:bidi w:val="0"/>
        <w:snapToGrid/>
        <w:spacing w:line="480" w:lineRule="exact"/>
        <w:ind w:firstLine="470" w:firstLineChars="196"/>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6.工程承包范围：</w:t>
      </w:r>
    </w:p>
    <w:p w14:paraId="23142082">
      <w:pPr>
        <w:pageBreakBefore w:val="0"/>
        <w:widowControl w:val="0"/>
        <w:kinsoku/>
        <w:wordWrap/>
        <w:overflowPunct/>
        <w:topLinePunct w:val="0"/>
        <w:bidi w:val="0"/>
        <w:snapToGrid/>
        <w:spacing w:line="480" w:lineRule="exact"/>
        <w:ind w:firstLine="463" w:firstLineChars="19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w:t>
      </w:r>
    </w:p>
    <w:p w14:paraId="35C8EEE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216C438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7.承包方式：包工、包料、包工期、包质量、包安全、包验收的方式由乙方施工总承包。</w:t>
      </w:r>
    </w:p>
    <w:p w14:paraId="0213D1DA">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   </w:t>
      </w:r>
      <w:bookmarkStart w:id="465" w:name="_Toc351203482"/>
      <w:r>
        <w:rPr>
          <w:rFonts w:hint="eastAsia" w:ascii="宋体" w:hAnsi="宋体" w:eastAsia="宋体" w:cs="宋体"/>
          <w:b w:val="0"/>
          <w:color w:val="000000"/>
          <w:sz w:val="24"/>
          <w:szCs w:val="24"/>
          <w:highlight w:val="none"/>
        </w:rPr>
        <w:t>二、合同工期</w:t>
      </w:r>
      <w:bookmarkEnd w:id="465"/>
    </w:p>
    <w:p w14:paraId="24128C6F">
      <w:pPr>
        <w:pageBreakBefore w:val="0"/>
        <w:widowControl w:val="0"/>
        <w:kinsoku/>
        <w:wordWrap/>
        <w:overflowPunct/>
        <w:topLinePunct w:val="0"/>
        <w:bidi w:val="0"/>
        <w:snapToGrid/>
        <w:spacing w:line="480" w:lineRule="exact"/>
        <w:ind w:firstLine="459"/>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计划开工日期：</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日。</w:t>
      </w:r>
    </w:p>
    <w:p w14:paraId="02F0A6DA">
      <w:pPr>
        <w:pageBreakBefore w:val="0"/>
        <w:widowControl w:val="0"/>
        <w:kinsoku/>
        <w:wordWrap/>
        <w:overflowPunct/>
        <w:topLinePunct w:val="0"/>
        <w:bidi w:val="0"/>
        <w:snapToGrid/>
        <w:spacing w:line="480" w:lineRule="exact"/>
        <w:ind w:firstLine="459"/>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计划竣工日期：</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日。</w:t>
      </w:r>
    </w:p>
    <w:p w14:paraId="2626C7EE">
      <w:pPr>
        <w:pageBreakBefore w:val="0"/>
        <w:widowControl w:val="0"/>
        <w:kinsoku/>
        <w:wordWrap/>
        <w:overflowPunct/>
        <w:topLinePunct w:val="0"/>
        <w:bidi w:val="0"/>
        <w:snapToGrid/>
        <w:spacing w:line="480" w:lineRule="exact"/>
        <w:ind w:firstLine="459"/>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工期总日历天数：</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天。工期总日历天数与根据前述计划开竣工日期计算的工期天数不一致的，以工期总日历天数为准。</w:t>
      </w:r>
      <w:r>
        <w:rPr>
          <w:rFonts w:hint="eastAsia" w:ascii="宋体" w:hAnsi="宋体" w:eastAsia="宋体" w:cs="宋体"/>
          <w:color w:val="000000"/>
          <w:sz w:val="24"/>
          <w:szCs w:val="24"/>
          <w:highlight w:val="none"/>
          <w:lang w:eastAsia="zh-CN"/>
        </w:rPr>
        <w:t>实际开工、竣工日期以甲方通知日期为准。</w:t>
      </w:r>
    </w:p>
    <w:p w14:paraId="65FEAAF8">
      <w:pPr>
        <w:pageBreakBefore w:val="0"/>
        <w:widowControl w:val="0"/>
        <w:kinsoku/>
        <w:wordWrap/>
        <w:overflowPunct/>
        <w:topLinePunct w:val="0"/>
        <w:bidi w:val="0"/>
        <w:snapToGrid/>
        <w:spacing w:line="480" w:lineRule="exact"/>
        <w:ind w:firstLine="459"/>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承包人必须配备充足人员，确保本合同约定的项目在上述期限内全部完工，并达到发包人的验收合格标准。</w:t>
      </w:r>
    </w:p>
    <w:p w14:paraId="7B183653">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bookmarkStart w:id="466" w:name="_Toc351203483"/>
      <w:r>
        <w:rPr>
          <w:rFonts w:hint="eastAsia" w:ascii="宋体" w:hAnsi="宋体" w:eastAsia="宋体" w:cs="宋体"/>
          <w:b w:val="0"/>
          <w:color w:val="000000"/>
          <w:sz w:val="24"/>
          <w:szCs w:val="24"/>
          <w:highlight w:val="none"/>
        </w:rPr>
        <w:t>三、质量标准</w:t>
      </w:r>
      <w:bookmarkEnd w:id="466"/>
    </w:p>
    <w:p w14:paraId="236E2821">
      <w:pPr>
        <w:pageBreakBefore w:val="0"/>
        <w:widowControl w:val="0"/>
        <w:kinsoku/>
        <w:wordWrap/>
        <w:overflowPunct/>
        <w:topLinePunct w:val="0"/>
        <w:bidi w:val="0"/>
        <w:snapToGrid/>
        <w:spacing w:line="480" w:lineRule="exact"/>
        <w:ind w:firstLine="459"/>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工程质量符合</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合格</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标准。必须符合国家现行有关工程施工质量验收规范和标准。</w:t>
      </w:r>
    </w:p>
    <w:p w14:paraId="00A5079B">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r>
        <w:rPr>
          <w:rFonts w:hint="eastAsia" w:ascii="宋体" w:hAnsi="宋体" w:eastAsia="宋体" w:cs="宋体"/>
          <w:b w:val="0"/>
          <w:color w:val="000000"/>
          <w:sz w:val="24"/>
          <w:szCs w:val="24"/>
          <w:highlight w:val="none"/>
        </w:rPr>
        <w:t xml:space="preserve"> </w:t>
      </w:r>
      <w:bookmarkStart w:id="467" w:name="_Toc351203484"/>
      <w:r>
        <w:rPr>
          <w:rFonts w:hint="eastAsia" w:ascii="宋体" w:hAnsi="宋体" w:eastAsia="宋体" w:cs="宋体"/>
          <w:b w:val="0"/>
          <w:color w:val="000000"/>
          <w:sz w:val="24"/>
          <w:szCs w:val="24"/>
          <w:highlight w:val="none"/>
        </w:rPr>
        <w:t>四、签约合同价与合同价格形式</w:t>
      </w:r>
      <w:bookmarkEnd w:id="467"/>
      <w:r>
        <w:rPr>
          <w:rFonts w:hint="eastAsia" w:ascii="宋体" w:hAnsi="宋体" w:eastAsia="宋体" w:cs="宋体"/>
          <w:b w:val="0"/>
          <w:color w:val="000000"/>
          <w:sz w:val="24"/>
          <w:szCs w:val="24"/>
          <w:highlight w:val="none"/>
        </w:rPr>
        <w:tab/>
      </w:r>
    </w:p>
    <w:p w14:paraId="6568332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1.签约合同价为：</w:t>
      </w:r>
    </w:p>
    <w:p w14:paraId="599689AD">
      <w:pPr>
        <w:pageBreakBefore w:val="0"/>
        <w:widowControl w:val="0"/>
        <w:kinsoku/>
        <w:wordWrap/>
        <w:overflowPunct/>
        <w:topLinePunct w:val="0"/>
        <w:bidi w:val="0"/>
        <w:snapToGrid/>
        <w:spacing w:line="480" w:lineRule="exact"/>
        <w:ind w:firstLine="600" w:firstLineChars="2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人民币（大写）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6E0671AF">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其中：</w:t>
      </w:r>
    </w:p>
    <w:p w14:paraId="5DF0287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（1）安全文明施工费：</w:t>
      </w:r>
    </w:p>
    <w:p w14:paraId="38A27F29">
      <w:pPr>
        <w:pageBreakBefore w:val="0"/>
        <w:widowControl w:val="0"/>
        <w:kinsoku/>
        <w:wordWrap/>
        <w:overflowPunct/>
        <w:topLinePunct w:val="0"/>
        <w:bidi w:val="0"/>
        <w:snapToGrid/>
        <w:spacing w:line="480" w:lineRule="exact"/>
        <w:ind w:firstLine="1080" w:firstLine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人民币（大写）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7F1774E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（2）材料和工程设备暂估价金额：</w:t>
      </w:r>
    </w:p>
    <w:p w14:paraId="2F7FCD15">
      <w:pPr>
        <w:pageBreakBefore w:val="0"/>
        <w:widowControl w:val="0"/>
        <w:kinsoku/>
        <w:wordWrap/>
        <w:overflowPunct/>
        <w:topLinePunct w:val="0"/>
        <w:bidi w:val="0"/>
        <w:snapToGrid/>
        <w:spacing w:line="480" w:lineRule="exact"/>
        <w:ind w:firstLine="1080" w:firstLine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人民币（大写）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7D4F21F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（3）专业工程暂估价金额：</w:t>
      </w:r>
    </w:p>
    <w:p w14:paraId="50A575E6">
      <w:pPr>
        <w:pageBreakBefore w:val="0"/>
        <w:widowControl w:val="0"/>
        <w:kinsoku/>
        <w:wordWrap/>
        <w:overflowPunct/>
        <w:topLinePunct w:val="0"/>
        <w:bidi w:val="0"/>
        <w:snapToGrid/>
        <w:spacing w:line="480" w:lineRule="exact"/>
        <w:ind w:firstLine="1080" w:firstLine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人民币（大写）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3E659B7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（4）暂列金额：</w:t>
      </w:r>
    </w:p>
    <w:p w14:paraId="1E51A415">
      <w:pPr>
        <w:pageBreakBefore w:val="0"/>
        <w:widowControl w:val="0"/>
        <w:kinsoku/>
        <w:wordWrap/>
        <w:overflowPunct/>
        <w:topLinePunct w:val="0"/>
        <w:bidi w:val="0"/>
        <w:snapToGrid/>
        <w:spacing w:line="480" w:lineRule="exact"/>
        <w:ind w:firstLine="1080" w:firstLine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人民币（大写）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5928D08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2.合同价格形式：</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w:t>
      </w:r>
    </w:p>
    <w:p w14:paraId="703E2D4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本工程单价、费率一次性包定，工程量按实调整。承包人明确，除该固定单价外，承包人不得以任何理由向发包人主张其他任何费用或款项。</w:t>
      </w:r>
    </w:p>
    <w:p w14:paraId="00F048D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发包人付款前，承包人应提供符合发包人财务做账需求的等额增值税发票，否则发包人有权拒绝付款且不承担违约责任。</w:t>
      </w:r>
    </w:p>
    <w:p w14:paraId="4023228A">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r>
        <w:rPr>
          <w:rFonts w:hint="eastAsia" w:ascii="宋体" w:hAnsi="宋体" w:eastAsia="宋体" w:cs="宋体"/>
          <w:bCs w:val="0"/>
          <w:color w:val="000000"/>
          <w:sz w:val="24"/>
          <w:szCs w:val="24"/>
          <w:highlight w:val="none"/>
        </w:rPr>
        <w:t xml:space="preserve">   </w:t>
      </w:r>
      <w:r>
        <w:rPr>
          <w:rFonts w:hint="eastAsia" w:ascii="宋体" w:hAnsi="宋体" w:eastAsia="宋体" w:cs="宋体"/>
          <w:b w:val="0"/>
          <w:color w:val="000000"/>
          <w:sz w:val="24"/>
          <w:szCs w:val="24"/>
          <w:highlight w:val="none"/>
        </w:rPr>
        <w:t xml:space="preserve"> </w:t>
      </w:r>
      <w:bookmarkStart w:id="468" w:name="_Toc351203485"/>
      <w:r>
        <w:rPr>
          <w:rFonts w:hint="eastAsia" w:ascii="宋体" w:hAnsi="宋体" w:eastAsia="宋体" w:cs="宋体"/>
          <w:b w:val="0"/>
          <w:color w:val="000000"/>
          <w:sz w:val="24"/>
          <w:szCs w:val="24"/>
          <w:highlight w:val="none"/>
        </w:rPr>
        <w:t>五、</w:t>
      </w:r>
      <w:bookmarkEnd w:id="468"/>
      <w:r>
        <w:rPr>
          <w:rFonts w:hint="eastAsia" w:ascii="宋体" w:hAnsi="宋体" w:eastAsia="宋体" w:cs="宋体"/>
          <w:b w:val="0"/>
          <w:color w:val="000000"/>
          <w:sz w:val="24"/>
          <w:szCs w:val="24"/>
          <w:highlight w:val="none"/>
        </w:rPr>
        <w:t>项目经理</w:t>
      </w:r>
    </w:p>
    <w:p w14:paraId="0CBA2ED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承包人项目经理：</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63EE8E34">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r>
        <w:rPr>
          <w:rFonts w:hint="eastAsia" w:ascii="宋体" w:hAnsi="宋体" w:eastAsia="宋体" w:cs="宋体"/>
          <w:b w:val="0"/>
          <w:color w:val="000000"/>
          <w:sz w:val="24"/>
          <w:szCs w:val="24"/>
          <w:highlight w:val="none"/>
        </w:rPr>
        <w:t xml:space="preserve"> </w:t>
      </w:r>
      <w:bookmarkStart w:id="469" w:name="_Toc351203486"/>
      <w:r>
        <w:rPr>
          <w:rFonts w:hint="eastAsia" w:ascii="宋体" w:hAnsi="宋体" w:eastAsia="宋体" w:cs="宋体"/>
          <w:b w:val="0"/>
          <w:color w:val="000000"/>
          <w:sz w:val="24"/>
          <w:szCs w:val="24"/>
          <w:highlight w:val="none"/>
        </w:rPr>
        <w:t>六、合同文件构成</w:t>
      </w:r>
      <w:bookmarkEnd w:id="469"/>
    </w:p>
    <w:p w14:paraId="78814A4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本协议书与下列文件一起构成合同文件：</w:t>
      </w:r>
    </w:p>
    <w:p w14:paraId="1B91BC5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（1）中标通知书（如果有）；</w:t>
      </w:r>
    </w:p>
    <w:p w14:paraId="05D7552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（2）投标函及其附录（如果有）； </w:t>
      </w:r>
    </w:p>
    <w:p w14:paraId="21B86E2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（3）专用合同条款及其附件；</w:t>
      </w:r>
    </w:p>
    <w:p w14:paraId="0DA67F9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（4）通用合同条款；</w:t>
      </w:r>
    </w:p>
    <w:p w14:paraId="55D84FA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（5）技术标准和要求；</w:t>
      </w:r>
    </w:p>
    <w:p w14:paraId="6DB1176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（6）图纸；</w:t>
      </w:r>
    </w:p>
    <w:p w14:paraId="1A0CF39C">
      <w:pPr>
        <w:pageBreakBefore w:val="0"/>
        <w:widowControl w:val="0"/>
        <w:tabs>
          <w:tab w:val="left" w:pos="6591"/>
        </w:tabs>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（7）已标价工程量清单或预算书；</w:t>
      </w:r>
      <w:r>
        <w:rPr>
          <w:rFonts w:hint="eastAsia" w:ascii="宋体" w:hAnsi="宋体" w:eastAsia="宋体" w:cs="宋体"/>
          <w:color w:val="000000"/>
          <w:sz w:val="24"/>
          <w:szCs w:val="24"/>
          <w:highlight w:val="none"/>
          <w:lang w:eastAsia="zh-CN"/>
        </w:rPr>
        <w:tab/>
      </w:r>
    </w:p>
    <w:p w14:paraId="0E0DBCD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（8）其他合同文件。</w:t>
      </w:r>
    </w:p>
    <w:p w14:paraId="12D7D9F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在合同订立及履行过程中形成的与合同有关的文件均构成合同文件组成部分。</w:t>
      </w:r>
    </w:p>
    <w:p w14:paraId="118BBFC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14:paraId="7C130BF7">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   </w:t>
      </w:r>
      <w:r>
        <w:rPr>
          <w:rFonts w:hint="eastAsia" w:ascii="宋体" w:hAnsi="宋体" w:eastAsia="宋体" w:cs="宋体"/>
          <w:b w:val="0"/>
          <w:color w:val="000000"/>
          <w:sz w:val="24"/>
          <w:szCs w:val="24"/>
          <w:highlight w:val="none"/>
        </w:rPr>
        <w:t xml:space="preserve"> </w:t>
      </w:r>
      <w:bookmarkStart w:id="470" w:name="_Toc351203487"/>
      <w:r>
        <w:rPr>
          <w:rFonts w:hint="eastAsia" w:ascii="宋体" w:hAnsi="宋体" w:eastAsia="宋体" w:cs="宋体"/>
          <w:b w:val="0"/>
          <w:color w:val="000000"/>
          <w:sz w:val="24"/>
          <w:szCs w:val="24"/>
          <w:highlight w:val="none"/>
        </w:rPr>
        <w:t>七、承诺</w:t>
      </w:r>
      <w:bookmarkEnd w:id="470"/>
    </w:p>
    <w:p w14:paraId="1C65CEC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1.发包人承诺按照法律规定履行项目审批手续、筹集工程建设资金并按照合同约定的期限和方式支付合同价款。</w:t>
      </w:r>
    </w:p>
    <w:p w14:paraId="29634E4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2.承包人承诺按照法律规定及合同约定组织完成工程施工，确保工程质量和安全，不进行转包及违法分包，并在缺陷责任期及保修期内承担相应的工程维修责任。</w:t>
      </w:r>
    </w:p>
    <w:p w14:paraId="5AF27DB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3.发包人和承包人通过招投标形式签订合同的，双方理解并承诺不再就同一工程另行签订与合同实质性内容相背离的协议。</w:t>
      </w:r>
    </w:p>
    <w:p w14:paraId="45472C7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4.本合同任何一方不得对招标文件确定的事项和中标人投标文件作实质性修改。如任何一方修改均为无效条款，该条款应以招标文件约定为准，招标文件未约定以中标通知书、投标文件为准。</w:t>
      </w:r>
    </w:p>
    <w:p w14:paraId="68195C7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5、承包人承诺对其承包范围内的工程已取得相应的资质等级，不存在超越资质等级承包工程、借用资质承包工程。</w:t>
      </w:r>
    </w:p>
    <w:p w14:paraId="3C2B318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6、承包方需严格按照合同约定工期施工，不得因建设方变更事项延误工期，否则建设方停付一切款项并不承担任何责任。</w:t>
      </w:r>
    </w:p>
    <w:p w14:paraId="17090769">
      <w:pPr>
        <w:pageBreakBefore w:val="0"/>
        <w:widowControl w:val="0"/>
        <w:kinsoku/>
        <w:wordWrap/>
        <w:overflowPunct/>
        <w:topLinePunct w:val="0"/>
        <w:bidi w:val="0"/>
        <w:snapToGrid/>
        <w:spacing w:line="480" w:lineRule="exact"/>
        <w:textAlignment w:val="auto"/>
        <w:rPr>
          <w:rFonts w:hint="eastAsia" w:ascii="宋体" w:hAnsi="宋体" w:eastAsia="宋体" w:cs="宋体"/>
          <w:bCs/>
          <w:color w:val="000000"/>
          <w:sz w:val="24"/>
          <w:szCs w:val="24"/>
          <w:highlight w:val="none"/>
        </w:rPr>
      </w:pPr>
      <w:bookmarkStart w:id="471" w:name="_Toc351203488"/>
      <w:r>
        <w:rPr>
          <w:rFonts w:hint="eastAsia" w:ascii="宋体" w:hAnsi="宋体" w:eastAsia="宋体" w:cs="宋体"/>
          <w:b/>
          <w:color w:val="000000"/>
          <w:sz w:val="24"/>
          <w:szCs w:val="24"/>
          <w:highlight w:val="none"/>
        </w:rPr>
        <w:t xml:space="preserve">    八、词语含义</w:t>
      </w:r>
      <w:bookmarkEnd w:id="471"/>
    </w:p>
    <w:p w14:paraId="2F1BE00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本协议书中词语含义与第二部分通用合同条款中赋予的含义相同。</w:t>
      </w:r>
    </w:p>
    <w:p w14:paraId="0FE54E14">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r>
        <w:rPr>
          <w:rFonts w:hint="eastAsia" w:ascii="宋体" w:hAnsi="宋体" w:eastAsia="宋体" w:cs="宋体"/>
          <w:b w:val="0"/>
          <w:color w:val="000000"/>
          <w:sz w:val="24"/>
          <w:szCs w:val="24"/>
          <w:highlight w:val="none"/>
        </w:rPr>
        <w:t xml:space="preserve">  </w:t>
      </w:r>
      <w:bookmarkStart w:id="472" w:name="_Toc351203489"/>
      <w:r>
        <w:rPr>
          <w:rFonts w:hint="eastAsia" w:ascii="宋体" w:hAnsi="宋体" w:eastAsia="宋体" w:cs="宋体"/>
          <w:b w:val="0"/>
          <w:color w:val="000000"/>
          <w:sz w:val="24"/>
          <w:szCs w:val="24"/>
          <w:highlight w:val="none"/>
        </w:rPr>
        <w:t>九、签订时间</w:t>
      </w:r>
      <w:bookmarkEnd w:id="472"/>
    </w:p>
    <w:p w14:paraId="5DC8C90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本合同于</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年</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月</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日签订。</w:t>
      </w:r>
    </w:p>
    <w:p w14:paraId="5FE393A0">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bookmarkStart w:id="473" w:name="_Toc351203490"/>
      <w:r>
        <w:rPr>
          <w:rFonts w:hint="eastAsia" w:ascii="宋体" w:hAnsi="宋体" w:eastAsia="宋体" w:cs="宋体"/>
          <w:b w:val="0"/>
          <w:color w:val="000000"/>
          <w:sz w:val="24"/>
          <w:szCs w:val="24"/>
          <w:highlight w:val="none"/>
        </w:rPr>
        <w:t>十、签订地点</w:t>
      </w:r>
      <w:bookmarkEnd w:id="473"/>
    </w:p>
    <w:p w14:paraId="76D57EA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本合同在</w:t>
      </w:r>
      <w:r>
        <w:rPr>
          <w:rFonts w:hint="eastAsia" w:ascii="宋体" w:hAnsi="宋体" w:eastAsia="宋体" w:cs="宋体"/>
          <w:bCs/>
          <w:color w:val="000000"/>
          <w:sz w:val="24"/>
          <w:szCs w:val="24"/>
          <w:highlight w:val="none"/>
          <w:u w:val="single"/>
        </w:rPr>
        <w:t xml:space="preserve">    新疆医科大学第一附属医院      </w:t>
      </w:r>
      <w:r>
        <w:rPr>
          <w:rFonts w:hint="eastAsia" w:ascii="宋体" w:hAnsi="宋体" w:eastAsia="宋体" w:cs="宋体"/>
          <w:bCs/>
          <w:color w:val="000000"/>
          <w:sz w:val="24"/>
          <w:szCs w:val="24"/>
          <w:highlight w:val="none"/>
        </w:rPr>
        <w:t>签订。</w:t>
      </w:r>
    </w:p>
    <w:p w14:paraId="3F756144">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bookmarkStart w:id="474" w:name="_Toc351203491"/>
      <w:r>
        <w:rPr>
          <w:rFonts w:hint="eastAsia" w:ascii="宋体" w:hAnsi="宋体" w:eastAsia="宋体" w:cs="宋体"/>
          <w:b w:val="0"/>
          <w:color w:val="000000"/>
          <w:sz w:val="24"/>
          <w:szCs w:val="24"/>
          <w:highlight w:val="none"/>
        </w:rPr>
        <w:t>十一、补充协议</w:t>
      </w:r>
      <w:bookmarkEnd w:id="474"/>
    </w:p>
    <w:p w14:paraId="29A528D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Cs/>
          <w:color w:val="000000"/>
          <w:sz w:val="24"/>
          <w:szCs w:val="24"/>
          <w:highlight w:val="none"/>
        </w:rPr>
        <w:t>合同未尽事宜，合同当事人另行签订补充协议，补充协议是合同的组成部分。</w:t>
      </w:r>
    </w:p>
    <w:p w14:paraId="3966BD3B">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bookmarkStart w:id="475" w:name="_Toc351203492"/>
      <w:r>
        <w:rPr>
          <w:rFonts w:hint="eastAsia" w:ascii="宋体" w:hAnsi="宋体" w:eastAsia="宋体" w:cs="宋体"/>
          <w:b w:val="0"/>
          <w:color w:val="000000"/>
          <w:sz w:val="24"/>
          <w:szCs w:val="24"/>
          <w:highlight w:val="none"/>
        </w:rPr>
        <w:t>十二、合同生效</w:t>
      </w:r>
      <w:bookmarkEnd w:id="475"/>
    </w:p>
    <w:p w14:paraId="5D9172D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本合同自</w:t>
      </w:r>
      <w:r>
        <w:rPr>
          <w:rFonts w:hint="eastAsia" w:ascii="宋体" w:hAnsi="宋体" w:eastAsia="宋体" w:cs="宋体"/>
          <w:bCs/>
          <w:color w:val="000000"/>
          <w:sz w:val="24"/>
          <w:szCs w:val="24"/>
          <w:highlight w:val="none"/>
          <w:u w:val="single"/>
        </w:rPr>
        <w:t xml:space="preserve">      双方法定代表人或授权代表签字盖章       </w:t>
      </w:r>
      <w:r>
        <w:rPr>
          <w:rFonts w:hint="eastAsia" w:ascii="宋体" w:hAnsi="宋体" w:eastAsia="宋体" w:cs="宋体"/>
          <w:bCs/>
          <w:color w:val="000000"/>
          <w:sz w:val="24"/>
          <w:szCs w:val="24"/>
          <w:highlight w:val="none"/>
        </w:rPr>
        <w:t>生效。</w:t>
      </w:r>
    </w:p>
    <w:p w14:paraId="17BA8EE3">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 xml:space="preserve">    </w:t>
      </w:r>
      <w:bookmarkStart w:id="476" w:name="_Toc351203493"/>
      <w:r>
        <w:rPr>
          <w:rFonts w:hint="eastAsia" w:ascii="宋体" w:hAnsi="宋体" w:eastAsia="宋体" w:cs="宋体"/>
          <w:b w:val="0"/>
          <w:color w:val="000000"/>
          <w:sz w:val="24"/>
          <w:szCs w:val="24"/>
          <w:highlight w:val="none"/>
        </w:rPr>
        <w:t>十三、合同份数</w:t>
      </w:r>
      <w:bookmarkEnd w:id="476"/>
    </w:p>
    <w:p w14:paraId="396832F9">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4"/>
          <w:szCs w:val="24"/>
          <w:highlight w:val="none"/>
        </w:rPr>
        <w:t>本合同一式</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u w:val="single"/>
          <w:lang w:eastAsia="zh-CN"/>
        </w:rPr>
        <w:t>捌</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份，均具有同等法律效力，发包人执</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u w:val="single"/>
          <w:lang w:eastAsia="zh-CN"/>
        </w:rPr>
        <w:t>肆</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份，承包人执</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u w:val="single"/>
          <w:lang w:eastAsia="zh-CN"/>
        </w:rPr>
        <w:t>肆</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份。</w:t>
      </w:r>
    </w:p>
    <w:p w14:paraId="3102A933">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r>
        <w:rPr>
          <w:rFonts w:hint="eastAsia" w:ascii="宋体" w:hAnsi="宋体" w:eastAsia="宋体" w:cs="宋体"/>
          <w:sz w:val="21"/>
          <w:szCs w:val="21"/>
        </w:rPr>
        <mc:AlternateContent>
          <mc:Choice Requires="wps">
            <w:drawing>
              <wp:anchor distT="0" distB="0" distL="114300" distR="114300" simplePos="0" relativeHeight="251668480" behindDoc="0" locked="0" layoutInCell="1" allowOverlap="1">
                <wp:simplePos x="0" y="0"/>
                <wp:positionH relativeFrom="column">
                  <wp:posOffset>2428875</wp:posOffset>
                </wp:positionH>
                <wp:positionV relativeFrom="paragraph">
                  <wp:posOffset>119380</wp:posOffset>
                </wp:positionV>
                <wp:extent cx="3220720" cy="6924675"/>
                <wp:effectExtent l="0" t="0" r="10160" b="9525"/>
                <wp:wrapNone/>
                <wp:docPr id="12" name="文本框 12"/>
                <wp:cNvGraphicFramePr/>
                <a:graphic xmlns:a="http://schemas.openxmlformats.org/drawingml/2006/main">
                  <a:graphicData uri="http://schemas.microsoft.com/office/word/2010/wordprocessingShape">
                    <wps:wsp>
                      <wps:cNvSpPr txBox="1"/>
                      <wps:spPr>
                        <a:xfrm>
                          <a:off x="0" y="0"/>
                          <a:ext cx="3220720" cy="6924675"/>
                        </a:xfrm>
                        <a:prstGeom prst="rect">
                          <a:avLst/>
                        </a:prstGeom>
                        <a:solidFill>
                          <a:srgbClr val="FFFFFF"/>
                        </a:solidFill>
                        <a:ln w="6350">
                          <a:noFill/>
                        </a:ln>
                        <a:effectLst/>
                      </wps:spPr>
                      <wps:txbx>
                        <w:txbxContent>
                          <w:p w14:paraId="0E58EDD5">
                            <w:pPr>
                              <w:spacing w:line="360" w:lineRule="auto"/>
                              <w:rPr>
                                <w:rFonts w:hint="eastAsia" w:ascii="宋体" w:hAnsi="宋体" w:eastAsia="宋体" w:cs="宋体"/>
                                <w:sz w:val="21"/>
                                <w:szCs w:val="21"/>
                                <w:u w:val="none"/>
                              </w:rPr>
                            </w:pPr>
                            <w:r>
                              <w:rPr>
                                <w:rFonts w:hint="eastAsia" w:ascii="宋体" w:hAnsi="宋体" w:eastAsia="宋体" w:cs="宋体"/>
                                <w:sz w:val="21"/>
                                <w:szCs w:val="21"/>
                                <w:u w:val="none"/>
                              </w:rPr>
                              <w:t>承包人：  (公章)</w:t>
                            </w:r>
                          </w:p>
                          <w:p w14:paraId="33D09C1A">
                            <w:pPr>
                              <w:spacing w:line="360" w:lineRule="auto"/>
                              <w:rPr>
                                <w:rFonts w:hint="eastAsia" w:ascii="宋体" w:hAnsi="宋体" w:eastAsia="宋体" w:cs="宋体"/>
                                <w:sz w:val="21"/>
                                <w:szCs w:val="21"/>
                                <w:u w:val="single"/>
                              </w:rPr>
                            </w:pPr>
                          </w:p>
                          <w:p w14:paraId="47F75995">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3AD9317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（签字）</w:t>
                            </w:r>
                          </w:p>
                          <w:p w14:paraId="6F27AEE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组织机构代码：                  </w:t>
                            </w:r>
                          </w:p>
                          <w:p w14:paraId="3046D10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地址：                          </w:t>
                            </w:r>
                          </w:p>
                          <w:p w14:paraId="66B44275">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14:paraId="4E93986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 </w:t>
                            </w:r>
                          </w:p>
                          <w:p w14:paraId="4BA137B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4F5D1A39">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6543EE2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  话：            </w:t>
                            </w:r>
                          </w:p>
                          <w:p w14:paraId="79FDF16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            </w:t>
                            </w:r>
                          </w:p>
                          <w:p w14:paraId="1D03B7D4">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04BBED4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开户银行：                         </w:t>
                            </w:r>
                          </w:p>
                          <w:p w14:paraId="1ECE927F">
                            <w:pPr>
                              <w:spacing w:line="360" w:lineRule="auto"/>
                              <w:rPr>
                                <w:rFonts w:hint="eastAsia" w:ascii="宋体" w:hAnsi="宋体" w:eastAsia="宋体" w:cs="宋体"/>
                                <w:sz w:val="21"/>
                                <w:szCs w:val="21"/>
                                <w:u w:val="single"/>
                              </w:rPr>
                            </w:pPr>
                            <w:r>
                              <w:rPr>
                                <w:rFonts w:hint="eastAsia" w:ascii="方正仿宋_GB2312" w:hAnsi="方正仿宋_GB2312" w:eastAsia="方正仿宋_GB2312" w:cs="方正仿宋_GB2312"/>
                                <w:sz w:val="21"/>
                                <w:szCs w:val="21"/>
                                <w:u w:val="single"/>
                              </w:rPr>
                              <w:t xml:space="preserve">  </w:t>
                            </w:r>
                            <w:r>
                              <w:rPr>
                                <w:rFonts w:hint="eastAsia" w:ascii="宋体" w:hAnsi="宋体" w:eastAsia="宋体" w:cs="宋体"/>
                                <w:sz w:val="21"/>
                                <w:szCs w:val="21"/>
                                <w:u w:val="single"/>
                              </w:rPr>
                              <w:t xml:space="preserve">                                </w:t>
                            </w:r>
                          </w:p>
                          <w:p w14:paraId="4CC0050F">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账  号：                          </w:t>
                            </w:r>
                          </w:p>
                          <w:p w14:paraId="41B563E9">
                            <w:pPr>
                              <w:spacing w:line="360" w:lineRule="auto"/>
                              <w:rPr>
                                <w:rFonts w:hint="eastAsia" w:ascii="方正仿宋_GB2312" w:hAnsi="方正仿宋_GB2312" w:eastAsia="方正仿宋_GB2312" w:cs="方正仿宋_GB2312"/>
                                <w:sz w:val="21"/>
                                <w:szCs w:val="21"/>
                                <w:u w:val="single"/>
                              </w:rPr>
                            </w:pPr>
                          </w:p>
                        </w:txbxContent>
                      </wps:txbx>
                      <wps:bodyPr upright="1"/>
                    </wps:wsp>
                  </a:graphicData>
                </a:graphic>
              </wp:anchor>
            </w:drawing>
          </mc:Choice>
          <mc:Fallback>
            <w:pict>
              <v:shape id="_x0000_s1026" o:spid="_x0000_s1026" o:spt="202" type="#_x0000_t202" style="position:absolute;left:0pt;margin-left:191.25pt;margin-top:9.4pt;height:545.25pt;width:253.6pt;z-index:251668480;mso-width-relative:page;mso-height-relative:page;" fillcolor="#FFFFFF" filled="t" stroked="f" coordsize="21600,21600" o:gfxdata="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Qx3rWAAAACwEAAA8AAAAAAAAAAQAgAAAAIgAAAGRy&#10;cy9kb3ducmV2LnhtbFBLAQIUABQAAAAIAIdO4kBNa/wJzgEAAJEDAAAOAAAAAAAAAAEAIAAAACUB&#10;AABkcnMvZTJvRG9jLnhtbFBLBQYAAAAABgAGAFkBAABlBQAAAAA=&#10;">
                <v:fill on="t" focussize="0,0"/>
                <v:stroke on="f" weight="0.5pt"/>
                <v:imagedata o:title=""/>
                <o:lock v:ext="edit" aspectratio="f"/>
                <v:textbox>
                  <w:txbxContent>
                    <w:p w14:paraId="0E58EDD5">
                      <w:pPr>
                        <w:spacing w:line="360" w:lineRule="auto"/>
                        <w:rPr>
                          <w:rFonts w:hint="eastAsia" w:ascii="宋体" w:hAnsi="宋体" w:eastAsia="宋体" w:cs="宋体"/>
                          <w:sz w:val="21"/>
                          <w:szCs w:val="21"/>
                          <w:u w:val="none"/>
                        </w:rPr>
                      </w:pPr>
                      <w:r>
                        <w:rPr>
                          <w:rFonts w:hint="eastAsia" w:ascii="宋体" w:hAnsi="宋体" w:eastAsia="宋体" w:cs="宋体"/>
                          <w:sz w:val="21"/>
                          <w:szCs w:val="21"/>
                          <w:u w:val="none"/>
                        </w:rPr>
                        <w:t>承包人：  (公章)</w:t>
                      </w:r>
                    </w:p>
                    <w:p w14:paraId="33D09C1A">
                      <w:pPr>
                        <w:spacing w:line="360" w:lineRule="auto"/>
                        <w:rPr>
                          <w:rFonts w:hint="eastAsia" w:ascii="宋体" w:hAnsi="宋体" w:eastAsia="宋体" w:cs="宋体"/>
                          <w:sz w:val="21"/>
                          <w:szCs w:val="21"/>
                          <w:u w:val="single"/>
                        </w:rPr>
                      </w:pPr>
                    </w:p>
                    <w:p w14:paraId="47F75995">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3AD9317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（签字）</w:t>
                      </w:r>
                    </w:p>
                    <w:p w14:paraId="6F27AEE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组织机构代码：                  </w:t>
                      </w:r>
                    </w:p>
                    <w:p w14:paraId="3046D10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地址：                          </w:t>
                      </w:r>
                    </w:p>
                    <w:p w14:paraId="66B44275">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14:paraId="4E93986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 </w:t>
                      </w:r>
                    </w:p>
                    <w:p w14:paraId="4BA137B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4F5D1A39">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6543EE2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  话：            </w:t>
                      </w:r>
                    </w:p>
                    <w:p w14:paraId="79FDF16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            </w:t>
                      </w:r>
                    </w:p>
                    <w:p w14:paraId="1D03B7D4">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04BBED4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开户银行：                         </w:t>
                      </w:r>
                    </w:p>
                    <w:p w14:paraId="1ECE927F">
                      <w:pPr>
                        <w:spacing w:line="360" w:lineRule="auto"/>
                        <w:rPr>
                          <w:rFonts w:hint="eastAsia" w:ascii="宋体" w:hAnsi="宋体" w:eastAsia="宋体" w:cs="宋体"/>
                          <w:sz w:val="21"/>
                          <w:szCs w:val="21"/>
                          <w:u w:val="single"/>
                        </w:rPr>
                      </w:pPr>
                      <w:r>
                        <w:rPr>
                          <w:rFonts w:hint="eastAsia" w:ascii="方正仿宋_GB2312" w:hAnsi="方正仿宋_GB2312" w:eastAsia="方正仿宋_GB2312" w:cs="方正仿宋_GB2312"/>
                          <w:sz w:val="21"/>
                          <w:szCs w:val="21"/>
                          <w:u w:val="single"/>
                        </w:rPr>
                        <w:t xml:space="preserve">  </w:t>
                      </w:r>
                      <w:r>
                        <w:rPr>
                          <w:rFonts w:hint="eastAsia" w:ascii="宋体" w:hAnsi="宋体" w:eastAsia="宋体" w:cs="宋体"/>
                          <w:sz w:val="21"/>
                          <w:szCs w:val="21"/>
                          <w:u w:val="single"/>
                        </w:rPr>
                        <w:t xml:space="preserve">                                </w:t>
                      </w:r>
                    </w:p>
                    <w:p w14:paraId="4CC0050F">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账  号：                          </w:t>
                      </w:r>
                    </w:p>
                    <w:p w14:paraId="41B563E9">
                      <w:pPr>
                        <w:spacing w:line="360" w:lineRule="auto"/>
                        <w:rPr>
                          <w:rFonts w:hint="eastAsia" w:ascii="方正仿宋_GB2312" w:hAnsi="方正仿宋_GB2312" w:eastAsia="方正仿宋_GB2312" w:cs="方正仿宋_GB2312"/>
                          <w:sz w:val="21"/>
                          <w:szCs w:val="21"/>
                          <w:u w:val="single"/>
                        </w:rPr>
                      </w:pP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7456" behindDoc="0" locked="0" layoutInCell="1" allowOverlap="1">
                <wp:simplePos x="0" y="0"/>
                <wp:positionH relativeFrom="column">
                  <wp:posOffset>-733425</wp:posOffset>
                </wp:positionH>
                <wp:positionV relativeFrom="paragraph">
                  <wp:posOffset>170180</wp:posOffset>
                </wp:positionV>
                <wp:extent cx="3115310" cy="7105650"/>
                <wp:effectExtent l="0" t="0" r="8890" b="11430"/>
                <wp:wrapNone/>
                <wp:docPr id="10" name="文本框 10"/>
                <wp:cNvGraphicFramePr/>
                <a:graphic xmlns:a="http://schemas.openxmlformats.org/drawingml/2006/main">
                  <a:graphicData uri="http://schemas.microsoft.com/office/word/2010/wordprocessingShape">
                    <wps:wsp>
                      <wps:cNvSpPr txBox="1"/>
                      <wps:spPr>
                        <a:xfrm>
                          <a:off x="0" y="0"/>
                          <a:ext cx="3115310" cy="7105650"/>
                        </a:xfrm>
                        <a:prstGeom prst="rect">
                          <a:avLst/>
                        </a:prstGeom>
                        <a:solidFill>
                          <a:srgbClr val="FFFFFF"/>
                        </a:solidFill>
                        <a:ln w="6350">
                          <a:noFill/>
                        </a:ln>
                        <a:effectLst/>
                      </wps:spPr>
                      <wps:txbx>
                        <w:txbxContent>
                          <w:p w14:paraId="1551B20C">
                            <w:pPr>
                              <w:spacing w:line="360" w:lineRule="auto"/>
                              <w:rPr>
                                <w:rFonts w:hint="eastAsia" w:ascii="宋体" w:hAnsi="宋体" w:eastAsia="宋体" w:cs="宋体"/>
                                <w:sz w:val="21"/>
                                <w:szCs w:val="21"/>
                                <w:u w:val="none"/>
                              </w:rPr>
                            </w:pPr>
                            <w:r>
                              <w:rPr>
                                <w:rFonts w:hint="eastAsia" w:ascii="宋体" w:hAnsi="宋体" w:eastAsia="宋体" w:cs="宋体"/>
                                <w:sz w:val="21"/>
                                <w:szCs w:val="21"/>
                                <w:u w:val="none"/>
                                <w:lang w:eastAsia="zh-CN"/>
                              </w:rPr>
                              <w:t>发</w:t>
                            </w:r>
                            <w:r>
                              <w:rPr>
                                <w:rFonts w:hint="eastAsia" w:ascii="宋体" w:hAnsi="宋体" w:eastAsia="宋体" w:cs="宋体"/>
                                <w:sz w:val="21"/>
                                <w:szCs w:val="21"/>
                                <w:u w:val="none"/>
                              </w:rPr>
                              <w:t>包人：  (公章)</w:t>
                            </w:r>
                          </w:p>
                          <w:p w14:paraId="6A5172FF">
                            <w:pPr>
                              <w:spacing w:line="360" w:lineRule="auto"/>
                              <w:rPr>
                                <w:rFonts w:hint="eastAsia" w:ascii="宋体" w:hAnsi="宋体" w:eastAsia="宋体" w:cs="宋体"/>
                                <w:sz w:val="21"/>
                                <w:szCs w:val="21"/>
                                <w:u w:val="single"/>
                              </w:rPr>
                            </w:pPr>
                          </w:p>
                          <w:p w14:paraId="4594F67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66277200">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（签字） </w:t>
                            </w:r>
                          </w:p>
                          <w:p w14:paraId="63BCD92B">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组织机构代码：126500004576015514</w:t>
                            </w:r>
                          </w:p>
                          <w:p w14:paraId="6A52CE9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  址：新疆乌鲁木齐市新市    </w:t>
                            </w:r>
                          </w:p>
                          <w:p w14:paraId="5AB2950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区鲤鱼山南路137号          </w:t>
                            </w:r>
                          </w:p>
                          <w:p w14:paraId="00F2886E">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830011      </w:t>
                            </w:r>
                          </w:p>
                          <w:p w14:paraId="084E7675">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1E0EC54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1C9BC29D">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  话：    </w:t>
                            </w:r>
                          </w:p>
                          <w:p w14:paraId="4DFC368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真：0991-4366180   </w:t>
                            </w:r>
                          </w:p>
                          <w:p w14:paraId="281FDA68">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402E25CD">
                            <w:pPr>
                              <w:spacing w:line="360" w:lineRule="auto"/>
                              <w:rPr>
                                <w:rFonts w:hint="eastAsia" w:ascii="方正仿宋_GB2312" w:hAnsi="方正仿宋_GB2312" w:eastAsia="方正仿宋_GB2312" w:cs="方正仿宋_GB2312"/>
                                <w:sz w:val="21"/>
                                <w:szCs w:val="21"/>
                                <w:u w:val="single"/>
                              </w:rPr>
                            </w:pPr>
                            <w:r>
                              <w:rPr>
                                <w:rFonts w:hint="eastAsia" w:ascii="宋体" w:hAnsi="宋体" w:eastAsia="宋体" w:cs="宋体"/>
                                <w:sz w:val="21"/>
                                <w:szCs w:val="21"/>
                                <w:u w:val="single"/>
                              </w:rPr>
                              <w:t xml:space="preserve">开户银行：交通银行新疆维 </w:t>
                            </w:r>
                            <w:r>
                              <w:rPr>
                                <w:rFonts w:hint="eastAsia" w:ascii="方正仿宋_GB2312" w:hAnsi="方正仿宋_GB2312" w:eastAsia="方正仿宋_GB2312" w:cs="方正仿宋_GB2312"/>
                                <w:sz w:val="21"/>
                                <w:szCs w:val="21"/>
                                <w:u w:val="single"/>
                              </w:rPr>
                              <w:t xml:space="preserve">  </w:t>
                            </w:r>
                          </w:p>
                          <w:p w14:paraId="04B278F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吾尔自治区分行营业部      </w:t>
                            </w:r>
                          </w:p>
                          <w:p w14:paraId="3D229E4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账号：651100850012015082736 </w:t>
                            </w:r>
                          </w:p>
                        </w:txbxContent>
                      </wps:txbx>
                      <wps:bodyPr upright="1"/>
                    </wps:wsp>
                  </a:graphicData>
                </a:graphic>
              </wp:anchor>
            </w:drawing>
          </mc:Choice>
          <mc:Fallback>
            <w:pict>
              <v:shape id="_x0000_s1026" o:spid="_x0000_s1026" o:spt="202" type="#_x0000_t202" style="position:absolute;left:0pt;margin-left:-57.75pt;margin-top:13.4pt;height:559.5pt;width:245.3pt;z-index:251667456;mso-width-relative:page;mso-height-relative:page;" fillcolor="#FFFFFF" filled="t" stroked="f" coordsize="21600,21600" o:gfxdata="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X3Z4dcAAAAMAQAADwAAAAAAAAABACAAAAAiAAAA&#10;ZHJzL2Rvd25yZXYueG1sUEsBAhQAFAAAAAgAh07iQKfDm4DPAQAAkQMAAA4AAAAAAAAAAQAgAAAA&#10;JgEAAGRycy9lMm9Eb2MueG1sUEsFBgAAAAAGAAYAWQEAAGcFAAAAAA==&#10;">
                <v:fill on="t" focussize="0,0"/>
                <v:stroke on="f" weight="0.5pt"/>
                <v:imagedata o:title=""/>
                <o:lock v:ext="edit" aspectratio="f"/>
                <v:textbox>
                  <w:txbxContent>
                    <w:p w14:paraId="1551B20C">
                      <w:pPr>
                        <w:spacing w:line="360" w:lineRule="auto"/>
                        <w:rPr>
                          <w:rFonts w:hint="eastAsia" w:ascii="宋体" w:hAnsi="宋体" w:eastAsia="宋体" w:cs="宋体"/>
                          <w:sz w:val="21"/>
                          <w:szCs w:val="21"/>
                          <w:u w:val="none"/>
                        </w:rPr>
                      </w:pPr>
                      <w:r>
                        <w:rPr>
                          <w:rFonts w:hint="eastAsia" w:ascii="宋体" w:hAnsi="宋体" w:eastAsia="宋体" w:cs="宋体"/>
                          <w:sz w:val="21"/>
                          <w:szCs w:val="21"/>
                          <w:u w:val="none"/>
                          <w:lang w:eastAsia="zh-CN"/>
                        </w:rPr>
                        <w:t>发</w:t>
                      </w:r>
                      <w:r>
                        <w:rPr>
                          <w:rFonts w:hint="eastAsia" w:ascii="宋体" w:hAnsi="宋体" w:eastAsia="宋体" w:cs="宋体"/>
                          <w:sz w:val="21"/>
                          <w:szCs w:val="21"/>
                          <w:u w:val="none"/>
                        </w:rPr>
                        <w:t>包人：  (公章)</w:t>
                      </w:r>
                    </w:p>
                    <w:p w14:paraId="6A5172FF">
                      <w:pPr>
                        <w:spacing w:line="360" w:lineRule="auto"/>
                        <w:rPr>
                          <w:rFonts w:hint="eastAsia" w:ascii="宋体" w:hAnsi="宋体" w:eastAsia="宋体" w:cs="宋体"/>
                          <w:sz w:val="21"/>
                          <w:szCs w:val="21"/>
                          <w:u w:val="single"/>
                        </w:rPr>
                      </w:pPr>
                    </w:p>
                    <w:p w14:paraId="4594F67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66277200">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（签字） </w:t>
                      </w:r>
                    </w:p>
                    <w:p w14:paraId="63BCD92B">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组织机构代码：126500004576015514</w:t>
                      </w:r>
                    </w:p>
                    <w:p w14:paraId="6A52CE9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  址：新疆乌鲁木齐市新市    </w:t>
                      </w:r>
                    </w:p>
                    <w:p w14:paraId="5AB2950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区鲤鱼山南路137号          </w:t>
                      </w:r>
                    </w:p>
                    <w:p w14:paraId="00F2886E">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830011      </w:t>
                      </w:r>
                    </w:p>
                    <w:p w14:paraId="084E7675">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1E0EC54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1C9BC29D">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  话：    </w:t>
                      </w:r>
                    </w:p>
                    <w:p w14:paraId="4DFC368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真：0991-4366180   </w:t>
                      </w:r>
                    </w:p>
                    <w:p w14:paraId="281FDA68">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402E25CD">
                      <w:pPr>
                        <w:spacing w:line="360" w:lineRule="auto"/>
                        <w:rPr>
                          <w:rFonts w:hint="eastAsia" w:ascii="方正仿宋_GB2312" w:hAnsi="方正仿宋_GB2312" w:eastAsia="方正仿宋_GB2312" w:cs="方正仿宋_GB2312"/>
                          <w:sz w:val="21"/>
                          <w:szCs w:val="21"/>
                          <w:u w:val="single"/>
                        </w:rPr>
                      </w:pPr>
                      <w:r>
                        <w:rPr>
                          <w:rFonts w:hint="eastAsia" w:ascii="宋体" w:hAnsi="宋体" w:eastAsia="宋体" w:cs="宋体"/>
                          <w:sz w:val="21"/>
                          <w:szCs w:val="21"/>
                          <w:u w:val="single"/>
                        </w:rPr>
                        <w:t xml:space="preserve">开户银行：交通银行新疆维 </w:t>
                      </w:r>
                      <w:r>
                        <w:rPr>
                          <w:rFonts w:hint="eastAsia" w:ascii="方正仿宋_GB2312" w:hAnsi="方正仿宋_GB2312" w:eastAsia="方正仿宋_GB2312" w:cs="方正仿宋_GB2312"/>
                          <w:sz w:val="21"/>
                          <w:szCs w:val="21"/>
                          <w:u w:val="single"/>
                        </w:rPr>
                        <w:t xml:space="preserve">  </w:t>
                      </w:r>
                    </w:p>
                    <w:p w14:paraId="04B278F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吾尔自治区分行营业部      </w:t>
                      </w:r>
                    </w:p>
                    <w:p w14:paraId="3D229E4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账号：651100850012015082736 </w:t>
                      </w:r>
                    </w:p>
                  </w:txbxContent>
                </v:textbox>
              </v:shape>
            </w:pict>
          </mc:Fallback>
        </mc:AlternateContent>
      </w:r>
    </w:p>
    <w:p w14:paraId="76C141C4">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3E77EECE">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3DC5F79D">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33DD3A3E">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68FC8EAE">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50122D2A">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2CA69D4C">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04C37A10">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3F31CF57">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424E2575">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5ED8DE7D">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5379232A">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77D78FCE">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66BE0A91">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765D3A44">
      <w:pPr>
        <w:pStyle w:val="7"/>
        <w:pageBreakBefore w:val="0"/>
        <w:widowControl w:val="0"/>
        <w:kinsoku/>
        <w:wordWrap/>
        <w:overflowPunct/>
        <w:topLinePunct w:val="0"/>
        <w:bidi w:val="0"/>
        <w:snapToGrid/>
        <w:spacing w:before="120" w:after="120" w:line="480" w:lineRule="exact"/>
        <w:jc w:val="center"/>
        <w:textAlignment w:val="auto"/>
        <w:rPr>
          <w:rFonts w:hint="eastAsia" w:ascii="宋体" w:hAnsi="宋体" w:eastAsia="宋体" w:cs="宋体"/>
          <w:b w:val="0"/>
          <w:color w:val="000000"/>
          <w:sz w:val="24"/>
          <w:szCs w:val="24"/>
          <w:highlight w:val="none"/>
        </w:rPr>
      </w:pPr>
      <w:bookmarkStart w:id="477" w:name="_Toc337558727"/>
      <w:bookmarkStart w:id="478" w:name="_Toc351203495"/>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w:t>
      </w:r>
      <w:r>
        <w:rPr>
          <w:rFonts w:hint="eastAsia" w:ascii="宋体" w:hAnsi="宋体" w:eastAsia="宋体" w:cs="宋体"/>
          <w:sz w:val="24"/>
          <w:szCs w:val="24"/>
          <w:highlight w:val="none"/>
          <w:lang w:val="en-US" w:eastAsia="zh-CN"/>
        </w:rPr>
        <w:t xml:space="preserve"> 通用</w:t>
      </w:r>
      <w:r>
        <w:rPr>
          <w:rFonts w:hint="eastAsia" w:ascii="宋体" w:hAnsi="宋体" w:eastAsia="宋体" w:cs="宋体"/>
          <w:sz w:val="24"/>
          <w:szCs w:val="24"/>
          <w:highlight w:val="none"/>
        </w:rPr>
        <w:t>条款</w:t>
      </w:r>
    </w:p>
    <w:p w14:paraId="3A055FE0">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w:t>
      </w:r>
      <w:bookmarkStart w:id="479" w:name="_Toc303538976"/>
      <w:bookmarkEnd w:id="479"/>
      <w:bookmarkStart w:id="480" w:name="_Toc303538972"/>
      <w:bookmarkEnd w:id="480"/>
      <w:bookmarkStart w:id="481" w:name="_Toc303538973"/>
      <w:bookmarkEnd w:id="481"/>
      <w:bookmarkStart w:id="482" w:name="_Toc303538975"/>
      <w:bookmarkEnd w:id="482"/>
      <w:bookmarkStart w:id="483" w:name="_Toc303538974"/>
      <w:bookmarkEnd w:id="483"/>
      <w:bookmarkStart w:id="484" w:name="_Toc296503027"/>
      <w:bookmarkStart w:id="485" w:name="_Toc296346528"/>
      <w:r>
        <w:rPr>
          <w:rFonts w:hint="eastAsia" w:ascii="宋体" w:hAnsi="宋体" w:eastAsia="宋体" w:cs="宋体"/>
          <w:b w:val="0"/>
          <w:color w:val="000000"/>
          <w:sz w:val="24"/>
          <w:szCs w:val="24"/>
          <w:highlight w:val="none"/>
        </w:rPr>
        <w:t xml:space="preserve"> 一般约定</w:t>
      </w:r>
      <w:bookmarkEnd w:id="477"/>
      <w:bookmarkEnd w:id="478"/>
      <w:bookmarkEnd w:id="484"/>
      <w:bookmarkEnd w:id="485"/>
    </w:p>
    <w:p w14:paraId="62127C86">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486" w:name="_Toc296503028"/>
      <w:bookmarkStart w:id="487" w:name="_Toc296346529"/>
      <w:bookmarkStart w:id="488" w:name="_Toc337558728"/>
      <w:bookmarkStart w:id="489" w:name="_Toc351203496"/>
      <w:r>
        <w:rPr>
          <w:rFonts w:hint="eastAsia" w:ascii="宋体" w:hAnsi="宋体" w:eastAsia="宋体" w:cs="宋体"/>
          <w:b w:val="0"/>
          <w:color w:val="000000"/>
          <w:sz w:val="24"/>
          <w:szCs w:val="24"/>
          <w:highlight w:val="none"/>
        </w:rPr>
        <w:t>1.1词语定义</w:t>
      </w:r>
      <w:bookmarkEnd w:id="486"/>
      <w:bookmarkEnd w:id="487"/>
      <w:bookmarkEnd w:id="488"/>
      <w:r>
        <w:rPr>
          <w:rFonts w:hint="eastAsia" w:ascii="宋体" w:hAnsi="宋体" w:eastAsia="宋体" w:cs="宋体"/>
          <w:b w:val="0"/>
          <w:color w:val="000000"/>
          <w:sz w:val="24"/>
          <w:szCs w:val="24"/>
          <w:highlight w:val="none"/>
        </w:rPr>
        <w:t>与解释</w:t>
      </w:r>
      <w:bookmarkEnd w:id="489"/>
    </w:p>
    <w:p w14:paraId="38089D5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合同协议书、通用合同条款、专用合同条款中的下列词语具有本款所赋予的含义：</w:t>
      </w:r>
    </w:p>
    <w:p w14:paraId="6C7C82B5">
      <w:pPr>
        <w:pageBreakBefore w:val="0"/>
        <w:widowControl w:val="0"/>
        <w:kinsoku/>
        <w:wordWrap/>
        <w:overflowPunct/>
        <w:topLinePunct w:val="0"/>
        <w:autoSpaceDE w:val="0"/>
        <w:autoSpaceDN w:val="0"/>
        <w:bidi w:val="0"/>
        <w:adjustRightInd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1.1.1 合同</w:t>
      </w:r>
    </w:p>
    <w:p w14:paraId="79B4CB2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1.1.1.1 合同：是指根据法律规定和合同当事人约定具有约束力的文件，构成合同的文件包括合同协议书、中标通知书（如果有）、投标函及其附录（如果有）、专用合同条款</w:t>
      </w:r>
      <w:r>
        <w:rPr>
          <w:rFonts w:hint="eastAsia" w:ascii="宋体" w:hAnsi="宋体" w:eastAsia="宋体" w:cs="宋体"/>
          <w:color w:val="000000"/>
          <w:sz w:val="24"/>
          <w:szCs w:val="24"/>
          <w:highlight w:val="none"/>
        </w:rPr>
        <w:t>及其附件</w:t>
      </w:r>
      <w:r>
        <w:rPr>
          <w:rFonts w:hint="eastAsia" w:ascii="宋体" w:hAnsi="宋体" w:eastAsia="宋体" w:cs="宋体"/>
          <w:color w:val="000000"/>
          <w:kern w:val="0"/>
          <w:sz w:val="24"/>
          <w:szCs w:val="24"/>
          <w:highlight w:val="none"/>
        </w:rPr>
        <w:t>、通用合同条款、技术标准和要求、图纸、已标价工程量清单或预算书以及其他合同文件。</w:t>
      </w:r>
    </w:p>
    <w:p w14:paraId="0E23464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1.1.1.2 合同协议书：是指构成合同的由发包人和承包人共同签署的称为“合同协议书”的书面文件。</w:t>
      </w:r>
    </w:p>
    <w:p w14:paraId="54E0AA0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1.1.1.3 中标通知书：是指构成合同的由发包人通知承包人中标的书面文件。</w:t>
      </w:r>
    </w:p>
    <w:p w14:paraId="621B143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1.1.1.4 投标函：是指构成合同的由承包人填写并签署的用于投标的称为“投标函”的文件。</w:t>
      </w:r>
    </w:p>
    <w:p w14:paraId="2D1AEA8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1.1.1.5 投标函附录：是指构成合同的附在投标函后的称为“投标函附录”的文件。</w:t>
      </w:r>
    </w:p>
    <w:p w14:paraId="4C19C43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1.1.1.6 技术标准和要求：是指构成合同的施工应当遵守的或指导施工的国家、行业或地方的技术标准和要求，以及合同约定的技术标准和要求。</w:t>
      </w:r>
    </w:p>
    <w:p w14:paraId="7099222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7B1ECCB2">
      <w:pPr>
        <w:pageBreakBefore w:val="0"/>
        <w:widowControl w:val="0"/>
        <w:kinsoku/>
        <w:wordWrap/>
        <w:overflowPunct/>
        <w:topLinePunct w:val="0"/>
        <w:autoSpaceDE w:val="0"/>
        <w:autoSpaceDN w:val="0"/>
        <w:bidi w:val="0"/>
        <w:adjustRightInd w:val="0"/>
        <w:snapToGrid/>
        <w:spacing w:line="480" w:lineRule="exact"/>
        <w:ind w:firstLine="468" w:firstLineChars="195"/>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1.1.1.8 已标价工程量清单：是指构成合同的由承包人按照规定的格式和要求填写并标明价格的工程量清单，包括说明和表格。</w:t>
      </w:r>
    </w:p>
    <w:p w14:paraId="35D557DE">
      <w:pPr>
        <w:pageBreakBefore w:val="0"/>
        <w:widowControl w:val="0"/>
        <w:kinsoku/>
        <w:wordWrap/>
        <w:overflowPunct/>
        <w:topLinePunct w:val="0"/>
        <w:autoSpaceDE w:val="0"/>
        <w:autoSpaceDN w:val="0"/>
        <w:bidi w:val="0"/>
        <w:adjustRightInd w:val="0"/>
        <w:snapToGrid/>
        <w:spacing w:line="480" w:lineRule="exact"/>
        <w:ind w:firstLine="468" w:firstLineChars="195"/>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1.1.1.9 预算书：是指构成合同的由承包人按照发包人规定的格式和要求编制的工程预算文件。</w:t>
      </w:r>
    </w:p>
    <w:p w14:paraId="343305B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1.1.1.10 其他合同文件：是指经合同当事人约定的与工程施工有关的具有合同约束力的文件或书面协议。合同当事人可以在专用合同条款中进行约定。</w:t>
      </w:r>
    </w:p>
    <w:p w14:paraId="0E8C849B">
      <w:pPr>
        <w:pageBreakBefore w:val="0"/>
        <w:widowControl w:val="0"/>
        <w:kinsoku/>
        <w:wordWrap/>
        <w:overflowPunct/>
        <w:topLinePunct w:val="0"/>
        <w:autoSpaceDE w:val="0"/>
        <w:autoSpaceDN w:val="0"/>
        <w:bidi w:val="0"/>
        <w:adjustRightInd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1.1.2 合同当事人及其他相关方</w:t>
      </w:r>
    </w:p>
    <w:p w14:paraId="490FE22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1.1.2.1 合同当事人：是指发包人和（或）承包人。</w:t>
      </w:r>
    </w:p>
    <w:p w14:paraId="6E3EF26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1.1.2.2 发包人：是指与承包人签订合同协议书的当事人及取得该当事人资格的合法继承人。</w:t>
      </w:r>
    </w:p>
    <w:p w14:paraId="20B2BFD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1.1.2.3 承包人：是指与发包人签订合同协议书的，具有相应工程施工承包资质的当事人及取得该当事人资格的合法继承人。</w:t>
      </w:r>
    </w:p>
    <w:p w14:paraId="7A4DA4D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1.1.2.4 监理人：是指在专用合同条款中指明的，受发包人委托按照法律规定进行工程监督管理的法人或其他组织。</w:t>
      </w:r>
    </w:p>
    <w:p w14:paraId="326158A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1.1.2.5 设计人：是指在专用合同条款中指明的，受发包人委托负责工程设计并具备相应工程设计资质的法人或其他组织。</w:t>
      </w:r>
    </w:p>
    <w:p w14:paraId="559DBEC8">
      <w:pPr>
        <w:pageBreakBefore w:val="0"/>
        <w:widowControl w:val="0"/>
        <w:kinsoku/>
        <w:wordWrap/>
        <w:overflowPunct/>
        <w:topLinePunct w:val="0"/>
        <w:bidi w:val="0"/>
        <w:snapToGrid/>
        <w:spacing w:line="480" w:lineRule="exact"/>
        <w:ind w:firstLine="468" w:firstLineChars="195"/>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1.1.2.6 分包人：</w:t>
      </w:r>
      <w:bookmarkStart w:id="490" w:name="#go5"/>
      <w:bookmarkEnd w:id="490"/>
      <w:r>
        <w:rPr>
          <w:rFonts w:hint="eastAsia" w:ascii="宋体" w:hAnsi="宋体" w:eastAsia="宋体" w:cs="宋体"/>
          <w:color w:val="000000"/>
          <w:kern w:val="0"/>
          <w:sz w:val="24"/>
          <w:szCs w:val="24"/>
          <w:highlight w:val="none"/>
        </w:rPr>
        <w:t>是指按照法律规定和合同约定，分包部分工程或工作，并与承包人签订分包合同的具有相应资质的法人。</w:t>
      </w:r>
    </w:p>
    <w:p w14:paraId="29786C0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1.1.2.7 发包人代表：是指由发包人任命并派驻施工现场在发包人授权范围内行使发包人权利的人。</w:t>
      </w:r>
    </w:p>
    <w:p w14:paraId="7F90E92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1.1.2.8 项目经理：是指由承包人任命并派驻施工现场，在承包人授权范围内负责合同履行，且按照法律规定具有相应资格的项目负责人。</w:t>
      </w:r>
    </w:p>
    <w:p w14:paraId="75B1CCC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1.1.2.9 总监理工程师：是指由监理人任命并派驻施工现场进行工程监理的总负责人。</w:t>
      </w:r>
    </w:p>
    <w:p w14:paraId="2BAA7F1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 工程和设备</w:t>
      </w:r>
    </w:p>
    <w:p w14:paraId="0377B04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1.1.3.1 工程：是指与合同协议书中工程承包范围对应的永久工程和（或）临时工程。</w:t>
      </w:r>
    </w:p>
    <w:p w14:paraId="01A492C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1.1.3.2 永久工程：是指按合同约定建造并移交给发包人的工程，包括工程设备。</w:t>
      </w:r>
    </w:p>
    <w:p w14:paraId="78BA155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1.1.3.3 临时工程：是指为完成合同约定的永久工程所修建的各类临时性工程，不包括施工设备。</w:t>
      </w:r>
    </w:p>
    <w:p w14:paraId="49D8ADE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1.1.3.4 单位工程：是指在合同协议书中指明的，具备独立施工条件并能形成独立使用功能的永久工程。</w:t>
      </w:r>
    </w:p>
    <w:p w14:paraId="3750513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1.1.3.5 工程设备：是指构成永久工程的机电设备、金属结构设备、仪器及其他类似的设备和装置。</w:t>
      </w:r>
    </w:p>
    <w:p w14:paraId="1CE8C89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1.1.3.6 施工设备：是指为完成合同约定的各项工作所需的设备、器具和其他物品，但不包括工程设备、临时工程和材料。</w:t>
      </w:r>
    </w:p>
    <w:p w14:paraId="0378F2A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1.1.3.7 施工现场：是指用于工程施工的场所，以及在专用合同条款中指明作为施工场所组成部分的其他场所，包括永久占地和临时占地。</w:t>
      </w:r>
    </w:p>
    <w:p w14:paraId="36F9A5E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1.1.3.8临时设施：是指为完成合同约定的各项工作所服务的临时性生产和生活设施。</w:t>
      </w:r>
    </w:p>
    <w:p w14:paraId="19A9BE1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1.1.3.9 永久占地：是指专用合同条款中指明为实施工程需永久占用的土地。</w:t>
      </w:r>
    </w:p>
    <w:p w14:paraId="4B1E24C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1.1.3.10 临时占地：是指专用合同条款中指明为实施工程需要临时占用的土地。</w:t>
      </w:r>
    </w:p>
    <w:p w14:paraId="22FF716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1.1.4 日期和期限</w:t>
      </w:r>
    </w:p>
    <w:p w14:paraId="5BB96FA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63D2B95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1.1.4.2 竣工日期：包括计划竣工日期和实际竣工日期。计划竣工日期是指合同协议书约定的竣工日期；实际竣工日期按照第13.2.3项〔竣工日期〕的约定确定。 </w:t>
      </w:r>
    </w:p>
    <w:p w14:paraId="0A7353EB">
      <w:pPr>
        <w:pageBreakBefore w:val="0"/>
        <w:widowControl w:val="0"/>
        <w:kinsoku/>
        <w:wordWrap/>
        <w:overflowPunct/>
        <w:topLinePunct w:val="0"/>
        <w:bidi w:val="0"/>
        <w:snapToGrid/>
        <w:spacing w:line="480" w:lineRule="exact"/>
        <w:ind w:firstLine="487" w:firstLineChars="203"/>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1.1.4.3 工期：是指在合同协议书约定的承包人完成工程所需的期限，包括按照合同约定所作的期限变更。</w:t>
      </w:r>
    </w:p>
    <w:p w14:paraId="5432418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1.1.4.4 缺陷责任期：是指承包人按照合同约定承担缺陷修复义务，且发包人预留质量保证金</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已缴纳履约保证金的除外</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的期限，自工程实际竣工日期起计算。</w:t>
      </w:r>
    </w:p>
    <w:p w14:paraId="061635B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1.1.4.5 保修期：是指承包人按照合同约定对工程承担保修责任的期限，从工程竣工验收合格之日起计算。</w:t>
      </w:r>
    </w:p>
    <w:p w14:paraId="323B0B4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1.1.4.6 基准日期：招标发包的工程以投标截止日前28天的日期为基准日期，直接发包的工程以合同签订日前28天的日期为基准日期。</w:t>
      </w:r>
    </w:p>
    <w:p w14:paraId="2976343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1.1.4.7 天：除特别指明外，均指日历天。合同中按天计算时间的，开始当天不计入，从次日开始计算，期限最后一天的截止时间为当天24:00时。</w:t>
      </w:r>
    </w:p>
    <w:p w14:paraId="3F4BA11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 合同价格和费用</w:t>
      </w:r>
    </w:p>
    <w:p w14:paraId="5E99A3B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1.1.5.1 签约合同价：是指</w:t>
      </w:r>
      <w:r>
        <w:rPr>
          <w:rFonts w:hint="eastAsia" w:ascii="宋体" w:hAnsi="宋体" w:eastAsia="宋体" w:cs="宋体"/>
          <w:color w:val="000000"/>
          <w:sz w:val="24"/>
          <w:szCs w:val="24"/>
          <w:highlight w:val="none"/>
        </w:rPr>
        <w:t>发包人和承包人在合同协议书中确定的总金额，包括安全文明施工费、暂估价及暂列金额等。</w:t>
      </w:r>
    </w:p>
    <w:p w14:paraId="18FD4F1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1.1.5.2 合同价格：是指发包人用于支付承包人按照合同约定完成承包范围内全部工作的金额，包括合同履行过程中按合同约定发生的价格变化。</w:t>
      </w:r>
    </w:p>
    <w:p w14:paraId="475E86A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1.1.5.3 费用：是指为履行合同所发生的或将要发生的所有必需的开支，包括管理费和应分摊的其他费用，但不包括利润。</w:t>
      </w:r>
    </w:p>
    <w:p w14:paraId="233219A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1.1.5.4 暂估价：是指发包人在工程量清单或预算书中提供的用于支付必然发生但暂时不能确定价格的材料、工程设备的单价、专业工程以及服务工作的金额。</w:t>
      </w:r>
    </w:p>
    <w:p w14:paraId="3B039EA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76C6173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1.1.5.6 计日工：是指合同履行过程中，承包人完成发包人提出的零星工作或需要采用计日工计价的变更工作时，按合同中约定的单价计价的一种方式。</w:t>
      </w:r>
    </w:p>
    <w:p w14:paraId="12A4EE2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1.1.5.7 质量保证金</w:t>
      </w:r>
      <w:bookmarkStart w:id="491" w:name="#go2"/>
      <w:bookmarkEnd w:id="491"/>
      <w:r>
        <w:rPr>
          <w:rFonts w:hint="eastAsia" w:ascii="宋体" w:hAnsi="宋体" w:eastAsia="宋体" w:cs="宋体"/>
          <w:color w:val="000000"/>
          <w:kern w:val="0"/>
          <w:sz w:val="24"/>
          <w:szCs w:val="24"/>
          <w:highlight w:val="none"/>
        </w:rPr>
        <w:t>：是指按照第15.3款〔质量保证金〕约定承包人用于保证其在缺陷责任期内履行缺陷修补义务的担保</w:t>
      </w:r>
      <w:r>
        <w:rPr>
          <w:rFonts w:hint="eastAsia" w:ascii="宋体" w:hAnsi="宋体" w:eastAsia="宋体" w:cs="宋体"/>
          <w:color w:val="000000"/>
          <w:sz w:val="24"/>
          <w:szCs w:val="24"/>
          <w:highlight w:val="none"/>
        </w:rPr>
        <w:t>。</w:t>
      </w:r>
    </w:p>
    <w:p w14:paraId="1921964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1.1.5.8 总价项目：是指在现行国家、行业以及地方的计量规则中无工程量计算规则，在已标价工程量清单或预算书中以总价或以费率形式计算的项目。</w:t>
      </w:r>
    </w:p>
    <w:p w14:paraId="41919CC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1.1.6 其他</w:t>
      </w:r>
    </w:p>
    <w:p w14:paraId="643C87C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1.1.6.1 书面形式：是指合同文件、信函、电报、传真等可以有形地表现所载内容的形式。</w:t>
      </w:r>
    </w:p>
    <w:p w14:paraId="2E958CBD">
      <w:pPr>
        <w:pStyle w:val="8"/>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    </w:t>
      </w:r>
      <w:bookmarkStart w:id="492" w:name="_Toc296503029"/>
      <w:bookmarkStart w:id="493" w:name="_Toc337558729"/>
      <w:bookmarkStart w:id="494" w:name="_Toc351203497"/>
      <w:bookmarkStart w:id="495" w:name="_Toc296346530"/>
      <w:r>
        <w:rPr>
          <w:rFonts w:hint="eastAsia" w:ascii="宋体" w:hAnsi="宋体" w:eastAsia="宋体" w:cs="宋体"/>
          <w:b w:val="0"/>
          <w:color w:val="000000"/>
          <w:sz w:val="24"/>
          <w:szCs w:val="24"/>
          <w:highlight w:val="none"/>
        </w:rPr>
        <w:t>1.2语言文字</w:t>
      </w:r>
      <w:bookmarkEnd w:id="492"/>
      <w:bookmarkEnd w:id="493"/>
      <w:bookmarkEnd w:id="494"/>
      <w:bookmarkEnd w:id="495"/>
    </w:p>
    <w:p w14:paraId="2F42C8E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合同以中国的汉语简体文字编写、解释和说明。合同当事人在专用合同条款中约定使用两种以上语言时，汉语为优先解释和说明合同的语言。</w:t>
      </w:r>
    </w:p>
    <w:p w14:paraId="136D53F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496" w:name="_Toc337558730"/>
      <w:bookmarkStart w:id="497" w:name="_Toc296346531"/>
      <w:bookmarkStart w:id="498" w:name="_Toc296503030"/>
      <w:bookmarkStart w:id="499" w:name="_Toc351203498"/>
      <w:r>
        <w:rPr>
          <w:rFonts w:hint="eastAsia" w:ascii="宋体" w:hAnsi="宋体" w:eastAsia="宋体" w:cs="宋体"/>
          <w:b w:val="0"/>
          <w:color w:val="000000"/>
          <w:sz w:val="24"/>
          <w:szCs w:val="24"/>
          <w:highlight w:val="none"/>
        </w:rPr>
        <w:t>1.3法律</w:t>
      </w:r>
      <w:bookmarkEnd w:id="496"/>
      <w:bookmarkEnd w:id="497"/>
      <w:bookmarkEnd w:id="498"/>
      <w:bookmarkEnd w:id="499"/>
    </w:p>
    <w:p w14:paraId="531E50A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合同所称法律是指中华人民共和国法律、行政法规、部门规章，以及工程所在地的地方性法规、自治条例、单行条例和地方政府规章等。</w:t>
      </w:r>
    </w:p>
    <w:p w14:paraId="1E31B48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合同当事人可以在专用合同条款中约定合同适用的其他规范性文件。</w:t>
      </w:r>
    </w:p>
    <w:p w14:paraId="6BB8804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00" w:name="_Toc351203499"/>
      <w:r>
        <w:rPr>
          <w:rFonts w:hint="eastAsia" w:ascii="宋体" w:hAnsi="宋体" w:eastAsia="宋体" w:cs="宋体"/>
          <w:b w:val="0"/>
          <w:color w:val="000000"/>
          <w:sz w:val="24"/>
          <w:szCs w:val="24"/>
          <w:highlight w:val="none"/>
        </w:rPr>
        <w:t>1.4 标准和规范</w:t>
      </w:r>
      <w:bookmarkEnd w:id="500"/>
    </w:p>
    <w:p w14:paraId="665BA8CC">
      <w:pPr>
        <w:pageBreakBefore w:val="0"/>
        <w:widowControl w:val="0"/>
        <w:kinsoku/>
        <w:wordWrap/>
        <w:overflowPunct/>
        <w:topLinePunct w:val="0"/>
        <w:autoSpaceDE w:val="0"/>
        <w:autoSpaceDN w:val="0"/>
        <w:bidi w:val="0"/>
        <w:adjustRightInd w:val="0"/>
        <w:snapToGrid/>
        <w:spacing w:line="480" w:lineRule="exact"/>
        <w:ind w:firstLine="64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1.4.1 适用于工程的国家标准、行业标准、工程所在地的地方性标准，以及相应的规范、规程等，合同当事人有特别要求的，应在专用合同条款中约定。</w:t>
      </w:r>
    </w:p>
    <w:p w14:paraId="785CCF20">
      <w:pPr>
        <w:pageBreakBefore w:val="0"/>
        <w:widowControl w:val="0"/>
        <w:kinsoku/>
        <w:wordWrap/>
        <w:overflowPunct/>
        <w:topLinePunct w:val="0"/>
        <w:autoSpaceDE w:val="0"/>
        <w:autoSpaceDN w:val="0"/>
        <w:bidi w:val="0"/>
        <w:adjustRightInd w:val="0"/>
        <w:snapToGrid/>
        <w:spacing w:line="480" w:lineRule="exact"/>
        <w:ind w:firstLine="64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1.4.2 发包人要求使用国外标准、规范的，发包人负责提供原文版本和中文译本，并在专用合同条款中约定提供标准规范的名称、份数和时间。</w:t>
      </w:r>
    </w:p>
    <w:p w14:paraId="7B0EDB42">
      <w:pPr>
        <w:pageBreakBefore w:val="0"/>
        <w:widowControl w:val="0"/>
        <w:kinsoku/>
        <w:wordWrap/>
        <w:overflowPunct/>
        <w:topLinePunct w:val="0"/>
        <w:autoSpaceDE w:val="0"/>
        <w:autoSpaceDN w:val="0"/>
        <w:bidi w:val="0"/>
        <w:adjustRightInd w:val="0"/>
        <w:snapToGrid/>
        <w:spacing w:line="480" w:lineRule="exact"/>
        <w:ind w:firstLine="64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E0EFC1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01" w:name="_Toc351203500"/>
      <w:r>
        <w:rPr>
          <w:rFonts w:hint="eastAsia" w:ascii="宋体" w:hAnsi="宋体" w:eastAsia="宋体" w:cs="宋体"/>
          <w:b w:val="0"/>
          <w:color w:val="000000"/>
          <w:sz w:val="24"/>
          <w:szCs w:val="24"/>
          <w:highlight w:val="none"/>
        </w:rPr>
        <w:t>1</w:t>
      </w:r>
      <w:bookmarkStart w:id="502" w:name="_Toc296503031"/>
      <w:bookmarkStart w:id="503" w:name="_Toc296346532"/>
      <w:bookmarkStart w:id="504" w:name="_Toc337558731"/>
      <w:r>
        <w:rPr>
          <w:rFonts w:hint="eastAsia" w:ascii="宋体" w:hAnsi="宋体" w:eastAsia="宋体" w:cs="宋体"/>
          <w:b w:val="0"/>
          <w:color w:val="000000"/>
          <w:sz w:val="24"/>
          <w:szCs w:val="24"/>
          <w:highlight w:val="none"/>
        </w:rPr>
        <w:t>.5 合同文件的优先顺序</w:t>
      </w:r>
      <w:bookmarkEnd w:id="501"/>
    </w:p>
    <w:bookmarkEnd w:id="502"/>
    <w:bookmarkEnd w:id="503"/>
    <w:bookmarkEnd w:id="504"/>
    <w:p w14:paraId="533883B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组成合同的各项文件应互相解释，互为说明。除专用合同条款另有约定外，解释合同文件的优先顺序如下：</w:t>
      </w:r>
    </w:p>
    <w:p w14:paraId="7E9D419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（1）合同协议书；</w:t>
      </w:r>
    </w:p>
    <w:p w14:paraId="3FBE88E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（2）中标通知书（如果有）；</w:t>
      </w:r>
    </w:p>
    <w:p w14:paraId="56A450D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（3）投标函及其附录（如果有）；</w:t>
      </w:r>
    </w:p>
    <w:p w14:paraId="364218B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（4）专用合同条款</w:t>
      </w:r>
      <w:r>
        <w:rPr>
          <w:rFonts w:hint="eastAsia" w:ascii="宋体" w:hAnsi="宋体" w:eastAsia="宋体" w:cs="宋体"/>
          <w:color w:val="000000"/>
          <w:sz w:val="24"/>
          <w:szCs w:val="24"/>
          <w:highlight w:val="none"/>
        </w:rPr>
        <w:t>及其附件</w:t>
      </w:r>
      <w:r>
        <w:rPr>
          <w:rFonts w:hint="eastAsia" w:ascii="宋体" w:hAnsi="宋体" w:eastAsia="宋体" w:cs="宋体"/>
          <w:color w:val="000000"/>
          <w:kern w:val="0"/>
          <w:sz w:val="24"/>
          <w:szCs w:val="24"/>
          <w:highlight w:val="none"/>
        </w:rPr>
        <w:t>；</w:t>
      </w:r>
    </w:p>
    <w:p w14:paraId="046CD47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（5）通用合同条款；</w:t>
      </w:r>
    </w:p>
    <w:p w14:paraId="636125A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（6）技术标准和要求；</w:t>
      </w:r>
    </w:p>
    <w:p w14:paraId="67E4FF6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（7）图纸；</w:t>
      </w:r>
    </w:p>
    <w:p w14:paraId="2536BA1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（8）已标价工程量清单或预算书；</w:t>
      </w:r>
    </w:p>
    <w:p w14:paraId="3C97F8D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（9）其他合同文件。</w:t>
      </w:r>
    </w:p>
    <w:p w14:paraId="0F0754A5">
      <w:pPr>
        <w:pageBreakBefore w:val="0"/>
        <w:widowControl w:val="0"/>
        <w:kinsoku/>
        <w:wordWrap/>
        <w:overflowPunct/>
        <w:topLinePunct w:val="0"/>
        <w:bidi w:val="0"/>
        <w:snapToGrid/>
        <w:spacing w:line="480" w:lineRule="exact"/>
        <w:ind w:firstLine="511" w:firstLineChars="21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上述各项合同文件包括合同当事人就该项合同文件所作出的补充和修改，属于同一类内容的文件，应以最新签署的为准。</w:t>
      </w:r>
    </w:p>
    <w:p w14:paraId="3D5611EE">
      <w:pPr>
        <w:pageBreakBefore w:val="0"/>
        <w:widowControl w:val="0"/>
        <w:kinsoku/>
        <w:wordWrap/>
        <w:overflowPunct/>
        <w:topLinePunct w:val="0"/>
        <w:bidi w:val="0"/>
        <w:snapToGrid/>
        <w:spacing w:line="480" w:lineRule="exact"/>
        <w:ind w:firstLine="511" w:firstLineChars="21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在合同订立及履行过程中形成的与合同有关的文件均构成合同文件组成部分，并根据其性质确定优先解释顺序。</w:t>
      </w:r>
    </w:p>
    <w:p w14:paraId="1AED673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05" w:name="_Toc351203501"/>
      <w:r>
        <w:rPr>
          <w:rFonts w:hint="eastAsia" w:ascii="宋体" w:hAnsi="宋体" w:eastAsia="宋体" w:cs="宋体"/>
          <w:b w:val="0"/>
          <w:color w:val="000000"/>
          <w:sz w:val="24"/>
          <w:szCs w:val="24"/>
          <w:highlight w:val="none"/>
        </w:rPr>
        <w:t>1</w:t>
      </w:r>
      <w:bookmarkStart w:id="506" w:name="_Toc337558732"/>
      <w:bookmarkStart w:id="507" w:name="_Toc296346533"/>
      <w:bookmarkStart w:id="508" w:name="_Toc296503032"/>
      <w:r>
        <w:rPr>
          <w:rFonts w:hint="eastAsia" w:ascii="宋体" w:hAnsi="宋体" w:eastAsia="宋体" w:cs="宋体"/>
          <w:b w:val="0"/>
          <w:color w:val="000000"/>
          <w:sz w:val="24"/>
          <w:szCs w:val="24"/>
          <w:highlight w:val="none"/>
        </w:rPr>
        <w:t>.6图纸和承包人文件</w:t>
      </w:r>
      <w:bookmarkEnd w:id="505"/>
    </w:p>
    <w:bookmarkEnd w:id="506"/>
    <w:bookmarkEnd w:id="507"/>
    <w:bookmarkEnd w:id="508"/>
    <w:p w14:paraId="6555C61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1.6.1 图纸的提供和交底</w:t>
      </w:r>
    </w:p>
    <w:p w14:paraId="585909D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542E0F0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因发包人未按合同约定提供图纸导致承包人费用增加和（或）工期延误的，按照第7.5.1项〔因发包人原因导致工期延误〕约定办理。</w:t>
      </w:r>
    </w:p>
    <w:p w14:paraId="639CCC9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 图纸的错误</w:t>
      </w:r>
    </w:p>
    <w:p w14:paraId="46BE603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6E09007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1.6.3 图纸的修改和补充</w:t>
      </w:r>
    </w:p>
    <w:p w14:paraId="3A122DE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417DDD1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1.6.4 承包人文件</w:t>
      </w:r>
    </w:p>
    <w:p w14:paraId="18263AF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14:paraId="3C21D56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3C5CDD0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1.6.5 图纸和承包人文件的保管</w:t>
      </w:r>
    </w:p>
    <w:p w14:paraId="24D7C38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除专用合同条款另有约定外，承包人应在施工现场另外保存一套完整的图纸和承包人文件，供发包人、监理人及有关人员进行工程检查时使用。</w:t>
      </w:r>
    </w:p>
    <w:p w14:paraId="78BAAD5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09" w:name="_Toc351203502"/>
      <w:r>
        <w:rPr>
          <w:rFonts w:hint="eastAsia" w:ascii="宋体" w:hAnsi="宋体" w:eastAsia="宋体" w:cs="宋体"/>
          <w:b w:val="0"/>
          <w:color w:val="000000"/>
          <w:sz w:val="24"/>
          <w:szCs w:val="24"/>
          <w:highlight w:val="none"/>
        </w:rPr>
        <w:t>1</w:t>
      </w:r>
      <w:bookmarkStart w:id="510" w:name="_Toc296503033"/>
      <w:bookmarkStart w:id="511" w:name="_Toc337558733"/>
      <w:bookmarkStart w:id="512" w:name="_Toc296346534"/>
      <w:r>
        <w:rPr>
          <w:rFonts w:hint="eastAsia" w:ascii="宋体" w:hAnsi="宋体" w:eastAsia="宋体" w:cs="宋体"/>
          <w:b w:val="0"/>
          <w:color w:val="000000"/>
          <w:sz w:val="24"/>
          <w:szCs w:val="24"/>
          <w:highlight w:val="none"/>
        </w:rPr>
        <w:t>.7联络</w:t>
      </w:r>
      <w:bookmarkEnd w:id="509"/>
    </w:p>
    <w:bookmarkEnd w:id="510"/>
    <w:bookmarkEnd w:id="511"/>
    <w:bookmarkEnd w:id="512"/>
    <w:p w14:paraId="5B4DA43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1.7.1 与合同有关的通知、批准、证明、证书、指示、指令、要求、请求、同意、意见、确定和决定等，均应采用书面形式，并应在合同约定的期限内送达接收人和送达地点。</w:t>
      </w:r>
    </w:p>
    <w:p w14:paraId="45B64AF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1.7.2 发包人和承包人应在专用合同条款中约定各自的送达接收人和送达地点。任何一方合同当事人指定的接收人或送达地点发生变动的，应提前3天以书面形式通知对方。</w:t>
      </w:r>
    </w:p>
    <w:p w14:paraId="00DC39C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FF0000"/>
          <w:kern w:val="0"/>
          <w:sz w:val="24"/>
          <w:szCs w:val="24"/>
          <w:highlight w:val="none"/>
        </w:rPr>
      </w:pPr>
      <w:r>
        <w:rPr>
          <w:rFonts w:hint="eastAsia" w:ascii="宋体" w:hAnsi="宋体" w:eastAsia="宋体" w:cs="宋体"/>
          <w:color w:val="000000"/>
          <w:kern w:val="0"/>
          <w:sz w:val="24"/>
          <w:szCs w:val="24"/>
          <w:highlight w:val="none"/>
        </w:rPr>
        <w:t>1.7.3 发包人和承包人应当及时签收另一方送达至送达地点和指定接收人的来往信函。拒不签收的，由此增加的费用和（或）延误的工期由拒绝接收一方承担。</w:t>
      </w:r>
    </w:p>
    <w:p w14:paraId="5CDCF6E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13" w:name="_Toc351203503"/>
      <w:r>
        <w:rPr>
          <w:rFonts w:hint="eastAsia" w:ascii="宋体" w:hAnsi="宋体" w:eastAsia="宋体" w:cs="宋体"/>
          <w:b w:val="0"/>
          <w:color w:val="000000"/>
          <w:sz w:val="24"/>
          <w:szCs w:val="24"/>
          <w:highlight w:val="none"/>
        </w:rPr>
        <w:t>1</w:t>
      </w:r>
      <w:bookmarkStart w:id="514" w:name="_Toc296346536"/>
      <w:bookmarkStart w:id="515" w:name="_Toc296503035"/>
      <w:bookmarkStart w:id="516" w:name="_Toc337558734"/>
      <w:r>
        <w:rPr>
          <w:rFonts w:hint="eastAsia" w:ascii="宋体" w:hAnsi="宋体" w:eastAsia="宋体" w:cs="宋体"/>
          <w:b w:val="0"/>
          <w:color w:val="000000"/>
          <w:sz w:val="24"/>
          <w:szCs w:val="24"/>
          <w:highlight w:val="none"/>
        </w:rPr>
        <w:t>.8严禁贿赂</w:t>
      </w:r>
      <w:bookmarkEnd w:id="513"/>
    </w:p>
    <w:bookmarkEnd w:id="514"/>
    <w:bookmarkEnd w:id="515"/>
    <w:bookmarkEnd w:id="516"/>
    <w:p w14:paraId="31FF340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合同当事人不得以贿赂或变相贿赂的方式，谋取非法利益或损害对方权益。因一方合同当事人的贿赂造成对方损失的，应赔偿损失，并承担相应的法律责任。</w:t>
      </w:r>
    </w:p>
    <w:p w14:paraId="60FEF2E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62B506F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17" w:name="_Toc351203504"/>
      <w:r>
        <w:rPr>
          <w:rFonts w:hint="eastAsia" w:ascii="宋体" w:hAnsi="宋体" w:eastAsia="宋体" w:cs="宋体"/>
          <w:b w:val="0"/>
          <w:color w:val="000000"/>
          <w:sz w:val="24"/>
          <w:szCs w:val="24"/>
          <w:highlight w:val="none"/>
        </w:rPr>
        <w:t>1</w:t>
      </w:r>
      <w:bookmarkStart w:id="518" w:name="_Toc337558735"/>
      <w:bookmarkStart w:id="519" w:name="_Toc296346537"/>
      <w:bookmarkStart w:id="520" w:name="_Toc296503036"/>
      <w:r>
        <w:rPr>
          <w:rFonts w:hint="eastAsia" w:ascii="宋体" w:hAnsi="宋体" w:eastAsia="宋体" w:cs="宋体"/>
          <w:b w:val="0"/>
          <w:color w:val="000000"/>
          <w:sz w:val="24"/>
          <w:szCs w:val="24"/>
          <w:highlight w:val="none"/>
        </w:rPr>
        <w:t>.9化石、文物</w:t>
      </w:r>
      <w:bookmarkEnd w:id="517"/>
    </w:p>
    <w:bookmarkEnd w:id="518"/>
    <w:bookmarkEnd w:id="519"/>
    <w:bookmarkEnd w:id="520"/>
    <w:p w14:paraId="48F87B8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45643F8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发包人、监理人和承包人应按有关政府行政管理部门要求采取妥善的保护措施，由此增加的费用和（或）延误的工期由发包人承担。</w:t>
      </w:r>
    </w:p>
    <w:p w14:paraId="5C77578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承包人发现文物后不及时报告或隐瞒不报，致使文物丢失或损坏的，应赔偿损失，并承担相应的法律责任。</w:t>
      </w:r>
    </w:p>
    <w:p w14:paraId="15B8BA0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21" w:name="_Toc351203505"/>
      <w:r>
        <w:rPr>
          <w:rFonts w:hint="eastAsia" w:ascii="宋体" w:hAnsi="宋体" w:eastAsia="宋体" w:cs="宋体"/>
          <w:b w:val="0"/>
          <w:color w:val="000000"/>
          <w:sz w:val="24"/>
          <w:szCs w:val="24"/>
          <w:highlight w:val="none"/>
        </w:rPr>
        <w:t>1</w:t>
      </w:r>
      <w:bookmarkStart w:id="522" w:name="_Toc337558736"/>
      <w:r>
        <w:rPr>
          <w:rFonts w:hint="eastAsia" w:ascii="宋体" w:hAnsi="宋体" w:eastAsia="宋体" w:cs="宋体"/>
          <w:b w:val="0"/>
          <w:color w:val="000000"/>
          <w:sz w:val="24"/>
          <w:szCs w:val="24"/>
          <w:highlight w:val="none"/>
        </w:rPr>
        <w:t>.10交通运输</w:t>
      </w:r>
      <w:bookmarkEnd w:id="521"/>
    </w:p>
    <w:bookmarkEnd w:id="522"/>
    <w:p w14:paraId="6779062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1.10.1 出入现场的权利</w:t>
      </w:r>
    </w:p>
    <w:p w14:paraId="2802219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29B5C18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0DFCEA0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1.10.2 场外交通</w:t>
      </w:r>
    </w:p>
    <w:p w14:paraId="19E9C0D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B15AB2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1.10.3场内交通</w:t>
      </w:r>
    </w:p>
    <w:p w14:paraId="7407E2A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B9A5A9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765971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场外交通和场内交通的边界由合同当事人在专用合同条款中约定。</w:t>
      </w:r>
    </w:p>
    <w:p w14:paraId="4781C08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1.10.4 超大件和超重件的运输</w:t>
      </w:r>
    </w:p>
    <w:p w14:paraId="258299C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DC2D7F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1.10.5 道路和桥梁的损坏责任</w:t>
      </w:r>
    </w:p>
    <w:p w14:paraId="17A4DBF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因承包人运输造成施工场地内外公共道路和桥梁损坏的，由承包人承担修复损坏的全部费用和可能引起的赔偿。</w:t>
      </w:r>
    </w:p>
    <w:p w14:paraId="05A214D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1.10.6 水路和航空运输</w:t>
      </w:r>
    </w:p>
    <w:p w14:paraId="7556914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本款前述各项的内容适用于水路运输和航空运输，其中“道路”一词的涵义包括河道、航线、船闸、机场、码头、堤防以及水路或航空运输中其他相似结构物；“车辆”一词的涵义包括船舶和飞机等。</w:t>
      </w:r>
    </w:p>
    <w:p w14:paraId="5E94F22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23" w:name="_Toc351203506"/>
      <w:r>
        <w:rPr>
          <w:rFonts w:hint="eastAsia" w:ascii="宋体" w:hAnsi="宋体" w:eastAsia="宋体" w:cs="宋体"/>
          <w:b w:val="0"/>
          <w:color w:val="000000"/>
          <w:sz w:val="24"/>
          <w:szCs w:val="24"/>
          <w:highlight w:val="none"/>
        </w:rPr>
        <w:t>1</w:t>
      </w:r>
      <w:bookmarkStart w:id="524" w:name="_Toc337558737"/>
      <w:bookmarkStart w:id="525" w:name="_Toc296503037"/>
      <w:bookmarkStart w:id="526" w:name="_Toc296346538"/>
      <w:r>
        <w:rPr>
          <w:rFonts w:hint="eastAsia" w:ascii="宋体" w:hAnsi="宋体" w:eastAsia="宋体" w:cs="宋体"/>
          <w:b w:val="0"/>
          <w:color w:val="000000"/>
          <w:sz w:val="24"/>
          <w:szCs w:val="24"/>
          <w:highlight w:val="none"/>
        </w:rPr>
        <w:t>.11知识产权</w:t>
      </w:r>
      <w:bookmarkEnd w:id="523"/>
      <w:r>
        <w:rPr>
          <w:rFonts w:hint="eastAsia" w:ascii="宋体" w:hAnsi="宋体" w:eastAsia="宋体" w:cs="宋体"/>
          <w:b w:val="0"/>
          <w:color w:val="000000"/>
          <w:sz w:val="24"/>
          <w:szCs w:val="24"/>
          <w:highlight w:val="none"/>
        </w:rPr>
        <w:t xml:space="preserve"> </w:t>
      </w:r>
      <w:bookmarkEnd w:id="524"/>
    </w:p>
    <w:bookmarkEnd w:id="525"/>
    <w:bookmarkEnd w:id="526"/>
    <w:p w14:paraId="6EA21C0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EBCB3F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6B36F42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7ED9490D">
      <w:pPr>
        <w:pageBreakBefore w:val="0"/>
        <w:widowControl w:val="0"/>
        <w:kinsoku/>
        <w:wordWrap/>
        <w:overflowPunct/>
        <w:topLinePunct w:val="0"/>
        <w:bidi w:val="0"/>
        <w:snapToGrid/>
        <w:spacing w:line="480" w:lineRule="exac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 xml:space="preserve">    </w:t>
      </w:r>
      <w:r>
        <w:rPr>
          <w:rFonts w:hint="eastAsia" w:ascii="宋体" w:hAnsi="宋体" w:eastAsia="宋体" w:cs="宋体"/>
          <w:color w:val="000000"/>
          <w:sz w:val="24"/>
          <w:szCs w:val="24"/>
          <w:highlight w:val="none"/>
        </w:rPr>
        <w:t>1.11.4 除专用合同条款另有约定外，承包人在合同签订前和签订时已确定采用的专利、专有技术、技术秘密的使用费已包含在签约合同价中。</w:t>
      </w:r>
    </w:p>
    <w:p w14:paraId="734CA83D">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27" w:name="_Toc351203507"/>
      <w:r>
        <w:rPr>
          <w:rFonts w:hint="eastAsia" w:ascii="宋体" w:hAnsi="宋体" w:eastAsia="宋体" w:cs="宋体"/>
          <w:b w:val="0"/>
          <w:color w:val="000000"/>
          <w:sz w:val="24"/>
          <w:szCs w:val="24"/>
          <w:highlight w:val="none"/>
        </w:rPr>
        <w:t>1</w:t>
      </w:r>
      <w:bookmarkStart w:id="528" w:name="_Toc337558738"/>
      <w:r>
        <w:rPr>
          <w:rFonts w:hint="eastAsia" w:ascii="宋体" w:hAnsi="宋体" w:eastAsia="宋体" w:cs="宋体"/>
          <w:b w:val="0"/>
          <w:color w:val="000000"/>
          <w:sz w:val="24"/>
          <w:szCs w:val="24"/>
          <w:highlight w:val="none"/>
        </w:rPr>
        <w:t>.12保密</w:t>
      </w:r>
      <w:bookmarkEnd w:id="527"/>
    </w:p>
    <w:bookmarkEnd w:id="528"/>
    <w:p w14:paraId="78F71EC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除法律规定或合同另有约定外，未经发包人同意，承包人不得将发包人提供的图纸、文件以及声明需要保密的资料信息等商业秘密泄露给第三方。</w:t>
      </w:r>
    </w:p>
    <w:p w14:paraId="163A8A1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除法律规定或合同另有约定外，未经承包人同意，发包人不得将承包人提供的技术秘密及声明需要保密的资料信息等商业秘密泄露给第三方。</w:t>
      </w:r>
    </w:p>
    <w:p w14:paraId="7B915C1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29" w:name="_Toc351203508"/>
      <w:r>
        <w:rPr>
          <w:rFonts w:hint="eastAsia" w:ascii="宋体" w:hAnsi="宋体" w:eastAsia="宋体" w:cs="宋体"/>
          <w:b w:val="0"/>
          <w:color w:val="000000"/>
          <w:sz w:val="24"/>
          <w:szCs w:val="24"/>
          <w:highlight w:val="none"/>
        </w:rPr>
        <w:t>1.13工程量清单错误的修正</w:t>
      </w:r>
      <w:bookmarkEnd w:id="529"/>
    </w:p>
    <w:p w14:paraId="0C49AE0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除专用合同条款另有约定外，发包人提供的工程量清单，应被认为是准确的和完整的。出现下列情形之一时，发包人应予以修正，并相应调整合同价格：</w:t>
      </w:r>
    </w:p>
    <w:p w14:paraId="6CFAB23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（1）工程量清单存在缺项、漏项的；</w:t>
      </w:r>
    </w:p>
    <w:p w14:paraId="60593DB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（2）工程量清单偏差超出专用合同条款约定的工程量偏差范围的；</w:t>
      </w:r>
    </w:p>
    <w:p w14:paraId="751D565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（3）未按照国家现行计量规范强制性规定计量的。</w:t>
      </w:r>
    </w:p>
    <w:p w14:paraId="71637668">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530" w:name="_Toc351203509"/>
      <w:r>
        <w:rPr>
          <w:rFonts w:hint="eastAsia" w:ascii="宋体" w:hAnsi="宋体" w:eastAsia="宋体" w:cs="宋体"/>
          <w:b w:val="0"/>
          <w:color w:val="000000"/>
          <w:sz w:val="24"/>
          <w:szCs w:val="24"/>
          <w:highlight w:val="none"/>
        </w:rPr>
        <w:t>2</w:t>
      </w:r>
      <w:bookmarkStart w:id="531" w:name="_Toc296503038"/>
      <w:bookmarkStart w:id="532" w:name="_Toc296346539"/>
      <w:bookmarkStart w:id="533" w:name="_Toc337558739"/>
      <w:bookmarkStart w:id="534" w:name="OLE_LINK2"/>
      <w:r>
        <w:rPr>
          <w:rFonts w:hint="eastAsia" w:ascii="宋体" w:hAnsi="宋体" w:eastAsia="宋体" w:cs="宋体"/>
          <w:b w:val="0"/>
          <w:color w:val="000000"/>
          <w:sz w:val="24"/>
          <w:szCs w:val="24"/>
          <w:highlight w:val="none"/>
        </w:rPr>
        <w:t>. 发包人</w:t>
      </w:r>
      <w:bookmarkEnd w:id="530"/>
    </w:p>
    <w:bookmarkEnd w:id="531"/>
    <w:bookmarkEnd w:id="532"/>
    <w:bookmarkEnd w:id="533"/>
    <w:p w14:paraId="20FF1AC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35" w:name="_Toc351203510"/>
      <w:r>
        <w:rPr>
          <w:rFonts w:hint="eastAsia" w:ascii="宋体" w:hAnsi="宋体" w:eastAsia="宋体" w:cs="宋体"/>
          <w:b w:val="0"/>
          <w:color w:val="000000"/>
          <w:sz w:val="24"/>
          <w:szCs w:val="24"/>
          <w:highlight w:val="none"/>
        </w:rPr>
        <w:t>2</w:t>
      </w:r>
      <w:bookmarkStart w:id="536" w:name="_Toc296503039"/>
      <w:bookmarkStart w:id="537" w:name="_Toc296346540"/>
      <w:bookmarkStart w:id="538" w:name="_Toc337558740"/>
      <w:r>
        <w:rPr>
          <w:rFonts w:hint="eastAsia" w:ascii="宋体" w:hAnsi="宋体" w:eastAsia="宋体" w:cs="宋体"/>
          <w:b w:val="0"/>
          <w:color w:val="000000"/>
          <w:sz w:val="24"/>
          <w:szCs w:val="24"/>
          <w:highlight w:val="none"/>
        </w:rPr>
        <w:t>.1 许可或批准</w:t>
      </w:r>
      <w:bookmarkEnd w:id="535"/>
    </w:p>
    <w:p w14:paraId="7595B6C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0C33DE4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因发包人原因未能及时办理完毕前述许可、批准或备案，由发包人承担由此增加的费用和（或）延误的工期，并支付承包人合理的利润。</w:t>
      </w:r>
    </w:p>
    <w:p w14:paraId="348D770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39" w:name="_Toc351203511"/>
      <w:r>
        <w:rPr>
          <w:rFonts w:hint="eastAsia" w:ascii="宋体" w:hAnsi="宋体" w:eastAsia="宋体" w:cs="宋体"/>
          <w:b w:val="0"/>
          <w:color w:val="000000"/>
          <w:sz w:val="24"/>
          <w:szCs w:val="24"/>
          <w:highlight w:val="none"/>
        </w:rPr>
        <w:t>2.2 发包人代表</w:t>
      </w:r>
      <w:bookmarkEnd w:id="539"/>
    </w:p>
    <w:p w14:paraId="19EB466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3EB5FB1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发包人代表不能按照合同约定履行其职责及义务，并导致合同无法继续正常履行的，承包人可以要求发包人撤换发包人代表。</w:t>
      </w:r>
    </w:p>
    <w:p w14:paraId="239D110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不属于法定必须监理的工程，监理人的职权可以由发包人代表或发包人指定的其他人员行使。</w:t>
      </w:r>
    </w:p>
    <w:p w14:paraId="4338E73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40" w:name="_Toc351203512"/>
      <w:r>
        <w:rPr>
          <w:rFonts w:hint="eastAsia" w:ascii="宋体" w:hAnsi="宋体" w:eastAsia="宋体" w:cs="宋体"/>
          <w:b w:val="0"/>
          <w:color w:val="000000"/>
          <w:sz w:val="24"/>
          <w:szCs w:val="24"/>
          <w:highlight w:val="none"/>
        </w:rPr>
        <w:t>2.3 发包人人员</w:t>
      </w:r>
      <w:bookmarkEnd w:id="540"/>
    </w:p>
    <w:p w14:paraId="589C1C4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14:paraId="23A32279">
      <w:pPr>
        <w:pageBreakBefore w:val="0"/>
        <w:widowControl w:val="0"/>
        <w:kinsoku/>
        <w:wordWrap/>
        <w:overflowPunct/>
        <w:topLinePunct w:val="0"/>
        <w:bidi w:val="0"/>
        <w:snapToGrid/>
        <w:spacing w:line="480" w:lineRule="exact"/>
        <w:ind w:firstLine="64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发包人人员包括发包人代表及其他由发包人派驻施工现场的人员。</w:t>
      </w:r>
      <w:bookmarkEnd w:id="536"/>
      <w:bookmarkEnd w:id="537"/>
      <w:bookmarkEnd w:id="538"/>
    </w:p>
    <w:p w14:paraId="35CE7D4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41" w:name="_Toc351203513"/>
      <w:r>
        <w:rPr>
          <w:rFonts w:hint="eastAsia" w:ascii="宋体" w:hAnsi="宋体" w:eastAsia="宋体" w:cs="宋体"/>
          <w:b w:val="0"/>
          <w:color w:val="000000"/>
          <w:sz w:val="24"/>
          <w:szCs w:val="24"/>
          <w:highlight w:val="none"/>
        </w:rPr>
        <w:t>2</w:t>
      </w:r>
      <w:bookmarkStart w:id="542" w:name="_Toc296346541"/>
      <w:bookmarkStart w:id="543" w:name="_Toc296503040"/>
      <w:bookmarkStart w:id="544" w:name="_Toc337558741"/>
      <w:r>
        <w:rPr>
          <w:rFonts w:hint="eastAsia" w:ascii="宋体" w:hAnsi="宋体" w:eastAsia="宋体" w:cs="宋体"/>
          <w:b w:val="0"/>
          <w:color w:val="000000"/>
          <w:sz w:val="24"/>
          <w:szCs w:val="24"/>
          <w:highlight w:val="none"/>
        </w:rPr>
        <w:t>.4 施工现场、施工条件和基础资料的提供</w:t>
      </w:r>
      <w:bookmarkEnd w:id="541"/>
      <w:r>
        <w:rPr>
          <w:rFonts w:hint="eastAsia" w:ascii="宋体" w:hAnsi="宋体" w:eastAsia="宋体" w:cs="宋体"/>
          <w:b w:val="0"/>
          <w:color w:val="000000"/>
          <w:sz w:val="24"/>
          <w:szCs w:val="24"/>
          <w:highlight w:val="none"/>
        </w:rPr>
        <w:t xml:space="preserve"> </w:t>
      </w:r>
      <w:bookmarkEnd w:id="542"/>
      <w:bookmarkEnd w:id="543"/>
      <w:bookmarkEnd w:id="544"/>
      <w:r>
        <w:rPr>
          <w:rFonts w:hint="eastAsia" w:ascii="宋体" w:hAnsi="宋体" w:eastAsia="宋体" w:cs="宋体"/>
          <w:b w:val="0"/>
          <w:color w:val="000000"/>
          <w:sz w:val="24"/>
          <w:szCs w:val="24"/>
          <w:highlight w:val="none"/>
        </w:rPr>
        <w:t xml:space="preserve"> </w:t>
      </w:r>
    </w:p>
    <w:p w14:paraId="4E25739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2.4.1 提供施工现场</w:t>
      </w:r>
    </w:p>
    <w:p w14:paraId="7F7201F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w:t>
      </w:r>
      <w:bookmarkEnd w:id="534"/>
      <w:r>
        <w:rPr>
          <w:rFonts w:hint="eastAsia" w:ascii="宋体" w:hAnsi="宋体" w:eastAsia="宋体" w:cs="宋体"/>
          <w:color w:val="000000"/>
          <w:kern w:val="0"/>
          <w:sz w:val="24"/>
          <w:szCs w:val="24"/>
          <w:highlight w:val="none"/>
        </w:rPr>
        <w:t>专用合同条款另有约定外，发包人应最迟于开工日期7天前向承包人移交施工现场。</w:t>
      </w:r>
    </w:p>
    <w:p w14:paraId="098E024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2.4.2 提供施工条件</w:t>
      </w:r>
    </w:p>
    <w:p w14:paraId="280B635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除专用合同条款另有约定外，发包人应负责提供施工所需要的条件，包括：</w:t>
      </w:r>
    </w:p>
    <w:p w14:paraId="6CD7966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（1）将施工用水、电力、通讯线路等施工所必需的条件接至施工现场内；</w:t>
      </w:r>
    </w:p>
    <w:p w14:paraId="086083C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（2）保证向承包人提供正常施工所需要的进入施工现场的交通条件；</w:t>
      </w:r>
    </w:p>
    <w:p w14:paraId="70015CE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（3）协调处理施工现场周围地下管线和邻近建筑物、构筑物、古树名木的保护工作，并承担相关费用；</w:t>
      </w:r>
    </w:p>
    <w:p w14:paraId="5E8D239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（4）按照专用合同条款约定应提供的其他设施和条件。</w:t>
      </w:r>
    </w:p>
    <w:p w14:paraId="32D54B2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2.4.3 提供基础资料</w:t>
      </w:r>
    </w:p>
    <w:p w14:paraId="42D55FB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1B3ED24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按照法律规定确需在开工后方能提供的基础资料，发包人应尽其努力及时地在相应工程施工前的合理期限内提供，合理期限应以不影响承包人的正常施工为限。</w:t>
      </w:r>
    </w:p>
    <w:p w14:paraId="6595FF8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2.4.4 逾期提供的责任</w:t>
      </w:r>
    </w:p>
    <w:p w14:paraId="6614C8A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因发包人原因未能按合同约定及时向承包人提供施工现场、施工条件、基础资料的，由发包人承担由此增加的费用和（或）延误的工期。</w:t>
      </w:r>
    </w:p>
    <w:p w14:paraId="04F9332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45" w:name="_Toc351203514"/>
      <w:r>
        <w:rPr>
          <w:rFonts w:hint="eastAsia" w:ascii="宋体" w:hAnsi="宋体" w:eastAsia="宋体" w:cs="宋体"/>
          <w:b w:val="0"/>
          <w:color w:val="000000"/>
          <w:sz w:val="24"/>
          <w:szCs w:val="24"/>
          <w:highlight w:val="none"/>
        </w:rPr>
        <w:t>2</w:t>
      </w:r>
      <w:bookmarkStart w:id="546" w:name="_Toc296346543"/>
      <w:bookmarkStart w:id="547" w:name="_Toc337558745"/>
      <w:bookmarkStart w:id="548" w:name="_Toc296503042"/>
      <w:r>
        <w:rPr>
          <w:rFonts w:hint="eastAsia" w:ascii="宋体" w:hAnsi="宋体" w:eastAsia="宋体" w:cs="宋体"/>
          <w:b w:val="0"/>
          <w:color w:val="000000"/>
          <w:sz w:val="24"/>
          <w:szCs w:val="24"/>
          <w:highlight w:val="none"/>
        </w:rPr>
        <w:t>.5 资</w:t>
      </w:r>
      <w:bookmarkEnd w:id="546"/>
      <w:bookmarkEnd w:id="547"/>
      <w:bookmarkEnd w:id="548"/>
      <w:r>
        <w:rPr>
          <w:rFonts w:hint="eastAsia" w:ascii="宋体" w:hAnsi="宋体" w:eastAsia="宋体" w:cs="宋体"/>
          <w:b w:val="0"/>
          <w:color w:val="000000"/>
          <w:sz w:val="24"/>
          <w:szCs w:val="24"/>
          <w:highlight w:val="none"/>
        </w:rPr>
        <w:t>金来源证明及支付担保</w:t>
      </w:r>
      <w:bookmarkEnd w:id="545"/>
    </w:p>
    <w:p w14:paraId="5D8DA53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除专用合同条款另有约定外，发包人应在收到承包人要求提供资金来源证明的书面通知后28天内，向承包人提供能够按照合同约定支付合同价款的相应资金来源证明。</w:t>
      </w:r>
    </w:p>
    <w:p w14:paraId="1BC4747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4D45169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49" w:name="_Toc351203515"/>
      <w:r>
        <w:rPr>
          <w:rFonts w:hint="eastAsia" w:ascii="宋体" w:hAnsi="宋体" w:eastAsia="宋体" w:cs="宋体"/>
          <w:b w:val="0"/>
          <w:color w:val="000000"/>
          <w:sz w:val="24"/>
          <w:szCs w:val="24"/>
          <w:highlight w:val="none"/>
        </w:rPr>
        <w:t>2.6 支付合同价款</w:t>
      </w:r>
      <w:bookmarkEnd w:id="549"/>
    </w:p>
    <w:p w14:paraId="7EF1CE5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发包人应按合同约定向承包人及时支付合同价款。</w:t>
      </w:r>
    </w:p>
    <w:p w14:paraId="2FB0176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50" w:name="_Toc351203516"/>
      <w:r>
        <w:rPr>
          <w:rFonts w:hint="eastAsia" w:ascii="宋体" w:hAnsi="宋体" w:eastAsia="宋体" w:cs="宋体"/>
          <w:b w:val="0"/>
          <w:color w:val="000000"/>
          <w:sz w:val="24"/>
          <w:szCs w:val="24"/>
          <w:highlight w:val="none"/>
        </w:rPr>
        <w:t>2.7 组织竣工验收</w:t>
      </w:r>
      <w:bookmarkEnd w:id="550"/>
    </w:p>
    <w:p w14:paraId="36ED7AB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发包人应按合同约定及时组织竣工验收。</w:t>
      </w:r>
    </w:p>
    <w:p w14:paraId="2C4FB1E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51" w:name="_Toc351203517"/>
      <w:r>
        <w:rPr>
          <w:rFonts w:hint="eastAsia" w:ascii="宋体" w:hAnsi="宋体" w:eastAsia="宋体" w:cs="宋体"/>
          <w:b w:val="0"/>
          <w:color w:val="000000"/>
          <w:sz w:val="24"/>
          <w:szCs w:val="24"/>
          <w:highlight w:val="none"/>
        </w:rPr>
        <w:t>2.8 现场统一管理协议</w:t>
      </w:r>
      <w:bookmarkEnd w:id="551"/>
    </w:p>
    <w:p w14:paraId="2FC17B0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发包人应与承包人、由发包人直接发包的专业工程的承包人签订施工现场统一管理协议，明确各方的权利义务。施工现场统一管理协议作为专用合同条款的附件。</w:t>
      </w:r>
    </w:p>
    <w:p w14:paraId="3A033352">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552" w:name="_Toc351203518"/>
      <w:r>
        <w:rPr>
          <w:rFonts w:hint="eastAsia" w:ascii="宋体" w:hAnsi="宋体" w:eastAsia="宋体" w:cs="宋体"/>
          <w:b w:val="0"/>
          <w:color w:val="000000"/>
          <w:sz w:val="24"/>
          <w:szCs w:val="24"/>
          <w:highlight w:val="none"/>
        </w:rPr>
        <w:t>3</w:t>
      </w:r>
      <w:bookmarkStart w:id="553" w:name="_Toc296503045"/>
      <w:bookmarkStart w:id="554" w:name="_Toc337558746"/>
      <w:bookmarkStart w:id="555" w:name="_Toc296346546"/>
      <w:r>
        <w:rPr>
          <w:rFonts w:hint="eastAsia" w:ascii="宋体" w:hAnsi="宋体" w:eastAsia="宋体" w:cs="宋体"/>
          <w:b w:val="0"/>
          <w:color w:val="000000"/>
          <w:sz w:val="24"/>
          <w:szCs w:val="24"/>
          <w:highlight w:val="none"/>
        </w:rPr>
        <w:t>. 承包人</w:t>
      </w:r>
      <w:bookmarkEnd w:id="552"/>
    </w:p>
    <w:bookmarkEnd w:id="553"/>
    <w:bookmarkEnd w:id="554"/>
    <w:bookmarkEnd w:id="555"/>
    <w:p w14:paraId="0ECD870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56" w:name="_Toc351203519"/>
      <w:r>
        <w:rPr>
          <w:rFonts w:hint="eastAsia" w:ascii="宋体" w:hAnsi="宋体" w:eastAsia="宋体" w:cs="宋体"/>
          <w:b w:val="0"/>
          <w:color w:val="000000"/>
          <w:sz w:val="24"/>
          <w:szCs w:val="24"/>
          <w:highlight w:val="none"/>
        </w:rPr>
        <w:t>3</w:t>
      </w:r>
      <w:bookmarkStart w:id="557" w:name="_Toc296503046"/>
      <w:bookmarkStart w:id="558" w:name="_Toc296346547"/>
      <w:bookmarkStart w:id="559" w:name="_Toc337558747"/>
      <w:r>
        <w:rPr>
          <w:rFonts w:hint="eastAsia" w:ascii="宋体" w:hAnsi="宋体" w:eastAsia="宋体" w:cs="宋体"/>
          <w:b w:val="0"/>
          <w:color w:val="000000"/>
          <w:sz w:val="24"/>
          <w:szCs w:val="24"/>
          <w:highlight w:val="none"/>
        </w:rPr>
        <w:t>.1 承包人的一般义务</w:t>
      </w:r>
      <w:bookmarkEnd w:id="556"/>
    </w:p>
    <w:bookmarkEnd w:id="557"/>
    <w:bookmarkEnd w:id="558"/>
    <w:bookmarkEnd w:id="559"/>
    <w:p w14:paraId="16A8347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承包人在履行合同过程中应遵守法律和工程建设标准规范，并履行以下义务：</w:t>
      </w:r>
    </w:p>
    <w:p w14:paraId="511D1D81">
      <w:pPr>
        <w:pageBreakBefore w:val="0"/>
        <w:widowControl w:val="0"/>
        <w:numPr>
          <w:ilvl w:val="0"/>
          <w:numId w:val="2"/>
        </w:numPr>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办理法律规定应由承包人办理的许可和批准，并将办理结果书面报送发包人留存；</w:t>
      </w:r>
    </w:p>
    <w:p w14:paraId="51694AF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（2）按法律规定和合同约定完成工程，并在保修期内承担保修义务；</w:t>
      </w:r>
    </w:p>
    <w:p w14:paraId="321EBD3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（3）按法律规定和合同约定采取施工安全和环境保护措施，办理工伤保险，确保工程及人员、材料、设备和设施的安全；</w:t>
      </w:r>
    </w:p>
    <w:p w14:paraId="50E96E1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（4）按合同约定的工作内容和施工进度要求，编制施工组织设计和施工措施计划，并对所有施工作业和施工方法的完备性和安全可靠性负责；</w:t>
      </w:r>
    </w:p>
    <w:p w14:paraId="2ED3E99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3812A65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（6）按照第6.3款〔环境保护〕约定负责施工场地及其周边环境与生态的保护工作；</w:t>
      </w:r>
    </w:p>
    <w:p w14:paraId="3A34A66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（7）按第6.1款〔安全文明施工〕约定采取施工安全措施，确保工程及其人员、材料、设备和设施的安全，防止因工程施工造成的人身伤害和财产损失；</w:t>
      </w:r>
    </w:p>
    <w:p w14:paraId="06DB21A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（8）将发包人按合同约定支付的各项价款专用于合同工程，且应及时支付其雇用人员工资，并及时向分包人支付合同价款；</w:t>
      </w:r>
    </w:p>
    <w:p w14:paraId="3C0F3F3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（9）按照法律规定和合同约定编制竣工资料，完成竣工资料立卷及归档，并按专用合同条款约定的竣工资料的套数、内容、时间等要求移交发包人；</w:t>
      </w:r>
    </w:p>
    <w:p w14:paraId="42ED599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（10）应履行的其他义务。</w:t>
      </w:r>
    </w:p>
    <w:p w14:paraId="2E3B331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60" w:name="_Toc351203520"/>
      <w:r>
        <w:rPr>
          <w:rFonts w:hint="eastAsia" w:ascii="宋体" w:hAnsi="宋体" w:eastAsia="宋体" w:cs="宋体"/>
          <w:b w:val="0"/>
          <w:color w:val="000000"/>
          <w:sz w:val="24"/>
          <w:szCs w:val="24"/>
          <w:highlight w:val="none"/>
        </w:rPr>
        <w:t>3</w:t>
      </w:r>
      <w:bookmarkStart w:id="561" w:name="_Toc296346548"/>
      <w:bookmarkStart w:id="562" w:name="_Toc296503047"/>
      <w:bookmarkStart w:id="563" w:name="_Toc337558748"/>
      <w:r>
        <w:rPr>
          <w:rFonts w:hint="eastAsia" w:ascii="宋体" w:hAnsi="宋体" w:eastAsia="宋体" w:cs="宋体"/>
          <w:b w:val="0"/>
          <w:color w:val="000000"/>
          <w:sz w:val="24"/>
          <w:szCs w:val="24"/>
          <w:highlight w:val="none"/>
        </w:rPr>
        <w:t xml:space="preserve">.2 </w:t>
      </w:r>
      <w:bookmarkEnd w:id="560"/>
      <w:r>
        <w:rPr>
          <w:rFonts w:hint="eastAsia" w:ascii="宋体" w:hAnsi="宋体" w:eastAsia="宋体" w:cs="宋体"/>
          <w:b w:val="0"/>
          <w:color w:val="000000"/>
          <w:sz w:val="24"/>
          <w:szCs w:val="24"/>
          <w:highlight w:val="none"/>
        </w:rPr>
        <w:t>项目经理</w:t>
      </w:r>
    </w:p>
    <w:bookmarkEnd w:id="561"/>
    <w:bookmarkEnd w:id="562"/>
    <w:bookmarkEnd w:id="563"/>
    <w:p w14:paraId="7A2E59D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7AE46A5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42AA510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承包人违反上述约定的，应按照专用合同条款的约定，承担违约责任。</w:t>
      </w:r>
    </w:p>
    <w:p w14:paraId="25B72D7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E66457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AE64CD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789981E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28AA0B7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64" w:name="_Toc351203521"/>
      <w:r>
        <w:rPr>
          <w:rFonts w:hint="eastAsia" w:ascii="宋体" w:hAnsi="宋体" w:eastAsia="宋体" w:cs="宋体"/>
          <w:b w:val="0"/>
          <w:color w:val="000000"/>
          <w:sz w:val="24"/>
          <w:szCs w:val="24"/>
          <w:highlight w:val="none"/>
        </w:rPr>
        <w:t>3</w:t>
      </w:r>
      <w:bookmarkStart w:id="565" w:name="_Toc296503048"/>
      <w:bookmarkStart w:id="566" w:name="_Toc296346549"/>
      <w:bookmarkStart w:id="567" w:name="_Toc337558749"/>
      <w:r>
        <w:rPr>
          <w:rFonts w:hint="eastAsia" w:ascii="宋体" w:hAnsi="宋体" w:eastAsia="宋体" w:cs="宋体"/>
          <w:b w:val="0"/>
          <w:color w:val="000000"/>
          <w:sz w:val="24"/>
          <w:szCs w:val="24"/>
          <w:highlight w:val="none"/>
        </w:rPr>
        <w:t xml:space="preserve">.3 </w:t>
      </w:r>
      <w:bookmarkEnd w:id="565"/>
      <w:bookmarkEnd w:id="566"/>
      <w:r>
        <w:rPr>
          <w:rFonts w:hint="eastAsia" w:ascii="宋体" w:hAnsi="宋体" w:eastAsia="宋体" w:cs="宋体"/>
          <w:b w:val="0"/>
          <w:color w:val="000000"/>
          <w:sz w:val="24"/>
          <w:szCs w:val="24"/>
          <w:highlight w:val="none"/>
        </w:rPr>
        <w:t>承包人人员</w:t>
      </w:r>
      <w:bookmarkEnd w:id="564"/>
    </w:p>
    <w:bookmarkEnd w:id="567"/>
    <w:p w14:paraId="08976D2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188F10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A6E5E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特殊工种作业人员均应持有相应的资格证明，监理人可以随时检查。</w:t>
      </w:r>
    </w:p>
    <w:p w14:paraId="642BCB4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916C51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D8F3ED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3.3.5 承包人擅自更换主要施工管理人员，或前述人员未经监理人或发包人同意擅自离开施工现场的，应按照专用合同条款约定承担违约责任。</w:t>
      </w:r>
    </w:p>
    <w:p w14:paraId="1BF4012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68" w:name="_Toc351203522"/>
      <w:r>
        <w:rPr>
          <w:rFonts w:hint="eastAsia" w:ascii="宋体" w:hAnsi="宋体" w:eastAsia="宋体" w:cs="宋体"/>
          <w:b w:val="0"/>
          <w:color w:val="000000"/>
          <w:sz w:val="24"/>
          <w:szCs w:val="24"/>
          <w:highlight w:val="none"/>
        </w:rPr>
        <w:t>3</w:t>
      </w:r>
      <w:bookmarkStart w:id="569" w:name="_Toc337558750"/>
      <w:bookmarkStart w:id="570" w:name="_Toc296346551"/>
      <w:bookmarkStart w:id="571" w:name="_Toc296503050"/>
      <w:r>
        <w:rPr>
          <w:rFonts w:hint="eastAsia" w:ascii="宋体" w:hAnsi="宋体" w:eastAsia="宋体" w:cs="宋体"/>
          <w:b w:val="0"/>
          <w:color w:val="000000"/>
          <w:sz w:val="24"/>
          <w:szCs w:val="24"/>
          <w:highlight w:val="none"/>
        </w:rPr>
        <w:t>.4 承包人现场查勘</w:t>
      </w:r>
      <w:bookmarkEnd w:id="568"/>
    </w:p>
    <w:bookmarkEnd w:id="569"/>
    <w:bookmarkEnd w:id="570"/>
    <w:bookmarkEnd w:id="571"/>
    <w:p w14:paraId="6777FF9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承包人应对基于发包人按照第2.4.3项〔提供基础资料〕提交的基础资料所做出的解释和推断负责，但因基础资料存在错误、遗漏导致承包人解释或推断失实的，由发包人承担责任。</w:t>
      </w:r>
    </w:p>
    <w:p w14:paraId="1C08E5C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2D5908C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72" w:name="_Toc351203523"/>
      <w:r>
        <w:rPr>
          <w:rFonts w:hint="eastAsia" w:ascii="宋体" w:hAnsi="宋体" w:eastAsia="宋体" w:cs="宋体"/>
          <w:b w:val="0"/>
          <w:color w:val="000000"/>
          <w:sz w:val="24"/>
          <w:szCs w:val="24"/>
          <w:highlight w:val="none"/>
        </w:rPr>
        <w:t>3</w:t>
      </w:r>
      <w:bookmarkStart w:id="573" w:name="_Toc337558751"/>
      <w:bookmarkStart w:id="574" w:name="_Toc296503051"/>
      <w:bookmarkStart w:id="575" w:name="_Toc296346552"/>
      <w:r>
        <w:rPr>
          <w:rFonts w:hint="eastAsia" w:ascii="宋体" w:hAnsi="宋体" w:eastAsia="宋体" w:cs="宋体"/>
          <w:b w:val="0"/>
          <w:color w:val="000000"/>
          <w:sz w:val="24"/>
          <w:szCs w:val="24"/>
          <w:highlight w:val="none"/>
        </w:rPr>
        <w:t>.5 分包</w:t>
      </w:r>
      <w:bookmarkEnd w:id="572"/>
    </w:p>
    <w:bookmarkEnd w:id="573"/>
    <w:bookmarkEnd w:id="574"/>
    <w:bookmarkEnd w:id="575"/>
    <w:p w14:paraId="6088286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3.5.1 分包的一般约定</w:t>
      </w:r>
    </w:p>
    <w:p w14:paraId="27EC0EF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3836F2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承包人不得以劳务分包的名义转包或违法分包工程。</w:t>
      </w:r>
    </w:p>
    <w:p w14:paraId="671F724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3.5.2 分包的确定</w:t>
      </w:r>
    </w:p>
    <w:p w14:paraId="54163B9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5C5FA95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3.5.3 分包管理</w:t>
      </w:r>
    </w:p>
    <w:p w14:paraId="20DAC31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承包人应向监理人提交分包人的主要施工管理人员表，并对分包人的施工人员进行实名制管理，包括但不限于进出场管理、登记造册以及各种证照的办理。</w:t>
      </w:r>
    </w:p>
    <w:p w14:paraId="3B58420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3.5.4 分包合同价款</w:t>
      </w:r>
    </w:p>
    <w:p w14:paraId="5F77528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（1）除本项第（2）目约定的情况或专用合同条款另有约定外，分包合同价款由承包人与分包人结算，未经承包人同意，发包人不得向分包人支付分包工程价款；</w:t>
      </w:r>
    </w:p>
    <w:p w14:paraId="3510172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（2）生效法律文书要求发包人向分包人支付分包合同价款的，发包人有权从应付承包人工程款中扣除该部分款项。</w:t>
      </w:r>
    </w:p>
    <w:p w14:paraId="79076E1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3.5.5 分包合同权益的转让</w:t>
      </w:r>
    </w:p>
    <w:p w14:paraId="562DAB1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76" w:name="_Toc351203524"/>
    </w:p>
    <w:p w14:paraId="4D52505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3.6 工程照管与成品、半成品保护</w:t>
      </w:r>
      <w:bookmarkEnd w:id="576"/>
    </w:p>
    <w:p w14:paraId="49B3566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（1）除专用合同条款另有约定外，自发包人向承包人移交施工现场之日起，承包人应负责照管工程及工程相关的材料、工程设备，直到颁发工程接收证书之日止。</w:t>
      </w:r>
    </w:p>
    <w:p w14:paraId="492F8BF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（2）在承包人负责照管期间，因承包人原因造成工程、材料、工程设备损坏的，由承包人负责修复或更换，并承担由此增加的费用和（或）延误的工期。</w:t>
      </w:r>
    </w:p>
    <w:p w14:paraId="096125C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1D030DE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77" w:name="_Toc351203525"/>
      <w:r>
        <w:rPr>
          <w:rFonts w:hint="eastAsia" w:ascii="宋体" w:hAnsi="宋体" w:eastAsia="宋体" w:cs="宋体"/>
          <w:b w:val="0"/>
          <w:color w:val="000000"/>
          <w:sz w:val="24"/>
          <w:szCs w:val="24"/>
          <w:highlight w:val="none"/>
        </w:rPr>
        <w:t>3</w:t>
      </w:r>
      <w:bookmarkStart w:id="578" w:name="_Toc296346553"/>
      <w:bookmarkStart w:id="579" w:name="_Toc337558752"/>
      <w:bookmarkStart w:id="580" w:name="_Toc296503052"/>
      <w:r>
        <w:rPr>
          <w:rFonts w:hint="eastAsia" w:ascii="宋体" w:hAnsi="宋体" w:eastAsia="宋体" w:cs="宋体"/>
          <w:b w:val="0"/>
          <w:color w:val="000000"/>
          <w:sz w:val="24"/>
          <w:szCs w:val="24"/>
          <w:highlight w:val="none"/>
        </w:rPr>
        <w:t>.7 履约担保</w:t>
      </w:r>
      <w:bookmarkEnd w:id="577"/>
    </w:p>
    <w:bookmarkEnd w:id="578"/>
    <w:bookmarkEnd w:id="579"/>
    <w:bookmarkEnd w:id="580"/>
    <w:p w14:paraId="5ABDA08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690DBE1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因承包人原因导致工期延长的，继续提供履约担保所增加的费用由承包人承担；非因承包人原因导致工期延长的，继续提供履约担保所增加的费用由发包人承担。</w:t>
      </w:r>
    </w:p>
    <w:p w14:paraId="450D5A0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81" w:name="_Toc351203526"/>
      <w:r>
        <w:rPr>
          <w:rFonts w:hint="eastAsia" w:ascii="宋体" w:hAnsi="宋体" w:eastAsia="宋体" w:cs="宋体"/>
          <w:b w:val="0"/>
          <w:color w:val="000000"/>
          <w:sz w:val="24"/>
          <w:szCs w:val="24"/>
          <w:highlight w:val="none"/>
        </w:rPr>
        <w:t>3.8 联合体</w:t>
      </w:r>
      <w:bookmarkEnd w:id="581"/>
    </w:p>
    <w:p w14:paraId="4C8F33D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3.8.1 联合体各方应共同与发包人签订合同协议书。联合体各方应为履行合同向发包人承担连带责任。</w:t>
      </w:r>
    </w:p>
    <w:p w14:paraId="6A76D67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3.8.2 联合体协议经发包人确认后作为合同附件。在履行合同过程中，未经发包人同意，不得修改联合体协议。</w:t>
      </w:r>
    </w:p>
    <w:p w14:paraId="7685D79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3.8.3 联合体牵头人负责与发包人和监理人联系，并接受指示，负责组织联合体各成员全面履行合同。</w:t>
      </w:r>
    </w:p>
    <w:p w14:paraId="084BB398">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582" w:name="_Toc351203527"/>
      <w:r>
        <w:rPr>
          <w:rFonts w:hint="eastAsia" w:ascii="宋体" w:hAnsi="宋体" w:eastAsia="宋体" w:cs="宋体"/>
          <w:b w:val="0"/>
          <w:color w:val="000000"/>
          <w:sz w:val="24"/>
          <w:szCs w:val="24"/>
          <w:highlight w:val="none"/>
        </w:rPr>
        <w:t>4</w:t>
      </w:r>
      <w:bookmarkStart w:id="583" w:name="_Toc296346554"/>
      <w:bookmarkStart w:id="584" w:name="_Toc296503053"/>
      <w:bookmarkStart w:id="585" w:name="_Toc337558753"/>
      <w:r>
        <w:rPr>
          <w:rFonts w:hint="eastAsia" w:ascii="宋体" w:hAnsi="宋体" w:eastAsia="宋体" w:cs="宋体"/>
          <w:b w:val="0"/>
          <w:color w:val="000000"/>
          <w:sz w:val="24"/>
          <w:szCs w:val="24"/>
          <w:highlight w:val="none"/>
        </w:rPr>
        <w:t>. 监</w:t>
      </w:r>
      <w:bookmarkEnd w:id="583"/>
      <w:bookmarkEnd w:id="584"/>
      <w:r>
        <w:rPr>
          <w:rFonts w:hint="eastAsia" w:ascii="宋体" w:hAnsi="宋体" w:eastAsia="宋体" w:cs="宋体"/>
          <w:b w:val="0"/>
          <w:color w:val="000000"/>
          <w:sz w:val="24"/>
          <w:szCs w:val="24"/>
          <w:highlight w:val="none"/>
        </w:rPr>
        <w:t>理人</w:t>
      </w:r>
      <w:bookmarkEnd w:id="582"/>
    </w:p>
    <w:bookmarkEnd w:id="585"/>
    <w:p w14:paraId="6015301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86" w:name="_Toc351203528"/>
      <w:r>
        <w:rPr>
          <w:rFonts w:hint="eastAsia" w:ascii="宋体" w:hAnsi="宋体" w:eastAsia="宋体" w:cs="宋体"/>
          <w:b w:val="0"/>
          <w:color w:val="000000"/>
          <w:sz w:val="24"/>
          <w:szCs w:val="24"/>
          <w:highlight w:val="none"/>
        </w:rPr>
        <w:t>4</w:t>
      </w:r>
      <w:bookmarkStart w:id="587" w:name="_Toc296503054"/>
      <w:bookmarkStart w:id="588" w:name="_Toc337558754"/>
      <w:bookmarkStart w:id="589" w:name="_Toc296346555"/>
      <w:r>
        <w:rPr>
          <w:rFonts w:hint="eastAsia" w:ascii="宋体" w:hAnsi="宋体" w:eastAsia="宋体" w:cs="宋体"/>
          <w:b w:val="0"/>
          <w:color w:val="000000"/>
          <w:sz w:val="24"/>
          <w:szCs w:val="24"/>
          <w:highlight w:val="none"/>
        </w:rPr>
        <w:t>.1监理人的一般规定</w:t>
      </w:r>
      <w:bookmarkEnd w:id="586"/>
    </w:p>
    <w:bookmarkEnd w:id="587"/>
    <w:bookmarkEnd w:id="588"/>
    <w:bookmarkEnd w:id="589"/>
    <w:p w14:paraId="60A6F45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1D6552A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除专用合同条款另有约定外，监理人在施工现场的办公场所、生活场所由承包人提供，所发生的费用由发包人承担。</w:t>
      </w:r>
    </w:p>
    <w:p w14:paraId="3FD0A4C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90" w:name="_Toc351203529"/>
      <w:r>
        <w:rPr>
          <w:rFonts w:hint="eastAsia" w:ascii="宋体" w:hAnsi="宋体" w:eastAsia="宋体" w:cs="宋体"/>
          <w:b w:val="0"/>
          <w:color w:val="000000"/>
          <w:sz w:val="24"/>
          <w:szCs w:val="24"/>
          <w:highlight w:val="none"/>
        </w:rPr>
        <w:t>4</w:t>
      </w:r>
      <w:bookmarkStart w:id="591" w:name="_Toc337558755"/>
      <w:r>
        <w:rPr>
          <w:rFonts w:hint="eastAsia" w:ascii="宋体" w:hAnsi="宋体" w:eastAsia="宋体" w:cs="宋体"/>
          <w:b w:val="0"/>
          <w:color w:val="000000"/>
          <w:sz w:val="24"/>
          <w:szCs w:val="24"/>
          <w:highlight w:val="none"/>
        </w:rPr>
        <w:t>.2监理人员</w:t>
      </w:r>
      <w:bookmarkEnd w:id="590"/>
    </w:p>
    <w:bookmarkEnd w:id="591"/>
    <w:p w14:paraId="5255279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321D2E1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92" w:name="_Toc351203530"/>
      <w:r>
        <w:rPr>
          <w:rFonts w:hint="eastAsia" w:ascii="宋体" w:hAnsi="宋体" w:eastAsia="宋体" w:cs="宋体"/>
          <w:b w:val="0"/>
          <w:color w:val="000000"/>
          <w:sz w:val="24"/>
          <w:szCs w:val="24"/>
          <w:highlight w:val="none"/>
        </w:rPr>
        <w:t>4</w:t>
      </w:r>
      <w:bookmarkStart w:id="593" w:name="_Toc296503055"/>
      <w:bookmarkStart w:id="594" w:name="_Toc296346556"/>
      <w:bookmarkStart w:id="595" w:name="_Toc337558756"/>
      <w:r>
        <w:rPr>
          <w:rFonts w:hint="eastAsia" w:ascii="宋体" w:hAnsi="宋体" w:eastAsia="宋体" w:cs="宋体"/>
          <w:b w:val="0"/>
          <w:color w:val="000000"/>
          <w:sz w:val="24"/>
          <w:szCs w:val="24"/>
          <w:highlight w:val="none"/>
        </w:rPr>
        <w:t>.3</w:t>
      </w:r>
      <w:bookmarkEnd w:id="593"/>
      <w:bookmarkEnd w:id="594"/>
      <w:r>
        <w:rPr>
          <w:rFonts w:hint="eastAsia" w:ascii="宋体" w:hAnsi="宋体" w:eastAsia="宋体" w:cs="宋体"/>
          <w:b w:val="0"/>
          <w:color w:val="000000"/>
          <w:sz w:val="24"/>
          <w:szCs w:val="24"/>
          <w:highlight w:val="none"/>
        </w:rPr>
        <w:t>监理人的指</w:t>
      </w:r>
      <w:bookmarkEnd w:id="595"/>
      <w:r>
        <w:rPr>
          <w:rFonts w:hint="eastAsia" w:ascii="宋体" w:hAnsi="宋体" w:eastAsia="宋体" w:cs="宋体"/>
          <w:b w:val="0"/>
          <w:color w:val="000000"/>
          <w:sz w:val="24"/>
          <w:szCs w:val="24"/>
          <w:highlight w:val="none"/>
        </w:rPr>
        <w:t>示</w:t>
      </w:r>
      <w:bookmarkEnd w:id="592"/>
    </w:p>
    <w:p w14:paraId="10B4EF3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B59CBA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21AD5BA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承包人对监理人发出的指示有疑问的，应向监理人提出书面异议，监理人应在48小时内对该指示予以确认、更改或撤销，监理人逾期未回复的，承包人有权拒绝执行上述指示。</w:t>
      </w:r>
    </w:p>
    <w:p w14:paraId="68DA388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0952D992">
      <w:pPr>
        <w:pStyle w:val="7"/>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596" w:name="_Toc351203531"/>
      <w:r>
        <w:rPr>
          <w:rFonts w:hint="eastAsia" w:ascii="宋体" w:hAnsi="宋体" w:eastAsia="宋体" w:cs="宋体"/>
          <w:b w:val="0"/>
          <w:color w:val="000000"/>
          <w:sz w:val="24"/>
          <w:szCs w:val="24"/>
          <w:highlight w:val="none"/>
        </w:rPr>
        <w:t>4</w:t>
      </w:r>
      <w:bookmarkStart w:id="597" w:name="_Toc337558757"/>
      <w:bookmarkStart w:id="598" w:name="_Toc296346558"/>
      <w:bookmarkStart w:id="599" w:name="_Toc296503057"/>
      <w:r>
        <w:rPr>
          <w:rFonts w:hint="eastAsia" w:ascii="宋体" w:hAnsi="宋体" w:eastAsia="宋体" w:cs="宋体"/>
          <w:b w:val="0"/>
          <w:color w:val="000000"/>
          <w:sz w:val="24"/>
          <w:szCs w:val="24"/>
          <w:highlight w:val="none"/>
        </w:rPr>
        <w:t>.4 商定或确定</w:t>
      </w:r>
      <w:bookmarkEnd w:id="596"/>
    </w:p>
    <w:bookmarkEnd w:id="597"/>
    <w:bookmarkEnd w:id="598"/>
    <w:bookmarkEnd w:id="599"/>
    <w:p w14:paraId="6D55D2A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合同当事人进行商定或确定时，总监理工程师应当会同合同当事人尽量通过协商达成一致，不能达成一致的，由总监理工程师按照合同约定审慎做出公正的确定。</w:t>
      </w:r>
    </w:p>
    <w:p w14:paraId="1EBF320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05822F3C">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600" w:name="_Toc351203532"/>
      <w:r>
        <w:rPr>
          <w:rFonts w:hint="eastAsia" w:ascii="宋体" w:hAnsi="宋体" w:eastAsia="宋体" w:cs="宋体"/>
          <w:b w:val="0"/>
          <w:color w:val="000000"/>
          <w:sz w:val="24"/>
          <w:szCs w:val="24"/>
          <w:highlight w:val="none"/>
        </w:rPr>
        <w:t>5</w:t>
      </w:r>
      <w:bookmarkStart w:id="601" w:name="_Toc337558758"/>
      <w:r>
        <w:rPr>
          <w:rFonts w:hint="eastAsia" w:ascii="宋体" w:hAnsi="宋体" w:eastAsia="宋体" w:cs="宋体"/>
          <w:b w:val="0"/>
          <w:color w:val="000000"/>
          <w:sz w:val="24"/>
          <w:szCs w:val="24"/>
          <w:highlight w:val="none"/>
        </w:rPr>
        <w:t>. 工程质量</w:t>
      </w:r>
      <w:bookmarkEnd w:id="600"/>
    </w:p>
    <w:bookmarkEnd w:id="601"/>
    <w:p w14:paraId="45EC626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02" w:name="_Toc351203533"/>
      <w:r>
        <w:rPr>
          <w:rFonts w:hint="eastAsia" w:ascii="宋体" w:hAnsi="宋体" w:eastAsia="宋体" w:cs="宋体"/>
          <w:b w:val="0"/>
          <w:color w:val="000000"/>
          <w:sz w:val="24"/>
          <w:szCs w:val="24"/>
          <w:highlight w:val="none"/>
        </w:rPr>
        <w:t>5</w:t>
      </w:r>
      <w:bookmarkStart w:id="603" w:name="_Toc337558759"/>
      <w:r>
        <w:rPr>
          <w:rFonts w:hint="eastAsia" w:ascii="宋体" w:hAnsi="宋体" w:eastAsia="宋体" w:cs="宋体"/>
          <w:b w:val="0"/>
          <w:color w:val="000000"/>
          <w:sz w:val="24"/>
          <w:szCs w:val="24"/>
          <w:highlight w:val="none"/>
        </w:rPr>
        <w:t>.1质量要求</w:t>
      </w:r>
      <w:bookmarkEnd w:id="602"/>
    </w:p>
    <w:bookmarkEnd w:id="603"/>
    <w:p w14:paraId="3A890FD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5.1.1 工程质量标准必须符合现行国家有关工程施工质量验收规范和标准的要求。有关工程质量的特殊标准或要求由合同当事人在专用合同条款中约定。</w:t>
      </w:r>
    </w:p>
    <w:p w14:paraId="5541C18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5.1.2 因发包人原因造成工程质量未达到合同约定标准的，由发包人承担由此增加的费用和（或）延误的工期，并支付承包人合理的利润。</w:t>
      </w:r>
    </w:p>
    <w:p w14:paraId="7B15BA2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5.1.3 因承包人原因造成工程质量未达到合同约定标准的，发包人有权要求承包人返工直至工程质量达到合同约定的标准为止，并由承包人承担由此增加的费用和（或）延误的工期。</w:t>
      </w:r>
    </w:p>
    <w:p w14:paraId="28339E9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04" w:name="_Toc351203534"/>
      <w:r>
        <w:rPr>
          <w:rFonts w:hint="eastAsia" w:ascii="宋体" w:hAnsi="宋体" w:eastAsia="宋体" w:cs="宋体"/>
          <w:b w:val="0"/>
          <w:color w:val="000000"/>
          <w:sz w:val="24"/>
          <w:szCs w:val="24"/>
          <w:highlight w:val="none"/>
        </w:rPr>
        <w:t>5</w:t>
      </w:r>
      <w:bookmarkStart w:id="605" w:name="_Toc337558760"/>
      <w:r>
        <w:rPr>
          <w:rFonts w:hint="eastAsia" w:ascii="宋体" w:hAnsi="宋体" w:eastAsia="宋体" w:cs="宋体"/>
          <w:b w:val="0"/>
          <w:color w:val="000000"/>
          <w:sz w:val="24"/>
          <w:szCs w:val="24"/>
          <w:highlight w:val="none"/>
        </w:rPr>
        <w:t>.2质量保证措施</w:t>
      </w:r>
      <w:bookmarkEnd w:id="604"/>
    </w:p>
    <w:bookmarkEnd w:id="605"/>
    <w:p w14:paraId="2B6BFE3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5.2.1 发包人的质量管理</w:t>
      </w:r>
    </w:p>
    <w:p w14:paraId="6F024FE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发包人应按照法律规定及合同约定完成与工程质量有关的各项工作。</w:t>
      </w:r>
    </w:p>
    <w:p w14:paraId="3CB2995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5.2.2 承包人的质量管理</w:t>
      </w:r>
    </w:p>
    <w:p w14:paraId="2C93FF7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3FFF9C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承包人应对施工人员进行质量教育和技术培训，定期考核施工人员的劳动技能，严格执行施工规范和操作规程。</w:t>
      </w:r>
    </w:p>
    <w:p w14:paraId="2BC3D81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575C9B4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5.2.3 监理人的质量检查和检验</w:t>
      </w:r>
    </w:p>
    <w:p w14:paraId="6B3720F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6E364D4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1B3B05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06" w:name="_Toc351203535"/>
      <w:r>
        <w:rPr>
          <w:rFonts w:hint="eastAsia" w:ascii="宋体" w:hAnsi="宋体" w:eastAsia="宋体" w:cs="宋体"/>
          <w:b w:val="0"/>
          <w:color w:val="000000"/>
          <w:sz w:val="24"/>
          <w:szCs w:val="24"/>
          <w:highlight w:val="none"/>
        </w:rPr>
        <w:t>5</w:t>
      </w:r>
      <w:bookmarkStart w:id="607" w:name="_Toc337558761"/>
      <w:r>
        <w:rPr>
          <w:rFonts w:hint="eastAsia" w:ascii="宋体" w:hAnsi="宋体" w:eastAsia="宋体" w:cs="宋体"/>
          <w:b w:val="0"/>
          <w:color w:val="000000"/>
          <w:sz w:val="24"/>
          <w:szCs w:val="24"/>
          <w:highlight w:val="none"/>
        </w:rPr>
        <w:t>.3 隐蔽工程检查</w:t>
      </w:r>
      <w:bookmarkEnd w:id="606"/>
    </w:p>
    <w:bookmarkEnd w:id="607"/>
    <w:p w14:paraId="6502D2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5.3.1承包人自检</w:t>
      </w:r>
    </w:p>
    <w:p w14:paraId="235212E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承包人应当对工程隐蔽部位进行自检，并经自检确认是否具备覆盖条件。</w:t>
      </w:r>
    </w:p>
    <w:p w14:paraId="75E4C3E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5.3.2检查程序</w:t>
      </w:r>
    </w:p>
    <w:p w14:paraId="42FB815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48F7F3A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15AF622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7501D0E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5.3.3 重新检查</w:t>
      </w:r>
    </w:p>
    <w:p w14:paraId="1A56832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95C419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5.3.4 承包人私自覆盖</w:t>
      </w:r>
    </w:p>
    <w:p w14:paraId="7E5AA7D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116A8CFD">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08" w:name="_Toc351203536"/>
      <w:r>
        <w:rPr>
          <w:rFonts w:hint="eastAsia" w:ascii="宋体" w:hAnsi="宋体" w:eastAsia="宋体" w:cs="宋体"/>
          <w:b w:val="0"/>
          <w:color w:val="000000"/>
          <w:sz w:val="24"/>
          <w:szCs w:val="24"/>
          <w:highlight w:val="none"/>
        </w:rPr>
        <w:t>5</w:t>
      </w:r>
      <w:bookmarkStart w:id="609" w:name="_Toc337558762"/>
      <w:r>
        <w:rPr>
          <w:rFonts w:hint="eastAsia" w:ascii="宋体" w:hAnsi="宋体" w:eastAsia="宋体" w:cs="宋体"/>
          <w:b w:val="0"/>
          <w:color w:val="000000"/>
          <w:sz w:val="24"/>
          <w:szCs w:val="24"/>
          <w:highlight w:val="none"/>
        </w:rPr>
        <w:t>.4不合格工程的处理</w:t>
      </w:r>
      <w:bookmarkEnd w:id="608"/>
    </w:p>
    <w:bookmarkEnd w:id="609"/>
    <w:p w14:paraId="018345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1285F6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5.4.2 因发包人原因造成工程不合格的，由此增加的费用和（或）延误的工期由发包人承担，并支付承包人合理的利润。</w:t>
      </w:r>
    </w:p>
    <w:p w14:paraId="164A277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10" w:name="_Toc351203537"/>
      <w:r>
        <w:rPr>
          <w:rFonts w:hint="eastAsia" w:ascii="宋体" w:hAnsi="宋体" w:eastAsia="宋体" w:cs="宋体"/>
          <w:b w:val="0"/>
          <w:color w:val="000000"/>
          <w:sz w:val="24"/>
          <w:szCs w:val="24"/>
          <w:highlight w:val="none"/>
        </w:rPr>
        <w:t>5.5 质量争议检测</w:t>
      </w:r>
      <w:bookmarkEnd w:id="610"/>
    </w:p>
    <w:p w14:paraId="0CF91E4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合同当事人对工程质量有争议的，由双方协商确定的工程质量检测机构鉴定，由此产生的费用及因此造成的损失，由责任方承担。</w:t>
      </w:r>
    </w:p>
    <w:p w14:paraId="3EC6AD4F">
      <w:pPr>
        <w:pageBreakBefore w:val="0"/>
        <w:widowControl w:val="0"/>
        <w:kinsoku/>
        <w:wordWrap/>
        <w:overflowPunct/>
        <w:topLinePunct w:val="0"/>
        <w:autoSpaceDE w:val="0"/>
        <w:autoSpaceDN w:val="0"/>
        <w:bidi w:val="0"/>
        <w:adjustRightInd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合同当事人均有责任的，由双方根据其责任分别承担。合同当事人无法达成一致的，按照第4.4款〔商定或确定〕执行。</w:t>
      </w:r>
    </w:p>
    <w:p w14:paraId="24538CAF">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611" w:name="_Toc351203538"/>
      <w:r>
        <w:rPr>
          <w:rFonts w:hint="eastAsia" w:ascii="宋体" w:hAnsi="宋体" w:eastAsia="宋体" w:cs="宋体"/>
          <w:b w:val="0"/>
          <w:color w:val="000000"/>
          <w:sz w:val="24"/>
          <w:szCs w:val="24"/>
          <w:highlight w:val="none"/>
        </w:rPr>
        <w:t>6</w:t>
      </w:r>
      <w:bookmarkStart w:id="612" w:name="_Toc337558763"/>
      <w:r>
        <w:rPr>
          <w:rFonts w:hint="eastAsia" w:ascii="宋体" w:hAnsi="宋体" w:eastAsia="宋体" w:cs="宋体"/>
          <w:b w:val="0"/>
          <w:color w:val="000000"/>
          <w:sz w:val="24"/>
          <w:szCs w:val="24"/>
          <w:highlight w:val="none"/>
        </w:rPr>
        <w:t>. 安全文明施工与环境保护</w:t>
      </w:r>
      <w:bookmarkEnd w:id="611"/>
    </w:p>
    <w:bookmarkEnd w:id="612"/>
    <w:p w14:paraId="0A66FA1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13" w:name="_Toc351203539"/>
      <w:r>
        <w:rPr>
          <w:rFonts w:hint="eastAsia" w:ascii="宋体" w:hAnsi="宋体" w:eastAsia="宋体" w:cs="宋体"/>
          <w:b w:val="0"/>
          <w:color w:val="000000"/>
          <w:sz w:val="24"/>
          <w:szCs w:val="24"/>
          <w:highlight w:val="none"/>
        </w:rPr>
        <w:t>6</w:t>
      </w:r>
      <w:bookmarkStart w:id="614" w:name="_Toc337558764"/>
      <w:r>
        <w:rPr>
          <w:rFonts w:hint="eastAsia" w:ascii="宋体" w:hAnsi="宋体" w:eastAsia="宋体" w:cs="宋体"/>
          <w:b w:val="0"/>
          <w:color w:val="000000"/>
          <w:sz w:val="24"/>
          <w:szCs w:val="24"/>
          <w:highlight w:val="none"/>
        </w:rPr>
        <w:t>.1安全文明施工</w:t>
      </w:r>
      <w:bookmarkEnd w:id="613"/>
    </w:p>
    <w:bookmarkEnd w:id="614"/>
    <w:p w14:paraId="4BFE004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6.1.1安全生产要求</w:t>
      </w:r>
    </w:p>
    <w:p w14:paraId="4944C49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78D2F9E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宋体"/>
          <w:color w:val="000000"/>
          <w:kern w:val="0"/>
          <w:sz w:val="24"/>
          <w:szCs w:val="24"/>
          <w:highlight w:val="none"/>
        </w:rPr>
        <w:t>政府有关行政管理部门</w:t>
      </w:r>
      <w:r>
        <w:rPr>
          <w:rFonts w:hint="eastAsia" w:ascii="宋体" w:hAnsi="宋体" w:eastAsia="宋体" w:cs="宋体"/>
          <w:color w:val="000000"/>
          <w:sz w:val="24"/>
          <w:szCs w:val="24"/>
          <w:highlight w:val="none"/>
        </w:rPr>
        <w:t>采取应急措施。</w:t>
      </w:r>
    </w:p>
    <w:p w14:paraId="7CCFFA1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因安全生产需要暂停施工的，按照第7.8款〔暂停施工〕的约定执行。</w:t>
      </w:r>
    </w:p>
    <w:p w14:paraId="5A36175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6.1.2 安全生产保证措施</w:t>
      </w:r>
    </w:p>
    <w:p w14:paraId="38DC195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承包人应当按照有关</w:t>
      </w:r>
      <w:r>
        <w:rPr>
          <w:rFonts w:hint="eastAsia" w:ascii="宋体" w:hAnsi="宋体" w:eastAsia="宋体" w:cs="宋体"/>
          <w:color w:val="000000"/>
          <w:kern w:val="0"/>
          <w:sz w:val="24"/>
          <w:szCs w:val="24"/>
          <w:highlight w:val="none"/>
        </w:rPr>
        <w:t>规定编制安全技术措施或者专项施工方案，</w:t>
      </w:r>
      <w:r>
        <w:rPr>
          <w:rFonts w:hint="eastAsia" w:ascii="宋体" w:hAnsi="宋体" w:eastAsia="宋体" w:cs="宋体"/>
          <w:color w:val="000000"/>
          <w:sz w:val="24"/>
          <w:szCs w:val="24"/>
          <w:highlight w:val="none"/>
        </w:rPr>
        <w:t>建立安全生产责任制度、治安保卫制度及安全生产教育培训制度，并</w:t>
      </w:r>
      <w:r>
        <w:rPr>
          <w:rFonts w:hint="eastAsia" w:ascii="宋体" w:hAnsi="宋体" w:eastAsia="宋体" w:cs="宋体"/>
          <w:color w:val="000000"/>
          <w:kern w:val="0"/>
          <w:sz w:val="24"/>
          <w:szCs w:val="24"/>
          <w:highlight w:val="none"/>
        </w:rPr>
        <w:t>按安全生产法律规定及合同约定履行安全职责，如实</w:t>
      </w:r>
      <w:r>
        <w:rPr>
          <w:rFonts w:hint="eastAsia" w:ascii="宋体" w:hAnsi="宋体" w:eastAsia="宋体" w:cs="宋体"/>
          <w:color w:val="000000"/>
          <w:sz w:val="24"/>
          <w:szCs w:val="24"/>
          <w:highlight w:val="none"/>
        </w:rPr>
        <w:t>编制工程安全生产的有关记录，</w:t>
      </w:r>
      <w:r>
        <w:rPr>
          <w:rFonts w:hint="eastAsia" w:ascii="宋体" w:hAnsi="宋体" w:eastAsia="宋体" w:cs="宋体"/>
          <w:color w:val="000000"/>
          <w:kern w:val="0"/>
          <w:sz w:val="24"/>
          <w:szCs w:val="24"/>
          <w:highlight w:val="none"/>
        </w:rPr>
        <w:t>接受发包人、监理人及政府安全监督部门的检查与监督。</w:t>
      </w:r>
    </w:p>
    <w:p w14:paraId="7E8CB04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6.1.3特别安全生产事项</w:t>
      </w:r>
    </w:p>
    <w:p w14:paraId="294A757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7DAF58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5925A9A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2E043CE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需单独编制危险性较大分部分项专项工程施工方案的，及要求进行专家论证的超过一定规模的危险性较大的分部分项工程，承包人应及时编制和组织论证。</w:t>
      </w:r>
    </w:p>
    <w:p w14:paraId="58F002A9">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6.1.4 治安保卫</w:t>
      </w:r>
    </w:p>
    <w:p w14:paraId="5CED78B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除专用合同条款另有约定外，发包人应与当地公安部门协商，在现场建立治安管理机构或联防组织，统一管理施工场地的治安保卫事项，履行合同工程的治安保卫职责。</w:t>
      </w:r>
    </w:p>
    <w:p w14:paraId="1308AF3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发包人和承包人除应协助现场治安管理机构或联防组织维护施工场地的社会治安外，还应做好包括生活区在内的各自管辖区的治安保卫工作。</w:t>
      </w:r>
    </w:p>
    <w:p w14:paraId="4906B35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95D328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6.1.5 文明施工</w:t>
      </w:r>
    </w:p>
    <w:p w14:paraId="0C1A793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337DFBB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F326FB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6.1.6 安全文明施工费</w:t>
      </w:r>
    </w:p>
    <w:p w14:paraId="1478F09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14:paraId="1C04587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40494A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52AF8A0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F497F7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6.1.7 紧急情况处理</w:t>
      </w:r>
    </w:p>
    <w:p w14:paraId="568BE8C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410E7D6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6.1.8 事故处理</w:t>
      </w:r>
    </w:p>
    <w:p w14:paraId="552E79E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7F44F2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6.1.9 安全生产责任</w:t>
      </w:r>
    </w:p>
    <w:p w14:paraId="272F15F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6.1.9.1 发包人的安全责任</w:t>
      </w:r>
    </w:p>
    <w:p w14:paraId="28883D7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发包人应负责赔偿以下各种情况造成的损失：</w:t>
      </w:r>
    </w:p>
    <w:p w14:paraId="7EE90E0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（1）工程或工程的任何部分对土地的占用所造成的第三者财产损失；</w:t>
      </w:r>
    </w:p>
    <w:p w14:paraId="2FFA0E0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（2）由于发包人原因在施工场地及其毗邻地带造成的第三者人身伤亡和财产损失；</w:t>
      </w:r>
    </w:p>
    <w:p w14:paraId="4C1382A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（3）由于发包人原因对承包人、监理人造成的人员人身伤亡和财产损失；</w:t>
      </w:r>
    </w:p>
    <w:p w14:paraId="63E535E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（4）由于发包人原因造成的发包人自身人员的人身伤害以及财产损失。</w:t>
      </w:r>
    </w:p>
    <w:p w14:paraId="2CE7C05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6.1.9.2 承包人的安全责任</w:t>
      </w:r>
    </w:p>
    <w:p w14:paraId="08A0B62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由于承包人原因在施工场地内及其毗邻地带造成的发包人、监理人以及第三者人员伤亡和财产损失，由承包人负责赔偿。</w:t>
      </w:r>
    </w:p>
    <w:p w14:paraId="089FF73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15" w:name="_Toc351203540"/>
      <w:r>
        <w:rPr>
          <w:rFonts w:hint="eastAsia" w:ascii="宋体" w:hAnsi="宋体" w:eastAsia="宋体" w:cs="宋体"/>
          <w:b w:val="0"/>
          <w:color w:val="000000"/>
          <w:sz w:val="24"/>
          <w:szCs w:val="24"/>
          <w:highlight w:val="none"/>
        </w:rPr>
        <w:t>6</w:t>
      </w:r>
      <w:bookmarkStart w:id="616" w:name="_Toc337558765"/>
      <w:r>
        <w:rPr>
          <w:rFonts w:hint="eastAsia" w:ascii="宋体" w:hAnsi="宋体" w:eastAsia="宋体" w:cs="宋体"/>
          <w:b w:val="0"/>
          <w:color w:val="000000"/>
          <w:sz w:val="24"/>
          <w:szCs w:val="24"/>
          <w:highlight w:val="none"/>
        </w:rPr>
        <w:t>.2 职业健康</w:t>
      </w:r>
      <w:bookmarkEnd w:id="615"/>
    </w:p>
    <w:bookmarkEnd w:id="616"/>
    <w:p w14:paraId="784BD43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6.2.1 劳动保护</w:t>
      </w:r>
    </w:p>
    <w:p w14:paraId="30B1AAC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6C97A35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449E47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000C730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6.2.2 生活条件</w:t>
      </w:r>
    </w:p>
    <w:p w14:paraId="470754D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0B72531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17" w:name="_Toc351203541"/>
      <w:r>
        <w:rPr>
          <w:rFonts w:hint="eastAsia" w:ascii="宋体" w:hAnsi="宋体" w:eastAsia="宋体" w:cs="宋体"/>
          <w:b w:val="0"/>
          <w:color w:val="000000"/>
          <w:sz w:val="24"/>
          <w:szCs w:val="24"/>
          <w:highlight w:val="none"/>
        </w:rPr>
        <w:t>6</w:t>
      </w:r>
      <w:bookmarkStart w:id="618" w:name="_Toc337558766"/>
      <w:r>
        <w:rPr>
          <w:rFonts w:hint="eastAsia" w:ascii="宋体" w:hAnsi="宋体" w:eastAsia="宋体" w:cs="宋体"/>
          <w:b w:val="0"/>
          <w:color w:val="000000"/>
          <w:sz w:val="24"/>
          <w:szCs w:val="24"/>
          <w:highlight w:val="none"/>
        </w:rPr>
        <w:t>.3 环境保护</w:t>
      </w:r>
      <w:bookmarkEnd w:id="617"/>
    </w:p>
    <w:bookmarkEnd w:id="618"/>
    <w:p w14:paraId="1585604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FB6C7C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承包人应当承担因其原因引起的环境污染侵权损害赔偿责任，因上述环境污染引起纠纷而导致暂停施工的，由此增加的费用和（或）延误的工期由承包人承担。</w:t>
      </w:r>
    </w:p>
    <w:p w14:paraId="3FC1169B">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619" w:name="_Toc351203542"/>
      <w:r>
        <w:rPr>
          <w:rFonts w:hint="eastAsia" w:ascii="宋体" w:hAnsi="宋体" w:eastAsia="宋体" w:cs="宋体"/>
          <w:b w:val="0"/>
          <w:color w:val="000000"/>
          <w:sz w:val="24"/>
          <w:szCs w:val="24"/>
          <w:highlight w:val="none"/>
        </w:rPr>
        <w:t>7</w:t>
      </w:r>
      <w:bookmarkStart w:id="620" w:name="_Toc337558767"/>
      <w:r>
        <w:rPr>
          <w:rFonts w:hint="eastAsia" w:ascii="宋体" w:hAnsi="宋体" w:eastAsia="宋体" w:cs="宋体"/>
          <w:b w:val="0"/>
          <w:color w:val="000000"/>
          <w:sz w:val="24"/>
          <w:szCs w:val="24"/>
          <w:highlight w:val="none"/>
        </w:rPr>
        <w:t>. 工期和进度</w:t>
      </w:r>
      <w:bookmarkEnd w:id="619"/>
    </w:p>
    <w:bookmarkEnd w:id="620"/>
    <w:p w14:paraId="63AB29A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21" w:name="_Toc351203543"/>
      <w:r>
        <w:rPr>
          <w:rFonts w:hint="eastAsia" w:ascii="宋体" w:hAnsi="宋体" w:eastAsia="宋体" w:cs="宋体"/>
          <w:b w:val="0"/>
          <w:color w:val="000000"/>
          <w:sz w:val="24"/>
          <w:szCs w:val="24"/>
          <w:highlight w:val="none"/>
        </w:rPr>
        <w:t>7</w:t>
      </w:r>
      <w:bookmarkStart w:id="622" w:name="_Toc337558768"/>
      <w:bookmarkStart w:id="623" w:name="_Toc296503066"/>
      <w:bookmarkStart w:id="624" w:name="_Toc296346567"/>
      <w:r>
        <w:rPr>
          <w:rFonts w:hint="eastAsia" w:ascii="宋体" w:hAnsi="宋体" w:eastAsia="宋体" w:cs="宋体"/>
          <w:b w:val="0"/>
          <w:color w:val="000000"/>
          <w:sz w:val="24"/>
          <w:szCs w:val="24"/>
          <w:highlight w:val="none"/>
        </w:rPr>
        <w:t>.1施工组织设计</w:t>
      </w:r>
      <w:bookmarkEnd w:id="621"/>
    </w:p>
    <w:bookmarkEnd w:id="622"/>
    <w:p w14:paraId="5F01B82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7.1.1</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施工组织设计的内容</w:t>
      </w:r>
    </w:p>
    <w:p w14:paraId="51E1413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施工组织设计应包含以下内容：</w:t>
      </w:r>
    </w:p>
    <w:p w14:paraId="503811E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（1）施工方案； </w:t>
      </w:r>
    </w:p>
    <w:p w14:paraId="49DF971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（2）施工现场平面布置图；</w:t>
      </w:r>
    </w:p>
    <w:p w14:paraId="0D68FB3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（3）施工进度计划和保证措施； </w:t>
      </w:r>
    </w:p>
    <w:p w14:paraId="4A12317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（4）劳动力及材料供应计划；</w:t>
      </w:r>
    </w:p>
    <w:p w14:paraId="29DA970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（5）施工机械设备的选用；</w:t>
      </w:r>
    </w:p>
    <w:p w14:paraId="20C9F6C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（6）质量保证体系及措施；</w:t>
      </w:r>
    </w:p>
    <w:p w14:paraId="525A31C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（7）安全生产、文明施工措施；</w:t>
      </w:r>
    </w:p>
    <w:p w14:paraId="314914D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（8）环境保护、成本控制措施；</w:t>
      </w:r>
    </w:p>
    <w:p w14:paraId="0C703C1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（9）合同当事人约定的其他内容。</w:t>
      </w:r>
    </w:p>
    <w:p w14:paraId="068196F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7.1.2</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施工组织设计的提交和修改</w:t>
      </w:r>
    </w:p>
    <w:p w14:paraId="5E6CA8C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3E2DE29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施工进度计划的编制和修改按照第7.2款〔施工进度计划〕执行。</w:t>
      </w:r>
    </w:p>
    <w:p w14:paraId="0A8E186A">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25" w:name="_Toc351203544"/>
      <w:r>
        <w:rPr>
          <w:rFonts w:hint="eastAsia" w:ascii="宋体" w:hAnsi="宋体" w:eastAsia="宋体" w:cs="宋体"/>
          <w:b w:val="0"/>
          <w:color w:val="000000"/>
          <w:sz w:val="24"/>
          <w:szCs w:val="24"/>
          <w:highlight w:val="none"/>
        </w:rPr>
        <w:t>7</w:t>
      </w:r>
      <w:bookmarkStart w:id="626" w:name="_Toc337558769"/>
      <w:r>
        <w:rPr>
          <w:rFonts w:hint="eastAsia" w:ascii="宋体" w:hAnsi="宋体" w:eastAsia="宋体" w:cs="宋体"/>
          <w:b w:val="0"/>
          <w:color w:val="000000"/>
          <w:sz w:val="24"/>
          <w:szCs w:val="24"/>
          <w:highlight w:val="none"/>
        </w:rPr>
        <w:t>.2 施工进度计划</w:t>
      </w:r>
      <w:bookmarkEnd w:id="625"/>
    </w:p>
    <w:bookmarkEnd w:id="626"/>
    <w:p w14:paraId="131B86C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7.2.1 施工进度计划的编制</w:t>
      </w:r>
    </w:p>
    <w:p w14:paraId="00F4275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202A4CF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7.2.2 施工进度计划的修订</w:t>
      </w:r>
    </w:p>
    <w:p w14:paraId="2F47AAC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7D2B42E3">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27" w:name="_Toc351203545"/>
      <w:r>
        <w:rPr>
          <w:rFonts w:hint="eastAsia" w:ascii="宋体" w:hAnsi="宋体" w:eastAsia="宋体" w:cs="宋体"/>
          <w:b w:val="0"/>
          <w:color w:val="000000"/>
          <w:sz w:val="24"/>
          <w:szCs w:val="24"/>
          <w:highlight w:val="none"/>
        </w:rPr>
        <w:t>7</w:t>
      </w:r>
      <w:bookmarkStart w:id="628" w:name="_Toc337558770"/>
      <w:r>
        <w:rPr>
          <w:rFonts w:hint="eastAsia" w:ascii="宋体" w:hAnsi="宋体" w:eastAsia="宋体" w:cs="宋体"/>
          <w:b w:val="0"/>
          <w:color w:val="000000"/>
          <w:sz w:val="24"/>
          <w:szCs w:val="24"/>
          <w:highlight w:val="none"/>
        </w:rPr>
        <w:t>.3 开工</w:t>
      </w:r>
      <w:bookmarkEnd w:id="627"/>
    </w:p>
    <w:p w14:paraId="1FCA585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7.3.1 开工准备</w:t>
      </w:r>
    </w:p>
    <w:p w14:paraId="21B8B70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3A94FD7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除专用合同条款另有约定外，合同当事人应按约定完成开工准备工作。</w:t>
      </w:r>
    </w:p>
    <w:p w14:paraId="5CD8422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7.3.2 开工通知</w:t>
      </w:r>
    </w:p>
    <w:bookmarkEnd w:id="628"/>
    <w:p w14:paraId="632E809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F45C19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433E8C0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29" w:name="_Toc351203546"/>
      <w:r>
        <w:rPr>
          <w:rFonts w:hint="eastAsia" w:ascii="宋体" w:hAnsi="宋体" w:eastAsia="宋体" w:cs="宋体"/>
          <w:b w:val="0"/>
          <w:color w:val="000000"/>
          <w:sz w:val="24"/>
          <w:szCs w:val="24"/>
          <w:highlight w:val="none"/>
        </w:rPr>
        <w:t>7.4测量放线</w:t>
      </w:r>
      <w:bookmarkEnd w:id="629"/>
    </w:p>
    <w:p w14:paraId="019D1CD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A2F9F9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2F32524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1A7A71D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施工过程中对施工现场内水准点等测量标志物的保护工作由承包人负责。</w:t>
      </w:r>
      <w:bookmarkStart w:id="630" w:name="_Toc351203547"/>
    </w:p>
    <w:p w14:paraId="5357865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7</w:t>
      </w:r>
      <w:bookmarkEnd w:id="623"/>
      <w:bookmarkEnd w:id="624"/>
      <w:bookmarkStart w:id="631" w:name="_Toc296503073"/>
      <w:bookmarkStart w:id="632" w:name="_Toc296346574"/>
      <w:bookmarkStart w:id="633" w:name="_Toc337558772"/>
      <w:r>
        <w:rPr>
          <w:rFonts w:hint="eastAsia" w:ascii="宋体" w:hAnsi="宋体" w:eastAsia="宋体" w:cs="宋体"/>
          <w:b w:val="0"/>
          <w:color w:val="000000"/>
          <w:sz w:val="24"/>
          <w:szCs w:val="24"/>
          <w:highlight w:val="none"/>
        </w:rPr>
        <w:t>.5 工期延误</w:t>
      </w:r>
      <w:bookmarkEnd w:id="630"/>
    </w:p>
    <w:bookmarkEnd w:id="631"/>
    <w:bookmarkEnd w:id="632"/>
    <w:bookmarkEnd w:id="633"/>
    <w:p w14:paraId="109B0C6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7.5.1 因发包人原因导致工期延误</w:t>
      </w:r>
    </w:p>
    <w:p w14:paraId="1C00810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在合同履行过程中，因下列情况导致工期延误和（或）费用增加的，由发包人承担由此延误的工期和（或）增加的费用，且发包人应支付承包人合理的利润： </w:t>
      </w:r>
    </w:p>
    <w:p w14:paraId="1725D99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（1）发包人未能按合同约定提供图纸或所提供图纸不符合合同约定的；</w:t>
      </w:r>
    </w:p>
    <w:p w14:paraId="2030E39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（2）发包人未能按合同约定提供施工现场、施工条件、基础资料、许可、批准等开工条件的；</w:t>
      </w:r>
    </w:p>
    <w:p w14:paraId="4E15C9C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（3）发包人提供的测量基准点、基准线和水准点及其书面资料存在错误或疏漏的；</w:t>
      </w:r>
    </w:p>
    <w:p w14:paraId="486A4C9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（4）发包人未能在计划开工日期之日起7天内同意下达开工通知的；</w:t>
      </w:r>
    </w:p>
    <w:p w14:paraId="7D1398B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（5）发包人未能按合同约定日期支付工程预付款、进度款或竣工结算款的；</w:t>
      </w:r>
    </w:p>
    <w:p w14:paraId="0B4D546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（6）监理人未按合同约定发出指示、批准等文件的；</w:t>
      </w:r>
    </w:p>
    <w:p w14:paraId="1997FDE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（7）专用合同条款中约定的其他情形。</w:t>
      </w:r>
    </w:p>
    <w:p w14:paraId="3A61361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6FAE6CE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7.5.2 因承包人原因导致工期延误</w:t>
      </w:r>
    </w:p>
    <w:p w14:paraId="6C07393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bookmarkStart w:id="634" w:name="_Toc296346577"/>
      <w:bookmarkStart w:id="635" w:name="_Toc296503076"/>
      <w:r>
        <w:rPr>
          <w:rFonts w:hint="eastAsia" w:ascii="宋体" w:hAnsi="宋体" w:eastAsia="宋体" w:cs="宋体"/>
          <w:color w:val="000000"/>
          <w:kern w:val="0"/>
          <w:sz w:val="24"/>
          <w:szCs w:val="24"/>
          <w:highlight w:val="none"/>
        </w:rPr>
        <w:t>因</w:t>
      </w:r>
      <w:bookmarkEnd w:id="634"/>
      <w:bookmarkEnd w:id="635"/>
      <w:r>
        <w:rPr>
          <w:rFonts w:hint="eastAsia" w:ascii="宋体" w:hAnsi="宋体" w:eastAsia="宋体" w:cs="宋体"/>
          <w:color w:val="000000"/>
          <w:kern w:val="0"/>
          <w:sz w:val="24"/>
          <w:szCs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1F665F5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36" w:name="_Toc351203548"/>
      <w:r>
        <w:rPr>
          <w:rFonts w:hint="eastAsia" w:ascii="宋体" w:hAnsi="宋体" w:eastAsia="宋体" w:cs="宋体"/>
          <w:b w:val="0"/>
          <w:color w:val="000000"/>
          <w:sz w:val="24"/>
          <w:szCs w:val="24"/>
          <w:highlight w:val="none"/>
        </w:rPr>
        <w:t>7</w:t>
      </w:r>
      <w:bookmarkStart w:id="637" w:name="_Toc296346575"/>
      <w:bookmarkStart w:id="638" w:name="_Toc296503074"/>
      <w:bookmarkStart w:id="639" w:name="_Toc337558773"/>
      <w:bookmarkStart w:id="640" w:name="_Toc296346578"/>
      <w:bookmarkStart w:id="641" w:name="_Toc296503077"/>
      <w:r>
        <w:rPr>
          <w:rFonts w:hint="eastAsia" w:ascii="宋体" w:hAnsi="宋体" w:eastAsia="宋体" w:cs="宋体"/>
          <w:b w:val="0"/>
          <w:color w:val="000000"/>
          <w:sz w:val="24"/>
          <w:szCs w:val="24"/>
          <w:highlight w:val="none"/>
        </w:rPr>
        <w:t>.6 不利物质条件</w:t>
      </w:r>
      <w:bookmarkEnd w:id="636"/>
    </w:p>
    <w:bookmarkEnd w:id="637"/>
    <w:bookmarkEnd w:id="638"/>
    <w:bookmarkEnd w:id="639"/>
    <w:p w14:paraId="32A5632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D39D9C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37DDAF7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42" w:name="_Toc351203549"/>
      <w:r>
        <w:rPr>
          <w:rFonts w:hint="eastAsia" w:ascii="宋体" w:hAnsi="宋体" w:eastAsia="宋体" w:cs="宋体"/>
          <w:b w:val="0"/>
          <w:color w:val="000000"/>
          <w:sz w:val="24"/>
          <w:szCs w:val="24"/>
          <w:highlight w:val="none"/>
        </w:rPr>
        <w:t>7</w:t>
      </w:r>
      <w:bookmarkStart w:id="643" w:name="_Toc296346576"/>
      <w:bookmarkStart w:id="644" w:name="_Toc296503075"/>
      <w:bookmarkStart w:id="645" w:name="_Toc337558774"/>
      <w:r>
        <w:rPr>
          <w:rFonts w:hint="eastAsia" w:ascii="宋体" w:hAnsi="宋体" w:eastAsia="宋体" w:cs="宋体"/>
          <w:b w:val="0"/>
          <w:color w:val="000000"/>
          <w:sz w:val="24"/>
          <w:szCs w:val="24"/>
          <w:highlight w:val="none"/>
        </w:rPr>
        <w:t>.7 异常恶劣的气候条件</w:t>
      </w:r>
      <w:bookmarkEnd w:id="642"/>
    </w:p>
    <w:bookmarkEnd w:id="643"/>
    <w:bookmarkEnd w:id="644"/>
    <w:bookmarkEnd w:id="645"/>
    <w:p w14:paraId="1B756B4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FA2E07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646" w:name="_Toc351203550"/>
    </w:p>
    <w:p w14:paraId="6BADBBB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7</w:t>
      </w:r>
      <w:bookmarkStart w:id="647" w:name="_Toc337558775"/>
      <w:r>
        <w:rPr>
          <w:rFonts w:hint="eastAsia" w:ascii="宋体" w:hAnsi="宋体" w:eastAsia="宋体" w:cs="宋体"/>
          <w:bCs/>
          <w:color w:val="000000"/>
          <w:sz w:val="24"/>
          <w:szCs w:val="24"/>
          <w:highlight w:val="none"/>
        </w:rPr>
        <w:t>.8 暂停施工</w:t>
      </w:r>
      <w:bookmarkEnd w:id="646"/>
    </w:p>
    <w:bookmarkEnd w:id="640"/>
    <w:bookmarkEnd w:id="641"/>
    <w:bookmarkEnd w:id="647"/>
    <w:p w14:paraId="46FD95C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7.8.1发包人原因引起的暂停施工</w:t>
      </w:r>
    </w:p>
    <w:p w14:paraId="0CF9358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因发包人原因引起暂停施工的，监理人经发包人同意后，应及时下达暂停施工指示。情况紧急且监理人未及时下达暂停施工指示的，按照第7.8.4项〔紧急情况下的暂停施工〕执行。</w:t>
      </w:r>
    </w:p>
    <w:p w14:paraId="120C572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因发包人原因引起的暂停施工，发包人应承担由此增加的费用和（或）延误的工期，</w:t>
      </w:r>
      <w:r>
        <w:rPr>
          <w:rFonts w:hint="eastAsia" w:ascii="宋体" w:hAnsi="宋体" w:eastAsia="宋体" w:cs="宋体"/>
          <w:kern w:val="0"/>
          <w:sz w:val="24"/>
          <w:szCs w:val="24"/>
          <w:highlight w:val="none"/>
        </w:rPr>
        <w:t>并支付承包人</w:t>
      </w:r>
      <w:r>
        <w:rPr>
          <w:rFonts w:hint="eastAsia" w:ascii="宋体" w:hAnsi="宋体" w:eastAsia="宋体" w:cs="宋体"/>
          <w:color w:val="000000"/>
          <w:kern w:val="0"/>
          <w:sz w:val="24"/>
          <w:szCs w:val="24"/>
          <w:highlight w:val="none"/>
        </w:rPr>
        <w:t>合理的利润。</w:t>
      </w:r>
    </w:p>
    <w:p w14:paraId="2A19077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7.8.2 承包人原因引起的暂停施工</w:t>
      </w:r>
    </w:p>
    <w:p w14:paraId="4851528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5510C2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7.8.3 指示暂停施工</w:t>
      </w:r>
    </w:p>
    <w:p w14:paraId="4D73E72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监理人认为有必要时，并经发包人批准后，可向承包人作出暂停施工的指示，承包人应按监理人指示暂停施工。</w:t>
      </w:r>
    </w:p>
    <w:p w14:paraId="41F2EF5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7.8.4 紧急情况下的暂停施工</w:t>
      </w:r>
    </w:p>
    <w:p w14:paraId="00C3680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1909160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7.8.5 暂停施工后的复工</w:t>
      </w:r>
    </w:p>
    <w:p w14:paraId="14B14FD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AB5293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承包人无故拖延和拒绝复工的，承包人承担由此增加的费用和（或）延误的工期；因发包人原因无法按时复工的，按照第7.5.1项〔因发包人原因导致工期延误〕约定办理。</w:t>
      </w:r>
    </w:p>
    <w:p w14:paraId="42A591A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7.8.6 暂停施工持续56天以上</w:t>
      </w:r>
    </w:p>
    <w:p w14:paraId="2963E5B4">
      <w:pPr>
        <w:pageBreakBefore w:val="0"/>
        <w:widowControl w:val="0"/>
        <w:kinsoku/>
        <w:wordWrap/>
        <w:overflowPunct/>
        <w:topLinePunct w:val="0"/>
        <w:bidi w:val="0"/>
        <w:snapToGrid/>
        <w:spacing w:line="480" w:lineRule="exact"/>
        <w:ind w:firstLine="468" w:firstLineChars="195"/>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6824048">
      <w:pPr>
        <w:pageBreakBefore w:val="0"/>
        <w:widowControl w:val="0"/>
        <w:kinsoku/>
        <w:wordWrap/>
        <w:overflowPunct/>
        <w:topLinePunct w:val="0"/>
        <w:bidi w:val="0"/>
        <w:snapToGrid/>
        <w:spacing w:line="480" w:lineRule="exact"/>
        <w:ind w:firstLine="468" w:firstLineChars="195"/>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133162D5">
      <w:pPr>
        <w:pageBreakBefore w:val="0"/>
        <w:widowControl w:val="0"/>
        <w:kinsoku/>
        <w:wordWrap/>
        <w:overflowPunct/>
        <w:topLinePunct w:val="0"/>
        <w:bidi w:val="0"/>
        <w:snapToGrid/>
        <w:spacing w:line="480" w:lineRule="exact"/>
        <w:ind w:left="16" w:firstLine="468" w:firstLineChars="195"/>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7.8.7 暂停施工期间的工程照管</w:t>
      </w:r>
    </w:p>
    <w:p w14:paraId="65EA429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暂停施工期间，承包人应负责妥善照管工程并提供安全保障，由此增加的费用由责任方承担。</w:t>
      </w:r>
    </w:p>
    <w:p w14:paraId="7277A17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7.8.8 暂停施工的措施</w:t>
      </w:r>
    </w:p>
    <w:p w14:paraId="1742BD5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暂停施工期间，承包人均应采取必要的措施确保工程质量及安全，防止因暂停施工扩大损失。</w:t>
      </w:r>
    </w:p>
    <w:p w14:paraId="76FB492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48" w:name="_Toc351203551"/>
      <w:r>
        <w:rPr>
          <w:rFonts w:hint="eastAsia" w:ascii="宋体" w:hAnsi="宋体" w:eastAsia="宋体" w:cs="宋体"/>
          <w:b w:val="0"/>
          <w:color w:val="000000"/>
          <w:sz w:val="24"/>
          <w:szCs w:val="24"/>
          <w:highlight w:val="none"/>
        </w:rPr>
        <w:t>7.9提前竣工</w:t>
      </w:r>
      <w:bookmarkEnd w:id="648"/>
    </w:p>
    <w:p w14:paraId="0F6EDF7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EB8718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7.9.2 发包人要求承包人提前竣工，或承包人提出提前竣工的建议能够给发包人带来效益的，合同当事人可以在专用合同条款中约定提前竣工的奖励。</w:t>
      </w:r>
    </w:p>
    <w:p w14:paraId="592926D0">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649" w:name="_Toc351203552"/>
      <w:r>
        <w:rPr>
          <w:rFonts w:hint="eastAsia" w:ascii="宋体" w:hAnsi="宋体" w:eastAsia="宋体" w:cs="宋体"/>
          <w:b w:val="0"/>
          <w:color w:val="000000"/>
          <w:sz w:val="24"/>
          <w:szCs w:val="24"/>
          <w:highlight w:val="none"/>
        </w:rPr>
        <w:t>8</w:t>
      </w:r>
      <w:bookmarkStart w:id="650" w:name="_Toc296346559"/>
      <w:bookmarkStart w:id="651" w:name="_Toc337558776"/>
      <w:bookmarkStart w:id="652" w:name="_Toc296503058"/>
      <w:r>
        <w:rPr>
          <w:rFonts w:hint="eastAsia" w:ascii="宋体" w:hAnsi="宋体" w:eastAsia="宋体" w:cs="宋体"/>
          <w:b w:val="0"/>
          <w:color w:val="000000"/>
          <w:sz w:val="24"/>
          <w:szCs w:val="24"/>
          <w:highlight w:val="none"/>
        </w:rPr>
        <w:t>. 材料与设备</w:t>
      </w:r>
      <w:bookmarkEnd w:id="649"/>
    </w:p>
    <w:bookmarkEnd w:id="650"/>
    <w:bookmarkEnd w:id="651"/>
    <w:bookmarkEnd w:id="652"/>
    <w:p w14:paraId="4785203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53" w:name="_Toc351203553"/>
      <w:r>
        <w:rPr>
          <w:rFonts w:hint="eastAsia" w:ascii="宋体" w:hAnsi="宋体" w:eastAsia="宋体" w:cs="宋体"/>
          <w:b w:val="0"/>
          <w:color w:val="000000"/>
          <w:sz w:val="24"/>
          <w:szCs w:val="24"/>
          <w:highlight w:val="none"/>
        </w:rPr>
        <w:t>8</w:t>
      </w:r>
      <w:bookmarkStart w:id="654" w:name="_Toc296346560"/>
      <w:bookmarkStart w:id="655" w:name="_Toc296503059"/>
      <w:bookmarkStart w:id="656" w:name="_Toc337558777"/>
      <w:bookmarkStart w:id="657" w:name="_Toc468936960"/>
      <w:r>
        <w:rPr>
          <w:rFonts w:hint="eastAsia" w:ascii="宋体" w:hAnsi="宋体" w:eastAsia="宋体" w:cs="宋体"/>
          <w:b w:val="0"/>
          <w:color w:val="000000"/>
          <w:sz w:val="24"/>
          <w:szCs w:val="24"/>
          <w:highlight w:val="none"/>
        </w:rPr>
        <w:t>.1发包人供应材料与工程设备</w:t>
      </w:r>
      <w:bookmarkEnd w:id="653"/>
    </w:p>
    <w:bookmarkEnd w:id="654"/>
    <w:bookmarkEnd w:id="655"/>
    <w:bookmarkEnd w:id="656"/>
    <w:p w14:paraId="0001A2C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14:paraId="3389695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1653B37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color w:val="000000"/>
          <w:sz w:val="24"/>
          <w:szCs w:val="24"/>
          <w:highlight w:val="none"/>
        </w:rPr>
      </w:pPr>
      <w:bookmarkStart w:id="658" w:name="_Toc351203554"/>
      <w:r>
        <w:rPr>
          <w:rFonts w:hint="eastAsia" w:ascii="宋体" w:hAnsi="宋体" w:eastAsia="宋体" w:cs="宋体"/>
          <w:b w:val="0"/>
          <w:color w:val="000000"/>
          <w:sz w:val="24"/>
          <w:szCs w:val="24"/>
          <w:highlight w:val="none"/>
        </w:rPr>
        <w:t>8</w:t>
      </w:r>
      <w:bookmarkStart w:id="659" w:name="_Toc337558778"/>
      <w:bookmarkStart w:id="660" w:name="_Toc296503060"/>
      <w:bookmarkStart w:id="661" w:name="_Toc296346561"/>
      <w:r>
        <w:rPr>
          <w:rFonts w:hint="eastAsia" w:ascii="宋体" w:hAnsi="宋体" w:eastAsia="宋体" w:cs="宋体"/>
          <w:b w:val="0"/>
          <w:color w:val="000000"/>
          <w:sz w:val="24"/>
          <w:szCs w:val="24"/>
          <w:highlight w:val="none"/>
        </w:rPr>
        <w:t>.2承包人采购材料与工程设备</w:t>
      </w:r>
      <w:bookmarkEnd w:id="658"/>
    </w:p>
    <w:bookmarkEnd w:id="659"/>
    <w:bookmarkEnd w:id="660"/>
    <w:bookmarkEnd w:id="661"/>
    <w:p w14:paraId="4C697E7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6DD7FB0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62" w:name="_Toc351203555"/>
      <w:r>
        <w:rPr>
          <w:rFonts w:hint="eastAsia" w:ascii="宋体" w:hAnsi="宋体" w:eastAsia="宋体" w:cs="宋体"/>
          <w:b w:val="0"/>
          <w:color w:val="000000"/>
          <w:sz w:val="24"/>
          <w:szCs w:val="24"/>
          <w:highlight w:val="none"/>
        </w:rPr>
        <w:t>8</w:t>
      </w:r>
      <w:bookmarkStart w:id="663" w:name="_Toc296346562"/>
      <w:bookmarkStart w:id="664" w:name="_Toc337558779"/>
      <w:bookmarkStart w:id="665" w:name="_Toc296503061"/>
      <w:r>
        <w:rPr>
          <w:rFonts w:hint="eastAsia" w:ascii="宋体" w:hAnsi="宋体" w:eastAsia="宋体" w:cs="宋体"/>
          <w:b w:val="0"/>
          <w:color w:val="000000"/>
          <w:sz w:val="24"/>
          <w:szCs w:val="24"/>
          <w:highlight w:val="none"/>
        </w:rPr>
        <w:t>.3材料与工程设备的接收与拒收</w:t>
      </w:r>
      <w:bookmarkEnd w:id="662"/>
    </w:p>
    <w:bookmarkEnd w:id="663"/>
    <w:bookmarkEnd w:id="664"/>
    <w:bookmarkEnd w:id="665"/>
    <w:p w14:paraId="4A41C3B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EFA73D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发包人提供的材料和工程设备的规格、数量或质量不符合合同约定的，或因发包人原因导致交货日期延误或交货地点变更等情况的，按照第16.1款〔发包人违约〕约定办理。</w:t>
      </w:r>
    </w:p>
    <w:p w14:paraId="14A309C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8.3.2 承包人采购的材料和工程设备，应保证产品质量合格，承包人应在材料和工程设备到货前24小时通知监理人检验。承</w:t>
      </w:r>
      <w:bookmarkStart w:id="666" w:name="_Toc250655469"/>
      <w:r>
        <w:rPr>
          <w:rFonts w:hint="eastAsia" w:ascii="宋体" w:hAnsi="宋体" w:eastAsia="宋体" w:cs="宋体"/>
          <w:color w:val="000000"/>
          <w:kern w:val="0"/>
          <w:sz w:val="24"/>
          <w:szCs w:val="24"/>
          <w:highlight w:val="none"/>
        </w:rPr>
        <w:t>包人进行永久设备、材料的制造和生产的，应符合相关质量标准，并向监理人提交材料的样本以及有关资料，并应在使用该材料或工程设备之前获得监理人同意。</w:t>
      </w:r>
    </w:p>
    <w:bookmarkEnd w:id="666"/>
    <w:p w14:paraId="61ACF5FA">
      <w:pPr>
        <w:pageBreakBefore w:val="0"/>
        <w:widowControl w:val="0"/>
        <w:kinsoku/>
        <w:wordWrap/>
        <w:overflowPunct/>
        <w:topLinePunct w:val="0"/>
        <w:autoSpaceDE w:val="0"/>
        <w:autoSpaceDN w:val="0"/>
        <w:bidi w:val="0"/>
        <w:adjustRightInd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344D0E3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67" w:name="_Toc351203556"/>
      <w:r>
        <w:rPr>
          <w:rFonts w:hint="eastAsia" w:ascii="宋体" w:hAnsi="宋体" w:eastAsia="宋体" w:cs="宋体"/>
          <w:b w:val="0"/>
          <w:color w:val="000000"/>
          <w:sz w:val="24"/>
          <w:szCs w:val="24"/>
          <w:highlight w:val="none"/>
        </w:rPr>
        <w:t>8</w:t>
      </w:r>
      <w:bookmarkStart w:id="668" w:name="_Toc296503062"/>
      <w:bookmarkStart w:id="669" w:name="_Toc296346563"/>
      <w:bookmarkStart w:id="670" w:name="_Toc337558780"/>
      <w:r>
        <w:rPr>
          <w:rFonts w:hint="eastAsia" w:ascii="宋体" w:hAnsi="宋体" w:eastAsia="宋体" w:cs="宋体"/>
          <w:b w:val="0"/>
          <w:color w:val="000000"/>
          <w:sz w:val="24"/>
          <w:szCs w:val="24"/>
          <w:highlight w:val="none"/>
        </w:rPr>
        <w:t>.4材料与工程设备的保管与使用</w:t>
      </w:r>
      <w:bookmarkEnd w:id="667"/>
    </w:p>
    <w:bookmarkEnd w:id="668"/>
    <w:bookmarkEnd w:id="669"/>
    <w:bookmarkEnd w:id="670"/>
    <w:p w14:paraId="11FCAF1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8.4.1 发包人供应</w:t>
      </w:r>
      <w:r>
        <w:rPr>
          <w:rFonts w:hint="eastAsia" w:ascii="宋体" w:hAnsi="宋体" w:eastAsia="宋体" w:cs="宋体"/>
          <w:color w:val="000000"/>
          <w:sz w:val="24"/>
          <w:szCs w:val="24"/>
          <w:highlight w:val="none"/>
        </w:rPr>
        <w:t>材料与</w:t>
      </w:r>
      <w:r>
        <w:rPr>
          <w:rFonts w:hint="eastAsia" w:ascii="宋体" w:hAnsi="宋体" w:eastAsia="宋体" w:cs="宋体"/>
          <w:color w:val="000000"/>
          <w:kern w:val="0"/>
          <w:sz w:val="24"/>
          <w:szCs w:val="24"/>
          <w:highlight w:val="none"/>
        </w:rPr>
        <w:t>工程</w:t>
      </w:r>
      <w:r>
        <w:rPr>
          <w:rFonts w:hint="eastAsia" w:ascii="宋体" w:hAnsi="宋体" w:eastAsia="宋体" w:cs="宋体"/>
          <w:color w:val="000000"/>
          <w:sz w:val="24"/>
          <w:szCs w:val="24"/>
          <w:highlight w:val="none"/>
        </w:rPr>
        <w:t>设备的保管与使用</w:t>
      </w:r>
    </w:p>
    <w:p w14:paraId="40DE818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发包人供应的材料和工程设备使用前，由承包人负责检验，检验费用由发包人承担，不合格的不得使用。</w:t>
      </w:r>
    </w:p>
    <w:p w14:paraId="3B84F4E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8.4.2 承包人采购</w:t>
      </w:r>
      <w:r>
        <w:rPr>
          <w:rFonts w:hint="eastAsia" w:ascii="宋体" w:hAnsi="宋体" w:eastAsia="宋体" w:cs="宋体"/>
          <w:color w:val="000000"/>
          <w:sz w:val="24"/>
          <w:szCs w:val="24"/>
          <w:highlight w:val="none"/>
        </w:rPr>
        <w:t>材料与</w:t>
      </w:r>
      <w:r>
        <w:rPr>
          <w:rFonts w:hint="eastAsia" w:ascii="宋体" w:hAnsi="宋体" w:eastAsia="宋体" w:cs="宋体"/>
          <w:color w:val="000000"/>
          <w:kern w:val="0"/>
          <w:sz w:val="24"/>
          <w:szCs w:val="24"/>
          <w:highlight w:val="none"/>
        </w:rPr>
        <w:t>工程</w:t>
      </w:r>
      <w:r>
        <w:rPr>
          <w:rFonts w:hint="eastAsia" w:ascii="宋体" w:hAnsi="宋体" w:eastAsia="宋体" w:cs="宋体"/>
          <w:color w:val="000000"/>
          <w:sz w:val="24"/>
          <w:szCs w:val="24"/>
          <w:highlight w:val="none"/>
        </w:rPr>
        <w:t>设备的保管与使用</w:t>
      </w:r>
    </w:p>
    <w:p w14:paraId="1E0BE98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6BBA7C3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14:paraId="4CF93D13">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71" w:name="_Toc351203557"/>
      <w:r>
        <w:rPr>
          <w:rFonts w:hint="eastAsia" w:ascii="宋体" w:hAnsi="宋体" w:eastAsia="宋体" w:cs="宋体"/>
          <w:b w:val="0"/>
          <w:color w:val="000000"/>
          <w:sz w:val="24"/>
          <w:szCs w:val="24"/>
          <w:highlight w:val="none"/>
        </w:rPr>
        <w:t>8.5禁止使用不合格的材料和工程设备</w:t>
      </w:r>
      <w:bookmarkEnd w:id="671"/>
    </w:p>
    <w:p w14:paraId="6658817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8.5.1 监理人有权拒绝承包人提供的不合格材料或工程设备，并要求承包人立即进行更换。监理人应在更换后再次进行检查和检验，由此增加的费用和（或）延误的工期由承包人承担。</w:t>
      </w:r>
    </w:p>
    <w:p w14:paraId="0BDC464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8.5.2 监理人发现承包人使用了不合格的材料和工程设备，承包人应按照监理人的指示立即改正，并禁止在工程中继续使用不合格的材料和工程设备。</w:t>
      </w:r>
    </w:p>
    <w:p w14:paraId="5AB8ACD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8.5.3 发包人提供的材料或工程设备不符合合同要求的，承包人有权拒绝，并可要求发包人更换，由此增加的费用和（或）延误的工期由发包人承担。</w:t>
      </w:r>
    </w:p>
    <w:p w14:paraId="66313C8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72" w:name="_Toc351203558"/>
      <w:r>
        <w:rPr>
          <w:rFonts w:hint="eastAsia" w:ascii="宋体" w:hAnsi="宋体" w:eastAsia="宋体" w:cs="宋体"/>
          <w:b w:val="0"/>
          <w:color w:val="000000"/>
          <w:sz w:val="24"/>
          <w:szCs w:val="24"/>
          <w:highlight w:val="none"/>
        </w:rPr>
        <w:t>8.6 样品</w:t>
      </w:r>
      <w:bookmarkEnd w:id="672"/>
    </w:p>
    <w:p w14:paraId="7CC4997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8.6.1</w:t>
      </w:r>
      <w:r>
        <w:rPr>
          <w:rFonts w:hint="eastAsia" w:ascii="宋体" w:hAnsi="宋体" w:eastAsia="宋体" w:cs="宋体"/>
          <w:color w:val="000000"/>
          <w:kern w:val="0"/>
          <w:sz w:val="24"/>
          <w:szCs w:val="24"/>
          <w:highlight w:val="none"/>
        </w:rPr>
        <w:tab/>
      </w:r>
      <w:r>
        <w:rPr>
          <w:rFonts w:hint="eastAsia" w:ascii="宋体" w:hAnsi="宋体" w:eastAsia="宋体" w:cs="宋体"/>
          <w:color w:val="000000"/>
          <w:kern w:val="0"/>
          <w:sz w:val="24"/>
          <w:szCs w:val="24"/>
          <w:highlight w:val="none"/>
        </w:rPr>
        <w:t>样品的报送与封存</w:t>
      </w:r>
    </w:p>
    <w:p w14:paraId="100F050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需要承包人报送样品的材料或工程设备，样品的种类、名称、规格、数量等要求均应在专用合同条款中约定。样品的报送程序如下：</w:t>
      </w:r>
    </w:p>
    <w:p w14:paraId="1FBFB15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E04881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D5E483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（3）经发包人和监理人审批确认的样品应按约定的方法封样，封存的样品作为检验工程相关部分的标准之一。承包人在施工过程中不得使用与样品不符的材料或工程设备。</w:t>
      </w:r>
    </w:p>
    <w:p w14:paraId="7FE6BCA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016D16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8.6.2 样品的保管</w:t>
      </w:r>
    </w:p>
    <w:p w14:paraId="3054930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经批准的样品应由监理人负责封存于现场，承包人应在现场为保存样品提供适当和固定的场所并保持适当和良好的存储环境条件。</w:t>
      </w:r>
    </w:p>
    <w:p w14:paraId="05B4A37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73" w:name="_Toc351203559"/>
      <w:r>
        <w:rPr>
          <w:rFonts w:hint="eastAsia" w:ascii="宋体" w:hAnsi="宋体" w:eastAsia="宋体" w:cs="宋体"/>
          <w:b w:val="0"/>
          <w:color w:val="000000"/>
          <w:sz w:val="24"/>
          <w:szCs w:val="24"/>
          <w:highlight w:val="none"/>
        </w:rPr>
        <w:t>8.7材料与工程设备的替代</w:t>
      </w:r>
      <w:bookmarkEnd w:id="673"/>
    </w:p>
    <w:p w14:paraId="3D13EB3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8.7.1 出现下列情况需要使用替代材料和工程设备的，承包人应按照第8.7.2项约定的程序执行：</w:t>
      </w:r>
    </w:p>
    <w:p w14:paraId="2102C6D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（1）基准日期后生效的法律规定禁止使用的；</w:t>
      </w:r>
    </w:p>
    <w:p w14:paraId="1FBCCF4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（2）发包人要求使用替代品的；</w:t>
      </w:r>
    </w:p>
    <w:p w14:paraId="69F5BFA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（3）因其他原因必须使用替代品的。</w:t>
      </w:r>
    </w:p>
    <w:p w14:paraId="775DEE0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8.7.2 承包人应在使用替代材料和工程设备28天前书面通知监理人，并附下列文件：</w:t>
      </w:r>
    </w:p>
    <w:p w14:paraId="491A4A5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（1）被替代的材料和工程设备的名称、数量、规格、型号、品牌、性能、价格及其他相关资料；</w:t>
      </w:r>
    </w:p>
    <w:p w14:paraId="0194207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（2）替代品的名称、数量、规格、型号、品牌、性能、价格及其他相关资料；</w:t>
      </w:r>
    </w:p>
    <w:p w14:paraId="0BB5C28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（3）替代品与被替代产品之间的差异以及使用替代品可能对工程产生的影响；</w:t>
      </w:r>
    </w:p>
    <w:p w14:paraId="1E43C64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（4）替代品与被替代产品的价格差异；</w:t>
      </w:r>
    </w:p>
    <w:p w14:paraId="4438C4B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（5）使用替代品的理由和原因说明；</w:t>
      </w:r>
    </w:p>
    <w:p w14:paraId="7A58F17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（6）监理人要求的其他文件。</w:t>
      </w:r>
    </w:p>
    <w:p w14:paraId="05C3C85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监理人应在收到通知后14天内向承包人发出经发包人签认的书面指示；监理人逾期发出书面指示的，视为发包人和监理人同意使用替代品。</w:t>
      </w:r>
    </w:p>
    <w:p w14:paraId="0269F3F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3C8C113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74" w:name="_Toc351203560"/>
      <w:r>
        <w:rPr>
          <w:rFonts w:hint="eastAsia" w:ascii="宋体" w:hAnsi="宋体" w:eastAsia="宋体" w:cs="宋体"/>
          <w:b w:val="0"/>
          <w:color w:val="000000"/>
          <w:sz w:val="24"/>
          <w:szCs w:val="24"/>
          <w:highlight w:val="none"/>
        </w:rPr>
        <w:t>8.8施工设备和临时设施</w:t>
      </w:r>
      <w:bookmarkEnd w:id="674"/>
    </w:p>
    <w:p w14:paraId="2129066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8.8.1 承包人提供的施工设备和临时设施</w:t>
      </w:r>
    </w:p>
    <w:p w14:paraId="788CABB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30CE99B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除专用合同条款另有约定外，承包人应自行承担修建临时设施的费用，需要临时占地的，应由发包人办理申请手续并承担相应费用。</w:t>
      </w:r>
    </w:p>
    <w:p w14:paraId="5E7603B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8.8.2发包人提供的施工设备和临时设施</w:t>
      </w:r>
    </w:p>
    <w:p w14:paraId="4C33EC1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发包人提供的施工设备或临时设施在专用合同条款中约定。</w:t>
      </w:r>
    </w:p>
    <w:p w14:paraId="3D9F750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8.8.3要求承包人增加或更换施工设备</w:t>
      </w:r>
    </w:p>
    <w:p w14:paraId="4F8FC4E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3B603B7D">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75" w:name="_Toc351203561"/>
      <w:r>
        <w:rPr>
          <w:rFonts w:hint="eastAsia" w:ascii="宋体" w:hAnsi="宋体" w:eastAsia="宋体" w:cs="宋体"/>
          <w:b w:val="0"/>
          <w:color w:val="000000"/>
          <w:sz w:val="24"/>
          <w:szCs w:val="24"/>
          <w:highlight w:val="none"/>
        </w:rPr>
        <w:t>8</w:t>
      </w:r>
      <w:bookmarkStart w:id="676" w:name="_Toc296503063"/>
      <w:bookmarkStart w:id="677" w:name="_Toc337558781"/>
      <w:bookmarkStart w:id="678" w:name="_Toc296346564"/>
      <w:r>
        <w:rPr>
          <w:rFonts w:hint="eastAsia" w:ascii="宋体" w:hAnsi="宋体" w:eastAsia="宋体" w:cs="宋体"/>
          <w:b w:val="0"/>
          <w:color w:val="000000"/>
          <w:sz w:val="24"/>
          <w:szCs w:val="24"/>
          <w:highlight w:val="none"/>
        </w:rPr>
        <w:t>.9材料与设备专用</w:t>
      </w:r>
      <w:bookmarkEnd w:id="675"/>
      <w:r>
        <w:rPr>
          <w:rFonts w:hint="eastAsia" w:ascii="宋体" w:hAnsi="宋体" w:eastAsia="宋体" w:cs="宋体"/>
          <w:b w:val="0"/>
          <w:color w:val="000000"/>
          <w:sz w:val="24"/>
          <w:szCs w:val="24"/>
          <w:highlight w:val="none"/>
        </w:rPr>
        <w:t>要求</w:t>
      </w:r>
    </w:p>
    <w:bookmarkEnd w:id="676"/>
    <w:bookmarkEnd w:id="677"/>
    <w:bookmarkEnd w:id="678"/>
    <w:p w14:paraId="2B96C0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657"/>
      <w:r>
        <w:rPr>
          <w:rFonts w:hint="eastAsia" w:ascii="宋体" w:hAnsi="宋体" w:eastAsia="宋体" w:cs="宋体"/>
          <w:color w:val="000000"/>
          <w:kern w:val="0"/>
          <w:sz w:val="24"/>
          <w:szCs w:val="24"/>
          <w:highlight w:val="none"/>
        </w:rPr>
        <w:t>经发包人批准，承包人可以根据施工进度计划撤走闲置的施工设备和其他物品。</w:t>
      </w:r>
    </w:p>
    <w:p w14:paraId="16094C91">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679" w:name="_Toc351203562"/>
      <w:r>
        <w:rPr>
          <w:rFonts w:hint="eastAsia" w:ascii="宋体" w:hAnsi="宋体" w:eastAsia="宋体" w:cs="宋体"/>
          <w:b w:val="0"/>
          <w:color w:val="000000"/>
          <w:sz w:val="24"/>
          <w:szCs w:val="24"/>
          <w:highlight w:val="none"/>
        </w:rPr>
        <w:t>9</w:t>
      </w:r>
      <w:bookmarkStart w:id="680" w:name="_Toc337558782"/>
      <w:bookmarkStart w:id="681" w:name="_Toc296346584"/>
      <w:bookmarkStart w:id="682" w:name="_Toc296503083"/>
      <w:r>
        <w:rPr>
          <w:rFonts w:hint="eastAsia" w:ascii="宋体" w:hAnsi="宋体" w:eastAsia="宋体" w:cs="宋体"/>
          <w:b w:val="0"/>
          <w:color w:val="000000"/>
          <w:sz w:val="24"/>
          <w:szCs w:val="24"/>
          <w:highlight w:val="none"/>
        </w:rPr>
        <w:t>. 试验与检验</w:t>
      </w:r>
      <w:bookmarkEnd w:id="679"/>
    </w:p>
    <w:bookmarkEnd w:id="680"/>
    <w:p w14:paraId="24E2FBB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83" w:name="_Toc351203563"/>
      <w:r>
        <w:rPr>
          <w:rFonts w:hint="eastAsia" w:ascii="宋体" w:hAnsi="宋体" w:eastAsia="宋体" w:cs="宋体"/>
          <w:b w:val="0"/>
          <w:color w:val="000000"/>
          <w:sz w:val="24"/>
          <w:szCs w:val="24"/>
          <w:highlight w:val="none"/>
        </w:rPr>
        <w:t>9</w:t>
      </w:r>
      <w:bookmarkStart w:id="684" w:name="_Toc337558783"/>
      <w:r>
        <w:rPr>
          <w:rFonts w:hint="eastAsia" w:ascii="宋体" w:hAnsi="宋体" w:eastAsia="宋体" w:cs="宋体"/>
          <w:b w:val="0"/>
          <w:color w:val="000000"/>
          <w:sz w:val="24"/>
          <w:szCs w:val="24"/>
          <w:highlight w:val="none"/>
        </w:rPr>
        <w:t>.1试验设备与试验人员</w:t>
      </w:r>
      <w:bookmarkEnd w:id="683"/>
    </w:p>
    <w:bookmarkEnd w:id="684"/>
    <w:p w14:paraId="2C1D4D7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549ECB0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9.1.2 承包人应按专用合同条款的约定提供试验设备、取样装置、试验场所和试验条件，并向监理人提交相应进场计划表。</w:t>
      </w:r>
    </w:p>
    <w:p w14:paraId="49DB0C4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承包人配置的试验设备要符合相应试验规程的要求并经过具有资质的检测单位检测，且在正式使用该试验设备前，需要经过监理人与承包人共同校定。</w:t>
      </w:r>
    </w:p>
    <w:p w14:paraId="5E0A98D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9.1.3 承包人应向监理人提交试验人员的名单及其岗位、资格等证明资料，试验人员必须能够熟练进行相应的检测试验，承包人对试验人员的试验程序和试验结果的正确性负责。</w:t>
      </w:r>
    </w:p>
    <w:p w14:paraId="4B1FD4D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85" w:name="_Toc351203564"/>
      <w:r>
        <w:rPr>
          <w:rFonts w:hint="eastAsia" w:ascii="宋体" w:hAnsi="宋体" w:eastAsia="宋体" w:cs="宋体"/>
          <w:b w:val="0"/>
          <w:color w:val="000000"/>
          <w:sz w:val="24"/>
          <w:szCs w:val="24"/>
          <w:highlight w:val="none"/>
        </w:rPr>
        <w:t>9</w:t>
      </w:r>
      <w:bookmarkStart w:id="686" w:name="_Toc337558784"/>
      <w:r>
        <w:rPr>
          <w:rFonts w:hint="eastAsia" w:ascii="宋体" w:hAnsi="宋体" w:eastAsia="宋体" w:cs="宋体"/>
          <w:b w:val="0"/>
          <w:color w:val="000000"/>
          <w:sz w:val="24"/>
          <w:szCs w:val="24"/>
          <w:highlight w:val="none"/>
        </w:rPr>
        <w:t>.2取样</w:t>
      </w:r>
      <w:bookmarkEnd w:id="685"/>
    </w:p>
    <w:bookmarkEnd w:id="686"/>
    <w:p w14:paraId="3FA14BF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试验属于自检性质的，承包人可以单独取样。试验属于监理人抽检性质的，可由监理人取样，也可由承包人的试验人员在监理人的监督下取样。</w:t>
      </w:r>
    </w:p>
    <w:p w14:paraId="197EBDC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87" w:name="_Toc351203565"/>
      <w:r>
        <w:rPr>
          <w:rFonts w:hint="eastAsia" w:ascii="宋体" w:hAnsi="宋体" w:eastAsia="宋体" w:cs="宋体"/>
          <w:b w:val="0"/>
          <w:color w:val="000000"/>
          <w:sz w:val="24"/>
          <w:szCs w:val="24"/>
          <w:highlight w:val="none"/>
        </w:rPr>
        <w:t>9</w:t>
      </w:r>
      <w:bookmarkStart w:id="688" w:name="_Toc337558785"/>
      <w:r>
        <w:rPr>
          <w:rFonts w:hint="eastAsia" w:ascii="宋体" w:hAnsi="宋体" w:eastAsia="宋体" w:cs="宋体"/>
          <w:b w:val="0"/>
          <w:color w:val="000000"/>
          <w:sz w:val="24"/>
          <w:szCs w:val="24"/>
          <w:highlight w:val="none"/>
        </w:rPr>
        <w:t>.3材料、工程设备和工程的试验和检验</w:t>
      </w:r>
      <w:bookmarkEnd w:id="687"/>
    </w:p>
    <w:bookmarkEnd w:id="688"/>
    <w:p w14:paraId="6423D7A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7062BD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723A661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2EC5136">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89" w:name="_Toc351203566"/>
      <w:r>
        <w:rPr>
          <w:rFonts w:hint="eastAsia" w:ascii="宋体" w:hAnsi="宋体" w:eastAsia="宋体" w:cs="宋体"/>
          <w:b w:val="0"/>
          <w:color w:val="000000"/>
          <w:sz w:val="24"/>
          <w:szCs w:val="24"/>
          <w:highlight w:val="none"/>
        </w:rPr>
        <w:t>9</w:t>
      </w:r>
      <w:bookmarkStart w:id="690" w:name="_Toc337558786"/>
      <w:r>
        <w:rPr>
          <w:rFonts w:hint="eastAsia" w:ascii="宋体" w:hAnsi="宋体" w:eastAsia="宋体" w:cs="宋体"/>
          <w:b w:val="0"/>
          <w:color w:val="000000"/>
          <w:sz w:val="24"/>
          <w:szCs w:val="24"/>
          <w:highlight w:val="none"/>
        </w:rPr>
        <w:t>.4现场工艺试验</w:t>
      </w:r>
      <w:bookmarkEnd w:id="689"/>
    </w:p>
    <w:bookmarkEnd w:id="690"/>
    <w:p w14:paraId="67BD57B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68723186">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691" w:name="_Toc351203567"/>
      <w:r>
        <w:rPr>
          <w:rFonts w:hint="eastAsia" w:ascii="宋体" w:hAnsi="宋体" w:eastAsia="宋体" w:cs="宋体"/>
          <w:b w:val="0"/>
          <w:color w:val="000000"/>
          <w:sz w:val="24"/>
          <w:szCs w:val="24"/>
          <w:highlight w:val="none"/>
        </w:rPr>
        <w:t>1</w:t>
      </w:r>
      <w:bookmarkStart w:id="692" w:name="_Toc337558787"/>
      <w:r>
        <w:rPr>
          <w:rFonts w:hint="eastAsia" w:ascii="宋体" w:hAnsi="宋体" w:eastAsia="宋体" w:cs="宋体"/>
          <w:b w:val="0"/>
          <w:color w:val="000000"/>
          <w:sz w:val="24"/>
          <w:szCs w:val="24"/>
          <w:highlight w:val="none"/>
        </w:rPr>
        <w:t>0. 变更</w:t>
      </w:r>
      <w:bookmarkEnd w:id="681"/>
      <w:bookmarkEnd w:id="682"/>
      <w:bookmarkEnd w:id="691"/>
    </w:p>
    <w:bookmarkEnd w:id="692"/>
    <w:p w14:paraId="02BC864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93" w:name="_Toc351203568"/>
      <w:r>
        <w:rPr>
          <w:rFonts w:hint="eastAsia" w:ascii="宋体" w:hAnsi="宋体" w:eastAsia="宋体" w:cs="宋体"/>
          <w:b w:val="0"/>
          <w:color w:val="000000"/>
          <w:sz w:val="24"/>
          <w:szCs w:val="24"/>
          <w:highlight w:val="none"/>
        </w:rPr>
        <w:t>1</w:t>
      </w:r>
      <w:bookmarkStart w:id="694" w:name="_Toc337558788"/>
      <w:bookmarkStart w:id="695" w:name="_Toc296503084"/>
      <w:bookmarkStart w:id="696" w:name="_Toc296346585"/>
      <w:r>
        <w:rPr>
          <w:rFonts w:hint="eastAsia" w:ascii="宋体" w:hAnsi="宋体" w:eastAsia="宋体" w:cs="宋体"/>
          <w:b w:val="0"/>
          <w:color w:val="000000"/>
          <w:sz w:val="24"/>
          <w:szCs w:val="24"/>
          <w:highlight w:val="none"/>
        </w:rPr>
        <w:t>0.1变更的范围</w:t>
      </w:r>
      <w:bookmarkEnd w:id="693"/>
    </w:p>
    <w:bookmarkEnd w:id="694"/>
    <w:bookmarkEnd w:id="695"/>
    <w:bookmarkEnd w:id="696"/>
    <w:p w14:paraId="5BD5861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除专用合同条款另有约定外，合同履行过程中发生以下情形的，应按照本条约定进行变更：</w:t>
      </w:r>
    </w:p>
    <w:p w14:paraId="60FD76D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（1）增加或减少合同中任何工作，或追加额外的工作；</w:t>
      </w:r>
    </w:p>
    <w:p w14:paraId="37487CF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（2）取消合同中任何工作，但转由他人实施的工作除外；</w:t>
      </w:r>
    </w:p>
    <w:p w14:paraId="4F57C74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（3）改变合同中任何工作的质量标准或其他特性；</w:t>
      </w:r>
    </w:p>
    <w:p w14:paraId="386540E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（4）改变工程的基线、标高、位置和尺寸；</w:t>
      </w:r>
    </w:p>
    <w:p w14:paraId="50018A3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（5）改变工程的时间安排或实施顺序。</w:t>
      </w:r>
    </w:p>
    <w:p w14:paraId="50DC5C0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697" w:name="_Toc351203569"/>
      <w:r>
        <w:rPr>
          <w:rFonts w:hint="eastAsia" w:ascii="宋体" w:hAnsi="宋体" w:eastAsia="宋体" w:cs="宋体"/>
          <w:b w:val="0"/>
          <w:color w:val="000000"/>
          <w:sz w:val="24"/>
          <w:szCs w:val="24"/>
          <w:highlight w:val="none"/>
        </w:rPr>
        <w:t>1</w:t>
      </w:r>
      <w:bookmarkStart w:id="698" w:name="_Toc296346586"/>
      <w:bookmarkStart w:id="699" w:name="_Toc337558789"/>
      <w:bookmarkStart w:id="700" w:name="_Toc296503085"/>
      <w:r>
        <w:rPr>
          <w:rFonts w:hint="eastAsia" w:ascii="宋体" w:hAnsi="宋体" w:eastAsia="宋体" w:cs="宋体"/>
          <w:b w:val="0"/>
          <w:color w:val="000000"/>
          <w:sz w:val="24"/>
          <w:szCs w:val="24"/>
          <w:highlight w:val="none"/>
        </w:rPr>
        <w:t>0.2变更权</w:t>
      </w:r>
      <w:bookmarkEnd w:id="697"/>
    </w:p>
    <w:bookmarkEnd w:id="698"/>
    <w:bookmarkEnd w:id="699"/>
    <w:bookmarkEnd w:id="700"/>
    <w:p w14:paraId="20A5A0E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6CB0158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涉及设计变更的，应由设计人提供变更后的图纸和说明。如变更超过原设计标准或批准的建设规模时，发包人应及时办理规划、设计变更等审批手续。</w:t>
      </w:r>
    </w:p>
    <w:p w14:paraId="20F7AEB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01" w:name="_Toc351203570"/>
      <w:r>
        <w:rPr>
          <w:rFonts w:hint="eastAsia" w:ascii="宋体" w:hAnsi="宋体" w:eastAsia="宋体" w:cs="宋体"/>
          <w:b w:val="0"/>
          <w:color w:val="000000"/>
          <w:sz w:val="24"/>
          <w:szCs w:val="24"/>
          <w:highlight w:val="none"/>
        </w:rPr>
        <w:t>1</w:t>
      </w:r>
      <w:bookmarkStart w:id="702" w:name="_Toc337558790"/>
      <w:bookmarkStart w:id="703" w:name="_Toc296503086"/>
      <w:bookmarkStart w:id="704" w:name="_Toc296346587"/>
      <w:r>
        <w:rPr>
          <w:rFonts w:hint="eastAsia" w:ascii="宋体" w:hAnsi="宋体" w:eastAsia="宋体" w:cs="宋体"/>
          <w:b w:val="0"/>
          <w:color w:val="000000"/>
          <w:sz w:val="24"/>
          <w:szCs w:val="24"/>
          <w:highlight w:val="none"/>
        </w:rPr>
        <w:t>0.3变更程序</w:t>
      </w:r>
      <w:bookmarkEnd w:id="701"/>
    </w:p>
    <w:bookmarkEnd w:id="702"/>
    <w:bookmarkEnd w:id="703"/>
    <w:bookmarkEnd w:id="704"/>
    <w:p w14:paraId="1BC1CE5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10</w:t>
      </w:r>
      <w:r>
        <w:rPr>
          <w:rFonts w:hint="eastAsia" w:ascii="宋体" w:hAnsi="宋体" w:eastAsia="宋体" w:cs="宋体"/>
          <w:color w:val="000000"/>
          <w:kern w:val="0"/>
          <w:sz w:val="24"/>
          <w:szCs w:val="24"/>
          <w:highlight w:val="none"/>
        </w:rPr>
        <w:t>.3.1 发包人提出变更</w:t>
      </w:r>
    </w:p>
    <w:p w14:paraId="0BA3B8C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发包人提出变更的，应通过监理人向承包人发出变更指示，变更指示应说明计划变更的工程范围和变更的内容。</w:t>
      </w:r>
    </w:p>
    <w:p w14:paraId="19C7FDA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10</w:t>
      </w:r>
      <w:r>
        <w:rPr>
          <w:rFonts w:hint="eastAsia" w:ascii="宋体" w:hAnsi="宋体" w:eastAsia="宋体" w:cs="宋体"/>
          <w:color w:val="000000"/>
          <w:kern w:val="0"/>
          <w:sz w:val="24"/>
          <w:szCs w:val="24"/>
          <w:highlight w:val="none"/>
        </w:rPr>
        <w:t>.3.2 监理人提出变更建议</w:t>
      </w:r>
    </w:p>
    <w:p w14:paraId="12EA860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B67337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10.3.3 变更执行</w:t>
      </w:r>
    </w:p>
    <w:p w14:paraId="1301334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4C92166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05" w:name="_Toc351203571"/>
      <w:r>
        <w:rPr>
          <w:rFonts w:hint="eastAsia" w:ascii="宋体" w:hAnsi="宋体" w:eastAsia="宋体" w:cs="宋体"/>
          <w:b w:val="0"/>
          <w:color w:val="000000"/>
          <w:sz w:val="24"/>
          <w:szCs w:val="24"/>
          <w:highlight w:val="none"/>
        </w:rPr>
        <w:t>1</w:t>
      </w:r>
      <w:bookmarkStart w:id="706" w:name="_Toc296503087"/>
      <w:bookmarkStart w:id="707" w:name="_Toc296346588"/>
      <w:bookmarkStart w:id="708" w:name="_Toc337558791"/>
      <w:r>
        <w:rPr>
          <w:rFonts w:hint="eastAsia" w:ascii="宋体" w:hAnsi="宋体" w:eastAsia="宋体" w:cs="宋体"/>
          <w:b w:val="0"/>
          <w:color w:val="000000"/>
          <w:sz w:val="24"/>
          <w:szCs w:val="24"/>
          <w:highlight w:val="none"/>
        </w:rPr>
        <w:t>0.4变更估价</w:t>
      </w:r>
      <w:bookmarkEnd w:id="705"/>
    </w:p>
    <w:bookmarkEnd w:id="706"/>
    <w:bookmarkEnd w:id="707"/>
    <w:bookmarkEnd w:id="708"/>
    <w:p w14:paraId="5E90DDC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10.4.1 变更估价原则</w:t>
      </w:r>
    </w:p>
    <w:p w14:paraId="6C9A170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除专用合同条款另有约定外，变更估价按照本款约定处理：</w:t>
      </w:r>
    </w:p>
    <w:p w14:paraId="7DC523D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（1）已标价工程量清单或预算书有相同项目的，按照相同项目单价认定；</w:t>
      </w:r>
    </w:p>
    <w:p w14:paraId="20D97C6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（2）已标价工程量清单或预算书中无相同项目，但有类似项目的，参照类似项目的单价认定；</w:t>
      </w:r>
    </w:p>
    <w:p w14:paraId="75F66A6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550159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10.4.2 变更估价程序</w:t>
      </w:r>
    </w:p>
    <w:p w14:paraId="1682A4A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EF48BA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因变更引起的价格调整应计入最近一期的进度款中支付。</w:t>
      </w:r>
    </w:p>
    <w:p w14:paraId="0659AD13">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09" w:name="_Toc351203572"/>
      <w:r>
        <w:rPr>
          <w:rFonts w:hint="eastAsia" w:ascii="宋体" w:hAnsi="宋体" w:eastAsia="宋体" w:cs="宋体"/>
          <w:b w:val="0"/>
          <w:color w:val="000000"/>
          <w:sz w:val="24"/>
          <w:szCs w:val="24"/>
          <w:highlight w:val="none"/>
        </w:rPr>
        <w:t>1</w:t>
      </w:r>
      <w:bookmarkStart w:id="710" w:name="_Toc296503094"/>
      <w:bookmarkStart w:id="711" w:name="_Toc337558792"/>
      <w:bookmarkStart w:id="712" w:name="_Toc296346595"/>
      <w:r>
        <w:rPr>
          <w:rFonts w:hint="eastAsia" w:ascii="宋体" w:hAnsi="宋体" w:eastAsia="宋体" w:cs="宋体"/>
          <w:b w:val="0"/>
          <w:color w:val="000000"/>
          <w:sz w:val="24"/>
          <w:szCs w:val="24"/>
          <w:highlight w:val="none"/>
        </w:rPr>
        <w:t>0.5承包人的合理化建议</w:t>
      </w:r>
      <w:bookmarkEnd w:id="709"/>
    </w:p>
    <w:bookmarkEnd w:id="710"/>
    <w:bookmarkEnd w:id="711"/>
    <w:bookmarkEnd w:id="712"/>
    <w:p w14:paraId="7BE713A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承包人提出合理化建议的，应向监理人提交合理化建议说明，说明建议的内容和理由，以及实施该建议对合同价格和工期的影响。</w:t>
      </w:r>
    </w:p>
    <w:p w14:paraId="55F38B4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4051260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合理化建议降低了合同价格或者提高了工程经济效益的，发包人可对承包人给予奖励，奖励的方法和金额在专用合同条款中约定。</w:t>
      </w:r>
    </w:p>
    <w:p w14:paraId="60E7D9B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color w:val="000000"/>
          <w:sz w:val="24"/>
          <w:szCs w:val="24"/>
          <w:highlight w:val="none"/>
        </w:rPr>
      </w:pPr>
      <w:bookmarkStart w:id="713" w:name="_Toc351203573"/>
      <w:r>
        <w:rPr>
          <w:rFonts w:hint="eastAsia" w:ascii="宋体" w:hAnsi="宋体" w:eastAsia="宋体" w:cs="宋体"/>
          <w:b w:val="0"/>
          <w:color w:val="000000"/>
          <w:sz w:val="24"/>
          <w:szCs w:val="24"/>
          <w:highlight w:val="none"/>
        </w:rPr>
        <w:t>1</w:t>
      </w:r>
      <w:bookmarkStart w:id="714" w:name="_Toc337558793"/>
      <w:r>
        <w:rPr>
          <w:rFonts w:hint="eastAsia" w:ascii="宋体" w:hAnsi="宋体" w:eastAsia="宋体" w:cs="宋体"/>
          <w:b w:val="0"/>
          <w:color w:val="000000"/>
          <w:sz w:val="24"/>
          <w:szCs w:val="24"/>
          <w:highlight w:val="none"/>
        </w:rPr>
        <w:t>0.6变更引起的工期调整</w:t>
      </w:r>
      <w:bookmarkEnd w:id="713"/>
      <w:r>
        <w:rPr>
          <w:rFonts w:hint="eastAsia" w:ascii="宋体" w:hAnsi="宋体" w:eastAsia="宋体" w:cs="宋体"/>
          <w:b w:val="0"/>
          <w:color w:val="000000"/>
          <w:sz w:val="24"/>
          <w:szCs w:val="24"/>
          <w:highlight w:val="none"/>
        </w:rPr>
        <w:t xml:space="preserve"> </w:t>
      </w:r>
      <w:bookmarkEnd w:id="714"/>
      <w:r>
        <w:rPr>
          <w:rFonts w:hint="eastAsia" w:ascii="宋体" w:hAnsi="宋体" w:eastAsia="宋体" w:cs="宋体"/>
          <w:b w:val="0"/>
          <w:color w:val="000000"/>
          <w:sz w:val="24"/>
          <w:szCs w:val="24"/>
          <w:highlight w:val="none"/>
        </w:rPr>
        <w:t xml:space="preserve"> </w:t>
      </w:r>
      <w:r>
        <w:rPr>
          <w:rFonts w:hint="eastAsia" w:ascii="宋体" w:hAnsi="宋体" w:eastAsia="宋体" w:cs="宋体"/>
          <w:color w:val="000000"/>
          <w:sz w:val="24"/>
          <w:szCs w:val="24"/>
          <w:highlight w:val="none"/>
        </w:rPr>
        <w:t xml:space="preserve"> </w:t>
      </w:r>
    </w:p>
    <w:p w14:paraId="3D872E9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因变更引起工期变化的，合同当事人均可要求调整合同工期，由合同当事人按照第4.4款〔商定或确定〕并参考工程所在地的工期定额标准确定增减工期天数。</w:t>
      </w:r>
    </w:p>
    <w:p w14:paraId="30D4903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15" w:name="_Toc351203574"/>
      <w:r>
        <w:rPr>
          <w:rFonts w:hint="eastAsia" w:ascii="宋体" w:hAnsi="宋体" w:eastAsia="宋体" w:cs="宋体"/>
          <w:b w:val="0"/>
          <w:color w:val="000000"/>
          <w:sz w:val="24"/>
          <w:szCs w:val="24"/>
          <w:highlight w:val="none"/>
        </w:rPr>
        <w:t>10.7暂估价</w:t>
      </w:r>
      <w:bookmarkEnd w:id="715"/>
    </w:p>
    <w:p w14:paraId="27DCC57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暂估价专业分包工程、服务、材料和工程设备的明细由合同当事人在专用合同条款中约定。</w:t>
      </w:r>
    </w:p>
    <w:p w14:paraId="3F4A540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10.7.1</w:t>
      </w:r>
      <w:r>
        <w:rPr>
          <w:rFonts w:hint="eastAsia" w:ascii="宋体" w:hAnsi="宋体" w:eastAsia="宋体" w:cs="宋体"/>
          <w:color w:val="000000"/>
          <w:kern w:val="0"/>
          <w:sz w:val="24"/>
          <w:szCs w:val="24"/>
          <w:highlight w:val="none"/>
        </w:rPr>
        <w:t xml:space="preserve"> 依法必须招标的暂估价项目</w:t>
      </w:r>
    </w:p>
    <w:p w14:paraId="5A61AD2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对于依法必须招标的暂估价项目，采取以下第1种方式确定。合同当事人也可以在专用合同条款中选择其他招标方式。</w:t>
      </w:r>
    </w:p>
    <w:p w14:paraId="28DFEA6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第1种方式：对于依法必须招标的暂估价项目，由承包人招标，对该暂估价项目的确认和批准按照以下约定执行：</w:t>
      </w:r>
    </w:p>
    <w:p w14:paraId="3B79A84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02E939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644D5EA6">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0287C3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6726CC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10.7.2</w:t>
      </w:r>
      <w:r>
        <w:rPr>
          <w:rFonts w:hint="eastAsia" w:ascii="宋体" w:hAnsi="宋体" w:eastAsia="宋体" w:cs="宋体"/>
          <w:color w:val="000000"/>
          <w:kern w:val="0"/>
          <w:sz w:val="24"/>
          <w:szCs w:val="24"/>
          <w:highlight w:val="none"/>
        </w:rPr>
        <w:t>不属于依法必须招标的暂估价项目</w:t>
      </w:r>
    </w:p>
    <w:p w14:paraId="0AEB1B2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除专用合同条款另有约定外，对于不属于依法必须招标的暂估价项目，采取以下第1种方式确定： </w:t>
      </w:r>
    </w:p>
    <w:p w14:paraId="5B78B8E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第1种方式：对于不属于依法必须招标的暂估价项目，按本项约定确认和批准：</w:t>
      </w:r>
    </w:p>
    <w:p w14:paraId="13DD34B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1BB060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（2）发包人认为承包人确定的供应商、分包人无法满足工程质量或合同要求的，发包人可以要求承包人重新确定暂估价项目的供应商、分包人;</w:t>
      </w:r>
    </w:p>
    <w:p w14:paraId="60EBEB3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（3）承包人应当在签订暂估价合同后7天内，将暂估价合同副本报送发包人留存。</w:t>
      </w:r>
    </w:p>
    <w:p w14:paraId="6255A30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第2种方式：承包人按照第10.7.1项〔依法必须招标的暂估价项目〕约定的第1种方式确定暂估价项目。</w:t>
      </w:r>
    </w:p>
    <w:p w14:paraId="464E140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第3种方式：</w:t>
      </w:r>
      <w:r>
        <w:rPr>
          <w:rFonts w:hint="eastAsia" w:ascii="宋体" w:hAnsi="宋体" w:eastAsia="宋体" w:cs="宋体"/>
          <w:color w:val="000000"/>
          <w:kern w:val="0"/>
          <w:sz w:val="24"/>
          <w:szCs w:val="24"/>
          <w:highlight w:val="none"/>
        </w:rPr>
        <w:t>承包人直接实施的暂估价项目</w:t>
      </w:r>
    </w:p>
    <w:p w14:paraId="53D15C9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承包人具备实施暂估价项目的资格和条件的，经发包人和承包人协商一致后，可由承包人自行实施暂估价项目，合同当事人可以在专用合同条款约定具体事项。</w:t>
      </w:r>
    </w:p>
    <w:p w14:paraId="7F3E908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712FECF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16" w:name="_Toc351203575"/>
      <w:r>
        <w:rPr>
          <w:rFonts w:hint="eastAsia" w:ascii="宋体" w:hAnsi="宋体" w:eastAsia="宋体" w:cs="宋体"/>
          <w:b w:val="0"/>
          <w:color w:val="000000"/>
          <w:sz w:val="24"/>
          <w:szCs w:val="24"/>
          <w:highlight w:val="none"/>
        </w:rPr>
        <w:t>1</w:t>
      </w:r>
      <w:bookmarkStart w:id="717" w:name="_Toc337558794"/>
      <w:bookmarkStart w:id="718" w:name="_Toc296346591"/>
      <w:bookmarkStart w:id="719" w:name="_Toc296503090"/>
      <w:bookmarkStart w:id="720" w:name="_Toc322522561"/>
      <w:r>
        <w:rPr>
          <w:rFonts w:hint="eastAsia" w:ascii="宋体" w:hAnsi="宋体" w:eastAsia="宋体" w:cs="宋体"/>
          <w:b w:val="0"/>
          <w:color w:val="000000"/>
          <w:sz w:val="24"/>
          <w:szCs w:val="24"/>
          <w:highlight w:val="none"/>
        </w:rPr>
        <w:t>0.8暂列金额</w:t>
      </w:r>
      <w:bookmarkEnd w:id="716"/>
    </w:p>
    <w:bookmarkEnd w:id="717"/>
    <w:p w14:paraId="6223E1A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暂列金额应按照发包人的要求使用，发包人的要求应通过监理人发出。合同当事人可以在专用合同条款中协商确定有关事项。</w:t>
      </w:r>
    </w:p>
    <w:bookmarkEnd w:id="718"/>
    <w:bookmarkEnd w:id="719"/>
    <w:bookmarkEnd w:id="720"/>
    <w:p w14:paraId="3FD5733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21" w:name="_Toc351203576"/>
      <w:r>
        <w:rPr>
          <w:rFonts w:hint="eastAsia" w:ascii="宋体" w:hAnsi="宋体" w:eastAsia="宋体" w:cs="宋体"/>
          <w:b w:val="0"/>
          <w:color w:val="000000"/>
          <w:sz w:val="24"/>
          <w:szCs w:val="24"/>
          <w:highlight w:val="none"/>
        </w:rPr>
        <w:t>1</w:t>
      </w:r>
      <w:bookmarkStart w:id="722" w:name="_Toc337558796"/>
      <w:bookmarkStart w:id="723" w:name="_Toc296346592"/>
      <w:bookmarkStart w:id="724" w:name="_Toc296503091"/>
      <w:r>
        <w:rPr>
          <w:rFonts w:hint="eastAsia" w:ascii="宋体" w:hAnsi="宋体" w:eastAsia="宋体" w:cs="宋体"/>
          <w:b w:val="0"/>
          <w:color w:val="000000"/>
          <w:sz w:val="24"/>
          <w:szCs w:val="24"/>
          <w:highlight w:val="none"/>
        </w:rPr>
        <w:t>0.9计日工</w:t>
      </w:r>
      <w:bookmarkEnd w:id="721"/>
      <w:r>
        <w:rPr>
          <w:rFonts w:hint="eastAsia" w:ascii="宋体" w:hAnsi="宋体" w:eastAsia="宋体" w:cs="宋体"/>
          <w:b w:val="0"/>
          <w:color w:val="000000"/>
          <w:sz w:val="24"/>
          <w:szCs w:val="24"/>
          <w:highlight w:val="none"/>
        </w:rPr>
        <w:t xml:space="preserve"> </w:t>
      </w:r>
      <w:bookmarkEnd w:id="722"/>
      <w:bookmarkEnd w:id="723"/>
      <w:bookmarkEnd w:id="724"/>
    </w:p>
    <w:p w14:paraId="43D8241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13C77BB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采用计日工计价的任何一项工作，承包人应在该项工作实施过程中，每天提交以下报表和有关凭证报送监理人审查：</w:t>
      </w:r>
    </w:p>
    <w:p w14:paraId="5AA59906">
      <w:pPr>
        <w:pageBreakBefore w:val="0"/>
        <w:widowControl w:val="0"/>
        <w:kinsoku/>
        <w:wordWrap/>
        <w:overflowPunct/>
        <w:topLinePunct w:val="0"/>
        <w:bidi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（1）工作名称、内容和数量；</w:t>
      </w:r>
    </w:p>
    <w:p w14:paraId="32C8BC21">
      <w:pPr>
        <w:pageBreakBefore w:val="0"/>
        <w:widowControl w:val="0"/>
        <w:kinsoku/>
        <w:wordWrap/>
        <w:overflowPunct/>
        <w:topLinePunct w:val="0"/>
        <w:bidi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（2）投入该工作的所有人员的姓名、专业、工种、级别和耗用工时；</w:t>
      </w:r>
    </w:p>
    <w:p w14:paraId="54B5ABC0">
      <w:pPr>
        <w:pageBreakBefore w:val="0"/>
        <w:widowControl w:val="0"/>
        <w:kinsoku/>
        <w:wordWrap/>
        <w:overflowPunct/>
        <w:topLinePunct w:val="0"/>
        <w:bidi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（3）投入该工作的材料类别和数量；</w:t>
      </w:r>
    </w:p>
    <w:p w14:paraId="0938E16E">
      <w:pPr>
        <w:pageBreakBefore w:val="0"/>
        <w:widowControl w:val="0"/>
        <w:kinsoku/>
        <w:wordWrap/>
        <w:overflowPunct/>
        <w:topLinePunct w:val="0"/>
        <w:bidi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（4）投入该工作的施工设备型号、台数和耗用台时；</w:t>
      </w:r>
    </w:p>
    <w:p w14:paraId="779863E7">
      <w:pPr>
        <w:pageBreakBefore w:val="0"/>
        <w:widowControl w:val="0"/>
        <w:kinsoku/>
        <w:wordWrap/>
        <w:overflowPunct/>
        <w:topLinePunct w:val="0"/>
        <w:bidi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（5）其他有关资料和凭证。</w:t>
      </w:r>
    </w:p>
    <w:p w14:paraId="62AA0E05">
      <w:pPr>
        <w:pageBreakBefore w:val="0"/>
        <w:widowControl w:val="0"/>
        <w:kinsoku/>
        <w:wordWrap/>
        <w:overflowPunct/>
        <w:topLinePunct w:val="0"/>
        <w:bidi w:val="0"/>
        <w:snapToGrid/>
        <w:spacing w:line="480" w:lineRule="exact"/>
        <w:ind w:firstLine="360" w:firstLineChars="1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计日工由承包人汇总后，列入最近一期进度付款申请单，由监理人审查并经发包人批准后列入进度付款。</w:t>
      </w:r>
    </w:p>
    <w:p w14:paraId="27F1583D">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725" w:name="_Toc351203577"/>
      <w:r>
        <w:rPr>
          <w:rFonts w:hint="eastAsia" w:ascii="宋体" w:hAnsi="宋体" w:eastAsia="宋体" w:cs="宋体"/>
          <w:b w:val="0"/>
          <w:color w:val="000000"/>
          <w:sz w:val="24"/>
          <w:szCs w:val="24"/>
          <w:highlight w:val="none"/>
        </w:rPr>
        <w:t>11. 价格调整</w:t>
      </w:r>
      <w:bookmarkEnd w:id="725"/>
    </w:p>
    <w:p w14:paraId="2234E41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26" w:name="_Toc351203578"/>
      <w:bookmarkStart w:id="727" w:name="_Toc296346593"/>
      <w:bookmarkStart w:id="728" w:name="_Toc337558797"/>
      <w:bookmarkStart w:id="729" w:name="_Toc296503092"/>
      <w:r>
        <w:rPr>
          <w:rFonts w:hint="eastAsia" w:ascii="宋体" w:hAnsi="宋体" w:eastAsia="宋体" w:cs="宋体"/>
          <w:b w:val="0"/>
          <w:color w:val="000000"/>
          <w:sz w:val="24"/>
          <w:szCs w:val="24"/>
          <w:highlight w:val="none"/>
        </w:rPr>
        <w:t>11.1市场价格波动引起的调整</w:t>
      </w:r>
      <w:bookmarkEnd w:id="726"/>
    </w:p>
    <w:bookmarkEnd w:id="727"/>
    <w:bookmarkEnd w:id="728"/>
    <w:bookmarkEnd w:id="729"/>
    <w:p w14:paraId="26A75BD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14:paraId="167B777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第1种方式：采用价格指数进行价格调整。</w:t>
      </w:r>
    </w:p>
    <w:p w14:paraId="15152BED">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（1）价格调整公式</w:t>
      </w:r>
    </w:p>
    <w:p w14:paraId="6A75B70E">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因人工、材料和设备等价格波动影响合同价格时，根据专用合同条款中约定的数据，按以下公式计算差额并调整合同价格：</w:t>
      </w:r>
    </w:p>
    <w:p w14:paraId="7E015F54">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position w:val="-30"/>
          <w:sz w:val="24"/>
          <w:szCs w:val="24"/>
          <w:highlight w:val="none"/>
        </w:rPr>
        <w:object>
          <v:shape id="_x0000_i1025" o:spt="75" type="#_x0000_t75" style="height:43.9pt;width:359.85pt;" o:ole="t" filled="f" stroked="f" coordsize="21600,21600">
            <v:path/>
            <v:fill on="f" focussize="0,0"/>
            <v:stroke on="f"/>
            <v:imagedata r:id="rId15" o:title=""/>
            <o:lock v:ext="edit" grouping="f" rotation="f" text="f" aspectratio="t"/>
            <w10:wrap type="none"/>
            <w10:anchorlock/>
          </v:shape>
          <o:OLEObject Type="Embed" ProgID="Equation.KSEE3" ShapeID="_x0000_i1025" DrawAspect="Content" ObjectID="_1468075725" r:id="rId14">
            <o:LockedField>false</o:LockedField>
          </o:OLEObject>
        </w:object>
      </w:r>
    </w:p>
    <w:p w14:paraId="51CCD6BC">
      <w:pPr>
        <w:pageBreakBefore w:val="0"/>
        <w:widowControl w:val="0"/>
        <w:tabs>
          <w:tab w:val="left" w:pos="0"/>
          <w:tab w:val="left" w:pos="360"/>
          <w:tab w:val="left" w:pos="540"/>
        </w:tabs>
        <w:kinsoku/>
        <w:wordWrap/>
        <w:overflowPunct/>
        <w:topLinePunct w:val="0"/>
        <w:bidi w:val="0"/>
        <w:snapToGrid/>
        <w:spacing w:line="480" w:lineRule="exact"/>
        <w:ind w:firstLine="64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公式中：ΔP——需调整的价格差额；</w:t>
      </w:r>
    </w:p>
    <w:p w14:paraId="715D1F7A">
      <w:pPr>
        <w:pageBreakBefore w:val="0"/>
        <w:widowControl w:val="0"/>
        <w:tabs>
          <w:tab w:val="left" w:pos="0"/>
          <w:tab w:val="left" w:pos="360"/>
          <w:tab w:val="left" w:pos="540"/>
        </w:tabs>
        <w:kinsoku/>
        <w:wordWrap/>
        <w:overflowPunct/>
        <w:topLinePunct w:val="0"/>
        <w:bidi w:val="0"/>
        <w:snapToGrid/>
        <w:spacing w:line="480" w:lineRule="exact"/>
        <w:ind w:firstLine="1440" w:firstLineChars="600"/>
        <w:textAlignment w:val="auto"/>
        <w:rPr>
          <w:rFonts w:hint="eastAsia" w:ascii="宋体" w:hAnsi="宋体" w:eastAsia="宋体" w:cs="宋体"/>
          <w:color w:val="000000"/>
          <w:sz w:val="24"/>
          <w:szCs w:val="24"/>
          <w:highlight w:val="none"/>
        </w:rPr>
      </w:pPr>
      <w:r>
        <w:rPr>
          <w:rFonts w:hint="eastAsia" w:ascii="宋体" w:hAnsi="宋体" w:eastAsia="宋体" w:cs="宋体"/>
          <w:color w:val="000000"/>
          <w:position w:val="-6"/>
          <w:sz w:val="24"/>
          <w:szCs w:val="24"/>
          <w:highlight w:val="none"/>
        </w:rPr>
        <w:object>
          <v:shape id="_x0000_i1026" o:spt="75" type="#_x0000_t75" style="height:17.95pt;width:17.95pt;" o:ole="t" filled="f" stroked="f" coordsize="21600,21600">
            <v:path/>
            <v:fill on="f" focussize="0,0"/>
            <v:stroke on="f"/>
            <v:imagedata r:id="rId17" o:title=""/>
            <o:lock v:ext="edit" grouping="f" rotation="f" text="f" aspectratio="t"/>
            <w10:wrap type="none"/>
            <w10:anchorlock/>
          </v:shape>
          <o:OLEObject Type="Embed" ProgID="Equation.KSEE3" ShapeID="_x0000_i1026" DrawAspect="Content" ObjectID="_1468075726" r:id="rId16">
            <o:LockedField>false</o:LockedField>
          </o:OLEObject>
        </w:object>
      </w:r>
      <w:r>
        <w:rPr>
          <w:rFonts w:hint="eastAsia" w:ascii="宋体" w:hAnsi="宋体" w:eastAsia="宋体" w:cs="宋体"/>
          <w:color w:val="000000"/>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CE501D1">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A——定值权重（即不调部分的权重）；</w:t>
      </w:r>
    </w:p>
    <w:p w14:paraId="0516FB66">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position w:val="-10"/>
          <w:sz w:val="24"/>
          <w:szCs w:val="24"/>
          <w:highlight w:val="none"/>
        </w:rPr>
        <w:object>
          <v:shape id="_x0000_i1027" o:spt="75" type="#_x0000_t75" style="height:21.05pt;width:101pt;" o:ole="t" filled="f" stroked="f" coordsize="21600,21600">
            <v:path/>
            <v:fill on="f" focussize="0,0"/>
            <v:stroke on="f"/>
            <v:imagedata r:id="rId19" o:title=""/>
            <o:lock v:ext="edit" grouping="f" rotation="f" text="f" aspectratio="t"/>
            <w10:wrap type="none"/>
            <w10:anchorlock/>
          </v:shape>
          <o:OLEObject Type="Embed" ProgID="Equation.KSEE3" ShapeID="_x0000_i1027" DrawAspect="Content" ObjectID="_1468075727" r:id="rId18">
            <o:LockedField>false</o:LockedField>
          </o:OLEObject>
        </w:object>
      </w:r>
      <w:r>
        <w:rPr>
          <w:rFonts w:hint="eastAsia" w:ascii="宋体" w:hAnsi="宋体" w:eastAsia="宋体" w:cs="宋体"/>
          <w:color w:val="000000"/>
          <w:sz w:val="24"/>
          <w:szCs w:val="24"/>
          <w:highlight w:val="none"/>
        </w:rPr>
        <w:t>——各可调因子的变值权重（即可调部分的权重），为各可调因子在签约合同价中所占的比例；</w:t>
      </w:r>
    </w:p>
    <w:p w14:paraId="02C8A85C">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position w:val="-10"/>
          <w:sz w:val="24"/>
          <w:szCs w:val="24"/>
          <w:highlight w:val="none"/>
        </w:rPr>
        <w:object>
          <v:shape id="_x0000_i1028" o:spt="75" type="#_x0000_t75" style="height:20.6pt;width:102pt;" o:ole="t" filled="f" stroked="f" coordsize="21600,21600">
            <v:path/>
            <v:fill on="f" focussize="0,0"/>
            <v:stroke on="f"/>
            <v:imagedata r:id="rId21" o:title=""/>
            <o:lock v:ext="edit" grouping="f" rotation="f" text="f" aspectratio="t"/>
            <w10:wrap type="none"/>
            <w10:anchorlock/>
          </v:shape>
          <o:OLEObject Type="Embed" ProgID="Equation.KSEE3" ShapeID="_x0000_i1028" DrawAspect="Content" ObjectID="_1468075728" r:id="rId20">
            <o:LockedField>false</o:LockedField>
          </o:OLEObject>
        </w:object>
      </w:r>
      <w:r>
        <w:rPr>
          <w:rFonts w:hint="eastAsia" w:ascii="宋体" w:hAnsi="宋体" w:eastAsia="宋体" w:cs="宋体"/>
          <w:color w:val="000000"/>
          <w:sz w:val="24"/>
          <w:szCs w:val="24"/>
          <w:highlight w:val="none"/>
        </w:rPr>
        <w:t>——各可调因子的现行价格指数，指约定的付款证书相关周期最后一天的前42天的各可调因子的价格指数；</w:t>
      </w:r>
    </w:p>
    <w:p w14:paraId="213C429C">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position w:val="-10"/>
          <w:sz w:val="24"/>
          <w:szCs w:val="24"/>
          <w:highlight w:val="none"/>
        </w:rPr>
        <w:object>
          <v:shape id="_x0000_i1029" o:spt="75" type="#_x0000_t75" style="height:20.2pt;width:108pt;" o:ole="t" filled="f" stroked="f" coordsize="21600,21600">
            <v:path/>
            <v:fill on="f" focussize="0,0"/>
            <v:stroke on="f"/>
            <v:imagedata r:id="rId23" o:title=""/>
            <o:lock v:ext="edit" grouping="f" rotation="f" text="f" aspectratio="t"/>
            <w10:wrap type="none"/>
            <w10:anchorlock/>
          </v:shape>
          <o:OLEObject Type="Embed" ProgID="Equation.KSEE3" ShapeID="_x0000_i1029" DrawAspect="Content" ObjectID="_1468075729" r:id="rId22">
            <o:LockedField>false</o:LockedField>
          </o:OLEObject>
        </w:object>
      </w:r>
      <w:r>
        <w:rPr>
          <w:rFonts w:hint="eastAsia" w:ascii="宋体" w:hAnsi="宋体" w:eastAsia="宋体" w:cs="宋体"/>
          <w:color w:val="000000"/>
          <w:sz w:val="24"/>
          <w:szCs w:val="24"/>
          <w:highlight w:val="none"/>
        </w:rPr>
        <w:t>——各可调因子的基本价格指数，指基准日期的各可调因子的价格指数。</w:t>
      </w:r>
    </w:p>
    <w:p w14:paraId="5906A565">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337725E0">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（2）暂时确定调整差额</w:t>
      </w:r>
    </w:p>
    <w:p w14:paraId="1449FCA5">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在计算调整差额时无现行价格指数的，合同当事人同意暂用前次价格指数计算。实际价格指数有调整的，合同当事人进行相应调整。</w:t>
      </w:r>
    </w:p>
    <w:p w14:paraId="02EA6D72">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（3）权重的调整</w:t>
      </w:r>
    </w:p>
    <w:p w14:paraId="7D65D974">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因变更导致合同约定的权重不合理时，按照第4.4款〔商定或确定〕执行。</w:t>
      </w:r>
    </w:p>
    <w:p w14:paraId="4CDFA52D">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（4）因承包人原因工期延误后的价格调整</w:t>
      </w:r>
    </w:p>
    <w:p w14:paraId="4EB0EF24">
      <w:pPr>
        <w:pageBreakBefore w:val="0"/>
        <w:widowControl w:val="0"/>
        <w:tabs>
          <w:tab w:val="left" w:pos="0"/>
          <w:tab w:val="left" w:pos="360"/>
          <w:tab w:val="left" w:pos="540"/>
        </w:tabs>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1A86BCF">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第2种方式：采用造价信息进行价格调整。</w:t>
      </w:r>
    </w:p>
    <w:p w14:paraId="42074E7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7294B1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56528A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（2）材料、工程设备价格变化的价款调整按照发包人提供的基准价格，按以下风险范围规定执行:</w:t>
      </w:r>
    </w:p>
    <w:p w14:paraId="531AD14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16947A3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0C18880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③承包人在已标价工程量清单或预算书中载明材料单价等于基准价格的：除专用合同条款另有约定外，合同履行期间材料单价涨跌幅以基准价格为基础超过±5%时，其超过部分据实调整。</w:t>
      </w:r>
    </w:p>
    <w:p w14:paraId="0376C81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7E4F14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bookmarkStart w:id="730" w:name="OLE_LINK3"/>
      <w:r>
        <w:rPr>
          <w:rFonts w:hint="eastAsia" w:ascii="宋体" w:hAnsi="宋体" w:eastAsia="宋体" w:cs="宋体"/>
          <w:color w:val="000000"/>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5846F5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（3）施工机械台班单价或施工机械使用费发生变化超过省级或行业建设主管部门或其授权的工程造价管理机构规定的范围时，按规定调整合同价格。</w:t>
      </w:r>
    </w:p>
    <w:p w14:paraId="2F974F0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第3种方式：专用合同条款约定的其他方式。</w:t>
      </w:r>
    </w:p>
    <w:p w14:paraId="1205FFA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31" w:name="_Toc351203579"/>
      <w:bookmarkStart w:id="732" w:name="_Toc296346594"/>
      <w:bookmarkStart w:id="733" w:name="_Toc296503093"/>
      <w:bookmarkStart w:id="734" w:name="_Toc337558798"/>
      <w:r>
        <w:rPr>
          <w:rFonts w:hint="eastAsia" w:ascii="宋体" w:hAnsi="宋体" w:eastAsia="宋体" w:cs="宋体"/>
          <w:b w:val="0"/>
          <w:color w:val="000000"/>
          <w:sz w:val="24"/>
          <w:szCs w:val="24"/>
          <w:highlight w:val="none"/>
        </w:rPr>
        <w:t>11.2法律变化引起的调整</w:t>
      </w:r>
      <w:bookmarkEnd w:id="731"/>
    </w:p>
    <w:bookmarkEnd w:id="732"/>
    <w:bookmarkEnd w:id="733"/>
    <w:bookmarkEnd w:id="734"/>
    <w:p w14:paraId="5AAEFA3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1055E67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因法律变化引起的合同价格和工期调整，合同当事人无法达成一致的，由总监理工程师按第4.4款〔商定或确定〕的约定处理。</w:t>
      </w:r>
    </w:p>
    <w:p w14:paraId="7EBAAFD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因承包人原因造成工期延误，在工期延误期间出现法律变化的，由此增加的费用和（或）延误的工期由承包人承担。</w:t>
      </w:r>
    </w:p>
    <w:p w14:paraId="71289814">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735" w:name="_Toc351203580"/>
      <w:bookmarkStart w:id="736" w:name="_Toc337558799"/>
      <w:bookmarkStart w:id="737" w:name="_Toc296346597"/>
      <w:bookmarkStart w:id="738" w:name="_Toc296503096"/>
      <w:r>
        <w:rPr>
          <w:rFonts w:hint="eastAsia" w:ascii="宋体" w:hAnsi="宋体" w:eastAsia="宋体" w:cs="宋体"/>
          <w:b w:val="0"/>
          <w:color w:val="000000"/>
          <w:sz w:val="24"/>
          <w:szCs w:val="24"/>
          <w:highlight w:val="none"/>
        </w:rPr>
        <w:t>12. 合同价格、计量与支付</w:t>
      </w:r>
      <w:bookmarkEnd w:id="735"/>
    </w:p>
    <w:bookmarkEnd w:id="736"/>
    <w:p w14:paraId="613EB53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39" w:name="_Toc351203581"/>
      <w:bookmarkStart w:id="740" w:name="_Toc337558800"/>
      <w:r>
        <w:rPr>
          <w:rFonts w:hint="eastAsia" w:ascii="宋体" w:hAnsi="宋体" w:eastAsia="宋体" w:cs="宋体"/>
          <w:b w:val="0"/>
          <w:color w:val="000000"/>
          <w:sz w:val="24"/>
          <w:szCs w:val="24"/>
          <w:highlight w:val="none"/>
        </w:rPr>
        <w:t>12.1 合同价</w:t>
      </w:r>
      <w:bookmarkEnd w:id="737"/>
      <w:bookmarkEnd w:id="738"/>
      <w:r>
        <w:rPr>
          <w:rFonts w:hint="eastAsia" w:ascii="宋体" w:hAnsi="宋体" w:eastAsia="宋体" w:cs="宋体"/>
          <w:b w:val="0"/>
          <w:color w:val="000000"/>
          <w:sz w:val="24"/>
          <w:szCs w:val="24"/>
          <w:highlight w:val="none"/>
        </w:rPr>
        <w:t>格形式</w:t>
      </w:r>
      <w:bookmarkEnd w:id="739"/>
    </w:p>
    <w:bookmarkEnd w:id="740"/>
    <w:p w14:paraId="28B7382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发包人和承包人应在合同协议书中选择下列一种合同价格形式： </w:t>
      </w:r>
    </w:p>
    <w:p w14:paraId="6C14FE8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单价合同</w:t>
      </w:r>
    </w:p>
    <w:p w14:paraId="7101353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单价合同是指合同当事人约定以工程量清单及其综合单价进行合同价格计算、调整和确认的建设工程施工合同，</w:t>
      </w:r>
      <w:r>
        <w:rPr>
          <w:rFonts w:hint="eastAsia" w:ascii="宋体" w:hAnsi="宋体" w:eastAsia="宋体" w:cs="宋体"/>
          <w:sz w:val="24"/>
          <w:szCs w:val="24"/>
          <w:highlight w:val="none"/>
        </w:rPr>
        <w:t>在约定的范围内合同单价不作调整</w:t>
      </w:r>
      <w:r>
        <w:rPr>
          <w:rFonts w:hint="eastAsia" w:ascii="宋体" w:hAnsi="宋体" w:eastAsia="宋体" w:cs="宋体"/>
          <w:color w:val="000000"/>
          <w:kern w:val="0"/>
          <w:sz w:val="24"/>
          <w:szCs w:val="24"/>
          <w:highlight w:val="none"/>
        </w:rPr>
        <w:t>。合同当事人应在专用合同条款中约定综合单价包含的风险范围和风险费用的计算方法</w:t>
      </w: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rPr>
        <w:t>并约定风险范围以外的合同价格的调整方法，其中因市场价格波动引起的调整按第11.1款〔市场价格波动引起的调整〕约定执行。</w:t>
      </w:r>
    </w:p>
    <w:p w14:paraId="220EA4E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总价合同</w:t>
      </w:r>
    </w:p>
    <w:p w14:paraId="561769C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总价合同是指合同当事人约定以施工图、已标价工程量清单或预算书及有关条件进行合同价格计算、调整和确认的建设工程施工合同，</w:t>
      </w:r>
      <w:r>
        <w:rPr>
          <w:rFonts w:hint="eastAsia" w:ascii="宋体" w:hAnsi="宋体" w:eastAsia="宋体" w:cs="宋体"/>
          <w:sz w:val="24"/>
          <w:szCs w:val="24"/>
          <w:highlight w:val="none"/>
        </w:rPr>
        <w:t>在约定的范围内合同总价不作调整</w:t>
      </w:r>
      <w:r>
        <w:rPr>
          <w:rFonts w:hint="eastAsia" w:ascii="宋体" w:hAnsi="宋体" w:eastAsia="宋体" w:cs="宋体"/>
          <w:color w:val="000000"/>
          <w:kern w:val="0"/>
          <w:sz w:val="24"/>
          <w:szCs w:val="24"/>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97436F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其它价格形式</w:t>
      </w:r>
    </w:p>
    <w:p w14:paraId="03A8C9F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合同当事人可在专用合同条款中约定其他合同价格形式。</w:t>
      </w:r>
    </w:p>
    <w:p w14:paraId="1E4BED8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41" w:name="_Toc296503097"/>
      <w:bookmarkStart w:id="742" w:name="_Toc296346598"/>
      <w:bookmarkStart w:id="743" w:name="_Toc351203582"/>
      <w:bookmarkStart w:id="744" w:name="_Toc337558801"/>
      <w:r>
        <w:rPr>
          <w:rFonts w:hint="eastAsia" w:ascii="宋体" w:hAnsi="宋体" w:eastAsia="宋体" w:cs="宋体"/>
          <w:b w:val="0"/>
          <w:color w:val="000000"/>
          <w:sz w:val="24"/>
          <w:szCs w:val="24"/>
          <w:highlight w:val="none"/>
        </w:rPr>
        <w:t>12.2预</w:t>
      </w:r>
      <w:bookmarkEnd w:id="741"/>
      <w:bookmarkEnd w:id="742"/>
      <w:bookmarkStart w:id="745" w:name="_Toc296503100"/>
      <w:bookmarkStart w:id="746" w:name="_Toc296346601"/>
      <w:r>
        <w:rPr>
          <w:rFonts w:hint="eastAsia" w:ascii="宋体" w:hAnsi="宋体" w:eastAsia="宋体" w:cs="宋体"/>
          <w:b w:val="0"/>
          <w:color w:val="000000"/>
          <w:sz w:val="24"/>
          <w:szCs w:val="24"/>
          <w:highlight w:val="none"/>
        </w:rPr>
        <w:t>付款</w:t>
      </w:r>
      <w:bookmarkEnd w:id="743"/>
    </w:p>
    <w:bookmarkEnd w:id="744"/>
    <w:bookmarkEnd w:id="745"/>
    <w:bookmarkEnd w:id="746"/>
    <w:p w14:paraId="6919FD5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12.2.</w:t>
      </w:r>
      <w:r>
        <w:rPr>
          <w:rFonts w:hint="eastAsia" w:ascii="宋体" w:hAnsi="宋体" w:eastAsia="宋体" w:cs="宋体"/>
          <w:color w:val="000000"/>
          <w:kern w:val="0"/>
          <w:sz w:val="24"/>
          <w:szCs w:val="24"/>
          <w:highlight w:val="none"/>
        </w:rPr>
        <w:t>1预付款的支付</w:t>
      </w:r>
    </w:p>
    <w:p w14:paraId="1BF7A94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预付款的支付按照专用合同条款约定执行，但至迟应在开工通知载明的开工日期7天前支付。预付款应当用于材料、工程设备、施工设备的采购及修建临时工程、组织施工队伍进场等。</w:t>
      </w:r>
    </w:p>
    <w:p w14:paraId="6CFE9FA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除专用合同条款另有约定外，预付款在进度付款中同比例扣回。</w:t>
      </w:r>
      <w:bookmarkEnd w:id="730"/>
      <w:r>
        <w:rPr>
          <w:rFonts w:hint="eastAsia" w:ascii="宋体" w:hAnsi="宋体" w:eastAsia="宋体" w:cs="宋体"/>
          <w:color w:val="000000"/>
          <w:kern w:val="0"/>
          <w:sz w:val="24"/>
          <w:szCs w:val="24"/>
          <w:highlight w:val="none"/>
        </w:rPr>
        <w:t>在颁发工程接收证书前，提前解除合同的，尚未扣完的预付款应与合同价款一并结算。</w:t>
      </w:r>
    </w:p>
    <w:p w14:paraId="33E7AD5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发包人逾期支付预付款超过7天的，承包人有权向发包人发出要求预付的催告通知，发包人收到通知后7天内仍未支付的，承包人有权暂停施工，并按第16.1.1项〔发包人违约的情形〕执行。</w:t>
      </w:r>
    </w:p>
    <w:p w14:paraId="6F3FED5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12.2.2 预付款担保</w:t>
      </w:r>
    </w:p>
    <w:p w14:paraId="1A14FC5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085E07E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发包人在工程款中逐期扣回预付款后，预付款担保额度应相应减少，但剩余的预付款担保金额不得低于未被扣回的预付款金额。</w:t>
      </w:r>
    </w:p>
    <w:p w14:paraId="1DDE288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47" w:name="_Toc351203583"/>
      <w:bookmarkStart w:id="748" w:name="_Toc337558802"/>
      <w:r>
        <w:rPr>
          <w:rFonts w:hint="eastAsia" w:ascii="宋体" w:hAnsi="宋体" w:eastAsia="宋体" w:cs="宋体"/>
          <w:b w:val="0"/>
          <w:color w:val="000000"/>
          <w:sz w:val="24"/>
          <w:szCs w:val="24"/>
          <w:highlight w:val="none"/>
        </w:rPr>
        <w:t>12.3计量</w:t>
      </w:r>
      <w:bookmarkEnd w:id="747"/>
    </w:p>
    <w:bookmarkEnd w:id="748"/>
    <w:p w14:paraId="6CC944F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12.3.1 计量原则</w:t>
      </w:r>
    </w:p>
    <w:p w14:paraId="08A91C1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14:paraId="332BB1F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12.3.2 计量周期</w:t>
      </w:r>
    </w:p>
    <w:p w14:paraId="009CA20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除专用合同条款另有约定外，工程量的计量按月进行。</w:t>
      </w:r>
    </w:p>
    <w:p w14:paraId="55C3724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12.3.3 单价合同的计量</w:t>
      </w:r>
    </w:p>
    <w:p w14:paraId="774B39B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除专用合同条款另有约定外，单价合同的计量按照本项约定执行：</w:t>
      </w:r>
    </w:p>
    <w:p w14:paraId="748BC19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（1）承包人应于每月25日向监理人报送上月20日至当月19日已完成的工程量报告，并附具进度付款申请单、已完成工程量报表和有关资料。</w:t>
      </w:r>
    </w:p>
    <w:p w14:paraId="46F803B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810A2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（3）监理人未在收到承包人提交的工程量报表后的7天内完成审核的，承包人报送的工程量报告中的工程量视为承包人实际完成的工程量，据此计算工程价款。</w:t>
      </w:r>
    </w:p>
    <w:p w14:paraId="6C769B5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12.3.4 总价合同的计量</w:t>
      </w:r>
    </w:p>
    <w:p w14:paraId="12A548C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除专用合同条款另有约定外，按月计量支付的总价合同，按照本项约定执行：</w:t>
      </w:r>
    </w:p>
    <w:p w14:paraId="1731BFC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（1）承包人应于每月25日向监理人报送上月20日至当月19日已完成的工程量报告，并附具进度付款申请单、已完成工程量报表和有关资料。</w:t>
      </w:r>
    </w:p>
    <w:p w14:paraId="00BDD51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580076F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（3）监理人未在收到承包人提交的工程量报表后的7天内完成复核的，承包人提交的工程量报告中的工程量视为承包人实际完成的工程量。</w:t>
      </w:r>
    </w:p>
    <w:p w14:paraId="3ADDD85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12.3.5 总价合同采用支付分解表计量支付的，可以按照第12.3.4项〔总价合同的计量〕约定进行计量，但合同价款按照支付分解表进行支付。</w:t>
      </w:r>
    </w:p>
    <w:p w14:paraId="47467AD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12.3.6 其他价格形式合同的计量</w:t>
      </w:r>
    </w:p>
    <w:p w14:paraId="1E7F369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合同当事人可在专用合同条款中约定其他价格形式合同的计量方式和程序。</w:t>
      </w:r>
    </w:p>
    <w:p w14:paraId="2C9BCF0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49" w:name="_Toc296346602"/>
      <w:bookmarkStart w:id="750" w:name="_Toc296503101"/>
      <w:bookmarkStart w:id="751" w:name="_Toc351203584"/>
      <w:bookmarkStart w:id="752" w:name="_Toc337558803"/>
      <w:r>
        <w:rPr>
          <w:rFonts w:hint="eastAsia" w:ascii="宋体" w:hAnsi="宋体" w:eastAsia="宋体" w:cs="宋体"/>
          <w:b w:val="0"/>
          <w:color w:val="000000"/>
          <w:sz w:val="24"/>
          <w:szCs w:val="24"/>
          <w:highlight w:val="none"/>
        </w:rPr>
        <w:t>12.4工程进度款支</w:t>
      </w:r>
      <w:bookmarkEnd w:id="749"/>
      <w:bookmarkEnd w:id="750"/>
      <w:r>
        <w:rPr>
          <w:rFonts w:hint="eastAsia" w:ascii="宋体" w:hAnsi="宋体" w:eastAsia="宋体" w:cs="宋体"/>
          <w:b w:val="0"/>
          <w:color w:val="000000"/>
          <w:sz w:val="24"/>
          <w:szCs w:val="24"/>
          <w:highlight w:val="none"/>
        </w:rPr>
        <w:t>付</w:t>
      </w:r>
      <w:bookmarkEnd w:id="751"/>
    </w:p>
    <w:bookmarkEnd w:id="752"/>
    <w:p w14:paraId="79819C5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12.4</w:t>
      </w:r>
      <w:r>
        <w:rPr>
          <w:rFonts w:hint="eastAsia" w:ascii="宋体" w:hAnsi="宋体" w:eastAsia="宋体" w:cs="宋体"/>
          <w:color w:val="000000"/>
          <w:kern w:val="0"/>
          <w:sz w:val="24"/>
          <w:szCs w:val="24"/>
          <w:highlight w:val="none"/>
        </w:rPr>
        <w:t>.1 付款周期</w:t>
      </w:r>
    </w:p>
    <w:p w14:paraId="7AE7420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除专用合同条款另有约定外，付款周期应按照第12.3.2项〔计量周期〕的约定与计量周期保持一致。</w:t>
      </w:r>
    </w:p>
    <w:p w14:paraId="1F4ACAA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12.4</w:t>
      </w:r>
      <w:r>
        <w:rPr>
          <w:rFonts w:hint="eastAsia" w:ascii="宋体" w:hAnsi="宋体" w:eastAsia="宋体" w:cs="宋体"/>
          <w:color w:val="000000"/>
          <w:kern w:val="0"/>
          <w:sz w:val="24"/>
          <w:szCs w:val="24"/>
          <w:highlight w:val="none"/>
        </w:rPr>
        <w:t>.2 进度付款申请单的编制</w:t>
      </w:r>
    </w:p>
    <w:p w14:paraId="7CD1AEC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除专用合同条款另有约定外，进度付款申请单应包括下列内容：</w:t>
      </w:r>
    </w:p>
    <w:p w14:paraId="66B3E54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（1）截至本次付款周期已完成工作对应的金额；</w:t>
      </w:r>
    </w:p>
    <w:p w14:paraId="417257A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（2）根据第10条〔变更〕应增加和扣减的变更金额；</w:t>
      </w:r>
    </w:p>
    <w:p w14:paraId="1EFE110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（3）根据第12.2款〔预付款〕约定应支付的预付款和扣减的返还预付款；</w:t>
      </w:r>
    </w:p>
    <w:p w14:paraId="62A1C24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（4）根据第15.3款〔质量保证金〕约定应扣减的质量保证金；</w:t>
      </w:r>
    </w:p>
    <w:p w14:paraId="55E18D2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（5）根据第19条〔索赔〕应增加和扣减的索赔金额；</w:t>
      </w:r>
    </w:p>
    <w:p w14:paraId="3024B77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（6）对已签发的进度款支付证书中出现错误的修正，应在本次进度付款中支付或扣除的金额；</w:t>
      </w:r>
    </w:p>
    <w:p w14:paraId="59642CC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（7）根据合同约定应增加和扣减的其他金额。</w:t>
      </w:r>
    </w:p>
    <w:p w14:paraId="5149757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12.4.3 进度付款申请单的提交</w:t>
      </w:r>
    </w:p>
    <w:p w14:paraId="74D36DC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（1）单价合同进度付款申请单的提交</w:t>
      </w:r>
    </w:p>
    <w:p w14:paraId="50AD497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5F81166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（2）总价合同进度付款申请单的提交</w:t>
      </w:r>
    </w:p>
    <w:p w14:paraId="0735ABC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总价合同按月计量支付的，承包人按照第12.3.4项〔总价合同的计量〕约定的时间按月向监理人提交进度付款申请单，并附上已完成工程量报表和有关资料。</w:t>
      </w:r>
    </w:p>
    <w:p w14:paraId="4C4D0B4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总价合同按支付分解表支付的，承包人应按照第12.4.6项〔支付分解表〕及第12.4.2项〔进度付款申请单的编制〕的约定向监理人提交进度付款申请单。</w:t>
      </w:r>
    </w:p>
    <w:p w14:paraId="6A74193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（3）其他价格形式合同的进度付款申请单的提交</w:t>
      </w:r>
    </w:p>
    <w:p w14:paraId="2E25E72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合同当事人可在专用合同条款中约定其他价格形式合同的进度付款申请单的编制和提交程序。</w:t>
      </w:r>
    </w:p>
    <w:p w14:paraId="3B3A501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12.4</w:t>
      </w:r>
      <w:r>
        <w:rPr>
          <w:rFonts w:hint="eastAsia" w:ascii="宋体" w:hAnsi="宋体" w:eastAsia="宋体" w:cs="宋体"/>
          <w:color w:val="000000"/>
          <w:kern w:val="0"/>
          <w:sz w:val="24"/>
          <w:szCs w:val="24"/>
          <w:highlight w:val="none"/>
        </w:rPr>
        <w:t>.4 进度款审核和支付</w:t>
      </w:r>
    </w:p>
    <w:p w14:paraId="0D23064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70B72E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7467900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2BB83B9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（3）发包人签发进度款支付证书或临时进度款支付证书，不表明发包人已同意、批准或接受了承包人完成的相应部分的工作。</w:t>
      </w:r>
    </w:p>
    <w:p w14:paraId="77F7134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12.4.5 进度付款的修正</w:t>
      </w:r>
    </w:p>
    <w:p w14:paraId="6EC7996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1C61462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12.4.6 支付分解表</w:t>
      </w:r>
    </w:p>
    <w:p w14:paraId="0E1E0C0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支付分解表的编制要求</w:t>
      </w:r>
    </w:p>
    <w:p w14:paraId="55CB782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（1）支付分解表中所列的每期付款金额，应为第12.4.2项〔进度付款申请单的编制〕第（1）目的估算金额；</w:t>
      </w:r>
    </w:p>
    <w:p w14:paraId="09507A9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（2）实际进度与施工进度计划不一致的，合同当事人可按照第4.4款〔商定或确定〕修改支付分解表；</w:t>
      </w:r>
    </w:p>
    <w:p w14:paraId="1B0A87A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（3）不采用支付分解表的，承包人应向发包人和监理人提交按季度编制的支付估算分解表，用于支付参考。</w:t>
      </w:r>
    </w:p>
    <w:p w14:paraId="685AA60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总价合同支付分解表的编制与审批</w:t>
      </w:r>
    </w:p>
    <w:p w14:paraId="6B049D2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26FDDC9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（2）监理人应在收到支付分解表后7天内完成审核并报送发包人。发包人应在收到经监理人审核的支付分解表后7天内完成审批，经发包人批准的支付分解表为有约束力的支付分解表。</w:t>
      </w:r>
    </w:p>
    <w:p w14:paraId="188E9403">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（3）发包人逾期未完成支付分解表审批的，也未及时要求承包人进行修正和提供补充资料的，则承包人提交的支付分解表视为已经获得发包人批准。</w:t>
      </w:r>
    </w:p>
    <w:p w14:paraId="1A4A3E2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单价合同的总价项目支付分解表的编制与审批</w:t>
      </w:r>
    </w:p>
    <w:p w14:paraId="0217AE0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51248E3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53" w:name="_Toc351203585"/>
      <w:r>
        <w:rPr>
          <w:rFonts w:hint="eastAsia" w:ascii="宋体" w:hAnsi="宋体" w:eastAsia="宋体" w:cs="宋体"/>
          <w:b w:val="0"/>
          <w:color w:val="000000"/>
          <w:sz w:val="24"/>
          <w:szCs w:val="24"/>
          <w:highlight w:val="none"/>
        </w:rPr>
        <w:t>12.5支付账户</w:t>
      </w:r>
      <w:bookmarkEnd w:id="753"/>
    </w:p>
    <w:p w14:paraId="1566E62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发包人应将合同价款支付至合同协议书中约定的承包人账户。</w:t>
      </w:r>
    </w:p>
    <w:p w14:paraId="076EC799">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754" w:name="_Toc351203586"/>
      <w:bookmarkStart w:id="755" w:name="_Toc296503106"/>
      <w:bookmarkStart w:id="756" w:name="_Toc296346607"/>
      <w:bookmarkStart w:id="757" w:name="_Toc322522574"/>
      <w:bookmarkStart w:id="758" w:name="_Toc337558804"/>
      <w:r>
        <w:rPr>
          <w:rFonts w:hint="eastAsia" w:ascii="宋体" w:hAnsi="宋体" w:eastAsia="宋体" w:cs="宋体"/>
          <w:b w:val="0"/>
          <w:color w:val="000000"/>
          <w:sz w:val="24"/>
          <w:szCs w:val="24"/>
          <w:highlight w:val="none"/>
        </w:rPr>
        <w:t>13. 验收和工程试车</w:t>
      </w:r>
      <w:bookmarkEnd w:id="754"/>
    </w:p>
    <w:bookmarkEnd w:id="755"/>
    <w:bookmarkEnd w:id="756"/>
    <w:bookmarkEnd w:id="757"/>
    <w:bookmarkEnd w:id="758"/>
    <w:p w14:paraId="49AF365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59" w:name="_Toc351203587"/>
      <w:bookmarkStart w:id="760" w:name="_Toc337558805"/>
      <w:bookmarkStart w:id="761" w:name="_Toc296503110"/>
      <w:bookmarkStart w:id="762" w:name="_Toc296346611"/>
      <w:r>
        <w:rPr>
          <w:rFonts w:hint="eastAsia" w:ascii="宋体" w:hAnsi="宋体" w:eastAsia="宋体" w:cs="宋体"/>
          <w:b w:val="0"/>
          <w:color w:val="000000"/>
          <w:sz w:val="24"/>
          <w:szCs w:val="24"/>
          <w:highlight w:val="none"/>
        </w:rPr>
        <w:t>13.1分部分项工程验收</w:t>
      </w:r>
      <w:bookmarkEnd w:id="759"/>
    </w:p>
    <w:bookmarkEnd w:id="760"/>
    <w:p w14:paraId="7F2B0E0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13.1.1 分部分项工程质量应符合国家有关工程施工验收规范、标准及合同约定，承包人应按照施工组织设计的要求完成分部分项工程施工。</w:t>
      </w:r>
    </w:p>
    <w:p w14:paraId="662A220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13.1.2 除专用合同条款另有约定外，分部分项工程经承包人自检合格并具备验收条件的，承包人应提前48小时通知监理人进行验收。</w:t>
      </w:r>
      <w:r>
        <w:rPr>
          <w:rFonts w:hint="eastAsia" w:ascii="宋体" w:hAnsi="宋体" w:eastAsia="宋体" w:cs="宋体"/>
          <w:color w:val="000000"/>
          <w:kern w:val="0"/>
          <w:sz w:val="24"/>
          <w:szCs w:val="24"/>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eastAsia="宋体" w:cs="宋体"/>
          <w:color w:val="000000"/>
          <w:sz w:val="24"/>
          <w:szCs w:val="24"/>
          <w:highlight w:val="none"/>
        </w:rPr>
        <w:t>分部分项工程未经验收的，不得进入下一道工序施工。</w:t>
      </w:r>
    </w:p>
    <w:p w14:paraId="617E2BA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分部分项工程的验收资料应当作为竣工资料的组成部分。</w:t>
      </w:r>
    </w:p>
    <w:p w14:paraId="7F5E6F0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63" w:name="_Toc351203588"/>
      <w:bookmarkStart w:id="764" w:name="_Toc337558806"/>
      <w:r>
        <w:rPr>
          <w:rFonts w:hint="eastAsia" w:ascii="宋体" w:hAnsi="宋体" w:eastAsia="宋体" w:cs="宋体"/>
          <w:b w:val="0"/>
          <w:color w:val="000000"/>
          <w:sz w:val="24"/>
          <w:szCs w:val="24"/>
          <w:highlight w:val="none"/>
        </w:rPr>
        <w:t>13.2竣工验收</w:t>
      </w:r>
      <w:bookmarkEnd w:id="763"/>
    </w:p>
    <w:bookmarkEnd w:id="761"/>
    <w:bookmarkEnd w:id="762"/>
    <w:bookmarkEnd w:id="764"/>
    <w:p w14:paraId="7BB2B45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13.2.1竣工验收条件</w:t>
      </w:r>
    </w:p>
    <w:p w14:paraId="2722358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工程具备以下条件的，承包人可以申请竣工验收：</w:t>
      </w:r>
    </w:p>
    <w:p w14:paraId="327EACD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（1）除发包人同意的甩项工作和缺陷修补工作外，合同范围内的全部工程以及有关工作，包括合同要求的试验、试运行以及检验均已完成，并符合合同要求；</w:t>
      </w:r>
    </w:p>
    <w:p w14:paraId="75DC462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（2）已按合同约定编制了甩项工作和缺陷修补工作清单以及相应的施工计划；</w:t>
      </w:r>
    </w:p>
    <w:p w14:paraId="5894DF3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（3）已按合同约定的内容和份数备齐竣工资料。</w:t>
      </w:r>
    </w:p>
    <w:p w14:paraId="41138E4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13.2.2竣工验收程序</w:t>
      </w:r>
    </w:p>
    <w:p w14:paraId="057DC7C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除专用合同条款另有约定外，承包人申请竣工验收的，应当按照以下程序进行：</w:t>
      </w:r>
    </w:p>
    <w:p w14:paraId="49D7F0A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21FDFAB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BC431D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（3）竣工验收合格的，发包人应在验收合格后14天内向承包人签发工程接收证书。发包人无正当理由逾期不颁发工程接收证书的，自验收合格后第15天起视为已颁发工程接收证书。</w:t>
      </w:r>
    </w:p>
    <w:p w14:paraId="29F2E58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581F4D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E9162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E07281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13.2.3竣工日期</w:t>
      </w:r>
    </w:p>
    <w:p w14:paraId="436FBB8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765" w:name="#go14"/>
      <w:bookmarkEnd w:id="765"/>
      <w:r>
        <w:rPr>
          <w:rFonts w:hint="eastAsia" w:ascii="宋体" w:hAnsi="宋体" w:eastAsia="宋体" w:cs="宋体"/>
          <w:color w:val="000000"/>
          <w:kern w:val="0"/>
          <w:sz w:val="24"/>
          <w:szCs w:val="24"/>
          <w:highlight w:val="none"/>
        </w:rPr>
        <w:t>收申请报告的日期为实际竣工日期；工程未经竣工验收，发包人擅自使用的，以转移占有工程之日为实际竣工日期。</w:t>
      </w:r>
    </w:p>
    <w:p w14:paraId="490E425A">
      <w:pPr>
        <w:pageBreakBefore w:val="0"/>
        <w:widowControl w:val="0"/>
        <w:kinsoku/>
        <w:wordWrap/>
        <w:overflowPunct/>
        <w:topLinePunct w:val="0"/>
        <w:bidi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13.2.4 拒绝接收全部或部分工程</w:t>
      </w:r>
    </w:p>
    <w:p w14:paraId="583A6BB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781340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13.2.5 移交、接收全部与部分工程</w:t>
      </w:r>
    </w:p>
    <w:p w14:paraId="4F82565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除专用合同条款另有约定外，合同当事人应当在颁发工程接收证书后7天内完成工程的移交。</w:t>
      </w:r>
    </w:p>
    <w:p w14:paraId="30FB862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26F3D61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5F3A692D">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66" w:name="_Toc351203589"/>
      <w:bookmarkStart w:id="767" w:name="_Toc296503111"/>
      <w:bookmarkStart w:id="768" w:name="_Toc337558807"/>
      <w:bookmarkStart w:id="769" w:name="_Toc296346612"/>
      <w:r>
        <w:rPr>
          <w:rFonts w:hint="eastAsia" w:ascii="宋体" w:hAnsi="宋体" w:eastAsia="宋体" w:cs="宋体"/>
          <w:b w:val="0"/>
          <w:color w:val="000000"/>
          <w:sz w:val="24"/>
          <w:szCs w:val="24"/>
          <w:highlight w:val="none"/>
        </w:rPr>
        <w:t>13.3工程试车</w:t>
      </w:r>
      <w:bookmarkEnd w:id="766"/>
    </w:p>
    <w:bookmarkEnd w:id="767"/>
    <w:bookmarkEnd w:id="768"/>
    <w:bookmarkEnd w:id="769"/>
    <w:p w14:paraId="624DC0F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13.3.1试车程序</w:t>
      </w:r>
    </w:p>
    <w:p w14:paraId="1D7BD76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工程需要试车的，除专用合同条款另有约定外，试车内容应与承包人承包范围相一致，试车费用由承包人承担。工程试车应按如下程序进行：</w:t>
      </w:r>
    </w:p>
    <w:p w14:paraId="640E1A1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21F5EA0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19C287B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D6E6AB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13.3.2 试车中的责任</w:t>
      </w:r>
    </w:p>
    <w:p w14:paraId="1EE98D4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275C066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598FDD4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13.3.3 投料试车</w:t>
      </w:r>
    </w:p>
    <w:p w14:paraId="2E9A591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14:paraId="0A34D4A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411D8B10">
      <w:pPr>
        <w:pStyle w:val="8"/>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770" w:name="_Toc337558808"/>
      <w:r>
        <w:rPr>
          <w:rFonts w:hint="eastAsia" w:ascii="宋体" w:hAnsi="宋体" w:eastAsia="宋体" w:cs="宋体"/>
          <w:b w:val="0"/>
          <w:color w:val="000000"/>
          <w:sz w:val="24"/>
          <w:szCs w:val="24"/>
          <w:highlight w:val="none"/>
        </w:rPr>
        <w:t xml:space="preserve">    </w:t>
      </w:r>
      <w:bookmarkStart w:id="771" w:name="_Toc351203590"/>
      <w:r>
        <w:rPr>
          <w:rFonts w:hint="eastAsia" w:ascii="宋体" w:hAnsi="宋体" w:eastAsia="宋体" w:cs="宋体"/>
          <w:b w:val="0"/>
          <w:color w:val="000000"/>
          <w:sz w:val="24"/>
          <w:szCs w:val="24"/>
          <w:highlight w:val="none"/>
        </w:rPr>
        <w:t>13.4提前交付单位工程的验收</w:t>
      </w:r>
      <w:bookmarkEnd w:id="771"/>
    </w:p>
    <w:bookmarkEnd w:id="770"/>
    <w:p w14:paraId="5CF30E6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13.4.1 发包人需要在工程竣工前使用单位工程的，或承包人提出提前交付已经竣工的单位工程且经发包人同意的，可进行单位工程验收，验收的程序按照第13.2款〔竣工验收〕的约定进行。</w:t>
      </w:r>
    </w:p>
    <w:p w14:paraId="352F245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4A589F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13.4.2 发包人要求在工程竣工前交付单位工程，由此导致承包人费用增加和（或）工期延误的，由发包人承担由此增加的费用和（或）延误的工期，并支付承包人合理的利润。</w:t>
      </w:r>
    </w:p>
    <w:p w14:paraId="26165C1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72" w:name="_Toc351203591"/>
      <w:r>
        <w:rPr>
          <w:rFonts w:hint="eastAsia" w:ascii="宋体" w:hAnsi="宋体" w:eastAsia="宋体" w:cs="宋体"/>
          <w:b w:val="0"/>
          <w:color w:val="000000"/>
          <w:sz w:val="24"/>
          <w:szCs w:val="24"/>
          <w:highlight w:val="none"/>
        </w:rPr>
        <w:t>13.5 施工期运行</w:t>
      </w:r>
      <w:bookmarkEnd w:id="772"/>
    </w:p>
    <w:p w14:paraId="336A159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52DA0E2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13.5.2 在施工期运行中发现工程或工程设备损坏或存在缺陷的，由承包人按第15.2款〔缺陷责任期〕约定进行修复。</w:t>
      </w:r>
    </w:p>
    <w:p w14:paraId="4584719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73" w:name="_Toc296503112"/>
      <w:bookmarkStart w:id="774" w:name="_Toc296346613"/>
      <w:bookmarkStart w:id="775" w:name="_Toc351203592"/>
      <w:bookmarkStart w:id="776" w:name="_Toc337558809"/>
      <w:r>
        <w:rPr>
          <w:rFonts w:hint="eastAsia" w:ascii="宋体" w:hAnsi="宋体" w:eastAsia="宋体" w:cs="宋体"/>
          <w:b w:val="0"/>
          <w:color w:val="000000"/>
          <w:sz w:val="24"/>
          <w:szCs w:val="24"/>
          <w:highlight w:val="none"/>
        </w:rPr>
        <w:t>13.6 竣工退</w:t>
      </w:r>
      <w:bookmarkEnd w:id="773"/>
      <w:bookmarkEnd w:id="774"/>
      <w:r>
        <w:rPr>
          <w:rFonts w:hint="eastAsia" w:ascii="宋体" w:hAnsi="宋体" w:eastAsia="宋体" w:cs="宋体"/>
          <w:b w:val="0"/>
          <w:color w:val="000000"/>
          <w:sz w:val="24"/>
          <w:szCs w:val="24"/>
          <w:highlight w:val="none"/>
        </w:rPr>
        <w:t>场</w:t>
      </w:r>
      <w:bookmarkEnd w:id="775"/>
    </w:p>
    <w:bookmarkEnd w:id="776"/>
    <w:p w14:paraId="65CA504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13.6.1 竣工退场</w:t>
      </w:r>
    </w:p>
    <w:p w14:paraId="7C52602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颁发工程接收证书后，承包人应按以下要求对施工现场进行清理：</w:t>
      </w:r>
    </w:p>
    <w:p w14:paraId="2160F2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（1）施工现场内残留的垃圾已全部清除出场；</w:t>
      </w:r>
    </w:p>
    <w:p w14:paraId="06D84F6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（2）临时工程已拆除，场地已进行清理、平整或复原；</w:t>
      </w:r>
    </w:p>
    <w:p w14:paraId="5F5BCA9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（3）按合同约定应撤离的人员、承包人施工设备和剩余的材料，包括废弃的施工设备和材料，已按计划撤离施工现场；</w:t>
      </w:r>
    </w:p>
    <w:p w14:paraId="79962BE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（4）施工现场周边及其附近道路、河道的施工堆积物，已全部清理；</w:t>
      </w:r>
    </w:p>
    <w:p w14:paraId="3EEA844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（5）施工现场其他场地清理工作已全部完成。</w:t>
      </w:r>
    </w:p>
    <w:p w14:paraId="1F4FF4B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0FA1B80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13.6.2 地表还原</w:t>
      </w:r>
    </w:p>
    <w:p w14:paraId="7212FEE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12A3E1C5">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777" w:name="_Toc351203593"/>
      <w:bookmarkStart w:id="778" w:name="_Toc337558810"/>
      <w:bookmarkStart w:id="779" w:name="_Toc296346614"/>
      <w:bookmarkStart w:id="780" w:name="_Toc296503113"/>
      <w:r>
        <w:rPr>
          <w:rFonts w:hint="eastAsia" w:ascii="宋体" w:hAnsi="宋体" w:eastAsia="宋体" w:cs="宋体"/>
          <w:b w:val="0"/>
          <w:color w:val="000000"/>
          <w:sz w:val="24"/>
          <w:szCs w:val="24"/>
          <w:highlight w:val="none"/>
        </w:rPr>
        <w:t>14. 竣工结算</w:t>
      </w:r>
      <w:bookmarkEnd w:id="777"/>
    </w:p>
    <w:bookmarkEnd w:id="778"/>
    <w:p w14:paraId="1A81CF2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81" w:name="_Toc351203594"/>
      <w:bookmarkStart w:id="782" w:name="_Toc337558811"/>
      <w:r>
        <w:rPr>
          <w:rFonts w:hint="eastAsia" w:ascii="宋体" w:hAnsi="宋体" w:eastAsia="宋体" w:cs="宋体"/>
          <w:b w:val="0"/>
          <w:color w:val="000000"/>
          <w:sz w:val="24"/>
          <w:szCs w:val="24"/>
          <w:highlight w:val="none"/>
        </w:rPr>
        <w:t>14.1 竣工结算申请</w:t>
      </w:r>
      <w:bookmarkEnd w:id="781"/>
    </w:p>
    <w:bookmarkEnd w:id="782"/>
    <w:p w14:paraId="346ABD5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除专用合同条款另有约定外，</w:t>
      </w:r>
      <w:r>
        <w:rPr>
          <w:rFonts w:hint="eastAsia" w:ascii="宋体" w:hAnsi="宋体" w:eastAsia="宋体" w:cs="宋体"/>
          <w:color w:val="000000"/>
          <w:sz w:val="24"/>
          <w:szCs w:val="24"/>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1D45CE8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除专用合同条款另有约定外，竣工结算申请单应包括以下内容：</w:t>
      </w:r>
    </w:p>
    <w:p w14:paraId="14072A7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（1）竣工结算合同价格；</w:t>
      </w:r>
    </w:p>
    <w:p w14:paraId="602FDE2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（2）发包人已支付承包人的款项；</w:t>
      </w:r>
    </w:p>
    <w:p w14:paraId="31DB791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（3）应扣留的质量保证金。已缴纳履约保证金的或提供其他工程质量担保方式的除外； </w:t>
      </w:r>
    </w:p>
    <w:p w14:paraId="2669BFF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（4）发包人应支付承包人的合同价款。</w:t>
      </w:r>
    </w:p>
    <w:p w14:paraId="71F4B70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83" w:name="_Toc351203595"/>
      <w:bookmarkStart w:id="784" w:name="_Toc337558812"/>
      <w:r>
        <w:rPr>
          <w:rFonts w:hint="eastAsia" w:ascii="宋体" w:hAnsi="宋体" w:eastAsia="宋体" w:cs="宋体"/>
          <w:b w:val="0"/>
          <w:color w:val="000000"/>
          <w:sz w:val="24"/>
          <w:szCs w:val="24"/>
          <w:highlight w:val="none"/>
        </w:rPr>
        <w:t>14.2 竣工结算审核</w:t>
      </w:r>
      <w:bookmarkEnd w:id="783"/>
    </w:p>
    <w:bookmarkEnd w:id="784"/>
    <w:p w14:paraId="091A397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eastAsia="宋体" w:cs="宋体"/>
          <w:color w:val="000000"/>
          <w:sz w:val="24"/>
          <w:szCs w:val="24"/>
          <w:highlight w:val="none"/>
        </w:rPr>
        <w:t>发包人对竣工</w:t>
      </w:r>
      <w:r>
        <w:rPr>
          <w:rFonts w:hint="eastAsia" w:ascii="宋体" w:hAnsi="宋体" w:eastAsia="宋体" w:cs="宋体"/>
          <w:color w:val="000000"/>
          <w:kern w:val="0"/>
          <w:sz w:val="24"/>
          <w:szCs w:val="24"/>
          <w:highlight w:val="none"/>
        </w:rPr>
        <w:t>结算</w:t>
      </w:r>
      <w:r>
        <w:rPr>
          <w:rFonts w:hint="eastAsia" w:ascii="宋体" w:hAnsi="宋体" w:eastAsia="宋体" w:cs="宋体"/>
          <w:color w:val="000000"/>
          <w:sz w:val="24"/>
          <w:szCs w:val="24"/>
          <w:highlight w:val="none"/>
        </w:rPr>
        <w:t>申请单有异议的，有权要求承包人进行修正和提供补充资料，承包人应提交修正后的竣工</w:t>
      </w:r>
      <w:r>
        <w:rPr>
          <w:rFonts w:hint="eastAsia" w:ascii="宋体" w:hAnsi="宋体" w:eastAsia="宋体" w:cs="宋体"/>
          <w:color w:val="000000"/>
          <w:kern w:val="0"/>
          <w:sz w:val="24"/>
          <w:szCs w:val="24"/>
          <w:highlight w:val="none"/>
        </w:rPr>
        <w:t>结算</w:t>
      </w:r>
      <w:r>
        <w:rPr>
          <w:rFonts w:hint="eastAsia" w:ascii="宋体" w:hAnsi="宋体" w:eastAsia="宋体" w:cs="宋体"/>
          <w:color w:val="000000"/>
          <w:sz w:val="24"/>
          <w:szCs w:val="24"/>
          <w:highlight w:val="none"/>
        </w:rPr>
        <w:t>申请单。</w:t>
      </w:r>
    </w:p>
    <w:p w14:paraId="7B2C9C5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380B81C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121BA0E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1C15DED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85" w:name="_Toc351203596"/>
      <w:bookmarkStart w:id="786" w:name="_Toc337558813"/>
      <w:r>
        <w:rPr>
          <w:rFonts w:hint="eastAsia" w:ascii="宋体" w:hAnsi="宋体" w:eastAsia="宋体" w:cs="宋体"/>
          <w:b w:val="0"/>
          <w:color w:val="000000"/>
          <w:sz w:val="24"/>
          <w:szCs w:val="24"/>
          <w:highlight w:val="none"/>
        </w:rPr>
        <w:t>14.3 甩项竣工协议</w:t>
      </w:r>
      <w:bookmarkEnd w:id="785"/>
    </w:p>
    <w:bookmarkEnd w:id="786"/>
    <w:p w14:paraId="71DE1498">
      <w:pPr>
        <w:pageBreakBefore w:val="0"/>
        <w:widowControl w:val="0"/>
        <w:kinsoku/>
        <w:wordWrap/>
        <w:overflowPunct/>
        <w:topLinePunct w:val="0"/>
        <w:autoSpaceDE w:val="0"/>
        <w:autoSpaceDN w:val="0"/>
        <w:bidi w:val="0"/>
        <w:adjustRightInd w:val="0"/>
        <w:snapToGrid/>
        <w:spacing w:line="480" w:lineRule="exact"/>
        <w:ind w:firstLine="470" w:firstLineChars="19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7E5BAA3D">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87" w:name="_Toc351203597"/>
      <w:bookmarkStart w:id="788" w:name="_Toc337558814"/>
      <w:r>
        <w:rPr>
          <w:rFonts w:hint="eastAsia" w:ascii="宋体" w:hAnsi="宋体" w:eastAsia="宋体" w:cs="宋体"/>
          <w:b w:val="0"/>
          <w:color w:val="000000"/>
          <w:sz w:val="24"/>
          <w:szCs w:val="24"/>
          <w:highlight w:val="none"/>
        </w:rPr>
        <w:t>14.4 最终结清</w:t>
      </w:r>
      <w:bookmarkEnd w:id="787"/>
    </w:p>
    <w:bookmarkEnd w:id="788"/>
    <w:p w14:paraId="4D90161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14.4.1 最终结清申请单</w:t>
      </w:r>
    </w:p>
    <w:p w14:paraId="62C04F4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（1）除专用合同条款另有约定外，承包人应在缺陷责任期终止证书颁发后7天内，按专用合同条款约定的份数向发包人提交最终结清申请单，并提供相关证明材料。</w:t>
      </w:r>
    </w:p>
    <w:p w14:paraId="21FE3E9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除专用合同条款另有约定外，</w:t>
      </w:r>
      <w:r>
        <w:rPr>
          <w:rFonts w:hint="eastAsia" w:ascii="宋体" w:hAnsi="宋体" w:eastAsia="宋体" w:cs="宋体"/>
          <w:color w:val="000000"/>
          <w:kern w:val="0"/>
          <w:sz w:val="24"/>
          <w:szCs w:val="24"/>
          <w:highlight w:val="none"/>
        </w:rPr>
        <w:t>最终结清申请单</w:t>
      </w:r>
      <w:r>
        <w:rPr>
          <w:rFonts w:hint="eastAsia" w:ascii="宋体" w:hAnsi="宋体" w:eastAsia="宋体" w:cs="宋体"/>
          <w:color w:val="000000"/>
          <w:sz w:val="24"/>
          <w:szCs w:val="24"/>
          <w:highlight w:val="none"/>
        </w:rPr>
        <w:t>应列明质量保证金、应扣除的质量保证金、缺陷责任期内发生的增减费用。</w:t>
      </w:r>
    </w:p>
    <w:p w14:paraId="0AEA126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（2）发包人对最终结清申请单内容有异议的，有权要求承包人进行修正和提供补充资料，承包人应向发包人提交修正后的最终结清申请单。</w:t>
      </w:r>
    </w:p>
    <w:p w14:paraId="0A0148F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14.4.2 最终结清证书和支付</w:t>
      </w:r>
    </w:p>
    <w:p w14:paraId="7C960A4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12D0532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675CF0B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（3）承包人对发包人颁发的最终结清证书有异议的，按第20条〔争议解决〕的约定办理。</w:t>
      </w:r>
    </w:p>
    <w:p w14:paraId="52FF0FB3">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789" w:name="_Toc351203598"/>
      <w:bookmarkStart w:id="790" w:name="_Toc337558815"/>
      <w:r>
        <w:rPr>
          <w:rFonts w:hint="eastAsia" w:ascii="宋体" w:hAnsi="宋体" w:eastAsia="宋体" w:cs="宋体"/>
          <w:b w:val="0"/>
          <w:color w:val="000000"/>
          <w:sz w:val="24"/>
          <w:szCs w:val="24"/>
          <w:highlight w:val="none"/>
        </w:rPr>
        <w:t>15. 缺陷责任与保修</w:t>
      </w:r>
      <w:bookmarkEnd w:id="789"/>
    </w:p>
    <w:bookmarkEnd w:id="779"/>
    <w:bookmarkEnd w:id="780"/>
    <w:bookmarkEnd w:id="790"/>
    <w:p w14:paraId="7EFE4A1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91" w:name="_Toc351203599"/>
      <w:bookmarkStart w:id="792" w:name="_Toc337558816"/>
      <w:bookmarkStart w:id="793" w:name="_Toc296346615"/>
      <w:bookmarkStart w:id="794" w:name="_Toc296503114"/>
      <w:r>
        <w:rPr>
          <w:rFonts w:hint="eastAsia" w:ascii="宋体" w:hAnsi="宋体" w:eastAsia="宋体" w:cs="宋体"/>
          <w:b w:val="0"/>
          <w:color w:val="000000"/>
          <w:sz w:val="24"/>
          <w:szCs w:val="24"/>
          <w:highlight w:val="none"/>
        </w:rPr>
        <w:t>15.1 工程保修的原则</w:t>
      </w:r>
      <w:bookmarkEnd w:id="791"/>
    </w:p>
    <w:bookmarkEnd w:id="792"/>
    <w:p w14:paraId="4117B10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14:paraId="7669F48F">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95" w:name="_Toc351203600"/>
      <w:bookmarkStart w:id="796" w:name="_Toc337558817"/>
      <w:r>
        <w:rPr>
          <w:rFonts w:hint="eastAsia" w:ascii="宋体" w:hAnsi="宋体" w:eastAsia="宋体" w:cs="宋体"/>
          <w:b w:val="0"/>
          <w:color w:val="000000"/>
          <w:sz w:val="24"/>
          <w:szCs w:val="24"/>
          <w:highlight w:val="none"/>
        </w:rPr>
        <w:t>15.2 缺陷责任期</w:t>
      </w:r>
      <w:bookmarkEnd w:id="793"/>
      <w:bookmarkEnd w:id="794"/>
      <w:bookmarkEnd w:id="795"/>
    </w:p>
    <w:bookmarkEnd w:id="796"/>
    <w:p w14:paraId="4881C3C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15.2.1 缺陷责任期从工程通过竣工验收之日起计算，合同当事人应在专用合同条款约定缺陷责任期的具体期限，但该期限最长不超过24个月。</w:t>
      </w:r>
    </w:p>
    <w:p w14:paraId="0A5F265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7AE783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eastAsia="宋体" w:cs="宋体"/>
          <w:bCs/>
          <w:color w:val="000000"/>
          <w:sz w:val="24"/>
          <w:szCs w:val="24"/>
          <w:highlight w:val="none"/>
        </w:rPr>
        <w:t>包人延长缺陷责任期，</w:t>
      </w:r>
      <w:r>
        <w:rPr>
          <w:rFonts w:hint="eastAsia" w:ascii="宋体" w:hAnsi="宋体" w:eastAsia="宋体" w:cs="宋体"/>
          <w:color w:val="000000"/>
          <w:kern w:val="0"/>
          <w:sz w:val="24"/>
          <w:szCs w:val="24"/>
          <w:highlight w:val="none"/>
        </w:rPr>
        <w:t>并应在原缺陷责任期届满前发出延长通知</w:t>
      </w:r>
      <w:r>
        <w:rPr>
          <w:rFonts w:hint="eastAsia" w:ascii="宋体" w:hAnsi="宋体" w:eastAsia="宋体" w:cs="宋体"/>
          <w:color w:val="000000"/>
          <w:kern w:val="0"/>
          <w:sz w:val="24"/>
          <w:szCs w:val="24"/>
          <w:highlight w:val="none"/>
          <w:lang w:eastAsia="zh-CN"/>
        </w:rPr>
        <w:t>。</w:t>
      </w:r>
      <w:r>
        <w:rPr>
          <w:rFonts w:hint="eastAsia" w:ascii="宋体" w:hAnsi="宋体" w:eastAsia="宋体" w:cs="宋体"/>
          <w:bCs/>
          <w:color w:val="000000"/>
          <w:sz w:val="24"/>
          <w:szCs w:val="24"/>
          <w:highlight w:val="none"/>
        </w:rPr>
        <w:t>但缺陷责任期</w:t>
      </w:r>
      <w:r>
        <w:rPr>
          <w:rFonts w:hint="eastAsia" w:ascii="宋体" w:hAnsi="宋体" w:eastAsia="宋体" w:cs="宋体"/>
          <w:bCs/>
          <w:color w:val="000000"/>
          <w:sz w:val="24"/>
          <w:szCs w:val="24"/>
          <w:highlight w:val="none"/>
          <w:lang w:eastAsia="zh-CN"/>
        </w:rPr>
        <w:t>（含延长部分）</w:t>
      </w:r>
      <w:r>
        <w:rPr>
          <w:rFonts w:hint="eastAsia" w:ascii="宋体" w:hAnsi="宋体" w:eastAsia="宋体" w:cs="宋体"/>
          <w:bCs/>
          <w:color w:val="000000"/>
          <w:sz w:val="24"/>
          <w:szCs w:val="24"/>
          <w:highlight w:val="none"/>
        </w:rPr>
        <w:t>最长</w:t>
      </w:r>
      <w:r>
        <w:rPr>
          <w:rFonts w:hint="eastAsia" w:ascii="宋体" w:hAnsi="宋体" w:eastAsia="宋体" w:cs="宋体"/>
          <w:color w:val="000000"/>
          <w:kern w:val="0"/>
          <w:sz w:val="24"/>
          <w:szCs w:val="24"/>
          <w:highlight w:val="none"/>
        </w:rPr>
        <w:t>不能超过24个月。</w:t>
      </w:r>
    </w:p>
    <w:p w14:paraId="311FA32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由他人原因造成的缺陷，发包人负责组织维修，承包人不承担费用，且发包人不得从保证金中扣除费用。</w:t>
      </w:r>
    </w:p>
    <w:p w14:paraId="5F0E4F2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15.2.3 任何一项缺陷或损坏修复后，经检查证明其影响了工程或工程设备的使用性能，承包人应重新进行合同约定的试验和试运行，试验和试运行的全部费用应由责任方承担。</w:t>
      </w:r>
    </w:p>
    <w:p w14:paraId="3EC8009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EFCA14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797" w:name="_Toc351203601"/>
      <w:bookmarkStart w:id="798" w:name="_Toc337558818"/>
      <w:bookmarkStart w:id="799" w:name="_Toc296503115"/>
      <w:bookmarkStart w:id="800" w:name="_Toc296346616"/>
      <w:r>
        <w:rPr>
          <w:rFonts w:hint="eastAsia" w:ascii="宋体" w:hAnsi="宋体" w:eastAsia="宋体" w:cs="宋体"/>
          <w:b w:val="0"/>
          <w:color w:val="000000"/>
          <w:sz w:val="24"/>
          <w:szCs w:val="24"/>
          <w:highlight w:val="none"/>
        </w:rPr>
        <w:t>15.3 质量保证金</w:t>
      </w:r>
      <w:bookmarkEnd w:id="797"/>
    </w:p>
    <w:bookmarkEnd w:id="798"/>
    <w:p w14:paraId="0E20032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经合同当事人协商一致扣留质量保证金的，应在专用合同条款中予以明确。</w:t>
      </w:r>
    </w:p>
    <w:p w14:paraId="04B0201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在工程项目竣工前，承包人已经提供履约担保的，发包人不得同时预留工程质量保证金。</w:t>
      </w:r>
    </w:p>
    <w:p w14:paraId="4823AD8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p>
    <w:p w14:paraId="3B013A3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15.3.1 承包人提供质量保证金的方式</w:t>
      </w:r>
    </w:p>
    <w:p w14:paraId="49FC09A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承包人提供质量保证金有以下三种方式：</w:t>
      </w:r>
    </w:p>
    <w:p w14:paraId="2D05DD0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（1）质量保证金保函； </w:t>
      </w:r>
    </w:p>
    <w:p w14:paraId="71D38C1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（2）相应比例的工程款；</w:t>
      </w:r>
    </w:p>
    <w:p w14:paraId="4261290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（3）双方约定的其他方式。</w:t>
      </w:r>
    </w:p>
    <w:p w14:paraId="1A8BB34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除专用合同条款另有约定外，质量保证金原则上采用上述第（1）种方式。</w:t>
      </w:r>
    </w:p>
    <w:p w14:paraId="2F60007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15.3.2 质量保证金的扣留</w:t>
      </w:r>
    </w:p>
    <w:p w14:paraId="3B37BC8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质量保证金的扣留有以下三种方式：</w:t>
      </w:r>
    </w:p>
    <w:p w14:paraId="395F43B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（1）在支付工程进度款时逐次扣留，在此情形下，质量保证金的计算基数不包括预付款的支付、扣回以及价格调整的金额；</w:t>
      </w:r>
    </w:p>
    <w:p w14:paraId="2336630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（2）工</w:t>
      </w:r>
      <w:bookmarkStart w:id="801" w:name="#go6"/>
      <w:bookmarkEnd w:id="801"/>
      <w:r>
        <w:rPr>
          <w:rFonts w:hint="eastAsia" w:ascii="宋体" w:hAnsi="宋体" w:eastAsia="宋体" w:cs="宋体"/>
          <w:color w:val="000000"/>
          <w:kern w:val="0"/>
          <w:sz w:val="24"/>
          <w:szCs w:val="24"/>
          <w:highlight w:val="none"/>
        </w:rPr>
        <w:t>程竣工结算时一次性扣留质量保证金；</w:t>
      </w:r>
    </w:p>
    <w:p w14:paraId="60AD08C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（3）双方约定的其他扣留方式。</w:t>
      </w:r>
    </w:p>
    <w:p w14:paraId="289ED87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除专用合同条款另有约定外，质量保证金的扣留原则上采用上述第（1）种方式。</w:t>
      </w:r>
    </w:p>
    <w:p w14:paraId="3A76C49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w:t>
      </w:r>
      <w:bookmarkStart w:id="802" w:name="#go4"/>
      <w:bookmarkEnd w:id="802"/>
      <w:r>
        <w:rPr>
          <w:rFonts w:hint="eastAsia" w:ascii="宋体" w:hAnsi="宋体" w:eastAsia="宋体" w:cs="宋体"/>
          <w:color w:val="000000"/>
          <w:kern w:val="0"/>
          <w:sz w:val="24"/>
          <w:szCs w:val="24"/>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34D1A1D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发包人在退还质量保证金的同时按照中国人民银行发布的同期同类贷款基准利率支付利息。</w:t>
      </w:r>
    </w:p>
    <w:p w14:paraId="08E1A3F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15.3.3 </w:t>
      </w:r>
      <w:r>
        <w:rPr>
          <w:rFonts w:hint="eastAsia" w:ascii="宋体" w:hAnsi="宋体" w:eastAsia="宋体" w:cs="宋体"/>
          <w:color w:val="000000"/>
          <w:sz w:val="24"/>
          <w:szCs w:val="24"/>
          <w:highlight w:val="none"/>
        </w:rPr>
        <w:t>质量保证金</w:t>
      </w:r>
      <w:r>
        <w:rPr>
          <w:rFonts w:hint="eastAsia" w:ascii="宋体" w:hAnsi="宋体" w:eastAsia="宋体" w:cs="宋体"/>
          <w:color w:val="000000"/>
          <w:kern w:val="0"/>
          <w:sz w:val="24"/>
          <w:szCs w:val="24"/>
          <w:highlight w:val="none"/>
        </w:rPr>
        <w:t>的退还</w:t>
      </w:r>
    </w:p>
    <w:p w14:paraId="38183AA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缺陷责任期内，承包人认真履行合同约定的责任，到期后，承包人可向发包人申请返还保证金。</w:t>
      </w:r>
    </w:p>
    <w:p w14:paraId="2A1C01E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5767163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发包人和承包人对保证金预留、返还以及工程维修质量、费用有争议的，按本合同第20条约定的争议和纠纷解决程序处理。</w:t>
      </w:r>
    </w:p>
    <w:p w14:paraId="40FCF59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03" w:name="_Toc351203602"/>
      <w:bookmarkStart w:id="804" w:name="_Toc337558819"/>
      <w:r>
        <w:rPr>
          <w:rFonts w:hint="eastAsia" w:ascii="宋体" w:hAnsi="宋体" w:eastAsia="宋体" w:cs="宋体"/>
          <w:b w:val="0"/>
          <w:color w:val="000000"/>
          <w:sz w:val="24"/>
          <w:szCs w:val="24"/>
          <w:highlight w:val="none"/>
        </w:rPr>
        <w:t>15.4 保修</w:t>
      </w:r>
      <w:bookmarkEnd w:id="803"/>
    </w:p>
    <w:bookmarkEnd w:id="799"/>
    <w:bookmarkEnd w:id="800"/>
    <w:bookmarkEnd w:id="804"/>
    <w:p w14:paraId="3D080E3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15.4.1保修责任</w:t>
      </w:r>
    </w:p>
    <w:p w14:paraId="4904E43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043B9C3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发包人未经竣工验收擅自使用工程的，保修期自</w:t>
      </w:r>
      <w:r>
        <w:rPr>
          <w:rFonts w:hint="eastAsia" w:ascii="宋体" w:hAnsi="宋体" w:eastAsia="宋体" w:cs="宋体"/>
          <w:color w:val="000000"/>
          <w:kern w:val="0"/>
          <w:sz w:val="24"/>
          <w:szCs w:val="24"/>
          <w:highlight w:val="none"/>
        </w:rPr>
        <w:t>转移占有之日起算</w:t>
      </w:r>
      <w:r>
        <w:rPr>
          <w:rFonts w:hint="eastAsia" w:ascii="宋体" w:hAnsi="宋体" w:eastAsia="宋体" w:cs="宋体"/>
          <w:color w:val="000000"/>
          <w:sz w:val="24"/>
          <w:szCs w:val="24"/>
          <w:highlight w:val="none"/>
        </w:rPr>
        <w:t>。</w:t>
      </w:r>
    </w:p>
    <w:p w14:paraId="6CA871C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15.4.2 修复费用</w:t>
      </w:r>
    </w:p>
    <w:p w14:paraId="659741C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保修期内，修复的费用按照以下约定处理：</w:t>
      </w:r>
    </w:p>
    <w:p w14:paraId="4112AFF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（1）保修期内，因承包人原因造成工程的缺陷、损坏，承包人应负责修复，并承担修复的费用以及因工程的缺陷、损坏造成的人身伤害和财产损失；</w:t>
      </w:r>
    </w:p>
    <w:p w14:paraId="322618B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（2）保修期内，因发包人使用不当造成工程的缺陷、损坏，可以委托承包人修复，但发包人应承担修复的费用，并支付承包人合理利润；</w:t>
      </w:r>
    </w:p>
    <w:p w14:paraId="7C01568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（3）因其他原因造成工程的缺陷、损坏，可以委托承包人修复，发包人应承担修复的费用，并支付承包人合理的利润，因工程的缺陷、损坏造成的人身伤害和财产损失由责任方承担。</w:t>
      </w:r>
    </w:p>
    <w:p w14:paraId="3A3A380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15.4.3 修复通知</w:t>
      </w:r>
    </w:p>
    <w:p w14:paraId="0753FB4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165684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15.4.4 未能修复</w:t>
      </w:r>
    </w:p>
    <w:p w14:paraId="21BFF7F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7D362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15.4.5 承包人出入权</w:t>
      </w:r>
    </w:p>
    <w:p w14:paraId="01F7BBA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75298BE">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805" w:name="_Toc351203603"/>
      <w:bookmarkStart w:id="806" w:name="_Toc337558820"/>
      <w:r>
        <w:rPr>
          <w:rFonts w:hint="eastAsia" w:ascii="宋体" w:hAnsi="宋体" w:eastAsia="宋体" w:cs="宋体"/>
          <w:b w:val="0"/>
          <w:color w:val="000000"/>
          <w:sz w:val="24"/>
          <w:szCs w:val="24"/>
          <w:highlight w:val="none"/>
        </w:rPr>
        <w:t>16. 违约</w:t>
      </w:r>
      <w:bookmarkEnd w:id="805"/>
    </w:p>
    <w:bookmarkEnd w:id="806"/>
    <w:p w14:paraId="4ABC3AA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07" w:name="_Toc296503129"/>
      <w:bookmarkStart w:id="808" w:name="_Toc296346630"/>
      <w:bookmarkStart w:id="809" w:name="_Toc351203604"/>
      <w:bookmarkStart w:id="810" w:name="_Toc337558821"/>
      <w:r>
        <w:rPr>
          <w:rFonts w:hint="eastAsia" w:ascii="宋体" w:hAnsi="宋体" w:eastAsia="宋体" w:cs="宋体"/>
          <w:b w:val="0"/>
          <w:color w:val="000000"/>
          <w:sz w:val="24"/>
          <w:szCs w:val="24"/>
          <w:highlight w:val="none"/>
        </w:rPr>
        <w:t>16.1 发</w:t>
      </w:r>
      <w:bookmarkEnd w:id="807"/>
      <w:bookmarkEnd w:id="808"/>
      <w:r>
        <w:rPr>
          <w:rFonts w:hint="eastAsia" w:ascii="宋体" w:hAnsi="宋体" w:eastAsia="宋体" w:cs="宋体"/>
          <w:b w:val="0"/>
          <w:color w:val="000000"/>
          <w:sz w:val="24"/>
          <w:szCs w:val="24"/>
          <w:highlight w:val="none"/>
        </w:rPr>
        <w:t>包人违约</w:t>
      </w:r>
      <w:bookmarkEnd w:id="809"/>
    </w:p>
    <w:bookmarkEnd w:id="810"/>
    <w:p w14:paraId="1615F7D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16.1.1 发包人违约的情形</w:t>
      </w:r>
    </w:p>
    <w:p w14:paraId="26F3744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在合同履行过程中发生的下列情形，属于发包人违约：</w:t>
      </w:r>
    </w:p>
    <w:p w14:paraId="014CBC3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（1）因发包人原因未能按合同约定支付合同价款的；</w:t>
      </w:r>
    </w:p>
    <w:p w14:paraId="0B7C04D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（2）发包人违反第10.1款〔变更的范围〕第（2）项约定，自行实施被取消的工作或转由他人实施的；</w:t>
      </w:r>
    </w:p>
    <w:p w14:paraId="18F5FF1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（3）发包人提供的材料、工程设备的规格、数量或质量不符合约定，或因发包人原因导致交货日期延误或交货地点变更等情况的；</w:t>
      </w:r>
    </w:p>
    <w:p w14:paraId="06B9770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（4）因发包人违反合同约定造成暂停施工的；</w:t>
      </w:r>
    </w:p>
    <w:p w14:paraId="3B144E1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（5）发包人无正当理由没有在约定期限内发出复工指示，导致承包人无法复工的；</w:t>
      </w:r>
    </w:p>
    <w:p w14:paraId="46B157B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（6）发包人明确表示或者以其行为表明不履行合同主要义务的；</w:t>
      </w:r>
    </w:p>
    <w:p w14:paraId="759BBCC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（7）发包人未能按照合同约定履行其他义务的。</w:t>
      </w:r>
    </w:p>
    <w:p w14:paraId="2102CEE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91D724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16.1.2 发包人违约的责任</w:t>
      </w:r>
    </w:p>
    <w:p w14:paraId="45BDA4E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14:paraId="54D93D9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16.1.3 因发包人违约解除合同</w:t>
      </w:r>
    </w:p>
    <w:p w14:paraId="4BEDF61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1C8240A9">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16.1.4 因发包人违约解除合同后的付款</w:t>
      </w:r>
    </w:p>
    <w:p w14:paraId="6F2200C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承包人按照本款约定解除合同的，发包人应在解除合同后28天内支付下列款项，并解除履约担保：</w:t>
      </w:r>
    </w:p>
    <w:p w14:paraId="16FB57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（1）合同解除前所完成工作的价款；</w:t>
      </w:r>
    </w:p>
    <w:p w14:paraId="428BB4D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（2）承包人为工程施工订购并已付款的材料、工程设备和其他物品的价款；</w:t>
      </w:r>
    </w:p>
    <w:p w14:paraId="725BA24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（3）承包人撤离施工现场以及遣散承包人人员的款项；</w:t>
      </w:r>
    </w:p>
    <w:p w14:paraId="0B3AC9C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（4）按照合同约定在合同解除前应支付的违约金；</w:t>
      </w:r>
    </w:p>
    <w:p w14:paraId="69BE44A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（5）按照合同约定应当支付给承包人的其他款项；</w:t>
      </w:r>
    </w:p>
    <w:p w14:paraId="17F439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（6）按照合同约定应退还的质量保证金；</w:t>
      </w:r>
    </w:p>
    <w:p w14:paraId="5E111B9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（7）因解除合同给承包人造成的损失。</w:t>
      </w:r>
    </w:p>
    <w:p w14:paraId="3E70EB8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合同当事人未能就解除合同后的结清达成一致的，按照第20条〔争议解决〕的约定处理。</w:t>
      </w:r>
    </w:p>
    <w:p w14:paraId="3342B9A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承包人应妥善做好已完工程和与工程有关的已购材料、工程设备的保护和移交工作，并将施工设备和人员撤出施工现场，发包人应为承包人撤出提供必要条件。</w:t>
      </w:r>
    </w:p>
    <w:p w14:paraId="3E249F5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11" w:name="_Toc351203605"/>
      <w:bookmarkStart w:id="812" w:name="_Toc296503131"/>
      <w:bookmarkStart w:id="813" w:name="_Toc337558822"/>
      <w:bookmarkStart w:id="814" w:name="_Toc296346632"/>
      <w:r>
        <w:rPr>
          <w:rFonts w:hint="eastAsia" w:ascii="宋体" w:hAnsi="宋体" w:eastAsia="宋体" w:cs="宋体"/>
          <w:b w:val="0"/>
          <w:color w:val="000000"/>
          <w:sz w:val="24"/>
          <w:szCs w:val="24"/>
          <w:highlight w:val="none"/>
        </w:rPr>
        <w:t>16.2 承包人违约</w:t>
      </w:r>
      <w:bookmarkEnd w:id="811"/>
    </w:p>
    <w:bookmarkEnd w:id="812"/>
    <w:bookmarkEnd w:id="813"/>
    <w:bookmarkEnd w:id="814"/>
    <w:p w14:paraId="5854D4F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16.2.1 承包人违约的情形</w:t>
      </w:r>
    </w:p>
    <w:p w14:paraId="29171DE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在合同履行过程中发生的下列情形，属于承包人违约：</w:t>
      </w:r>
    </w:p>
    <w:p w14:paraId="5D7653A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（1）承包人违反合同约定进行转包或违法分包的；</w:t>
      </w:r>
    </w:p>
    <w:p w14:paraId="7795C26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（2）承包人违反合同约定采购和使用不合格的材料和工程设备的；</w:t>
      </w:r>
    </w:p>
    <w:p w14:paraId="578C3E2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（3）因承包人原因导致工程质量不符合合同要求的； </w:t>
      </w:r>
    </w:p>
    <w:p w14:paraId="1F23DB3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（4）承包人违反第8.9款〔材料与设备专用要求〕的约定，未经批准，私自将已按照合同约定进入施工现场的材料或设备撤离施工现场的；</w:t>
      </w:r>
    </w:p>
    <w:p w14:paraId="5B6CF1F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（5）承包人未能按施工进度计划及时完成合同约定的工作，造成工期延误的；</w:t>
      </w:r>
    </w:p>
    <w:p w14:paraId="2370D34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（6）承包人在缺陷责任期及保修期内，未能在合理期限对工程缺陷进行修复，或拒绝按发包人要求进行修复的；</w:t>
      </w:r>
    </w:p>
    <w:p w14:paraId="4050EFF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（7）承包人明确表示或者以其行为表明不履行合同主要义务的；</w:t>
      </w:r>
    </w:p>
    <w:p w14:paraId="41B6796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（8）承包人未能按照合同约定履行其他义务的。</w:t>
      </w:r>
    </w:p>
    <w:p w14:paraId="1BFAD98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承包人发生除本项第（7）目约定以外的其他违约情况时，监理人可向承包人发出整改通知，要求其在指定的期限内改正。</w:t>
      </w:r>
    </w:p>
    <w:p w14:paraId="358AD4C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16.2.2 承包人违约的责任</w:t>
      </w:r>
    </w:p>
    <w:p w14:paraId="197668C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承包人应承担因其违约行为而增加的费用和（或）延误的工期。此外，合同当事人可在专用合同条款中另行约定承包人违约责任的承担方式和计算方法。</w:t>
      </w:r>
    </w:p>
    <w:p w14:paraId="1B14CF6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16.2.3 因承包人违约解除合同</w:t>
      </w:r>
    </w:p>
    <w:p w14:paraId="70A32B8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7CE4081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16.2.4因承包人违约解除合同后的处理</w:t>
      </w:r>
    </w:p>
    <w:p w14:paraId="75CD905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因承包人原因导致合同解除的，则合同当事人应在合同解除后28天内完成估价、付款和清算，并按以下约定执行：</w:t>
      </w:r>
    </w:p>
    <w:p w14:paraId="2E27CC5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（1）合同解除后，按第4.4款〔商定或确定〕商定或确定承包人实际完成工作对应的合同价款，以及承包人已提供的材料、工程设备、施工设备和临时工程等的价值；</w:t>
      </w:r>
    </w:p>
    <w:p w14:paraId="7D44718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（2）合同解除后，承包人应支付的违约金；</w:t>
      </w:r>
    </w:p>
    <w:p w14:paraId="5093CFD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（3）合同解除后，因解除合同给发包人造成的损失；</w:t>
      </w:r>
    </w:p>
    <w:p w14:paraId="2694CE0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（4）合同解除后，承包人应按照发包人要求和监理人的指示完成现场的清理和撤离；</w:t>
      </w:r>
    </w:p>
    <w:p w14:paraId="66170AD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（5）发包人和承包人应在合同解除后进行清算，出具最终结清付款证书，结清全部款项。</w:t>
      </w:r>
    </w:p>
    <w:p w14:paraId="751320F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349991E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16.2.5采购合同权益转让</w:t>
      </w:r>
    </w:p>
    <w:p w14:paraId="5B5A739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364C043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15" w:name="_Toc351203606"/>
      <w:r>
        <w:rPr>
          <w:rFonts w:hint="eastAsia" w:ascii="宋体" w:hAnsi="宋体" w:eastAsia="宋体" w:cs="宋体"/>
          <w:b w:val="0"/>
          <w:color w:val="000000"/>
          <w:sz w:val="24"/>
          <w:szCs w:val="24"/>
          <w:highlight w:val="none"/>
        </w:rPr>
        <w:t>16.3 第三人造成的违约</w:t>
      </w:r>
      <w:bookmarkEnd w:id="815"/>
    </w:p>
    <w:p w14:paraId="616FFB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在履行合同过程中，一方当事人因第三人的原因造成违约的，应当向对方当事人承担违约责任。一方当事人和第三人之间的纠纷，依照法律规定或者按照约定解决。</w:t>
      </w:r>
    </w:p>
    <w:p w14:paraId="47615545">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816" w:name="_Toc351203607"/>
      <w:bookmarkStart w:id="817" w:name="_Toc296346617"/>
      <w:bookmarkStart w:id="818" w:name="_Toc337558823"/>
      <w:bookmarkStart w:id="819" w:name="_Toc296503116"/>
      <w:r>
        <w:rPr>
          <w:rFonts w:hint="eastAsia" w:ascii="宋体" w:hAnsi="宋体" w:eastAsia="宋体" w:cs="宋体"/>
          <w:b w:val="0"/>
          <w:color w:val="000000"/>
          <w:sz w:val="24"/>
          <w:szCs w:val="24"/>
          <w:highlight w:val="none"/>
        </w:rPr>
        <w:t>17. 不可抗力</w:t>
      </w:r>
      <w:bookmarkEnd w:id="816"/>
      <w:r>
        <w:rPr>
          <w:rFonts w:hint="eastAsia" w:ascii="宋体" w:hAnsi="宋体" w:eastAsia="宋体" w:cs="宋体"/>
          <w:b w:val="0"/>
          <w:color w:val="000000"/>
          <w:sz w:val="24"/>
          <w:szCs w:val="24"/>
          <w:highlight w:val="none"/>
        </w:rPr>
        <w:t xml:space="preserve"> </w:t>
      </w:r>
      <w:bookmarkEnd w:id="817"/>
      <w:bookmarkEnd w:id="818"/>
      <w:bookmarkEnd w:id="819"/>
    </w:p>
    <w:p w14:paraId="4A8032D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20" w:name="_Toc351203608"/>
      <w:bookmarkStart w:id="821" w:name="_Toc337558824"/>
      <w:bookmarkStart w:id="822" w:name="_Toc296503117"/>
      <w:bookmarkStart w:id="823" w:name="_Toc296346618"/>
      <w:r>
        <w:rPr>
          <w:rFonts w:hint="eastAsia" w:ascii="宋体" w:hAnsi="宋体" w:eastAsia="宋体" w:cs="宋体"/>
          <w:b w:val="0"/>
          <w:color w:val="000000"/>
          <w:sz w:val="24"/>
          <w:szCs w:val="24"/>
          <w:highlight w:val="none"/>
        </w:rPr>
        <w:t>17.1 不可抗力的确认</w:t>
      </w:r>
      <w:bookmarkEnd w:id="820"/>
    </w:p>
    <w:bookmarkEnd w:id="821"/>
    <w:bookmarkEnd w:id="822"/>
    <w:bookmarkEnd w:id="823"/>
    <w:p w14:paraId="541990C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0C70D8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82E84E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24" w:name="_Toc351203609"/>
      <w:bookmarkStart w:id="825" w:name="_Toc296346619"/>
      <w:bookmarkStart w:id="826" w:name="_Toc337558825"/>
      <w:bookmarkStart w:id="827" w:name="_Toc296503118"/>
      <w:r>
        <w:rPr>
          <w:rFonts w:hint="eastAsia" w:ascii="宋体" w:hAnsi="宋体" w:eastAsia="宋体" w:cs="宋体"/>
          <w:b w:val="0"/>
          <w:color w:val="000000"/>
          <w:sz w:val="24"/>
          <w:szCs w:val="24"/>
          <w:highlight w:val="none"/>
        </w:rPr>
        <w:t>17.2 不可抗力的通知</w:t>
      </w:r>
      <w:bookmarkEnd w:id="824"/>
    </w:p>
    <w:bookmarkEnd w:id="825"/>
    <w:bookmarkEnd w:id="826"/>
    <w:bookmarkEnd w:id="827"/>
    <w:p w14:paraId="698CC41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552BC5A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1E1463C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28" w:name="_Toc351203610"/>
      <w:bookmarkStart w:id="829" w:name="_Toc296503119"/>
      <w:bookmarkStart w:id="830" w:name="_Toc337558826"/>
      <w:bookmarkStart w:id="831" w:name="_Toc296346620"/>
      <w:r>
        <w:rPr>
          <w:rFonts w:hint="eastAsia" w:ascii="宋体" w:hAnsi="宋体" w:eastAsia="宋体" w:cs="宋体"/>
          <w:b w:val="0"/>
          <w:color w:val="000000"/>
          <w:sz w:val="24"/>
          <w:szCs w:val="24"/>
          <w:highlight w:val="none"/>
        </w:rPr>
        <w:t>17.3 不可抗力后果的承担</w:t>
      </w:r>
      <w:bookmarkEnd w:id="828"/>
    </w:p>
    <w:bookmarkEnd w:id="829"/>
    <w:bookmarkEnd w:id="830"/>
    <w:bookmarkEnd w:id="831"/>
    <w:p w14:paraId="2BF212A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17.3.1 不可抗力引起的后果及造成的损失由合同当事人按照法律规定及合同约定各自承担。不可抗力发生前已完成的工程应当按照合同约定进行计量支付。</w:t>
      </w:r>
    </w:p>
    <w:p w14:paraId="3C7F954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17.3.2 不可抗力导致的人员伤亡、财产损失、费用增加和（或）工期延误等后果，由合同当事人按以下原则承担：</w:t>
      </w:r>
    </w:p>
    <w:p w14:paraId="55C0001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（1）永久工程、已运至施工现场的材料和工程设备的损坏，以及因工程损坏造成的第三人人员伤亡和财产损失由发包人承担；</w:t>
      </w:r>
    </w:p>
    <w:p w14:paraId="542995B7">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（2）承包人施工设备的损坏由承包人承担；</w:t>
      </w:r>
    </w:p>
    <w:p w14:paraId="7C51E59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（3）发包人和承包人承担各自人员伤亡和财产的损失；</w:t>
      </w:r>
    </w:p>
    <w:p w14:paraId="3CBC3F8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BCF84E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（5）因不可抗力引起或将引起工期延误，发包人要求赶工的，由此增加的赶工费用由发包人承担；</w:t>
      </w:r>
    </w:p>
    <w:p w14:paraId="2959B3F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（6）承包人在停工期间按照发包人要求照管、清理和修复工程的费用由发包人承担。</w:t>
      </w:r>
    </w:p>
    <w:p w14:paraId="6D927DA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不可抗力发生后，合同当事人均应采取措施尽量避免和减少损失的扩大，任何一方当事人没有采取有效措施导致损失扩大的，应对扩大的损失承担责任。</w:t>
      </w:r>
    </w:p>
    <w:p w14:paraId="4528962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因合同一方迟延履行合同义务，在迟延履行期间遭遇不可抗力的，不免除其违约责任。</w:t>
      </w:r>
    </w:p>
    <w:p w14:paraId="06DD9CEC">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32" w:name="_Toc351203611"/>
      <w:bookmarkStart w:id="833" w:name="_Toc337558827"/>
      <w:r>
        <w:rPr>
          <w:rFonts w:hint="eastAsia" w:ascii="宋体" w:hAnsi="宋体" w:eastAsia="宋体" w:cs="宋体"/>
          <w:b w:val="0"/>
          <w:color w:val="000000"/>
          <w:sz w:val="24"/>
          <w:szCs w:val="24"/>
          <w:highlight w:val="none"/>
        </w:rPr>
        <w:t>17.4 因不可抗力解除合同</w:t>
      </w:r>
      <w:bookmarkEnd w:id="832"/>
    </w:p>
    <w:bookmarkEnd w:id="833"/>
    <w:p w14:paraId="521405D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194A191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（1）合同解除前承包人已完成工作的价款；</w:t>
      </w:r>
    </w:p>
    <w:p w14:paraId="3539053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（2）承包人为工程订购的并已交付给承包人，或承包人有责任接受交付的材料、工程设备和其他物品的价款；</w:t>
      </w:r>
    </w:p>
    <w:p w14:paraId="46F4AFE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（3）发包人要求承包人退货或解除订货合同而产生的费用，或因不能退货或解除合同而产生的损失；</w:t>
      </w:r>
    </w:p>
    <w:p w14:paraId="255EDD4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（4）承包人撤离施工现场以及遣散承包人人员的费用；</w:t>
      </w:r>
    </w:p>
    <w:p w14:paraId="514E5DD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（5）按照合同约定在合同解除前应支付给承包人的其他款项；</w:t>
      </w:r>
    </w:p>
    <w:p w14:paraId="457E551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（6）扣减承包人按照合同约定应向发包人支付的款项；</w:t>
      </w:r>
    </w:p>
    <w:p w14:paraId="4315C69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（7）双方商定或确定的其他款项。</w:t>
      </w:r>
    </w:p>
    <w:p w14:paraId="2F5A2EB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除专用合同条款另有约定外，合同解除后，发包人应在商定或确定上述款项后28天内完成上述款项的支付。</w:t>
      </w:r>
    </w:p>
    <w:p w14:paraId="74CC8CDF">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834" w:name="_Toc351203612"/>
      <w:bookmarkStart w:id="835" w:name="_Toc296346621"/>
      <w:bookmarkStart w:id="836" w:name="_Toc296503120"/>
      <w:bookmarkStart w:id="837" w:name="_Toc337558828"/>
      <w:r>
        <w:rPr>
          <w:rFonts w:hint="eastAsia" w:ascii="宋体" w:hAnsi="宋体" w:eastAsia="宋体" w:cs="宋体"/>
          <w:b w:val="0"/>
          <w:color w:val="000000"/>
          <w:sz w:val="24"/>
          <w:szCs w:val="24"/>
          <w:highlight w:val="none"/>
        </w:rPr>
        <w:t>18. 保险</w:t>
      </w:r>
      <w:bookmarkEnd w:id="834"/>
    </w:p>
    <w:bookmarkEnd w:id="835"/>
    <w:bookmarkEnd w:id="836"/>
    <w:bookmarkEnd w:id="837"/>
    <w:p w14:paraId="7CB9190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38" w:name="_Toc351203613"/>
      <w:bookmarkStart w:id="839" w:name="_Toc337558829"/>
      <w:bookmarkStart w:id="840" w:name="_Toc296346622"/>
      <w:bookmarkStart w:id="841" w:name="_Toc296503121"/>
      <w:r>
        <w:rPr>
          <w:rFonts w:hint="eastAsia" w:ascii="宋体" w:hAnsi="宋体" w:eastAsia="宋体" w:cs="宋体"/>
          <w:b w:val="0"/>
          <w:color w:val="000000"/>
          <w:sz w:val="24"/>
          <w:szCs w:val="24"/>
          <w:highlight w:val="none"/>
        </w:rPr>
        <w:t>18.1 工程保险</w:t>
      </w:r>
      <w:bookmarkEnd w:id="838"/>
    </w:p>
    <w:bookmarkEnd w:id="839"/>
    <w:bookmarkEnd w:id="840"/>
    <w:bookmarkEnd w:id="841"/>
    <w:p w14:paraId="1659875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除专用合同条款另有约定外，发包人应投保建筑工程一切险或安装工程一切险；发包人委托承包人投保的，因投保产生的保险费和其他相关费用由发包人承担。</w:t>
      </w:r>
    </w:p>
    <w:p w14:paraId="30F14C81">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42" w:name="_Toc351203614"/>
      <w:bookmarkStart w:id="843" w:name="_Toc296503122"/>
      <w:bookmarkStart w:id="844" w:name="_Toc337558830"/>
      <w:bookmarkStart w:id="845" w:name="_Toc296346623"/>
      <w:r>
        <w:rPr>
          <w:rFonts w:hint="eastAsia" w:ascii="宋体" w:hAnsi="宋体" w:eastAsia="宋体" w:cs="宋体"/>
          <w:b w:val="0"/>
          <w:color w:val="000000"/>
          <w:sz w:val="24"/>
          <w:szCs w:val="24"/>
          <w:highlight w:val="none"/>
        </w:rPr>
        <w:t>18.2 工伤保险</w:t>
      </w:r>
      <w:bookmarkEnd w:id="842"/>
    </w:p>
    <w:bookmarkEnd w:id="843"/>
    <w:bookmarkEnd w:id="844"/>
    <w:bookmarkEnd w:id="845"/>
    <w:p w14:paraId="6F45A41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18.2.1 发包人应依照法律规定参加工伤保险，并为在施工现场的全部员工办理工伤保险，缴纳工伤保险费，并要求监理人及由发包人为履行合同聘请的第三方依法参加工伤保险。</w:t>
      </w:r>
    </w:p>
    <w:p w14:paraId="0C2551E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18.2.2 承包人应依照法律规定参加工伤保险，并为其履行合同的全部员工办理工伤保险，缴纳工伤保险费，并要求分包人及由承包人为履行合同聘请的第三方依法参加工伤保险。</w:t>
      </w:r>
    </w:p>
    <w:p w14:paraId="41B99D3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46" w:name="_Toc351203615"/>
      <w:bookmarkStart w:id="847" w:name="_Toc337558831"/>
      <w:bookmarkStart w:id="848" w:name="_Toc296503125"/>
      <w:bookmarkStart w:id="849" w:name="_Toc296346626"/>
      <w:r>
        <w:rPr>
          <w:rFonts w:hint="eastAsia" w:ascii="宋体" w:hAnsi="宋体" w:eastAsia="宋体" w:cs="宋体"/>
          <w:b w:val="0"/>
          <w:color w:val="000000"/>
          <w:sz w:val="24"/>
          <w:szCs w:val="24"/>
          <w:highlight w:val="none"/>
        </w:rPr>
        <w:t>18.3其他保险</w:t>
      </w:r>
      <w:bookmarkEnd w:id="846"/>
    </w:p>
    <w:bookmarkEnd w:id="847"/>
    <w:bookmarkEnd w:id="848"/>
    <w:bookmarkEnd w:id="849"/>
    <w:p w14:paraId="7110275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14:paraId="6743C83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除专用合同条款另有约定外，承包人应为其施工设备等办理财产保险。</w:t>
      </w:r>
    </w:p>
    <w:p w14:paraId="2A95151A">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50" w:name="_Toc351203616"/>
      <w:r>
        <w:rPr>
          <w:rFonts w:hint="eastAsia" w:ascii="宋体" w:hAnsi="宋体" w:eastAsia="宋体" w:cs="宋体"/>
          <w:b w:val="0"/>
          <w:color w:val="000000"/>
          <w:sz w:val="24"/>
          <w:szCs w:val="24"/>
          <w:highlight w:val="none"/>
        </w:rPr>
        <w:t>18.4持续保险</w:t>
      </w:r>
      <w:bookmarkEnd w:id="850"/>
    </w:p>
    <w:p w14:paraId="626278A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合同当事人应与保险人保持联系，使保险人能够随时了解工程实施中的变动，并确保按保险合同条款要求持续保险。</w:t>
      </w:r>
    </w:p>
    <w:p w14:paraId="7B48DC8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51" w:name="_Toc351203617"/>
      <w:bookmarkStart w:id="852" w:name="_Toc337558832"/>
      <w:bookmarkStart w:id="853" w:name="_Toc296503126"/>
      <w:bookmarkStart w:id="854" w:name="_Toc296346627"/>
      <w:r>
        <w:rPr>
          <w:rFonts w:hint="eastAsia" w:ascii="宋体" w:hAnsi="宋体" w:eastAsia="宋体" w:cs="宋体"/>
          <w:b w:val="0"/>
          <w:color w:val="000000"/>
          <w:sz w:val="24"/>
          <w:szCs w:val="24"/>
          <w:highlight w:val="none"/>
        </w:rPr>
        <w:t>18.5 保险凭证</w:t>
      </w:r>
      <w:bookmarkEnd w:id="851"/>
    </w:p>
    <w:bookmarkEnd w:id="852"/>
    <w:bookmarkEnd w:id="853"/>
    <w:bookmarkEnd w:id="854"/>
    <w:p w14:paraId="3A7735C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合同当事人应及时向另一方当事人提交其已投保的各项保险的凭证和保险单复印件。</w:t>
      </w:r>
    </w:p>
    <w:p w14:paraId="0B6F2446">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55" w:name="_Toc351203618"/>
      <w:bookmarkStart w:id="856" w:name="_Toc296346628"/>
      <w:bookmarkStart w:id="857" w:name="_Toc337558833"/>
      <w:bookmarkStart w:id="858" w:name="_Toc296503127"/>
      <w:r>
        <w:rPr>
          <w:rFonts w:hint="eastAsia" w:ascii="宋体" w:hAnsi="宋体" w:eastAsia="宋体" w:cs="宋体"/>
          <w:b w:val="0"/>
          <w:color w:val="000000"/>
          <w:sz w:val="24"/>
          <w:szCs w:val="24"/>
          <w:highlight w:val="none"/>
        </w:rPr>
        <w:t>18.6 未按约定投保的补救</w:t>
      </w:r>
      <w:bookmarkEnd w:id="855"/>
    </w:p>
    <w:bookmarkEnd w:id="856"/>
    <w:bookmarkEnd w:id="857"/>
    <w:bookmarkEnd w:id="858"/>
    <w:p w14:paraId="0E744DD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18.6.1发包人未按合同约定办理保险，或未能使保险持续有效的，则承包人可代为办理，所需费用由发包人承担。发包人未按合同约定办理保险，导致未能得到足额赔偿的，由发包人负责补足。</w:t>
      </w:r>
    </w:p>
    <w:p w14:paraId="2762429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18.6.2承包人未按合同约定办理保险，或未能使保险持续有效的，则发包人可代为办理，所需费用由承包人承担。承包人未按合同约定办理保险，导致未能得到足额赔偿的，由承包人负责补足。</w:t>
      </w:r>
    </w:p>
    <w:p w14:paraId="0C243B3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59" w:name="_Toc351203619"/>
      <w:bookmarkStart w:id="860" w:name="_Toc337558834"/>
      <w:r>
        <w:rPr>
          <w:rFonts w:hint="eastAsia" w:ascii="宋体" w:hAnsi="宋体" w:eastAsia="宋体" w:cs="宋体"/>
          <w:b w:val="0"/>
          <w:color w:val="000000"/>
          <w:sz w:val="24"/>
          <w:szCs w:val="24"/>
          <w:highlight w:val="none"/>
        </w:rPr>
        <w:t>18.7 通知义务</w:t>
      </w:r>
      <w:bookmarkEnd w:id="859"/>
    </w:p>
    <w:bookmarkEnd w:id="860"/>
    <w:p w14:paraId="494E974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CDAA12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保险事故发生时，投保人应按照保险合同规定的条件和期限及时向保险人报告。发包人和承包人应当在知道保险事故发生后及时通知对方。</w:t>
      </w:r>
    </w:p>
    <w:p w14:paraId="765B212F">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861" w:name="_Toc351203620"/>
      <w:bookmarkStart w:id="862" w:name="_Toc296503140"/>
      <w:bookmarkStart w:id="863" w:name="_Toc296346641"/>
      <w:bookmarkStart w:id="864" w:name="_Toc337558835"/>
      <w:r>
        <w:rPr>
          <w:rFonts w:hint="eastAsia" w:ascii="宋体" w:hAnsi="宋体" w:eastAsia="宋体" w:cs="宋体"/>
          <w:b w:val="0"/>
          <w:color w:val="000000"/>
          <w:sz w:val="24"/>
          <w:szCs w:val="24"/>
          <w:highlight w:val="none"/>
        </w:rPr>
        <w:t>19. 索赔</w:t>
      </w:r>
      <w:bookmarkEnd w:id="861"/>
    </w:p>
    <w:bookmarkEnd w:id="862"/>
    <w:bookmarkEnd w:id="863"/>
    <w:bookmarkEnd w:id="864"/>
    <w:p w14:paraId="06FAE020">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65" w:name="_Toc351203621"/>
      <w:bookmarkStart w:id="866" w:name="_Toc296346642"/>
      <w:bookmarkStart w:id="867" w:name="_Toc296503141"/>
      <w:bookmarkStart w:id="868" w:name="_Toc337558836"/>
      <w:r>
        <w:rPr>
          <w:rFonts w:hint="eastAsia" w:ascii="宋体" w:hAnsi="宋体" w:eastAsia="宋体" w:cs="宋体"/>
          <w:b w:val="0"/>
          <w:color w:val="000000"/>
          <w:sz w:val="24"/>
          <w:szCs w:val="24"/>
          <w:highlight w:val="none"/>
        </w:rPr>
        <w:t>19.1承包人的索赔</w:t>
      </w:r>
      <w:bookmarkEnd w:id="865"/>
    </w:p>
    <w:bookmarkEnd w:id="866"/>
    <w:bookmarkEnd w:id="867"/>
    <w:bookmarkEnd w:id="868"/>
    <w:p w14:paraId="42C7A2F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根据合同约定，承包人认为有权得到追加付款和（或）延长工期的，应按以下程序向发包人提出索赔：</w:t>
      </w:r>
    </w:p>
    <w:p w14:paraId="4124977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17CB23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（2）承包人应在发出索赔意向通知书后28天内，向监理人正式递交索赔报告；索赔报告应详细说明索赔理由以及要求追加的付款金额和（或）延长的工期，并附必要的记录和证明材料；</w:t>
      </w:r>
    </w:p>
    <w:p w14:paraId="062A485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（3）索赔事件具有持续影响的，承包人应按合理时间间隔继续递交延续索赔通知，说明持续影响的实际情况和记录，列出累计的追加付款金额和（或）工期延长天数；</w:t>
      </w:r>
    </w:p>
    <w:p w14:paraId="6B630F7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（4）在索赔事件影响结束后28天内，承包人应向监理人递交最终索赔报告，说明最终要求索赔的追加付款金额和（或）延长的工期，并附必要的记录和证明材料。</w:t>
      </w:r>
    </w:p>
    <w:p w14:paraId="6F3296AB">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69" w:name="_Toc351203622"/>
      <w:bookmarkStart w:id="870" w:name="_Toc296346643"/>
      <w:bookmarkStart w:id="871" w:name="_Toc337558837"/>
      <w:bookmarkStart w:id="872" w:name="_Toc296503142"/>
      <w:r>
        <w:rPr>
          <w:rFonts w:hint="eastAsia" w:ascii="宋体" w:hAnsi="宋体" w:eastAsia="宋体" w:cs="宋体"/>
          <w:b w:val="0"/>
          <w:color w:val="000000"/>
          <w:sz w:val="24"/>
          <w:szCs w:val="24"/>
          <w:highlight w:val="none"/>
        </w:rPr>
        <w:t>19.2 对承包人索赔的处理</w:t>
      </w:r>
      <w:bookmarkEnd w:id="869"/>
    </w:p>
    <w:bookmarkEnd w:id="870"/>
    <w:bookmarkEnd w:id="871"/>
    <w:bookmarkEnd w:id="872"/>
    <w:p w14:paraId="5255EF1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对承包人索赔的处理如下：</w:t>
      </w:r>
    </w:p>
    <w:p w14:paraId="1756ABA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（1）监理人应在收到索赔报告后14天内完成审查并报送发包人。监理人对索赔报告存在异议的，有权要求承包人提交全部原始记录副本；</w:t>
      </w:r>
    </w:p>
    <w:p w14:paraId="3252A04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（2）发包人应在监理人收到索赔报告或有关索赔的进一步证明材料后的28天内，由监理人向承包人出具经发包人签认的索赔处理结果。发包人逾期答复的，则视为认可承包人的索赔要求；</w:t>
      </w:r>
    </w:p>
    <w:p w14:paraId="5C60819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（3）承包人接受索赔处理结果的，索赔款项在当期进度款中进行支付；承包人不接受索赔处理结果的，按照第20条〔争议解决〕约定处理。</w:t>
      </w:r>
    </w:p>
    <w:p w14:paraId="7886E34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73" w:name="_Toc351203623"/>
      <w:bookmarkStart w:id="874" w:name="_Toc296503143"/>
      <w:bookmarkStart w:id="875" w:name="_Toc337558838"/>
      <w:bookmarkStart w:id="876" w:name="_Toc296346644"/>
      <w:r>
        <w:rPr>
          <w:rFonts w:hint="eastAsia" w:ascii="宋体" w:hAnsi="宋体" w:eastAsia="宋体" w:cs="宋体"/>
          <w:b w:val="0"/>
          <w:color w:val="000000"/>
          <w:sz w:val="24"/>
          <w:szCs w:val="24"/>
          <w:highlight w:val="none"/>
        </w:rPr>
        <w:t>19.3发包人的索赔</w:t>
      </w:r>
      <w:bookmarkEnd w:id="873"/>
    </w:p>
    <w:bookmarkEnd w:id="874"/>
    <w:bookmarkEnd w:id="875"/>
    <w:bookmarkEnd w:id="876"/>
    <w:p w14:paraId="143CBFF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根据合同约定，发包人认为有权得到赔付金额和（或）延长缺陷责任期的，监理人应向承包人发出通知并附有详细的证明。</w:t>
      </w:r>
    </w:p>
    <w:p w14:paraId="5DECAC2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5B78F807">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77" w:name="_Toc351203624"/>
      <w:bookmarkStart w:id="878" w:name="_Toc337558839"/>
      <w:bookmarkStart w:id="879" w:name="_Toc296503144"/>
      <w:bookmarkStart w:id="880" w:name="_Toc296346645"/>
      <w:r>
        <w:rPr>
          <w:rFonts w:hint="eastAsia" w:ascii="宋体" w:hAnsi="宋体" w:eastAsia="宋体" w:cs="宋体"/>
          <w:b w:val="0"/>
          <w:color w:val="000000"/>
          <w:sz w:val="24"/>
          <w:szCs w:val="24"/>
          <w:highlight w:val="none"/>
        </w:rPr>
        <w:t>19.4 对发包人索赔的处理</w:t>
      </w:r>
      <w:bookmarkEnd w:id="877"/>
    </w:p>
    <w:bookmarkEnd w:id="878"/>
    <w:bookmarkEnd w:id="879"/>
    <w:bookmarkEnd w:id="880"/>
    <w:p w14:paraId="21075F4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对发包人索赔的处理如下：</w:t>
      </w:r>
    </w:p>
    <w:p w14:paraId="48F7695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（1）承包人收到发包人提交的索赔报告后，应及时审查索赔报告的内容、查验发包人证明材料；</w:t>
      </w:r>
    </w:p>
    <w:p w14:paraId="308A872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（2）承包人应在收到索赔报告或有关索赔的进一步证明材料后28天内，将索赔处理结果答复发包人。如果承包人未在上述期限内作出答复的，则视为对发包人索赔要求的认可；</w:t>
      </w:r>
    </w:p>
    <w:p w14:paraId="63D13A1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（3）承包人接受索赔处理结果的，发包人可从应支付给承包人的合同价款中扣除赔付的金额或延长缺陷责任期；发包人不接受索赔处理结果的，按第20条〔争议解决〕约定处理。</w:t>
      </w:r>
    </w:p>
    <w:p w14:paraId="4E00F19E">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81" w:name="_Toc351203625"/>
      <w:r>
        <w:rPr>
          <w:rFonts w:hint="eastAsia" w:ascii="宋体" w:hAnsi="宋体" w:eastAsia="宋体" w:cs="宋体"/>
          <w:b w:val="0"/>
          <w:color w:val="000000"/>
          <w:sz w:val="24"/>
          <w:szCs w:val="24"/>
          <w:highlight w:val="none"/>
        </w:rPr>
        <w:t>19.5 提出索赔的期限</w:t>
      </w:r>
      <w:bookmarkEnd w:id="881"/>
    </w:p>
    <w:p w14:paraId="36F29DE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（1）承包人按第14.2款〔竣工结算审核〕约定接收竣工付款证书后，应被视为已无权再提出在工程接收证书颁发前所发生的任何索赔。</w:t>
      </w:r>
    </w:p>
    <w:p w14:paraId="6B9966C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（2）承包人按第14.4款〔最终结清〕提交的最终结清申请单中，只限于提出工程接收证书颁发后发生的索赔。提出索赔的期限自接受最终结清证书时终止。</w:t>
      </w:r>
    </w:p>
    <w:p w14:paraId="55502404">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882" w:name="_Toc351203626"/>
      <w:r>
        <w:rPr>
          <w:rFonts w:hint="eastAsia" w:ascii="宋体" w:hAnsi="宋体" w:eastAsia="宋体" w:cs="宋体"/>
          <w:b w:val="0"/>
          <w:color w:val="000000"/>
          <w:sz w:val="24"/>
          <w:szCs w:val="24"/>
          <w:highlight w:val="none"/>
        </w:rPr>
        <w:t>20</w:t>
      </w:r>
      <w:bookmarkStart w:id="883" w:name="_Toc337558840"/>
      <w:bookmarkStart w:id="884" w:name="_Toc296503146"/>
      <w:bookmarkStart w:id="885" w:name="_Toc296346647"/>
      <w:r>
        <w:rPr>
          <w:rFonts w:hint="eastAsia" w:ascii="宋体" w:hAnsi="宋体" w:eastAsia="宋体" w:cs="宋体"/>
          <w:b w:val="0"/>
          <w:color w:val="000000"/>
          <w:sz w:val="24"/>
          <w:szCs w:val="24"/>
          <w:highlight w:val="none"/>
        </w:rPr>
        <w:t>. 争议解决</w:t>
      </w:r>
      <w:bookmarkEnd w:id="882"/>
    </w:p>
    <w:bookmarkEnd w:id="883"/>
    <w:bookmarkEnd w:id="884"/>
    <w:bookmarkEnd w:id="885"/>
    <w:p w14:paraId="713D5AC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86" w:name="_Toc351203627"/>
      <w:bookmarkStart w:id="887" w:name="_Toc337558841"/>
      <w:bookmarkStart w:id="888" w:name="_Toc296346648"/>
      <w:bookmarkStart w:id="889" w:name="_Toc296503147"/>
      <w:r>
        <w:rPr>
          <w:rFonts w:hint="eastAsia" w:ascii="宋体" w:hAnsi="宋体" w:eastAsia="宋体" w:cs="宋体"/>
          <w:b w:val="0"/>
          <w:color w:val="000000"/>
          <w:sz w:val="24"/>
          <w:szCs w:val="24"/>
          <w:highlight w:val="none"/>
        </w:rPr>
        <w:t>20.1和解</w:t>
      </w:r>
      <w:bookmarkEnd w:id="886"/>
    </w:p>
    <w:bookmarkEnd w:id="887"/>
    <w:bookmarkEnd w:id="888"/>
    <w:bookmarkEnd w:id="889"/>
    <w:p w14:paraId="1FD370E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合同当事人可以就争议自行和解，自行和解达成协议的经双方签字并盖章后作为合同补充文件，双方均应遵照执行。</w:t>
      </w:r>
    </w:p>
    <w:p w14:paraId="162ACB18">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90" w:name="_Toc351203628"/>
      <w:r>
        <w:rPr>
          <w:rFonts w:hint="eastAsia" w:ascii="宋体" w:hAnsi="宋体" w:eastAsia="宋体" w:cs="宋体"/>
          <w:b w:val="0"/>
          <w:color w:val="000000"/>
          <w:sz w:val="24"/>
          <w:szCs w:val="24"/>
          <w:highlight w:val="none"/>
        </w:rPr>
        <w:t>20</w:t>
      </w:r>
      <w:bookmarkStart w:id="891" w:name="_Toc337558842"/>
      <w:bookmarkStart w:id="892" w:name="_Toc296503148"/>
      <w:bookmarkStart w:id="893" w:name="_Toc296346649"/>
      <w:r>
        <w:rPr>
          <w:rFonts w:hint="eastAsia" w:ascii="宋体" w:hAnsi="宋体" w:eastAsia="宋体" w:cs="宋体"/>
          <w:b w:val="0"/>
          <w:color w:val="000000"/>
          <w:sz w:val="24"/>
          <w:szCs w:val="24"/>
          <w:highlight w:val="none"/>
        </w:rPr>
        <w:t>.2调解</w:t>
      </w:r>
      <w:bookmarkEnd w:id="890"/>
    </w:p>
    <w:bookmarkEnd w:id="891"/>
    <w:bookmarkEnd w:id="892"/>
    <w:bookmarkEnd w:id="893"/>
    <w:p w14:paraId="0DFC268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合同当事人可以就争议请求建设行政主管部门、行业协会或其他第三方进行调解，调解达成协议的，经双方签字并盖章后作为合同补充文件，双方均应遵照执行。</w:t>
      </w:r>
    </w:p>
    <w:p w14:paraId="3537A465">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94" w:name="_Toc351203629"/>
      <w:bookmarkStart w:id="895" w:name="_Toc337558843"/>
      <w:bookmarkStart w:id="896" w:name="_Toc296503149"/>
      <w:bookmarkStart w:id="897" w:name="_Toc296346650"/>
      <w:r>
        <w:rPr>
          <w:rFonts w:hint="eastAsia" w:ascii="宋体" w:hAnsi="宋体" w:eastAsia="宋体" w:cs="宋体"/>
          <w:b w:val="0"/>
          <w:color w:val="000000"/>
          <w:sz w:val="24"/>
          <w:szCs w:val="24"/>
          <w:highlight w:val="none"/>
        </w:rPr>
        <w:t>20.3争议评审</w:t>
      </w:r>
      <w:bookmarkEnd w:id="894"/>
    </w:p>
    <w:bookmarkEnd w:id="895"/>
    <w:bookmarkEnd w:id="896"/>
    <w:bookmarkEnd w:id="897"/>
    <w:p w14:paraId="49C839A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合同当事人在专用合同条款中约定采取争议评审方式解决争议以及评审规则，并按下列约定执行： </w:t>
      </w:r>
    </w:p>
    <w:p w14:paraId="49E0DDF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20.3.1 争议评审小组的确定</w:t>
      </w:r>
    </w:p>
    <w:p w14:paraId="199D160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合同当事人可以共同选择一名或三名争议评审员，组成争议评审小组。除专用合同条款另有约定外，合同当事人应当自合同签订后28天内，或者争议发生后14天内，选定争议评审员。</w:t>
      </w:r>
    </w:p>
    <w:p w14:paraId="621B4B6A">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7B8F6F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除专用合同条款另有约定外，评审员报酬由发包人和承包人各承担一半。</w:t>
      </w:r>
    </w:p>
    <w:p w14:paraId="27DDC28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20.3.2 争议评审小组的决定</w:t>
      </w:r>
    </w:p>
    <w:p w14:paraId="77E50202">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53FB0E0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20.3.3 争议评审小组决定的效力</w:t>
      </w:r>
    </w:p>
    <w:p w14:paraId="1890786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争议评审小组作出的书面决定经合同当事人签字确认后，对双方具有约束力，双方应遵照执行。</w:t>
      </w:r>
    </w:p>
    <w:p w14:paraId="059F751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任何一方当事人不接受争议评审小组决定或不履行争议评审小组决定的，双方可选择采用其他争议解决方式。</w:t>
      </w:r>
    </w:p>
    <w:p w14:paraId="4B1CF4B4">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898" w:name="_Toc351203630"/>
      <w:bookmarkStart w:id="899" w:name="_Toc296346651"/>
      <w:bookmarkStart w:id="900" w:name="_Toc296503150"/>
      <w:bookmarkStart w:id="901" w:name="_Toc337558844"/>
      <w:r>
        <w:rPr>
          <w:rFonts w:hint="eastAsia" w:ascii="宋体" w:hAnsi="宋体" w:eastAsia="宋体" w:cs="宋体"/>
          <w:b w:val="0"/>
          <w:color w:val="000000"/>
          <w:sz w:val="24"/>
          <w:szCs w:val="24"/>
          <w:highlight w:val="none"/>
        </w:rPr>
        <w:t>20.4仲裁或诉讼</w:t>
      </w:r>
      <w:bookmarkEnd w:id="898"/>
    </w:p>
    <w:bookmarkEnd w:id="899"/>
    <w:bookmarkEnd w:id="900"/>
    <w:bookmarkEnd w:id="901"/>
    <w:p w14:paraId="4C5A238D">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因合同及合同有关事项产生的争议，合同当事人可以在专用合同条款中约定以下一种方式解决争议：</w:t>
      </w:r>
    </w:p>
    <w:p w14:paraId="78981E6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（1）向约定的仲裁委员会申请仲裁；</w:t>
      </w:r>
    </w:p>
    <w:p w14:paraId="775ABD3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（2）向有管辖权的人民法院起诉。</w:t>
      </w:r>
    </w:p>
    <w:p w14:paraId="246AEE42">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b w:val="0"/>
          <w:color w:val="000000"/>
          <w:sz w:val="24"/>
          <w:szCs w:val="24"/>
          <w:highlight w:val="none"/>
        </w:rPr>
      </w:pPr>
      <w:bookmarkStart w:id="902" w:name="_Toc351203631"/>
      <w:bookmarkStart w:id="903" w:name="_Toc337558845"/>
      <w:bookmarkStart w:id="904" w:name="_Toc296503152"/>
      <w:bookmarkStart w:id="905" w:name="_Toc296346653"/>
      <w:r>
        <w:rPr>
          <w:rFonts w:hint="eastAsia" w:ascii="宋体" w:hAnsi="宋体" w:eastAsia="宋体" w:cs="宋体"/>
          <w:b w:val="0"/>
          <w:color w:val="000000"/>
          <w:sz w:val="24"/>
          <w:szCs w:val="24"/>
          <w:highlight w:val="none"/>
        </w:rPr>
        <w:t>20.5争议解决条款效力</w:t>
      </w:r>
      <w:bookmarkEnd w:id="902"/>
    </w:p>
    <w:bookmarkEnd w:id="903"/>
    <w:bookmarkEnd w:id="904"/>
    <w:bookmarkEnd w:id="905"/>
    <w:p w14:paraId="160B3481">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合同有关争议解决的条款独立存在，合同的变更、解除、终止、无效或者被撤销均不影响其效力。 </w:t>
      </w:r>
    </w:p>
    <w:p w14:paraId="6212E3F6">
      <w:pPr>
        <w:pStyle w:val="6"/>
        <w:pageBreakBefore w:val="0"/>
        <w:widowControl w:val="0"/>
        <w:kinsoku/>
        <w:wordWrap/>
        <w:overflowPunct/>
        <w:topLinePunct w:val="0"/>
        <w:bidi w:val="0"/>
        <w:snapToGrid/>
        <w:spacing w:line="480" w:lineRule="exact"/>
        <w:jc w:val="center"/>
        <w:textAlignment w:val="auto"/>
        <w:rPr>
          <w:rFonts w:hint="eastAsia" w:ascii="宋体" w:hAnsi="宋体" w:eastAsia="宋体" w:cs="宋体"/>
          <w:sz w:val="24"/>
          <w:szCs w:val="24"/>
          <w:highlight w:val="none"/>
        </w:rPr>
      </w:pPr>
      <w:bookmarkStart w:id="906" w:name="_Toc351203632"/>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第三部分 专用合同条款</w:t>
      </w:r>
      <w:bookmarkEnd w:id="906"/>
    </w:p>
    <w:p w14:paraId="26183669">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907" w:name="_Toc351203633"/>
      <w:r>
        <w:rPr>
          <w:rFonts w:hint="eastAsia" w:ascii="宋体" w:hAnsi="宋体" w:eastAsia="宋体" w:cs="宋体"/>
          <w:b w:val="0"/>
          <w:color w:val="000000"/>
          <w:sz w:val="24"/>
          <w:szCs w:val="24"/>
          <w:highlight w:val="none"/>
        </w:rPr>
        <w:t>1</w:t>
      </w:r>
      <w:bookmarkStart w:id="908" w:name="_Toc296346657"/>
      <w:bookmarkStart w:id="909" w:name="_Toc297120456"/>
      <w:bookmarkStart w:id="910" w:name="_Toc292559361"/>
      <w:bookmarkStart w:id="911" w:name="_Toc292559866"/>
      <w:bookmarkStart w:id="912" w:name="_Toc296347155"/>
      <w:bookmarkStart w:id="913" w:name="_Toc296890984"/>
      <w:bookmarkStart w:id="914" w:name="_Toc296944495"/>
      <w:bookmarkStart w:id="915" w:name="_Toc296891196"/>
      <w:bookmarkStart w:id="916" w:name="_Toc296503156"/>
      <w:bookmarkStart w:id="917" w:name="_Toc297048342"/>
      <w:r>
        <w:rPr>
          <w:rFonts w:hint="eastAsia" w:ascii="宋体" w:hAnsi="宋体" w:eastAsia="宋体" w:cs="宋体"/>
          <w:b w:val="0"/>
          <w:color w:val="000000"/>
          <w:sz w:val="24"/>
          <w:szCs w:val="24"/>
          <w:highlight w:val="none"/>
        </w:rPr>
        <w:t>. 一般约定</w:t>
      </w:r>
      <w:bookmarkEnd w:id="907"/>
    </w:p>
    <w:bookmarkEnd w:id="908"/>
    <w:bookmarkEnd w:id="909"/>
    <w:bookmarkEnd w:id="910"/>
    <w:bookmarkEnd w:id="911"/>
    <w:bookmarkEnd w:id="912"/>
    <w:bookmarkEnd w:id="913"/>
    <w:bookmarkEnd w:id="914"/>
    <w:bookmarkEnd w:id="915"/>
    <w:bookmarkEnd w:id="916"/>
    <w:bookmarkEnd w:id="917"/>
    <w:p w14:paraId="154DA68A">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 词语定义</w:t>
      </w:r>
    </w:p>
    <w:p w14:paraId="187C4F4F">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1.1.1合同</w:t>
      </w:r>
    </w:p>
    <w:p w14:paraId="4BDDAAD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1.1.1.10其他合同文件包括：</w:t>
      </w:r>
      <w:r>
        <w:rPr>
          <w:rFonts w:hint="eastAsia" w:ascii="宋体" w:hAnsi="宋体" w:eastAsia="宋体" w:cs="宋体"/>
          <w:color w:val="000000"/>
          <w:sz w:val="24"/>
          <w:szCs w:val="24"/>
          <w:highlight w:val="none"/>
          <w:u w:val="single"/>
        </w:rPr>
        <w:t xml:space="preserve">(1)合同协议书；(2)中标通知书；(3)本工程施工招标文件（含招标文件附件、招标文件补充）；(4)投标书及其附件（含承包人在评标期间递交和确认并经业主同意的对有关问题的补充资料和澄清文件等）；(5)合同专用条款（含数据表和招标文件补充答疑书中与此有关的部分）；(6)合同通用条款；(7)标准、规范及有关技术文件（含招标文件补充答疑书中与此有关的部分）；(8)图纸（含招标文件补充答疑书中与此有关的部分）；(9)工程量清单；(10)工程报价书。双方有关工程的洽谈、变更等书面协议或文件均视为本合同的组成部分。  </w:t>
      </w:r>
      <w:r>
        <w:rPr>
          <w:rFonts w:hint="eastAsia" w:ascii="宋体" w:hAnsi="宋体" w:eastAsia="宋体" w:cs="宋体"/>
          <w:color w:val="000000"/>
          <w:sz w:val="24"/>
          <w:szCs w:val="24"/>
          <w:highlight w:val="none"/>
        </w:rPr>
        <w:t>。</w:t>
      </w:r>
    </w:p>
    <w:p w14:paraId="4B7D664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合同当事人及其他相关方</w:t>
      </w:r>
    </w:p>
    <w:p w14:paraId="5F0CA37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1.1.2.4监理人：</w:t>
      </w:r>
    </w:p>
    <w:p w14:paraId="1E92518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名    称：</w:t>
      </w:r>
      <w:r>
        <w:rPr>
          <w:rFonts w:hint="eastAsia" w:ascii="宋体" w:hAnsi="宋体" w:eastAsia="宋体" w:cs="宋体"/>
          <w:color w:val="000000"/>
          <w:sz w:val="24"/>
          <w:szCs w:val="24"/>
          <w:highlight w:val="none"/>
          <w:u w:val="single"/>
        </w:rPr>
        <w:t xml:space="preserve">                </w:t>
      </w:r>
      <w:r>
        <w:rPr>
          <w:rFonts w:hint="eastAsia" w:ascii="宋体" w:hAnsi="宋体" w:eastAsia="宋体" w:cs="宋体"/>
          <w:color w:val="000000"/>
          <w:sz w:val="24"/>
          <w:szCs w:val="24"/>
          <w:highlight w:val="none"/>
        </w:rPr>
        <w:t>；</w:t>
      </w:r>
    </w:p>
    <w:p w14:paraId="28D4839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资质类别和等级：</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51F7CE3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2A9B6C1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电子信箱：</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15F1526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通信地址：</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5917C9C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1.1.2.5 设计人：</w:t>
      </w:r>
    </w:p>
    <w:p w14:paraId="4FFE135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名    称：</w:t>
      </w:r>
      <w:r>
        <w:rPr>
          <w:rFonts w:hint="eastAsia" w:ascii="宋体" w:hAnsi="宋体" w:eastAsia="宋体" w:cs="宋体"/>
          <w:color w:val="000000"/>
          <w:sz w:val="24"/>
          <w:szCs w:val="24"/>
          <w:highlight w:val="none"/>
          <w:u w:val="single"/>
        </w:rPr>
        <w:t xml:space="preserve">                 </w:t>
      </w:r>
      <w:r>
        <w:rPr>
          <w:rFonts w:hint="eastAsia" w:ascii="宋体" w:hAnsi="宋体" w:eastAsia="宋体" w:cs="宋体"/>
          <w:color w:val="000000"/>
          <w:sz w:val="24"/>
          <w:szCs w:val="24"/>
          <w:highlight w:val="none"/>
        </w:rPr>
        <w:t>；</w:t>
      </w:r>
    </w:p>
    <w:p w14:paraId="6EF301D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资质类别和等级：</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10E7304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3BAEDA5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电子信箱：</w:t>
      </w:r>
      <w:r>
        <w:rPr>
          <w:rFonts w:hint="eastAsia" w:ascii="宋体" w:hAnsi="宋体" w:eastAsia="宋体" w:cs="宋体"/>
          <w:color w:val="000000"/>
          <w:sz w:val="24"/>
          <w:szCs w:val="24"/>
          <w:highlight w:val="none"/>
          <w:u w:val="single"/>
        </w:rPr>
        <w:t xml:space="preserve">                    </w:t>
      </w:r>
      <w:r>
        <w:rPr>
          <w:rFonts w:hint="eastAsia" w:ascii="宋体" w:hAnsi="宋体" w:eastAsia="宋体" w:cs="宋体"/>
          <w:color w:val="000000"/>
          <w:sz w:val="24"/>
          <w:szCs w:val="24"/>
          <w:highlight w:val="none"/>
        </w:rPr>
        <w:t>；</w:t>
      </w:r>
    </w:p>
    <w:p w14:paraId="2E8D9FA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通信地址：</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332722B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1.1.2.6造价单位：造价单位由甲乙双方共同确认</w:t>
      </w:r>
    </w:p>
    <w:p w14:paraId="4923760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名    称：</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 xml:space="preserve"> ；</w:t>
      </w:r>
    </w:p>
    <w:p w14:paraId="0C7E8EB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资质类别和等级：</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 xml:space="preserve">  ；</w:t>
      </w:r>
    </w:p>
    <w:p w14:paraId="766DA8A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 xml:space="preserve"> ；</w:t>
      </w:r>
    </w:p>
    <w:p w14:paraId="58941B7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电子信箱：</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 xml:space="preserve"> ；</w:t>
      </w:r>
    </w:p>
    <w:p w14:paraId="3960453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通信地址：</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20EBA23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 工程和设备</w:t>
      </w:r>
    </w:p>
    <w:p w14:paraId="3BD528F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1.1.3.7 作为施工现场组成部分的其他场所包括：</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rPr>
        <w:t>。</w:t>
      </w:r>
    </w:p>
    <w:p w14:paraId="0598833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1.1.3.9 永久占地包括：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kern w:val="0"/>
          <w:sz w:val="24"/>
          <w:szCs w:val="24"/>
          <w:highlight w:val="none"/>
        </w:rPr>
        <w:t>。</w:t>
      </w:r>
    </w:p>
    <w:p w14:paraId="6D3627B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1.1.3.10 临时占地包括：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kern w:val="0"/>
          <w:sz w:val="24"/>
          <w:szCs w:val="24"/>
          <w:highlight w:val="none"/>
        </w:rPr>
        <w:t>。</w:t>
      </w:r>
    </w:p>
    <w:p w14:paraId="5E652397">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1.3法律 </w:t>
      </w:r>
    </w:p>
    <w:p w14:paraId="6FB4231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适用于合同的其他规范性文件：</w:t>
      </w:r>
      <w:r>
        <w:rPr>
          <w:rFonts w:hint="eastAsia" w:ascii="宋体" w:hAnsi="宋体" w:eastAsia="宋体" w:cs="宋体"/>
          <w:color w:val="000000"/>
          <w:sz w:val="24"/>
          <w:szCs w:val="24"/>
          <w:highlight w:val="none"/>
          <w:u w:val="single"/>
        </w:rPr>
        <w:t xml:space="preserve">《建筑法》、《民法典》、《安全生产法》、《建筑工程质量管理体系》等国家法规及自治区和地方的有关规定 </w:t>
      </w:r>
      <w:r>
        <w:rPr>
          <w:rFonts w:hint="eastAsia" w:ascii="宋体" w:hAnsi="宋体" w:eastAsia="宋体" w:cs="宋体"/>
          <w:color w:val="000000"/>
          <w:sz w:val="24"/>
          <w:szCs w:val="24"/>
          <w:highlight w:val="none"/>
        </w:rPr>
        <w:t>。</w:t>
      </w:r>
    </w:p>
    <w:p w14:paraId="10294B71">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 标准和规范</w:t>
      </w:r>
    </w:p>
    <w:p w14:paraId="61DCBF92">
      <w:pPr>
        <w:pageBreakBefore w:val="0"/>
        <w:widowControl w:val="0"/>
        <w:kinsoku/>
        <w:wordWrap/>
        <w:overflowPunct/>
        <w:topLinePunct w:val="0"/>
        <w:bidi w:val="0"/>
        <w:snapToGrid/>
        <w:spacing w:line="48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000000"/>
          <w:sz w:val="24"/>
          <w:szCs w:val="24"/>
          <w:highlight w:val="none"/>
        </w:rPr>
        <w:t>1.4.1适用于工程的标准规范包括：</w:t>
      </w:r>
      <w:r>
        <w:rPr>
          <w:rFonts w:hint="eastAsia" w:ascii="宋体" w:hAnsi="宋体" w:eastAsia="宋体" w:cs="宋体"/>
          <w:color w:val="000000"/>
          <w:sz w:val="24"/>
          <w:szCs w:val="24"/>
          <w:highlight w:val="none"/>
          <w:u w:val="single"/>
        </w:rPr>
        <w:t>执行施工图内明确的各项技术标准，按</w:t>
      </w:r>
      <w:r>
        <w:rPr>
          <w:rFonts w:hint="eastAsia" w:ascii="宋体" w:hAnsi="宋体" w:eastAsia="宋体" w:cs="宋体"/>
          <w:color w:val="auto"/>
          <w:sz w:val="24"/>
          <w:szCs w:val="24"/>
          <w:highlight w:val="none"/>
          <w:u w:val="single"/>
        </w:rPr>
        <w:t>国家现行的《建筑工程质量验收统一标准》、</w:t>
      </w:r>
      <w:r>
        <w:rPr>
          <w:rFonts w:hint="eastAsia" w:ascii="宋体" w:hAnsi="宋体" w:eastAsia="宋体" w:cs="宋体"/>
          <w:color w:val="auto"/>
          <w:sz w:val="24"/>
          <w:szCs w:val="24"/>
          <w:highlight w:val="none"/>
          <w:u w:val="single"/>
          <w:lang w:val="en-US" w:eastAsia="zh-CN"/>
        </w:rPr>
        <w:t>计价依据按新建标【2016】2号、新建标【2018】6号、新建标【2019】4号</w:t>
      </w:r>
      <w:r>
        <w:rPr>
          <w:rFonts w:hint="eastAsia" w:ascii="宋体" w:hAnsi="宋体" w:eastAsia="宋体" w:cs="宋体"/>
          <w:color w:val="auto"/>
          <w:sz w:val="24"/>
          <w:szCs w:val="24"/>
          <w:highlight w:val="none"/>
          <w:u w:val="single"/>
        </w:rPr>
        <w:t>《建设工程工程量清单计价规范》GB50500-2013、《房屋建筑与装饰工程工程量计算规范》GB50854-2013</w:t>
      </w:r>
      <w:r>
        <w:rPr>
          <w:rFonts w:hint="eastAsia" w:ascii="宋体" w:hAnsi="宋体" w:eastAsia="宋体" w:cs="宋体"/>
          <w:color w:val="auto"/>
          <w:sz w:val="24"/>
          <w:szCs w:val="24"/>
          <w:highlight w:val="none"/>
          <w:u w:val="single"/>
          <w:lang w:val="en-US" w:eastAsia="zh-CN"/>
        </w:rPr>
        <w:t>等文件有关规定执行，计税方式为增值税销项税。</w:t>
      </w:r>
      <w:r>
        <w:rPr>
          <w:rFonts w:hint="eastAsia" w:ascii="宋体" w:hAnsi="宋体" w:eastAsia="宋体" w:cs="宋体"/>
          <w:color w:val="auto"/>
          <w:sz w:val="24"/>
          <w:szCs w:val="24"/>
          <w:highlight w:val="none"/>
          <w:u w:val="single"/>
        </w:rPr>
        <w:t>执行有关工程建设的国家、部、行业和地方标准以及国家现行相应的施工验收规范、规程、质量标准、操作规定、</w:t>
      </w:r>
      <w:r>
        <w:rPr>
          <w:rFonts w:hint="eastAsia" w:ascii="宋体" w:hAnsi="宋体" w:eastAsia="宋体" w:cs="宋体"/>
          <w:color w:val="auto"/>
          <w:sz w:val="24"/>
          <w:szCs w:val="24"/>
          <w:highlight w:val="none"/>
          <w:u w:val="single"/>
          <w:lang w:eastAsia="zh-CN"/>
        </w:rPr>
        <w:t>取费标准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税金计算</w:t>
      </w:r>
      <w:r>
        <w:rPr>
          <w:rFonts w:hint="eastAsia" w:ascii="宋体" w:hAnsi="宋体" w:eastAsia="宋体" w:cs="宋体"/>
          <w:color w:val="auto"/>
          <w:sz w:val="24"/>
          <w:szCs w:val="24"/>
          <w:highlight w:val="none"/>
          <w:u w:val="single"/>
        </w:rPr>
        <w:t>等相关要求验收。</w:t>
      </w:r>
      <w:r>
        <w:rPr>
          <w:rFonts w:hint="eastAsia" w:ascii="宋体" w:hAnsi="宋体" w:eastAsia="宋体" w:cs="宋体"/>
          <w:color w:val="auto"/>
          <w:sz w:val="24"/>
          <w:szCs w:val="24"/>
          <w:highlight w:val="none"/>
          <w:u w:val="single"/>
          <w:lang w:val="en-US" w:eastAsia="zh-CN"/>
        </w:rPr>
        <w:t>地方标准有高于或严于现行国家、部、行业标准的，承包人应熟悉并遵守</w:t>
      </w:r>
    </w:p>
    <w:p w14:paraId="2343B5CD">
      <w:pPr>
        <w:pageBreakBefore w:val="0"/>
        <w:widowControl w:val="0"/>
        <w:kinsoku/>
        <w:wordWrap/>
        <w:overflowPunct/>
        <w:topLinePunct w:val="0"/>
        <w:bidi w:val="0"/>
        <w:snapToGrid/>
        <w:spacing w:line="480" w:lineRule="exact"/>
        <w:ind w:firstLine="480" w:firstLineChars="200"/>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1.4.2 发包人提供国外标准、规范的名称：</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无</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08DCDEE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发包人提供国外标准、规范的份数：</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无</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C973C9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发包人提供国外标准、规范的名称：</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无</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58339F03">
      <w:pPr>
        <w:pageBreakBefore w:val="0"/>
        <w:widowControl w:val="0"/>
        <w:kinsoku/>
        <w:wordWrap/>
        <w:overflowPunct/>
        <w:topLinePunct w:val="0"/>
        <w:bidi w:val="0"/>
        <w:snapToGrid/>
        <w:spacing w:line="480" w:lineRule="exact"/>
        <w:ind w:left="682" w:leftChars="284"/>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1.4.3发包人对工程的技术标准和功能要求的特殊要求：</w:t>
      </w:r>
    </w:p>
    <w:p w14:paraId="48147E3D">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lang w:eastAsia="zh-CN"/>
        </w:rPr>
        <w:t>承包人在施工期间，应遵守公共卫生、安全稳定</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发包人及预防院感等相关部门的要求</w:t>
      </w:r>
      <w:r>
        <w:rPr>
          <w:rFonts w:hint="eastAsia" w:ascii="宋体" w:hAnsi="宋体" w:eastAsia="宋体" w:cs="宋体"/>
          <w:color w:val="000000"/>
          <w:sz w:val="24"/>
          <w:szCs w:val="24"/>
          <w:highlight w:val="none"/>
        </w:rPr>
        <w:t>。</w:t>
      </w:r>
    </w:p>
    <w:p w14:paraId="549CD5F4">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 合同文件的优先顺序</w:t>
      </w:r>
    </w:p>
    <w:p w14:paraId="710B697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合同文件组成及优先顺序为：</w:t>
      </w:r>
      <w:r>
        <w:rPr>
          <w:rFonts w:hint="eastAsia" w:ascii="宋体" w:hAnsi="宋体" w:eastAsia="宋体" w:cs="宋体"/>
          <w:color w:val="000000"/>
          <w:sz w:val="24"/>
          <w:szCs w:val="24"/>
          <w:highlight w:val="none"/>
          <w:u w:val="single"/>
        </w:rPr>
        <w:t>(1)合同协议书；(2)中标通知书；(3)本工程施工招标文件（含招标文件附件、招标文件补充）；(4)投标书及其附件（含承包人在评标期间递交和确认并经业主同意的对有关问题的补充资料和澄清文件等）；(5)合同专用条款（含数据表和招标文件补充答疑书中与此有关的部分）；(6)合同通用条款；(7)标准、规范及有关技术文件（含招标文件补充答疑书中与此有关的部分）；(8)图纸（含招标文件补充答疑书中与此有关的部分）；(9)工程量清单；(10)工程报价书。双方有关工程的洽谈、变更等书面协议或文件均视为本合同的组成部分。合同双方在合同履行过程中签订的补充协议亦构成合同文件的组成部分，其解释顺序视为其内容与其他合同文件的相互关系而定</w:t>
      </w:r>
      <w:r>
        <w:rPr>
          <w:rFonts w:hint="eastAsia" w:ascii="宋体" w:hAnsi="宋体" w:eastAsia="宋体" w:cs="宋体"/>
          <w:color w:val="000000"/>
          <w:sz w:val="24"/>
          <w:szCs w:val="24"/>
          <w:highlight w:val="none"/>
        </w:rPr>
        <w:t>。</w:t>
      </w:r>
    </w:p>
    <w:p w14:paraId="05D41C50">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 图纸和承包人文件</w:t>
      </w:r>
      <w:r>
        <w:rPr>
          <w:rFonts w:hint="eastAsia" w:ascii="宋体" w:hAnsi="宋体" w:eastAsia="宋体" w:cs="宋体"/>
          <w:color w:val="000000"/>
          <w:sz w:val="24"/>
          <w:szCs w:val="24"/>
          <w:highlight w:val="none"/>
        </w:rPr>
        <w:tab/>
      </w:r>
    </w:p>
    <w:p w14:paraId="50A338B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1.6.1 图纸的提供</w:t>
      </w:r>
    </w:p>
    <w:p w14:paraId="55E98C6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发包人向承包人提供图纸的期限：</w:t>
      </w:r>
      <w:r>
        <w:rPr>
          <w:rFonts w:hint="eastAsia" w:ascii="宋体" w:hAnsi="宋体" w:eastAsia="宋体" w:cs="宋体"/>
          <w:color w:val="000000"/>
          <w:sz w:val="24"/>
          <w:szCs w:val="24"/>
          <w:highlight w:val="none"/>
          <w:u w:val="single"/>
          <w:lang w:eastAsia="zh-CN"/>
        </w:rPr>
        <w:t>开工前</w:t>
      </w:r>
      <w:r>
        <w:rPr>
          <w:rFonts w:hint="eastAsia" w:ascii="宋体" w:hAnsi="宋体" w:eastAsia="宋体" w:cs="宋体"/>
          <w:color w:val="000000"/>
          <w:sz w:val="24"/>
          <w:szCs w:val="24"/>
          <w:highlight w:val="none"/>
          <w:u w:val="single"/>
          <w:lang w:val="en-US" w:eastAsia="zh-CN"/>
        </w:rPr>
        <w:t>7日</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587B762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发包人向承包人提供图纸的数量：</w:t>
      </w:r>
      <w:r>
        <w:rPr>
          <w:rFonts w:hint="eastAsia" w:ascii="宋体" w:hAnsi="宋体" w:eastAsia="宋体" w:cs="宋体"/>
          <w:color w:val="000000"/>
          <w:sz w:val="24"/>
          <w:szCs w:val="24"/>
          <w:highlight w:val="none"/>
          <w:u w:val="single"/>
          <w:lang w:eastAsia="zh-CN"/>
        </w:rPr>
        <w:t>贰套</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w:t>
      </w:r>
    </w:p>
    <w:p w14:paraId="0A0A04D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发包人向承包人提供图纸的内容：</w:t>
      </w:r>
      <w:r>
        <w:rPr>
          <w:rFonts w:hint="eastAsia" w:ascii="宋体" w:hAnsi="宋体" w:eastAsia="宋体" w:cs="宋体"/>
          <w:color w:val="000000"/>
          <w:sz w:val="24"/>
          <w:szCs w:val="24"/>
          <w:highlight w:val="none"/>
          <w:u w:val="single"/>
          <w:lang w:eastAsia="zh-CN"/>
        </w:rPr>
        <w:t>施工图纸</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w:t>
      </w:r>
    </w:p>
    <w:p w14:paraId="7F79320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1.6.4 承包人文件</w:t>
      </w:r>
    </w:p>
    <w:p w14:paraId="6AE490A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需要由承包人提供的文件，包括：</w:t>
      </w:r>
      <w:r>
        <w:rPr>
          <w:rFonts w:hint="eastAsia" w:ascii="宋体" w:hAnsi="宋体" w:eastAsia="宋体" w:cs="宋体"/>
          <w:color w:val="000000"/>
          <w:sz w:val="24"/>
          <w:szCs w:val="24"/>
          <w:highlight w:val="none"/>
          <w:u w:val="single"/>
        </w:rPr>
        <w:t xml:space="preserve">开工前提交进场管理人员名单、联系方式、开工报告、施工组织设计、专项施工方案、施工总进度计划。竣工后提交竣工验收图纸、经济签证、设计变更、工程量清单、竣工验收图纸、竣工结算报告 </w:t>
      </w:r>
      <w:r>
        <w:rPr>
          <w:rFonts w:hint="eastAsia" w:ascii="宋体" w:hAnsi="宋体" w:eastAsia="宋体" w:cs="宋体"/>
          <w:color w:val="000000"/>
          <w:sz w:val="24"/>
          <w:szCs w:val="24"/>
          <w:highlight w:val="none"/>
        </w:rPr>
        <w:t>；</w:t>
      </w:r>
    </w:p>
    <w:p w14:paraId="117FE51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承包人提供的文件的期限为：</w:t>
      </w:r>
      <w:r>
        <w:rPr>
          <w:rFonts w:hint="eastAsia" w:ascii="宋体" w:hAnsi="宋体" w:eastAsia="宋体" w:cs="宋体"/>
          <w:color w:val="000000"/>
          <w:sz w:val="24"/>
          <w:szCs w:val="24"/>
          <w:highlight w:val="none"/>
          <w:u w:val="single"/>
        </w:rPr>
        <w:t>开工前提交的文件应在开工前7日提供，竣工后提交的文件应在竣工验收合格后15日内提供</w:t>
      </w:r>
      <w:r>
        <w:rPr>
          <w:rFonts w:hint="eastAsia" w:ascii="宋体" w:hAnsi="宋体" w:eastAsia="宋体" w:cs="宋体"/>
          <w:color w:val="000000"/>
          <w:sz w:val="24"/>
          <w:szCs w:val="24"/>
          <w:highlight w:val="none"/>
        </w:rPr>
        <w:t>；</w:t>
      </w:r>
    </w:p>
    <w:p w14:paraId="1359727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承包人提供的文件的数量为：</w:t>
      </w:r>
      <w:r>
        <w:rPr>
          <w:rFonts w:hint="eastAsia" w:ascii="宋体" w:hAnsi="宋体" w:eastAsia="宋体" w:cs="宋体"/>
          <w:color w:val="000000"/>
          <w:sz w:val="24"/>
          <w:szCs w:val="24"/>
          <w:highlight w:val="none"/>
          <w:u w:val="single"/>
        </w:rPr>
        <w:t>一式三份</w:t>
      </w:r>
      <w:r>
        <w:rPr>
          <w:rFonts w:hint="eastAsia" w:ascii="宋体" w:hAnsi="宋体" w:eastAsia="宋体" w:cs="宋体"/>
          <w:color w:val="000000"/>
          <w:sz w:val="24"/>
          <w:szCs w:val="24"/>
          <w:highlight w:val="none"/>
        </w:rPr>
        <w:t>；</w:t>
      </w:r>
    </w:p>
    <w:p w14:paraId="065FC8B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承包人提供的文件的形式为：</w:t>
      </w:r>
      <w:r>
        <w:rPr>
          <w:rFonts w:hint="eastAsia" w:ascii="宋体" w:hAnsi="宋体" w:eastAsia="宋体" w:cs="宋体"/>
          <w:color w:val="000000"/>
          <w:sz w:val="24"/>
          <w:szCs w:val="24"/>
          <w:highlight w:val="none"/>
          <w:u w:val="single"/>
        </w:rPr>
        <w:t>纸质、电子</w:t>
      </w:r>
      <w:r>
        <w:rPr>
          <w:rFonts w:hint="eastAsia" w:ascii="宋体" w:hAnsi="宋体" w:eastAsia="宋体" w:cs="宋体"/>
          <w:color w:val="000000"/>
          <w:sz w:val="24"/>
          <w:szCs w:val="24"/>
          <w:highlight w:val="none"/>
        </w:rPr>
        <w:t>；</w:t>
      </w:r>
    </w:p>
    <w:p w14:paraId="107548C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发包人审批承包人文件的期限：</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w:t>
      </w:r>
    </w:p>
    <w:p w14:paraId="7B9C2B5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1.6.5 现场图纸准备</w:t>
      </w:r>
    </w:p>
    <w:p w14:paraId="5EA96D7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关于现场图纸准备的约定：</w:t>
      </w:r>
      <w:r>
        <w:rPr>
          <w:rFonts w:hint="eastAsia" w:ascii="宋体" w:hAnsi="宋体" w:eastAsia="宋体" w:cs="宋体"/>
          <w:color w:val="000000"/>
          <w:sz w:val="24"/>
          <w:szCs w:val="24"/>
          <w:highlight w:val="none"/>
          <w:u w:val="single"/>
        </w:rPr>
        <w:t>施工现场保留</w:t>
      </w:r>
      <w:r>
        <w:rPr>
          <w:rFonts w:hint="eastAsia" w:ascii="宋体" w:hAnsi="宋体" w:eastAsia="宋体" w:cs="宋体"/>
          <w:color w:val="000000"/>
          <w:sz w:val="24"/>
          <w:szCs w:val="24"/>
          <w:highlight w:val="none"/>
          <w:u w:val="single"/>
          <w:lang w:eastAsia="zh-CN"/>
        </w:rPr>
        <w:t>三</w:t>
      </w:r>
      <w:r>
        <w:rPr>
          <w:rFonts w:hint="eastAsia" w:ascii="宋体" w:hAnsi="宋体" w:eastAsia="宋体" w:cs="宋体"/>
          <w:color w:val="000000"/>
          <w:sz w:val="24"/>
          <w:szCs w:val="24"/>
          <w:highlight w:val="none"/>
          <w:u w:val="single"/>
        </w:rPr>
        <w:t>套完整图纸供发包人、监理人及有关人员使用。</w:t>
      </w:r>
      <w:r>
        <w:rPr>
          <w:rFonts w:hint="eastAsia" w:ascii="宋体" w:hAnsi="宋体" w:eastAsia="宋体" w:cs="宋体"/>
          <w:color w:val="000000"/>
          <w:sz w:val="24"/>
          <w:szCs w:val="24"/>
          <w:highlight w:val="none"/>
        </w:rPr>
        <w:t>。</w:t>
      </w:r>
    </w:p>
    <w:p w14:paraId="5839578A">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 联络</w:t>
      </w:r>
    </w:p>
    <w:p w14:paraId="12C7BFC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1.7.1发包人和承包人应当在</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天内将与合同有关的通知、批准、证明、证书、指示、指令、要求、请求、同意、意见、确定和决定等书面函件送达对方当事人。</w:t>
      </w:r>
    </w:p>
    <w:p w14:paraId="3FE2238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1.7.2 发包人接收文件的地点：</w:t>
      </w:r>
      <w:r>
        <w:rPr>
          <w:rFonts w:hint="eastAsia" w:ascii="宋体" w:hAnsi="宋体" w:eastAsia="宋体" w:cs="宋体"/>
          <w:color w:val="000000"/>
          <w:sz w:val="24"/>
          <w:szCs w:val="24"/>
          <w:highlight w:val="none"/>
          <w:u w:val="single"/>
        </w:rPr>
        <w:t>工程所在地</w:t>
      </w:r>
      <w:r>
        <w:rPr>
          <w:rFonts w:hint="eastAsia" w:ascii="宋体" w:hAnsi="宋体" w:eastAsia="宋体" w:cs="宋体"/>
          <w:color w:val="000000"/>
          <w:kern w:val="0"/>
          <w:sz w:val="24"/>
          <w:szCs w:val="24"/>
          <w:highlight w:val="none"/>
        </w:rPr>
        <w:t>；</w:t>
      </w:r>
    </w:p>
    <w:p w14:paraId="142D5F6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发包人指定的接收人为：</w:t>
      </w:r>
      <w:r>
        <w:rPr>
          <w:rFonts w:hint="eastAsia" w:ascii="宋体" w:hAnsi="宋体" w:eastAsia="宋体" w:cs="宋体"/>
          <w:color w:val="000000"/>
          <w:sz w:val="24"/>
          <w:szCs w:val="24"/>
          <w:highlight w:val="none"/>
          <w:u w:val="single"/>
        </w:rPr>
        <w:t>项目办公室 </w:t>
      </w:r>
      <w:r>
        <w:rPr>
          <w:rFonts w:hint="eastAsia" w:ascii="宋体" w:hAnsi="宋体" w:eastAsia="宋体" w:cs="宋体"/>
          <w:color w:val="000000"/>
          <w:kern w:val="0"/>
          <w:sz w:val="24"/>
          <w:szCs w:val="24"/>
          <w:highlight w:val="none"/>
        </w:rPr>
        <w:t>。</w:t>
      </w:r>
    </w:p>
    <w:p w14:paraId="3E776A7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承包人接收文件的地点：</w:t>
      </w:r>
      <w:r>
        <w:rPr>
          <w:rFonts w:hint="eastAsia" w:ascii="宋体" w:hAnsi="宋体" w:eastAsia="宋体" w:cs="宋体"/>
          <w:color w:val="000000"/>
          <w:sz w:val="24"/>
          <w:szCs w:val="24"/>
          <w:highlight w:val="none"/>
          <w:u w:val="single"/>
        </w:rPr>
        <w:t>工程所在地</w:t>
      </w:r>
      <w:r>
        <w:rPr>
          <w:rFonts w:hint="eastAsia" w:ascii="宋体" w:hAnsi="宋体" w:eastAsia="宋体" w:cs="宋体"/>
          <w:color w:val="000000"/>
          <w:kern w:val="0"/>
          <w:sz w:val="24"/>
          <w:szCs w:val="24"/>
          <w:highlight w:val="none"/>
        </w:rPr>
        <w:t>；</w:t>
      </w:r>
    </w:p>
    <w:p w14:paraId="227B65C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承包人指定的接收人为：</w:t>
      </w:r>
      <w:r>
        <w:rPr>
          <w:rFonts w:hint="eastAsia" w:ascii="宋体" w:hAnsi="宋体" w:eastAsia="宋体" w:cs="宋体"/>
          <w:color w:val="000000"/>
          <w:sz w:val="24"/>
          <w:szCs w:val="24"/>
          <w:highlight w:val="none"/>
          <w:u w:val="single"/>
        </w:rPr>
        <w:t>工程所在地</w:t>
      </w:r>
      <w:r>
        <w:rPr>
          <w:rFonts w:hint="eastAsia" w:ascii="宋体" w:hAnsi="宋体" w:eastAsia="宋体" w:cs="宋体"/>
          <w:color w:val="000000"/>
          <w:kern w:val="0"/>
          <w:sz w:val="24"/>
          <w:szCs w:val="24"/>
          <w:highlight w:val="none"/>
        </w:rPr>
        <w:t>。</w:t>
      </w:r>
    </w:p>
    <w:p w14:paraId="607309F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监理人接收文件的地点：</w:t>
      </w:r>
      <w:r>
        <w:rPr>
          <w:rFonts w:hint="eastAsia" w:ascii="宋体" w:hAnsi="宋体" w:eastAsia="宋体" w:cs="宋体"/>
          <w:color w:val="000000"/>
          <w:sz w:val="24"/>
          <w:szCs w:val="24"/>
          <w:highlight w:val="none"/>
          <w:u w:val="single"/>
        </w:rPr>
        <w:t>工程所在地  </w:t>
      </w:r>
      <w:r>
        <w:rPr>
          <w:rFonts w:hint="eastAsia" w:ascii="宋体" w:hAnsi="宋体" w:eastAsia="宋体" w:cs="宋体"/>
          <w:color w:val="000000"/>
          <w:kern w:val="0"/>
          <w:sz w:val="24"/>
          <w:szCs w:val="24"/>
          <w:highlight w:val="none"/>
        </w:rPr>
        <w:t>；</w:t>
      </w:r>
    </w:p>
    <w:p w14:paraId="719F2BD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监理人指定的接收人为：</w:t>
      </w:r>
      <w:r>
        <w:rPr>
          <w:rFonts w:hint="eastAsia" w:ascii="宋体" w:hAnsi="宋体" w:eastAsia="宋体" w:cs="宋体"/>
          <w:color w:val="000000"/>
          <w:sz w:val="24"/>
          <w:szCs w:val="24"/>
          <w:highlight w:val="none"/>
          <w:u w:val="single"/>
        </w:rPr>
        <w:t>总监或总监代</w:t>
      </w:r>
      <w:r>
        <w:rPr>
          <w:rFonts w:hint="eastAsia" w:ascii="宋体" w:hAnsi="宋体" w:eastAsia="宋体" w:cs="宋体"/>
          <w:color w:val="000000"/>
          <w:sz w:val="24"/>
          <w:szCs w:val="24"/>
          <w:highlight w:val="none"/>
          <w:u w:val="single"/>
          <w:lang w:eastAsia="zh-CN"/>
        </w:rPr>
        <w:t>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w:t>
      </w:r>
    </w:p>
    <w:p w14:paraId="62DABEC7">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1.10 交通运输</w:t>
      </w:r>
    </w:p>
    <w:p w14:paraId="361D3702">
      <w:pPr>
        <w:pageBreakBefore w:val="0"/>
        <w:widowControl w:val="0"/>
        <w:kinsoku/>
        <w:wordWrap/>
        <w:overflowPunct/>
        <w:topLinePunct w:val="0"/>
        <w:bidi w:val="0"/>
        <w:snapToGrid/>
        <w:spacing w:line="480" w:lineRule="exact"/>
        <w:ind w:firstLine="480" w:firstLineChars="200"/>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1</w:t>
      </w:r>
      <w:bookmarkStart w:id="918" w:name="_Toc300934943"/>
      <w:bookmarkStart w:id="919" w:name="_Toc304295521"/>
      <w:bookmarkStart w:id="920" w:name="_Toc312677986"/>
      <w:bookmarkStart w:id="921" w:name="_Toc303539100"/>
      <w:bookmarkStart w:id="922" w:name="_Toc318581155"/>
      <w:r>
        <w:rPr>
          <w:rFonts w:hint="eastAsia" w:ascii="宋体" w:hAnsi="宋体" w:eastAsia="宋体" w:cs="宋体"/>
          <w:sz w:val="24"/>
          <w:szCs w:val="24"/>
          <w:highlight w:val="none"/>
        </w:rPr>
        <w:t>.10.1 出入现场的权利</w:t>
      </w:r>
    </w:p>
    <w:p w14:paraId="1DF60541">
      <w:pPr>
        <w:pageBreakBefore w:val="0"/>
        <w:widowControl w:val="0"/>
        <w:kinsoku/>
        <w:wordWrap/>
        <w:overflowPunct/>
        <w:topLinePunct w:val="0"/>
        <w:bidi w:val="0"/>
        <w:snapToGrid/>
        <w:spacing w:line="48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关于出入现场的权利的约定：</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lang w:val="en-US" w:eastAsia="zh-CN"/>
        </w:rPr>
        <w:t>1.10.1款</w:t>
      </w:r>
      <w:r>
        <w:rPr>
          <w:rFonts w:hint="eastAsia" w:ascii="宋体" w:hAnsi="宋体" w:eastAsia="宋体" w:cs="宋体"/>
          <w:color w:val="000000"/>
          <w:sz w:val="24"/>
          <w:szCs w:val="24"/>
          <w:highlight w:val="none"/>
          <w:u w:val="single"/>
        </w:rPr>
        <w:t></w:t>
      </w:r>
      <w:r>
        <w:rPr>
          <w:rFonts w:hint="eastAsia" w:ascii="宋体" w:hAnsi="宋体" w:eastAsia="宋体" w:cs="宋体"/>
          <w:sz w:val="24"/>
          <w:szCs w:val="24"/>
          <w:highlight w:val="none"/>
        </w:rPr>
        <w:t>。</w:t>
      </w:r>
    </w:p>
    <w:bookmarkEnd w:id="918"/>
    <w:bookmarkEnd w:id="919"/>
    <w:bookmarkEnd w:id="920"/>
    <w:bookmarkEnd w:id="921"/>
    <w:bookmarkEnd w:id="922"/>
    <w:p w14:paraId="654EA58C">
      <w:pPr>
        <w:pageBreakBefore w:val="0"/>
        <w:widowControl w:val="0"/>
        <w:kinsoku/>
        <w:wordWrap/>
        <w:overflowPunct/>
        <w:topLinePunct w:val="0"/>
        <w:bidi w:val="0"/>
        <w:snapToGrid/>
        <w:spacing w:line="480" w:lineRule="exact"/>
        <w:ind w:firstLine="480" w:firstLineChars="200"/>
        <w:jc w:val="left"/>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1</w:t>
      </w:r>
      <w:bookmarkStart w:id="923" w:name="_Toc312677987"/>
      <w:bookmarkStart w:id="924" w:name="_Toc300934944"/>
      <w:bookmarkStart w:id="925" w:name="_Toc303539101"/>
      <w:bookmarkStart w:id="926" w:name="_Toc318581156"/>
      <w:bookmarkStart w:id="927" w:name="_Toc304295522"/>
      <w:r>
        <w:rPr>
          <w:rFonts w:hint="eastAsia" w:ascii="宋体" w:hAnsi="宋体" w:eastAsia="宋体" w:cs="宋体"/>
          <w:sz w:val="24"/>
          <w:szCs w:val="24"/>
          <w:highlight w:val="none"/>
        </w:rPr>
        <w:t>.10.3 场内交通</w:t>
      </w:r>
    </w:p>
    <w:p w14:paraId="616DB92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关于场外交通和场内交通的边界的约定：</w:t>
      </w:r>
      <w:r>
        <w:rPr>
          <w:rFonts w:hint="eastAsia" w:ascii="宋体" w:hAnsi="宋体" w:eastAsia="宋体" w:cs="宋体"/>
          <w:color w:val="000000"/>
          <w:sz w:val="24"/>
          <w:szCs w:val="24"/>
          <w:highlight w:val="none"/>
          <w:u w:val="single"/>
        </w:rPr>
        <w:t>施工现场封闭围挡范围以内为场内交通，范围以外为场外交通</w:t>
      </w:r>
      <w:r>
        <w:rPr>
          <w:rFonts w:hint="eastAsia" w:ascii="宋体" w:hAnsi="宋体" w:eastAsia="宋体" w:cs="宋体"/>
          <w:sz w:val="24"/>
          <w:szCs w:val="24"/>
          <w:highlight w:val="none"/>
        </w:rPr>
        <w:t>。</w:t>
      </w:r>
    </w:p>
    <w:p w14:paraId="34AFD86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关于发包人向承包人免费提供满足工程施工需要的场内道路和交通设施的约定：</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lang w:val="en-US" w:eastAsia="zh-CN"/>
        </w:rPr>
        <w:t>1.10.3款</w:t>
      </w:r>
      <w:r>
        <w:rPr>
          <w:rFonts w:hint="eastAsia" w:ascii="宋体" w:hAnsi="宋体" w:eastAsia="宋体" w:cs="宋体"/>
          <w:color w:val="000000"/>
          <w:sz w:val="24"/>
          <w:szCs w:val="24"/>
          <w:highlight w:val="none"/>
          <w:u w:val="single"/>
        </w:rPr>
        <w:t></w:t>
      </w:r>
      <w:r>
        <w:rPr>
          <w:rFonts w:hint="eastAsia" w:ascii="宋体" w:hAnsi="宋体" w:eastAsia="宋体" w:cs="宋体"/>
          <w:sz w:val="24"/>
          <w:szCs w:val="24"/>
          <w:highlight w:val="none"/>
        </w:rPr>
        <w:t>。</w:t>
      </w:r>
      <w:bookmarkEnd w:id="923"/>
      <w:bookmarkEnd w:id="924"/>
      <w:bookmarkEnd w:id="925"/>
      <w:bookmarkEnd w:id="926"/>
      <w:bookmarkEnd w:id="927"/>
      <w:r>
        <w:rPr>
          <w:rFonts w:hint="eastAsia" w:ascii="宋体" w:hAnsi="宋体" w:eastAsia="宋体" w:cs="宋体"/>
          <w:sz w:val="24"/>
          <w:szCs w:val="24"/>
          <w:highlight w:val="none"/>
        </w:rPr>
        <w:t xml:space="preserve">  </w:t>
      </w:r>
      <w:bookmarkStart w:id="928" w:name="_Toc318581157"/>
    </w:p>
    <w:p w14:paraId="448D90B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1.10.4超大件和超重件的运输</w:t>
      </w:r>
    </w:p>
    <w:p w14:paraId="6512D88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运输超大件或超重件所需的道路和桥梁临时加固改造费用和其他有关费用由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承包人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承担。</w:t>
      </w:r>
    </w:p>
    <w:bookmarkEnd w:id="928"/>
    <w:p w14:paraId="2117F559">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 知识产权</w:t>
      </w:r>
    </w:p>
    <w:p w14:paraId="38E1ABC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发包人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80EF549">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关于发包人提供的上述文件的使用限制的要求：</w:t>
      </w:r>
      <w:r>
        <w:rPr>
          <w:rFonts w:hint="eastAsia" w:ascii="宋体" w:hAnsi="宋体" w:eastAsia="宋体" w:cs="宋体"/>
          <w:color w:val="000000"/>
          <w:sz w:val="24"/>
          <w:szCs w:val="24"/>
          <w:highlight w:val="none"/>
          <w:u w:val="single"/>
        </w:rPr>
        <w:t xml:space="preserve">   承包人不得将发包人提供的上述文件用于与本合同无关的其他任何事项，如用于承揽其他工程、向第三方出售或用于广告宣传等，否则，发包人有权追究承包人的违约责任。   </w:t>
      </w:r>
      <w:r>
        <w:rPr>
          <w:rFonts w:hint="eastAsia" w:ascii="宋体" w:hAnsi="宋体" w:eastAsia="宋体" w:cs="宋体"/>
          <w:color w:val="000000"/>
          <w:sz w:val="24"/>
          <w:szCs w:val="24"/>
          <w:highlight w:val="none"/>
        </w:rPr>
        <w:t>。</w:t>
      </w:r>
    </w:p>
    <w:p w14:paraId="59DC2F1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1.11.2 关于承包人为实施工程所编制文件的著作权的归属：</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发包人</w:t>
      </w:r>
      <w:r>
        <w:rPr>
          <w:rFonts w:hint="eastAsia" w:ascii="宋体" w:hAnsi="宋体" w:eastAsia="宋体" w:cs="宋体"/>
          <w:color w:val="000000"/>
          <w:sz w:val="24"/>
          <w:szCs w:val="24"/>
          <w:highlight w:val="none"/>
        </w:rPr>
        <w:t>。</w:t>
      </w:r>
    </w:p>
    <w:p w14:paraId="2B4164F6">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关于承包人提供的上述文件的使用限制的要求：</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限于本工程使用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773504F7">
      <w:pPr>
        <w:pageBreakBefore w:val="0"/>
        <w:widowControl w:val="0"/>
        <w:kinsoku/>
        <w:wordWrap/>
        <w:overflowPunct/>
        <w:topLinePunct w:val="0"/>
        <w:bidi w:val="0"/>
        <w:snapToGrid/>
        <w:spacing w:line="480" w:lineRule="exact"/>
        <w:ind w:firstLine="480" w:firstLineChars="200"/>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1.11.4 承包人在施工过程中所采用的专利、专有技术、技术秘密的使用费的承担方式：</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w:t>
      </w:r>
    </w:p>
    <w:p w14:paraId="37904893">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1.13工程量清单错误的修正</w:t>
      </w:r>
    </w:p>
    <w:p w14:paraId="33B36D7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出现工程量清单错误时，是否调整合同价格：</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否</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w:t>
      </w:r>
    </w:p>
    <w:p w14:paraId="10E1BC4B">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允许调整合同价格的工程量偏差范围：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w:t>
      </w:r>
    </w:p>
    <w:p w14:paraId="0A7AA899">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929" w:name="_Toc351203634"/>
      <w:r>
        <w:rPr>
          <w:rFonts w:hint="eastAsia" w:ascii="宋体" w:hAnsi="宋体" w:eastAsia="宋体" w:cs="宋体"/>
          <w:b w:val="0"/>
          <w:color w:val="000000"/>
          <w:sz w:val="24"/>
          <w:szCs w:val="24"/>
          <w:highlight w:val="none"/>
        </w:rPr>
        <w:t>2</w:t>
      </w:r>
      <w:bookmarkStart w:id="930" w:name="_Toc297120457"/>
      <w:bookmarkStart w:id="931" w:name="_Toc296891197"/>
      <w:bookmarkStart w:id="932" w:name="_Toc292559362"/>
      <w:bookmarkStart w:id="933" w:name="_Toc296347156"/>
      <w:bookmarkStart w:id="934" w:name="_Toc296890985"/>
      <w:bookmarkStart w:id="935" w:name="_Toc296503157"/>
      <w:bookmarkStart w:id="936" w:name="_Toc292559867"/>
      <w:bookmarkStart w:id="937" w:name="_Toc296944496"/>
      <w:bookmarkStart w:id="938" w:name="_Toc296346658"/>
      <w:bookmarkStart w:id="939" w:name="_Toc297048343"/>
      <w:r>
        <w:rPr>
          <w:rFonts w:hint="eastAsia" w:ascii="宋体" w:hAnsi="宋体" w:eastAsia="宋体" w:cs="宋体"/>
          <w:b w:val="0"/>
          <w:color w:val="000000"/>
          <w:sz w:val="24"/>
          <w:szCs w:val="24"/>
          <w:highlight w:val="none"/>
        </w:rPr>
        <w:t>. 发包人</w:t>
      </w:r>
      <w:bookmarkEnd w:id="929"/>
    </w:p>
    <w:bookmarkEnd w:id="930"/>
    <w:bookmarkEnd w:id="931"/>
    <w:bookmarkEnd w:id="932"/>
    <w:bookmarkEnd w:id="933"/>
    <w:bookmarkEnd w:id="934"/>
    <w:bookmarkEnd w:id="935"/>
    <w:bookmarkEnd w:id="936"/>
    <w:bookmarkEnd w:id="937"/>
    <w:bookmarkEnd w:id="938"/>
    <w:bookmarkEnd w:id="939"/>
    <w:p w14:paraId="27A34932">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发包人代表</w:t>
      </w:r>
    </w:p>
    <w:p w14:paraId="127AFEA9">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发包人代表：</w:t>
      </w:r>
    </w:p>
    <w:p w14:paraId="1E8DD9C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姓    名：</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6BF74C8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身份证号：</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6637162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职    务：</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2783A5C9">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6682EFA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电子信箱：</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0B5D084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通信地址：</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02EC9BC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发包人对发包人代表的授权范围如下：</w:t>
      </w:r>
      <w:r>
        <w:rPr>
          <w:rFonts w:hint="eastAsia" w:ascii="宋体" w:hAnsi="宋体" w:eastAsia="宋体" w:cs="宋体"/>
          <w:color w:val="000000"/>
          <w:sz w:val="24"/>
          <w:szCs w:val="24"/>
          <w:highlight w:val="none"/>
          <w:u w:val="single"/>
        </w:rPr>
        <w:t xml:space="preserve">负责处理合同履行过程中与发包人有关的具体事宜，发包人更换发包人代表的，应提前7天书面通知承包人  </w:t>
      </w:r>
      <w:r>
        <w:rPr>
          <w:rFonts w:hint="eastAsia" w:ascii="宋体" w:hAnsi="宋体" w:eastAsia="宋体" w:cs="宋体"/>
          <w:color w:val="000000"/>
          <w:sz w:val="24"/>
          <w:szCs w:val="24"/>
          <w:highlight w:val="none"/>
        </w:rPr>
        <w:t>。</w:t>
      </w:r>
    </w:p>
    <w:p w14:paraId="28DBBBAB">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 施工现场、施工条件和基础资料的提供</w:t>
      </w:r>
    </w:p>
    <w:p w14:paraId="63A0ADD9">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2.4.1 提供施工现场</w:t>
      </w:r>
    </w:p>
    <w:p w14:paraId="324A4BA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关于发包人移交施工现场的期限要求：</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402CAC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2.4.2 提供施工条件</w:t>
      </w:r>
    </w:p>
    <w:p w14:paraId="1021A4D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关于发包人应负责提供施工所需要的条件，包括：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lang w:val="en-US" w:eastAsia="zh-CN"/>
        </w:rPr>
        <w:t>2.4.2款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370F5C1">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资金来源证明及支付担保</w:t>
      </w:r>
    </w:p>
    <w:p w14:paraId="7610535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发包人提供资金来源证明的期限要求：</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2187C7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发包人是否提供支付担保：</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56CC2C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发包人提供支付担保的形式：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2EAFB1E">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940" w:name="_Toc351203635"/>
      <w:r>
        <w:rPr>
          <w:rFonts w:hint="eastAsia" w:ascii="宋体" w:hAnsi="宋体" w:eastAsia="宋体" w:cs="宋体"/>
          <w:b w:val="0"/>
          <w:color w:val="000000"/>
          <w:sz w:val="24"/>
          <w:szCs w:val="24"/>
          <w:highlight w:val="none"/>
        </w:rPr>
        <w:t>3</w:t>
      </w:r>
      <w:bookmarkStart w:id="941" w:name="_Toc296503158"/>
      <w:bookmarkStart w:id="942" w:name="_Toc296944497"/>
      <w:bookmarkStart w:id="943" w:name="_Toc297120458"/>
      <w:bookmarkStart w:id="944" w:name="_Toc292559363"/>
      <w:bookmarkStart w:id="945" w:name="_Toc296347157"/>
      <w:bookmarkStart w:id="946" w:name="_Toc296346659"/>
      <w:bookmarkStart w:id="947" w:name="_Toc292559868"/>
      <w:bookmarkStart w:id="948" w:name="_Toc296890986"/>
      <w:bookmarkStart w:id="949" w:name="_Toc297048344"/>
      <w:bookmarkStart w:id="950" w:name="_Toc296891198"/>
      <w:r>
        <w:rPr>
          <w:rFonts w:hint="eastAsia" w:ascii="宋体" w:hAnsi="宋体" w:eastAsia="宋体" w:cs="宋体"/>
          <w:b w:val="0"/>
          <w:color w:val="000000"/>
          <w:sz w:val="24"/>
          <w:szCs w:val="24"/>
          <w:highlight w:val="none"/>
        </w:rPr>
        <w:t>. 承包人</w:t>
      </w:r>
      <w:bookmarkEnd w:id="940"/>
    </w:p>
    <w:bookmarkEnd w:id="941"/>
    <w:bookmarkEnd w:id="942"/>
    <w:bookmarkEnd w:id="943"/>
    <w:bookmarkEnd w:id="944"/>
    <w:bookmarkEnd w:id="945"/>
    <w:bookmarkEnd w:id="946"/>
    <w:bookmarkEnd w:id="947"/>
    <w:bookmarkEnd w:id="948"/>
    <w:bookmarkEnd w:id="949"/>
    <w:bookmarkEnd w:id="950"/>
    <w:p w14:paraId="701E00DB">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 承包人的一般义务</w:t>
      </w:r>
    </w:p>
    <w:p w14:paraId="0212DC9E">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（9）</w:t>
      </w:r>
      <w:r>
        <w:rPr>
          <w:rFonts w:hint="eastAsia" w:ascii="宋体" w:hAnsi="宋体" w:eastAsia="宋体" w:cs="宋体"/>
          <w:color w:val="000000"/>
          <w:sz w:val="24"/>
          <w:szCs w:val="24"/>
          <w:highlight w:val="none"/>
        </w:rPr>
        <w:t>承包人提交的竣工资料的内容：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lang w:val="en-US" w:eastAsia="zh-CN"/>
        </w:rPr>
        <w:t>3.1（9）款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3BFFB8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承包人需要提交的竣工资料套数：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6</w:t>
      </w:r>
      <w:r>
        <w:rPr>
          <w:rFonts w:hint="eastAsia" w:ascii="宋体" w:hAnsi="宋体" w:eastAsia="宋体" w:cs="宋体"/>
          <w:color w:val="000000"/>
          <w:sz w:val="24"/>
          <w:szCs w:val="24"/>
          <w:highlight w:val="none"/>
          <w:u w:val="single"/>
          <w:lang w:eastAsia="zh-CN"/>
        </w:rPr>
        <w:t>套</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F7823E8">
      <w:pPr>
        <w:pageBreakBefore w:val="0"/>
        <w:widowControl w:val="0"/>
        <w:kinsoku/>
        <w:wordWrap/>
        <w:overflowPunct/>
        <w:topLinePunct w:val="0"/>
        <w:bidi w:val="0"/>
        <w:snapToGrid/>
        <w:spacing w:line="480" w:lineRule="exact"/>
        <w:ind w:left="730" w:leftChars="304"/>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承包人提交的竣工资料的费用承担：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由承包人承担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96A74A1">
      <w:pPr>
        <w:pageBreakBefore w:val="0"/>
        <w:widowControl w:val="0"/>
        <w:kinsoku/>
        <w:wordWrap/>
        <w:overflowPunct/>
        <w:topLinePunct w:val="0"/>
        <w:bidi w:val="0"/>
        <w:snapToGrid/>
        <w:spacing w:line="480" w:lineRule="exact"/>
        <w:ind w:left="730" w:leftChars="304"/>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承包人提交的竣工资料移交时间：</w:t>
      </w:r>
      <w:r>
        <w:rPr>
          <w:rFonts w:hint="eastAsia" w:ascii="宋体" w:hAnsi="宋体" w:eastAsia="宋体" w:cs="宋体"/>
          <w:color w:val="000000"/>
          <w:sz w:val="24"/>
          <w:szCs w:val="24"/>
          <w:highlight w:val="none"/>
          <w:u w:val="single"/>
        </w:rPr>
        <w:t>竣工验收合格之日起60天内</w:t>
      </w:r>
      <w:r>
        <w:rPr>
          <w:rFonts w:hint="eastAsia" w:ascii="宋体" w:hAnsi="宋体" w:eastAsia="宋体" w:cs="宋体"/>
          <w:color w:val="000000"/>
          <w:sz w:val="24"/>
          <w:szCs w:val="24"/>
          <w:highlight w:val="none"/>
        </w:rPr>
        <w:t>。</w:t>
      </w:r>
    </w:p>
    <w:p w14:paraId="52847A2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承包人提交的竣工资料形式要求：</w:t>
      </w:r>
      <w:r>
        <w:rPr>
          <w:rFonts w:hint="eastAsia" w:ascii="宋体" w:hAnsi="宋体" w:eastAsia="宋体" w:cs="宋体"/>
          <w:color w:val="000000"/>
          <w:sz w:val="24"/>
          <w:szCs w:val="24"/>
          <w:highlight w:val="none"/>
          <w:u w:val="single"/>
        </w:rPr>
        <w:t xml:space="preserve">满足档案主管部门的要求 </w:t>
      </w:r>
      <w:r>
        <w:rPr>
          <w:rFonts w:hint="eastAsia" w:ascii="宋体" w:hAnsi="宋体" w:eastAsia="宋体" w:cs="宋体"/>
          <w:color w:val="000000"/>
          <w:sz w:val="24"/>
          <w:szCs w:val="24"/>
          <w:highlight w:val="none"/>
        </w:rPr>
        <w:t>。</w:t>
      </w:r>
    </w:p>
    <w:p w14:paraId="527088E0">
      <w:pPr>
        <w:pageBreakBefore w:val="0"/>
        <w:widowControl w:val="0"/>
        <w:numPr>
          <w:ilvl w:val="0"/>
          <w:numId w:val="3"/>
        </w:numPr>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kern w:val="0"/>
          <w:sz w:val="24"/>
          <w:szCs w:val="24"/>
          <w:highlight w:val="none"/>
        </w:rPr>
        <w:t>承包人应履行的其他义务：</w:t>
      </w: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u w:val="single"/>
          <w:lang w:val="en-US" w:eastAsia="zh-CN"/>
        </w:rPr>
        <w:t>服从发包人的相关管理，不服从管理的，甲方可单方面解除合同；2.</w:t>
      </w:r>
      <w:r>
        <w:rPr>
          <w:rFonts w:hint="eastAsia" w:ascii="宋体" w:hAnsi="宋体" w:eastAsia="宋体" w:cs="宋体"/>
          <w:color w:val="000000"/>
          <w:sz w:val="24"/>
          <w:szCs w:val="24"/>
          <w:highlight w:val="none"/>
          <w:u w:val="single"/>
        </w:rPr>
        <w:t>承包人应在签订合同协议书后，向监理工程师提交</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份其格式和内容符合监理工程师规定的工程进度计划，以及为完成该计划而建议采用的实施性的施工安排和施工方案的说明。工程进度计划应按照关键线路网络图编绘，并应包括每月预计完成的工作量和</w:t>
      </w:r>
      <w:r>
        <w:rPr>
          <w:rFonts w:hint="eastAsia" w:ascii="宋体" w:hAnsi="宋体" w:eastAsia="宋体" w:cs="宋体"/>
          <w:color w:val="000000"/>
          <w:sz w:val="24"/>
          <w:szCs w:val="24"/>
          <w:highlight w:val="none"/>
          <w:u w:val="single"/>
          <w:lang w:eastAsia="zh-CN"/>
        </w:rPr>
        <w:t>施工</w:t>
      </w:r>
      <w:r>
        <w:rPr>
          <w:rFonts w:hint="eastAsia" w:ascii="宋体" w:hAnsi="宋体" w:eastAsia="宋体" w:cs="宋体"/>
          <w:color w:val="000000"/>
          <w:sz w:val="24"/>
          <w:szCs w:val="24"/>
          <w:highlight w:val="none"/>
          <w:u w:val="single"/>
        </w:rPr>
        <w:t>进度；</w:t>
      </w:r>
    </w:p>
    <w:p w14:paraId="06DD26A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、遵守政府有关主管部门对施工场地安全生产、文明施工、环境保护、扬尘治理等的管理规定，按规定办理有关手续，并以书面形式通知发包人；</w:t>
      </w:r>
    </w:p>
    <w:p w14:paraId="4BFE801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4</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及</w:t>
      </w:r>
      <w:r>
        <w:rPr>
          <w:rFonts w:hint="eastAsia" w:ascii="宋体" w:hAnsi="宋体" w:eastAsia="宋体" w:cs="宋体"/>
          <w:color w:val="000000"/>
          <w:sz w:val="24"/>
          <w:szCs w:val="24"/>
          <w:highlight w:val="none"/>
          <w:u w:val="single"/>
        </w:rPr>
        <w:t>时向发包人提交开</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竣工报告，隐蔽工程验收报告，质量自检记录，交工验收报告及工程事故报告等资料；</w:t>
      </w:r>
    </w:p>
    <w:p w14:paraId="14234FF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5</w:t>
      </w:r>
      <w:r>
        <w:rPr>
          <w:rFonts w:hint="eastAsia" w:ascii="宋体" w:hAnsi="宋体" w:eastAsia="宋体" w:cs="宋体"/>
          <w:color w:val="000000"/>
          <w:sz w:val="24"/>
          <w:szCs w:val="24"/>
          <w:highlight w:val="none"/>
          <w:u w:val="single"/>
        </w:rPr>
        <w:t>、文明施工按照有关部门颁发的文明施工文件执行，施工时不影响交通道路的正常运行和保证</w:t>
      </w:r>
      <w:r>
        <w:rPr>
          <w:rFonts w:hint="eastAsia" w:ascii="宋体" w:hAnsi="宋体" w:eastAsia="宋体" w:cs="宋体"/>
          <w:color w:val="000000"/>
          <w:sz w:val="24"/>
          <w:szCs w:val="24"/>
          <w:highlight w:val="none"/>
          <w:u w:val="single"/>
          <w:lang w:eastAsia="zh-CN"/>
        </w:rPr>
        <w:t>供电、给水、排水供暖等设施正常运行</w:t>
      </w:r>
      <w:r>
        <w:rPr>
          <w:rFonts w:hint="eastAsia" w:ascii="宋体" w:hAnsi="宋体" w:eastAsia="宋体" w:cs="宋体"/>
          <w:color w:val="000000"/>
          <w:sz w:val="24"/>
          <w:szCs w:val="24"/>
          <w:highlight w:val="none"/>
          <w:u w:val="single"/>
        </w:rPr>
        <w:t>，施工区域范围内必须采取封闭措施，搞好环境卫生，并接受有关部门和发包人的检查；</w:t>
      </w:r>
    </w:p>
    <w:p w14:paraId="662ACE9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6</w:t>
      </w:r>
      <w:r>
        <w:rPr>
          <w:rFonts w:hint="eastAsia" w:ascii="宋体" w:hAnsi="宋体" w:eastAsia="宋体" w:cs="宋体"/>
          <w:color w:val="000000"/>
          <w:sz w:val="24"/>
          <w:szCs w:val="24"/>
          <w:highlight w:val="none"/>
          <w:u w:val="single"/>
        </w:rPr>
        <w:t>、必须接受发包人或其委托的监理工程师的监理，并为其开展工作提供方便，按照要求提供完整的原始记录，检测记录等技术、经济资料。</w:t>
      </w:r>
    </w:p>
    <w:p w14:paraId="6BEE7FD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7</w:t>
      </w:r>
      <w:r>
        <w:rPr>
          <w:rFonts w:hint="eastAsia" w:ascii="宋体" w:hAnsi="宋体" w:eastAsia="宋体" w:cs="宋体"/>
          <w:color w:val="000000"/>
          <w:sz w:val="24"/>
          <w:szCs w:val="24"/>
          <w:highlight w:val="none"/>
          <w:u w:val="single"/>
        </w:rPr>
        <w:t>、负责协调施工场内、场外与施工有关的各种关系，办理应由承包人办理的各种证件、批件，由此产生的费用，由</w:t>
      </w:r>
      <w:r>
        <w:rPr>
          <w:rFonts w:hint="eastAsia" w:ascii="宋体" w:hAnsi="宋体" w:eastAsia="宋体" w:cs="宋体"/>
          <w:color w:val="000000"/>
          <w:sz w:val="24"/>
          <w:szCs w:val="24"/>
          <w:highlight w:val="none"/>
          <w:u w:val="single"/>
          <w:lang w:eastAsia="zh-CN"/>
        </w:rPr>
        <w:t>承包人</w:t>
      </w:r>
      <w:r>
        <w:rPr>
          <w:rFonts w:hint="eastAsia" w:ascii="宋体" w:hAnsi="宋体" w:eastAsia="宋体" w:cs="宋体"/>
          <w:color w:val="000000"/>
          <w:sz w:val="24"/>
          <w:szCs w:val="24"/>
          <w:highlight w:val="none"/>
          <w:u w:val="single"/>
        </w:rPr>
        <w:t>承担。</w:t>
      </w:r>
    </w:p>
    <w:p w14:paraId="2952913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8</w:t>
      </w:r>
      <w:r>
        <w:rPr>
          <w:rFonts w:hint="eastAsia" w:ascii="宋体" w:hAnsi="宋体" w:eastAsia="宋体" w:cs="宋体"/>
          <w:color w:val="000000"/>
          <w:sz w:val="24"/>
          <w:szCs w:val="24"/>
          <w:highlight w:val="none"/>
          <w:u w:val="single"/>
        </w:rPr>
        <w:t>、施工防护工作：施工期间承包人须对本工程的及其不能影响到的其他专业工程和现场采取必要的措施进行加固、维护、安全防护和损毁修复，并承担由此发生的一切费用。</w:t>
      </w:r>
    </w:p>
    <w:p w14:paraId="5C0D1C2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9</w:t>
      </w:r>
      <w:r>
        <w:rPr>
          <w:rFonts w:hint="eastAsia" w:ascii="宋体" w:hAnsi="宋体" w:eastAsia="宋体" w:cs="宋体"/>
          <w:color w:val="000000"/>
          <w:sz w:val="24"/>
          <w:szCs w:val="24"/>
          <w:highlight w:val="none"/>
          <w:u w:val="single"/>
        </w:rPr>
        <w:t xml:space="preserve">、工地作业和施工方法：承包人应对工地所有作业和施工方法适当性、可靠性及安全性负责。同时根据施工现场的实际情况建立健全质量保证体系、环境保证体系和职业健康与安全保证体系。 </w:t>
      </w:r>
    </w:p>
    <w:p w14:paraId="6BEECAB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u w:val="single"/>
        </w:rPr>
        <w:t>、对于承包人或其分包人所雇用的工人发生意外事故或伤害和赔偿，应由承包人自行承担。对于此类事故或损害和赔偿，发包人均不予承担任何责任，且发包人不承担涉及此类事故</w:t>
      </w:r>
      <w:r>
        <w:rPr>
          <w:rFonts w:hint="eastAsia" w:ascii="宋体" w:hAnsi="宋体" w:eastAsia="宋体" w:cs="宋体"/>
          <w:color w:val="000000"/>
          <w:sz w:val="24"/>
          <w:szCs w:val="24"/>
          <w:highlight w:val="none"/>
          <w:u w:val="single"/>
          <w:lang w:eastAsia="zh-CN"/>
        </w:rPr>
        <w:t>的</w:t>
      </w:r>
      <w:r>
        <w:rPr>
          <w:rFonts w:hint="eastAsia" w:ascii="宋体" w:hAnsi="宋体" w:eastAsia="宋体" w:cs="宋体"/>
          <w:color w:val="000000"/>
          <w:sz w:val="24"/>
          <w:szCs w:val="24"/>
          <w:highlight w:val="none"/>
          <w:u w:val="single"/>
        </w:rPr>
        <w:t>损害与赔偿或与此有关的索赔、诉讼、损害赔偿、诉讼费、赔偿费及其它所有费用。</w:t>
      </w:r>
    </w:p>
    <w:p w14:paraId="3EBCED5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承包人应当加强工程款管理，做到专款专用，不得拖欠材料、设备货款、农民工和工人工资等费用。监理工程师或发包人对工程款使用情况进行监督检查时，承包人应当积极配合，不得阻扰和拒绝。如承包人发生拖欠农民工工资，侵害农民工合法权益、农民工劳动安全保护欠缺；因欠薪导致的闹事、打斗、死伤、上访等事件，一经查实，发包人责令承包人自行组织资金迅速偿还欠款。</w:t>
      </w:r>
      <w:r>
        <w:rPr>
          <w:rFonts w:hint="eastAsia" w:ascii="宋体" w:hAnsi="宋体" w:eastAsia="宋体" w:cs="宋体"/>
          <w:color w:val="000000"/>
          <w:sz w:val="24"/>
          <w:szCs w:val="24"/>
          <w:highlight w:val="none"/>
          <w:u w:val="single"/>
          <w:lang w:val="en-US" w:eastAsia="zh-CN"/>
        </w:rPr>
        <w:t>发生一次扣除签约合同价款1%—10%违约金。</w:t>
      </w:r>
      <w:r>
        <w:rPr>
          <w:rFonts w:hint="eastAsia" w:ascii="宋体" w:hAnsi="宋体" w:eastAsia="宋体" w:cs="宋体"/>
          <w:color w:val="000000"/>
          <w:sz w:val="24"/>
          <w:szCs w:val="24"/>
          <w:highlight w:val="none"/>
          <w:u w:val="single"/>
        </w:rPr>
        <w:t>对恶意拖欠和拒不按计划偿付时，发包人可以代扣工程款（或保证金），并将有关情况报相关主管部门调查处理</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必要时有权单方解除合同并依法追究承包人的责任。</w:t>
      </w:r>
    </w:p>
    <w:p w14:paraId="7214C6D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、承包人应按照合同实施完成本工程，并在质量保修期内承担</w:t>
      </w:r>
      <w:r>
        <w:rPr>
          <w:rFonts w:hint="eastAsia" w:ascii="宋体" w:hAnsi="宋体" w:eastAsia="宋体" w:cs="宋体"/>
          <w:color w:val="000000"/>
          <w:sz w:val="24"/>
          <w:szCs w:val="24"/>
          <w:highlight w:val="none"/>
          <w:u w:val="single"/>
          <w:lang w:eastAsia="zh-CN"/>
        </w:rPr>
        <w:t>维修</w:t>
      </w:r>
      <w:r>
        <w:rPr>
          <w:rFonts w:hint="eastAsia" w:ascii="宋体" w:hAnsi="宋体" w:eastAsia="宋体" w:cs="宋体"/>
          <w:color w:val="000000"/>
          <w:sz w:val="24"/>
          <w:szCs w:val="24"/>
          <w:highlight w:val="none"/>
          <w:u w:val="single"/>
        </w:rPr>
        <w:t>工程中的任何质量缺陷等。</w:t>
      </w:r>
    </w:p>
    <w:p w14:paraId="6FE9F6C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、依法纳税：承包人应根据政府相关规定，缴纳相关税费，配合发包人做好本工程其它相关工作。</w:t>
      </w:r>
    </w:p>
    <w:p w14:paraId="3C46C68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u w:val="single"/>
          <w:lang w:val="en-US" w:eastAsia="zh-CN"/>
        </w:rPr>
        <w:t>4</w:t>
      </w:r>
      <w:r>
        <w:rPr>
          <w:rFonts w:hint="eastAsia" w:ascii="宋体" w:hAnsi="宋体" w:eastAsia="宋体" w:cs="宋体"/>
          <w:color w:val="000000"/>
          <w:sz w:val="24"/>
          <w:szCs w:val="24"/>
          <w:highlight w:val="none"/>
          <w:u w:val="single"/>
        </w:rPr>
        <w:t>、严格执行建筑节能相关法律法规,在施工</w:t>
      </w:r>
      <w:r>
        <w:rPr>
          <w:rFonts w:hint="eastAsia" w:ascii="宋体" w:hAnsi="宋体" w:eastAsia="宋体" w:cs="宋体"/>
          <w:color w:val="000000"/>
          <w:sz w:val="24"/>
          <w:szCs w:val="24"/>
          <w:highlight w:val="none"/>
          <w:u w:val="single"/>
          <w:lang w:eastAsia="zh-CN"/>
        </w:rPr>
        <w:t>过</w:t>
      </w:r>
      <w:r>
        <w:rPr>
          <w:rFonts w:hint="eastAsia" w:ascii="宋体" w:hAnsi="宋体" w:eastAsia="宋体" w:cs="宋体"/>
          <w:color w:val="000000"/>
          <w:sz w:val="24"/>
          <w:szCs w:val="24"/>
          <w:highlight w:val="none"/>
          <w:u w:val="single"/>
        </w:rPr>
        <w:t>程中节约资源,杜绝浪费。</w:t>
      </w:r>
    </w:p>
    <w:p w14:paraId="6F7CA1D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15、承包人以项目部的名义对外签订任何材料包括但不限于合同、承诺书、担保书等，均需交由甲方审核同意并备案后，方可签署。任何未盖有甲方公司印章或未取得甲方书面授权许可的合同都视为承包人的个人行为，产生的责任由承包人承担，与发包人无关。不论发包人是否同意签署，由此所发生的任何经济、法律责任，均由承包人自行承担，给发包人造成损失的，承包人负责予以赔偿。</w:t>
      </w:r>
    </w:p>
    <w:p w14:paraId="50325AF4">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 项目经理</w:t>
      </w:r>
    </w:p>
    <w:p w14:paraId="24ECA79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 xml:space="preserve">3.2.1 </w:t>
      </w:r>
      <w:r>
        <w:rPr>
          <w:rFonts w:hint="eastAsia" w:ascii="宋体" w:hAnsi="宋体" w:eastAsia="宋体" w:cs="宋体"/>
          <w:color w:val="000000"/>
          <w:sz w:val="24"/>
          <w:szCs w:val="24"/>
          <w:highlight w:val="none"/>
        </w:rPr>
        <w:t>项目经理：</w:t>
      </w:r>
    </w:p>
    <w:p w14:paraId="7374F2C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姓    名：</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62B13D1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身份证号：</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0E5C098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建造师执业资格等级：</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3E1E657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建造师注册证书号：</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28285AC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建造师执业印章号：</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56E5473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安全生产考核合格证书号：</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7916DA5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u w:val="single"/>
        </w:rPr>
        <w:t>         </w:t>
      </w:r>
      <w:r>
        <w:rPr>
          <w:rFonts w:hint="eastAsia" w:ascii="宋体" w:hAnsi="宋体" w:eastAsia="宋体" w:cs="宋体"/>
          <w:color w:val="000000"/>
          <w:sz w:val="24"/>
          <w:szCs w:val="24"/>
          <w:highlight w:val="none"/>
        </w:rPr>
        <w:t>；</w:t>
      </w:r>
    </w:p>
    <w:p w14:paraId="03C6D0F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电子信箱：</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12603BB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通信地址：</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1EE344C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承包人对项目经理的授权范围如下：</w:t>
      </w:r>
      <w:r>
        <w:rPr>
          <w:rFonts w:hint="eastAsia" w:ascii="宋体" w:hAnsi="宋体" w:eastAsia="宋体" w:cs="宋体"/>
          <w:color w:val="000000"/>
          <w:sz w:val="24"/>
          <w:szCs w:val="24"/>
          <w:highlight w:val="none"/>
          <w:u w:val="single"/>
        </w:rPr>
        <w:t xml:space="preserve">全权处理本项目的一切事务 </w:t>
      </w:r>
      <w:r>
        <w:rPr>
          <w:rFonts w:hint="eastAsia" w:ascii="宋体" w:hAnsi="宋体" w:eastAsia="宋体" w:cs="宋体"/>
          <w:color w:val="000000"/>
          <w:sz w:val="24"/>
          <w:szCs w:val="24"/>
          <w:highlight w:val="none"/>
        </w:rPr>
        <w:t>。</w:t>
      </w:r>
    </w:p>
    <w:p w14:paraId="6B57E08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关于</w:t>
      </w:r>
      <w:r>
        <w:rPr>
          <w:rFonts w:hint="eastAsia" w:ascii="宋体" w:hAnsi="宋体" w:eastAsia="宋体" w:cs="宋体"/>
          <w:color w:val="000000"/>
          <w:kern w:val="0"/>
          <w:sz w:val="24"/>
          <w:szCs w:val="24"/>
          <w:highlight w:val="none"/>
          <w:lang w:eastAsia="zh-CN"/>
        </w:rPr>
        <w:t>项目经理、</w:t>
      </w:r>
      <w:r>
        <w:rPr>
          <w:rFonts w:hint="eastAsia" w:ascii="宋体" w:hAnsi="宋体" w:eastAsia="宋体" w:cs="宋体"/>
          <w:color w:val="000000"/>
          <w:kern w:val="0"/>
          <w:sz w:val="24"/>
          <w:szCs w:val="24"/>
          <w:highlight w:val="none"/>
        </w:rPr>
        <w:t>项目技术负责人、施工员、质量员、安全员、材料员、机械员、资料员、劳务员等人员每月在施工现场的时间要求：</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每天</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w:t>
      </w:r>
    </w:p>
    <w:p w14:paraId="670071E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承包人未提交劳动合同，以及没有为项目经理缴纳社会保险证明的违约责任：</w:t>
      </w:r>
      <w:r>
        <w:rPr>
          <w:rFonts w:hint="eastAsia" w:ascii="宋体" w:hAnsi="宋体" w:eastAsia="宋体" w:cs="宋体"/>
          <w:color w:val="000000"/>
          <w:sz w:val="24"/>
          <w:szCs w:val="24"/>
          <w:highlight w:val="none"/>
          <w:u w:val="single"/>
        </w:rPr>
        <w:t xml:space="preserve">  发包人有权要求更换项目经理，由此增加的费用和（或）延误的工期由承包人承担</w:t>
      </w:r>
      <w:r>
        <w:rPr>
          <w:rFonts w:hint="eastAsia" w:ascii="宋体" w:hAnsi="宋体" w:eastAsia="宋体" w:cs="宋体"/>
          <w:color w:val="000000"/>
          <w:sz w:val="24"/>
          <w:szCs w:val="24"/>
          <w:highlight w:val="none"/>
        </w:rPr>
        <w:t>。</w:t>
      </w:r>
    </w:p>
    <w:p w14:paraId="031432D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none"/>
          <w:lang w:eastAsia="zh-CN"/>
        </w:rPr>
      </w:pPr>
      <w:r>
        <w:rPr>
          <w:rFonts w:hint="eastAsia" w:ascii="宋体" w:hAnsi="宋体" w:eastAsia="宋体" w:cs="宋体"/>
          <w:color w:val="000000"/>
          <w:kern w:val="0"/>
          <w:sz w:val="24"/>
          <w:szCs w:val="24"/>
          <w:highlight w:val="none"/>
        </w:rPr>
        <w:t>项目经理</w:t>
      </w:r>
      <w:r>
        <w:rPr>
          <w:rFonts w:hint="eastAsia" w:ascii="宋体" w:hAnsi="宋体" w:eastAsia="宋体" w:cs="宋体"/>
          <w:color w:val="000000"/>
          <w:kern w:val="0"/>
          <w:sz w:val="24"/>
          <w:szCs w:val="24"/>
          <w:highlight w:val="none"/>
          <w:lang w:eastAsia="zh-CN"/>
        </w:rPr>
        <w:t>未经批准，</w:t>
      </w:r>
      <w:r>
        <w:rPr>
          <w:rFonts w:hint="eastAsia" w:ascii="宋体" w:hAnsi="宋体" w:eastAsia="宋体" w:cs="宋体"/>
          <w:color w:val="000000"/>
          <w:kern w:val="0"/>
          <w:sz w:val="24"/>
          <w:szCs w:val="24"/>
          <w:highlight w:val="none"/>
        </w:rPr>
        <w:t>擅自离开施工现场的</w:t>
      </w:r>
      <w:r>
        <w:rPr>
          <w:rFonts w:hint="eastAsia" w:ascii="宋体" w:hAnsi="宋体" w:eastAsia="宋体" w:cs="宋体"/>
          <w:color w:val="000000"/>
          <w:kern w:val="0"/>
          <w:sz w:val="24"/>
          <w:szCs w:val="24"/>
          <w:highlight w:val="none"/>
          <w:lang w:eastAsia="zh-CN"/>
        </w:rPr>
        <w:t>违约责任：</w:t>
      </w:r>
      <w:r>
        <w:rPr>
          <w:rFonts w:hint="eastAsia" w:ascii="宋体" w:hAnsi="宋体" w:eastAsia="宋体" w:cs="宋体"/>
          <w:color w:val="000000"/>
          <w:sz w:val="24"/>
          <w:szCs w:val="24"/>
          <w:highlight w:val="none"/>
          <w:u w:val="single"/>
        </w:rPr>
        <w:t>承包人应向发包人承担3000元</w:t>
      </w:r>
      <w:r>
        <w:rPr>
          <w:rFonts w:hint="eastAsia" w:ascii="宋体" w:hAnsi="宋体" w:eastAsia="宋体" w:cs="宋体"/>
          <w:color w:val="000000"/>
          <w:sz w:val="24"/>
          <w:szCs w:val="24"/>
          <w:highlight w:val="none"/>
          <w:u w:val="single"/>
          <w:lang w:val="en-US" w:eastAsia="zh-CN"/>
        </w:rPr>
        <w:t>/天/次的</w:t>
      </w:r>
      <w:r>
        <w:rPr>
          <w:rFonts w:hint="eastAsia" w:ascii="宋体" w:hAnsi="宋体" w:eastAsia="宋体" w:cs="宋体"/>
          <w:color w:val="000000"/>
          <w:sz w:val="24"/>
          <w:szCs w:val="24"/>
          <w:highlight w:val="none"/>
          <w:u w:val="single"/>
        </w:rPr>
        <w:t>违约金，</w:t>
      </w:r>
      <w:r>
        <w:rPr>
          <w:rFonts w:hint="eastAsia" w:ascii="宋体" w:hAnsi="宋体" w:eastAsia="宋体" w:cs="宋体"/>
          <w:color w:val="000000"/>
          <w:sz w:val="24"/>
          <w:szCs w:val="24"/>
          <w:highlight w:val="none"/>
          <w:u w:val="single"/>
          <w:lang w:val="en-US" w:eastAsia="zh-CN"/>
        </w:rPr>
        <w:t>造成严重后果的，发包人有权要求更换项目经理，</w:t>
      </w:r>
      <w:r>
        <w:rPr>
          <w:rFonts w:hint="eastAsia" w:ascii="宋体" w:hAnsi="宋体" w:eastAsia="宋体" w:cs="宋体"/>
          <w:color w:val="000000"/>
          <w:sz w:val="24"/>
          <w:szCs w:val="24"/>
          <w:highlight w:val="none"/>
          <w:u w:val="single"/>
        </w:rPr>
        <w:t>由此增加的费用和延误的工期由承包人承担</w:t>
      </w:r>
      <w:r>
        <w:rPr>
          <w:rFonts w:hint="eastAsia" w:ascii="宋体" w:hAnsi="宋体" w:eastAsia="宋体" w:cs="宋体"/>
          <w:color w:val="000000"/>
          <w:sz w:val="24"/>
          <w:szCs w:val="24"/>
          <w:highlight w:val="none"/>
          <w:u w:val="none"/>
          <w:lang w:eastAsia="zh-CN"/>
        </w:rPr>
        <w:t>。</w:t>
      </w:r>
    </w:p>
    <w:p w14:paraId="7B3335B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承包人擅自更换项目经理的违约责任：</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lang w:eastAsia="zh-CN"/>
        </w:rPr>
        <w:t>一经发现，</w:t>
      </w:r>
      <w:r>
        <w:rPr>
          <w:rFonts w:hint="eastAsia" w:ascii="宋体" w:hAnsi="宋体" w:eastAsia="宋体" w:cs="宋体"/>
          <w:color w:val="000000"/>
          <w:sz w:val="24"/>
          <w:szCs w:val="24"/>
          <w:highlight w:val="none"/>
          <w:u w:val="single"/>
          <w:lang w:val="en-US" w:eastAsia="zh-CN"/>
        </w:rPr>
        <w:t>承包方承担</w:t>
      </w:r>
      <w:r>
        <w:rPr>
          <w:rFonts w:hint="eastAsia" w:ascii="宋体" w:hAnsi="宋体" w:eastAsia="宋体" w:cs="宋体"/>
          <w:color w:val="000000"/>
          <w:sz w:val="24"/>
          <w:szCs w:val="24"/>
          <w:highlight w:val="none"/>
          <w:u w:val="single"/>
        </w:rPr>
        <w:t>3000元</w:t>
      </w:r>
      <w:r>
        <w:rPr>
          <w:rFonts w:hint="eastAsia" w:ascii="宋体" w:hAnsi="宋体" w:eastAsia="宋体" w:cs="宋体"/>
          <w:color w:val="000000"/>
          <w:sz w:val="24"/>
          <w:szCs w:val="24"/>
          <w:highlight w:val="none"/>
          <w:u w:val="single"/>
          <w:lang w:val="en-US" w:eastAsia="zh-CN"/>
        </w:rPr>
        <w:t>/次的违约金，造成严重后果的，发包人有权并且立即终止合同，承包人应无条件退场，并承担由此造成的一切损失。</w:t>
      </w:r>
    </w:p>
    <w:p w14:paraId="56D5F43C">
      <w:pPr>
        <w:pageBreakBefore w:val="0"/>
        <w:widowControl w:val="0"/>
        <w:kinsoku/>
        <w:wordWrap/>
        <w:overflowPunct/>
        <w:topLinePunct w:val="0"/>
        <w:bidi w:val="0"/>
        <w:snapToGrid/>
        <w:spacing w:line="480" w:lineRule="exac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3.2.4 承包人无正当理由拒绝更换项目经理的违约责任：</w:t>
      </w:r>
      <w:r>
        <w:rPr>
          <w:rFonts w:hint="eastAsia" w:ascii="宋体" w:hAnsi="宋体" w:eastAsia="宋体" w:cs="宋体"/>
          <w:color w:val="000000"/>
          <w:sz w:val="24"/>
          <w:szCs w:val="24"/>
          <w:highlight w:val="none"/>
          <w:u w:val="single"/>
        </w:rPr>
        <w:t xml:space="preserve"> 发包人有权要求更换其认为不称职的项目负责人，承包人必须服从</w:t>
      </w:r>
      <w:r>
        <w:rPr>
          <w:rFonts w:hint="eastAsia" w:ascii="宋体" w:hAnsi="宋体" w:eastAsia="宋体" w:cs="宋体"/>
          <w:color w:val="000000"/>
          <w:sz w:val="24"/>
          <w:szCs w:val="24"/>
          <w:highlight w:val="none"/>
          <w:u w:val="single"/>
          <w:lang w:eastAsia="zh-CN"/>
        </w:rPr>
        <w:t>，否则</w:t>
      </w:r>
      <w:r>
        <w:rPr>
          <w:rFonts w:hint="eastAsia" w:ascii="宋体" w:hAnsi="宋体" w:eastAsia="宋体" w:cs="宋体"/>
          <w:color w:val="000000"/>
          <w:sz w:val="24"/>
          <w:szCs w:val="24"/>
          <w:highlight w:val="none"/>
          <w:u w:val="single"/>
        </w:rPr>
        <w:t>承包人向发包人支付</w:t>
      </w:r>
      <w:r>
        <w:rPr>
          <w:rFonts w:hint="eastAsia" w:ascii="宋体" w:hAnsi="宋体" w:eastAsia="宋体" w:cs="宋体"/>
          <w:color w:val="000000"/>
          <w:sz w:val="24"/>
          <w:szCs w:val="24"/>
          <w:highlight w:val="none"/>
          <w:u w:val="single"/>
          <w:lang w:val="en-US" w:eastAsia="zh-CN"/>
        </w:rPr>
        <w:t>3000元/次</w:t>
      </w:r>
      <w:r>
        <w:rPr>
          <w:rFonts w:hint="eastAsia" w:ascii="宋体" w:hAnsi="宋体" w:eastAsia="宋体" w:cs="宋体"/>
          <w:color w:val="000000"/>
          <w:sz w:val="24"/>
          <w:szCs w:val="24"/>
          <w:highlight w:val="none"/>
          <w:u w:val="single"/>
        </w:rPr>
        <w:t>违约金，直至更换</w:t>
      </w:r>
      <w:r>
        <w:rPr>
          <w:rFonts w:hint="eastAsia" w:ascii="宋体" w:hAnsi="宋体" w:eastAsia="宋体" w:cs="宋体"/>
          <w:color w:val="000000"/>
          <w:sz w:val="24"/>
          <w:szCs w:val="24"/>
          <w:highlight w:val="none"/>
          <w:u w:val="single"/>
          <w:lang w:eastAsia="zh-CN"/>
        </w:rPr>
        <w:t>新的项目负责人，</w:t>
      </w:r>
      <w:r>
        <w:rPr>
          <w:rFonts w:hint="eastAsia" w:ascii="宋体" w:hAnsi="宋体" w:eastAsia="宋体" w:cs="宋体"/>
          <w:color w:val="000000"/>
          <w:sz w:val="24"/>
          <w:szCs w:val="24"/>
          <w:highlight w:val="none"/>
          <w:u w:val="single"/>
          <w:lang w:val="en-US" w:eastAsia="zh-CN"/>
        </w:rPr>
        <w:t>并承担由此造成的一切损失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7F3A10E">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 承包人人员</w:t>
      </w:r>
    </w:p>
    <w:p w14:paraId="53B5A34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3.3.1 承包人提交项目管理机构及施工现场管理人员安排报告的期限：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开工前</w:t>
      </w:r>
      <w:r>
        <w:rPr>
          <w:rFonts w:hint="eastAsia" w:ascii="宋体" w:hAnsi="宋体" w:eastAsia="宋体" w:cs="宋体"/>
          <w:color w:val="000000"/>
          <w:sz w:val="24"/>
          <w:szCs w:val="24"/>
          <w:highlight w:val="none"/>
          <w:u w:val="single"/>
          <w:lang w:val="en-US" w:eastAsia="zh-CN"/>
        </w:rPr>
        <w:t>7日内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FFBE13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3.3.3 承包人无正当理由拒绝撤换主要施工管理人员的违约责任：</w:t>
      </w:r>
      <w:r>
        <w:rPr>
          <w:rFonts w:hint="eastAsia" w:ascii="宋体" w:hAnsi="宋体" w:eastAsia="宋体" w:cs="宋体"/>
          <w:color w:val="000000"/>
          <w:sz w:val="24"/>
          <w:szCs w:val="24"/>
          <w:highlight w:val="none"/>
          <w:u w:val="single"/>
        </w:rPr>
        <w:t xml:space="preserve">  发包人有权要求更换其认为不称职的主要施工管理人员</w:t>
      </w:r>
      <w:r>
        <w:rPr>
          <w:rFonts w:hint="eastAsia" w:ascii="宋体" w:hAnsi="宋体" w:eastAsia="宋体" w:cs="宋体"/>
          <w:color w:val="000000"/>
          <w:sz w:val="24"/>
          <w:szCs w:val="24"/>
          <w:highlight w:val="none"/>
          <w:u w:val="single"/>
          <w:lang w:eastAsia="zh-CN"/>
        </w:rPr>
        <w:t>，并且</w:t>
      </w:r>
      <w:r>
        <w:rPr>
          <w:rFonts w:hint="eastAsia" w:ascii="宋体" w:hAnsi="宋体" w:eastAsia="宋体" w:cs="宋体"/>
          <w:color w:val="000000"/>
          <w:sz w:val="24"/>
          <w:szCs w:val="24"/>
          <w:highlight w:val="none"/>
          <w:u w:val="single"/>
        </w:rPr>
        <w:t>有权停止施工，承包方承担</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000元/次的违约金，直至更换主要施工管理人员</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并承担由此引起的一切后果和损失</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07A1D3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3.3.4 承包人主要施工管理人员离开施工现场的批准要求：</w:t>
      </w:r>
      <w:r>
        <w:rPr>
          <w:rFonts w:hint="eastAsia" w:ascii="宋体" w:hAnsi="宋体" w:eastAsia="宋体" w:cs="宋体"/>
          <w:color w:val="000000"/>
          <w:sz w:val="24"/>
          <w:szCs w:val="24"/>
          <w:highlight w:val="none"/>
          <w:u w:val="single"/>
        </w:rPr>
        <w:t xml:space="preserve">需经监理批准并报发包人同意 </w:t>
      </w:r>
      <w:r>
        <w:rPr>
          <w:rFonts w:hint="eastAsia" w:ascii="宋体" w:hAnsi="宋体" w:eastAsia="宋体" w:cs="宋体"/>
          <w:color w:val="000000"/>
          <w:sz w:val="24"/>
          <w:szCs w:val="24"/>
          <w:highlight w:val="none"/>
        </w:rPr>
        <w:t>。</w:t>
      </w:r>
    </w:p>
    <w:p w14:paraId="7448177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承包人主要施工管理人员擅自离开施工现场的违约责任： </w:t>
      </w:r>
      <w:r>
        <w:rPr>
          <w:rFonts w:hint="eastAsia" w:ascii="宋体" w:hAnsi="宋体" w:eastAsia="宋体" w:cs="宋体"/>
          <w:color w:val="000000"/>
          <w:sz w:val="24"/>
          <w:szCs w:val="24"/>
          <w:highlight w:val="none"/>
          <w:u w:val="single"/>
        </w:rPr>
        <w:t>一经发现处以</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000元/次的违约金 。</w:t>
      </w:r>
    </w:p>
    <w:p w14:paraId="485DC59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3.3.5承包人擅自更换主要施工管理人员的违约责任：</w:t>
      </w:r>
      <w:r>
        <w:rPr>
          <w:rFonts w:hint="eastAsia" w:ascii="宋体" w:hAnsi="宋体" w:eastAsia="宋体" w:cs="宋体"/>
          <w:color w:val="000000"/>
          <w:sz w:val="24"/>
          <w:szCs w:val="24"/>
          <w:highlight w:val="none"/>
          <w:u w:val="single"/>
        </w:rPr>
        <w:t xml:space="preserve"> 承包人在项目实施过程中的项目组织机构人员</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应为投标文件中所报的项目组织机构人员</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并满足本工程建设需要。承包人应拟派强有力的现场管理班子，提供项目技术负责人、施工员、质量员、安全员、材料员、机械员、资料员、劳务员等人员名单，须有相应的资格证或上岗证。投标所报的主要施工管理人员必须与中标后实际施工时人员名单相一致。承包人不得随意擅自更换项目组织机构人员，承包人确需更换项目组织机构人员时，必须征得发包人同意，并应在更换前14日通知发包人和监理人。</w:t>
      </w:r>
      <w:r>
        <w:rPr>
          <w:rFonts w:hint="eastAsia" w:ascii="宋体" w:hAnsi="宋体" w:eastAsia="宋体" w:cs="宋体"/>
          <w:color w:val="000000"/>
          <w:sz w:val="24"/>
          <w:szCs w:val="24"/>
          <w:highlight w:val="none"/>
          <w:u w:val="single"/>
          <w:lang w:eastAsia="zh-CN"/>
        </w:rPr>
        <w:t>擅自更换</w:t>
      </w:r>
      <w:r>
        <w:rPr>
          <w:rFonts w:hint="eastAsia" w:ascii="宋体" w:hAnsi="宋体" w:eastAsia="宋体" w:cs="宋体"/>
          <w:color w:val="000000"/>
          <w:sz w:val="24"/>
          <w:szCs w:val="24"/>
          <w:highlight w:val="none"/>
          <w:u w:val="single"/>
        </w:rPr>
        <w:t>本项目技术负责人、安全员、质检员</w:t>
      </w:r>
      <w:r>
        <w:rPr>
          <w:rFonts w:hint="eastAsia" w:ascii="宋体" w:hAnsi="宋体" w:eastAsia="宋体" w:cs="宋体"/>
          <w:color w:val="000000"/>
          <w:sz w:val="24"/>
          <w:szCs w:val="24"/>
          <w:highlight w:val="none"/>
          <w:u w:val="single"/>
          <w:lang w:eastAsia="zh-CN"/>
        </w:rPr>
        <w:t>的</w:t>
      </w:r>
      <w:r>
        <w:rPr>
          <w:rFonts w:hint="eastAsia" w:ascii="宋体" w:hAnsi="宋体" w:eastAsia="宋体" w:cs="宋体"/>
          <w:color w:val="000000"/>
          <w:sz w:val="24"/>
          <w:szCs w:val="24"/>
          <w:highlight w:val="none"/>
          <w:u w:val="single"/>
        </w:rPr>
        <w:t>，承包人应向发包人支付</w:t>
      </w:r>
      <w:r>
        <w:rPr>
          <w:rFonts w:hint="eastAsia" w:ascii="宋体" w:hAnsi="宋体" w:eastAsia="宋体" w:cs="宋体"/>
          <w:color w:val="000000"/>
          <w:sz w:val="24"/>
          <w:szCs w:val="24"/>
          <w:highlight w:val="none"/>
          <w:u w:val="single"/>
          <w:lang w:val="en-US" w:eastAsia="zh-CN"/>
        </w:rPr>
        <w:t>3000</w:t>
      </w:r>
      <w:r>
        <w:rPr>
          <w:rFonts w:hint="eastAsia" w:ascii="宋体" w:hAnsi="宋体" w:eastAsia="宋体" w:cs="宋体"/>
          <w:color w:val="000000"/>
          <w:sz w:val="24"/>
          <w:szCs w:val="24"/>
          <w:highlight w:val="none"/>
          <w:u w:val="single"/>
        </w:rPr>
        <w:t>元/人次的违约金；</w:t>
      </w:r>
      <w:r>
        <w:rPr>
          <w:rFonts w:hint="eastAsia" w:ascii="宋体" w:hAnsi="宋体" w:eastAsia="宋体" w:cs="宋体"/>
          <w:color w:val="000000"/>
          <w:sz w:val="24"/>
          <w:szCs w:val="24"/>
          <w:highlight w:val="none"/>
          <w:u w:val="single"/>
          <w:lang w:eastAsia="zh-CN"/>
        </w:rPr>
        <w:t>擅自更换</w:t>
      </w:r>
      <w:r>
        <w:rPr>
          <w:rFonts w:hint="eastAsia" w:ascii="宋体" w:hAnsi="宋体" w:eastAsia="宋体" w:cs="宋体"/>
          <w:color w:val="000000"/>
          <w:sz w:val="24"/>
          <w:szCs w:val="24"/>
          <w:highlight w:val="none"/>
          <w:u w:val="single"/>
        </w:rPr>
        <w:t>其他管理人员</w:t>
      </w:r>
      <w:r>
        <w:rPr>
          <w:rFonts w:hint="eastAsia" w:ascii="宋体" w:hAnsi="宋体" w:eastAsia="宋体" w:cs="宋体"/>
          <w:color w:val="000000"/>
          <w:sz w:val="24"/>
          <w:szCs w:val="24"/>
          <w:highlight w:val="none"/>
          <w:u w:val="single"/>
          <w:lang w:eastAsia="zh-CN"/>
        </w:rPr>
        <w:t>的</w:t>
      </w:r>
      <w:r>
        <w:rPr>
          <w:rFonts w:hint="eastAsia" w:ascii="宋体" w:hAnsi="宋体" w:eastAsia="宋体" w:cs="宋体"/>
          <w:color w:val="000000"/>
          <w:sz w:val="24"/>
          <w:szCs w:val="24"/>
          <w:highlight w:val="none"/>
          <w:u w:val="single"/>
        </w:rPr>
        <w:t>，承包人应向发包人支付</w:t>
      </w:r>
      <w:r>
        <w:rPr>
          <w:rFonts w:hint="eastAsia" w:ascii="宋体" w:hAnsi="宋体" w:eastAsia="宋体" w:cs="宋体"/>
          <w:color w:val="000000"/>
          <w:sz w:val="24"/>
          <w:szCs w:val="24"/>
          <w:highlight w:val="none"/>
          <w:u w:val="single"/>
          <w:lang w:val="en-US" w:eastAsia="zh-CN"/>
        </w:rPr>
        <w:t>2000</w:t>
      </w:r>
      <w:r>
        <w:rPr>
          <w:rFonts w:hint="eastAsia" w:ascii="宋体" w:hAnsi="宋体" w:eastAsia="宋体" w:cs="宋体"/>
          <w:color w:val="000000"/>
          <w:sz w:val="24"/>
          <w:szCs w:val="24"/>
          <w:highlight w:val="none"/>
          <w:u w:val="single"/>
        </w:rPr>
        <w:t>元/人次的违约金。如能继续履行职责，发包人应责令承包人撤销其更换决定；如原施工管理人员无法继续履行职责，发包人有权要求审核确认承包人更换的施工管理人员，</w:t>
      </w:r>
      <w:r>
        <w:rPr>
          <w:rFonts w:hint="eastAsia" w:ascii="宋体" w:hAnsi="宋体" w:eastAsia="宋体" w:cs="宋体"/>
          <w:color w:val="000000"/>
          <w:sz w:val="24"/>
          <w:szCs w:val="24"/>
          <w:highlight w:val="none"/>
          <w:u w:val="single"/>
          <w:lang w:eastAsia="zh-CN"/>
        </w:rPr>
        <w:t>承包人</w:t>
      </w:r>
      <w:r>
        <w:rPr>
          <w:rFonts w:hint="eastAsia" w:ascii="宋体" w:hAnsi="宋体" w:eastAsia="宋体" w:cs="宋体"/>
          <w:color w:val="000000"/>
          <w:sz w:val="24"/>
          <w:szCs w:val="24"/>
          <w:highlight w:val="none"/>
          <w:u w:val="single"/>
        </w:rPr>
        <w:t xml:space="preserve">另外承担违约金 </w:t>
      </w:r>
      <w:r>
        <w:rPr>
          <w:rFonts w:hint="eastAsia" w:ascii="宋体" w:hAnsi="宋体" w:eastAsia="宋体" w:cs="宋体"/>
          <w:color w:val="000000"/>
          <w:sz w:val="24"/>
          <w:szCs w:val="24"/>
          <w:highlight w:val="none"/>
          <w:u w:val="single"/>
          <w:lang w:val="en-US" w:eastAsia="zh-CN"/>
        </w:rPr>
        <w:t>2000</w:t>
      </w:r>
      <w:r>
        <w:rPr>
          <w:rFonts w:hint="eastAsia" w:ascii="宋体" w:hAnsi="宋体" w:eastAsia="宋体" w:cs="宋体"/>
          <w:color w:val="000000"/>
          <w:sz w:val="24"/>
          <w:szCs w:val="24"/>
          <w:highlight w:val="none"/>
          <w:u w:val="single"/>
        </w:rPr>
        <w:t>元</w:t>
      </w:r>
      <w:r>
        <w:rPr>
          <w:rFonts w:hint="eastAsia" w:ascii="宋体" w:hAnsi="宋体" w:eastAsia="宋体" w:cs="宋体"/>
          <w:color w:val="000000"/>
          <w:sz w:val="24"/>
          <w:szCs w:val="24"/>
          <w:highlight w:val="none"/>
          <w:u w:val="single"/>
          <w:lang w:val="en-US" w:eastAsia="zh-CN"/>
        </w:rPr>
        <w:t>/次</w:t>
      </w:r>
      <w:r>
        <w:rPr>
          <w:rFonts w:hint="eastAsia" w:ascii="宋体" w:hAnsi="宋体" w:eastAsia="宋体" w:cs="宋体"/>
          <w:color w:val="000000"/>
          <w:sz w:val="24"/>
          <w:szCs w:val="24"/>
          <w:highlight w:val="none"/>
          <w:u w:val="single"/>
        </w:rPr>
        <w:t xml:space="preserve">，由此导致的一切责任由承包人承担；发包人认为必要时，可没收履约保证金，单方解除合同，另行发包  </w:t>
      </w:r>
      <w:r>
        <w:rPr>
          <w:rFonts w:hint="eastAsia" w:ascii="宋体" w:hAnsi="宋体" w:eastAsia="宋体" w:cs="宋体"/>
          <w:color w:val="000000"/>
          <w:sz w:val="24"/>
          <w:szCs w:val="24"/>
          <w:highlight w:val="none"/>
        </w:rPr>
        <w:t>。</w:t>
      </w:r>
    </w:p>
    <w:p w14:paraId="3AD6551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还应执行：</w:t>
      </w:r>
    </w:p>
    <w:p w14:paraId="1352B006">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承包人配置在本工程的造价人员必须根据工程建设进度随时跟踪、收集工程变更及各项经济签证资料，承包人未在规定时间内提供相应资料的，发包人有权不予确认</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且每发生一次</w:t>
      </w:r>
      <w:r>
        <w:rPr>
          <w:rFonts w:hint="eastAsia" w:ascii="宋体" w:hAnsi="宋体" w:eastAsia="宋体" w:cs="宋体"/>
          <w:color w:val="000000"/>
          <w:sz w:val="24"/>
          <w:szCs w:val="24"/>
          <w:highlight w:val="none"/>
          <w:u w:val="single"/>
          <w:lang w:eastAsia="zh-CN"/>
        </w:rPr>
        <w:t>承包人</w:t>
      </w:r>
      <w:r>
        <w:rPr>
          <w:rFonts w:hint="eastAsia" w:ascii="宋体" w:hAnsi="宋体" w:eastAsia="宋体" w:cs="宋体"/>
          <w:color w:val="000000"/>
          <w:sz w:val="24"/>
          <w:szCs w:val="24"/>
          <w:highlight w:val="none"/>
          <w:u w:val="single"/>
        </w:rPr>
        <w:t>向发包人支付</w:t>
      </w:r>
      <w:r>
        <w:rPr>
          <w:rFonts w:hint="eastAsia" w:ascii="宋体" w:hAnsi="宋体" w:eastAsia="宋体" w:cs="宋体"/>
          <w:color w:val="000000"/>
          <w:sz w:val="24"/>
          <w:szCs w:val="24"/>
          <w:highlight w:val="none"/>
          <w:u w:val="single"/>
          <w:lang w:val="en-US" w:eastAsia="zh-CN"/>
        </w:rPr>
        <w:t>3000元/次</w:t>
      </w:r>
      <w:r>
        <w:rPr>
          <w:rFonts w:hint="eastAsia" w:ascii="宋体" w:hAnsi="宋体" w:eastAsia="宋体" w:cs="宋体"/>
          <w:color w:val="000000"/>
          <w:sz w:val="24"/>
          <w:szCs w:val="24"/>
          <w:highlight w:val="none"/>
          <w:u w:val="single"/>
        </w:rPr>
        <w:t>的违约金。并无条件予以纠正，由此造成的一切责任和损失均由承包人承担。</w:t>
      </w:r>
    </w:p>
    <w:p w14:paraId="261BA4D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承包人配备在本工程项目的专职的安全员必须满足国家相关法律法规要求。</w:t>
      </w:r>
    </w:p>
    <w:p w14:paraId="2AA2AFC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尽管承包人已按投标文件中所列的数量派遣了施工管理各类人员，但若监理人或发包人认为这些人员仍不足以适应现场施工的需要并不能保证工程进度时，监理人或发包人有权要求承包人继续增派或雇用这类发包人的指示，不得无故拖延，且每发生一次，向发包人支付</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000元</w:t>
      </w:r>
      <w:r>
        <w:rPr>
          <w:rFonts w:hint="eastAsia" w:ascii="宋体" w:hAnsi="宋体" w:eastAsia="宋体" w:cs="宋体"/>
          <w:color w:val="000000"/>
          <w:sz w:val="24"/>
          <w:szCs w:val="24"/>
          <w:highlight w:val="none"/>
          <w:u w:val="single"/>
          <w:lang w:val="en-US" w:eastAsia="zh-CN"/>
        </w:rPr>
        <w:t>/次</w:t>
      </w:r>
      <w:r>
        <w:rPr>
          <w:rFonts w:hint="eastAsia" w:ascii="宋体" w:hAnsi="宋体" w:eastAsia="宋体" w:cs="宋体"/>
          <w:color w:val="000000"/>
          <w:sz w:val="24"/>
          <w:szCs w:val="24"/>
          <w:highlight w:val="none"/>
          <w:u w:val="single"/>
        </w:rPr>
        <w:t>的违约金，并无条件予以纠正。</w:t>
      </w:r>
    </w:p>
    <w:p w14:paraId="26C4B9D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lang w:val="en-US" w:eastAsia="zh-CN"/>
        </w:rPr>
        <w:t>4、</w:t>
      </w:r>
      <w:r>
        <w:rPr>
          <w:rFonts w:hint="eastAsia" w:ascii="宋体" w:hAnsi="宋体" w:eastAsia="宋体" w:cs="宋体"/>
          <w:color w:val="000000"/>
          <w:sz w:val="24"/>
          <w:szCs w:val="24"/>
          <w:highlight w:val="none"/>
          <w:u w:val="single"/>
        </w:rPr>
        <w:t>特殊工种（电工、电梯工、起重工、电焊工、驾驶员、爆破工等）必须经过专业培训，并持有效合格证或上岗证上岗。监理人或发包人有权随时检查承包人派驻现场人员的上岗资格证明情况。如发现无证上岗人员，每发生一次，向发包人支付</w:t>
      </w:r>
      <w:r>
        <w:rPr>
          <w:rFonts w:hint="eastAsia" w:ascii="宋体" w:hAnsi="宋体" w:eastAsia="宋体" w:cs="宋体"/>
          <w:color w:val="000000"/>
          <w:sz w:val="24"/>
          <w:szCs w:val="24"/>
          <w:highlight w:val="none"/>
          <w:u w:val="single"/>
          <w:lang w:val="en-US" w:eastAsia="zh-CN"/>
        </w:rPr>
        <w:t>3000元/次/人</w:t>
      </w:r>
      <w:r>
        <w:rPr>
          <w:rFonts w:hint="eastAsia" w:ascii="宋体" w:hAnsi="宋体" w:eastAsia="宋体" w:cs="宋体"/>
          <w:color w:val="000000"/>
          <w:sz w:val="24"/>
          <w:szCs w:val="24"/>
          <w:highlight w:val="none"/>
          <w:u w:val="single"/>
        </w:rPr>
        <w:t>的违约金。并无条件予以纠正。由此造成的责任和损失由承包人自行承担。</w:t>
      </w:r>
    </w:p>
    <w:p w14:paraId="04D5B917">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bookmarkStart w:id="951" w:name="_Toc297048345"/>
      <w:bookmarkStart w:id="952" w:name="_Toc300934945"/>
      <w:bookmarkStart w:id="953" w:name="_Toc296503159"/>
      <w:bookmarkStart w:id="954" w:name="_Toc297123492"/>
      <w:bookmarkStart w:id="955" w:name="_Toc296891199"/>
      <w:bookmarkStart w:id="956" w:name="_Toc297120459"/>
      <w:bookmarkStart w:id="957" w:name="_Toc292559869"/>
      <w:bookmarkStart w:id="958" w:name="_Toc296890987"/>
      <w:bookmarkStart w:id="959" w:name="_Toc296346660"/>
      <w:bookmarkStart w:id="960" w:name="_Toc303539102"/>
      <w:bookmarkStart w:id="961" w:name="_Toc296944498"/>
      <w:bookmarkStart w:id="962" w:name="_Toc312677988"/>
      <w:bookmarkStart w:id="963" w:name="_Toc304295523"/>
      <w:bookmarkStart w:id="964" w:name="_Toc292559364"/>
      <w:bookmarkStart w:id="965" w:name="_Toc297216151"/>
      <w:bookmarkStart w:id="966" w:name="_Toc296347158"/>
      <w:r>
        <w:rPr>
          <w:rFonts w:hint="eastAsia" w:ascii="宋体" w:hAnsi="宋体" w:eastAsia="宋体" w:cs="宋体"/>
          <w:color w:val="000000"/>
          <w:sz w:val="24"/>
          <w:szCs w:val="24"/>
          <w:highlight w:val="none"/>
        </w:rPr>
        <w:t>.5 分包</w:t>
      </w:r>
    </w:p>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14:paraId="7BC2964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bookmarkStart w:id="967" w:name="_Toc297120460"/>
      <w:bookmarkStart w:id="968" w:name="_Toc296944499"/>
      <w:bookmarkStart w:id="969" w:name="_Toc297123493"/>
      <w:bookmarkStart w:id="970" w:name="_Toc296890988"/>
      <w:bookmarkStart w:id="971" w:name="_Toc296347159"/>
      <w:bookmarkStart w:id="972" w:name="_Toc300934946"/>
      <w:bookmarkStart w:id="973" w:name="_Toc296346661"/>
      <w:bookmarkStart w:id="974" w:name="_Toc304295524"/>
      <w:bookmarkStart w:id="975" w:name="_Toc292559870"/>
      <w:bookmarkStart w:id="976" w:name="_Toc296503160"/>
      <w:bookmarkStart w:id="977" w:name="_Toc297216152"/>
      <w:bookmarkStart w:id="978" w:name="_Toc297048346"/>
      <w:bookmarkStart w:id="979" w:name="_Toc296891200"/>
      <w:bookmarkStart w:id="980" w:name="_Toc303539103"/>
      <w:bookmarkStart w:id="981" w:name="_Toc292559365"/>
      <w:bookmarkStart w:id="982" w:name="_Toc312677989"/>
      <w:bookmarkStart w:id="983" w:name="_Toc318581158"/>
      <w:r>
        <w:rPr>
          <w:rFonts w:hint="eastAsia" w:ascii="宋体" w:hAnsi="宋体" w:eastAsia="宋体" w:cs="宋体"/>
          <w:sz w:val="24"/>
          <w:szCs w:val="24"/>
          <w:highlight w:val="none"/>
        </w:rPr>
        <w:t>.5.1 分包的一般约定</w:t>
      </w:r>
    </w:p>
    <w:p w14:paraId="4628E7D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sz w:val="24"/>
          <w:szCs w:val="24"/>
          <w:highlight w:val="none"/>
        </w:rPr>
        <w:t>禁止分包的工程包括：</w:t>
      </w:r>
      <w:r>
        <w:rPr>
          <w:rFonts w:hint="eastAsia" w:ascii="宋体" w:hAnsi="宋体" w:eastAsia="宋体" w:cs="宋体"/>
          <w:color w:val="000000"/>
          <w:sz w:val="24"/>
          <w:szCs w:val="24"/>
          <w:highlight w:val="none"/>
          <w:u w:val="single"/>
        </w:rPr>
        <w:t>本工程禁止分包（1）承包人违反本款规定分包的，发包人和监理人向承包人发出整改通知，要求其在指定的期限内改正或解除合同。承包人应承担其违约所引起的费用增加和（或）工期延误及一切责任，并向发包人支付签约合同价格30％的违约金，造成发包人损失的，应当承担全部赔偿责任，包括但不限于由此产生的诉讼费、律师费、公证费、鉴定费、差旅费等所有费用。</w:t>
      </w:r>
    </w:p>
    <w:p w14:paraId="3640BF1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u w:val="single"/>
        </w:rPr>
        <w:t>（2）承包人不得转包或转让所承包的全部或部分工程，也不得肢解所承包的工程以分包的名义分别转包给他人。</w:t>
      </w:r>
      <w:r>
        <w:rPr>
          <w:rFonts w:hint="eastAsia" w:ascii="宋体" w:hAnsi="宋体" w:eastAsia="宋体" w:cs="宋体"/>
          <w:color w:val="000000"/>
          <w:sz w:val="24"/>
          <w:szCs w:val="24"/>
          <w:highlight w:val="none"/>
          <w:u w:val="single"/>
          <w:lang w:eastAsia="zh-CN"/>
        </w:rPr>
        <w:t>一经发现发包人有权拒绝支付已完工部分工程款，</w:t>
      </w:r>
      <w:r>
        <w:rPr>
          <w:rFonts w:hint="eastAsia" w:ascii="宋体" w:hAnsi="宋体" w:eastAsia="宋体" w:cs="宋体"/>
          <w:color w:val="000000"/>
          <w:sz w:val="24"/>
          <w:szCs w:val="24"/>
          <w:highlight w:val="none"/>
          <w:u w:val="single"/>
          <w:lang w:val="en-US" w:eastAsia="zh-CN"/>
        </w:rPr>
        <w:t xml:space="preserve">并可单方解除合同。 </w:t>
      </w:r>
    </w:p>
    <w:p w14:paraId="4D895BB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sz w:val="24"/>
          <w:szCs w:val="24"/>
          <w:highlight w:val="none"/>
        </w:rPr>
        <w:t>主体结构、关键性工作的范围：</w:t>
      </w:r>
      <w:r>
        <w:rPr>
          <w:rFonts w:hint="eastAsia" w:ascii="宋体" w:hAnsi="宋体" w:eastAsia="宋体" w:cs="宋体"/>
          <w:color w:val="000000"/>
          <w:sz w:val="24"/>
          <w:szCs w:val="24"/>
          <w:highlight w:val="none"/>
          <w:u w:val="single"/>
        </w:rPr>
        <w:t xml:space="preserve">本工程无分包项目，合同约定承包范围的工作均交由承包人完成   </w:t>
      </w:r>
      <w:r>
        <w:rPr>
          <w:rFonts w:hint="eastAsia" w:ascii="宋体" w:hAnsi="宋体" w:eastAsia="宋体" w:cs="宋体"/>
          <w:color w:val="000000"/>
          <w:sz w:val="24"/>
          <w:szCs w:val="24"/>
          <w:highlight w:val="none"/>
        </w:rPr>
        <w:t>。</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Start w:id="984" w:name="_Toc304295525"/>
      <w:bookmarkStart w:id="985" w:name="_Toc296890989"/>
      <w:bookmarkStart w:id="986" w:name="_Toc297216153"/>
      <w:bookmarkStart w:id="987" w:name="_Toc297048347"/>
      <w:bookmarkStart w:id="988" w:name="_Toc297123494"/>
      <w:bookmarkStart w:id="989" w:name="_Toc296347160"/>
      <w:bookmarkStart w:id="990" w:name="_Toc296891201"/>
      <w:bookmarkStart w:id="991" w:name="_Toc303539104"/>
      <w:bookmarkStart w:id="992" w:name="_Toc296503161"/>
      <w:bookmarkStart w:id="993" w:name="_Toc296944500"/>
      <w:bookmarkStart w:id="994" w:name="_Toc296346662"/>
      <w:bookmarkStart w:id="995" w:name="_Toc300934947"/>
      <w:bookmarkStart w:id="996" w:name="_Toc297120461"/>
    </w:p>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14:paraId="56ACFEBD">
      <w:pPr>
        <w:pageBreakBefore w:val="0"/>
        <w:widowControl w:val="0"/>
        <w:kinsoku/>
        <w:wordWrap/>
        <w:overflowPunct/>
        <w:topLinePunct w:val="0"/>
        <w:bidi w:val="0"/>
        <w:snapToGrid/>
        <w:spacing w:line="48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w:t>
      </w:r>
      <w:bookmarkStart w:id="997" w:name="_Toc312677990"/>
      <w:bookmarkStart w:id="998" w:name="_Toc318581159"/>
      <w:r>
        <w:rPr>
          <w:rFonts w:hint="eastAsia" w:ascii="宋体" w:hAnsi="宋体" w:eastAsia="宋体" w:cs="宋体"/>
          <w:sz w:val="24"/>
          <w:szCs w:val="24"/>
          <w:highlight w:val="none"/>
        </w:rPr>
        <w:t>.5.2分包的确定</w:t>
      </w:r>
    </w:p>
    <w:p w14:paraId="73A6E25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sz w:val="24"/>
          <w:szCs w:val="24"/>
          <w:highlight w:val="none"/>
        </w:rPr>
        <w:t>允许分包的专业工程包括：</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本工程禁止分包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B0E7F6B">
      <w:pPr>
        <w:pageBreakBefore w:val="0"/>
        <w:widowControl w:val="0"/>
        <w:kinsoku/>
        <w:wordWrap/>
        <w:overflowPunct/>
        <w:topLinePunct w:val="0"/>
        <w:bidi w:val="0"/>
        <w:snapToGrid/>
        <w:spacing w:line="480" w:lineRule="exac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其他关于分包的约定：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本工程禁止分包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593ECE8">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3.5.4 分包合同价款</w:t>
      </w:r>
    </w:p>
    <w:p w14:paraId="4C0557C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关于分包合同价款支付的约定：</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u w:val="single"/>
          <w:lang w:eastAsia="zh-CN"/>
        </w:rPr>
        <w:t>本工程禁止分包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997"/>
    <w:bookmarkEnd w:id="998"/>
    <w:p w14:paraId="5CB23DF1">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3.6 工程照管与成品、半成品保护</w:t>
      </w:r>
    </w:p>
    <w:p w14:paraId="01565677">
      <w:pPr>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rPr>
        <w:t>承包人负责照管工程及工程相关的材料、工程设备的起始时间：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执行通用条款</w:t>
      </w:r>
      <w:r>
        <w:rPr>
          <w:rFonts w:hint="eastAsia" w:ascii="宋体" w:hAnsi="宋体" w:eastAsia="宋体" w:cs="宋体"/>
          <w:color w:val="000000"/>
          <w:kern w:val="0"/>
          <w:sz w:val="24"/>
          <w:szCs w:val="24"/>
          <w:highlight w:val="none"/>
          <w:u w:val="single"/>
          <w:lang w:val="en-US" w:eastAsia="zh-CN"/>
        </w:rPr>
        <w:t>3.6款</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A7248D4">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3.7 履约担保</w:t>
      </w:r>
    </w:p>
    <w:p w14:paraId="44BF23B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承包人是否提供履约担保：</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E7AD9ED">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承包人提供履约担保的形式、金额及期限的：</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BE86C9A">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999" w:name="_Toc351203636"/>
      <w:r>
        <w:rPr>
          <w:rFonts w:hint="eastAsia" w:ascii="宋体" w:hAnsi="宋体" w:eastAsia="宋体" w:cs="宋体"/>
          <w:b w:val="0"/>
          <w:color w:val="000000"/>
          <w:sz w:val="24"/>
          <w:szCs w:val="24"/>
          <w:highlight w:val="none"/>
        </w:rPr>
        <w:t>4</w:t>
      </w:r>
      <w:bookmarkStart w:id="1000" w:name="_Toc296346663"/>
      <w:bookmarkStart w:id="1001" w:name="_Toc297048348"/>
      <w:bookmarkStart w:id="1002" w:name="_Toc267251413"/>
      <w:bookmarkStart w:id="1003" w:name="_Toc297120462"/>
      <w:bookmarkStart w:id="1004" w:name="_Toc292559366"/>
      <w:bookmarkStart w:id="1005" w:name="_Toc296891202"/>
      <w:bookmarkStart w:id="1006" w:name="_Toc292559871"/>
      <w:bookmarkStart w:id="1007" w:name="_Toc296944501"/>
      <w:bookmarkStart w:id="1008" w:name="_Toc296347161"/>
      <w:bookmarkStart w:id="1009" w:name="_Toc296890990"/>
      <w:bookmarkStart w:id="1010" w:name="_Toc296503162"/>
      <w:r>
        <w:rPr>
          <w:rFonts w:hint="eastAsia" w:ascii="宋体" w:hAnsi="宋体" w:eastAsia="宋体" w:cs="宋体"/>
          <w:b w:val="0"/>
          <w:color w:val="000000"/>
          <w:sz w:val="24"/>
          <w:szCs w:val="24"/>
          <w:highlight w:val="none"/>
        </w:rPr>
        <w:t>. 监</w:t>
      </w:r>
      <w:bookmarkEnd w:id="1000"/>
      <w:bookmarkEnd w:id="1001"/>
      <w:bookmarkEnd w:id="1002"/>
      <w:bookmarkEnd w:id="1003"/>
      <w:bookmarkEnd w:id="1004"/>
      <w:bookmarkEnd w:id="1005"/>
      <w:bookmarkEnd w:id="1006"/>
      <w:bookmarkEnd w:id="1007"/>
      <w:bookmarkEnd w:id="1008"/>
      <w:bookmarkEnd w:id="1009"/>
      <w:bookmarkEnd w:id="1010"/>
      <w:r>
        <w:rPr>
          <w:rFonts w:hint="eastAsia" w:ascii="宋体" w:hAnsi="宋体" w:eastAsia="宋体" w:cs="宋体"/>
          <w:b w:val="0"/>
          <w:color w:val="000000"/>
          <w:sz w:val="24"/>
          <w:szCs w:val="24"/>
          <w:highlight w:val="none"/>
        </w:rPr>
        <w:t>理人</w:t>
      </w:r>
      <w:bookmarkEnd w:id="999"/>
    </w:p>
    <w:p w14:paraId="1EA82C74">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4.1监理人的一般规定</w:t>
      </w:r>
    </w:p>
    <w:p w14:paraId="1C367E9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关于监理人的监理内容：</w:t>
      </w:r>
      <w:r>
        <w:rPr>
          <w:rFonts w:hint="eastAsia" w:ascii="宋体" w:hAnsi="宋体" w:eastAsia="宋体" w:cs="宋体"/>
          <w:color w:val="000000"/>
          <w:sz w:val="24"/>
          <w:szCs w:val="24"/>
          <w:highlight w:val="none"/>
          <w:u w:val="single"/>
        </w:rPr>
        <w:t xml:space="preserve"> 按照《建设工程监理规范</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GB/T50319-2013的规定，对发包人项目实施全面监理，详见《建设工程委托监理合同》  </w:t>
      </w:r>
      <w:r>
        <w:rPr>
          <w:rFonts w:hint="eastAsia" w:ascii="宋体" w:hAnsi="宋体" w:eastAsia="宋体" w:cs="宋体"/>
          <w:color w:val="000000"/>
          <w:sz w:val="24"/>
          <w:szCs w:val="24"/>
          <w:highlight w:val="none"/>
        </w:rPr>
        <w:t>。</w:t>
      </w:r>
    </w:p>
    <w:p w14:paraId="249AA16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关于监理人的监理权限：</w:t>
      </w:r>
      <w:r>
        <w:rPr>
          <w:rFonts w:hint="eastAsia" w:ascii="宋体" w:hAnsi="宋体" w:eastAsia="宋体" w:cs="宋体"/>
          <w:color w:val="000000"/>
          <w:sz w:val="24"/>
          <w:szCs w:val="24"/>
          <w:highlight w:val="none"/>
          <w:u w:val="single"/>
        </w:rPr>
        <w:t xml:space="preserve"> 按发包人与监理人签订的《建设工程委托监理合同》的有关条款执行。发包人委托施工监理人负责</w:t>
      </w:r>
      <w:r>
        <w:rPr>
          <w:rFonts w:hint="eastAsia" w:ascii="宋体" w:hAnsi="宋体" w:eastAsia="宋体" w:cs="宋体"/>
          <w:color w:val="000000"/>
          <w:sz w:val="24"/>
          <w:szCs w:val="24"/>
          <w:highlight w:val="none"/>
          <w:u w:val="single"/>
          <w:lang w:eastAsia="zh-CN"/>
        </w:rPr>
        <w:t>，包括但不限于</w:t>
      </w:r>
      <w:r>
        <w:rPr>
          <w:rFonts w:hint="eastAsia" w:ascii="宋体" w:hAnsi="宋体" w:eastAsia="宋体" w:cs="宋体"/>
          <w:color w:val="000000"/>
          <w:sz w:val="24"/>
          <w:szCs w:val="24"/>
          <w:highlight w:val="none"/>
          <w:u w:val="single"/>
        </w:rPr>
        <w:t xml:space="preserve">对工程材料设备的标准及质量、工程质量、进度、安全、变更、签证、文明、环境以及工程量等管理和控制  </w:t>
      </w:r>
      <w:r>
        <w:rPr>
          <w:rFonts w:hint="eastAsia" w:ascii="宋体" w:hAnsi="宋体" w:eastAsia="宋体" w:cs="宋体"/>
          <w:color w:val="000000"/>
          <w:sz w:val="24"/>
          <w:szCs w:val="24"/>
          <w:highlight w:val="none"/>
        </w:rPr>
        <w:t xml:space="preserve">。 </w:t>
      </w:r>
    </w:p>
    <w:p w14:paraId="6F94160A">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关于监理人在施工现场的办公场所、生活场所的提供和费用承担的约定：</w:t>
      </w:r>
      <w:r>
        <w:rPr>
          <w:rFonts w:hint="eastAsia" w:ascii="宋体" w:hAnsi="宋体" w:eastAsia="宋体" w:cs="宋体"/>
          <w:color w:val="000000"/>
          <w:sz w:val="24"/>
          <w:szCs w:val="24"/>
          <w:highlight w:val="none"/>
          <w:u w:val="single"/>
        </w:rPr>
        <w:t xml:space="preserve"> 承包方提供一间办公场所，其它设施由监理人自行承担  </w:t>
      </w:r>
      <w:r>
        <w:rPr>
          <w:rFonts w:hint="eastAsia" w:ascii="宋体" w:hAnsi="宋体" w:eastAsia="宋体" w:cs="宋体"/>
          <w:color w:val="000000"/>
          <w:sz w:val="24"/>
          <w:szCs w:val="24"/>
          <w:highlight w:val="none"/>
        </w:rPr>
        <w:t>。</w:t>
      </w:r>
    </w:p>
    <w:p w14:paraId="23613C4B">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 监理人员</w:t>
      </w:r>
    </w:p>
    <w:p w14:paraId="5158D39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总监理工程师：</w:t>
      </w:r>
    </w:p>
    <w:p w14:paraId="5B5E6D4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姓    名：</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05D9F103">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职    务：</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23E91EB4">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监理工程师执业资格证书号：</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w:t>
      </w:r>
    </w:p>
    <w:p w14:paraId="5417BAFE">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71DF083D">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电子信箱：</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3C5E2DC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通信地址：</w:t>
      </w:r>
      <w:r>
        <w:rPr>
          <w:rFonts w:hint="eastAsia" w:ascii="宋体" w:hAnsi="宋体" w:eastAsia="宋体" w:cs="宋体"/>
          <w:color w:val="000000"/>
          <w:sz w:val="24"/>
          <w:szCs w:val="24"/>
          <w:highlight w:val="none"/>
          <w:u w:val="single"/>
        </w:rPr>
        <w:t>   </w:t>
      </w:r>
      <w:r>
        <w:rPr>
          <w:rFonts w:hint="eastAsia" w:ascii="宋体" w:hAnsi="宋体" w:eastAsia="宋体" w:cs="宋体"/>
          <w:color w:val="000000"/>
          <w:sz w:val="24"/>
          <w:szCs w:val="24"/>
          <w:highlight w:val="none"/>
        </w:rPr>
        <w:t>；</w:t>
      </w:r>
    </w:p>
    <w:p w14:paraId="7B75F5A9">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关于监理人的其他约定：</w:t>
      </w:r>
      <w:r>
        <w:rPr>
          <w:rFonts w:hint="eastAsia" w:ascii="宋体" w:hAnsi="宋体" w:eastAsia="宋体" w:cs="宋体"/>
          <w:color w:val="000000"/>
          <w:sz w:val="24"/>
          <w:szCs w:val="24"/>
          <w:highlight w:val="none"/>
          <w:u w:val="single"/>
        </w:rPr>
        <w:t>开工令、停工令、工程变更、经济签证须取得发包人的同意。现场签证及工程进度款报表等由监理工程师先行核实后，再交发包人审核。</w:t>
      </w:r>
    </w:p>
    <w:p w14:paraId="18E8756B">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监理工程师擅自发布指令、决定、确认和承诺，引起合同价款变更、工期顺延、工程的使用功能发生变化、以及变更质量标准、材料设备使用的，由此产生的后果由</w:t>
      </w:r>
      <w:r>
        <w:rPr>
          <w:rFonts w:hint="eastAsia" w:ascii="宋体" w:hAnsi="宋体" w:eastAsia="宋体" w:cs="宋体"/>
          <w:color w:val="000000"/>
          <w:sz w:val="24"/>
          <w:szCs w:val="24"/>
          <w:highlight w:val="none"/>
          <w:u w:val="single"/>
          <w:lang w:eastAsia="zh-CN"/>
        </w:rPr>
        <w:t>监理</w:t>
      </w:r>
      <w:r>
        <w:rPr>
          <w:rFonts w:hint="eastAsia" w:ascii="宋体" w:hAnsi="宋体" w:eastAsia="宋体" w:cs="宋体"/>
          <w:color w:val="000000"/>
          <w:sz w:val="24"/>
          <w:szCs w:val="24"/>
          <w:highlight w:val="none"/>
          <w:u w:val="single"/>
        </w:rPr>
        <w:t>工程师自行承担，与发包人无关</w:t>
      </w:r>
      <w:r>
        <w:rPr>
          <w:rFonts w:hint="eastAsia" w:ascii="宋体" w:hAnsi="宋体" w:eastAsia="宋体" w:cs="宋体"/>
          <w:color w:val="000000"/>
          <w:sz w:val="24"/>
          <w:szCs w:val="24"/>
          <w:highlight w:val="none"/>
        </w:rPr>
        <w:t>。</w:t>
      </w:r>
    </w:p>
    <w:p w14:paraId="108A0484">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 商定或确定</w:t>
      </w:r>
    </w:p>
    <w:p w14:paraId="33F0C005">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kern w:val="0"/>
          <w:sz w:val="24"/>
          <w:szCs w:val="24"/>
          <w:highlight w:val="none"/>
        </w:rPr>
      </w:pPr>
      <w:bookmarkStart w:id="1011" w:name="_Toc267251418"/>
      <w:r>
        <w:rPr>
          <w:rFonts w:hint="eastAsia" w:ascii="宋体" w:hAnsi="宋体" w:eastAsia="宋体" w:cs="宋体"/>
          <w:color w:val="000000"/>
          <w:sz w:val="24"/>
          <w:szCs w:val="24"/>
          <w:highlight w:val="none"/>
        </w:rPr>
        <w:t>在发包人和承包人不能通过协商达成一致意见时，发包人授权监理人对以下事项进行确定：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lang w:val="en-US" w:eastAsia="zh-CN"/>
        </w:rPr>
        <w:t>4.4款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lang w:eastAsia="zh-CN"/>
        </w:rPr>
        <w:t>。</w:t>
      </w:r>
    </w:p>
    <w:p w14:paraId="75AA0B20">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012" w:name="_Toc351203637"/>
      <w:r>
        <w:rPr>
          <w:rFonts w:hint="eastAsia" w:ascii="宋体" w:hAnsi="宋体" w:eastAsia="宋体" w:cs="宋体"/>
          <w:b w:val="0"/>
          <w:color w:val="000000"/>
          <w:sz w:val="24"/>
          <w:szCs w:val="24"/>
          <w:highlight w:val="none"/>
        </w:rPr>
        <w:t>5</w:t>
      </w:r>
      <w:bookmarkEnd w:id="1011"/>
      <w:bookmarkStart w:id="1013" w:name="_Toc292559872"/>
      <w:bookmarkStart w:id="1014" w:name="_Toc296503163"/>
      <w:bookmarkStart w:id="1015" w:name="_Toc296944502"/>
      <w:bookmarkStart w:id="1016" w:name="_Toc297048349"/>
      <w:bookmarkStart w:id="1017" w:name="_Toc297120463"/>
      <w:bookmarkStart w:id="1018" w:name="_Toc292559367"/>
      <w:bookmarkStart w:id="1019" w:name="_Toc296346664"/>
      <w:bookmarkStart w:id="1020" w:name="_Toc296891203"/>
      <w:bookmarkStart w:id="1021" w:name="_Toc296347162"/>
      <w:bookmarkStart w:id="1022" w:name="_Toc296890991"/>
      <w:r>
        <w:rPr>
          <w:rFonts w:hint="eastAsia" w:ascii="宋体" w:hAnsi="宋体" w:eastAsia="宋体" w:cs="宋体"/>
          <w:b w:val="0"/>
          <w:color w:val="000000"/>
          <w:sz w:val="24"/>
          <w:szCs w:val="24"/>
          <w:highlight w:val="none"/>
        </w:rPr>
        <w:t>. 工程质量</w:t>
      </w:r>
      <w:bookmarkEnd w:id="1012"/>
    </w:p>
    <w:p w14:paraId="502420C4">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 质量要求</w:t>
      </w:r>
    </w:p>
    <w:p w14:paraId="3CB470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w:t>
      </w:r>
      <w:bookmarkStart w:id="1023" w:name="_Toc300934949"/>
      <w:bookmarkStart w:id="1024" w:name="_Toc304295527"/>
      <w:bookmarkStart w:id="1025" w:name="_Toc297123496"/>
      <w:bookmarkStart w:id="1026" w:name="_Toc297216155"/>
      <w:bookmarkStart w:id="1027" w:name="_Toc303539106"/>
      <w:bookmarkStart w:id="1028" w:name="_Toc312677997"/>
      <w:bookmarkStart w:id="1029" w:name="_Toc318581164"/>
      <w:r>
        <w:rPr>
          <w:rFonts w:hint="eastAsia" w:ascii="宋体" w:hAnsi="宋体" w:eastAsia="宋体" w:cs="宋体"/>
          <w:sz w:val="24"/>
          <w:szCs w:val="24"/>
          <w:highlight w:val="none"/>
        </w:rPr>
        <w:t>.1.1 特殊质量标准和要求：</w:t>
      </w:r>
      <w:r>
        <w:rPr>
          <w:rFonts w:hint="eastAsia" w:ascii="宋体" w:hAnsi="宋体" w:eastAsia="宋体" w:cs="宋体"/>
          <w:sz w:val="24"/>
          <w:szCs w:val="24"/>
          <w:highlight w:val="none"/>
          <w:u w:val="single"/>
        </w:rPr>
        <w:t xml:space="preserve">  符合现行国家有关工程施工质量验收规范和标准的要求  </w:t>
      </w:r>
      <w:r>
        <w:rPr>
          <w:rFonts w:hint="eastAsia" w:ascii="宋体" w:hAnsi="宋体" w:eastAsia="宋体" w:cs="宋体"/>
          <w:sz w:val="24"/>
          <w:szCs w:val="24"/>
          <w:highlight w:val="none"/>
        </w:rPr>
        <w:t>。</w:t>
      </w:r>
    </w:p>
    <w:p w14:paraId="1A9574A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关于工程奖项的约定：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662D4471">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5.3 隐蔽工程检查</w:t>
      </w:r>
    </w:p>
    <w:p w14:paraId="392949D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5.3.2承包人提前通知监理人隐蔽工程检查的期限的约定：</w:t>
      </w:r>
      <w:r>
        <w:rPr>
          <w:rFonts w:hint="eastAsia" w:ascii="宋体" w:hAnsi="宋体" w:eastAsia="宋体" w:cs="宋体"/>
          <w:sz w:val="24"/>
          <w:szCs w:val="24"/>
          <w:highlight w:val="none"/>
          <w:u w:val="single"/>
        </w:rPr>
        <w:t xml:space="preserve"> 工程隐蔽部位隐蔽前48小时内，</w:t>
      </w:r>
      <w:r>
        <w:rPr>
          <w:rFonts w:hint="eastAsia" w:ascii="宋体" w:hAnsi="宋体" w:eastAsia="宋体" w:cs="宋体"/>
          <w:sz w:val="24"/>
          <w:szCs w:val="24"/>
          <w:highlight w:val="none"/>
          <w:u w:val="single"/>
          <w:lang w:eastAsia="zh-CN"/>
        </w:rPr>
        <w:t>以</w:t>
      </w:r>
      <w:r>
        <w:rPr>
          <w:rFonts w:hint="eastAsia" w:ascii="宋体" w:hAnsi="宋体" w:eastAsia="宋体" w:cs="宋体"/>
          <w:sz w:val="24"/>
          <w:szCs w:val="24"/>
          <w:highlight w:val="none"/>
          <w:u w:val="single"/>
        </w:rPr>
        <w:t>书面形式通知。因为承包人未提前通知造成监理人未能对隐蔽工程进行检查的，以后因为隐蔽工程而引发的一切争议的后果均由承包人无条件承担。</w:t>
      </w:r>
    </w:p>
    <w:p w14:paraId="1737BF4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none"/>
        </w:rPr>
        <w:t>还应执行：</w:t>
      </w:r>
      <w:r>
        <w:rPr>
          <w:rFonts w:hint="eastAsia" w:ascii="宋体" w:hAnsi="宋体" w:eastAsia="宋体" w:cs="宋体"/>
          <w:sz w:val="24"/>
          <w:szCs w:val="24"/>
          <w:highlight w:val="none"/>
          <w:u w:val="single"/>
        </w:rPr>
        <w:t>根据工程进度及监理工程师指令</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rPr>
        <w:t xml:space="preserve">及时向监理工程师递交隐蔽工程验收通知、工程质量自检报告、竣工验收申请报告等  </w:t>
      </w:r>
      <w:r>
        <w:rPr>
          <w:rFonts w:hint="eastAsia" w:ascii="宋体" w:hAnsi="宋体" w:eastAsia="宋体" w:cs="宋体"/>
          <w:sz w:val="24"/>
          <w:szCs w:val="24"/>
          <w:highlight w:val="none"/>
        </w:rPr>
        <w:t>。</w:t>
      </w:r>
    </w:p>
    <w:p w14:paraId="10E3168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监理人不能按时进行检查时，应提前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24</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小时提交书面延期要求。</w:t>
      </w:r>
    </w:p>
    <w:p w14:paraId="548E2D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关于延期最长不得超过：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48</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小时。</w:t>
      </w:r>
    </w:p>
    <w:p w14:paraId="630C7A4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5.3.3 重新检查 ：</w:t>
      </w:r>
      <w:r>
        <w:rPr>
          <w:rFonts w:hint="eastAsia" w:ascii="宋体" w:hAnsi="宋体" w:eastAsia="宋体" w:cs="宋体"/>
          <w:sz w:val="24"/>
          <w:szCs w:val="24"/>
          <w:highlight w:val="none"/>
          <w:u w:val="single"/>
        </w:rPr>
        <w:t>执行通用条款</w:t>
      </w:r>
      <w:r>
        <w:rPr>
          <w:rFonts w:hint="eastAsia" w:ascii="宋体" w:hAnsi="宋体" w:eastAsia="宋体" w:cs="宋体"/>
          <w:sz w:val="24"/>
          <w:szCs w:val="24"/>
          <w:highlight w:val="none"/>
        </w:rPr>
        <w:t>。</w:t>
      </w:r>
    </w:p>
    <w:p w14:paraId="5DB5221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5.3.4 承包人私自覆盖：</w:t>
      </w:r>
      <w:r>
        <w:rPr>
          <w:rFonts w:hint="eastAsia" w:ascii="宋体" w:hAnsi="宋体" w:eastAsia="宋体" w:cs="宋体"/>
          <w:sz w:val="24"/>
          <w:szCs w:val="24"/>
          <w:highlight w:val="none"/>
          <w:u w:val="single"/>
        </w:rPr>
        <w:t>执行通用条款</w:t>
      </w:r>
      <w:r>
        <w:rPr>
          <w:rFonts w:hint="eastAsia" w:ascii="宋体" w:hAnsi="宋体" w:eastAsia="宋体" w:cs="宋体"/>
          <w:sz w:val="24"/>
          <w:szCs w:val="24"/>
          <w:highlight w:val="none"/>
        </w:rPr>
        <w:t>。</w:t>
      </w:r>
    </w:p>
    <w:p w14:paraId="0951E13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5.4 不合格工程的处理：</w:t>
      </w:r>
      <w:r>
        <w:rPr>
          <w:rFonts w:hint="eastAsia" w:ascii="宋体" w:hAnsi="宋体" w:eastAsia="宋体" w:cs="宋体"/>
          <w:sz w:val="24"/>
          <w:szCs w:val="24"/>
          <w:highlight w:val="none"/>
          <w:u w:val="single"/>
        </w:rPr>
        <w:t>除执行通用条款外，还应执行：① 由于承包人使用了不合格材料和工程设备造成了工程损害，监理人和发包人可以随时发出指示，要求承包人立即采取措施进行补救，直至彻底清除工程的不合格部位以及不合格的材料或工程设备，由此增加的费用和工期延误责任由承包人承担。② 若承包人无故拖延或拒绝执行监理人或发包人的指示，则发包人有权委托其它承包人执行该项指示，由此增加的费用和工期延误的责任，均由承包人承担。③承包人出现上述违约情形的，承包人向发包人支付签约合同价格1％至1</w:t>
      </w:r>
      <w:r>
        <w:rPr>
          <w:rFonts w:hint="eastAsia" w:ascii="宋体" w:hAnsi="宋体" w:eastAsia="宋体" w:cs="宋体"/>
          <w:sz w:val="24"/>
          <w:szCs w:val="24"/>
          <w:highlight w:val="none"/>
          <w:u w:val="single"/>
          <w:lang w:val="en-US" w:eastAsia="zh-CN"/>
        </w:rPr>
        <w:t>0</w:t>
      </w:r>
      <w:r>
        <w:rPr>
          <w:rFonts w:hint="eastAsia" w:ascii="宋体" w:hAnsi="宋体" w:eastAsia="宋体" w:cs="宋体"/>
          <w:sz w:val="24"/>
          <w:szCs w:val="24"/>
          <w:highlight w:val="none"/>
          <w:u w:val="single"/>
        </w:rPr>
        <w:t>％的违约金。④发包人认为必要时，可以没收履约保证金，单方解除合同，另行发包。</w:t>
      </w:r>
    </w:p>
    <w:p w14:paraId="1D79BA3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 质量争议检测：</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p>
    <w:p w14:paraId="478F578E">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030" w:name="_Toc351203638"/>
      <w:r>
        <w:rPr>
          <w:rFonts w:hint="eastAsia" w:ascii="宋体" w:hAnsi="宋体" w:eastAsia="宋体" w:cs="宋体"/>
          <w:b w:val="0"/>
          <w:color w:val="000000"/>
          <w:sz w:val="24"/>
          <w:szCs w:val="24"/>
          <w:highlight w:val="none"/>
        </w:rPr>
        <w:t>6. 安全文明施工与环境保护</w:t>
      </w:r>
      <w:bookmarkEnd w:id="1030"/>
    </w:p>
    <w:p w14:paraId="23A88772">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6.1安全文明施工</w:t>
      </w:r>
    </w:p>
    <w:p w14:paraId="1C0FFCA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6.1.1</w:t>
      </w:r>
      <w:r>
        <w:rPr>
          <w:rFonts w:hint="eastAsia" w:ascii="宋体" w:hAnsi="宋体" w:eastAsia="宋体" w:cs="宋体"/>
          <w:color w:val="000000"/>
          <w:sz w:val="24"/>
          <w:szCs w:val="24"/>
          <w:highlight w:val="none"/>
        </w:rPr>
        <w:t xml:space="preserve"> 项目安全生产的达标目标及相应事项的约定：</w:t>
      </w:r>
      <w:r>
        <w:rPr>
          <w:rFonts w:hint="eastAsia" w:ascii="宋体" w:hAnsi="宋体" w:eastAsia="宋体" w:cs="宋体"/>
          <w:sz w:val="24"/>
          <w:szCs w:val="24"/>
          <w:highlight w:val="none"/>
          <w:u w:val="single"/>
        </w:rPr>
        <w:t>承包人必须严格执行《中华人民共和国安全生产法》、《建筑安装施工安全检查标准》（JGJ59-2011）、《中华人民共和国建筑法》、《安全生产许可证条例》和《建筑工程安全生产管理条例》等法律、法规及新疆维吾尔自治区有关安全文明施工管理的相关规定，施工现场由专职持证上岗的安全员负责安全事宜。开工前承包人与发包人签订《安全生产责任书》，承包人必须按照国家有关规定</w:t>
      </w:r>
      <w:r>
        <w:rPr>
          <w:rFonts w:hint="eastAsia" w:ascii="宋体" w:hAnsi="宋体" w:eastAsia="宋体" w:cs="宋体"/>
          <w:sz w:val="24"/>
          <w:szCs w:val="24"/>
          <w:highlight w:val="none"/>
          <w:u w:val="single"/>
          <w:lang w:eastAsia="zh-CN"/>
        </w:rPr>
        <w:t>缴纳</w:t>
      </w:r>
      <w:r>
        <w:rPr>
          <w:rFonts w:hint="eastAsia" w:ascii="宋体" w:hAnsi="宋体" w:eastAsia="宋体" w:cs="宋体"/>
          <w:sz w:val="24"/>
          <w:szCs w:val="24"/>
          <w:highlight w:val="none"/>
          <w:u w:val="single"/>
        </w:rPr>
        <w:t xml:space="preserve">施工人员的安全保险费用，按规定安装现场安全设施，并严格管理施工人员的工作、生活安全及往来、材料运输路途安全，严禁不规范操作及其它原因造成人员安全事故。如发生，所有责任及费用均由承包人无条件独自承担，发包人不承担任何责任、费用  </w:t>
      </w:r>
      <w:r>
        <w:rPr>
          <w:rFonts w:hint="eastAsia" w:ascii="宋体" w:hAnsi="宋体" w:eastAsia="宋体" w:cs="宋体"/>
          <w:sz w:val="24"/>
          <w:szCs w:val="24"/>
          <w:highlight w:val="none"/>
        </w:rPr>
        <w:t>。</w:t>
      </w:r>
    </w:p>
    <w:p w14:paraId="4BC8351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single"/>
        </w:rPr>
        <w:t>承包人应严格管理，确保文明施工，安全施工，杜绝发生任何事故（包括但不限于工伤事故、安全事故、意外事故、管理责任事故、违法违纪事故等），否则，因此产生的经济责任全部由承包人无条件自行承担。发生相关事故的，承包人应自行积极妥善处理，并无条件承担相关费用。由此给发包人造成经济损的，除承包人应双倍赔偿发包人外，承包人另外向发包人支付签约合同价格1％至1</w:t>
      </w:r>
      <w:r>
        <w:rPr>
          <w:rFonts w:hint="eastAsia" w:ascii="宋体" w:hAnsi="宋体" w:eastAsia="宋体" w:cs="宋体"/>
          <w:sz w:val="24"/>
          <w:szCs w:val="24"/>
          <w:highlight w:val="none"/>
          <w:u w:val="single"/>
          <w:lang w:val="en-US" w:eastAsia="zh-CN"/>
        </w:rPr>
        <w:t>0</w:t>
      </w:r>
      <w:r>
        <w:rPr>
          <w:rFonts w:hint="eastAsia" w:ascii="宋体" w:hAnsi="宋体" w:eastAsia="宋体" w:cs="宋体"/>
          <w:sz w:val="24"/>
          <w:szCs w:val="24"/>
          <w:highlight w:val="none"/>
          <w:u w:val="single"/>
        </w:rPr>
        <w:t>％的赔偿金。发包人受到的全部损失，发包人有权从应给承包人支付的后期费用中优先扣除，不足部分，承包人负责赔偿，承包人不及时赔偿的，每日向发包人承担应付款项</w:t>
      </w: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u w:val="single"/>
        </w:rPr>
        <w:t>的滞纳金。</w:t>
      </w:r>
    </w:p>
    <w:p w14:paraId="12CF2A9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6.1.4 关于治安保卫的特别约定：</w:t>
      </w:r>
      <w:r>
        <w:rPr>
          <w:rFonts w:hint="eastAsia" w:ascii="宋体" w:hAnsi="宋体" w:eastAsia="宋体" w:cs="宋体"/>
          <w:sz w:val="24"/>
          <w:szCs w:val="24"/>
          <w:highlight w:val="none"/>
          <w:u w:val="single"/>
        </w:rPr>
        <w:t xml:space="preserve"> 承包方负责人为所承包项目的综合治理、两防两保、防恐维稳的第一责任人。施工项目部应有针对突发治安事件的工作预想及相关处理措施，并建立相关值班、巡守制度。在工程施工过程中，发生暴乱、爆炸等恐怖事件，以及群殴、械斗等群体突发事件的</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rPr>
        <w:t xml:space="preserve">承包人应第一时间向上级有关部门报告，尽量避免人员伤亡和财产损失，并做好有关的善后工作。承包人自行负责其所属范围内的治安保卫工作，如发生任何安全事故，承包人承担负全责，发包人不承担任何责任   </w:t>
      </w:r>
      <w:r>
        <w:rPr>
          <w:rFonts w:hint="eastAsia" w:ascii="宋体" w:hAnsi="宋体" w:eastAsia="宋体" w:cs="宋体"/>
          <w:sz w:val="24"/>
          <w:szCs w:val="24"/>
          <w:highlight w:val="none"/>
        </w:rPr>
        <w:t>。</w:t>
      </w:r>
    </w:p>
    <w:p w14:paraId="3F88F83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关于编制施工场地治安管理计划的约定：</w:t>
      </w:r>
      <w:r>
        <w:rPr>
          <w:rFonts w:hint="eastAsia" w:ascii="宋体" w:hAnsi="宋体" w:eastAsia="宋体" w:cs="宋体"/>
          <w:sz w:val="24"/>
          <w:szCs w:val="24"/>
          <w:highlight w:val="none"/>
          <w:u w:val="single"/>
        </w:rPr>
        <w:t xml:space="preserve"> 结合工地所处地段的</w:t>
      </w:r>
      <w:r>
        <w:rPr>
          <w:rFonts w:hint="eastAsia" w:ascii="宋体" w:hAnsi="宋体" w:eastAsia="宋体" w:cs="宋体"/>
          <w:sz w:val="24"/>
          <w:szCs w:val="24"/>
          <w:highlight w:val="none"/>
          <w:u w:val="single"/>
          <w:lang w:eastAsia="zh-CN"/>
        </w:rPr>
        <w:t>环境及</w:t>
      </w:r>
      <w:r>
        <w:rPr>
          <w:rFonts w:hint="eastAsia" w:ascii="宋体" w:hAnsi="宋体" w:eastAsia="宋体" w:cs="宋体"/>
          <w:sz w:val="24"/>
          <w:szCs w:val="24"/>
          <w:highlight w:val="none"/>
          <w:u w:val="single"/>
        </w:rPr>
        <w:t>特殊性，开工前2日内编制完成施工场地治安管理计划，并报监理和</w:t>
      </w:r>
      <w:r>
        <w:rPr>
          <w:rFonts w:hint="eastAsia" w:ascii="宋体" w:hAnsi="宋体" w:eastAsia="宋体" w:cs="宋体"/>
          <w:sz w:val="24"/>
          <w:szCs w:val="24"/>
          <w:highlight w:val="none"/>
          <w:u w:val="single"/>
          <w:lang w:eastAsia="zh-CN"/>
        </w:rPr>
        <w:t>发包人</w:t>
      </w:r>
      <w:r>
        <w:rPr>
          <w:rFonts w:hint="eastAsia" w:ascii="宋体" w:hAnsi="宋体" w:eastAsia="宋体" w:cs="宋体"/>
          <w:sz w:val="24"/>
          <w:szCs w:val="24"/>
          <w:highlight w:val="none"/>
          <w:u w:val="single"/>
        </w:rPr>
        <w:t>审核</w:t>
      </w:r>
      <w:r>
        <w:rPr>
          <w:rFonts w:hint="eastAsia" w:ascii="宋体" w:hAnsi="宋体" w:eastAsia="宋体" w:cs="宋体"/>
          <w:sz w:val="24"/>
          <w:szCs w:val="24"/>
          <w:highlight w:val="none"/>
          <w:u w:val="single"/>
          <w:lang w:eastAsia="zh-CN"/>
        </w:rPr>
        <w:t>；自承包人进入施工现场之日起，因为承包人的施工行为（包括但不限于施工准备行为、安全防护措施、实际施工行为等）、施工现场的施工设施、设备、材料等造成的承包人人员、财产损害、第三方人员、财产损害的均由承包人无条件承担一切责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11C250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6.1.5 文明施工</w:t>
      </w:r>
    </w:p>
    <w:p w14:paraId="2C61AEE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合同当事人对文明施工的要求：</w:t>
      </w:r>
      <w:r>
        <w:rPr>
          <w:rFonts w:hint="eastAsia" w:ascii="宋体" w:hAnsi="宋体" w:eastAsia="宋体" w:cs="宋体"/>
          <w:sz w:val="24"/>
          <w:szCs w:val="24"/>
          <w:highlight w:val="none"/>
          <w:u w:val="single"/>
        </w:rPr>
        <w:t>达到新疆维吾尔自治区文明施工要求</w:t>
      </w:r>
      <w:r>
        <w:rPr>
          <w:rFonts w:hint="eastAsia" w:ascii="宋体" w:hAnsi="宋体" w:eastAsia="宋体" w:cs="宋体"/>
          <w:sz w:val="24"/>
          <w:szCs w:val="24"/>
          <w:highlight w:val="none"/>
          <w:u w:val="single"/>
          <w:lang w:eastAsia="zh-CN"/>
        </w:rPr>
        <w:t>：</w:t>
      </w:r>
    </w:p>
    <w:p w14:paraId="515EA07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lang w:eastAsia="zh-CN"/>
        </w:rPr>
        <w:t>承包人应采取有效管理措施，保证施工现场特种作业人员均持有有效证件，经过安全培训合格后持证上岗。</w:t>
      </w:r>
    </w:p>
    <w:p w14:paraId="393FDA1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2、</w:t>
      </w:r>
      <w:r>
        <w:rPr>
          <w:rFonts w:hint="eastAsia" w:ascii="宋体" w:hAnsi="宋体" w:eastAsia="宋体" w:cs="宋体"/>
          <w:sz w:val="24"/>
          <w:szCs w:val="24"/>
          <w:highlight w:val="none"/>
          <w:u w:val="single"/>
          <w:lang w:eastAsia="zh-CN"/>
        </w:rPr>
        <w:t>承包人必须认真组织实施施工组织设计中制定的安全防护、文明施工措施，严格执行《消防法》、《建设工程施工现场消防安全技术规范》及自治区的相关安全消防管理规定。承包人必须根据现场情况制定严格的用火、用电制度和消防设施管理制度，严禁现场吸烟和违章用水、用电以及其他可能导致火灾事故和人身伤亡事故的行为。</w:t>
      </w:r>
    </w:p>
    <w:p w14:paraId="681888E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3、</w:t>
      </w:r>
      <w:r>
        <w:rPr>
          <w:rFonts w:hint="eastAsia" w:ascii="宋体" w:hAnsi="宋体" w:eastAsia="宋体" w:cs="宋体"/>
          <w:sz w:val="24"/>
          <w:szCs w:val="24"/>
          <w:highlight w:val="none"/>
          <w:u w:val="single"/>
          <w:lang w:eastAsia="zh-CN"/>
        </w:rPr>
        <w:t>承包人在施工过程中，遵守有关环境保护的法律、法规，履行环境保护义务，并对违反法律、法规所造成的环境破坏、人身伤害和财产损失全权负责。承包人应按批准的施工环保措施计划有序地堆放和处理施工废弃物，避免对环境造成的破坏，保持现场清洁，不得出现不必要的障碍。各类设备和材料应妥善存放，并随时将废料、垃圾及不再需要的临时设施清运出施工现场。当承包人未能按要求完成清理工作，发包人可指定他人完成此项工作，其费用从发包人向承包人支付的的任何款项中扣除。</w:t>
      </w:r>
    </w:p>
    <w:p w14:paraId="3A84B38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4、</w:t>
      </w:r>
      <w:r>
        <w:rPr>
          <w:rFonts w:hint="eastAsia" w:ascii="宋体" w:hAnsi="宋体" w:eastAsia="宋体" w:cs="宋体"/>
          <w:sz w:val="24"/>
          <w:szCs w:val="24"/>
          <w:highlight w:val="none"/>
          <w:u w:val="single"/>
          <w:lang w:eastAsia="zh-CN"/>
        </w:rPr>
        <w:t>承包人加强对噪音、粉尘、废气、废水和废油的控制，降低噪音、控制粉尘和废气浓度，做好废水和废油的治理和排放。</w:t>
      </w:r>
    </w:p>
    <w:p w14:paraId="687C568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u w:val="single"/>
          <w:lang w:eastAsia="zh-CN"/>
        </w:rPr>
        <w:t>因承包人任意堆放、排放废水、废油或弃置施工废弃物造成妨碍公共交通、影响城镇居民生活、危及居民安全、破坏周边环境等后果，承包人承担一切责任和费用。</w:t>
      </w:r>
    </w:p>
    <w:p w14:paraId="166A3CC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lang w:eastAsia="zh-CN"/>
        </w:rPr>
        <w:t>施工场地周围地下管线和邻近建筑物、构筑物（含文物保护建筑）、古树名木的保护要求及费用承担：承包人被认为在送交投标文件之前，已进行了现场考察，对现场和其周围环境以及可得到的有关资料进行了查看和核查，承包人已取得可能对投标有影响或起作用的风险、意外等必要资料。承包人应采取一切合理的措施，保护施工场地内外环境并防止由于其作业方法导致的污染、噪音或其它原因造成的，对周围地下管线和邻近建筑物、构筑物（文物保护建筑）、古树名木等的伤害和受损。</w:t>
      </w:r>
    </w:p>
    <w:p w14:paraId="2FC9D25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7、</w:t>
      </w:r>
      <w:r>
        <w:rPr>
          <w:rFonts w:hint="eastAsia" w:ascii="宋体" w:hAnsi="宋体" w:eastAsia="宋体" w:cs="宋体"/>
          <w:sz w:val="24"/>
          <w:szCs w:val="24"/>
          <w:highlight w:val="none"/>
          <w:u w:val="single"/>
          <w:lang w:eastAsia="zh-CN"/>
        </w:rPr>
        <w:t>做好施工现场（包括进出口附近道路）的整洁卫生，搞好文明施工，工程验收一周前应作好清场工作。</w:t>
      </w:r>
    </w:p>
    <w:p w14:paraId="40343DC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val="en-US" w:eastAsia="zh-CN"/>
        </w:rPr>
        <w:t>8、</w:t>
      </w:r>
      <w:r>
        <w:rPr>
          <w:rFonts w:hint="eastAsia" w:ascii="宋体" w:hAnsi="宋体" w:eastAsia="宋体" w:cs="宋体"/>
          <w:sz w:val="24"/>
          <w:szCs w:val="24"/>
          <w:highlight w:val="none"/>
          <w:u w:val="single"/>
          <w:lang w:eastAsia="zh-CN"/>
        </w:rPr>
        <w:t>减少夜间噪声：承包人不得在夜间安排噪声很大的机械施工。若承包人违反有关安全文明施工、扬尘治理的有关规定，情节严重的发包人有权终止合同。由此造成政府相关部门处罚的亦由承包人自行承担。</w:t>
      </w:r>
    </w:p>
    <w:p w14:paraId="4FEB670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9、安全、文明施工不符合施工要求的，承包人承担一切责任和费用。并向发包人支付合同价款1 %—10%的违约金。违约金可从发包人向承包人支付的任何款项中扣除。同时造成政府相关部门处罚的亦由承包人自行承担。</w:t>
      </w:r>
    </w:p>
    <w:p w14:paraId="5A141E89">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6.1.6 关于安全文明施工费支付比例和支付期限的约定：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10B6D9F7">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6.1.7紧急情况处理：</w:t>
      </w:r>
      <w:r>
        <w:rPr>
          <w:rFonts w:hint="eastAsia" w:ascii="宋体" w:hAnsi="宋体" w:eastAsia="宋体" w:cs="宋体"/>
          <w:sz w:val="24"/>
          <w:szCs w:val="24"/>
          <w:highlight w:val="none"/>
          <w:u w:val="single"/>
          <w:lang w:val="en-US" w:eastAsia="zh-CN"/>
        </w:rPr>
        <w:t>执行通用条款6.1.7款</w:t>
      </w:r>
      <w:r>
        <w:rPr>
          <w:rFonts w:hint="eastAsia" w:ascii="宋体" w:hAnsi="宋体" w:eastAsia="宋体" w:cs="宋体"/>
          <w:sz w:val="24"/>
          <w:szCs w:val="24"/>
          <w:highlight w:val="none"/>
          <w:lang w:val="en-US" w:eastAsia="zh-CN"/>
        </w:rPr>
        <w:t>。</w:t>
      </w:r>
    </w:p>
    <w:p w14:paraId="5F99EE71">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6.3 扬尘污染防治</w:t>
      </w:r>
    </w:p>
    <w:p w14:paraId="5E245E3A">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en-US" w:eastAsia="zh-CN"/>
        </w:rPr>
        <w:t>6.3.1 项目扬尘污染防治达标目标及相应事项的约定：</w:t>
      </w:r>
      <w:r>
        <w:rPr>
          <w:rFonts w:hint="eastAsia" w:ascii="宋体" w:hAnsi="宋体" w:eastAsia="宋体" w:cs="宋体"/>
          <w:sz w:val="24"/>
          <w:szCs w:val="24"/>
          <w:highlight w:val="none"/>
          <w:u w:val="single"/>
          <w:lang w:val="en-US" w:eastAsia="zh-CN"/>
        </w:rPr>
        <w:t>要求达到《乌鲁木齐建筑工程施工现场扬尘污染防治实施细则》标准，及业主对安全文明措施项目的标准和要示执行。</w:t>
      </w:r>
    </w:p>
    <w:p w14:paraId="540A8F81">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6.3.2 关于扬尘污染防治费支付比例和支付期限的约定：</w:t>
      </w:r>
      <w:r>
        <w:rPr>
          <w:rFonts w:hint="eastAsia" w:ascii="宋体" w:hAnsi="宋体" w:eastAsia="宋体" w:cs="宋体"/>
          <w:sz w:val="24"/>
          <w:szCs w:val="24"/>
          <w:highlight w:val="none"/>
          <w:u w:val="single"/>
          <w:lang w:val="en-US" w:eastAsia="zh-CN"/>
        </w:rPr>
        <w:t xml:space="preserve">   /  </w:t>
      </w:r>
      <w:r>
        <w:rPr>
          <w:rFonts w:hint="eastAsia" w:ascii="宋体" w:hAnsi="宋体" w:eastAsia="宋体" w:cs="宋体"/>
          <w:sz w:val="24"/>
          <w:szCs w:val="24"/>
          <w:highlight w:val="none"/>
          <w:lang w:val="en-US" w:eastAsia="zh-CN"/>
        </w:rPr>
        <w:t>。</w:t>
      </w:r>
    </w:p>
    <w:p w14:paraId="45C13836">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6.3.3 其它环境保护措施：</w:t>
      </w:r>
      <w:r>
        <w:rPr>
          <w:rFonts w:hint="eastAsia" w:ascii="宋体" w:hAnsi="宋体" w:eastAsia="宋体" w:cs="宋体"/>
          <w:sz w:val="24"/>
          <w:szCs w:val="24"/>
          <w:highlight w:val="none"/>
          <w:u w:val="single"/>
          <w:lang w:val="en-US" w:eastAsia="zh-CN"/>
        </w:rPr>
        <w:t>执行通用条款</w:t>
      </w:r>
      <w:r>
        <w:rPr>
          <w:rFonts w:hint="eastAsia" w:ascii="宋体" w:hAnsi="宋体" w:eastAsia="宋体" w:cs="宋体"/>
          <w:sz w:val="24"/>
          <w:szCs w:val="24"/>
          <w:highlight w:val="none"/>
          <w:lang w:val="en-US" w:eastAsia="zh-CN"/>
        </w:rPr>
        <w:t>。</w:t>
      </w:r>
    </w:p>
    <w:bookmarkEnd w:id="1023"/>
    <w:bookmarkEnd w:id="1024"/>
    <w:bookmarkEnd w:id="1025"/>
    <w:bookmarkEnd w:id="1026"/>
    <w:bookmarkEnd w:id="1027"/>
    <w:bookmarkEnd w:id="1028"/>
    <w:bookmarkEnd w:id="1029"/>
    <w:p w14:paraId="5CDCD9C8">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031" w:name="_Toc351203639"/>
      <w:r>
        <w:rPr>
          <w:rFonts w:hint="eastAsia" w:ascii="宋体" w:hAnsi="宋体" w:eastAsia="宋体" w:cs="宋体"/>
          <w:b w:val="0"/>
          <w:color w:val="000000"/>
          <w:sz w:val="24"/>
          <w:szCs w:val="24"/>
          <w:highlight w:val="none"/>
        </w:rPr>
        <w:t>7. 工期和进度</w:t>
      </w:r>
      <w:bookmarkEnd w:id="1031"/>
    </w:p>
    <w:p w14:paraId="35B8099F">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7.1 施工组织设计</w:t>
      </w:r>
    </w:p>
    <w:p w14:paraId="53E77AB8">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 xml:space="preserve">7.1.1 </w:t>
      </w:r>
      <w:r>
        <w:rPr>
          <w:rFonts w:hint="eastAsia" w:ascii="宋体" w:hAnsi="宋体" w:eastAsia="宋体" w:cs="宋体"/>
          <w:color w:val="000000"/>
          <w:sz w:val="24"/>
          <w:szCs w:val="24"/>
          <w:highlight w:val="none"/>
        </w:rPr>
        <w:t>合</w:t>
      </w:r>
      <w:r>
        <w:rPr>
          <w:rFonts w:hint="eastAsia" w:ascii="宋体" w:hAnsi="宋体" w:eastAsia="宋体" w:cs="宋体"/>
          <w:color w:val="000000"/>
          <w:kern w:val="0"/>
          <w:sz w:val="24"/>
          <w:szCs w:val="24"/>
          <w:highlight w:val="none"/>
        </w:rPr>
        <w:t>同当事人约定的施工组织设计应包括的其他内容：</w:t>
      </w:r>
      <w:r>
        <w:rPr>
          <w:rFonts w:hint="eastAsia" w:ascii="宋体" w:hAnsi="宋体" w:eastAsia="宋体" w:cs="宋体"/>
          <w:sz w:val="24"/>
          <w:szCs w:val="24"/>
          <w:highlight w:val="none"/>
          <w:u w:val="single"/>
        </w:rPr>
        <w:t xml:space="preserve"> 执行通用条款及发包人提出的其他具体要求编制 </w:t>
      </w:r>
      <w:r>
        <w:rPr>
          <w:rFonts w:hint="eastAsia" w:ascii="宋体" w:hAnsi="宋体" w:eastAsia="宋体" w:cs="宋体"/>
          <w:sz w:val="24"/>
          <w:szCs w:val="24"/>
          <w:highlight w:val="none"/>
        </w:rPr>
        <w:t>。</w:t>
      </w:r>
    </w:p>
    <w:p w14:paraId="67ECD65E">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7.1.2</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施工组织设计的提交和修改</w:t>
      </w:r>
    </w:p>
    <w:p w14:paraId="765B358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承包人提交详细施工组织设计的期限的约定：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以甲方通知入场时间为准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C0428D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发包人和监理人在收到详细的施工组织设计后确认或提出修改意见的期限：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收到承包人报告</w:t>
      </w:r>
      <w:r>
        <w:rPr>
          <w:rFonts w:hint="eastAsia" w:ascii="宋体" w:hAnsi="宋体" w:eastAsia="宋体" w:cs="宋体"/>
          <w:sz w:val="24"/>
          <w:szCs w:val="24"/>
          <w:highlight w:val="none"/>
          <w:u w:val="single"/>
          <w:lang w:val="en-US" w:eastAsia="zh-CN"/>
        </w:rPr>
        <w:t>48小时内</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FE7867F">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bookmarkStart w:id="1032" w:name="_Toc297216173"/>
      <w:bookmarkStart w:id="1033" w:name="_Toc312677479"/>
      <w:bookmarkStart w:id="1034" w:name="_Toc303539123"/>
      <w:bookmarkStart w:id="1035" w:name="_Toc304295541"/>
      <w:bookmarkStart w:id="1036" w:name="_Toc312678005"/>
      <w:bookmarkStart w:id="1037" w:name="_Toc297123514"/>
      <w:bookmarkStart w:id="1038" w:name="_Toc300934966"/>
      <w:r>
        <w:rPr>
          <w:rFonts w:hint="eastAsia" w:ascii="宋体" w:hAnsi="宋体" w:eastAsia="宋体" w:cs="宋体"/>
          <w:color w:val="000000"/>
          <w:sz w:val="24"/>
          <w:szCs w:val="24"/>
          <w:highlight w:val="none"/>
        </w:rPr>
        <w:t>.2 施工进度计划</w:t>
      </w:r>
    </w:p>
    <w:p w14:paraId="45B489D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7.2.2 施工进度计划的修订</w:t>
      </w:r>
    </w:p>
    <w:p w14:paraId="59D9705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color w:val="000000"/>
          <w:sz w:val="24"/>
          <w:szCs w:val="24"/>
          <w:highlight w:val="none"/>
        </w:rPr>
        <w:t>发包人和监理人在收到修订的施工进度计划后确认或提出修改意见的期限：</w:t>
      </w:r>
      <w:r>
        <w:rPr>
          <w:rFonts w:hint="eastAsia" w:ascii="宋体" w:hAnsi="宋体" w:eastAsia="宋体" w:cs="宋体"/>
          <w:sz w:val="24"/>
          <w:szCs w:val="24"/>
          <w:highlight w:val="none"/>
          <w:u w:val="single"/>
        </w:rPr>
        <w:t xml:space="preserve"> 发包人和监理人应在收到修订的施工进度计划后48小时内完成审核和批准或提出修改意见。除执行通用合同条款外，还应执行：</w:t>
      </w:r>
    </w:p>
    <w:p w14:paraId="04B7FC8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rPr>
        <w:t>承包人必须按批准的进度计划组织施工，接受发包人代表和监理人对工程进度的检查监督，</w:t>
      </w:r>
      <w:r>
        <w:rPr>
          <w:rFonts w:hint="eastAsia" w:ascii="宋体" w:hAnsi="宋体" w:eastAsia="宋体" w:cs="宋体"/>
          <w:sz w:val="24"/>
          <w:szCs w:val="24"/>
          <w:highlight w:val="none"/>
          <w:u w:val="single"/>
          <w:lang w:eastAsia="zh-CN"/>
        </w:rPr>
        <w:t>如遇不可抗力，</w:t>
      </w:r>
      <w:r>
        <w:rPr>
          <w:rFonts w:hint="eastAsia" w:ascii="宋体" w:hAnsi="宋体" w:eastAsia="宋体" w:cs="宋体"/>
          <w:sz w:val="24"/>
          <w:szCs w:val="24"/>
          <w:highlight w:val="none"/>
          <w:u w:val="single"/>
        </w:rPr>
        <w:t>造成工程的实际进度与合同进度计划不符时，承包人应按监理人和发包人代表的指示在3天内提交一份修订的进度计划报送监理人和发包人代表审批。批准后的修订进度计划作为实际实施的合同进度计划。承包人无权就加快进度采取措施提出追加合同价格。</w:t>
      </w:r>
    </w:p>
    <w:p w14:paraId="3CF3731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u w:val="single"/>
          <w:lang w:val="en-US" w:eastAsia="zh-CN"/>
        </w:rPr>
        <w:t>2、</w:t>
      </w:r>
      <w:r>
        <w:rPr>
          <w:rFonts w:hint="eastAsia" w:ascii="宋体" w:hAnsi="宋体" w:eastAsia="宋体" w:cs="宋体"/>
          <w:sz w:val="24"/>
          <w:szCs w:val="24"/>
          <w:highlight w:val="none"/>
          <w:u w:val="single"/>
        </w:rPr>
        <w:t>承包人在施工过程中，不允许以任何理由拖延工</w:t>
      </w:r>
      <w:r>
        <w:rPr>
          <w:rFonts w:hint="eastAsia" w:ascii="宋体" w:hAnsi="宋体" w:eastAsia="宋体" w:cs="宋体"/>
          <w:sz w:val="24"/>
          <w:szCs w:val="24"/>
          <w:highlight w:val="none"/>
          <w:u w:val="single"/>
          <w:lang w:eastAsia="zh-CN"/>
        </w:rPr>
        <w:t>期</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eastAsia="zh-CN"/>
        </w:rPr>
        <w:t>如因承包人问题，</w:t>
      </w:r>
      <w:r>
        <w:rPr>
          <w:rFonts w:hint="eastAsia" w:ascii="宋体" w:hAnsi="宋体" w:eastAsia="宋体" w:cs="宋体"/>
          <w:sz w:val="24"/>
          <w:szCs w:val="24"/>
          <w:highlight w:val="none"/>
          <w:u w:val="single"/>
        </w:rPr>
        <w:t>造成施工进度计划</w:t>
      </w:r>
      <w:r>
        <w:rPr>
          <w:rFonts w:hint="eastAsia" w:ascii="宋体" w:hAnsi="宋体" w:eastAsia="宋体" w:cs="宋体"/>
          <w:sz w:val="24"/>
          <w:szCs w:val="24"/>
          <w:highlight w:val="none"/>
          <w:u w:val="single"/>
          <w:lang w:eastAsia="zh-CN"/>
        </w:rPr>
        <w:t>滞后</w:t>
      </w:r>
      <w:r>
        <w:rPr>
          <w:rFonts w:hint="eastAsia" w:ascii="宋体" w:hAnsi="宋体" w:eastAsia="宋体" w:cs="宋体"/>
          <w:sz w:val="24"/>
          <w:szCs w:val="24"/>
          <w:highlight w:val="none"/>
          <w:u w:val="single"/>
        </w:rPr>
        <w:t>，承包人均应按监理人和发包人代表的指示，采取有效措施加快工程进度。承包人应在向监理人和发包人代表报送修订进度计划的同时，编制一份赶工措施报告报送监理人和发包人代表审批，加快工程进度措施应以保证工程按期完工为前提调整和修改进度计划。承包人无权因采取此种措施而获得任何追加款项</w:t>
      </w:r>
      <w:r>
        <w:rPr>
          <w:rFonts w:hint="eastAsia" w:ascii="宋体" w:hAnsi="宋体" w:eastAsia="宋体" w:cs="宋体"/>
          <w:sz w:val="24"/>
          <w:szCs w:val="24"/>
          <w:highlight w:val="none"/>
        </w:rPr>
        <w:t>。</w:t>
      </w:r>
    </w:p>
    <w:p w14:paraId="731E39D2">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7.3 开工</w:t>
      </w:r>
    </w:p>
    <w:p w14:paraId="22C1677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7.3.1 开工准备</w:t>
      </w:r>
    </w:p>
    <w:p w14:paraId="31A26DB6">
      <w:pPr>
        <w:pageBreakBefore w:val="0"/>
        <w:widowControl w:val="0"/>
        <w:kinsoku/>
        <w:wordWrap/>
        <w:overflowPunct/>
        <w:topLinePunct w:val="0"/>
        <w:bidi w:val="0"/>
        <w:snapToGrid/>
        <w:spacing w:line="480" w:lineRule="exact"/>
        <w:ind w:firstLine="645"/>
        <w:jc w:val="left"/>
        <w:textAlignment w:val="auto"/>
        <w:rPr>
          <w:rFonts w:hint="eastAsia" w:ascii="宋体" w:hAnsi="宋体" w:eastAsia="宋体" w:cs="宋体"/>
          <w:sz w:val="24"/>
          <w:szCs w:val="24"/>
          <w:highlight w:val="none"/>
          <w:u w:val="single"/>
        </w:rPr>
      </w:pPr>
      <w:r>
        <w:rPr>
          <w:rFonts w:hint="eastAsia" w:ascii="宋体" w:hAnsi="宋体" w:eastAsia="宋体" w:cs="宋体"/>
          <w:color w:val="000000"/>
          <w:sz w:val="24"/>
          <w:szCs w:val="24"/>
          <w:highlight w:val="none"/>
        </w:rPr>
        <w:t>关于承包人提交</w:t>
      </w:r>
      <w:r>
        <w:rPr>
          <w:rFonts w:hint="eastAsia" w:ascii="宋体" w:hAnsi="宋体" w:eastAsia="宋体" w:cs="宋体"/>
          <w:color w:val="000000"/>
          <w:kern w:val="0"/>
          <w:sz w:val="24"/>
          <w:szCs w:val="24"/>
          <w:highlight w:val="none"/>
        </w:rPr>
        <w:t>工程开工报审表的期限：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开工前</w:t>
      </w:r>
      <w:r>
        <w:rPr>
          <w:rFonts w:hint="eastAsia" w:ascii="宋体" w:hAnsi="宋体" w:eastAsia="宋体" w:cs="宋体"/>
          <w:sz w:val="24"/>
          <w:szCs w:val="24"/>
          <w:highlight w:val="none"/>
          <w:u w:val="single"/>
          <w:lang w:val="en-US" w:eastAsia="zh-CN"/>
        </w:rPr>
        <w:t>7日内</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E1BB92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关于发包人应完成的其他开工准备工作及期限：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11445D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关于承包人应完成的其他开工准备工作及期限：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bookmarkEnd w:id="1032"/>
    <w:bookmarkEnd w:id="1033"/>
    <w:bookmarkEnd w:id="1034"/>
    <w:bookmarkEnd w:id="1035"/>
    <w:bookmarkEnd w:id="1036"/>
    <w:bookmarkEnd w:id="1037"/>
    <w:bookmarkEnd w:id="1038"/>
    <w:p w14:paraId="6BD309FB">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7.4 测量放线</w:t>
      </w:r>
    </w:p>
    <w:p w14:paraId="55FF498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7.4.1发包人通过监理人向承包人提供测量基准点、基准线和水准点及其书面资料的期限：</w:t>
      </w:r>
      <w:r>
        <w:rPr>
          <w:rFonts w:hint="eastAsia" w:ascii="宋体" w:hAnsi="宋体" w:eastAsia="宋体" w:cs="宋体"/>
          <w:sz w:val="24"/>
          <w:szCs w:val="24"/>
          <w:highlight w:val="none"/>
          <w:u w:val="single"/>
        </w:rPr>
        <w:t xml:space="preserve">  发包人应在最迟不得晚于（开工通知）载明的开工日期前7天   </w:t>
      </w:r>
      <w:r>
        <w:rPr>
          <w:rFonts w:hint="eastAsia" w:ascii="宋体" w:hAnsi="宋体" w:eastAsia="宋体" w:cs="宋体"/>
          <w:sz w:val="24"/>
          <w:szCs w:val="24"/>
          <w:highlight w:val="none"/>
        </w:rPr>
        <w:t>。</w:t>
      </w:r>
    </w:p>
    <w:p w14:paraId="2FCE36D0">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bookmarkStart w:id="1039" w:name="_Toc303539125"/>
      <w:bookmarkStart w:id="1040" w:name="_Toc300934968"/>
      <w:bookmarkStart w:id="1041" w:name="_Toc312678010"/>
      <w:bookmarkStart w:id="1042" w:name="_Toc297123516"/>
      <w:bookmarkStart w:id="1043" w:name="_Toc297216175"/>
      <w:bookmarkStart w:id="1044" w:name="_Toc312677484"/>
      <w:bookmarkStart w:id="1045" w:name="_Toc304295546"/>
      <w:r>
        <w:rPr>
          <w:rFonts w:hint="eastAsia" w:ascii="宋体" w:hAnsi="宋体" w:eastAsia="宋体" w:cs="宋体"/>
          <w:color w:val="000000"/>
          <w:sz w:val="24"/>
          <w:szCs w:val="24"/>
          <w:highlight w:val="none"/>
        </w:rPr>
        <w:t>.5 工期延误</w:t>
      </w:r>
    </w:p>
    <w:bookmarkEnd w:id="1039"/>
    <w:bookmarkEnd w:id="1040"/>
    <w:bookmarkEnd w:id="1041"/>
    <w:bookmarkEnd w:id="1042"/>
    <w:bookmarkEnd w:id="1043"/>
    <w:bookmarkEnd w:id="1044"/>
    <w:bookmarkEnd w:id="1045"/>
    <w:p w14:paraId="7D45C53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7.5.1 因发包人原因导致工期延误</w:t>
      </w:r>
    </w:p>
    <w:p w14:paraId="0116F2FA">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（7）因发包人原因导致工期延误的其他情形：</w:t>
      </w:r>
      <w:r>
        <w:rPr>
          <w:rFonts w:hint="eastAsia" w:ascii="宋体" w:hAnsi="宋体" w:eastAsia="宋体" w:cs="宋体"/>
          <w:sz w:val="24"/>
          <w:szCs w:val="24"/>
          <w:highlight w:val="none"/>
          <w:u w:val="single"/>
        </w:rPr>
        <w:t xml:space="preserve">  ①重大设计变更②政策处理问题③不可抗力④</w:t>
      </w:r>
      <w:r>
        <w:rPr>
          <w:rFonts w:hint="eastAsia" w:ascii="宋体" w:hAnsi="宋体" w:eastAsia="宋体" w:cs="宋体"/>
          <w:sz w:val="24"/>
          <w:szCs w:val="24"/>
          <w:highlight w:val="none"/>
          <w:u w:val="single"/>
          <w:lang w:eastAsia="zh-CN"/>
        </w:rPr>
        <w:t>其他特殊原因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F1717B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w:t>
      </w:r>
      <w:bookmarkStart w:id="1046" w:name="_Toc312678012"/>
      <w:bookmarkStart w:id="1047" w:name="_Toc318581169"/>
      <w:bookmarkStart w:id="1048" w:name="_Toc312677486"/>
      <w:bookmarkStart w:id="1049" w:name="_Toc297216177"/>
      <w:bookmarkStart w:id="1050" w:name="_Toc297123518"/>
      <w:bookmarkStart w:id="1051" w:name="_Toc304295548"/>
      <w:bookmarkStart w:id="1052" w:name="_Toc300934970"/>
      <w:bookmarkStart w:id="1053" w:name="_Toc303539127"/>
      <w:r>
        <w:rPr>
          <w:rFonts w:hint="eastAsia" w:ascii="宋体" w:hAnsi="宋体" w:eastAsia="宋体" w:cs="宋体"/>
          <w:sz w:val="24"/>
          <w:szCs w:val="24"/>
          <w:highlight w:val="none"/>
        </w:rPr>
        <w:t>.5.2 因承包人原因导致工期延误</w:t>
      </w:r>
    </w:p>
    <w:bookmarkEnd w:id="1046"/>
    <w:bookmarkEnd w:id="1047"/>
    <w:bookmarkEnd w:id="1048"/>
    <w:p w14:paraId="4FF902D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因</w:t>
      </w:r>
      <w:bookmarkStart w:id="1054" w:name="_Toc312677487"/>
      <w:bookmarkStart w:id="1055" w:name="_Toc312678013"/>
      <w:bookmarkStart w:id="1056" w:name="_Toc318581170"/>
      <w:r>
        <w:rPr>
          <w:rFonts w:hint="eastAsia" w:ascii="宋体" w:hAnsi="宋体" w:eastAsia="宋体" w:cs="宋体"/>
          <w:sz w:val="24"/>
          <w:szCs w:val="24"/>
          <w:highlight w:val="none"/>
        </w:rPr>
        <w:t>承包人原因造成工期延误，逾期竣工违约金的计算方法为：</w:t>
      </w:r>
    </w:p>
    <w:p w14:paraId="22440765">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因承包人原因，工程未能按合同约定的工期</w:t>
      </w:r>
      <w:r>
        <w:rPr>
          <w:rFonts w:hint="eastAsia" w:ascii="宋体" w:hAnsi="宋体" w:eastAsia="宋体" w:cs="宋体"/>
          <w:sz w:val="24"/>
          <w:szCs w:val="24"/>
          <w:highlight w:val="none"/>
          <w:u w:val="single"/>
          <w:lang w:eastAsia="zh-CN"/>
        </w:rPr>
        <w:t>完工</w:t>
      </w:r>
      <w:r>
        <w:rPr>
          <w:rFonts w:hint="eastAsia" w:ascii="宋体" w:hAnsi="宋体" w:eastAsia="宋体" w:cs="宋体"/>
          <w:sz w:val="24"/>
          <w:szCs w:val="24"/>
          <w:highlight w:val="none"/>
          <w:u w:val="single"/>
        </w:rPr>
        <w:t>，必须向发包人缴纳逾期竣工违约金。每逾期1日，承包人支付合同总价1%的违约金。逾期超过30日的，发包人有权解除本合同（违约金在工程结算中扣除）。</w:t>
      </w:r>
      <w:bookmarkEnd w:id="1049"/>
      <w:bookmarkEnd w:id="1050"/>
      <w:bookmarkEnd w:id="1051"/>
      <w:bookmarkEnd w:id="1052"/>
      <w:bookmarkEnd w:id="1053"/>
      <w:bookmarkEnd w:id="1054"/>
      <w:bookmarkEnd w:id="1055"/>
    </w:p>
    <w:bookmarkEnd w:id="1056"/>
    <w:p w14:paraId="5A05626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因承包人原因造成工期延误，逾</w:t>
      </w:r>
      <w:bookmarkStart w:id="1057" w:name="_Toc318581171"/>
      <w:bookmarkStart w:id="1058" w:name="_Toc312678014"/>
      <w:r>
        <w:rPr>
          <w:rFonts w:hint="eastAsia" w:ascii="宋体" w:hAnsi="宋体" w:eastAsia="宋体" w:cs="宋体"/>
          <w:sz w:val="24"/>
          <w:szCs w:val="24"/>
          <w:highlight w:val="none"/>
        </w:rPr>
        <w:t>期竣工违约金的上限：</w:t>
      </w:r>
      <w:r>
        <w:rPr>
          <w:rFonts w:hint="eastAsia" w:ascii="宋体" w:hAnsi="宋体" w:eastAsia="宋体" w:cs="宋体"/>
          <w:sz w:val="24"/>
          <w:szCs w:val="24"/>
          <w:highlight w:val="none"/>
          <w:u w:val="single"/>
        </w:rPr>
        <w:t xml:space="preserve"> 不超过合同总价的30% </w:t>
      </w:r>
      <w:r>
        <w:rPr>
          <w:rFonts w:hint="eastAsia" w:ascii="宋体" w:hAnsi="宋体" w:eastAsia="宋体" w:cs="宋体"/>
          <w:sz w:val="24"/>
          <w:szCs w:val="24"/>
          <w:highlight w:val="none"/>
        </w:rPr>
        <w:t>。</w:t>
      </w:r>
    </w:p>
    <w:bookmarkEnd w:id="1057"/>
    <w:bookmarkEnd w:id="1058"/>
    <w:p w14:paraId="0BD2C0A0">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bookmarkStart w:id="1059" w:name="_Toc297123519"/>
      <w:bookmarkStart w:id="1060" w:name="_Toc300934971"/>
      <w:bookmarkStart w:id="1061" w:name="_Toc312678015"/>
      <w:bookmarkStart w:id="1062" w:name="_Toc304295549"/>
      <w:bookmarkStart w:id="1063" w:name="_Toc297216178"/>
      <w:bookmarkStart w:id="1064" w:name="_Toc303539128"/>
      <w:r>
        <w:rPr>
          <w:rFonts w:hint="eastAsia" w:ascii="宋体" w:hAnsi="宋体" w:eastAsia="宋体" w:cs="宋体"/>
          <w:color w:val="000000"/>
          <w:sz w:val="24"/>
          <w:szCs w:val="24"/>
          <w:highlight w:val="none"/>
        </w:rPr>
        <w:t>.6 不</w:t>
      </w:r>
      <w:bookmarkEnd w:id="1059"/>
      <w:bookmarkEnd w:id="1060"/>
      <w:bookmarkEnd w:id="1061"/>
      <w:bookmarkEnd w:id="1062"/>
      <w:bookmarkEnd w:id="1063"/>
      <w:bookmarkEnd w:id="1064"/>
      <w:r>
        <w:rPr>
          <w:rFonts w:hint="eastAsia" w:ascii="宋体" w:hAnsi="宋体" w:eastAsia="宋体" w:cs="宋体"/>
          <w:color w:val="000000"/>
          <w:sz w:val="24"/>
          <w:szCs w:val="24"/>
          <w:highlight w:val="none"/>
        </w:rPr>
        <w:t>利物质条件</w:t>
      </w:r>
    </w:p>
    <w:p w14:paraId="0AF57A5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bookmarkStart w:id="1065" w:name="_Toc297216179"/>
      <w:bookmarkStart w:id="1066" w:name="_Toc303539129"/>
      <w:bookmarkStart w:id="1067" w:name="_Toc318581172"/>
      <w:bookmarkStart w:id="1068" w:name="_Toc297123520"/>
      <w:bookmarkStart w:id="1069" w:name="_Toc304295550"/>
      <w:bookmarkStart w:id="1070" w:name="_Toc300934972"/>
      <w:bookmarkStart w:id="1071" w:name="_Toc312678016"/>
      <w:r>
        <w:rPr>
          <w:rFonts w:hint="eastAsia" w:ascii="宋体" w:hAnsi="宋体" w:eastAsia="宋体" w:cs="宋体"/>
          <w:sz w:val="24"/>
          <w:szCs w:val="24"/>
          <w:highlight w:val="none"/>
        </w:rPr>
        <w:t>不利物质条件的其他情形和有关约定：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bookmarkEnd w:id="1065"/>
    <w:bookmarkEnd w:id="1066"/>
    <w:bookmarkEnd w:id="1067"/>
    <w:bookmarkEnd w:id="1068"/>
    <w:bookmarkEnd w:id="1069"/>
    <w:bookmarkEnd w:id="1070"/>
    <w:bookmarkEnd w:id="1071"/>
    <w:p w14:paraId="70C4010D">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bookmarkStart w:id="1072" w:name="_Toc297216180"/>
      <w:bookmarkStart w:id="1073" w:name="_Toc297123521"/>
      <w:bookmarkStart w:id="1074" w:name="_Toc303539130"/>
      <w:bookmarkStart w:id="1075" w:name="_Toc300934973"/>
      <w:bookmarkStart w:id="1076" w:name="_Toc312678017"/>
      <w:bookmarkStart w:id="1077" w:name="_Toc304295551"/>
      <w:r>
        <w:rPr>
          <w:rFonts w:hint="eastAsia" w:ascii="宋体" w:hAnsi="宋体" w:eastAsia="宋体" w:cs="宋体"/>
          <w:color w:val="000000"/>
          <w:sz w:val="24"/>
          <w:szCs w:val="24"/>
          <w:highlight w:val="none"/>
        </w:rPr>
        <w:t>.7异常恶劣的气候条件</w:t>
      </w:r>
    </w:p>
    <w:bookmarkEnd w:id="1072"/>
    <w:bookmarkEnd w:id="1073"/>
    <w:bookmarkEnd w:id="1074"/>
    <w:bookmarkEnd w:id="1075"/>
    <w:bookmarkEnd w:id="1076"/>
    <w:bookmarkEnd w:id="1077"/>
    <w:p w14:paraId="1CD45A3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发包人和承包人同意以下情形视为异常恶劣的气候条件：</w:t>
      </w:r>
    </w:p>
    <w:p w14:paraId="03EDA13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 xml:space="preserve">  每小时降雨量16毫米以上或24小时降雨在50毫米以上 ；</w:t>
      </w:r>
    </w:p>
    <w:p w14:paraId="5A3089A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（2） 7级以上大风；</w:t>
      </w:r>
    </w:p>
    <w:p w14:paraId="0D4BBB6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（3）  沙尘暴天气  </w:t>
      </w:r>
      <w:r>
        <w:rPr>
          <w:rFonts w:hint="eastAsia" w:ascii="宋体" w:hAnsi="宋体" w:eastAsia="宋体" w:cs="宋体"/>
          <w:sz w:val="24"/>
          <w:szCs w:val="24"/>
          <w:highlight w:val="none"/>
        </w:rPr>
        <w:t>。</w:t>
      </w:r>
    </w:p>
    <w:p w14:paraId="314883E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7.</w:t>
      </w:r>
      <w:r>
        <w:rPr>
          <w:rFonts w:hint="eastAsia" w:ascii="宋体" w:hAnsi="宋体" w:eastAsia="宋体" w:cs="宋体"/>
          <w:color w:val="000000"/>
          <w:sz w:val="24"/>
          <w:szCs w:val="24"/>
          <w:highlight w:val="none"/>
          <w:lang w:val="en-US" w:eastAsia="zh-CN"/>
        </w:rPr>
        <w:t>8暂停施工：</w:t>
      </w:r>
      <w:r>
        <w:rPr>
          <w:rFonts w:hint="eastAsia" w:ascii="宋体" w:hAnsi="宋体" w:eastAsia="宋体" w:cs="宋体"/>
          <w:sz w:val="24"/>
          <w:szCs w:val="24"/>
          <w:highlight w:val="none"/>
          <w:u w:val="single"/>
          <w:lang w:val="en-US" w:eastAsia="zh-CN"/>
        </w:rPr>
        <w:t>执行通用条款。</w:t>
      </w:r>
    </w:p>
    <w:p w14:paraId="642069AD">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7.9 提前竣工的奖励</w:t>
      </w:r>
    </w:p>
    <w:p w14:paraId="7B6588A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7.9.2提前竣工的奖励：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27B82F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7.10其他约定</w:t>
      </w:r>
    </w:p>
    <w:p w14:paraId="3282567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7.10.1承包人自行负责建筑垃圾的清理,交工时必须保证场地的干净整齐，所发生的费用由承包人自行承担。</w:t>
      </w:r>
    </w:p>
    <w:p w14:paraId="77AB336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7.10.2 施工水、电的费用由承包人自理（包括开挖、堆土造成的草坪、树木恢复费用）。</w:t>
      </w:r>
    </w:p>
    <w:p w14:paraId="38AA366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7.10.3承包人在工程施工、竣工及保修的整个过程中对施工现场全部人员的保险及安全负责，费用自理。</w:t>
      </w:r>
    </w:p>
    <w:p w14:paraId="107AF75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7.10.4承包人对在施工过程中聘请的人员，应当签订相应的合同，并按照合同的约定及时发放报酬。承包人与其聘请人员发生的任何争议，以及聘请人员有任何人生伤亡的，均由承包人自行解决并承担全部责任。因承包人与其聘请人员发生争议而影响施工进度、工程质量的，给发包方造成损失的，承包人承担相应的赔偿责任，发包方还有权单方解除合同。</w:t>
      </w:r>
    </w:p>
    <w:p w14:paraId="544FFAF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7.10.5承包人应确保安全施工、文明施工，并自行为其聘请人员缴纳社保或购买相应的保险、支付相关费用，在施工过程中产生的劳务费用纠纷、劳动用工纠纷、工伤纠纷、人身损害赔偿纠纷等任何纠纷，由承包人承担相应的责任；因此给发包人造成任何损失的，承包人每次向发包人支付签约合同价款1 %-10%的违约金，并承担因此给发包方造成的损失</w:t>
      </w:r>
      <w:r>
        <w:rPr>
          <w:rFonts w:hint="eastAsia" w:ascii="宋体" w:hAnsi="宋体" w:eastAsia="宋体" w:cs="宋体"/>
          <w:sz w:val="24"/>
          <w:szCs w:val="24"/>
          <w:highlight w:val="none"/>
          <w:u w:val="none"/>
          <w:lang w:val="en-US" w:eastAsia="zh-CN"/>
        </w:rPr>
        <w:t>。</w:t>
      </w:r>
    </w:p>
    <w:p w14:paraId="218BE8D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single"/>
          <w:lang w:val="en-US" w:eastAsia="zh-CN"/>
        </w:rPr>
        <w:t>7.10.6承包人应具备该工程所需的施工资质，并确保其工作人员具有该工程所需的资格证书。否则因此给发包人造成任何损失的，承包人每次向发包人支付签约合同价款1 %-10%的违约金，并承担因此给发包方造成的损失</w:t>
      </w:r>
      <w:r>
        <w:rPr>
          <w:rFonts w:hint="eastAsia" w:ascii="宋体" w:hAnsi="宋体" w:eastAsia="宋体" w:cs="宋体"/>
          <w:sz w:val="24"/>
          <w:szCs w:val="24"/>
          <w:highlight w:val="none"/>
          <w:u w:val="none"/>
          <w:lang w:val="en-US" w:eastAsia="zh-CN"/>
        </w:rPr>
        <w:t>。</w:t>
      </w:r>
    </w:p>
    <w:p w14:paraId="1BE1A03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rPr>
        <w:t>7.10.7未经发包人书面同意,承包人不得将本合同项下的任何权利义务 (包含债权、债务)转让给任何第三人。若未经发包人同意，承包人即使向发包人发送了权利义务 (包含债权、债务)转让通知书，承包人承诺该转让通知书对发包人不发生任何效力。承包人承担因其转让行为给发包人造成的一切损失（包括但不限于利息损失、律师费、诉讼费、鉴定费、公证费、差旅费等一切费用以及相关法律责任），除此之外，承包人还应按照本合同16.2.2违约责任中第19项约定向发包人承担违约责任。</w:t>
      </w:r>
    </w:p>
    <w:p w14:paraId="55A67F21">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078" w:name="_Toc351203640"/>
      <w:r>
        <w:rPr>
          <w:rFonts w:hint="eastAsia" w:ascii="宋体" w:hAnsi="宋体" w:eastAsia="宋体" w:cs="宋体"/>
          <w:b w:val="0"/>
          <w:color w:val="000000"/>
          <w:sz w:val="24"/>
          <w:szCs w:val="24"/>
          <w:highlight w:val="none"/>
        </w:rPr>
        <w:t>8. 材料与设备</w:t>
      </w:r>
      <w:bookmarkEnd w:id="1078"/>
    </w:p>
    <w:bookmarkEnd w:id="1013"/>
    <w:bookmarkEnd w:id="1014"/>
    <w:bookmarkEnd w:id="1015"/>
    <w:bookmarkEnd w:id="1016"/>
    <w:bookmarkEnd w:id="1017"/>
    <w:bookmarkEnd w:id="1018"/>
    <w:bookmarkEnd w:id="1019"/>
    <w:bookmarkEnd w:id="1020"/>
    <w:bookmarkEnd w:id="1021"/>
    <w:bookmarkEnd w:id="1022"/>
    <w:p w14:paraId="10269FF9">
      <w:pPr>
        <w:pStyle w:val="8"/>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b w:val="0"/>
          <w:color w:val="000000"/>
          <w:sz w:val="24"/>
          <w:szCs w:val="24"/>
          <w:highlight w:val="none"/>
        </w:rPr>
        <w:t>8.2承包人采购材料与工程设备</w:t>
      </w:r>
    </w:p>
    <w:p w14:paraId="275EC324">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负责采购材料、工程设备的，应按照设计和有关标准要求采购，并提供产品合格证明及出厂证明，对材料、工程设备质量负责。大宗材料需甲方书面授权，乙方按需采购，甲方监督乙方合格建筑材料进入施工现场，不合格产品必须清退出场，严禁使用</w:t>
      </w:r>
    </w:p>
    <w:p w14:paraId="45216649">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w:t>
      </w:r>
      <w:bookmarkStart w:id="1079" w:name="_Toc297216186"/>
      <w:bookmarkStart w:id="1080" w:name="_Toc297123527"/>
      <w:bookmarkStart w:id="1081" w:name="_Toc296347166"/>
      <w:bookmarkStart w:id="1082" w:name="_Toc304295556"/>
      <w:bookmarkStart w:id="1083" w:name="_Toc292559877"/>
      <w:bookmarkStart w:id="1084" w:name="_Toc297120467"/>
      <w:bookmarkStart w:id="1085" w:name="_Toc296890995"/>
      <w:bookmarkStart w:id="1086" w:name="_Toc296944506"/>
      <w:bookmarkStart w:id="1087" w:name="_Toc296503167"/>
      <w:bookmarkStart w:id="1088" w:name="_Toc312677493"/>
      <w:bookmarkStart w:id="1089" w:name="_Toc296891207"/>
      <w:bookmarkStart w:id="1090" w:name="_Toc303539136"/>
      <w:bookmarkStart w:id="1091" w:name="_Toc280868654"/>
      <w:bookmarkStart w:id="1092" w:name="_Toc292559372"/>
      <w:bookmarkStart w:id="1093" w:name="_Toc312678019"/>
      <w:bookmarkStart w:id="1094" w:name="_Toc296346668"/>
      <w:bookmarkStart w:id="1095" w:name="_Toc297048353"/>
      <w:bookmarkStart w:id="1096" w:name="_Toc300934979"/>
      <w:bookmarkStart w:id="1097" w:name="_Toc280868655"/>
      <w:bookmarkStart w:id="1098" w:name="_Toc280868656"/>
      <w:bookmarkStart w:id="1099" w:name="_Toc267251424"/>
      <w:r>
        <w:rPr>
          <w:rFonts w:hint="eastAsia" w:ascii="宋体" w:hAnsi="宋体" w:eastAsia="宋体" w:cs="宋体"/>
          <w:color w:val="000000"/>
          <w:sz w:val="24"/>
          <w:szCs w:val="24"/>
          <w:highlight w:val="none"/>
        </w:rPr>
        <w:t>.4材料与工程设备的保管与使用</w:t>
      </w:r>
    </w:p>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14:paraId="4A69628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w:t>
      </w:r>
      <w:bookmarkStart w:id="1100" w:name="_Toc292559878"/>
      <w:bookmarkStart w:id="1101" w:name="_Toc292559373"/>
      <w:bookmarkStart w:id="1102" w:name="_Toc297216187"/>
      <w:bookmarkStart w:id="1103" w:name="_Toc297123528"/>
      <w:bookmarkStart w:id="1104" w:name="_Toc304295557"/>
      <w:bookmarkStart w:id="1105" w:name="_Toc300934980"/>
      <w:bookmarkStart w:id="1106" w:name="_Toc312677494"/>
      <w:bookmarkStart w:id="1107" w:name="_Toc296891208"/>
      <w:bookmarkStart w:id="1108" w:name="_Toc297048354"/>
      <w:bookmarkStart w:id="1109" w:name="_Toc318581173"/>
      <w:bookmarkStart w:id="1110" w:name="_Toc296890996"/>
      <w:bookmarkStart w:id="1111" w:name="_Toc296346669"/>
      <w:bookmarkStart w:id="1112" w:name="_Toc297120468"/>
      <w:bookmarkStart w:id="1113" w:name="_Toc303539137"/>
      <w:bookmarkStart w:id="1114" w:name="_Toc296503168"/>
      <w:bookmarkStart w:id="1115" w:name="_Toc312678020"/>
      <w:bookmarkStart w:id="1116" w:name="_Toc296944507"/>
      <w:bookmarkStart w:id="1117" w:name="_Toc296347167"/>
      <w:r>
        <w:rPr>
          <w:rFonts w:hint="eastAsia" w:ascii="宋体" w:hAnsi="宋体" w:eastAsia="宋体" w:cs="宋体"/>
          <w:sz w:val="24"/>
          <w:szCs w:val="24"/>
          <w:highlight w:val="none"/>
        </w:rPr>
        <w:t>.4.1发包人供应的材料设备的保管费用的承担：</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bookmarkEnd w:id="1100"/>
      <w:bookmarkEnd w:id="1101"/>
    </w:p>
    <w:p w14:paraId="7FE94B7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8.4.2承包人采购材料与工程设备的保管与使用：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38931F4">
      <w:pPr>
        <w:pageBreakBefore w:val="0"/>
        <w:widowControl w:val="0"/>
        <w:kinsoku/>
        <w:wordWrap/>
        <w:overflowPunct/>
        <w:topLinePunct w:val="0"/>
        <w:bidi w:val="0"/>
        <w:snapToGrid/>
        <w:spacing w:line="480" w:lineRule="exact"/>
        <w:ind w:firstLine="60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8.5禁止使用不合格的材料和工程设备</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D7ABC06">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8.6 样品</w:t>
      </w:r>
    </w:p>
    <w:p w14:paraId="371AFA20">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8.6.1</w:t>
      </w:r>
      <w:r>
        <w:rPr>
          <w:rFonts w:hint="eastAsia" w:ascii="宋体" w:hAnsi="宋体" w:eastAsia="宋体" w:cs="宋体"/>
          <w:color w:val="000000"/>
          <w:kern w:val="0"/>
          <w:sz w:val="24"/>
          <w:szCs w:val="24"/>
          <w:highlight w:val="none"/>
        </w:rPr>
        <w:tab/>
      </w:r>
      <w:r>
        <w:rPr>
          <w:rFonts w:hint="eastAsia" w:ascii="宋体" w:hAnsi="宋体" w:eastAsia="宋体" w:cs="宋体"/>
          <w:color w:val="000000"/>
          <w:kern w:val="0"/>
          <w:sz w:val="24"/>
          <w:szCs w:val="24"/>
          <w:highlight w:val="none"/>
        </w:rPr>
        <w:t>样品的报送与封存</w:t>
      </w:r>
    </w:p>
    <w:p w14:paraId="24FA6A5B">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需要承包人报送样品的材料或工程设备，样品的种类、名称、规格、数量要求：</w:t>
      </w:r>
      <w:r>
        <w:rPr>
          <w:rFonts w:hint="eastAsia" w:ascii="宋体" w:hAnsi="宋体" w:eastAsia="宋体" w:cs="宋体"/>
          <w:sz w:val="24"/>
          <w:szCs w:val="24"/>
          <w:highlight w:val="none"/>
          <w:u w:val="single"/>
        </w:rPr>
        <w:t xml:space="preserve">  按《建设工程监理规范》及监理细则有关规定执行  </w:t>
      </w:r>
      <w:r>
        <w:rPr>
          <w:rFonts w:hint="eastAsia" w:ascii="宋体" w:hAnsi="宋体" w:eastAsia="宋体" w:cs="宋体"/>
          <w:sz w:val="24"/>
          <w:szCs w:val="24"/>
          <w:highlight w:val="none"/>
        </w:rPr>
        <w:t>。</w:t>
      </w:r>
    </w:p>
    <w:p w14:paraId="353559F9">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8.8 施工设备和临时设施</w:t>
      </w:r>
    </w:p>
    <w:p w14:paraId="2B410C7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8.8.1 承包人提供的施工设备和临时设施</w:t>
      </w:r>
    </w:p>
    <w:p w14:paraId="2AA72F3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关于修建临时设施费用承担的约定：</w:t>
      </w:r>
      <w:r>
        <w:rPr>
          <w:rFonts w:hint="eastAsia" w:ascii="宋体" w:hAnsi="宋体" w:eastAsia="宋体" w:cs="宋体"/>
          <w:sz w:val="24"/>
          <w:szCs w:val="24"/>
          <w:highlight w:val="none"/>
          <w:u w:val="single"/>
        </w:rPr>
        <w:t xml:space="preserve"> 承包人自行承担修建临时设施的费用，需要临时占红线范围内用地的，经发包人申请办理相关手续，发包人承担相应费用  </w:t>
      </w:r>
      <w:r>
        <w:rPr>
          <w:rFonts w:hint="eastAsia" w:ascii="宋体" w:hAnsi="宋体" w:eastAsia="宋体" w:cs="宋体"/>
          <w:sz w:val="24"/>
          <w:szCs w:val="24"/>
          <w:highlight w:val="none"/>
        </w:rPr>
        <w:t>。</w:t>
      </w:r>
    </w:p>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14:paraId="3549D37A">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118" w:name="_Toc351203641"/>
      <w:r>
        <w:rPr>
          <w:rFonts w:hint="eastAsia" w:ascii="宋体" w:hAnsi="宋体" w:eastAsia="宋体" w:cs="宋体"/>
          <w:b w:val="0"/>
          <w:color w:val="000000"/>
          <w:sz w:val="24"/>
          <w:szCs w:val="24"/>
          <w:highlight w:val="none"/>
        </w:rPr>
        <w:t>9</w:t>
      </w:r>
      <w:bookmarkEnd w:id="1097"/>
      <w:bookmarkEnd w:id="1098"/>
      <w:bookmarkEnd w:id="1099"/>
      <w:bookmarkStart w:id="1119" w:name="_Toc300934982"/>
      <w:bookmarkStart w:id="1120" w:name="_Toc312677495"/>
      <w:bookmarkStart w:id="1121" w:name="_Toc303539139"/>
      <w:bookmarkStart w:id="1122" w:name="_Toc297123533"/>
      <w:bookmarkStart w:id="1123" w:name="_Toc312678021"/>
      <w:bookmarkStart w:id="1124" w:name="_Toc304295559"/>
      <w:bookmarkStart w:id="1125" w:name="_Toc297216192"/>
      <w:bookmarkStart w:id="1126" w:name="_Toc296346674"/>
      <w:bookmarkStart w:id="1127" w:name="_Toc296891001"/>
      <w:bookmarkStart w:id="1128" w:name="_Toc296891213"/>
      <w:bookmarkStart w:id="1129" w:name="_Toc296944512"/>
      <w:bookmarkStart w:id="1130" w:name="_Toc267251427"/>
      <w:bookmarkStart w:id="1131" w:name="_Toc292559378"/>
      <w:bookmarkStart w:id="1132" w:name="_Toc297048359"/>
      <w:bookmarkStart w:id="1133" w:name="_Toc296503173"/>
      <w:bookmarkStart w:id="1134" w:name="_Toc297120473"/>
      <w:bookmarkStart w:id="1135" w:name="_Toc292559883"/>
      <w:bookmarkStart w:id="1136" w:name="_Toc267251428"/>
      <w:bookmarkStart w:id="1137" w:name="_Toc296347172"/>
      <w:r>
        <w:rPr>
          <w:rFonts w:hint="eastAsia" w:ascii="宋体" w:hAnsi="宋体" w:eastAsia="宋体" w:cs="宋体"/>
          <w:b w:val="0"/>
          <w:color w:val="000000"/>
          <w:sz w:val="24"/>
          <w:szCs w:val="24"/>
          <w:highlight w:val="none"/>
        </w:rPr>
        <w:t>. 试验与检验</w:t>
      </w:r>
      <w:bookmarkEnd w:id="1118"/>
    </w:p>
    <w:bookmarkEnd w:id="1119"/>
    <w:bookmarkEnd w:id="1120"/>
    <w:bookmarkEnd w:id="1121"/>
    <w:bookmarkEnd w:id="1122"/>
    <w:bookmarkEnd w:id="1123"/>
    <w:bookmarkEnd w:id="1124"/>
    <w:bookmarkEnd w:id="1125"/>
    <w:p w14:paraId="210D0935">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w:t>
      </w:r>
      <w:bookmarkStart w:id="1138" w:name="_Toc297216193"/>
      <w:bookmarkStart w:id="1139" w:name="_Toc312678022"/>
      <w:bookmarkStart w:id="1140" w:name="_Toc304295560"/>
      <w:bookmarkStart w:id="1141" w:name="_Toc300934983"/>
      <w:bookmarkStart w:id="1142" w:name="_Toc297123534"/>
      <w:bookmarkStart w:id="1143" w:name="_Toc312677496"/>
      <w:bookmarkStart w:id="1144" w:name="_Toc303539140"/>
      <w:r>
        <w:rPr>
          <w:rFonts w:hint="eastAsia" w:ascii="宋体" w:hAnsi="宋体" w:eastAsia="宋体" w:cs="宋体"/>
          <w:color w:val="000000"/>
          <w:sz w:val="24"/>
          <w:szCs w:val="24"/>
          <w:highlight w:val="none"/>
        </w:rPr>
        <w:t>.1试验设备与试验人员</w:t>
      </w:r>
    </w:p>
    <w:bookmarkEnd w:id="1138"/>
    <w:bookmarkEnd w:id="1139"/>
    <w:bookmarkEnd w:id="1140"/>
    <w:bookmarkEnd w:id="1141"/>
    <w:bookmarkEnd w:id="1142"/>
    <w:bookmarkEnd w:id="1143"/>
    <w:bookmarkEnd w:id="1144"/>
    <w:p w14:paraId="15B1F26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w:t>
      </w:r>
      <w:bookmarkStart w:id="1145" w:name="_Toc300934984"/>
      <w:bookmarkStart w:id="1146" w:name="_Toc303539141"/>
      <w:bookmarkStart w:id="1147" w:name="_Toc297123535"/>
      <w:bookmarkStart w:id="1148" w:name="_Toc312678023"/>
      <w:bookmarkStart w:id="1149" w:name="_Toc312677497"/>
      <w:bookmarkStart w:id="1150" w:name="_Toc304295561"/>
      <w:bookmarkStart w:id="1151" w:name="_Toc297216194"/>
      <w:bookmarkStart w:id="1152" w:name="_Toc318581174"/>
      <w:r>
        <w:rPr>
          <w:rFonts w:hint="eastAsia" w:ascii="宋体" w:hAnsi="宋体" w:eastAsia="宋体" w:cs="宋体"/>
          <w:sz w:val="24"/>
          <w:szCs w:val="24"/>
          <w:highlight w:val="none"/>
        </w:rPr>
        <w:t>.1.2 试验设备</w:t>
      </w:r>
    </w:p>
    <w:p w14:paraId="3B95FB8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施工现场需要配置的试验场所：</w:t>
      </w:r>
      <w:bookmarkEnd w:id="1145"/>
      <w:bookmarkEnd w:id="1146"/>
      <w:bookmarkEnd w:id="1147"/>
      <w:bookmarkEnd w:id="1148"/>
      <w:bookmarkEnd w:id="1149"/>
      <w:bookmarkEnd w:id="1150"/>
      <w:bookmarkEnd w:id="1151"/>
      <w:bookmarkStart w:id="1153" w:name="_Toc312677498"/>
      <w:bookmarkStart w:id="1154" w:name="_Toc312678024"/>
      <w:bookmarkStart w:id="1155" w:name="_Toc297216195"/>
      <w:bookmarkStart w:id="1156" w:name="_Toc303539142"/>
      <w:bookmarkStart w:id="1157" w:name="_Toc300934985"/>
      <w:bookmarkStart w:id="1158" w:name="_Toc304295562"/>
      <w:bookmarkStart w:id="1159" w:name="_Toc297123536"/>
      <w:r>
        <w:rPr>
          <w:rFonts w:hint="eastAsia" w:ascii="宋体" w:hAnsi="宋体" w:eastAsia="宋体" w:cs="宋体"/>
          <w:sz w:val="24"/>
          <w:szCs w:val="24"/>
          <w:highlight w:val="none"/>
          <w:u w:val="single"/>
        </w:rPr>
        <w:t xml:space="preserve"> 承包人根据合同约定或监理人指示进行的现场材料试验,应由承包人提供试验场所、试验人员、试验设备以及其他必要的试验条件 </w:t>
      </w:r>
      <w:r>
        <w:rPr>
          <w:rFonts w:hint="eastAsia" w:ascii="宋体" w:hAnsi="宋体" w:eastAsia="宋体" w:cs="宋体"/>
          <w:sz w:val="24"/>
          <w:szCs w:val="24"/>
          <w:highlight w:val="none"/>
        </w:rPr>
        <w:t xml:space="preserve">。 </w:t>
      </w:r>
    </w:p>
    <w:p w14:paraId="52E8EA5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施工现场需要配备的试验设备：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FF3256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施工现场需要具备的其他试验条件：</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由承包人自行解决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6C60DC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9.2取样</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5EF8D27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9.3材料、工程设备和工程的试验和检验</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1DDD694">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9.4 现场工艺试验 </w:t>
      </w:r>
    </w:p>
    <w:p w14:paraId="17FDC668">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现场工艺试验的有关约定：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执行通用条款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bookmarkEnd w:id="1152"/>
    <w:bookmarkEnd w:id="1153"/>
    <w:bookmarkEnd w:id="1154"/>
    <w:bookmarkEnd w:id="1155"/>
    <w:bookmarkEnd w:id="1156"/>
    <w:bookmarkEnd w:id="1157"/>
    <w:bookmarkEnd w:id="1158"/>
    <w:bookmarkEnd w:id="1159"/>
    <w:p w14:paraId="4A7563AE">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160" w:name="_Toc351203642"/>
      <w:r>
        <w:rPr>
          <w:rFonts w:hint="eastAsia" w:ascii="宋体" w:hAnsi="宋体" w:eastAsia="宋体" w:cs="宋体"/>
          <w:b w:val="0"/>
          <w:color w:val="000000"/>
          <w:sz w:val="24"/>
          <w:szCs w:val="24"/>
          <w:highlight w:val="none"/>
        </w:rPr>
        <w:t>1</w:t>
      </w:r>
      <w:bookmarkEnd w:id="1126"/>
      <w:bookmarkEnd w:id="1127"/>
      <w:bookmarkEnd w:id="1128"/>
      <w:bookmarkEnd w:id="1129"/>
      <w:bookmarkEnd w:id="1130"/>
      <w:bookmarkEnd w:id="1131"/>
      <w:bookmarkEnd w:id="1132"/>
      <w:bookmarkEnd w:id="1133"/>
      <w:bookmarkEnd w:id="1134"/>
      <w:bookmarkEnd w:id="1135"/>
      <w:bookmarkEnd w:id="1136"/>
      <w:bookmarkEnd w:id="1137"/>
      <w:bookmarkStart w:id="1161" w:name="_Toc297216199"/>
      <w:bookmarkStart w:id="1162" w:name="_Toc296346694"/>
      <w:bookmarkStart w:id="1163" w:name="_Toc296891021"/>
      <w:bookmarkStart w:id="1164" w:name="_Toc304295566"/>
      <w:bookmarkStart w:id="1165" w:name="_Toc292559398"/>
      <w:bookmarkStart w:id="1166" w:name="_Toc292559903"/>
      <w:bookmarkStart w:id="1167" w:name="_Toc296503193"/>
      <w:bookmarkStart w:id="1168" w:name="_Toc300934989"/>
      <w:bookmarkStart w:id="1169" w:name="_Toc297120493"/>
      <w:bookmarkStart w:id="1170" w:name="_Toc297123540"/>
      <w:bookmarkStart w:id="1171" w:name="_Toc296347192"/>
      <w:bookmarkStart w:id="1172" w:name="_Toc296891233"/>
      <w:bookmarkStart w:id="1173" w:name="_Toc297048379"/>
      <w:bookmarkStart w:id="1174" w:name="_Toc303539146"/>
      <w:bookmarkStart w:id="1175" w:name="_Toc296944532"/>
      <w:bookmarkStart w:id="1176" w:name="_Toc312678025"/>
      <w:bookmarkStart w:id="1177" w:name="_Toc312677499"/>
      <w:bookmarkStart w:id="1178" w:name="_Toc267251433"/>
      <w:bookmarkStart w:id="1179" w:name="_Toc267251440"/>
      <w:bookmarkStart w:id="1180" w:name="_Toc267251437"/>
      <w:bookmarkStart w:id="1181" w:name="_Toc267251435"/>
      <w:bookmarkStart w:id="1182" w:name="_Toc267251441"/>
      <w:bookmarkStart w:id="1183" w:name="_Toc267251439"/>
      <w:bookmarkStart w:id="1184" w:name="_Toc267251442"/>
      <w:r>
        <w:rPr>
          <w:rFonts w:hint="eastAsia" w:ascii="宋体" w:hAnsi="宋体" w:eastAsia="宋体" w:cs="宋体"/>
          <w:b w:val="0"/>
          <w:color w:val="000000"/>
          <w:sz w:val="24"/>
          <w:szCs w:val="24"/>
          <w:highlight w:val="none"/>
        </w:rPr>
        <w:t>0. 变更</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bookmarkEnd w:id="1176"/>
    <w:bookmarkEnd w:id="1177"/>
    <w:p w14:paraId="025C3F41">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bookmarkStart w:id="1185" w:name="_Toc297123541"/>
      <w:bookmarkStart w:id="1186" w:name="_Toc303539147"/>
      <w:bookmarkStart w:id="1187" w:name="_Toc292559399"/>
      <w:bookmarkStart w:id="1188" w:name="_Toc296891022"/>
      <w:bookmarkStart w:id="1189" w:name="_Toc296944533"/>
      <w:bookmarkStart w:id="1190" w:name="_Toc297216200"/>
      <w:bookmarkStart w:id="1191" w:name="_Toc296346695"/>
      <w:bookmarkStart w:id="1192" w:name="_Toc304295567"/>
      <w:bookmarkStart w:id="1193" w:name="_Toc297120494"/>
      <w:bookmarkStart w:id="1194" w:name="_Toc296347193"/>
      <w:bookmarkStart w:id="1195" w:name="_Toc296503194"/>
      <w:bookmarkStart w:id="1196" w:name="_Toc292559904"/>
      <w:bookmarkStart w:id="1197" w:name="_Toc300934990"/>
      <w:bookmarkStart w:id="1198" w:name="_Toc312678026"/>
      <w:bookmarkStart w:id="1199" w:name="_Toc296891234"/>
      <w:bookmarkStart w:id="1200" w:name="_Toc312677500"/>
      <w:bookmarkStart w:id="1201" w:name="_Toc297048380"/>
      <w:r>
        <w:rPr>
          <w:rFonts w:hint="eastAsia" w:ascii="宋体" w:hAnsi="宋体" w:eastAsia="宋体" w:cs="宋体"/>
          <w:color w:val="000000"/>
          <w:sz w:val="24"/>
          <w:szCs w:val="24"/>
          <w:highlight w:val="none"/>
        </w:rPr>
        <w:t>0.1变更的范围</w:t>
      </w:r>
    </w:p>
    <w:p w14:paraId="01C6457B">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关于变更的范围的约定：</w:t>
      </w:r>
      <w:r>
        <w:rPr>
          <w:rFonts w:hint="eastAsia" w:ascii="宋体" w:hAnsi="宋体" w:eastAsia="宋体" w:cs="宋体"/>
          <w:color w:val="000000"/>
          <w:sz w:val="24"/>
          <w:szCs w:val="24"/>
          <w:highlight w:val="none"/>
          <w:u w:val="single"/>
        </w:rPr>
        <w:t xml:space="preserve">  设计变更增加的</w:t>
      </w:r>
      <w:r>
        <w:rPr>
          <w:rFonts w:hint="eastAsia" w:ascii="宋体" w:hAnsi="宋体" w:eastAsia="宋体" w:cs="宋体"/>
          <w:color w:val="000000"/>
          <w:sz w:val="24"/>
          <w:szCs w:val="24"/>
          <w:highlight w:val="none"/>
          <w:u w:val="single"/>
          <w:lang w:eastAsia="zh-CN"/>
        </w:rPr>
        <w:t>内容</w:t>
      </w:r>
      <w:r>
        <w:rPr>
          <w:rFonts w:hint="eastAsia" w:ascii="宋体" w:hAnsi="宋体" w:eastAsia="宋体" w:cs="宋体"/>
          <w:color w:val="000000"/>
          <w:sz w:val="24"/>
          <w:szCs w:val="24"/>
          <w:highlight w:val="none"/>
          <w:u w:val="single"/>
        </w:rPr>
        <w:t>必须经发包方、监理、造价</w:t>
      </w:r>
      <w:r>
        <w:rPr>
          <w:rFonts w:hint="eastAsia" w:ascii="宋体" w:hAnsi="宋体" w:eastAsia="宋体" w:cs="宋体"/>
          <w:color w:val="000000"/>
          <w:sz w:val="24"/>
          <w:szCs w:val="24"/>
          <w:highlight w:val="none"/>
          <w:u w:val="single"/>
          <w:lang w:eastAsia="zh-CN"/>
        </w:rPr>
        <w:t>根据各自的工作职能</w:t>
      </w:r>
      <w:r>
        <w:rPr>
          <w:rFonts w:hint="eastAsia" w:ascii="宋体" w:hAnsi="宋体" w:eastAsia="宋体" w:cs="宋体"/>
          <w:color w:val="000000"/>
          <w:sz w:val="24"/>
          <w:szCs w:val="24"/>
          <w:highlight w:val="none"/>
          <w:u w:val="single"/>
        </w:rPr>
        <w:t>论证确认后，出具</w:t>
      </w:r>
      <w:r>
        <w:rPr>
          <w:rFonts w:hint="eastAsia" w:ascii="宋体" w:hAnsi="宋体" w:eastAsia="宋体" w:cs="宋体"/>
          <w:color w:val="000000"/>
          <w:sz w:val="24"/>
          <w:szCs w:val="24"/>
          <w:highlight w:val="none"/>
          <w:u w:val="single"/>
          <w:lang w:eastAsia="zh-CN"/>
        </w:rPr>
        <w:t>工程签证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4CF4EC9">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发包人根据需要，可对工程作如下调整：</w:t>
      </w:r>
    </w:p>
    <w:p w14:paraId="740A0F98">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（1）增加或减少本合同中的任何工程的数量；</w:t>
      </w:r>
    </w:p>
    <w:p w14:paraId="37DA69B9">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（2）取消合同中的任何单项工程；</w:t>
      </w:r>
    </w:p>
    <w:p w14:paraId="3A7E245F">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（3）改变合同中的任何工作的性质、质量或种类；</w:t>
      </w:r>
    </w:p>
    <w:p w14:paraId="244BDA46">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（4）改变本工程任何部分的标高、线形、位置和尺寸；</w:t>
      </w:r>
    </w:p>
    <w:p w14:paraId="3D93CAD8">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（5）完成本工程所需的任何种类的附加工作；</w:t>
      </w:r>
    </w:p>
    <w:p w14:paraId="1F8FE37D">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（6）改变本工程任何分项工程规定的施工顺序或时间安排 </w:t>
      </w:r>
    </w:p>
    <w:p w14:paraId="591DD0DD">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承包人需严格按照本合同约定的施工范围及相关图纸进行施工。如需变更，需派驻工程管理代表上报发包人审批，经发包人书面确认后，方可进行并作为结算的依据，否则不得以此变更另行主张合同价款；</w:t>
      </w:r>
    </w:p>
    <w:p w14:paraId="4338EBB8">
      <w:pPr>
        <w:pageBreakBefore w:val="0"/>
        <w:widowControl w:val="0"/>
        <w:kinsoku/>
        <w:wordWrap/>
        <w:overflowPunct/>
        <w:topLinePunct w:val="0"/>
        <w:bidi w:val="0"/>
        <w:snapToGrid/>
        <w:spacing w:line="480" w:lineRule="exact"/>
        <w:ind w:firstLine="60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10.2变更权</w:t>
      </w:r>
    </w:p>
    <w:p w14:paraId="1C232D9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发包人和监理人均可以提出变更。变更指示均通过监理人发出，监理人发出变更指示前应征得发包人同意。承包人收到经发包人认可的变更指示后，方可实施变更。未经许可，承包人不得擅自对工程的任何部分进行变更。</w:t>
      </w:r>
    </w:p>
    <w:p w14:paraId="518475B6">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10.3变更程序：</w:t>
      </w:r>
      <w:r>
        <w:rPr>
          <w:rFonts w:hint="eastAsia" w:ascii="宋体" w:hAnsi="宋体" w:eastAsia="宋体" w:cs="宋体"/>
          <w:color w:val="000000"/>
          <w:sz w:val="24"/>
          <w:szCs w:val="24"/>
          <w:highlight w:val="none"/>
          <w:u w:val="single"/>
          <w:lang w:val="en-US" w:eastAsia="zh-CN"/>
        </w:rPr>
        <w:t xml:space="preserve">  /  </w:t>
      </w:r>
      <w:r>
        <w:rPr>
          <w:rFonts w:hint="eastAsia" w:ascii="宋体" w:hAnsi="宋体" w:eastAsia="宋体" w:cs="宋体"/>
          <w:color w:val="000000"/>
          <w:sz w:val="24"/>
          <w:szCs w:val="24"/>
          <w:highlight w:val="none"/>
          <w:lang w:val="en-US" w:eastAsia="zh-CN"/>
        </w:rPr>
        <w:t>。</w:t>
      </w:r>
    </w:p>
    <w:p w14:paraId="1FD0DE04">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10.4 变更估价</w:t>
      </w:r>
    </w:p>
    <w:p w14:paraId="5484D5D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10.4.1 变更估价原则</w:t>
      </w:r>
    </w:p>
    <w:p w14:paraId="52A43D92">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关于变更估价的约定: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07A5FC3">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Start w:id="1202" w:name="_Toc296891237"/>
      <w:bookmarkStart w:id="1203" w:name="_Toc300934993"/>
      <w:bookmarkStart w:id="1204" w:name="_Toc296347196"/>
      <w:bookmarkStart w:id="1205" w:name="_Toc292559402"/>
      <w:bookmarkStart w:id="1206" w:name="_Toc296891025"/>
      <w:bookmarkStart w:id="1207" w:name="_Toc297123544"/>
      <w:bookmarkStart w:id="1208" w:name="_Toc297120497"/>
      <w:bookmarkStart w:id="1209" w:name="_Toc296944536"/>
      <w:bookmarkStart w:id="1210" w:name="_Toc297216203"/>
      <w:bookmarkStart w:id="1211" w:name="_Toc303539150"/>
      <w:bookmarkStart w:id="1212" w:name="_Toc296346698"/>
      <w:bookmarkStart w:id="1213" w:name="_Toc292559907"/>
      <w:bookmarkStart w:id="1214" w:name="_Toc297048383"/>
      <w:bookmarkStart w:id="1215" w:name="_Toc296503197"/>
      <w:bookmarkStart w:id="1216" w:name="_Toc304295570"/>
      <w:bookmarkStart w:id="1217" w:name="_Toc312677503"/>
      <w:bookmarkStart w:id="1218" w:name="_Toc312678029"/>
      <w:r>
        <w:rPr>
          <w:rFonts w:hint="eastAsia" w:ascii="宋体" w:hAnsi="宋体" w:eastAsia="宋体" w:cs="宋体"/>
          <w:color w:val="000000"/>
          <w:sz w:val="24"/>
          <w:szCs w:val="24"/>
          <w:highlight w:val="none"/>
        </w:rPr>
        <w:t>0.5承</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Start w:id="1219" w:name="_Toc296891243"/>
      <w:bookmarkStart w:id="1220" w:name="_Toc296891031"/>
      <w:bookmarkStart w:id="1221" w:name="_Toc296944542"/>
      <w:bookmarkStart w:id="1222" w:name="_Toc292559913"/>
      <w:bookmarkStart w:id="1223" w:name="_Toc303539151"/>
      <w:bookmarkStart w:id="1224" w:name="_Toc296346704"/>
      <w:bookmarkStart w:id="1225" w:name="_Toc297120503"/>
      <w:bookmarkStart w:id="1226" w:name="_Toc296503203"/>
      <w:bookmarkStart w:id="1227" w:name="_Toc297048389"/>
      <w:bookmarkStart w:id="1228" w:name="_Toc297216204"/>
      <w:bookmarkStart w:id="1229" w:name="_Toc297123545"/>
      <w:bookmarkStart w:id="1230" w:name="_Toc300934994"/>
      <w:bookmarkStart w:id="1231" w:name="_Toc292559408"/>
      <w:bookmarkStart w:id="1232" w:name="_Toc296347202"/>
      <w:r>
        <w:rPr>
          <w:rFonts w:hint="eastAsia" w:ascii="宋体" w:hAnsi="宋体" w:eastAsia="宋体" w:cs="宋体"/>
          <w:color w:val="000000"/>
          <w:sz w:val="24"/>
          <w:szCs w:val="24"/>
          <w:highlight w:val="none"/>
        </w:rPr>
        <w:t>包人的合理化建议</w:t>
      </w:r>
    </w:p>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14:paraId="44821D3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监理人审查承包人合理化建议的期限：</w:t>
      </w:r>
      <w:r>
        <w:rPr>
          <w:rFonts w:hint="eastAsia" w:ascii="宋体" w:hAnsi="宋体" w:eastAsia="宋体" w:cs="宋体"/>
          <w:sz w:val="24"/>
          <w:szCs w:val="24"/>
          <w:highlight w:val="none"/>
          <w:u w:val="single"/>
        </w:rPr>
        <w:t xml:space="preserve"> 收到承包人提交的合理化建议7 日内审查完毕并报送发包人 </w:t>
      </w:r>
      <w:r>
        <w:rPr>
          <w:rFonts w:hint="eastAsia" w:ascii="宋体" w:hAnsi="宋体" w:eastAsia="宋体" w:cs="宋体"/>
          <w:sz w:val="24"/>
          <w:szCs w:val="24"/>
          <w:highlight w:val="none"/>
        </w:rPr>
        <w:t>。</w:t>
      </w:r>
    </w:p>
    <w:p w14:paraId="57CD5D6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发包人审批承包人合理化建议的期限：</w:t>
      </w:r>
      <w:r>
        <w:rPr>
          <w:rFonts w:hint="eastAsia" w:ascii="宋体" w:hAnsi="宋体" w:eastAsia="宋体" w:cs="宋体"/>
          <w:sz w:val="24"/>
          <w:szCs w:val="24"/>
          <w:highlight w:val="none"/>
          <w:u w:val="single"/>
        </w:rPr>
        <w:t xml:space="preserve"> 发包人应在收到监理人提交的合理化建议后7天内审查完毕 </w:t>
      </w:r>
      <w:r>
        <w:rPr>
          <w:rFonts w:hint="eastAsia" w:ascii="宋体" w:hAnsi="宋体" w:eastAsia="宋体" w:cs="宋体"/>
          <w:sz w:val="24"/>
          <w:szCs w:val="24"/>
          <w:highlight w:val="none"/>
        </w:rPr>
        <w:t>。</w:t>
      </w:r>
    </w:p>
    <w:p w14:paraId="5AD4F6B2">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承</w:t>
      </w:r>
      <w:bookmarkStart w:id="1233" w:name="_Toc296503204"/>
      <w:bookmarkStart w:id="1234" w:name="_Toc296944543"/>
      <w:bookmarkStart w:id="1235" w:name="_Toc296891244"/>
      <w:bookmarkStart w:id="1236" w:name="_Toc296347203"/>
      <w:bookmarkStart w:id="1237" w:name="_Toc297216205"/>
      <w:bookmarkStart w:id="1238" w:name="_Toc303539152"/>
      <w:bookmarkStart w:id="1239" w:name="_Toc296891032"/>
      <w:bookmarkStart w:id="1240" w:name="_Toc297048390"/>
      <w:bookmarkStart w:id="1241" w:name="_Toc312677504"/>
      <w:bookmarkStart w:id="1242" w:name="_Toc300934995"/>
      <w:bookmarkStart w:id="1243" w:name="_Toc304295571"/>
      <w:bookmarkStart w:id="1244" w:name="_Toc297123546"/>
      <w:bookmarkStart w:id="1245" w:name="_Toc297120504"/>
      <w:bookmarkStart w:id="1246" w:name="_Toc292559409"/>
      <w:bookmarkStart w:id="1247" w:name="_Toc296346705"/>
      <w:bookmarkStart w:id="1248" w:name="_Toc292559914"/>
      <w:bookmarkStart w:id="1249" w:name="_Toc312678030"/>
      <w:bookmarkStart w:id="1250" w:name="_Toc318581175"/>
      <w:r>
        <w:rPr>
          <w:rFonts w:hint="eastAsia" w:ascii="宋体" w:hAnsi="宋体" w:eastAsia="宋体" w:cs="宋体"/>
          <w:sz w:val="24"/>
          <w:szCs w:val="24"/>
          <w:highlight w:val="none"/>
        </w:rPr>
        <w:t>包人提出的合理化建议降低了合同价格或者提高了工程经济效益的奖励的方法和金额为：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14:paraId="7E9C3568">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bookmarkStart w:id="1251" w:name="_Toc300934997"/>
      <w:bookmarkStart w:id="1252" w:name="_Toc297120499"/>
      <w:bookmarkStart w:id="1253" w:name="_Toc296503199"/>
      <w:bookmarkStart w:id="1254" w:name="_Toc296891027"/>
      <w:bookmarkStart w:id="1255" w:name="_Toc297216207"/>
      <w:bookmarkStart w:id="1256" w:name="_Toc297123548"/>
      <w:bookmarkStart w:id="1257" w:name="_Toc296346700"/>
      <w:bookmarkStart w:id="1258" w:name="_Toc296944538"/>
      <w:bookmarkStart w:id="1259" w:name="_Toc312677507"/>
      <w:bookmarkStart w:id="1260" w:name="_Toc296891239"/>
      <w:bookmarkStart w:id="1261" w:name="_Toc296347198"/>
      <w:bookmarkStart w:id="1262" w:name="_Toc292559404"/>
      <w:bookmarkStart w:id="1263" w:name="_Toc312678033"/>
      <w:bookmarkStart w:id="1264" w:name="_Toc297048385"/>
      <w:bookmarkStart w:id="1265" w:name="_Toc292559909"/>
      <w:bookmarkStart w:id="1266" w:name="_Toc303539154"/>
      <w:bookmarkStart w:id="1267" w:name="_Toc304295574"/>
      <w:r>
        <w:rPr>
          <w:rFonts w:hint="eastAsia" w:ascii="宋体" w:hAnsi="宋体" w:eastAsia="宋体" w:cs="宋体"/>
          <w:color w:val="000000"/>
          <w:sz w:val="24"/>
          <w:szCs w:val="24"/>
          <w:highlight w:val="none"/>
        </w:rPr>
        <w:t>0.7 暂估价</w:t>
      </w:r>
    </w:p>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14:paraId="33417D59">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暂</w:t>
      </w:r>
      <w:bookmarkStart w:id="1268" w:name="_Toc312677508"/>
      <w:bookmarkStart w:id="1269" w:name="_Toc318581176"/>
      <w:bookmarkStart w:id="1270" w:name="_Toc312678034"/>
      <w:r>
        <w:rPr>
          <w:rFonts w:hint="eastAsia" w:ascii="宋体" w:hAnsi="宋体" w:eastAsia="宋体" w:cs="宋体"/>
          <w:kern w:val="0"/>
          <w:sz w:val="24"/>
          <w:szCs w:val="24"/>
          <w:highlight w:val="none"/>
        </w:rPr>
        <w:t>估价材料和工程设备的明细详见附件11：《</w:t>
      </w:r>
      <w:r>
        <w:rPr>
          <w:rFonts w:hint="eastAsia" w:ascii="宋体" w:hAnsi="宋体" w:eastAsia="宋体" w:cs="宋体"/>
          <w:color w:val="000000"/>
          <w:sz w:val="24"/>
          <w:szCs w:val="24"/>
          <w:highlight w:val="none"/>
        </w:rPr>
        <w:t>暂估价一览表》</w:t>
      </w:r>
      <w:r>
        <w:rPr>
          <w:rFonts w:hint="eastAsia" w:ascii="宋体" w:hAnsi="宋体" w:eastAsia="宋体" w:cs="宋体"/>
          <w:kern w:val="0"/>
          <w:sz w:val="24"/>
          <w:szCs w:val="24"/>
          <w:highlight w:val="none"/>
        </w:rPr>
        <w:t>。</w:t>
      </w:r>
    </w:p>
    <w:bookmarkEnd w:id="1268"/>
    <w:bookmarkEnd w:id="1269"/>
    <w:bookmarkEnd w:id="1270"/>
    <w:p w14:paraId="5103F27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bookmarkStart w:id="1271" w:name="_Toc312677509"/>
      <w:bookmarkStart w:id="1272" w:name="_Toc312678035"/>
      <w:bookmarkStart w:id="1273" w:name="_Toc318581177"/>
      <w:r>
        <w:rPr>
          <w:rFonts w:hint="eastAsia" w:ascii="宋体" w:hAnsi="宋体" w:eastAsia="宋体" w:cs="宋体"/>
          <w:sz w:val="24"/>
          <w:szCs w:val="24"/>
          <w:highlight w:val="none"/>
        </w:rPr>
        <w:t>0.7.1 依法必须招标的暂估价项目</w:t>
      </w:r>
    </w:p>
    <w:bookmarkEnd w:id="1271"/>
    <w:bookmarkEnd w:id="1272"/>
    <w:bookmarkEnd w:id="1273"/>
    <w:p w14:paraId="5E2783A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对于依法必须招标的暂估价项目的确认和批准采取第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种方式确定。</w:t>
      </w:r>
    </w:p>
    <w:p w14:paraId="687FA5A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10.7.2 不属于依法必须招标的暂估价项目</w:t>
      </w:r>
    </w:p>
    <w:p w14:paraId="27D4BE0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对于不属于依法必须招标的暂估价项目的确认和批准采取第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种方式确定。</w:t>
      </w:r>
    </w:p>
    <w:p w14:paraId="3E1FBE3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第3种方式：</w:t>
      </w:r>
      <w:r>
        <w:rPr>
          <w:rFonts w:hint="eastAsia" w:ascii="宋体" w:hAnsi="宋体" w:eastAsia="宋体" w:cs="宋体"/>
          <w:color w:val="000000"/>
          <w:kern w:val="0"/>
          <w:sz w:val="24"/>
          <w:szCs w:val="24"/>
          <w:highlight w:val="none"/>
        </w:rPr>
        <w:t>承包人直接实施的暂估价项目</w:t>
      </w:r>
    </w:p>
    <w:p w14:paraId="240648A1">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承包人直接实施的暂估价项目的约定：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60493DC">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10.8 暂列金额</w:t>
      </w:r>
    </w:p>
    <w:p w14:paraId="33D8086E">
      <w:pPr>
        <w:pageBreakBefore w:val="0"/>
        <w:widowControl w:val="0"/>
        <w:kinsoku/>
        <w:wordWrap/>
        <w:overflowPunct/>
        <w:topLinePunct w:val="0"/>
        <w:autoSpaceDE w:val="0"/>
        <w:autoSpaceDN w:val="0"/>
        <w:bidi w:val="0"/>
        <w:adjustRightInd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合同当事人关于暂列金额使用的约定：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color w:val="000000"/>
          <w:kern w:val="0"/>
          <w:sz w:val="24"/>
          <w:szCs w:val="24"/>
          <w:highlight w:val="none"/>
        </w:rPr>
        <w:t>。</w:t>
      </w:r>
    </w:p>
    <w:p w14:paraId="1AB95D7C">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274" w:name="_Toc351203643"/>
      <w:r>
        <w:rPr>
          <w:rFonts w:hint="eastAsia" w:ascii="宋体" w:hAnsi="宋体" w:eastAsia="宋体" w:cs="宋体"/>
          <w:b w:val="0"/>
          <w:color w:val="000000"/>
          <w:sz w:val="24"/>
          <w:szCs w:val="24"/>
          <w:highlight w:val="none"/>
        </w:rPr>
        <w:t>11. 价格调整</w:t>
      </w:r>
      <w:bookmarkEnd w:id="1274"/>
    </w:p>
    <w:p w14:paraId="08DB452C">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bookmarkStart w:id="1275" w:name="_Toc297216209"/>
      <w:bookmarkStart w:id="1276" w:name="_Toc300935000"/>
      <w:bookmarkStart w:id="1277" w:name="_Toc297123550"/>
      <w:bookmarkStart w:id="1278" w:name="_Toc297120501"/>
      <w:bookmarkStart w:id="1279" w:name="_Toc304295577"/>
      <w:bookmarkStart w:id="1280" w:name="_Toc296891241"/>
      <w:bookmarkStart w:id="1281" w:name="_Toc312678039"/>
      <w:bookmarkStart w:id="1282" w:name="_Toc292559406"/>
      <w:bookmarkStart w:id="1283" w:name="_Toc297048387"/>
      <w:bookmarkStart w:id="1284" w:name="_Toc296503201"/>
      <w:bookmarkStart w:id="1285" w:name="_Toc292559911"/>
      <w:bookmarkStart w:id="1286" w:name="_Toc296346702"/>
      <w:bookmarkStart w:id="1287" w:name="_Toc296347200"/>
      <w:bookmarkStart w:id="1288" w:name="_Toc303539157"/>
      <w:bookmarkStart w:id="1289" w:name="_Toc296891029"/>
      <w:bookmarkStart w:id="1290" w:name="_Toc296944540"/>
      <w:r>
        <w:rPr>
          <w:rFonts w:hint="eastAsia" w:ascii="宋体" w:hAnsi="宋体" w:eastAsia="宋体" w:cs="宋体"/>
          <w:color w:val="000000"/>
          <w:sz w:val="24"/>
          <w:szCs w:val="24"/>
          <w:highlight w:val="none"/>
        </w:rPr>
        <w:t>11.1 市场价格波动引起的调整</w:t>
      </w:r>
    </w:p>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14:paraId="533EFBD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市场价格波动是否调整合同价格的约定：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否</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5B27E44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因市场价格波动调整合同价格，采用以下</w:t>
      </w:r>
      <w:r>
        <w:rPr>
          <w:rFonts w:hint="eastAsia" w:ascii="宋体" w:hAnsi="宋体" w:eastAsia="宋体" w:cs="宋体"/>
          <w:sz w:val="24"/>
          <w:szCs w:val="24"/>
          <w:highlight w:val="none"/>
        </w:rPr>
        <w:t>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rPr>
        <w:t>种方式对合同价格进行调整：</w:t>
      </w:r>
    </w:p>
    <w:p w14:paraId="4A70EC0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第1种方式：采用价格指数进行价格调整。</w:t>
      </w:r>
    </w:p>
    <w:p w14:paraId="4A1C503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关于各可调因子、定值和变值权重，以及基本价格指数及其来源的约定：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2FABF91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第2种方式：采用造价信息进行价格调整。</w:t>
      </w:r>
    </w:p>
    <w:p w14:paraId="72B0B73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（2）关于基准价格的约定：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0FCEAA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%时，或材料单价跌幅以已标价工程量清单或预算书中载明材料单价为基础超过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%时，其超过部分据实调整。</w:t>
      </w:r>
    </w:p>
    <w:p w14:paraId="63CAB6D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%时，材料单价涨幅以已标价工程量清单或预算书中载明材料单价为基础超过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%时，其超过部分据实调整。</w:t>
      </w:r>
    </w:p>
    <w:p w14:paraId="6DE3C72E">
      <w:pPr>
        <w:pageBreakBefore w:val="0"/>
        <w:widowControl w:val="0"/>
        <w:kinsoku/>
        <w:wordWrap/>
        <w:overflowPunct/>
        <w:topLinePunct w:val="0"/>
        <w:bidi w:val="0"/>
        <w:snapToGrid/>
        <w:spacing w:line="480" w:lineRule="exact"/>
        <w:ind w:firstLine="645"/>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%时，其超过部分据实调整。</w:t>
      </w:r>
    </w:p>
    <w:p w14:paraId="4AE6C0E8">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第3种方式：其他价格调整方式：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1178"/>
    <w:bookmarkEnd w:id="1179"/>
    <w:bookmarkEnd w:id="1180"/>
    <w:bookmarkEnd w:id="1181"/>
    <w:bookmarkEnd w:id="1182"/>
    <w:bookmarkEnd w:id="1183"/>
    <w:p w14:paraId="67C00599">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291" w:name="_Toc296944544"/>
      <w:bookmarkStart w:id="1292" w:name="_Toc292559915"/>
      <w:bookmarkStart w:id="1293" w:name="_Toc296347204"/>
      <w:bookmarkStart w:id="1294" w:name="_Toc297120505"/>
      <w:bookmarkStart w:id="1295" w:name="_Toc296891245"/>
      <w:bookmarkStart w:id="1296" w:name="_Toc292559410"/>
      <w:bookmarkStart w:id="1297" w:name="_Toc297048391"/>
      <w:bookmarkStart w:id="1298" w:name="_Toc296891033"/>
      <w:bookmarkStart w:id="1299" w:name="_Toc296503205"/>
      <w:bookmarkStart w:id="1300" w:name="_Toc296346706"/>
      <w:bookmarkStart w:id="1301" w:name="_Toc351203644"/>
      <w:bookmarkStart w:id="1302" w:name="_Toc303539159"/>
      <w:bookmarkStart w:id="1303" w:name="_Toc300935002"/>
      <w:bookmarkStart w:id="1304" w:name="_Toc312678040"/>
      <w:bookmarkStart w:id="1305" w:name="_Toc304295579"/>
      <w:bookmarkStart w:id="1306" w:name="_Toc297216211"/>
      <w:bookmarkStart w:id="1307" w:name="_Toc297123552"/>
      <w:r>
        <w:rPr>
          <w:rFonts w:hint="eastAsia" w:ascii="宋体" w:hAnsi="宋体" w:eastAsia="宋体" w:cs="宋体"/>
          <w:b w:val="0"/>
          <w:color w:val="000000"/>
          <w:sz w:val="24"/>
          <w:szCs w:val="24"/>
          <w:highlight w:val="none"/>
        </w:rPr>
        <w:t xml:space="preserve">12. </w:t>
      </w:r>
      <w:bookmarkEnd w:id="1291"/>
      <w:bookmarkEnd w:id="1292"/>
      <w:bookmarkEnd w:id="1293"/>
      <w:bookmarkEnd w:id="1294"/>
      <w:bookmarkEnd w:id="1295"/>
      <w:bookmarkEnd w:id="1296"/>
      <w:bookmarkEnd w:id="1297"/>
      <w:bookmarkEnd w:id="1298"/>
      <w:bookmarkEnd w:id="1299"/>
      <w:bookmarkEnd w:id="1300"/>
      <w:r>
        <w:rPr>
          <w:rFonts w:hint="eastAsia" w:ascii="宋体" w:hAnsi="宋体" w:eastAsia="宋体" w:cs="宋体"/>
          <w:b w:val="0"/>
          <w:color w:val="000000"/>
          <w:sz w:val="24"/>
          <w:szCs w:val="24"/>
          <w:highlight w:val="none"/>
        </w:rPr>
        <w:t>合同价格、计量与支付</w:t>
      </w:r>
      <w:bookmarkEnd w:id="1301"/>
    </w:p>
    <w:bookmarkEnd w:id="1302"/>
    <w:bookmarkEnd w:id="1303"/>
    <w:bookmarkEnd w:id="1304"/>
    <w:bookmarkEnd w:id="1305"/>
    <w:bookmarkEnd w:id="1306"/>
    <w:bookmarkEnd w:id="1307"/>
    <w:p w14:paraId="1C886D43">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bookmarkStart w:id="1308" w:name="_Toc267251461"/>
      <w:bookmarkStart w:id="1309" w:name="_Toc292559916"/>
      <w:bookmarkStart w:id="1310" w:name="_Toc292559411"/>
      <w:bookmarkStart w:id="1311" w:name="_Toc297120506"/>
      <w:bookmarkStart w:id="1312" w:name="_Toc296944545"/>
      <w:bookmarkStart w:id="1313" w:name="_Toc296346707"/>
      <w:bookmarkStart w:id="1314" w:name="_Toc297048392"/>
      <w:bookmarkStart w:id="1315" w:name="_Toc296347205"/>
      <w:bookmarkStart w:id="1316" w:name="_Toc296891034"/>
      <w:bookmarkStart w:id="1317" w:name="_Toc296503206"/>
      <w:bookmarkStart w:id="1318" w:name="_Toc296891246"/>
      <w:bookmarkStart w:id="1319" w:name="_Toc312678041"/>
      <w:bookmarkStart w:id="1320" w:name="_Toc303539160"/>
      <w:bookmarkStart w:id="1321" w:name="_Toc300935003"/>
      <w:bookmarkStart w:id="1322" w:name="_Toc297123553"/>
      <w:bookmarkStart w:id="1323" w:name="_Toc297216212"/>
      <w:bookmarkStart w:id="1324" w:name="_Toc304295580"/>
      <w:r>
        <w:rPr>
          <w:rFonts w:hint="eastAsia" w:ascii="宋体" w:hAnsi="宋体" w:eastAsia="宋体" w:cs="宋体"/>
          <w:color w:val="000000"/>
          <w:sz w:val="24"/>
          <w:szCs w:val="24"/>
          <w:highlight w:val="none"/>
        </w:rPr>
        <w:t>12.1 合</w:t>
      </w:r>
      <w:bookmarkEnd w:id="1308"/>
      <w:bookmarkEnd w:id="1309"/>
      <w:bookmarkEnd w:id="1310"/>
      <w:r>
        <w:rPr>
          <w:rFonts w:hint="eastAsia" w:ascii="宋体" w:hAnsi="宋体" w:eastAsia="宋体" w:cs="宋体"/>
          <w:color w:val="000000"/>
          <w:sz w:val="24"/>
          <w:szCs w:val="24"/>
          <w:highlight w:val="none"/>
        </w:rPr>
        <w:t>同价</w:t>
      </w:r>
      <w:bookmarkEnd w:id="1311"/>
      <w:bookmarkEnd w:id="1312"/>
      <w:bookmarkEnd w:id="1313"/>
      <w:bookmarkEnd w:id="1314"/>
      <w:bookmarkEnd w:id="1315"/>
      <w:bookmarkEnd w:id="1316"/>
      <w:bookmarkEnd w:id="1317"/>
      <w:bookmarkEnd w:id="1318"/>
      <w:r>
        <w:rPr>
          <w:rFonts w:hint="eastAsia" w:ascii="宋体" w:hAnsi="宋体" w:eastAsia="宋体" w:cs="宋体"/>
          <w:color w:val="000000"/>
          <w:sz w:val="24"/>
          <w:szCs w:val="24"/>
          <w:highlight w:val="none"/>
        </w:rPr>
        <w:t>格形式</w:t>
      </w:r>
    </w:p>
    <w:bookmarkEnd w:id="1319"/>
    <w:bookmarkEnd w:id="1320"/>
    <w:bookmarkEnd w:id="1321"/>
    <w:bookmarkEnd w:id="1322"/>
    <w:bookmarkEnd w:id="1323"/>
    <w:bookmarkEnd w:id="1324"/>
    <w:p w14:paraId="3100424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1、单价合同。</w:t>
      </w:r>
    </w:p>
    <w:p w14:paraId="1C4B04D2">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综合单价包含的风险范围：</w:t>
      </w:r>
      <w:r>
        <w:rPr>
          <w:rFonts w:hint="eastAsia" w:ascii="宋体" w:hAnsi="宋体" w:eastAsia="宋体" w:cs="宋体"/>
          <w:color w:val="000000"/>
          <w:sz w:val="24"/>
          <w:szCs w:val="24"/>
          <w:highlight w:val="none"/>
          <w:u w:val="single"/>
        </w:rPr>
        <w:t xml:space="preserve"> 除合同约定的可调整的风险费用外，本承包工程内容范围内的所有风险因素，已包含在投标报价的综合单价中，无需再计算  </w:t>
      </w:r>
      <w:r>
        <w:rPr>
          <w:rFonts w:hint="eastAsia" w:ascii="宋体" w:hAnsi="宋体" w:eastAsia="宋体" w:cs="宋体"/>
          <w:color w:val="000000"/>
          <w:sz w:val="24"/>
          <w:szCs w:val="24"/>
          <w:highlight w:val="none"/>
        </w:rPr>
        <w:t>。</w:t>
      </w:r>
    </w:p>
    <w:p w14:paraId="61784F2E">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风险费用的计算方法：</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33FD35F">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风险范围以外合同价格的调整方法：</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971DCE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2、总价合同。</w:t>
      </w:r>
    </w:p>
    <w:p w14:paraId="76DD413A">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总价包含的风险范围：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006EBF1">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风险费用的计算方法：</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14B1490B">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风险范围以外合同价格的调整方法：</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4C221A8">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3、其他价格方式：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239064D">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bookmarkStart w:id="1325" w:name="_Toc304295581"/>
      <w:bookmarkStart w:id="1326" w:name="_Toc297123554"/>
      <w:bookmarkStart w:id="1327" w:name="_Toc303539161"/>
      <w:bookmarkStart w:id="1328" w:name="_Toc300935004"/>
      <w:bookmarkStart w:id="1329" w:name="_Toc297216213"/>
      <w:bookmarkStart w:id="1330" w:name="_Toc312678042"/>
      <w:bookmarkStart w:id="1331" w:name="_Toc296347206"/>
      <w:bookmarkStart w:id="1332" w:name="_Toc297048393"/>
      <w:bookmarkStart w:id="1333" w:name="_Toc296891035"/>
      <w:bookmarkStart w:id="1334" w:name="_Toc292559917"/>
      <w:bookmarkStart w:id="1335" w:name="_Toc296503207"/>
      <w:bookmarkStart w:id="1336" w:name="_Toc296891247"/>
      <w:bookmarkStart w:id="1337" w:name="_Toc297120507"/>
      <w:bookmarkStart w:id="1338" w:name="_Toc292559412"/>
      <w:bookmarkStart w:id="1339" w:name="_Toc296944546"/>
      <w:bookmarkStart w:id="1340" w:name="_Toc296346708"/>
      <w:r>
        <w:rPr>
          <w:rFonts w:hint="eastAsia" w:ascii="宋体" w:hAnsi="宋体" w:eastAsia="宋体" w:cs="宋体"/>
          <w:color w:val="000000"/>
          <w:sz w:val="24"/>
          <w:szCs w:val="24"/>
          <w:highlight w:val="none"/>
        </w:rPr>
        <w:t>12.2 预付款</w:t>
      </w:r>
    </w:p>
    <w:bookmarkEnd w:id="1325"/>
    <w:bookmarkEnd w:id="1326"/>
    <w:bookmarkEnd w:id="1327"/>
    <w:bookmarkEnd w:id="1328"/>
    <w:bookmarkEnd w:id="1329"/>
    <w:bookmarkEnd w:id="1330"/>
    <w:p w14:paraId="63A0A7A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12.2.1 预付款的支付</w:t>
      </w:r>
    </w:p>
    <w:p w14:paraId="1BCE5F7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预付款支付比例或金额：</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3DDD24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预付款支付期限：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5B04F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预付款扣回的方式：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CC6447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12.2.2 预付款担保</w:t>
      </w:r>
    </w:p>
    <w:p w14:paraId="6E62BDB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承包人提交预付款担保的期限：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680B30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预付款担保的形式为：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1331"/>
    <w:bookmarkEnd w:id="1332"/>
    <w:bookmarkEnd w:id="1333"/>
    <w:bookmarkEnd w:id="1334"/>
    <w:bookmarkEnd w:id="1335"/>
    <w:bookmarkEnd w:id="1336"/>
    <w:bookmarkEnd w:id="1337"/>
    <w:bookmarkEnd w:id="1338"/>
    <w:bookmarkEnd w:id="1339"/>
    <w:bookmarkEnd w:id="1340"/>
    <w:p w14:paraId="4A2E0573">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 计量</w:t>
      </w:r>
    </w:p>
    <w:p w14:paraId="724C760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12.3.1 计量原则</w:t>
      </w:r>
    </w:p>
    <w:p w14:paraId="652ED27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工程量计算规则：</w:t>
      </w:r>
      <w:r>
        <w:rPr>
          <w:rFonts w:hint="eastAsia" w:ascii="宋体" w:hAnsi="宋体" w:eastAsia="宋体" w:cs="宋体"/>
          <w:color w:val="000000"/>
          <w:sz w:val="24"/>
          <w:szCs w:val="24"/>
          <w:highlight w:val="none"/>
          <w:u w:val="single"/>
        </w:rPr>
        <w:t xml:space="preserve"> 建设工程量清单计价规范GB50500-2013  </w:t>
      </w:r>
      <w:r>
        <w:rPr>
          <w:rFonts w:hint="eastAsia" w:ascii="宋体" w:hAnsi="宋体" w:eastAsia="宋体" w:cs="宋体"/>
          <w:color w:val="000000"/>
          <w:sz w:val="24"/>
          <w:szCs w:val="24"/>
          <w:highlight w:val="none"/>
        </w:rPr>
        <w:t>。</w:t>
      </w:r>
    </w:p>
    <w:p w14:paraId="6F068AE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12.3.2 计量周期</w:t>
      </w:r>
    </w:p>
    <w:p w14:paraId="16709DB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关于计量周期的约定：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9C39FD8">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12.3.3 单价合同的计量</w:t>
      </w:r>
    </w:p>
    <w:p w14:paraId="6545071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关于单价合同计量的约定：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08243D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12.3.4 总价合同的计量</w:t>
      </w:r>
    </w:p>
    <w:p w14:paraId="555637D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关于总价合同计量的约定：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9D9332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12.3.5总价合同采用支付分解表计量支付的，是否适用第</w:t>
      </w:r>
      <w:r>
        <w:rPr>
          <w:rFonts w:hint="eastAsia" w:ascii="宋体" w:hAnsi="宋体" w:eastAsia="宋体" w:cs="宋体"/>
          <w:color w:val="000000"/>
          <w:kern w:val="0"/>
          <w:sz w:val="24"/>
          <w:szCs w:val="24"/>
          <w:highlight w:val="none"/>
        </w:rPr>
        <w:t xml:space="preserve">12.3.4 </w:t>
      </w:r>
      <w:r>
        <w:rPr>
          <w:rFonts w:hint="eastAsia" w:ascii="宋体" w:hAnsi="宋体" w:eastAsia="宋体" w:cs="宋体"/>
          <w:color w:val="000000"/>
          <w:sz w:val="24"/>
          <w:szCs w:val="24"/>
          <w:highlight w:val="none"/>
        </w:rPr>
        <w:t>项</w:t>
      </w:r>
      <w:r>
        <w:rPr>
          <w:rFonts w:hint="eastAsia" w:ascii="宋体" w:hAnsi="宋体" w:eastAsia="宋体" w:cs="宋体"/>
          <w:color w:val="000000"/>
          <w:kern w:val="0"/>
          <w:sz w:val="24"/>
          <w:szCs w:val="24"/>
          <w:highlight w:val="none"/>
        </w:rPr>
        <w:t>〔总价合同的计量〕</w:t>
      </w:r>
      <w:r>
        <w:rPr>
          <w:rFonts w:hint="eastAsia" w:ascii="宋体" w:hAnsi="宋体" w:eastAsia="宋体" w:cs="宋体"/>
          <w:color w:val="000000"/>
          <w:sz w:val="24"/>
          <w:szCs w:val="24"/>
          <w:highlight w:val="none"/>
        </w:rPr>
        <w:t>约定进行计量：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B63F93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12.3.6 其他价格形式合同的计量</w:t>
      </w:r>
    </w:p>
    <w:p w14:paraId="0512826F">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其他价格形式的计量方式和程序：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183B39EA">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12.4 工程进度款支付</w:t>
      </w:r>
    </w:p>
    <w:p w14:paraId="43A2A80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bookmarkStart w:id="1341" w:name="_Toc303539163"/>
      <w:bookmarkStart w:id="1342" w:name="_Toc297048397"/>
      <w:bookmarkStart w:id="1343" w:name="_Toc292559921"/>
      <w:bookmarkStart w:id="1344" w:name="_Toc296503211"/>
      <w:bookmarkStart w:id="1345" w:name="_Toc296944550"/>
      <w:bookmarkStart w:id="1346" w:name="_Toc297123556"/>
      <w:bookmarkStart w:id="1347" w:name="_Toc300935006"/>
      <w:bookmarkStart w:id="1348" w:name="_Toc297216215"/>
      <w:bookmarkStart w:id="1349" w:name="_Toc296346712"/>
      <w:bookmarkStart w:id="1350" w:name="_Toc296891039"/>
      <w:bookmarkStart w:id="1351" w:name="_Toc296891251"/>
      <w:bookmarkStart w:id="1352" w:name="_Toc297120511"/>
      <w:bookmarkStart w:id="1353" w:name="_Toc296347210"/>
      <w:bookmarkStart w:id="1354" w:name="_Toc292559416"/>
      <w:r>
        <w:rPr>
          <w:rFonts w:hint="eastAsia" w:ascii="宋体" w:hAnsi="宋体" w:eastAsia="宋体" w:cs="宋体"/>
          <w:color w:val="000000"/>
          <w:sz w:val="24"/>
          <w:szCs w:val="24"/>
          <w:highlight w:val="none"/>
        </w:rPr>
        <w:t>12.4.1 付款周期</w:t>
      </w:r>
    </w:p>
    <w:p w14:paraId="73D1843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关于付款周期的约定：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7DE51EC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12.4.2 进度付款申请单的编制</w:t>
      </w:r>
    </w:p>
    <w:p w14:paraId="4E56DFEA">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关于进度付款申请单编制的约定：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73FF36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Pr>
          <w:rFonts w:hint="eastAsia" w:ascii="宋体" w:hAnsi="宋体" w:eastAsia="宋体" w:cs="宋体"/>
          <w:color w:val="000000"/>
          <w:sz w:val="24"/>
          <w:szCs w:val="24"/>
          <w:highlight w:val="none"/>
        </w:rPr>
        <w:t>2.4.3 进度付款申请单的提交</w:t>
      </w:r>
    </w:p>
    <w:p w14:paraId="2EB6CD9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付款方式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签订合同且工程竣工验收合格后，支付至合同总价 80%</w:t>
      </w:r>
      <w:r>
        <w:rPr>
          <w:rFonts w:hint="eastAsia" w:ascii="宋体" w:hAnsi="宋体" w:eastAsia="宋体" w:cs="宋体"/>
          <w:color w:val="auto"/>
          <w:sz w:val="24"/>
          <w:szCs w:val="24"/>
          <w:highlight w:val="none"/>
          <w:u w:val="single"/>
          <w:lang w:eastAsia="zh-CN"/>
        </w:rPr>
        <w:t>（扣除暂列金、专业工程暂估价的</w:t>
      </w:r>
      <w:r>
        <w:rPr>
          <w:rFonts w:hint="eastAsia" w:ascii="宋体" w:hAnsi="宋体" w:eastAsia="宋体" w:cs="宋体"/>
          <w:color w:val="auto"/>
          <w:sz w:val="24"/>
          <w:szCs w:val="24"/>
          <w:highlight w:val="none"/>
          <w:u w:val="single"/>
          <w:lang w:val="en-US" w:eastAsia="zh-CN"/>
        </w:rPr>
        <w:t>80%</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结算定案后经施工单位、造价单位、建设单位盖章确认后支付至确认结算定案价的 97%</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剩余结算定案价的 3%，质保期满无任何质量问题后无息支付。</w:t>
      </w:r>
    </w:p>
    <w:p w14:paraId="3B0408D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u w:val="single"/>
          <w:lang w:eastAsia="zh-CN"/>
        </w:rPr>
        <w:t>发包人在支付以上款项时，承包人应当按照发包人要求提供发票，否则发包人有权拒绝支付以上款项，并不承担违约责任。</w:t>
      </w:r>
    </w:p>
    <w:p w14:paraId="431DC2F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12.4.4 进度款审核和支付</w:t>
      </w:r>
    </w:p>
    <w:p w14:paraId="2D0F0AD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（1）监理人审查并报送发包人的期限：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2B55286">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发包人完成审批并签发进度款支付证书的期限：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FB0324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（2）发包人支付进度款的期限：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431D21A">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发包人逾期支付进度款的违约金的计算方式：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E575C1A">
      <w:pPr>
        <w:pageBreakBefore w:val="0"/>
        <w:widowControl w:val="0"/>
        <w:kinsoku/>
        <w:wordWrap/>
        <w:overflowPunct/>
        <w:topLinePunct w:val="0"/>
        <w:bidi w:val="0"/>
        <w:snapToGrid/>
        <w:spacing w:line="480" w:lineRule="exact"/>
        <w:ind w:firstLine="600" w:firstLineChars="25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12.4.6 支付分解表的编制</w:t>
      </w:r>
    </w:p>
    <w:p w14:paraId="36618D34">
      <w:pPr>
        <w:pageBreakBefore w:val="0"/>
        <w:widowControl w:val="0"/>
        <w:kinsoku/>
        <w:wordWrap/>
        <w:overflowPunct/>
        <w:topLinePunct w:val="0"/>
        <w:bidi w:val="0"/>
        <w:snapToGrid/>
        <w:spacing w:line="480" w:lineRule="exact"/>
        <w:ind w:left="6000" w:hanging="4800" w:hangingChars="20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2、总价合同支付分解表的编制与审批：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E8748C0">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3、单价合同的总价项目支付分解表的编制与审批：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1184"/>
    <w:p w14:paraId="1DA596F2">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355" w:name="_Toc351203645"/>
      <w:bookmarkStart w:id="1356" w:name="_Toc297120519"/>
      <w:bookmarkStart w:id="1357" w:name="_Toc312678053"/>
      <w:bookmarkStart w:id="1358" w:name="_Toc297048405"/>
      <w:bookmarkStart w:id="1359" w:name="_Toc296944558"/>
      <w:bookmarkStart w:id="1360" w:name="_Toc296891259"/>
      <w:bookmarkStart w:id="1361" w:name="_Toc300935015"/>
      <w:bookmarkStart w:id="1362" w:name="_Toc296346720"/>
      <w:bookmarkStart w:id="1363" w:name="_Toc297123564"/>
      <w:bookmarkStart w:id="1364" w:name="_Toc304295593"/>
      <w:bookmarkStart w:id="1365" w:name="_Toc303539172"/>
      <w:bookmarkStart w:id="1366" w:name="_Toc292559424"/>
      <w:bookmarkStart w:id="1367" w:name="_Toc296503219"/>
      <w:bookmarkStart w:id="1368" w:name="_Toc297216223"/>
      <w:bookmarkStart w:id="1369" w:name="_Toc292559929"/>
      <w:bookmarkStart w:id="1370" w:name="_Toc296347218"/>
      <w:bookmarkStart w:id="1371" w:name="_Toc296891047"/>
      <w:r>
        <w:rPr>
          <w:rFonts w:hint="eastAsia" w:ascii="宋体" w:hAnsi="宋体" w:eastAsia="宋体" w:cs="宋体"/>
          <w:b w:val="0"/>
          <w:color w:val="000000"/>
          <w:sz w:val="24"/>
          <w:szCs w:val="24"/>
          <w:highlight w:val="none"/>
        </w:rPr>
        <w:t>13. 验收和工程试车</w:t>
      </w:r>
      <w:bookmarkEnd w:id="1355"/>
    </w:p>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14:paraId="3C49ECC8">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 分部分项工程验收</w:t>
      </w:r>
    </w:p>
    <w:p w14:paraId="2AC7602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13.1.2监理人不能按时进行验收时，应提前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小时提交书面延期要求。</w:t>
      </w:r>
    </w:p>
    <w:p w14:paraId="4F36BD5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关于延期最长不得超过：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小时。</w:t>
      </w:r>
    </w:p>
    <w:p w14:paraId="0C7486F5">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bookmarkStart w:id="1372" w:name="_Toc296891263"/>
      <w:bookmarkStart w:id="1373" w:name="_Toc303539173"/>
      <w:bookmarkStart w:id="1374" w:name="_Toc292559933"/>
      <w:bookmarkStart w:id="1375" w:name="_Toc296891051"/>
      <w:bookmarkStart w:id="1376" w:name="_Toc297123565"/>
      <w:bookmarkStart w:id="1377" w:name="_Toc304295596"/>
      <w:bookmarkStart w:id="1378" w:name="_Toc296347222"/>
      <w:bookmarkStart w:id="1379" w:name="_Toc296503223"/>
      <w:bookmarkStart w:id="1380" w:name="_Toc296346724"/>
      <w:bookmarkStart w:id="1381" w:name="_Toc297216224"/>
      <w:bookmarkStart w:id="1382" w:name="_Toc296944562"/>
      <w:bookmarkStart w:id="1383" w:name="_Toc297048409"/>
      <w:bookmarkStart w:id="1384" w:name="_Toc292559428"/>
      <w:bookmarkStart w:id="1385" w:name="_Toc312678056"/>
      <w:bookmarkStart w:id="1386" w:name="_Toc297120523"/>
      <w:bookmarkStart w:id="1387" w:name="_Toc300935016"/>
      <w:bookmarkStart w:id="1388" w:name="_Toc267251471"/>
      <w:bookmarkStart w:id="1389" w:name="_Toc267251470"/>
      <w:bookmarkStart w:id="1390" w:name="_Toc267251473"/>
      <w:bookmarkStart w:id="1391" w:name="_Toc267251475"/>
      <w:bookmarkStart w:id="1392" w:name="_Toc267251476"/>
      <w:bookmarkStart w:id="1393" w:name="_Toc267251472"/>
      <w:bookmarkStart w:id="1394" w:name="_Toc267251474"/>
      <w:r>
        <w:rPr>
          <w:rFonts w:hint="eastAsia" w:ascii="宋体" w:hAnsi="宋体" w:eastAsia="宋体" w:cs="宋体"/>
          <w:color w:val="000000"/>
          <w:sz w:val="24"/>
          <w:szCs w:val="24"/>
          <w:highlight w:val="none"/>
        </w:rPr>
        <w:t>13.2 竣工验收</w:t>
      </w:r>
    </w:p>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14:paraId="3248B93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bookmarkStart w:id="1395" w:name="_Toc280868704"/>
      <w:bookmarkStart w:id="1396" w:name="_Toc280868705"/>
      <w:bookmarkStart w:id="1397" w:name="_Toc280868706"/>
      <w:bookmarkStart w:id="1398" w:name="_Toc280868707"/>
      <w:bookmarkStart w:id="1399" w:name="_Toc280868708"/>
      <w:bookmarkStart w:id="1400" w:name="_Toc280868709"/>
      <w:r>
        <w:rPr>
          <w:rFonts w:hint="eastAsia" w:ascii="宋体" w:hAnsi="宋体" w:eastAsia="宋体" w:cs="宋体"/>
          <w:color w:val="000000"/>
          <w:sz w:val="24"/>
          <w:szCs w:val="24"/>
          <w:highlight w:val="none"/>
        </w:rPr>
        <w:t>13.2.2竣工验收程序</w:t>
      </w:r>
    </w:p>
    <w:bookmarkEnd w:id="1395"/>
    <w:p w14:paraId="12CF1A2F">
      <w:pPr>
        <w:pageBreakBefore w:val="0"/>
        <w:widowControl w:val="0"/>
        <w:kinsoku/>
        <w:wordWrap/>
        <w:overflowPunct/>
        <w:topLinePunct w:val="0"/>
        <w:bidi w:val="0"/>
        <w:snapToGrid/>
        <w:spacing w:line="480" w:lineRule="exact"/>
        <w:ind w:left="4958" w:leftChars="266" w:hanging="4320" w:hangingChars="18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关于竣工验收程序的约定：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执行通用条款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1396"/>
    <w:p w14:paraId="51E7755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13.2.5移交、接收全部与部分工程</w:t>
      </w:r>
    </w:p>
    <w:bookmarkEnd w:id="1397"/>
    <w:p w14:paraId="77C43E4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承包人向发包人移交工程的期限：</w:t>
      </w:r>
      <w:r>
        <w:rPr>
          <w:rFonts w:hint="eastAsia" w:ascii="宋体" w:hAnsi="宋体" w:eastAsia="宋体" w:cs="宋体"/>
          <w:color w:val="000000"/>
          <w:sz w:val="24"/>
          <w:szCs w:val="24"/>
          <w:highlight w:val="none"/>
          <w:u w:val="single"/>
        </w:rPr>
        <w:t xml:space="preserve">  应当在工程验收合格后7天内完成工程的移交  </w:t>
      </w:r>
      <w:r>
        <w:rPr>
          <w:rFonts w:hint="eastAsia" w:ascii="宋体" w:hAnsi="宋体" w:eastAsia="宋体" w:cs="宋体"/>
          <w:color w:val="000000"/>
          <w:sz w:val="24"/>
          <w:szCs w:val="24"/>
          <w:highlight w:val="none"/>
        </w:rPr>
        <w:t>。</w:t>
      </w:r>
    </w:p>
    <w:p w14:paraId="6918010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kern w:val="0"/>
          <w:sz w:val="24"/>
          <w:szCs w:val="24"/>
          <w:highlight w:val="none"/>
        </w:rPr>
        <w:t>发包人未按本合同约定接收全部或部分工程的，违约金的计算方法为：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1398"/>
    <w:p w14:paraId="2EFAA9F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承包人未按时移交工程的，违约金的计算方法为：</w:t>
      </w:r>
      <w:r>
        <w:rPr>
          <w:rFonts w:hint="eastAsia" w:ascii="宋体" w:hAnsi="宋体" w:eastAsia="宋体" w:cs="宋体"/>
          <w:color w:val="000000"/>
          <w:sz w:val="24"/>
          <w:szCs w:val="24"/>
          <w:highlight w:val="none"/>
          <w:u w:val="single"/>
        </w:rPr>
        <w:t xml:space="preserve">  除承担工程照管、成品保护、保管等与工程有关的各项费用外，每延误一天，向发包人</w:t>
      </w:r>
      <w:r>
        <w:rPr>
          <w:rFonts w:hint="eastAsia" w:ascii="宋体" w:hAnsi="宋体" w:eastAsia="宋体" w:cs="宋体"/>
          <w:color w:val="000000"/>
          <w:sz w:val="24"/>
          <w:szCs w:val="24"/>
          <w:highlight w:val="none"/>
          <w:u w:val="single"/>
          <w:lang w:val="en-US" w:eastAsia="zh-CN"/>
        </w:rPr>
        <w:t>1%-10%元/天</w:t>
      </w:r>
      <w:r>
        <w:rPr>
          <w:rFonts w:hint="eastAsia" w:ascii="宋体" w:hAnsi="宋体" w:eastAsia="宋体" w:cs="宋体"/>
          <w:color w:val="000000"/>
          <w:sz w:val="24"/>
          <w:szCs w:val="24"/>
          <w:highlight w:val="none"/>
          <w:u w:val="single"/>
        </w:rPr>
        <w:t xml:space="preserve">的违约金，从工程结算款中扣除  </w:t>
      </w:r>
      <w:r>
        <w:rPr>
          <w:rFonts w:hint="eastAsia" w:ascii="宋体" w:hAnsi="宋体" w:eastAsia="宋体" w:cs="宋体"/>
          <w:color w:val="000000"/>
          <w:sz w:val="24"/>
          <w:szCs w:val="24"/>
          <w:highlight w:val="none"/>
        </w:rPr>
        <w:t>。</w:t>
      </w:r>
    </w:p>
    <w:p w14:paraId="10DC819B">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13.3 工程试车</w:t>
      </w:r>
    </w:p>
    <w:bookmarkEnd w:id="1399"/>
    <w:p w14:paraId="15B51E5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13.3.1 试车程序</w:t>
      </w:r>
    </w:p>
    <w:p w14:paraId="40DE78E7">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工程试车内容：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5B49F4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（1）单机无负荷试车费用由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承担；</w:t>
      </w:r>
    </w:p>
    <w:p w14:paraId="392E5FA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（2）无负荷联动试车费用由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kern w:val="0"/>
          <w:sz w:val="24"/>
          <w:szCs w:val="24"/>
          <w:highlight w:val="none"/>
        </w:rPr>
        <w:t>承担。</w:t>
      </w:r>
    </w:p>
    <w:p w14:paraId="15B1AD7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13.3.3 投料试车</w:t>
      </w:r>
    </w:p>
    <w:p w14:paraId="2A71E283">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关于投料试车相关事项的约定：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3711F76">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13.6 竣工退场</w:t>
      </w:r>
    </w:p>
    <w:p w14:paraId="106C15C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13.6.1 竣工退场</w:t>
      </w:r>
    </w:p>
    <w:p w14:paraId="360B753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kern w:val="0"/>
          <w:sz w:val="24"/>
          <w:szCs w:val="24"/>
          <w:highlight w:val="none"/>
        </w:rPr>
        <w:t>承包人完成竣工退场的期限：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竣工验收完成后</w:t>
      </w:r>
      <w:r>
        <w:rPr>
          <w:rFonts w:hint="eastAsia" w:ascii="宋体" w:hAnsi="宋体" w:eastAsia="宋体" w:cs="宋体"/>
          <w:color w:val="000000"/>
          <w:sz w:val="24"/>
          <w:szCs w:val="24"/>
          <w:highlight w:val="none"/>
          <w:u w:val="single"/>
        </w:rPr>
        <w:t>3天内退场，每延误1 天向发包人支付</w:t>
      </w:r>
      <w:r>
        <w:rPr>
          <w:rFonts w:hint="eastAsia" w:ascii="宋体" w:hAnsi="宋体" w:eastAsia="宋体" w:cs="宋体"/>
          <w:color w:val="000000"/>
          <w:sz w:val="24"/>
          <w:szCs w:val="24"/>
          <w:highlight w:val="none"/>
          <w:u w:val="single"/>
          <w:lang w:val="en-US" w:eastAsia="zh-CN"/>
        </w:rPr>
        <w:t>1%-10%元/天</w:t>
      </w:r>
      <w:r>
        <w:rPr>
          <w:rFonts w:hint="eastAsia" w:ascii="宋体" w:hAnsi="宋体" w:eastAsia="宋体" w:cs="宋体"/>
          <w:color w:val="000000"/>
          <w:sz w:val="24"/>
          <w:szCs w:val="24"/>
          <w:highlight w:val="none"/>
          <w:u w:val="single"/>
        </w:rPr>
        <w:t>的违约金，发包人从工程结算款中扣除。</w:t>
      </w:r>
    </w:p>
    <w:p w14:paraId="69C2689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u w:val="single"/>
        </w:rPr>
        <w:t>除执行通用合同条款外，还应执行：①承包人应当保留为完成甩尾工作和保修工作的必要人员、工程设备和设施，发包人应为承包人履行上述义务、进出和占用现场提供方便和协助。②承包人逾期退场，承包人遗留在现场的物品，发包人应事先通知承包人自行处理，承包人在发包人规定的合理期限内仍不处理的，发包人有权出售或另行处理，包括</w:t>
      </w:r>
      <w:r>
        <w:rPr>
          <w:rFonts w:hint="eastAsia" w:ascii="宋体" w:hAnsi="宋体" w:eastAsia="宋体" w:cs="宋体"/>
          <w:color w:val="000000"/>
          <w:sz w:val="24"/>
          <w:szCs w:val="24"/>
          <w:highlight w:val="none"/>
          <w:u w:val="single"/>
          <w:lang w:eastAsia="zh-CN"/>
        </w:rPr>
        <w:t>但不限于</w:t>
      </w:r>
      <w:r>
        <w:rPr>
          <w:rFonts w:hint="eastAsia" w:ascii="宋体" w:hAnsi="宋体" w:eastAsia="宋体" w:cs="宋体"/>
          <w:color w:val="000000"/>
          <w:sz w:val="24"/>
          <w:szCs w:val="24"/>
          <w:highlight w:val="none"/>
          <w:u w:val="single"/>
        </w:rPr>
        <w:t xml:space="preserve">进行拍卖、提存等   </w:t>
      </w:r>
      <w:r>
        <w:rPr>
          <w:rFonts w:hint="eastAsia" w:ascii="宋体" w:hAnsi="宋体" w:eastAsia="宋体" w:cs="宋体"/>
          <w:color w:val="000000"/>
          <w:kern w:val="0"/>
          <w:sz w:val="24"/>
          <w:szCs w:val="24"/>
          <w:highlight w:val="none"/>
        </w:rPr>
        <w:t>。</w:t>
      </w:r>
    </w:p>
    <w:p w14:paraId="571BFB8D">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401" w:name="_Toc351203646"/>
      <w:r>
        <w:rPr>
          <w:rFonts w:hint="eastAsia" w:ascii="宋体" w:hAnsi="宋体" w:eastAsia="宋体" w:cs="宋体"/>
          <w:b w:val="0"/>
          <w:color w:val="000000"/>
          <w:sz w:val="24"/>
          <w:szCs w:val="24"/>
          <w:highlight w:val="none"/>
        </w:rPr>
        <w:t>14. 竣工结算</w:t>
      </w:r>
      <w:bookmarkEnd w:id="1401"/>
    </w:p>
    <w:p w14:paraId="578C909E">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14.1 竣工结算申请</w:t>
      </w:r>
    </w:p>
    <w:p w14:paraId="418FD24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承包人提交竣工结算申请单的期限：</w:t>
      </w:r>
      <w:r>
        <w:rPr>
          <w:rFonts w:hint="eastAsia" w:ascii="宋体" w:hAnsi="宋体" w:eastAsia="宋体" w:cs="宋体"/>
          <w:color w:val="000000"/>
          <w:sz w:val="24"/>
          <w:szCs w:val="24"/>
          <w:highlight w:val="none"/>
          <w:u w:val="single"/>
        </w:rPr>
        <w:t xml:space="preserve">   承包人应在工程竣工验收合格后60天内向发包人和监理人提交竣工结算申请单，并提交完整的结算资料</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份，在工程竣工验收合格后60天内向发包人提交完整合格工程资料六套，每延误1 天按</w:t>
      </w:r>
      <w:r>
        <w:rPr>
          <w:rFonts w:hint="eastAsia" w:ascii="宋体" w:hAnsi="宋体" w:eastAsia="宋体" w:cs="宋体"/>
          <w:color w:val="000000"/>
          <w:sz w:val="24"/>
          <w:szCs w:val="24"/>
          <w:highlight w:val="none"/>
          <w:u w:val="single"/>
          <w:lang w:val="en-US" w:eastAsia="zh-CN"/>
        </w:rPr>
        <w:t>1%-10%</w:t>
      </w:r>
      <w:r>
        <w:rPr>
          <w:rFonts w:hint="eastAsia" w:ascii="宋体" w:hAnsi="宋体" w:eastAsia="宋体" w:cs="宋体"/>
          <w:color w:val="000000"/>
          <w:sz w:val="24"/>
          <w:szCs w:val="24"/>
          <w:highlight w:val="none"/>
          <w:u w:val="single"/>
        </w:rPr>
        <w:t xml:space="preserve">支付违约金，发包人从工程结算款中扣除   </w:t>
      </w:r>
      <w:r>
        <w:rPr>
          <w:rFonts w:hint="eastAsia" w:ascii="宋体" w:hAnsi="宋体" w:eastAsia="宋体" w:cs="宋体"/>
          <w:color w:val="000000"/>
          <w:sz w:val="24"/>
          <w:szCs w:val="24"/>
          <w:highlight w:val="none"/>
        </w:rPr>
        <w:t>。</w:t>
      </w:r>
    </w:p>
    <w:p w14:paraId="70D32D77">
      <w:pPr>
        <w:pageBreakBefore w:val="0"/>
        <w:widowControl w:val="0"/>
        <w:kinsoku/>
        <w:wordWrap/>
        <w:overflowPunct/>
        <w:topLinePunct w:val="0"/>
        <w:bidi w:val="0"/>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竣工结算申请单应包括的内容：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528EBB7C">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14.2 竣工结算审核</w:t>
      </w:r>
    </w:p>
    <w:p w14:paraId="428242E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发包人审批竣工付款申请单的期限：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ADD860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发包人完成竣工付款的期限：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13DB43A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关于竣工付款证书异议部分复核的方式和程序：</w:t>
      </w:r>
      <w:r>
        <w:rPr>
          <w:rFonts w:hint="eastAsia" w:ascii="宋体" w:hAnsi="宋体" w:eastAsia="宋体" w:cs="宋体"/>
          <w:color w:val="000000"/>
          <w:sz w:val="24"/>
          <w:szCs w:val="24"/>
          <w:highlight w:val="none"/>
          <w:u w:val="single"/>
        </w:rPr>
        <w:t xml:space="preserve">  合同当事人自行和解，自行和解达成协议的经双方签字并盖章后作为合同补充文件，双方均应遵照执行   </w:t>
      </w:r>
      <w:r>
        <w:rPr>
          <w:rFonts w:hint="eastAsia" w:ascii="宋体" w:hAnsi="宋体" w:eastAsia="宋体" w:cs="宋体"/>
          <w:color w:val="000000"/>
          <w:sz w:val="24"/>
          <w:szCs w:val="24"/>
          <w:highlight w:val="none"/>
        </w:rPr>
        <w:t>。</w:t>
      </w:r>
    </w:p>
    <w:p w14:paraId="588D0501">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14.4 最终结清</w:t>
      </w:r>
    </w:p>
    <w:p w14:paraId="55FB7E3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14.4.1 最终结清申请单</w:t>
      </w:r>
    </w:p>
    <w:p w14:paraId="51CD764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承包人提交最终结清申请单的份数：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B74E51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承包人提交最终结算申请单的期限：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 xml:space="preserve"> </w:t>
      </w:r>
    </w:p>
    <w:p w14:paraId="6850309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14.4.2 最终结清证书和支付</w:t>
      </w:r>
    </w:p>
    <w:p w14:paraId="72CDA4E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（1）发包人完成最终结清申请单的审批并颁发最终结清证书的期限：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804B7A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（2）发包人完成支付的期限：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bookmarkEnd w:id="1388"/>
    <w:bookmarkEnd w:id="1389"/>
    <w:bookmarkEnd w:id="1390"/>
    <w:bookmarkEnd w:id="1391"/>
    <w:bookmarkEnd w:id="1392"/>
    <w:bookmarkEnd w:id="1393"/>
    <w:bookmarkEnd w:id="1394"/>
    <w:bookmarkEnd w:id="1400"/>
    <w:p w14:paraId="1D59F69F">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402" w:name="_Toc351203647"/>
      <w:bookmarkStart w:id="1403" w:name="_Toc267251483"/>
      <w:bookmarkStart w:id="1404" w:name="_Toc267251482"/>
      <w:bookmarkStart w:id="1405" w:name="_Toc267251484"/>
      <w:bookmarkStart w:id="1406" w:name="_Toc267251485"/>
      <w:bookmarkStart w:id="1407" w:name="_Toc267251490"/>
      <w:bookmarkStart w:id="1408" w:name="_Toc267251486"/>
      <w:bookmarkStart w:id="1409" w:name="_Toc267251488"/>
      <w:bookmarkStart w:id="1410" w:name="_Toc267251489"/>
      <w:bookmarkStart w:id="1411" w:name="_Toc267251497"/>
      <w:bookmarkStart w:id="1412" w:name="_Toc267251499"/>
      <w:bookmarkStart w:id="1413" w:name="_Toc267251495"/>
      <w:bookmarkStart w:id="1414" w:name="_Toc267251496"/>
      <w:bookmarkStart w:id="1415" w:name="_Toc267251491"/>
      <w:bookmarkStart w:id="1416" w:name="_Toc267251494"/>
      <w:bookmarkStart w:id="1417" w:name="_Toc267251501"/>
      <w:bookmarkStart w:id="1418" w:name="_Toc267251503"/>
      <w:bookmarkStart w:id="1419" w:name="_Toc267251498"/>
      <w:bookmarkStart w:id="1420" w:name="_Toc267251493"/>
      <w:bookmarkStart w:id="1421" w:name="_Toc267251502"/>
      <w:bookmarkStart w:id="1422" w:name="_Toc267251492"/>
      <w:bookmarkStart w:id="1423" w:name="_Toc267251506"/>
      <w:bookmarkStart w:id="1424" w:name="_Toc267251504"/>
      <w:bookmarkStart w:id="1425" w:name="_Toc267251507"/>
      <w:bookmarkStart w:id="1426" w:name="_Toc267251508"/>
      <w:bookmarkStart w:id="1427" w:name="_Toc267251510"/>
      <w:bookmarkStart w:id="1428" w:name="_Toc267251513"/>
      <w:bookmarkStart w:id="1429" w:name="_Toc267251509"/>
      <w:bookmarkStart w:id="1430" w:name="_Toc267251511"/>
      <w:bookmarkStart w:id="1431" w:name="_Toc267251515"/>
      <w:bookmarkStart w:id="1432" w:name="_Toc267251514"/>
      <w:r>
        <w:rPr>
          <w:rFonts w:hint="eastAsia" w:ascii="宋体" w:hAnsi="宋体" w:eastAsia="宋体" w:cs="宋体"/>
          <w:b w:val="0"/>
          <w:color w:val="000000"/>
          <w:sz w:val="24"/>
          <w:szCs w:val="24"/>
          <w:highlight w:val="none"/>
        </w:rPr>
        <w:t>15. 缺陷责任期与保修</w:t>
      </w:r>
      <w:bookmarkEnd w:id="1402"/>
    </w:p>
    <w:p w14:paraId="333181FB">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15.2缺陷责任期</w:t>
      </w:r>
      <w:bookmarkEnd w:id="1403"/>
    </w:p>
    <w:p w14:paraId="266F1AB7">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缺陷责任期的具体期限：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24个月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71BCF6A1">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15.3 质量保证金</w:t>
      </w:r>
    </w:p>
    <w:p w14:paraId="2545817D">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关于是否扣留质量保证金的约定：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是</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3CE397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在工程项目竣工前，承包人按专用合同条款第3.7条提供履约担保的，发包人不得同时预留工程质量保证金。</w:t>
      </w:r>
    </w:p>
    <w:p w14:paraId="0F7C8755">
      <w:pPr>
        <w:pageBreakBefore w:val="0"/>
        <w:widowControl w:val="0"/>
        <w:kinsoku/>
        <w:wordWrap/>
        <w:overflowPunct/>
        <w:topLinePunct w:val="0"/>
        <w:bidi w:val="0"/>
        <w:snapToGrid/>
        <w:spacing w:line="480" w:lineRule="exact"/>
        <w:ind w:firstLine="480" w:firstLineChars="200"/>
        <w:jc w:val="lef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15.3.1 承包人提供质量保证金的方式</w:t>
      </w:r>
    </w:p>
    <w:p w14:paraId="03909D70">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质量保证金采用以下第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种方式：</w:t>
      </w:r>
    </w:p>
    <w:p w14:paraId="5C4C1563">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（1）质量保证金保函，保证金额为：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 xml:space="preserve">； </w:t>
      </w:r>
    </w:p>
    <w:p w14:paraId="37C27F2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3</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%的工程款；</w:t>
      </w:r>
    </w:p>
    <w:p w14:paraId="474900EC">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（3）其他方式:</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F5EEB30">
      <w:pPr>
        <w:pageBreakBefore w:val="0"/>
        <w:widowControl w:val="0"/>
        <w:kinsoku/>
        <w:wordWrap/>
        <w:overflowPunct/>
        <w:topLinePunct w:val="0"/>
        <w:bidi w:val="0"/>
        <w:snapToGrid/>
        <w:spacing w:line="480" w:lineRule="exact"/>
        <w:ind w:firstLine="480" w:firstLineChars="200"/>
        <w:jc w:val="lef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15.3.2 质量保证金的扣留 </w:t>
      </w:r>
    </w:p>
    <w:p w14:paraId="7DA67DF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质量保证金的扣留采取以下第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种方式：</w:t>
      </w:r>
    </w:p>
    <w:p w14:paraId="79791A2F">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（1）在支付工程进度款时逐次扣留，在此情形下，质量保证金的计算基数不包括预付款的支付、扣回以及价格调整的金额；</w:t>
      </w:r>
    </w:p>
    <w:p w14:paraId="7BD32A2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（2）工程竣工结算时一次性扣留质量保证金；</w:t>
      </w:r>
    </w:p>
    <w:p w14:paraId="3A69FE75">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（3）其他扣留方式:</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0FE971A6">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关于质量保证金的补充约定：</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bookmarkEnd w:id="1404"/>
    <w:bookmarkEnd w:id="1405"/>
    <w:p w14:paraId="2B5F9F5D">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15.4保修</w:t>
      </w:r>
    </w:p>
    <w:bookmarkEnd w:id="1406"/>
    <w:p w14:paraId="50F7E1D0">
      <w:pPr>
        <w:pageBreakBefore w:val="0"/>
        <w:widowControl w:val="0"/>
        <w:kinsoku/>
        <w:wordWrap/>
        <w:overflowPunct/>
        <w:topLinePunct w:val="0"/>
        <w:bidi w:val="0"/>
        <w:snapToGrid/>
        <w:spacing w:line="480" w:lineRule="exact"/>
        <w:ind w:firstLine="468" w:firstLineChars="195"/>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15.4.1 保修责任</w:t>
      </w:r>
    </w:p>
    <w:p w14:paraId="1FB3CB56">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sz w:val="24"/>
          <w:szCs w:val="24"/>
          <w:highlight w:val="none"/>
        </w:rPr>
        <w:t>工程保修期为：</w:t>
      </w:r>
      <w:r>
        <w:rPr>
          <w:rFonts w:hint="eastAsia" w:ascii="宋体" w:hAnsi="宋体" w:eastAsia="宋体" w:cs="宋体"/>
          <w:color w:val="000000"/>
          <w:kern w:val="0"/>
          <w:sz w:val="24"/>
          <w:szCs w:val="24"/>
          <w:highlight w:val="none"/>
          <w:u w:val="single"/>
        </w:rPr>
        <w:t xml:space="preserve">  按附件“工程质量保修书”的规定执行。保修期内承包人保证随叫随到，若出现问题承包人在24小时内没有维修或解决，发包人有权委托他人进行处理，费用从承包人的质保金中扣出；如维修费用高于质保金的，除扣除质保金外，超出部分费用由承包人承担，维修项目的质量保修期相应顺延。在顺延的质保期内因工程达不到质量要求而支出的维修费用超过质保金的部分，由承包人支付并承担相应的赔偿责任，并且发包人将该施工单位列入发包人工程单位黑名单中</w:t>
      </w:r>
      <w:r>
        <w:rPr>
          <w:rFonts w:hint="eastAsia" w:ascii="宋体" w:hAnsi="宋体" w:eastAsia="宋体" w:cs="宋体"/>
          <w:color w:val="000000"/>
          <w:kern w:val="0"/>
          <w:sz w:val="24"/>
          <w:szCs w:val="24"/>
          <w:highlight w:val="none"/>
          <w:u w:val="single"/>
          <w:lang w:eastAsia="zh-CN"/>
        </w:rPr>
        <w:t>。</w:t>
      </w:r>
    </w:p>
    <w:p w14:paraId="7627BEB1">
      <w:pPr>
        <w:pageBreakBefore w:val="0"/>
        <w:widowControl w:val="0"/>
        <w:kinsoku/>
        <w:wordWrap/>
        <w:overflowPunct/>
        <w:topLinePunct w:val="0"/>
        <w:bidi w:val="0"/>
        <w:snapToGrid/>
        <w:spacing w:line="480" w:lineRule="exact"/>
        <w:ind w:firstLine="468" w:firstLineChars="195"/>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15.4.3 修复通知</w:t>
      </w:r>
    </w:p>
    <w:p w14:paraId="69729D3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rPr>
        <w:t>承包人收到保修通知并到达工程现场的合理时间：</w:t>
      </w:r>
      <w:r>
        <w:rPr>
          <w:rFonts w:hint="eastAsia" w:ascii="宋体" w:hAnsi="宋体" w:eastAsia="宋体" w:cs="宋体"/>
          <w:color w:val="000000"/>
          <w:kern w:val="0"/>
          <w:sz w:val="24"/>
          <w:szCs w:val="24"/>
          <w:highlight w:val="none"/>
          <w:u w:val="single"/>
        </w:rPr>
        <w:t xml:space="preserve">  接到发包人通知（包括书面和电话通知）之日起</w:t>
      </w:r>
      <w:r>
        <w:rPr>
          <w:rFonts w:hint="eastAsia" w:ascii="宋体" w:hAnsi="宋体" w:eastAsia="宋体" w:cs="宋体"/>
          <w:color w:val="000000"/>
          <w:kern w:val="0"/>
          <w:sz w:val="24"/>
          <w:szCs w:val="24"/>
          <w:highlight w:val="none"/>
          <w:u w:val="single"/>
          <w:lang w:val="en-US" w:eastAsia="zh-CN"/>
        </w:rPr>
        <w:t>24</w:t>
      </w:r>
      <w:r>
        <w:rPr>
          <w:rFonts w:hint="eastAsia" w:ascii="宋体" w:hAnsi="宋体" w:eastAsia="宋体" w:cs="宋体"/>
          <w:color w:val="000000"/>
          <w:kern w:val="0"/>
          <w:sz w:val="24"/>
          <w:szCs w:val="24"/>
          <w:highlight w:val="none"/>
          <w:u w:val="single"/>
        </w:rPr>
        <w:t>小时内到达工程现场。还应执行：</w:t>
      </w:r>
    </w:p>
    <w:p w14:paraId="118E778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lang w:val="en-US" w:eastAsia="zh-CN"/>
        </w:rPr>
        <w:t xml:space="preserve"> 1、</w:t>
      </w:r>
      <w:r>
        <w:rPr>
          <w:rFonts w:hint="eastAsia" w:ascii="宋体" w:hAnsi="宋体" w:eastAsia="宋体" w:cs="宋体"/>
          <w:color w:val="000000"/>
          <w:kern w:val="0"/>
          <w:sz w:val="24"/>
          <w:szCs w:val="24"/>
          <w:highlight w:val="none"/>
          <w:u w:val="single"/>
        </w:rPr>
        <w:t>保修期内，承包人应负责工程和工程设备的全部日常维护和质量保修工作。</w:t>
      </w:r>
    </w:p>
    <w:p w14:paraId="67238A4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u w:val="single"/>
          <w:lang w:val="en-US" w:eastAsia="zh-CN"/>
        </w:rPr>
        <w:t>2、</w:t>
      </w:r>
      <w:r>
        <w:rPr>
          <w:rFonts w:hint="eastAsia" w:ascii="宋体" w:hAnsi="宋体" w:eastAsia="宋体" w:cs="宋体"/>
          <w:color w:val="000000"/>
          <w:kern w:val="0"/>
          <w:sz w:val="24"/>
          <w:szCs w:val="24"/>
          <w:highlight w:val="none"/>
          <w:u w:val="single"/>
        </w:rPr>
        <w:t xml:space="preserve">发包人在保修期内使用工程和工程设备过程中，发现新的缺陷、损坏或修复的缺陷部位或部件又遭损坏，监理人应会同发包人和承包人共同进行查验，若经查验确属由于承包人施工中隐存的或其它由于承包人责任造成的缺陷或损坏，应由承包人承担修复费用，直至经监理人检验合格为止   </w:t>
      </w:r>
      <w:r>
        <w:rPr>
          <w:rFonts w:hint="eastAsia" w:ascii="宋体" w:hAnsi="宋体" w:eastAsia="宋体" w:cs="宋体"/>
          <w:color w:val="000000"/>
          <w:kern w:val="0"/>
          <w:sz w:val="24"/>
          <w:szCs w:val="24"/>
          <w:highlight w:val="none"/>
        </w:rPr>
        <w:t>。</w:t>
      </w:r>
    </w:p>
    <w:bookmarkEnd w:id="1407"/>
    <w:bookmarkEnd w:id="1408"/>
    <w:bookmarkEnd w:id="1409"/>
    <w:bookmarkEnd w:id="1410"/>
    <w:p w14:paraId="29D54864">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433" w:name="_Toc351203648"/>
      <w:bookmarkStart w:id="1434" w:name="_Toc280868717"/>
      <w:bookmarkStart w:id="1435" w:name="_Toc280868718"/>
      <w:r>
        <w:rPr>
          <w:rFonts w:hint="eastAsia" w:ascii="宋体" w:hAnsi="宋体" w:eastAsia="宋体" w:cs="宋体"/>
          <w:b w:val="0"/>
          <w:color w:val="000000"/>
          <w:sz w:val="24"/>
          <w:szCs w:val="24"/>
          <w:highlight w:val="none"/>
        </w:rPr>
        <w:t>16. 违约</w:t>
      </w:r>
      <w:bookmarkEnd w:id="1433"/>
    </w:p>
    <w:p w14:paraId="46E84D82">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16.1 发包人违约</w:t>
      </w:r>
    </w:p>
    <w:p w14:paraId="219D0BC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16.1.1发包人违约的情形</w:t>
      </w:r>
    </w:p>
    <w:p w14:paraId="6B835D62">
      <w:pPr>
        <w:pageBreakBefore w:val="0"/>
        <w:widowControl w:val="0"/>
        <w:kinsoku/>
        <w:wordWrap/>
        <w:overflowPunct/>
        <w:topLinePunct w:val="0"/>
        <w:bidi w:val="0"/>
        <w:snapToGrid/>
        <w:spacing w:line="480" w:lineRule="exact"/>
        <w:ind w:left="1500" w:hanging="1200" w:hangingChars="5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发包人违约的其他情形：</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3D8F63E">
      <w:pPr>
        <w:pageBreakBefore w:val="0"/>
        <w:widowControl w:val="0"/>
        <w:kinsoku/>
        <w:wordWrap/>
        <w:overflowPunct/>
        <w:topLinePunct w:val="0"/>
        <w:bidi w:val="0"/>
        <w:snapToGrid/>
        <w:spacing w:line="480" w:lineRule="exact"/>
        <w:ind w:left="1500" w:hanging="1200" w:hangingChars="5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16.1.2 发包人违约的责任</w:t>
      </w:r>
    </w:p>
    <w:p w14:paraId="76037C72">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发包人违约责任的承担方式和计算方法：</w:t>
      </w:r>
    </w:p>
    <w:p w14:paraId="4618FC31">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rPr>
        <w:t>因发包人原因未能在计划开工日期前7天内下达开工通知的违约责任：</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工期顺延</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64A860C">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16.2 承包人违约</w:t>
      </w:r>
    </w:p>
    <w:p w14:paraId="3367001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16.2.1 承包人违约的情形</w:t>
      </w:r>
    </w:p>
    <w:p w14:paraId="5D703771">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承包人违约的其他情形：</w:t>
      </w:r>
    </w:p>
    <w:p w14:paraId="7F15B080">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lang w:eastAsia="zh-CN"/>
        </w:rPr>
      </w:pP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lang w:eastAsia="zh-CN"/>
        </w:rPr>
        <w:t>）不服从甲方管理规定的；</w:t>
      </w:r>
    </w:p>
    <w:p w14:paraId="6D968B9B">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lang w:eastAsia="zh-CN"/>
        </w:rPr>
        <w:t>（</w:t>
      </w:r>
      <w:r>
        <w:rPr>
          <w:rFonts w:hint="eastAsia" w:ascii="宋体" w:hAnsi="宋体" w:eastAsia="宋体" w:cs="宋体"/>
          <w:color w:val="000000"/>
          <w:kern w:val="0"/>
          <w:sz w:val="24"/>
          <w:szCs w:val="24"/>
          <w:highlight w:val="none"/>
          <w:u w:val="single"/>
          <w:lang w:val="en-US" w:eastAsia="zh-CN"/>
        </w:rPr>
        <w:t>2</w:t>
      </w:r>
      <w:r>
        <w:rPr>
          <w:rFonts w:hint="eastAsia" w:ascii="宋体" w:hAnsi="宋体" w:eastAsia="宋体" w:cs="宋体"/>
          <w:color w:val="000000"/>
          <w:kern w:val="0"/>
          <w:sz w:val="24"/>
          <w:szCs w:val="24"/>
          <w:highlight w:val="none"/>
          <w:u w:val="single"/>
          <w:lang w:eastAsia="zh-CN"/>
        </w:rPr>
        <w:t>）</w:t>
      </w:r>
      <w:r>
        <w:rPr>
          <w:rFonts w:hint="eastAsia" w:ascii="宋体" w:hAnsi="宋体" w:eastAsia="宋体" w:cs="宋体"/>
          <w:color w:val="000000"/>
          <w:kern w:val="0"/>
          <w:sz w:val="24"/>
          <w:szCs w:val="24"/>
          <w:highlight w:val="none"/>
          <w:u w:val="single"/>
        </w:rPr>
        <w:t>承包人违反合同约定进行转包或分包的；</w:t>
      </w:r>
    </w:p>
    <w:p w14:paraId="06B3CCAE">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3</w:t>
      </w:r>
      <w:r>
        <w:rPr>
          <w:rFonts w:hint="eastAsia" w:ascii="宋体" w:hAnsi="宋体" w:eastAsia="宋体" w:cs="宋体"/>
          <w:color w:val="000000"/>
          <w:kern w:val="0"/>
          <w:sz w:val="24"/>
          <w:szCs w:val="24"/>
          <w:highlight w:val="none"/>
          <w:u w:val="single"/>
        </w:rPr>
        <w:t>）承包人违反合同约定采购和使用不合格的材料和工程设备的；</w:t>
      </w:r>
    </w:p>
    <w:p w14:paraId="0A19C773">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4</w:t>
      </w:r>
      <w:r>
        <w:rPr>
          <w:rFonts w:hint="eastAsia" w:ascii="宋体" w:hAnsi="宋体" w:eastAsia="宋体" w:cs="宋体"/>
          <w:color w:val="000000"/>
          <w:kern w:val="0"/>
          <w:sz w:val="24"/>
          <w:szCs w:val="24"/>
          <w:highlight w:val="none"/>
          <w:u w:val="single"/>
        </w:rPr>
        <w:t xml:space="preserve">）因承包人原因导致工程质量不符合合同要求的； </w:t>
      </w:r>
    </w:p>
    <w:p w14:paraId="343C1DBD">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5</w:t>
      </w:r>
      <w:r>
        <w:rPr>
          <w:rFonts w:hint="eastAsia" w:ascii="宋体" w:hAnsi="宋体" w:eastAsia="宋体" w:cs="宋体"/>
          <w:color w:val="000000"/>
          <w:kern w:val="0"/>
          <w:sz w:val="24"/>
          <w:szCs w:val="24"/>
          <w:highlight w:val="none"/>
          <w:u w:val="single"/>
        </w:rPr>
        <w:t>）承包人违反第8.9款〔材料与设备专用要求〕的约定，未经批准，私自将已按照合同约定进入施工现场的材料或设备撤离施工现场的；</w:t>
      </w:r>
    </w:p>
    <w:p w14:paraId="4507B4A5">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6</w:t>
      </w:r>
      <w:r>
        <w:rPr>
          <w:rFonts w:hint="eastAsia" w:ascii="宋体" w:hAnsi="宋体" w:eastAsia="宋体" w:cs="宋体"/>
          <w:color w:val="000000"/>
          <w:kern w:val="0"/>
          <w:sz w:val="24"/>
          <w:szCs w:val="24"/>
          <w:highlight w:val="none"/>
          <w:u w:val="single"/>
        </w:rPr>
        <w:t>）承包人未能按施工进度计划及时完成合同约定的工作，造成工期延误的；</w:t>
      </w:r>
    </w:p>
    <w:p w14:paraId="37192D5A">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7</w:t>
      </w:r>
      <w:r>
        <w:rPr>
          <w:rFonts w:hint="eastAsia" w:ascii="宋体" w:hAnsi="宋体" w:eastAsia="宋体" w:cs="宋体"/>
          <w:color w:val="000000"/>
          <w:kern w:val="0"/>
          <w:sz w:val="24"/>
          <w:szCs w:val="24"/>
          <w:highlight w:val="none"/>
          <w:u w:val="single"/>
        </w:rPr>
        <w:t>）承包人在缺陷责任期及保修期内，未能在合理期限对工程缺陷进行修复，或拒绝按发包人要求进行修复的；</w:t>
      </w:r>
    </w:p>
    <w:p w14:paraId="6E4032CA">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8</w:t>
      </w:r>
      <w:r>
        <w:rPr>
          <w:rFonts w:hint="eastAsia" w:ascii="宋体" w:hAnsi="宋体" w:eastAsia="宋体" w:cs="宋体"/>
          <w:color w:val="000000"/>
          <w:kern w:val="0"/>
          <w:sz w:val="24"/>
          <w:szCs w:val="24"/>
          <w:highlight w:val="none"/>
          <w:u w:val="single"/>
        </w:rPr>
        <w:t>）承包人明确表示或者以其行为表明不履行合同主要义务的；</w:t>
      </w:r>
    </w:p>
    <w:p w14:paraId="783D18E6">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9</w:t>
      </w:r>
      <w:r>
        <w:rPr>
          <w:rFonts w:hint="eastAsia" w:ascii="宋体" w:hAnsi="宋体" w:eastAsia="宋体" w:cs="宋体"/>
          <w:color w:val="000000"/>
          <w:kern w:val="0"/>
          <w:sz w:val="24"/>
          <w:szCs w:val="24"/>
          <w:highlight w:val="none"/>
          <w:u w:val="single"/>
        </w:rPr>
        <w:t>）承包人未能按照合同约定履行其他义务的。</w:t>
      </w:r>
    </w:p>
    <w:p w14:paraId="676A8ABB">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承包人发生除本项第（</w:t>
      </w:r>
      <w:r>
        <w:rPr>
          <w:rFonts w:hint="eastAsia" w:ascii="宋体" w:hAnsi="宋体" w:eastAsia="宋体" w:cs="宋体"/>
          <w:color w:val="000000"/>
          <w:kern w:val="0"/>
          <w:sz w:val="24"/>
          <w:szCs w:val="24"/>
          <w:highlight w:val="none"/>
          <w:u w:val="single"/>
          <w:lang w:val="en-US" w:eastAsia="zh-CN"/>
        </w:rPr>
        <w:t>2</w:t>
      </w: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u w:val="single"/>
          <w:lang w:val="en-US" w:eastAsia="zh-CN"/>
        </w:rPr>
        <w:t>8</w:t>
      </w:r>
      <w:r>
        <w:rPr>
          <w:rFonts w:hint="eastAsia" w:ascii="宋体" w:hAnsi="宋体" w:eastAsia="宋体" w:cs="宋体"/>
          <w:color w:val="000000"/>
          <w:kern w:val="0"/>
          <w:sz w:val="24"/>
          <w:szCs w:val="24"/>
          <w:highlight w:val="none"/>
          <w:u w:val="single"/>
        </w:rPr>
        <w:t>）条约定以外的其他违约情况时，监理人可向承包人发出整改通知，要求其在指定的期限内改正。</w:t>
      </w:r>
    </w:p>
    <w:p w14:paraId="7FBC25C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承包人违约的其他情形：承包人应保证按时足额向施工人员发放工资，双方明确，</w:t>
      </w:r>
      <w:r>
        <w:rPr>
          <w:rFonts w:hint="eastAsia" w:ascii="宋体" w:hAnsi="宋体" w:eastAsia="宋体" w:cs="宋体"/>
          <w:color w:val="000000"/>
          <w:kern w:val="0"/>
          <w:sz w:val="24"/>
          <w:szCs w:val="24"/>
          <w:highlight w:val="none"/>
          <w:u w:val="single"/>
          <w:lang w:eastAsia="zh-CN"/>
        </w:rPr>
        <w:t>如</w:t>
      </w:r>
      <w:r>
        <w:rPr>
          <w:rFonts w:hint="eastAsia" w:ascii="宋体" w:hAnsi="宋体" w:eastAsia="宋体" w:cs="宋体"/>
          <w:color w:val="000000"/>
          <w:kern w:val="0"/>
          <w:sz w:val="24"/>
          <w:szCs w:val="24"/>
          <w:highlight w:val="none"/>
          <w:u w:val="single"/>
        </w:rPr>
        <w:t>发生任何施工人员举报、信访、围堵政府相关部门等事件的，承包人向发包人支付签约合同价格3%的违约金，并且发包人有权单方解除本协议，没收履约保证金，停止支付工程款，涉及刑事犯罪的，发包人将依法向有关部门进行举报。</w:t>
      </w:r>
    </w:p>
    <w:p w14:paraId="5CABE3C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16.2.2承包人违约的责任</w:t>
      </w:r>
    </w:p>
    <w:p w14:paraId="37E09C5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承包人违约责任的承担方式和计算方法：</w:t>
      </w:r>
    </w:p>
    <w:p w14:paraId="3F7623B2">
      <w:pPr>
        <w:pageBreakBefore w:val="0"/>
        <w:widowControl w:val="0"/>
        <w:numPr>
          <w:ilvl w:val="0"/>
          <w:numId w:val="4"/>
        </w:numPr>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u w:val="single"/>
        </w:rPr>
        <w:t>承包人有16.2.1条违约行为时，发包人有权单方解除合同，且自承包人接到发包人通知之日起，发包人尚未退还承包人的履约保证金不再退还，并保留进一步追究承包人法律责任的权利；由此造成的经济纠纷和赔偿责任，全部由承包人无条件承担一切责任。其中，造成与承包人有关的第三方阻碍本项目移交使用的，自承包人接到发包人通知之日起10 日内，双方应当完成对已完工程量的结算及清场退出工作，每延迟一天，由违约方向非违约方支付</w:t>
      </w:r>
      <w:r>
        <w:rPr>
          <w:rFonts w:hint="eastAsia" w:ascii="宋体" w:hAnsi="宋体" w:eastAsia="宋体" w:cs="宋体"/>
          <w:color w:val="000000"/>
          <w:kern w:val="0"/>
          <w:sz w:val="24"/>
          <w:szCs w:val="24"/>
          <w:highlight w:val="none"/>
          <w:u w:val="single"/>
          <w:lang w:val="en-US" w:eastAsia="zh-CN"/>
        </w:rPr>
        <w:t>1000元/天</w:t>
      </w:r>
      <w:r>
        <w:rPr>
          <w:rFonts w:hint="eastAsia" w:ascii="宋体" w:hAnsi="宋体" w:eastAsia="宋体" w:cs="宋体"/>
          <w:color w:val="000000"/>
          <w:kern w:val="0"/>
          <w:sz w:val="24"/>
          <w:szCs w:val="24"/>
          <w:highlight w:val="none"/>
          <w:u w:val="single"/>
        </w:rPr>
        <w:t xml:space="preserve">的违约金   </w:t>
      </w:r>
      <w:r>
        <w:rPr>
          <w:rFonts w:hint="eastAsia" w:ascii="宋体" w:hAnsi="宋体" w:eastAsia="宋体" w:cs="宋体"/>
          <w:color w:val="000000"/>
          <w:kern w:val="0"/>
          <w:sz w:val="24"/>
          <w:szCs w:val="24"/>
          <w:highlight w:val="none"/>
        </w:rPr>
        <w:t>。</w:t>
      </w:r>
    </w:p>
    <w:p w14:paraId="22789E4A">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承包人不得以与工程无关的理由转移资金、改变资金用途和透支，若经发现，发包人有权解除本合同，并要求承包人承担所有的赔偿责任。</w:t>
      </w:r>
    </w:p>
    <w:p w14:paraId="26B8C586">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承包人使用虚假材料挪用工程款的，发包人有权单方解除本协议，发包人因此遭受的所有损夫由承包人承担，并承担本工程价款1%-10%的违约金。</w:t>
      </w:r>
    </w:p>
    <w:p w14:paraId="7BBFBE5D">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方必须为聘用劳务工及相关人员办理意外伤害险，施工现场如出现任何安全问题及安全事故的，承包方应积极妥善处理并承担全部责任，如处理不善给发包方经济及声誉造成损失的，承包方应赔偿发包方全部损失。</w:t>
      </w:r>
    </w:p>
    <w:p w14:paraId="31FD858C">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工程竣工验收未达到合同约定的质量标准或未达到使用条件、发包人的使用要求及国家对该类工程相关法律法规规定，承包人负责免费返修或返工重建，直至达到合同约定的质量标准为止，费用由承包人自行承担并承担由此给发包人造成的损失，工期不顺延，同时承包人向发包人支付经审定的工程竣工结算价款5万元的违约金，如给发包人造成损失，由此引起的费用由承包人无条件承担，此费用在应付工程款中扣除。施工过程中出现一般质量事故但不影响结构安全和功能的，每次向发包人支付人民币1万元违约金，并无条件整改直至合格；施工过程中出现重大质量事故但不影响结构安全和功能的，每次向发包人支付5万元违约金，并且发包人有权单方解除合同。施工过程中出现重大质量事故且影响结构安全和功能的，每次向发包人支付签约1%-30%万元违约金，发包人有权单方解除合同，承包人同时应承担由此带来的一切损失。</w:t>
      </w:r>
    </w:p>
    <w:p w14:paraId="2AA75D3D">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如双方因以上“返修、返工、质量事故、质量安全”等事项发生争议且无法确定的，将最终由质检部门确定是否合格或整改。</w:t>
      </w:r>
    </w:p>
    <w:p w14:paraId="2DD65B76">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未按施工规范施工或施工质量达不到合同规定要求的，自监理人发出整改通知之日起3日内，承包人必须无条件进行整改，费用自行承担。如整改后，仍达不到规定要求的，承包人应向发包人支付签约1%-10%万元违约金，发包人有权另行指定施工单位进行整改，其费用由承包人承担。</w:t>
      </w:r>
    </w:p>
    <w:p w14:paraId="3D669935">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 xml:space="preserve">  如承包方对监理方提出的整改意见有异议的，发包方、承包方有权聘请第三方监理对异议事项进行评定，该评定结果为最终结果，费用由败诉方承担。</w:t>
      </w:r>
    </w:p>
    <w:p w14:paraId="17D7AE83">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提供和使用了不合格的材料和工程设备或进场滞后，限期在12小时内退场，已使用的必须拆除。由此造成的影响工程质量和工期延误，造成的损失由承包人自行承担，并向发包人支付签约合同价款1%-10%的违约金。</w:t>
      </w:r>
    </w:p>
    <w:p w14:paraId="0A775051">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承包人原因造成的质量事故、工程事故和安全事故，造成人身和财产损害的，承包人承担全部行政、民事和刑事责任，并承担发包人1%-10%的损害赔偿责任。</w:t>
      </w:r>
    </w:p>
    <w:p w14:paraId="7E9E5174">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违反本专用合同条款第6.1.5条相关规定及国家、自治区、市有关文明施工管理、卫生管理、噪声扬尘污染防治等规定，造成后果的，由承包人承担一切责任。一旦被政府有关职能部门处罚、负面通报和媒体负面曝光，除接受相关部门处罚外，还必须向发包人支付1%-10%违约金。</w:t>
      </w:r>
    </w:p>
    <w:p w14:paraId="5DA28D52">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未按发包人、监理人以及主管部门规定建立、健全安全、文明、维稳、疫情防控等施工制度，落实上述制度措施不到位的，每发现一处，承包人须向发包人支付1%-10%不等的违约金，具体情况视情节轻重决定。出现一般安全事故、重大安全事故的按相关规定进行处罚。</w:t>
      </w:r>
    </w:p>
    <w:p w14:paraId="09532F04">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因承包人提供产品材质或工期不能满足发包人要求的，或承包人提供的材料或设备价格差异过大的，自监理人发出客观、合理的整改通知之日起3日内，承包人必须无条件进行整改，费用由承包人自行承担。如整改后，仍达不到规定要求的，发包人有权另行指定分包，其费用由承包人承担。</w:t>
      </w:r>
    </w:p>
    <w:p w14:paraId="1587468A">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如果发生恶意停工、恶意闹事，每发生一次，承包人向发包人支付签约合同价款1%-10%的违约金。</w:t>
      </w:r>
    </w:p>
    <w:p w14:paraId="09C95F79">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承包人不得以材料价格、清单控制价等经济问题未确定而发生威胁发包人或停工或闹事等不良影响，每发生一次，承包人向发包人支付签约合同价款1%-10%的违约金，发包人有权单方解除本协议。</w:t>
      </w:r>
    </w:p>
    <w:p w14:paraId="1DE5CC49">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如由于承包人自身直接原因如发生二次（含二次）及以上未完成发包人要求的工程进度节点，承包人无条件接受发包人的另行委托，由此造成的损失由承包人承担。</w:t>
      </w:r>
    </w:p>
    <w:p w14:paraId="44304467">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承包人如未按要求参加发包人、监理人及行业主管部门对本项目组织的专题会，在请假未经同意的条件下（须经会议最高负责人同意），按项目经理1000元/次、其他人员200 元/次作违约金在当期付款及结算中扣除；若迟到，则项目经理按500元/人.次，其他人员100元/人.次以现金方式向发包人支付。</w:t>
      </w:r>
    </w:p>
    <w:p w14:paraId="7A44FE6B">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lang w:val="en-US" w:eastAsia="zh-CN"/>
        </w:rPr>
        <w:t>承包人不得转包、分包或转让所承包的全部或部分工程，也不得肢解所承包的工程以其它名义转给他人。承包人违反本款规定，承包人应承担其违约所引起的费用增加和（或）工期延误及一切责任。</w:t>
      </w:r>
    </w:p>
    <w:p w14:paraId="259367AF">
      <w:pPr>
        <w:pageBreakBefore w:val="0"/>
        <w:widowControl w:val="0"/>
        <w:numPr>
          <w:ilvl w:val="0"/>
          <w:numId w:val="4"/>
        </w:numPr>
        <w:kinsoku/>
        <w:wordWrap/>
        <w:overflowPunct/>
        <w:topLinePunct w:val="0"/>
        <w:bidi w:val="0"/>
        <w:snapToGrid/>
        <w:spacing w:line="480" w:lineRule="exact"/>
        <w:ind w:left="0" w:leftChars="0" w:firstLine="480" w:firstLineChars="200"/>
        <w:jc w:val="left"/>
        <w:textAlignment w:val="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u w:val="single"/>
        </w:rPr>
        <w:t>未经发包人书面同意,承包人将本合同项下的任何权利义务 (包含债权、债务)转让给任何第三人,或向金融机构等进行质押、出让的,承包人向发包人支付转让 (质押、出让)金额20%的违约金。</w:t>
      </w:r>
    </w:p>
    <w:p w14:paraId="1008731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16.2.3 因承包人违约解除合同</w:t>
      </w:r>
    </w:p>
    <w:p w14:paraId="58F5FDF0">
      <w:pPr>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关于承包人违约解除合同的特别约定：</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执行通用条款</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A9069ED">
      <w:pPr>
        <w:pageBreakBefore w:val="0"/>
        <w:widowControl w:val="0"/>
        <w:kinsoku/>
        <w:wordWrap/>
        <w:overflowPunct/>
        <w:topLinePunct w:val="0"/>
        <w:bidi w:val="0"/>
        <w:snapToGrid/>
        <w:spacing w:before="120" w:after="120" w:line="48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000000"/>
          <w:kern w:val="0"/>
          <w:sz w:val="24"/>
          <w:szCs w:val="24"/>
          <w:highlight w:val="none"/>
          <w:u w:val="single"/>
        </w:rPr>
        <w:t xml:space="preserve">  承包人在施工过程中必须遵守发包人的相应文件规定    </w:t>
      </w:r>
      <w:r>
        <w:rPr>
          <w:rFonts w:hint="eastAsia" w:ascii="宋体" w:hAnsi="宋体" w:eastAsia="宋体" w:cs="宋体"/>
          <w:color w:val="000000"/>
          <w:kern w:val="0"/>
          <w:sz w:val="24"/>
          <w:szCs w:val="24"/>
          <w:highlight w:val="none"/>
        </w:rPr>
        <w:t>。</w:t>
      </w:r>
    </w:p>
    <w:p w14:paraId="52727109">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436" w:name="_Toc351203649"/>
      <w:r>
        <w:rPr>
          <w:rFonts w:hint="eastAsia" w:ascii="宋体" w:hAnsi="宋体" w:eastAsia="宋体" w:cs="宋体"/>
          <w:b w:val="0"/>
          <w:color w:val="000000"/>
          <w:sz w:val="24"/>
          <w:szCs w:val="24"/>
          <w:highlight w:val="none"/>
        </w:rPr>
        <w:t>17. 不可抗力</w:t>
      </w:r>
      <w:bookmarkEnd w:id="1436"/>
      <w:r>
        <w:rPr>
          <w:rFonts w:hint="eastAsia" w:ascii="宋体" w:hAnsi="宋体" w:eastAsia="宋体" w:cs="宋体"/>
          <w:b w:val="0"/>
          <w:color w:val="000000"/>
          <w:sz w:val="24"/>
          <w:szCs w:val="24"/>
          <w:highlight w:val="none"/>
        </w:rPr>
        <w:t xml:space="preserve"> </w:t>
      </w:r>
      <w:bookmarkEnd w:id="1434"/>
    </w:p>
    <w:p w14:paraId="0FE30C0B">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17.1 不可抗力的确认</w:t>
      </w:r>
    </w:p>
    <w:p w14:paraId="1C16447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sz w:val="24"/>
          <w:szCs w:val="24"/>
          <w:highlight w:val="none"/>
        </w:rPr>
        <w:t xml:space="preserve">除通用合同条款约定的不可抗力事件之外，视为不可抗力的其他情形：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0F5477F">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17.4 因不可抗力解除合同</w:t>
      </w:r>
    </w:p>
    <w:p w14:paraId="2104B434">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合同解除后，发包人应在商定或确定发包人应支付款项后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90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天内完成款项的支付。</w:t>
      </w:r>
    </w:p>
    <w:p w14:paraId="5E103418">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437" w:name="_Toc351203650"/>
      <w:r>
        <w:rPr>
          <w:rFonts w:hint="eastAsia" w:ascii="宋体" w:hAnsi="宋体" w:eastAsia="宋体" w:cs="宋体"/>
          <w:b w:val="0"/>
          <w:color w:val="000000"/>
          <w:sz w:val="24"/>
          <w:szCs w:val="24"/>
          <w:highlight w:val="none"/>
        </w:rPr>
        <w:t>18. 保险</w:t>
      </w:r>
      <w:bookmarkEnd w:id="1437"/>
    </w:p>
    <w:bookmarkEnd w:id="1435"/>
    <w:p w14:paraId="7E49E01C">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18.1 工程保险</w:t>
      </w:r>
    </w:p>
    <w:p w14:paraId="7475BADE">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关于工程保险的特别约定：</w:t>
      </w:r>
      <w:r>
        <w:rPr>
          <w:rFonts w:hint="eastAsia" w:ascii="宋体" w:hAnsi="宋体" w:eastAsia="宋体" w:cs="宋体"/>
          <w:color w:val="000000"/>
          <w:kern w:val="0"/>
          <w:sz w:val="24"/>
          <w:szCs w:val="24"/>
          <w:highlight w:val="none"/>
          <w:u w:val="single"/>
        </w:rPr>
        <w:t xml:space="preserve">  执行通用条款，双方各自投保   </w:t>
      </w:r>
      <w:r>
        <w:rPr>
          <w:rFonts w:hint="eastAsia" w:ascii="宋体" w:hAnsi="宋体" w:eastAsia="宋体" w:cs="宋体"/>
          <w:color w:val="000000"/>
          <w:kern w:val="0"/>
          <w:sz w:val="24"/>
          <w:szCs w:val="24"/>
          <w:highlight w:val="none"/>
        </w:rPr>
        <w:t>。</w:t>
      </w:r>
    </w:p>
    <w:p w14:paraId="3ADD9F6C">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18.3 其他保险</w:t>
      </w:r>
    </w:p>
    <w:p w14:paraId="6711ACA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关于其他保险的约定：</w:t>
      </w:r>
      <w:r>
        <w:rPr>
          <w:rFonts w:hint="eastAsia" w:ascii="宋体" w:hAnsi="宋体" w:eastAsia="宋体" w:cs="宋体"/>
          <w:color w:val="000000"/>
          <w:kern w:val="0"/>
          <w:sz w:val="24"/>
          <w:szCs w:val="24"/>
          <w:highlight w:val="none"/>
          <w:u w:val="single"/>
        </w:rPr>
        <w:t xml:space="preserve">  承包人为其施工现场的全部人员办理意外伤害保险并支付保险费，包括其员工及为履行合同聘请的第三方的人员  </w:t>
      </w:r>
      <w:r>
        <w:rPr>
          <w:rFonts w:hint="eastAsia" w:ascii="宋体" w:hAnsi="宋体" w:eastAsia="宋体" w:cs="宋体"/>
          <w:color w:val="000000"/>
          <w:kern w:val="0"/>
          <w:sz w:val="24"/>
          <w:szCs w:val="24"/>
          <w:highlight w:val="none"/>
        </w:rPr>
        <w:t>。</w:t>
      </w:r>
    </w:p>
    <w:p w14:paraId="7DE2DB60">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承包人是否应为其施工设备等办理财产保险：</w:t>
      </w:r>
      <w:r>
        <w:rPr>
          <w:rFonts w:hint="eastAsia" w:ascii="宋体" w:hAnsi="宋体" w:eastAsia="宋体" w:cs="宋体"/>
          <w:color w:val="000000"/>
          <w:sz w:val="24"/>
          <w:szCs w:val="24"/>
          <w:highlight w:val="none"/>
          <w:u w:val="single"/>
        </w:rPr>
        <w:t xml:space="preserve">  承包人为其施工设备等办理财产保险，费用自负   </w:t>
      </w:r>
      <w:r>
        <w:rPr>
          <w:rFonts w:hint="eastAsia" w:ascii="宋体" w:hAnsi="宋体" w:eastAsia="宋体" w:cs="宋体"/>
          <w:color w:val="000000"/>
          <w:sz w:val="24"/>
          <w:szCs w:val="24"/>
          <w:highlight w:val="none"/>
        </w:rPr>
        <w:t>。</w:t>
      </w:r>
    </w:p>
    <w:p w14:paraId="0F89DB68">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18.7 通知义务</w:t>
      </w:r>
    </w:p>
    <w:p w14:paraId="2E026553">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关于变更保险合同时的通知义务的约定：</w:t>
      </w:r>
      <w:r>
        <w:rPr>
          <w:rFonts w:hint="eastAsia" w:ascii="宋体" w:hAnsi="宋体" w:eastAsia="宋体" w:cs="宋体"/>
          <w:color w:val="000000"/>
          <w:sz w:val="24"/>
          <w:szCs w:val="24"/>
          <w:highlight w:val="none"/>
          <w:u w:val="single"/>
        </w:rPr>
        <w:t xml:space="preserve">  24小时内通知对方和监理人   </w:t>
      </w:r>
      <w:r>
        <w:rPr>
          <w:rFonts w:hint="eastAsia" w:ascii="宋体" w:hAnsi="宋体" w:eastAsia="宋体" w:cs="宋体"/>
          <w:color w:val="000000"/>
          <w:sz w:val="24"/>
          <w:szCs w:val="24"/>
          <w:highlight w:val="none"/>
        </w:rPr>
        <w:t>。</w:t>
      </w:r>
    </w:p>
    <w:bookmarkEnd w:id="1411"/>
    <w:bookmarkEnd w:id="1412"/>
    <w:bookmarkEnd w:id="1413"/>
    <w:bookmarkEnd w:id="1414"/>
    <w:bookmarkEnd w:id="1415"/>
    <w:bookmarkEnd w:id="1416"/>
    <w:bookmarkEnd w:id="1417"/>
    <w:bookmarkEnd w:id="1418"/>
    <w:bookmarkEnd w:id="1419"/>
    <w:bookmarkEnd w:id="1420"/>
    <w:bookmarkEnd w:id="1421"/>
    <w:bookmarkEnd w:id="1422"/>
    <w:p w14:paraId="08EA1A5B">
      <w:pPr>
        <w:pStyle w:val="7"/>
        <w:pageBreakBefore w:val="0"/>
        <w:widowControl w:val="0"/>
        <w:kinsoku/>
        <w:wordWrap/>
        <w:overflowPunct/>
        <w:topLinePunct w:val="0"/>
        <w:bidi w:val="0"/>
        <w:snapToGrid/>
        <w:spacing w:before="120" w:after="120" w:line="480" w:lineRule="exact"/>
        <w:textAlignment w:val="auto"/>
        <w:rPr>
          <w:rFonts w:hint="eastAsia" w:ascii="宋体" w:hAnsi="宋体" w:eastAsia="宋体" w:cs="宋体"/>
          <w:b w:val="0"/>
          <w:color w:val="000000"/>
          <w:sz w:val="24"/>
          <w:szCs w:val="24"/>
          <w:highlight w:val="none"/>
        </w:rPr>
      </w:pPr>
      <w:bookmarkStart w:id="1438" w:name="_Toc351203651"/>
      <w:r>
        <w:rPr>
          <w:rFonts w:hint="eastAsia" w:ascii="宋体" w:hAnsi="宋体" w:eastAsia="宋体" w:cs="宋体"/>
          <w:b w:val="0"/>
          <w:color w:val="000000"/>
          <w:sz w:val="24"/>
          <w:szCs w:val="24"/>
          <w:highlight w:val="none"/>
        </w:rPr>
        <w:t>20. 争议解决</w:t>
      </w:r>
      <w:bookmarkEnd w:id="1438"/>
    </w:p>
    <w:bookmarkEnd w:id="1423"/>
    <w:bookmarkEnd w:id="1424"/>
    <w:p w14:paraId="2B4FC572">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20.3 争</w:t>
      </w:r>
      <w:bookmarkEnd w:id="1425"/>
      <w:r>
        <w:rPr>
          <w:rFonts w:hint="eastAsia" w:ascii="宋体" w:hAnsi="宋体" w:eastAsia="宋体" w:cs="宋体"/>
          <w:color w:val="000000"/>
          <w:sz w:val="24"/>
          <w:szCs w:val="24"/>
          <w:highlight w:val="none"/>
        </w:rPr>
        <w:t>议评审</w:t>
      </w:r>
    </w:p>
    <w:p w14:paraId="605FD00F">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合同当事人是否同意将工程争议提交争议评审小组决定：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3C2D583A">
      <w:pPr>
        <w:pageBreakBefore w:val="0"/>
        <w:widowControl w:val="0"/>
        <w:kinsoku/>
        <w:wordWrap/>
        <w:overflowPunct/>
        <w:topLinePunct w:val="0"/>
        <w:bidi w:val="0"/>
        <w:snapToGrid/>
        <w:spacing w:line="480" w:lineRule="exact"/>
        <w:ind w:firstLine="480" w:firstLineChars="200"/>
        <w:jc w:val="lef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20.3.1 争议评审小组的确定</w:t>
      </w:r>
    </w:p>
    <w:p w14:paraId="2DECED2A">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争议评审小组成员的确定：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4D4580CB">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选定争议评审员的期限：</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29216357">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争议评审小组成员的报酬承担方式：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53AA1FF">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其他事项的约定：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6D103D6">
      <w:pPr>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20.3.2 争议评审小组的决定</w:t>
      </w:r>
    </w:p>
    <w:p w14:paraId="50850545">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合同当事人关于本项的约定：</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1F97DF56">
      <w:pPr>
        <w:pageBreakBefore w:val="0"/>
        <w:widowControl w:val="0"/>
        <w:kinsoku/>
        <w:wordWrap/>
        <w:overflowPunct/>
        <w:topLinePunct w:val="0"/>
        <w:bidi w:val="0"/>
        <w:snapToGrid/>
        <w:spacing w:after="120"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20.4仲裁或诉讼</w:t>
      </w:r>
      <w:bookmarkEnd w:id="1426"/>
    </w:p>
    <w:p w14:paraId="7FB3CD69">
      <w:pPr>
        <w:pageBreakBefore w:val="0"/>
        <w:widowControl w:val="0"/>
        <w:kinsoku/>
        <w:wordWrap/>
        <w:overflowPunct/>
        <w:topLinePunct w:val="0"/>
        <w:bidi w:val="0"/>
        <w:snapToGrid/>
        <w:spacing w:after="120"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因合同及合同有关事项发生的争议，按下列第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种方式解决：</w:t>
      </w:r>
    </w:p>
    <w:p w14:paraId="5AF259DC">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（1）向</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工程所在地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仲裁委员会申请仲裁；</w:t>
      </w:r>
    </w:p>
    <w:p w14:paraId="68F0C283">
      <w:pPr>
        <w:pageBreakBefore w:val="0"/>
        <w:widowControl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（2）向</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工程所在地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人民法院起诉。</w:t>
      </w:r>
      <w:bookmarkEnd w:id="1427"/>
      <w:bookmarkEnd w:id="1428"/>
      <w:bookmarkEnd w:id="1429"/>
      <w:bookmarkEnd w:id="1430"/>
      <w:bookmarkEnd w:id="1431"/>
      <w:bookmarkEnd w:id="1432"/>
    </w:p>
    <w:p w14:paraId="35ACDDB4">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p>
    <w:p w14:paraId="6CC2CE72">
      <w:pPr>
        <w:spacing w:line="480" w:lineRule="exact"/>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20.5承诺</w:t>
      </w:r>
    </w:p>
    <w:p w14:paraId="5D843F55">
      <w:pPr>
        <w:numPr>
          <w:ilvl w:val="0"/>
          <w:numId w:val="5"/>
        </w:numPr>
        <w:spacing w:line="480" w:lineRule="exact"/>
        <w:ind w:firstLine="560"/>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在开标前，投标方已仔细核对设计图纸、参数及招标清单，招标方无漏项、漏量或内容已补充；</w:t>
      </w:r>
    </w:p>
    <w:p w14:paraId="017513E3">
      <w:pPr>
        <w:numPr>
          <w:ilvl w:val="0"/>
          <w:numId w:val="5"/>
        </w:numPr>
        <w:spacing w:line="480" w:lineRule="exact"/>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u w:val="none"/>
          <w:lang w:val="en-US" w:eastAsia="zh-CN"/>
        </w:rPr>
        <w:t>投标经济标完全遵照招标文件要求，无擅自修改情况。如承诺不属实，成交方自行承担相应责任及后果；</w:t>
      </w:r>
    </w:p>
    <w:p w14:paraId="55D19EC3">
      <w:pPr>
        <w:numPr>
          <w:ilvl w:val="0"/>
          <w:numId w:val="5"/>
        </w:numPr>
        <w:spacing w:line="480" w:lineRule="exact"/>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u w:val="none"/>
          <w:lang w:val="en-US" w:eastAsia="zh-CN"/>
        </w:rPr>
        <w:t>认可建设单位所选的造价公司；</w:t>
      </w:r>
    </w:p>
    <w:p w14:paraId="10143C3B">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auto"/>
          <w:sz w:val="24"/>
          <w:szCs w:val="24"/>
          <w:u w:val="none"/>
          <w:lang w:val="en-US" w:eastAsia="zh-CN"/>
        </w:rPr>
        <w:t>对造价单位出具结算审核定案文件有异议时，若不提交相关材料或提供的材料不被造价单位、监理单位、建设单位认可的，造价单位出具结算审核定案文件，经发包人、造价单位、监理单位确认的，可按照结算审核定案文件执行。</w:t>
      </w:r>
    </w:p>
    <w:p w14:paraId="339685D8">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447A8F88">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5FE550D8">
      <w:pPr>
        <w:pageBreakBefore w:val="0"/>
        <w:widowControl w:val="0"/>
        <w:kinsoku/>
        <w:wordWrap/>
        <w:overflowPunct/>
        <w:topLinePunct w:val="0"/>
        <w:bidi w:val="0"/>
        <w:snapToGrid/>
        <w:spacing w:before="156" w:beforeLines="50" w:after="156" w:afterLines="50" w:line="48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工程质量保修书</w:t>
      </w:r>
    </w:p>
    <w:p w14:paraId="1A3B8EBC">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发包人（全称）：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51FC60B6">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承包人（全称）：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34BDFA41">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p>
    <w:p w14:paraId="22FFF3AF">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发包人和承包人根据《中华人民共和国建筑法》和《建设工程质量管理条例》，经协商一致就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（工程全称）签订工程质量保修书。</w:t>
      </w:r>
    </w:p>
    <w:p w14:paraId="5971C5E6">
      <w:pPr>
        <w:pageBreakBefore w:val="0"/>
        <w:widowControl w:val="0"/>
        <w:kinsoku/>
        <w:wordWrap/>
        <w:overflowPunct/>
        <w:topLinePunct w:val="0"/>
        <w:bidi w:val="0"/>
        <w:snapToGrid/>
        <w:spacing w:line="480" w:lineRule="exac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一、工程质量保修范围和内容</w:t>
      </w:r>
    </w:p>
    <w:p w14:paraId="46C410E0">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承包人在质量保修期内，按照有关法律规定和合同约定，承担工程质量保修责任。</w:t>
      </w:r>
    </w:p>
    <w:p w14:paraId="669D5569">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4C84B1C">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w:t>
      </w:r>
      <w:r>
        <w:rPr>
          <w:rFonts w:hint="eastAsia" w:ascii="宋体" w:hAnsi="宋体" w:eastAsia="宋体" w:cs="宋体"/>
          <w:color w:val="000000"/>
          <w:sz w:val="24"/>
          <w:szCs w:val="24"/>
          <w:highlight w:val="none"/>
          <w:u w:val="single"/>
        </w:rPr>
        <w:t xml:space="preserve">承包人施工的全部工程内容    </w:t>
      </w:r>
      <w:r>
        <w:rPr>
          <w:rFonts w:hint="eastAsia" w:ascii="宋体" w:hAnsi="宋体" w:eastAsia="宋体" w:cs="宋体"/>
          <w:color w:val="000000"/>
          <w:sz w:val="24"/>
          <w:szCs w:val="24"/>
          <w:highlight w:val="none"/>
        </w:rPr>
        <w:t>。</w:t>
      </w:r>
    </w:p>
    <w:p w14:paraId="3D16F57B">
      <w:pPr>
        <w:pageBreakBefore w:val="0"/>
        <w:widowControl w:val="0"/>
        <w:kinsoku/>
        <w:wordWrap/>
        <w:overflowPunct/>
        <w:topLinePunct w:val="0"/>
        <w:bidi w:val="0"/>
        <w:snapToGrid/>
        <w:spacing w:line="480" w:lineRule="exact"/>
        <w:textAlignment w:val="auto"/>
        <w:outlineLvl w:val="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w:t>
      </w:r>
      <w:r>
        <w:rPr>
          <w:rFonts w:hint="eastAsia" w:ascii="宋体" w:hAnsi="宋体" w:eastAsia="宋体" w:cs="宋体"/>
          <w:color w:val="000000"/>
          <w:sz w:val="24"/>
          <w:szCs w:val="24"/>
          <w:highlight w:val="none"/>
        </w:rPr>
        <w:t>二、质量保修期</w:t>
      </w:r>
    </w:p>
    <w:p w14:paraId="7B8E939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根据《建设工程质量管理条例》及有关规定，工程的质量保修期如下：</w:t>
      </w:r>
    </w:p>
    <w:p w14:paraId="2BA86221">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地基基础工程和主体结构工程为设计文件规定的工程合理使用年限；</w:t>
      </w:r>
    </w:p>
    <w:p w14:paraId="35515867">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屋面防水工程、有防水要求的卫生间、房间和外墙面的防渗     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14:paraId="69F819FF">
      <w:pPr>
        <w:pageBreakBefore w:val="0"/>
        <w:widowControl w:val="0"/>
        <w:kinsoku/>
        <w:wordWrap/>
        <w:overflowPunct/>
        <w:topLinePunct w:val="0"/>
        <w:bidi w:val="0"/>
        <w:snapToGrid/>
        <w:spacing w:line="480" w:lineRule="exact"/>
        <w:ind w:left="480" w:leftChars="200" w:firstLine="120" w:firstLineChars="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装修工程为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14:paraId="67342061">
      <w:pPr>
        <w:pageBreakBefore w:val="0"/>
        <w:widowControl w:val="0"/>
        <w:kinsoku/>
        <w:wordWrap/>
        <w:overflowPunct/>
        <w:topLinePunct w:val="0"/>
        <w:bidi w:val="0"/>
        <w:snapToGrid/>
        <w:spacing w:line="480" w:lineRule="exact"/>
        <w:ind w:left="480" w:leftChars="200" w:firstLine="120" w:firstLineChars="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电气管线、给排水管道、设备安装工程为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14:paraId="51A681B4">
      <w:pPr>
        <w:pageBreakBefore w:val="0"/>
        <w:widowControl w:val="0"/>
        <w:kinsoku/>
        <w:wordWrap/>
        <w:overflowPunct/>
        <w:topLinePunct w:val="0"/>
        <w:bidi w:val="0"/>
        <w:snapToGrid/>
        <w:spacing w:line="480" w:lineRule="exact"/>
        <w:ind w:left="480" w:leftChars="200" w:firstLine="120" w:firstLineChars="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供热与供冷系统为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个采暖期、供冷期；</w:t>
      </w:r>
    </w:p>
    <w:p w14:paraId="3589CBC8">
      <w:pPr>
        <w:pageBreakBefore w:val="0"/>
        <w:widowControl w:val="0"/>
        <w:kinsoku/>
        <w:wordWrap/>
        <w:overflowPunct/>
        <w:topLinePunct w:val="0"/>
        <w:bidi w:val="0"/>
        <w:snapToGrid/>
        <w:spacing w:line="480" w:lineRule="exact"/>
        <w:ind w:left="480" w:leftChars="200" w:firstLine="120" w:firstLineChars="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住宅小区内的给排水设施、道路等配套工程为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14:paraId="370AF19A">
      <w:pPr>
        <w:pageBreakBefore w:val="0"/>
        <w:widowControl w:val="0"/>
        <w:kinsoku/>
        <w:wordWrap/>
        <w:overflowPunct/>
        <w:topLinePunct w:val="0"/>
        <w:bidi w:val="0"/>
        <w:snapToGrid/>
        <w:spacing w:line="480" w:lineRule="exact"/>
        <w:ind w:left="480" w:leftChars="200" w:firstLine="120" w:firstLineChars="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其他项目保修期限约定如下：</w:t>
      </w:r>
    </w:p>
    <w:p w14:paraId="0130AEE0">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质量保修期自工程竣工验收合格之日起计算。</w:t>
      </w:r>
    </w:p>
    <w:p w14:paraId="647BDA56">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质量保修期自工程竣工验收合格之日起计算。</w:t>
      </w:r>
    </w:p>
    <w:p w14:paraId="743FCE2D">
      <w:pPr>
        <w:pageBreakBefore w:val="0"/>
        <w:widowControl w:val="0"/>
        <w:kinsoku/>
        <w:wordWrap/>
        <w:overflowPunct/>
        <w:topLinePunct w:val="0"/>
        <w:bidi w:val="0"/>
        <w:snapToGrid/>
        <w:spacing w:line="480" w:lineRule="exact"/>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三、缺陷责任期</w:t>
      </w:r>
    </w:p>
    <w:p w14:paraId="3F799C52">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工程缺陷责任期为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24</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个月，缺陷责任期自工程通过竣工验收之日起计算。单位工程先于全部工程进行验收，单位工程缺陷责任期自单位工程验收合格之日起算。</w:t>
      </w:r>
    </w:p>
    <w:p w14:paraId="09B6806F">
      <w:pPr>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缺陷责任期终止后，发包人应退还剩余的质量保证金。</w:t>
      </w:r>
    </w:p>
    <w:p w14:paraId="66274E2D">
      <w:pPr>
        <w:pageBreakBefore w:val="0"/>
        <w:widowControl w:val="0"/>
        <w:kinsoku/>
        <w:wordWrap/>
        <w:overflowPunct/>
        <w:topLinePunct w:val="0"/>
        <w:bidi w:val="0"/>
        <w:snapToGrid/>
        <w:spacing w:line="480" w:lineRule="exac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四、质量保修责任</w:t>
      </w:r>
    </w:p>
    <w:p w14:paraId="6EBF9E0C">
      <w:pPr>
        <w:pageBreakBefore w:val="0"/>
        <w:widowControl w:val="0"/>
        <w:kinsoku/>
        <w:wordWrap/>
        <w:overflowPunct/>
        <w:topLinePunct w:val="0"/>
        <w:bidi w:val="0"/>
        <w:snapToGrid/>
        <w:spacing w:line="480" w:lineRule="exact"/>
        <w:ind w:left="120" w:leftChars="50" w:firstLine="491" w:firstLineChars="20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属于保修范围、内容的项目，承包人应当在接到保修通知之日起</w:t>
      </w:r>
      <w:r>
        <w:rPr>
          <w:rFonts w:hint="eastAsia" w:ascii="宋体" w:hAnsi="宋体" w:eastAsia="宋体" w:cs="宋体"/>
          <w:color w:val="000000"/>
          <w:sz w:val="24"/>
          <w:szCs w:val="24"/>
          <w:highlight w:val="none"/>
          <w:lang w:val="en-US" w:eastAsia="zh-CN"/>
        </w:rPr>
        <w:t>24小时</w:t>
      </w:r>
      <w:r>
        <w:rPr>
          <w:rFonts w:hint="eastAsia" w:ascii="宋体" w:hAnsi="宋体" w:eastAsia="宋体" w:cs="宋体"/>
          <w:color w:val="000000"/>
          <w:sz w:val="24"/>
          <w:szCs w:val="24"/>
          <w:highlight w:val="none"/>
        </w:rPr>
        <w:t>内派人保修。承包人不在约定期限内派人保修的，发包人可以委托他人修理。</w:t>
      </w:r>
    </w:p>
    <w:p w14:paraId="0BFDF84F">
      <w:pPr>
        <w:pageBreakBefore w:val="0"/>
        <w:widowControl w:val="0"/>
        <w:kinsoku/>
        <w:wordWrap/>
        <w:overflowPunct/>
        <w:topLinePunct w:val="0"/>
        <w:bidi w:val="0"/>
        <w:snapToGrid/>
        <w:spacing w:line="480" w:lineRule="exact"/>
        <w:ind w:left="120" w:leftChars="50" w:firstLine="491" w:firstLineChars="20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发生紧急事故需抢修的，承包人在接到事故通知后，应当立即到达事故现场抢修。</w:t>
      </w:r>
    </w:p>
    <w:p w14:paraId="40DCD95F">
      <w:pPr>
        <w:pageBreakBefore w:val="0"/>
        <w:widowControl w:val="0"/>
        <w:kinsoku/>
        <w:wordWrap/>
        <w:overflowPunct/>
        <w:topLinePunct w:val="0"/>
        <w:bidi w:val="0"/>
        <w:snapToGrid/>
        <w:spacing w:line="480" w:lineRule="exact"/>
        <w:ind w:left="120" w:leftChars="50" w:firstLine="491" w:firstLineChars="20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3E076FB">
      <w:pPr>
        <w:pageBreakBefore w:val="0"/>
        <w:widowControl w:val="0"/>
        <w:kinsoku/>
        <w:wordWrap/>
        <w:overflowPunct/>
        <w:topLinePunct w:val="0"/>
        <w:bidi w:val="0"/>
        <w:snapToGrid/>
        <w:spacing w:line="480" w:lineRule="exact"/>
        <w:ind w:left="480" w:leftChars="200" w:firstLine="120" w:firstLineChars="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质量保修完成后，由发包人组织验收。</w:t>
      </w:r>
    </w:p>
    <w:p w14:paraId="579D21B3">
      <w:pPr>
        <w:pageBreakBefore w:val="0"/>
        <w:widowControl w:val="0"/>
        <w:kinsoku/>
        <w:wordWrap/>
        <w:overflowPunct/>
        <w:topLinePunct w:val="0"/>
        <w:bidi w:val="0"/>
        <w:snapToGrid/>
        <w:spacing w:line="480" w:lineRule="exact"/>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五、保修费用</w:t>
      </w:r>
    </w:p>
    <w:p w14:paraId="393DC674">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保修费用由造成质量缺陷的责任方承担。</w:t>
      </w:r>
    </w:p>
    <w:p w14:paraId="45DCBF38">
      <w:pPr>
        <w:pageBreakBefore w:val="0"/>
        <w:widowControl w:val="0"/>
        <w:kinsoku/>
        <w:wordWrap/>
        <w:overflowPunct/>
        <w:topLinePunct w:val="0"/>
        <w:bidi w:val="0"/>
        <w:snapToGrid/>
        <w:spacing w:line="480" w:lineRule="exact"/>
        <w:jc w:val="left"/>
        <w:textAlignment w:val="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六</w:t>
      </w:r>
      <w:r>
        <w:rPr>
          <w:rFonts w:hint="eastAsia" w:ascii="宋体" w:hAnsi="宋体" w:eastAsia="宋体" w:cs="宋体"/>
          <w:color w:val="000000"/>
          <w:sz w:val="24"/>
          <w:szCs w:val="24"/>
          <w:highlight w:val="none"/>
        </w:rPr>
        <w:t>、双方约定的其他工程质量保修事项：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无</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0114F98">
      <w:pPr>
        <w:pageBreakBefore w:val="0"/>
        <w:widowControl w:val="0"/>
        <w:kinsoku/>
        <w:wordWrap/>
        <w:overflowPunct/>
        <w:topLinePunct w:val="0"/>
        <w:bidi w:val="0"/>
        <w:snapToGrid/>
        <w:spacing w:line="480" w:lineRule="exact"/>
        <w:ind w:firstLine="456" w:firstLineChars="19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工程质量保修书由发包人、承包人在工程竣工验收前共同签署，作为施工合同附件，其有效期限至保修期满。</w:t>
      </w:r>
    </w:p>
    <w:p w14:paraId="705CCEF1">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r>
        <w:rPr>
          <w:rFonts w:hint="eastAsia" w:ascii="宋体" w:hAnsi="宋体" w:eastAsia="宋体" w:cs="宋体"/>
          <w:sz w:val="21"/>
          <w:szCs w:val="21"/>
        </w:rPr>
        <mc:AlternateContent>
          <mc:Choice Requires="wps">
            <w:drawing>
              <wp:anchor distT="0" distB="0" distL="114300" distR="114300" simplePos="0" relativeHeight="251670528" behindDoc="0" locked="0" layoutInCell="1" allowOverlap="1">
                <wp:simplePos x="0" y="0"/>
                <wp:positionH relativeFrom="column">
                  <wp:posOffset>2495550</wp:posOffset>
                </wp:positionH>
                <wp:positionV relativeFrom="paragraph">
                  <wp:posOffset>224155</wp:posOffset>
                </wp:positionV>
                <wp:extent cx="3220720" cy="6924675"/>
                <wp:effectExtent l="0" t="0" r="10160" b="9525"/>
                <wp:wrapNone/>
                <wp:docPr id="11" name="文本框 11"/>
                <wp:cNvGraphicFramePr/>
                <a:graphic xmlns:a="http://schemas.openxmlformats.org/drawingml/2006/main">
                  <a:graphicData uri="http://schemas.microsoft.com/office/word/2010/wordprocessingShape">
                    <wps:wsp>
                      <wps:cNvSpPr txBox="1"/>
                      <wps:spPr>
                        <a:xfrm>
                          <a:off x="0" y="0"/>
                          <a:ext cx="3220720" cy="6924675"/>
                        </a:xfrm>
                        <a:prstGeom prst="rect">
                          <a:avLst/>
                        </a:prstGeom>
                        <a:solidFill>
                          <a:srgbClr val="FFFFFF"/>
                        </a:solidFill>
                        <a:ln w="6350">
                          <a:noFill/>
                        </a:ln>
                        <a:effectLst/>
                      </wps:spPr>
                      <wps:txbx>
                        <w:txbxContent>
                          <w:p w14:paraId="24639BD1">
                            <w:pPr>
                              <w:spacing w:line="360" w:lineRule="auto"/>
                              <w:rPr>
                                <w:rFonts w:hint="eastAsia" w:ascii="宋体" w:hAnsi="宋体" w:eastAsia="宋体" w:cs="宋体"/>
                                <w:sz w:val="21"/>
                                <w:szCs w:val="21"/>
                                <w:u w:val="single"/>
                              </w:rPr>
                            </w:pPr>
                            <w:r>
                              <w:rPr>
                                <w:rFonts w:hint="eastAsia" w:ascii="宋体" w:hAnsi="宋体" w:eastAsia="宋体" w:cs="宋体"/>
                                <w:sz w:val="21"/>
                                <w:szCs w:val="21"/>
                                <w:u w:val="none"/>
                              </w:rPr>
                              <w:t>承包人：  (公章)</w:t>
                            </w:r>
                          </w:p>
                          <w:p w14:paraId="58F1CC6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2B07678B">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（签字）</w:t>
                            </w:r>
                          </w:p>
                          <w:p w14:paraId="17A0888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组织机构代码：                  </w:t>
                            </w:r>
                          </w:p>
                          <w:p w14:paraId="080B65BD">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地址：                          </w:t>
                            </w:r>
                          </w:p>
                          <w:p w14:paraId="2AE64BD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14:paraId="356DB01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 </w:t>
                            </w:r>
                          </w:p>
                          <w:p w14:paraId="681F023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41C5580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5BAC381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电  话：            </w:t>
                            </w:r>
                          </w:p>
                          <w:p w14:paraId="44D9BF9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            </w:t>
                            </w:r>
                          </w:p>
                          <w:p w14:paraId="7F49B67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391823D4">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开户银行：                         </w:t>
                            </w:r>
                          </w:p>
                          <w:p w14:paraId="09EF9931">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14:paraId="14B96151">
                            <w:pPr>
                              <w:spacing w:line="360" w:lineRule="auto"/>
                              <w:rPr>
                                <w:rFonts w:hint="eastAsia" w:ascii="方正仿宋_GB2312" w:hAnsi="方正仿宋_GB2312" w:eastAsia="方正仿宋_GB2312" w:cs="方正仿宋_GB2312"/>
                                <w:sz w:val="21"/>
                                <w:szCs w:val="21"/>
                                <w:u w:val="single"/>
                              </w:rPr>
                            </w:pPr>
                            <w:r>
                              <w:rPr>
                                <w:rFonts w:hint="eastAsia" w:ascii="宋体" w:hAnsi="宋体" w:eastAsia="宋体" w:cs="宋体"/>
                                <w:sz w:val="21"/>
                                <w:szCs w:val="21"/>
                                <w:u w:val="single"/>
                              </w:rPr>
                              <w:t xml:space="preserve">账  号：                          </w:t>
                            </w:r>
                          </w:p>
                          <w:p w14:paraId="311BBF6C">
                            <w:pPr>
                              <w:spacing w:line="360" w:lineRule="auto"/>
                              <w:rPr>
                                <w:rFonts w:hint="eastAsia" w:ascii="方正仿宋_GB2312" w:hAnsi="方正仿宋_GB2312" w:eastAsia="方正仿宋_GB2312" w:cs="方正仿宋_GB2312"/>
                                <w:sz w:val="28"/>
                                <w:szCs w:val="28"/>
                                <w:u w:val="single"/>
                              </w:rPr>
                            </w:pPr>
                          </w:p>
                        </w:txbxContent>
                      </wps:txbx>
                      <wps:bodyPr upright="1"/>
                    </wps:wsp>
                  </a:graphicData>
                </a:graphic>
              </wp:anchor>
            </w:drawing>
          </mc:Choice>
          <mc:Fallback>
            <w:pict>
              <v:shape id="_x0000_s1026" o:spid="_x0000_s1026" o:spt="202" type="#_x0000_t202" style="position:absolute;left:0pt;margin-left:196.5pt;margin-top:17.65pt;height:545.25pt;width:253.6pt;z-index:251670528;mso-width-relative:page;mso-height-relative:page;" fillcolor="#FFFFFF" filled="t" stroked="f" coordsize="21600,21600" o:gfxdata="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oKeJfWAAAACwEAAA8AAAAAAAAAAQAgAAAAIgAAAGRy&#10;cy9kb3ducmV2LnhtbFBLAQIUABQAAAAIAIdO4kC+3KMQzgEAAJEDAAAOAAAAAAAAAAEAIAAAACUB&#10;AABkcnMvZTJvRG9jLnhtbFBLBQYAAAAABgAGAFkBAABlBQAAAAA=&#10;">
                <v:fill on="t" focussize="0,0"/>
                <v:stroke on="f" weight="0.5pt"/>
                <v:imagedata o:title=""/>
                <o:lock v:ext="edit" aspectratio="f"/>
                <v:textbox>
                  <w:txbxContent>
                    <w:p w14:paraId="24639BD1">
                      <w:pPr>
                        <w:spacing w:line="360" w:lineRule="auto"/>
                        <w:rPr>
                          <w:rFonts w:hint="eastAsia" w:ascii="宋体" w:hAnsi="宋体" w:eastAsia="宋体" w:cs="宋体"/>
                          <w:sz w:val="21"/>
                          <w:szCs w:val="21"/>
                          <w:u w:val="single"/>
                        </w:rPr>
                      </w:pPr>
                      <w:r>
                        <w:rPr>
                          <w:rFonts w:hint="eastAsia" w:ascii="宋体" w:hAnsi="宋体" w:eastAsia="宋体" w:cs="宋体"/>
                          <w:sz w:val="21"/>
                          <w:szCs w:val="21"/>
                          <w:u w:val="none"/>
                        </w:rPr>
                        <w:t>承包人：  (公章)</w:t>
                      </w:r>
                    </w:p>
                    <w:p w14:paraId="58F1CC6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2B07678B">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（签字）</w:t>
                      </w:r>
                    </w:p>
                    <w:p w14:paraId="17A0888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组织机构代码：                  </w:t>
                      </w:r>
                    </w:p>
                    <w:p w14:paraId="080B65BD">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地址：                          </w:t>
                      </w:r>
                    </w:p>
                    <w:p w14:paraId="2AE64BD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14:paraId="356DB01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 </w:t>
                      </w:r>
                    </w:p>
                    <w:p w14:paraId="681F023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41C5580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5BAC381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电  话：            </w:t>
                      </w:r>
                    </w:p>
                    <w:p w14:paraId="44D9BF9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            </w:t>
                      </w:r>
                    </w:p>
                    <w:p w14:paraId="7F49B67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391823D4">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开户银行：                         </w:t>
                      </w:r>
                    </w:p>
                    <w:p w14:paraId="09EF9931">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14:paraId="14B96151">
                      <w:pPr>
                        <w:spacing w:line="360" w:lineRule="auto"/>
                        <w:rPr>
                          <w:rFonts w:hint="eastAsia" w:ascii="方正仿宋_GB2312" w:hAnsi="方正仿宋_GB2312" w:eastAsia="方正仿宋_GB2312" w:cs="方正仿宋_GB2312"/>
                          <w:sz w:val="21"/>
                          <w:szCs w:val="21"/>
                          <w:u w:val="single"/>
                        </w:rPr>
                      </w:pPr>
                      <w:r>
                        <w:rPr>
                          <w:rFonts w:hint="eastAsia" w:ascii="宋体" w:hAnsi="宋体" w:eastAsia="宋体" w:cs="宋体"/>
                          <w:sz w:val="21"/>
                          <w:szCs w:val="21"/>
                          <w:u w:val="single"/>
                        </w:rPr>
                        <w:t xml:space="preserve">账  号：                          </w:t>
                      </w:r>
                    </w:p>
                    <w:p w14:paraId="311BBF6C">
                      <w:pPr>
                        <w:spacing w:line="360" w:lineRule="auto"/>
                        <w:rPr>
                          <w:rFonts w:hint="eastAsia" w:ascii="方正仿宋_GB2312" w:hAnsi="方正仿宋_GB2312" w:eastAsia="方正仿宋_GB2312" w:cs="方正仿宋_GB2312"/>
                          <w:sz w:val="28"/>
                          <w:szCs w:val="28"/>
                          <w:u w:val="single"/>
                        </w:rPr>
                      </w:pP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9504" behindDoc="0" locked="0" layoutInCell="1" allowOverlap="1">
                <wp:simplePos x="0" y="0"/>
                <wp:positionH relativeFrom="column">
                  <wp:posOffset>-660400</wp:posOffset>
                </wp:positionH>
                <wp:positionV relativeFrom="paragraph">
                  <wp:posOffset>179705</wp:posOffset>
                </wp:positionV>
                <wp:extent cx="3115310" cy="7105650"/>
                <wp:effectExtent l="0" t="0" r="8890" b="11430"/>
                <wp:wrapNone/>
                <wp:docPr id="13" name="文本框 13"/>
                <wp:cNvGraphicFramePr/>
                <a:graphic xmlns:a="http://schemas.openxmlformats.org/drawingml/2006/main">
                  <a:graphicData uri="http://schemas.microsoft.com/office/word/2010/wordprocessingShape">
                    <wps:wsp>
                      <wps:cNvSpPr txBox="1"/>
                      <wps:spPr>
                        <a:xfrm>
                          <a:off x="0" y="0"/>
                          <a:ext cx="3115310" cy="7105650"/>
                        </a:xfrm>
                        <a:prstGeom prst="rect">
                          <a:avLst/>
                        </a:prstGeom>
                        <a:solidFill>
                          <a:srgbClr val="FFFFFF"/>
                        </a:solidFill>
                        <a:ln w="6350">
                          <a:noFill/>
                        </a:ln>
                        <a:effectLst/>
                      </wps:spPr>
                      <wps:txbx>
                        <w:txbxContent>
                          <w:p w14:paraId="616C8FFC">
                            <w:pPr>
                              <w:spacing w:line="360" w:lineRule="auto"/>
                              <w:rPr>
                                <w:rFonts w:hint="eastAsia" w:ascii="宋体" w:hAnsi="宋体" w:eastAsia="宋体" w:cs="宋体"/>
                                <w:sz w:val="21"/>
                                <w:szCs w:val="21"/>
                                <w:u w:val="single"/>
                              </w:rPr>
                            </w:pPr>
                            <w:r>
                              <w:rPr>
                                <w:rFonts w:hint="eastAsia" w:ascii="宋体" w:hAnsi="宋体" w:eastAsia="宋体" w:cs="宋体"/>
                                <w:sz w:val="21"/>
                                <w:szCs w:val="21"/>
                                <w:u w:val="none"/>
                                <w:lang w:eastAsia="zh-CN"/>
                              </w:rPr>
                              <w:t>发</w:t>
                            </w:r>
                            <w:r>
                              <w:rPr>
                                <w:rFonts w:hint="eastAsia" w:ascii="宋体" w:hAnsi="宋体" w:eastAsia="宋体" w:cs="宋体"/>
                                <w:sz w:val="21"/>
                                <w:szCs w:val="21"/>
                                <w:u w:val="none"/>
                              </w:rPr>
                              <w:t>包人：  (公章)</w:t>
                            </w:r>
                          </w:p>
                          <w:p w14:paraId="18B8B6E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20A1340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（签字） </w:t>
                            </w:r>
                          </w:p>
                          <w:p w14:paraId="0483D08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组织机构代码：126500004576015514</w:t>
                            </w:r>
                          </w:p>
                          <w:p w14:paraId="66FA39E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  址：新疆乌鲁木齐市新市    </w:t>
                            </w:r>
                          </w:p>
                          <w:p w14:paraId="3924FCF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区鲤鱼山南路137号          </w:t>
                            </w:r>
                          </w:p>
                          <w:p w14:paraId="298BC784">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830011      </w:t>
                            </w:r>
                          </w:p>
                          <w:p w14:paraId="7BD90D9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71DF30C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5C237271">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  话：    </w:t>
                            </w:r>
                          </w:p>
                          <w:p w14:paraId="5DA7D98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真：0991-4366180   </w:t>
                            </w:r>
                          </w:p>
                          <w:p w14:paraId="146962C8">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2642CA7B">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开户银行：交通银行新疆维   </w:t>
                            </w:r>
                          </w:p>
                          <w:p w14:paraId="1717B24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吾尔自治区分行营业部      </w:t>
                            </w:r>
                          </w:p>
                          <w:p w14:paraId="1483919B">
                            <w:pPr>
                              <w:spacing w:line="360" w:lineRule="auto"/>
                              <w:rPr>
                                <w:rFonts w:hint="eastAsia" w:ascii="宋体" w:hAnsi="宋体" w:eastAsia="宋体" w:cs="宋体"/>
                                <w:sz w:val="24"/>
                                <w:szCs w:val="24"/>
                                <w:u w:val="single"/>
                              </w:rPr>
                            </w:pPr>
                            <w:r>
                              <w:rPr>
                                <w:rFonts w:hint="eastAsia" w:ascii="宋体" w:hAnsi="宋体" w:eastAsia="宋体" w:cs="宋体"/>
                                <w:sz w:val="21"/>
                                <w:szCs w:val="21"/>
                                <w:u w:val="single"/>
                              </w:rPr>
                              <w:t xml:space="preserve">账号：651100850012015082736 </w:t>
                            </w:r>
                          </w:p>
                        </w:txbxContent>
                      </wps:txbx>
                      <wps:bodyPr upright="1"/>
                    </wps:wsp>
                  </a:graphicData>
                </a:graphic>
              </wp:anchor>
            </w:drawing>
          </mc:Choice>
          <mc:Fallback>
            <w:pict>
              <v:shape id="_x0000_s1026" o:spid="_x0000_s1026" o:spt="202" type="#_x0000_t202" style="position:absolute;left:0pt;margin-left:-52pt;margin-top:14.15pt;height:559.5pt;width:245.3pt;z-index:251669504;mso-width-relative:page;mso-height-relative:page;" fillcolor="#FFFFFF" filled="t" stroked="f" coordsize="21600,21600" o:gfxdata="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55uz42AAAAAwBAAAPAAAAAAAAAAEAIAAAACIA&#10;AABkcnMvZG93bnJldi54bWxQSwECFAAUAAAACACHTuJAVHTEmdABAACRAwAADgAAAAAAAAABACAA&#10;AAAnAQAAZHJzL2Uyb0RvYy54bWxQSwUGAAAAAAYABgBZAQAAaQUAAAAA&#10;">
                <v:fill on="t" focussize="0,0"/>
                <v:stroke on="f" weight="0.5pt"/>
                <v:imagedata o:title=""/>
                <o:lock v:ext="edit" aspectratio="f"/>
                <v:textbox>
                  <w:txbxContent>
                    <w:p w14:paraId="616C8FFC">
                      <w:pPr>
                        <w:spacing w:line="360" w:lineRule="auto"/>
                        <w:rPr>
                          <w:rFonts w:hint="eastAsia" w:ascii="宋体" w:hAnsi="宋体" w:eastAsia="宋体" w:cs="宋体"/>
                          <w:sz w:val="21"/>
                          <w:szCs w:val="21"/>
                          <w:u w:val="single"/>
                        </w:rPr>
                      </w:pPr>
                      <w:r>
                        <w:rPr>
                          <w:rFonts w:hint="eastAsia" w:ascii="宋体" w:hAnsi="宋体" w:eastAsia="宋体" w:cs="宋体"/>
                          <w:sz w:val="21"/>
                          <w:szCs w:val="21"/>
                          <w:u w:val="none"/>
                          <w:lang w:eastAsia="zh-CN"/>
                        </w:rPr>
                        <w:t>发</w:t>
                      </w:r>
                      <w:r>
                        <w:rPr>
                          <w:rFonts w:hint="eastAsia" w:ascii="宋体" w:hAnsi="宋体" w:eastAsia="宋体" w:cs="宋体"/>
                          <w:sz w:val="21"/>
                          <w:szCs w:val="21"/>
                          <w:u w:val="none"/>
                        </w:rPr>
                        <w:t>包人：  (公章)</w:t>
                      </w:r>
                    </w:p>
                    <w:p w14:paraId="18B8B6E3">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法定代表人或其委托代理人：</w:t>
                      </w:r>
                    </w:p>
                    <w:p w14:paraId="20A1340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（签字） </w:t>
                      </w:r>
                    </w:p>
                    <w:p w14:paraId="0483D08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组织机构代码：126500004576015514</w:t>
                      </w:r>
                    </w:p>
                    <w:p w14:paraId="66FA39EA">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地  址：新疆乌鲁木齐市新市    </w:t>
                      </w:r>
                    </w:p>
                    <w:p w14:paraId="3924FCF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区鲤鱼山南路137号          </w:t>
                      </w:r>
                    </w:p>
                    <w:p w14:paraId="298BC784">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邮政编码： 830011      </w:t>
                      </w:r>
                    </w:p>
                    <w:p w14:paraId="7BD90D97">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法定代表人：            </w:t>
                      </w:r>
                    </w:p>
                    <w:p w14:paraId="71DF30C2">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委托代理人：            </w:t>
                      </w:r>
                    </w:p>
                    <w:p w14:paraId="5C237271">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  话：    </w:t>
                      </w:r>
                    </w:p>
                    <w:p w14:paraId="5DA7D98C">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传  真：0991-4366180   </w:t>
                      </w:r>
                    </w:p>
                    <w:p w14:paraId="146962C8">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电子信箱：       /          </w:t>
                      </w:r>
                    </w:p>
                    <w:p w14:paraId="2642CA7B">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开户银行：交通银行新疆维   </w:t>
                      </w:r>
                    </w:p>
                    <w:p w14:paraId="1717B246">
                      <w:pPr>
                        <w:spacing w:line="360" w:lineRule="auto"/>
                        <w:rPr>
                          <w:rFonts w:hint="eastAsia" w:ascii="宋体" w:hAnsi="宋体" w:eastAsia="宋体" w:cs="宋体"/>
                          <w:sz w:val="21"/>
                          <w:szCs w:val="21"/>
                          <w:u w:val="single"/>
                        </w:rPr>
                      </w:pPr>
                      <w:r>
                        <w:rPr>
                          <w:rFonts w:hint="eastAsia" w:ascii="宋体" w:hAnsi="宋体" w:eastAsia="宋体" w:cs="宋体"/>
                          <w:sz w:val="21"/>
                          <w:szCs w:val="21"/>
                          <w:u w:val="single"/>
                        </w:rPr>
                        <w:t xml:space="preserve">吾尔自治区分行营业部      </w:t>
                      </w:r>
                    </w:p>
                    <w:p w14:paraId="1483919B">
                      <w:pPr>
                        <w:spacing w:line="360" w:lineRule="auto"/>
                        <w:rPr>
                          <w:rFonts w:hint="eastAsia" w:ascii="宋体" w:hAnsi="宋体" w:eastAsia="宋体" w:cs="宋体"/>
                          <w:sz w:val="24"/>
                          <w:szCs w:val="24"/>
                          <w:u w:val="single"/>
                        </w:rPr>
                      </w:pPr>
                      <w:r>
                        <w:rPr>
                          <w:rFonts w:hint="eastAsia" w:ascii="宋体" w:hAnsi="宋体" w:eastAsia="宋体" w:cs="宋体"/>
                          <w:sz w:val="21"/>
                          <w:szCs w:val="21"/>
                          <w:u w:val="single"/>
                        </w:rPr>
                        <w:t xml:space="preserve">账号：651100850012015082736 </w:t>
                      </w:r>
                    </w:p>
                  </w:txbxContent>
                </v:textbox>
              </v:shape>
            </w:pict>
          </mc:Fallback>
        </mc:AlternateContent>
      </w:r>
    </w:p>
    <w:p w14:paraId="426FBE12">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433EB3BA">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256C23C7">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395281FE">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2CEB3DF8">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7982981D">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6C34A191">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4E6D892C">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230CCC20">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66E436C5">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31D4D87E">
      <w:pPr>
        <w:pageBreakBefore w:val="0"/>
        <w:widowControl w:val="0"/>
        <w:kinsoku/>
        <w:wordWrap/>
        <w:overflowPunct/>
        <w:topLinePunct w:val="0"/>
        <w:bidi w:val="0"/>
        <w:snapToGrid/>
        <w:spacing w:line="480" w:lineRule="exact"/>
        <w:textAlignment w:val="auto"/>
        <w:rPr>
          <w:rFonts w:hint="eastAsia" w:ascii="宋体" w:hAnsi="宋体" w:eastAsia="宋体" w:cs="宋体"/>
          <w:color w:val="000000"/>
          <w:sz w:val="21"/>
          <w:szCs w:val="21"/>
          <w:highlight w:val="none"/>
        </w:rPr>
      </w:pPr>
    </w:p>
    <w:p w14:paraId="4225F56C">
      <w:pPr>
        <w:jc w:val="center"/>
        <w:rPr>
          <w:rFonts w:hint="eastAsia" w:ascii="宋体" w:hAnsi="宋体" w:eastAsia="宋体" w:cs="宋体"/>
          <w:sz w:val="24"/>
          <w:szCs w:val="24"/>
          <w:highlight w:val="none"/>
          <w:u w:val="none"/>
        </w:rPr>
      </w:pPr>
      <w:r>
        <w:rPr>
          <w:rFonts w:hint="eastAsia" w:ascii="宋体" w:hAnsi="宋体" w:eastAsia="宋体" w:cs="宋体"/>
          <w:color w:val="000000"/>
          <w:sz w:val="24"/>
          <w:szCs w:val="24"/>
          <w:highlight w:val="none"/>
          <w:u w:val="none"/>
        </w:rPr>
        <w:t>施工现场安全合同协议书</w:t>
      </w:r>
    </w:p>
    <w:p w14:paraId="3F4707A7">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为贯彻“安全第一，预防为主”方针，明确双方的安全责任，确保施工中人身、设备安全，根据国家有关法律法规，经双方协商一致签订本协议。 </w:t>
      </w:r>
    </w:p>
    <w:p w14:paraId="336A64B3">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第一条工程项目名称：                                       </w:t>
      </w:r>
    </w:p>
    <w:p w14:paraId="39CBBD30">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第二条施工地址：乌鲁木齐市鲤鱼山南路137号</w:t>
      </w:r>
    </w:p>
    <w:p w14:paraId="0B895930">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第三条 甲方安全责任</w:t>
      </w:r>
      <w:r>
        <w:rPr>
          <w:rFonts w:hint="eastAsia" w:ascii="宋体" w:hAnsi="宋体" w:eastAsia="宋体" w:cs="宋体"/>
          <w:b/>
          <w:bCs/>
          <w:color w:val="000000"/>
          <w:sz w:val="24"/>
          <w:szCs w:val="24"/>
          <w:highlight w:val="none"/>
          <w:u w:val="none"/>
        </w:rPr>
        <w:t xml:space="preserve"> </w:t>
      </w:r>
    </w:p>
    <w:p w14:paraId="0C898E3F">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1、甲方应要求乙方制定施工安全措施，在开始施工前报甲方备案。 </w:t>
      </w:r>
    </w:p>
    <w:p w14:paraId="5EC9A67A">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2、甲方有协助乙方搞好安全生产、防火管理以及督促检查的义务。甲方有权检查督促乙方执行有关安全生产方面的工作规定，对乙方不符合安全文明施工的行为进行制止、纠正并发出安全整改通知书，直至清退出场。 </w:t>
      </w:r>
    </w:p>
    <w:p w14:paraId="76BE590C">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3、甲方有权对乙方参与施工的人员进行安全技术知识和安全工作规程的抽考。 </w:t>
      </w:r>
    </w:p>
    <w:p w14:paraId="1448BFEF">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4、甲方不得要求乙方违反安全管理规定进行施工。因甲方原因导致的事故由甲方承担责任。 </w:t>
      </w:r>
    </w:p>
    <w:p w14:paraId="6AA9FFC5">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5、发生以下情况停工整顿，因停工造成的违约责任由乙方承担： </w:t>
      </w:r>
    </w:p>
    <w:p w14:paraId="3796E84A">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（1）人身伤亡事故； </w:t>
      </w:r>
    </w:p>
    <w:p w14:paraId="6D8B401F">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（2）发生施工机械、生产主设备严重损坏事故； </w:t>
      </w:r>
    </w:p>
    <w:p w14:paraId="2BE3E52E">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（3）施工现场发生火灾事故； </w:t>
      </w:r>
    </w:p>
    <w:p w14:paraId="1328590A">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（4）发生违章作业、冒险作业不听劝告的； </w:t>
      </w:r>
    </w:p>
    <w:p w14:paraId="558C54B5">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（5）施工现场脏、乱、差，不能满足安全和文明施工要求的。 </w:t>
      </w:r>
    </w:p>
    <w:p w14:paraId="70290D9F">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第四条 乙方安全责任 </w:t>
      </w:r>
    </w:p>
    <w:p w14:paraId="2E2BAEB1">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    乙方作为工程项目的承包单位，对工程施工过程中发生的人身伤害、设备损坏事故承担安全责任。乙方应切实履行以下安全责任： </w:t>
      </w:r>
    </w:p>
    <w:p w14:paraId="2710088E">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1、乙方所提供的承包工程要求的相关资质证明材料应真实、合法、有效。 </w:t>
      </w:r>
    </w:p>
    <w:p w14:paraId="0C275FB8">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2、乙方必须贯彻执行国家有关安全生产的法律法规，必须制定相应的安全管理制度。</w:t>
      </w:r>
    </w:p>
    <w:p w14:paraId="0E9A3F25">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 3、现场施工应遵守国家和地方关于劳动安全，劳务用工法律法规及规章制度，保证其用工的合法性。乙方必须按国家有关规定，为施工人员进行人身保险，配备合格的劳动防护用品、安全用具。 </w:t>
      </w:r>
    </w:p>
    <w:p w14:paraId="5771837B">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4、施工期间，乙方设有专职安监人员。乙方指派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none"/>
        </w:rPr>
        <w:t xml:space="preserve">作为安全工作联系人。 </w:t>
      </w:r>
    </w:p>
    <w:p w14:paraId="7EDC64E3">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5、乙方一切施工活动，必须编制安全施工措施，施工前对全体施工人员进行全面的安全技术交底，并在整个施工过程正确、完整地执行，无措施或未交底严禁布置施工。 </w:t>
      </w:r>
    </w:p>
    <w:p w14:paraId="29BD1BC3">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6、乙方用于本工程项目的施工机械、工器具及安全防护用具的数量和质量必须满足施工需要，并经有资质检验单位检验符合安全规定，乙方对因使用工器具不当所造成的人员伤害及设备损坏负责。 </w:t>
      </w:r>
    </w:p>
    <w:p w14:paraId="13BE0944">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7、开工前，乙方应组织全体施工人员进行安全教育，并将参加安全教育人员名单（包括临时增补或调换人员）与考试成绩报给甲方备案。特种作业人员必须有有关部门核发的合格有效的上岗资格证书。开工前，乙方应到甲方办理临时出入证并佩戴出入证进入施工现场，出入证严禁转借他人。 </w:t>
      </w:r>
    </w:p>
    <w:p w14:paraId="182F0B5E">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8、开工前，乙方应组织人员对施工区域、作业环境及使用甲方提供的设施设备、工器具等进行检查，确认符合安全要求，一经开工，就表示乙方已确认施工现场、作业环境、设施设备、工器具符合安全要求并处于安全状态。 </w:t>
      </w:r>
    </w:p>
    <w:p w14:paraId="638521B8">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9、乙方应在施工范围装设临时围栏或警告标志，不得超越指定的施工范围进行施工，禁止无关人员进入施工现场。未经甲方同意，乙方不得擅自使用与施工无关的甲方设施设备；不得擅自拆除、变更甲方防护设施及标示。 </w:t>
      </w:r>
    </w:p>
    <w:p w14:paraId="1CF8BDE2">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10、乙方施工过程中需使用电、水源，应事先与甲方取得联系，不得私拉乱接。中断作业或遇故障应立即切断有关开关。 </w:t>
      </w:r>
    </w:p>
    <w:p w14:paraId="45E316FC">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11、乙方施工过程中应做到工完、料尽、场地清，确保安全文明施工。 </w:t>
      </w:r>
    </w:p>
    <w:p w14:paraId="4362019D">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12、乙方必须接受甲方的监督、检查，对甲方提出的安全整改意见必须及时整改。 </w:t>
      </w:r>
    </w:p>
    <w:p w14:paraId="4D28477F">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13、乙方施工过程中发生人生伤亡、设备事故或危及生产运行的不安全情况，应立即报告甲方，并积极配合调查。 </w:t>
      </w:r>
    </w:p>
    <w:p w14:paraId="3AD1A8C8">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在施工中发生的人身伤亡事故，还必须立即用电话、电传或电报等向事故所在地的政府安全管理部门、公安部门、工会报告，按规定组织调查处理，并由乙方统计上报；如发生国务院《特别重大事故调查程序暂时规定》所规定的特大事故，还应立即通知当地政府、公安部门，并要求派人保护现场。 </w:t>
      </w:r>
    </w:p>
    <w:p w14:paraId="22C5BFD0">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乙方应将事故调查组的事故调查报告及乙方事故处理意见提交甲方备案。 </w:t>
      </w:r>
    </w:p>
    <w:p w14:paraId="4847B782">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第五条 甲乙双方联系方式及响应时间：</w:t>
      </w:r>
    </w:p>
    <w:p w14:paraId="4A86BD54">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甲乙双方应以工作联系单、传真、电传等书面形式送达对方。双方在接到对方的书面联系时，应于4小时内予以响应。 </w:t>
      </w:r>
    </w:p>
    <w:p w14:paraId="229B199D">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w:t>
      </w:r>
      <w:r>
        <w:rPr>
          <w:rFonts w:hint="eastAsia" w:ascii="宋体" w:hAnsi="宋体" w:eastAsia="宋体" w:cs="宋体"/>
          <w:color w:val="000000"/>
          <w:sz w:val="24"/>
          <w:szCs w:val="24"/>
          <w:highlight w:val="none"/>
          <w:u w:val="none"/>
          <w:lang w:eastAsia="zh-CN"/>
        </w:rPr>
        <w:t>六</w:t>
      </w:r>
      <w:r>
        <w:rPr>
          <w:rFonts w:hint="eastAsia" w:ascii="宋体" w:hAnsi="宋体" w:eastAsia="宋体" w:cs="宋体"/>
          <w:color w:val="000000"/>
          <w:sz w:val="24"/>
          <w:szCs w:val="24"/>
          <w:highlight w:val="none"/>
          <w:u w:val="none"/>
        </w:rPr>
        <w:t xml:space="preserve">条 违约责任 </w:t>
      </w:r>
    </w:p>
    <w:p w14:paraId="029F5885">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1、由于甲方或乙方责任造成对方或第三方的人身伤害、设备损坏等财产损失，由责任方承担相应责任，并赔偿对方或第三方因此造成的全部损失。 </w:t>
      </w:r>
    </w:p>
    <w:p w14:paraId="667E0D82">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2、合同履行中，发现乙方提供的有关资质材料无效，甲方有权解除合同，并由乙方承担由此造成的一切损失。 </w:t>
      </w:r>
    </w:p>
    <w:p w14:paraId="063EA0BD">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3、发现乙方现场作业人员有违章行为的，比照甲方有关安全生产奖惩规定对甲方职工相类似的违章行为应扣款数额，承担相应的违约金。 </w:t>
      </w:r>
    </w:p>
    <w:p w14:paraId="25A8B4B0">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4、乙方未设置安监人员；未能正确、全面执行安全技术措施、施工组织设计；施工人员未掌握本工程项目特点及施工安全措施；用于本工程项目的施工机械、工器具及安全防护用品不满足施工需要，甲方有权要求乙方立即停工整改，由此引起的后果及损失由乙方承担。 </w:t>
      </w:r>
    </w:p>
    <w:p w14:paraId="02DF2ECC">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5、乙方人员安全工作规程抽考不合格，乙方应承担50元/人次的违约责任；特种人员无证上岗乙方应承担100元/人次的违约责任。 </w:t>
      </w:r>
    </w:p>
    <w:p w14:paraId="29A2E5A9">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6、乙方使用甲方提供的设施设备、工器具等造成损坏的，应照价赔偿。 </w:t>
      </w:r>
    </w:p>
    <w:p w14:paraId="60D15461">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7、乙方人员无故到其他生产区域或擅自动用甲方的设施设备等，乙方按100元至500元/人次承担违约责任。 </w:t>
      </w:r>
    </w:p>
    <w:p w14:paraId="0A2FEDAD">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8、乙方对甲方提出的安全整改意见不及时整改的，每逾期一天，乙方按200元至1000元/天承担违约责任。 </w:t>
      </w:r>
    </w:p>
    <w:p w14:paraId="7B803D18">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9、施工过程中发生人身伤亡、设备事故有隐瞒行为的，除接受政府有关部门处理外，过错方应承担3000元至10000元/次的违约责任。 </w:t>
      </w:r>
    </w:p>
    <w:p w14:paraId="01305C09">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w:t>
      </w:r>
      <w:r>
        <w:rPr>
          <w:rFonts w:hint="eastAsia" w:ascii="宋体" w:hAnsi="宋体" w:eastAsia="宋体" w:cs="宋体"/>
          <w:color w:val="000000"/>
          <w:sz w:val="24"/>
          <w:szCs w:val="24"/>
          <w:highlight w:val="none"/>
          <w:u w:val="none"/>
          <w:lang w:eastAsia="zh-CN"/>
        </w:rPr>
        <w:t>七</w:t>
      </w:r>
      <w:r>
        <w:rPr>
          <w:rFonts w:hint="eastAsia" w:ascii="宋体" w:hAnsi="宋体" w:eastAsia="宋体" w:cs="宋体"/>
          <w:color w:val="000000"/>
          <w:sz w:val="24"/>
          <w:szCs w:val="24"/>
          <w:highlight w:val="none"/>
          <w:u w:val="none"/>
        </w:rPr>
        <w:t xml:space="preserve">条 甲乙双方约定的其他事项：无 </w:t>
      </w:r>
    </w:p>
    <w:p w14:paraId="670A925D">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w:t>
      </w:r>
      <w:r>
        <w:rPr>
          <w:rFonts w:hint="eastAsia" w:ascii="宋体" w:hAnsi="宋体" w:eastAsia="宋体" w:cs="宋体"/>
          <w:color w:val="000000"/>
          <w:sz w:val="24"/>
          <w:szCs w:val="24"/>
          <w:highlight w:val="none"/>
          <w:u w:val="none"/>
          <w:lang w:eastAsia="zh-CN"/>
        </w:rPr>
        <w:t>八</w:t>
      </w:r>
      <w:r>
        <w:rPr>
          <w:rFonts w:hint="eastAsia" w:ascii="宋体" w:hAnsi="宋体" w:eastAsia="宋体" w:cs="宋体"/>
          <w:color w:val="000000"/>
          <w:sz w:val="24"/>
          <w:szCs w:val="24"/>
          <w:highlight w:val="none"/>
          <w:u w:val="none"/>
        </w:rPr>
        <w:t>条 争议:</w:t>
      </w:r>
    </w:p>
    <w:p w14:paraId="42CCD7E8">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本协议执行过程中，如发生争议，由双方协商、调解解决；若经协商、调解不能解决争议的，任何一方都可向施工现场当地人民法院提起诉讼。 </w:t>
      </w:r>
    </w:p>
    <w:p w14:paraId="1312277B">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w:t>
      </w:r>
      <w:r>
        <w:rPr>
          <w:rFonts w:hint="eastAsia" w:ascii="宋体" w:hAnsi="宋体" w:eastAsia="宋体" w:cs="宋体"/>
          <w:color w:val="000000"/>
          <w:sz w:val="24"/>
          <w:szCs w:val="24"/>
          <w:highlight w:val="none"/>
          <w:u w:val="none"/>
          <w:lang w:eastAsia="zh-CN"/>
        </w:rPr>
        <w:t>九</w:t>
      </w:r>
      <w:r>
        <w:rPr>
          <w:rFonts w:hint="eastAsia" w:ascii="宋体" w:hAnsi="宋体" w:eastAsia="宋体" w:cs="宋体"/>
          <w:color w:val="000000"/>
          <w:sz w:val="24"/>
          <w:szCs w:val="24"/>
          <w:highlight w:val="none"/>
          <w:u w:val="none"/>
        </w:rPr>
        <w:t xml:space="preserve">条 甲乙双方必须严格执行本协议，本协议的法律效力独立于主合同。 </w:t>
      </w:r>
    </w:p>
    <w:p w14:paraId="4EC29470">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第十条 本合同自双方签字之日起生效，承包施工结束后自行失效。 </w:t>
      </w:r>
    </w:p>
    <w:p w14:paraId="71643804">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第十</w:t>
      </w:r>
      <w:r>
        <w:rPr>
          <w:rFonts w:hint="eastAsia" w:ascii="宋体" w:hAnsi="宋体" w:eastAsia="宋体" w:cs="宋体"/>
          <w:color w:val="000000"/>
          <w:sz w:val="24"/>
          <w:szCs w:val="24"/>
          <w:highlight w:val="none"/>
          <w:u w:val="none"/>
          <w:lang w:eastAsia="zh-CN"/>
        </w:rPr>
        <w:t>一</w:t>
      </w:r>
      <w:r>
        <w:rPr>
          <w:rFonts w:hint="eastAsia" w:ascii="宋体" w:hAnsi="宋体" w:eastAsia="宋体" w:cs="宋体"/>
          <w:color w:val="000000"/>
          <w:sz w:val="24"/>
          <w:szCs w:val="24"/>
          <w:highlight w:val="none"/>
          <w:u w:val="none"/>
        </w:rPr>
        <w:t xml:space="preserve">条 本协议经双方法定代表人或委托代理人签字盖章后生效。 </w:t>
      </w:r>
    </w:p>
    <w:p w14:paraId="50F5671C">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第十</w:t>
      </w:r>
      <w:r>
        <w:rPr>
          <w:rFonts w:hint="eastAsia" w:ascii="宋体" w:hAnsi="宋体" w:eastAsia="宋体" w:cs="宋体"/>
          <w:color w:val="000000"/>
          <w:sz w:val="24"/>
          <w:szCs w:val="24"/>
          <w:highlight w:val="none"/>
          <w:u w:val="none"/>
          <w:lang w:eastAsia="zh-CN"/>
        </w:rPr>
        <w:t>二</w:t>
      </w:r>
      <w:r>
        <w:rPr>
          <w:rFonts w:hint="eastAsia" w:ascii="宋体" w:hAnsi="宋体" w:eastAsia="宋体" w:cs="宋体"/>
          <w:color w:val="000000"/>
          <w:sz w:val="24"/>
          <w:szCs w:val="24"/>
          <w:highlight w:val="none"/>
          <w:u w:val="none"/>
        </w:rPr>
        <w:t xml:space="preserve">条 本协议一式四份，甲乙双方各执两份。 </w:t>
      </w:r>
    </w:p>
    <w:p w14:paraId="461702E8">
      <w:pPr>
        <w:spacing w:line="480" w:lineRule="exact"/>
        <w:ind w:left="120" w:leftChars="50" w:firstLine="491" w:firstLineChars="205"/>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第十</w:t>
      </w:r>
      <w:r>
        <w:rPr>
          <w:rFonts w:hint="eastAsia" w:ascii="宋体" w:hAnsi="宋体" w:eastAsia="宋体" w:cs="宋体"/>
          <w:color w:val="000000"/>
          <w:sz w:val="24"/>
          <w:szCs w:val="24"/>
          <w:highlight w:val="none"/>
          <w:u w:val="none"/>
          <w:lang w:eastAsia="zh-CN"/>
        </w:rPr>
        <w:t>三</w:t>
      </w:r>
      <w:r>
        <w:rPr>
          <w:rFonts w:hint="eastAsia" w:ascii="宋体" w:hAnsi="宋体" w:eastAsia="宋体" w:cs="宋体"/>
          <w:color w:val="000000"/>
          <w:sz w:val="24"/>
          <w:szCs w:val="24"/>
          <w:highlight w:val="none"/>
          <w:u w:val="none"/>
        </w:rPr>
        <w:t>条 本协议签订地点在甲方住所地。</w:t>
      </w:r>
    </w:p>
    <w:p w14:paraId="4C9C1235">
      <w:pPr>
        <w:spacing w:line="480" w:lineRule="exact"/>
        <w:ind w:left="120" w:leftChars="50" w:firstLine="491" w:firstLineChars="205"/>
        <w:rPr>
          <w:rFonts w:hint="eastAsia" w:ascii="宋体" w:hAnsi="宋体" w:eastAsia="宋体" w:cs="宋体"/>
          <w:color w:val="000000"/>
          <w:sz w:val="24"/>
          <w:szCs w:val="24"/>
          <w:highlight w:val="none"/>
          <w:u w:val="none"/>
        </w:rPr>
      </w:pPr>
    </w:p>
    <w:p w14:paraId="434BE0B8">
      <w:pPr>
        <w:spacing w:line="480" w:lineRule="exact"/>
        <w:ind w:left="0" w:leftChars="0" w:firstLine="0" w:firstLineChars="0"/>
        <w:rPr>
          <w:rFonts w:hint="eastAsia" w:ascii="宋体" w:hAnsi="宋体" w:eastAsia="宋体" w:cs="宋体"/>
          <w:color w:val="000000"/>
          <w:sz w:val="24"/>
          <w:szCs w:val="24"/>
          <w:highlight w:val="none"/>
          <w:u w:val="none"/>
        </w:rPr>
      </w:pPr>
    </w:p>
    <w:p w14:paraId="7B72845A">
      <w:pPr>
        <w:spacing w:line="480" w:lineRule="exact"/>
        <w:ind w:left="0" w:leftChars="0" w:firstLine="0" w:firstLineChars="0"/>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甲方：</w:t>
      </w:r>
      <w:r>
        <w:rPr>
          <w:rFonts w:hint="eastAsia" w:ascii="宋体" w:hAnsi="宋体" w:eastAsia="宋体" w:cs="宋体"/>
          <w:color w:val="000000"/>
          <w:sz w:val="24"/>
          <w:szCs w:val="24"/>
          <w:highlight w:val="none"/>
          <w:u w:val="none"/>
          <w:lang w:eastAsia="zh-CN"/>
        </w:rPr>
        <w:t>新疆医科大学第一附属医院</w:t>
      </w:r>
      <w:r>
        <w:rPr>
          <w:rFonts w:hint="eastAsia" w:ascii="宋体" w:hAnsi="宋体" w:eastAsia="宋体" w:cs="宋体"/>
          <w:color w:val="000000"/>
          <w:sz w:val="24"/>
          <w:szCs w:val="24"/>
          <w:highlight w:val="none"/>
          <w:u w:val="none"/>
        </w:rPr>
        <w:t xml:space="preserve">     乙方： </w:t>
      </w:r>
    </w:p>
    <w:p w14:paraId="0C296B4C">
      <w:pPr>
        <w:spacing w:line="480" w:lineRule="exact"/>
        <w:ind w:left="0" w:leftChars="0" w:firstLine="0" w:firstLineChars="0"/>
        <w:rPr>
          <w:rFonts w:hint="eastAsia" w:ascii="宋体" w:hAnsi="宋体" w:eastAsia="宋体" w:cs="宋体"/>
          <w:color w:val="000000"/>
          <w:sz w:val="24"/>
          <w:szCs w:val="24"/>
          <w:highlight w:val="none"/>
          <w:u w:val="none"/>
        </w:rPr>
      </w:pPr>
    </w:p>
    <w:p w14:paraId="54E0C6A3">
      <w:pPr>
        <w:spacing w:line="480" w:lineRule="exact"/>
        <w:ind w:left="0" w:leftChars="0" w:firstLine="0" w:firstLineChars="0"/>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法定代表人：                       法定代表人： </w:t>
      </w:r>
    </w:p>
    <w:p w14:paraId="33A6E4B7">
      <w:pPr>
        <w:spacing w:line="480" w:lineRule="exact"/>
        <w:ind w:left="0" w:leftChars="0" w:firstLine="0" w:firstLineChars="0"/>
        <w:rPr>
          <w:rFonts w:hint="eastAsia" w:ascii="宋体" w:hAnsi="宋体" w:eastAsia="宋体" w:cs="宋体"/>
          <w:color w:val="000000"/>
          <w:sz w:val="24"/>
          <w:szCs w:val="24"/>
          <w:highlight w:val="none"/>
          <w:u w:val="none"/>
        </w:rPr>
      </w:pPr>
    </w:p>
    <w:p w14:paraId="3773C528">
      <w:pPr>
        <w:spacing w:line="480" w:lineRule="exact"/>
        <w:ind w:left="0" w:leftChars="0" w:firstLine="0" w:firstLineChars="0"/>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委托代理人：                       委托代理人： </w:t>
      </w:r>
    </w:p>
    <w:p w14:paraId="1DDD23AC">
      <w:pPr>
        <w:spacing w:line="480" w:lineRule="exact"/>
        <w:ind w:left="0" w:leftChars="0" w:firstLine="0" w:firstLineChars="0"/>
        <w:rPr>
          <w:rFonts w:hint="eastAsia" w:ascii="宋体" w:hAnsi="宋体" w:eastAsia="宋体" w:cs="宋体"/>
          <w:color w:val="000000"/>
          <w:sz w:val="24"/>
          <w:szCs w:val="24"/>
          <w:highlight w:val="none"/>
          <w:u w:val="none"/>
        </w:rPr>
      </w:pPr>
    </w:p>
    <w:p w14:paraId="7F36FFCB">
      <w:pPr>
        <w:spacing w:line="480" w:lineRule="exact"/>
        <w:ind w:left="0" w:leftChars="0" w:firstLine="0" w:firstLineChars="0"/>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 xml:space="preserve">联系电话：                         联系电话： </w:t>
      </w:r>
    </w:p>
    <w:p w14:paraId="6F718D5F">
      <w:pPr>
        <w:spacing w:line="480" w:lineRule="exact"/>
        <w:ind w:left="0" w:leftChars="0" w:firstLine="0" w:firstLineChars="0"/>
        <w:rPr>
          <w:rFonts w:hint="eastAsia" w:ascii="宋体" w:hAnsi="宋体" w:eastAsia="宋体" w:cs="宋体"/>
          <w:color w:val="000000"/>
          <w:sz w:val="24"/>
          <w:szCs w:val="24"/>
          <w:highlight w:val="none"/>
          <w:u w:val="none"/>
        </w:rPr>
      </w:pPr>
    </w:p>
    <w:p w14:paraId="190DF483">
      <w:pPr>
        <w:spacing w:line="400" w:lineRule="exact"/>
        <w:ind w:firstLine="480" w:firstLineChars="200"/>
        <w:rPr>
          <w:rFonts w:hint="eastAsia" w:hAnsi="宋体" w:cs="宋体"/>
          <w:b w:val="0"/>
          <w:bCs/>
          <w:color w:val="auto"/>
          <w:sz w:val="24"/>
          <w:szCs w:val="24"/>
          <w:highlight w:val="none"/>
        </w:rPr>
      </w:pPr>
      <w:r>
        <w:rPr>
          <w:rFonts w:hint="eastAsia" w:ascii="宋体" w:hAnsi="宋体" w:eastAsia="宋体" w:cs="宋体"/>
          <w:color w:val="000000"/>
          <w:sz w:val="24"/>
          <w:szCs w:val="24"/>
          <w:highlight w:val="none"/>
          <w:u w:val="none"/>
        </w:rPr>
        <w:t>签订时间：    年   月    日</w:t>
      </w:r>
    </w:p>
    <w:p w14:paraId="38DBBDE3">
      <w:pPr>
        <w:snapToGrid w:val="0"/>
        <w:spacing w:line="264" w:lineRule="auto"/>
        <w:rPr>
          <w:rFonts w:hint="eastAsia" w:ascii="宋体" w:hAnsi="宋体" w:eastAsia="宋体" w:cs="宋体"/>
          <w:color w:val="auto"/>
          <w:sz w:val="24"/>
          <w:szCs w:val="24"/>
        </w:rPr>
      </w:pPr>
    </w:p>
    <w:p w14:paraId="4A5AE1EA">
      <w:pPr>
        <w:snapToGrid w:val="0"/>
        <w:spacing w:line="264" w:lineRule="auto"/>
        <w:rPr>
          <w:rFonts w:hint="eastAsia" w:ascii="宋体" w:hAnsi="宋体" w:eastAsia="宋体" w:cs="宋体"/>
          <w:color w:val="auto"/>
          <w:sz w:val="24"/>
          <w:szCs w:val="24"/>
        </w:rPr>
      </w:pPr>
    </w:p>
    <w:p w14:paraId="04C1CE28">
      <w:pPr>
        <w:snapToGrid w:val="0"/>
        <w:spacing w:line="264" w:lineRule="auto"/>
        <w:rPr>
          <w:rFonts w:hint="eastAsia" w:ascii="宋体" w:hAnsi="宋体" w:eastAsia="宋体" w:cs="宋体"/>
          <w:color w:val="auto"/>
          <w:sz w:val="24"/>
          <w:szCs w:val="24"/>
        </w:rPr>
      </w:pPr>
    </w:p>
    <w:p w14:paraId="4B40EDEC">
      <w:pPr>
        <w:snapToGrid w:val="0"/>
        <w:spacing w:line="264" w:lineRule="auto"/>
        <w:rPr>
          <w:rFonts w:hint="eastAsia" w:ascii="宋体" w:hAnsi="宋体" w:eastAsia="宋体" w:cs="宋体"/>
          <w:color w:val="auto"/>
          <w:sz w:val="24"/>
          <w:szCs w:val="24"/>
        </w:rPr>
      </w:pPr>
    </w:p>
    <w:p w14:paraId="6D54A905">
      <w:pPr>
        <w:snapToGrid w:val="0"/>
        <w:spacing w:line="264" w:lineRule="auto"/>
        <w:rPr>
          <w:rFonts w:hint="eastAsia" w:ascii="宋体" w:hAnsi="宋体" w:eastAsia="宋体" w:cs="宋体"/>
          <w:color w:val="auto"/>
          <w:sz w:val="24"/>
          <w:szCs w:val="24"/>
        </w:rPr>
      </w:pPr>
    </w:p>
    <w:p w14:paraId="169AD738">
      <w:pPr>
        <w:snapToGrid w:val="0"/>
        <w:spacing w:line="264" w:lineRule="auto"/>
        <w:rPr>
          <w:rFonts w:hint="eastAsia" w:ascii="宋体" w:hAnsi="宋体" w:eastAsia="宋体" w:cs="宋体"/>
          <w:color w:val="auto"/>
          <w:sz w:val="24"/>
          <w:szCs w:val="24"/>
        </w:rPr>
      </w:pPr>
    </w:p>
    <w:p w14:paraId="69CFC928">
      <w:pPr>
        <w:snapToGrid w:val="0"/>
        <w:spacing w:line="264" w:lineRule="auto"/>
        <w:rPr>
          <w:rFonts w:hint="eastAsia" w:ascii="宋体" w:hAnsi="宋体" w:eastAsia="宋体" w:cs="宋体"/>
          <w:color w:val="auto"/>
          <w:sz w:val="24"/>
          <w:szCs w:val="24"/>
        </w:rPr>
      </w:pPr>
    </w:p>
    <w:p w14:paraId="082DC0BC">
      <w:pPr>
        <w:snapToGrid w:val="0"/>
        <w:spacing w:line="264" w:lineRule="auto"/>
        <w:rPr>
          <w:rFonts w:hint="eastAsia" w:ascii="宋体" w:hAnsi="宋体" w:eastAsia="宋体" w:cs="宋体"/>
          <w:color w:val="auto"/>
          <w:sz w:val="24"/>
          <w:szCs w:val="24"/>
        </w:rPr>
      </w:pPr>
    </w:p>
    <w:p w14:paraId="75E3A5CD">
      <w:pPr>
        <w:snapToGrid w:val="0"/>
        <w:spacing w:line="264" w:lineRule="auto"/>
        <w:rPr>
          <w:rFonts w:hint="eastAsia" w:ascii="宋体" w:hAnsi="宋体" w:eastAsia="宋体" w:cs="宋体"/>
          <w:color w:val="auto"/>
          <w:sz w:val="24"/>
          <w:szCs w:val="24"/>
        </w:rPr>
      </w:pPr>
    </w:p>
    <w:p w14:paraId="771B205C">
      <w:pPr>
        <w:snapToGrid w:val="0"/>
        <w:spacing w:line="264" w:lineRule="auto"/>
        <w:rPr>
          <w:rFonts w:hint="eastAsia" w:ascii="宋体" w:hAnsi="宋体" w:eastAsia="宋体" w:cs="宋体"/>
          <w:color w:val="auto"/>
          <w:sz w:val="24"/>
          <w:szCs w:val="24"/>
        </w:rPr>
      </w:pPr>
    </w:p>
    <w:p w14:paraId="0385A96A">
      <w:pPr>
        <w:snapToGrid w:val="0"/>
        <w:spacing w:line="264" w:lineRule="auto"/>
        <w:rPr>
          <w:rFonts w:hint="eastAsia" w:ascii="宋体" w:hAnsi="宋体" w:eastAsia="宋体" w:cs="宋体"/>
          <w:color w:val="auto"/>
          <w:sz w:val="24"/>
          <w:szCs w:val="24"/>
        </w:rPr>
      </w:pPr>
    </w:p>
    <w:p w14:paraId="54C85B94">
      <w:pPr>
        <w:snapToGrid w:val="0"/>
        <w:spacing w:line="264" w:lineRule="auto"/>
        <w:rPr>
          <w:rFonts w:hint="eastAsia" w:ascii="宋体" w:hAnsi="宋体" w:eastAsia="宋体" w:cs="宋体"/>
          <w:color w:val="auto"/>
          <w:sz w:val="24"/>
          <w:szCs w:val="24"/>
        </w:rPr>
      </w:pPr>
    </w:p>
    <w:p w14:paraId="7A5B8BE5">
      <w:pPr>
        <w:snapToGrid w:val="0"/>
        <w:spacing w:line="264" w:lineRule="auto"/>
        <w:rPr>
          <w:rFonts w:hint="eastAsia" w:ascii="宋体" w:hAnsi="宋体" w:eastAsia="宋体" w:cs="宋体"/>
          <w:color w:val="auto"/>
          <w:sz w:val="24"/>
          <w:szCs w:val="24"/>
        </w:rPr>
      </w:pPr>
    </w:p>
    <w:p w14:paraId="3648E53C">
      <w:pPr>
        <w:snapToGrid w:val="0"/>
        <w:spacing w:line="264" w:lineRule="auto"/>
        <w:rPr>
          <w:rFonts w:hint="eastAsia" w:ascii="宋体" w:hAnsi="宋体" w:eastAsia="宋体" w:cs="宋体"/>
          <w:color w:val="auto"/>
          <w:sz w:val="24"/>
          <w:szCs w:val="24"/>
        </w:rPr>
      </w:pPr>
    </w:p>
    <w:p w14:paraId="27E26346">
      <w:pPr>
        <w:pStyle w:val="2"/>
        <w:numPr>
          <w:ilvl w:val="0"/>
          <w:numId w:val="0"/>
        </w:numPr>
        <w:ind w:left="420" w:leftChars="0" w:hanging="420" w:firstLineChars="0"/>
        <w:rPr>
          <w:rFonts w:hint="eastAsia" w:ascii="宋体" w:hAnsi="宋体" w:eastAsia="宋体" w:cs="宋体"/>
          <w:color w:val="auto"/>
          <w:sz w:val="36"/>
          <w:szCs w:val="36"/>
          <w:highlight w:val="none"/>
        </w:rPr>
      </w:pPr>
      <w:bookmarkStart w:id="1439" w:name="_Toc23018"/>
      <w:r>
        <w:rPr>
          <w:rFonts w:hint="eastAsia" w:ascii="宋体" w:hAnsi="宋体" w:eastAsia="宋体" w:cs="宋体"/>
          <w:b/>
          <w:bCs/>
          <w:color w:val="auto"/>
          <w:kern w:val="44"/>
          <w:sz w:val="36"/>
          <w:szCs w:val="36"/>
          <w:highlight w:val="none"/>
          <w:lang w:val="en-US" w:eastAsia="zh-CN" w:bidi="ar-SA"/>
        </w:rPr>
        <w:t xml:space="preserve">第六章 </w:t>
      </w:r>
      <w:r>
        <w:rPr>
          <w:rFonts w:hint="eastAsia" w:ascii="宋体" w:hAnsi="宋体" w:eastAsia="宋体" w:cs="宋体"/>
          <w:color w:val="auto"/>
          <w:sz w:val="36"/>
          <w:szCs w:val="36"/>
          <w:highlight w:val="none"/>
        </w:rPr>
        <w:t>响应文件的格式</w:t>
      </w:r>
      <w:bookmarkEnd w:id="1439"/>
    </w:p>
    <w:p w14:paraId="174BB9C4">
      <w:pPr>
        <w:ind w:firstLine="480" w:firstLineChars="200"/>
        <w:rPr>
          <w:rFonts w:hint="eastAsia" w:cs="仿宋_GB2312"/>
          <w:color w:val="auto"/>
          <w:highlight w:val="none"/>
          <w:lang w:val="zh-CN"/>
        </w:rPr>
      </w:pPr>
    </w:p>
    <w:p w14:paraId="08C8A4A8">
      <w:pPr>
        <w:ind w:firstLine="480" w:firstLineChars="200"/>
        <w:rPr>
          <w:rFonts w:hint="eastAsia" w:cs="仿宋_GB2312"/>
          <w:i w:val="0"/>
          <w:iCs w:val="0"/>
          <w:color w:val="auto"/>
          <w:highlight w:val="none"/>
          <w:lang w:val="zh-CN"/>
        </w:rPr>
      </w:pPr>
    </w:p>
    <w:p w14:paraId="0F1E5057">
      <w:pPr>
        <w:ind w:firstLine="480" w:firstLineChars="200"/>
        <w:rPr>
          <w:rFonts w:hint="eastAsia" w:cs="仿宋_GB2312"/>
          <w:i w:val="0"/>
          <w:iCs w:val="0"/>
          <w:color w:val="auto"/>
          <w:highlight w:val="none"/>
          <w:lang w:val="zh-CN"/>
        </w:rPr>
      </w:pPr>
    </w:p>
    <w:p w14:paraId="02C1CDE2">
      <w:pPr>
        <w:ind w:firstLine="480" w:firstLineChars="200"/>
        <w:rPr>
          <w:rFonts w:hint="eastAsia" w:cs="仿宋_GB2312"/>
          <w:i w:val="0"/>
          <w:iCs w:val="0"/>
          <w:color w:val="auto"/>
          <w:highlight w:val="none"/>
          <w:lang w:val="zh-CN"/>
        </w:rPr>
      </w:pPr>
    </w:p>
    <w:p w14:paraId="5FD4F8BE">
      <w:pPr>
        <w:ind w:firstLine="480" w:firstLineChars="200"/>
        <w:rPr>
          <w:rFonts w:hint="eastAsia" w:cs="仿宋_GB2312"/>
          <w:i w:val="0"/>
          <w:iCs w:val="0"/>
          <w:color w:val="auto"/>
          <w:highlight w:val="none"/>
          <w:lang w:val="zh-CN"/>
        </w:rPr>
      </w:pPr>
    </w:p>
    <w:p w14:paraId="40FD170D">
      <w:pPr>
        <w:ind w:firstLine="480" w:firstLineChars="200"/>
        <w:rPr>
          <w:rFonts w:hint="eastAsia" w:cs="仿宋_GB2312"/>
          <w:i w:val="0"/>
          <w:iCs w:val="0"/>
          <w:color w:val="auto"/>
          <w:highlight w:val="none"/>
          <w:lang w:val="zh-CN"/>
        </w:rPr>
      </w:pPr>
    </w:p>
    <w:p w14:paraId="333C12D2">
      <w:pPr>
        <w:ind w:firstLine="480" w:firstLineChars="200"/>
        <w:rPr>
          <w:rFonts w:hint="eastAsia" w:cs="仿宋_GB2312"/>
          <w:i w:val="0"/>
          <w:iCs w:val="0"/>
          <w:color w:val="auto"/>
          <w:highlight w:val="none"/>
          <w:lang w:val="zh-CN"/>
        </w:rPr>
      </w:pPr>
    </w:p>
    <w:p w14:paraId="0DC5F5FB">
      <w:pPr>
        <w:ind w:firstLine="480" w:firstLineChars="200"/>
        <w:rPr>
          <w:rFonts w:hint="eastAsia" w:cs="仿宋_GB2312"/>
          <w:i w:val="0"/>
          <w:iCs w:val="0"/>
          <w:color w:val="auto"/>
          <w:highlight w:val="none"/>
          <w:lang w:val="zh-CN"/>
        </w:rPr>
      </w:pPr>
    </w:p>
    <w:p w14:paraId="7D5CE0DF">
      <w:pPr>
        <w:ind w:firstLine="480" w:firstLineChars="200"/>
        <w:rPr>
          <w:rFonts w:hint="eastAsia" w:cs="仿宋_GB2312"/>
          <w:i w:val="0"/>
          <w:iCs w:val="0"/>
          <w:color w:val="auto"/>
          <w:highlight w:val="none"/>
          <w:lang w:val="zh-CN"/>
        </w:rPr>
      </w:pPr>
    </w:p>
    <w:p w14:paraId="226FEC9F">
      <w:pPr>
        <w:ind w:firstLine="480" w:firstLineChars="200"/>
        <w:rPr>
          <w:rFonts w:hint="eastAsia" w:cs="仿宋_GB2312"/>
          <w:i w:val="0"/>
          <w:iCs w:val="0"/>
          <w:color w:val="auto"/>
          <w:highlight w:val="none"/>
          <w:lang w:val="zh-CN"/>
        </w:rPr>
      </w:pPr>
    </w:p>
    <w:p w14:paraId="3B193948">
      <w:pPr>
        <w:ind w:firstLine="480" w:firstLineChars="200"/>
        <w:rPr>
          <w:rFonts w:hint="eastAsia" w:cs="仿宋_GB2312"/>
          <w:i w:val="0"/>
          <w:iCs w:val="0"/>
          <w:color w:val="auto"/>
          <w:highlight w:val="none"/>
          <w:lang w:val="zh-CN"/>
        </w:rPr>
      </w:pPr>
    </w:p>
    <w:p w14:paraId="25528327">
      <w:pPr>
        <w:ind w:firstLine="480" w:firstLineChars="200"/>
        <w:rPr>
          <w:rFonts w:hint="eastAsia" w:cs="仿宋_GB2312"/>
          <w:i w:val="0"/>
          <w:iCs w:val="0"/>
          <w:color w:val="auto"/>
          <w:highlight w:val="none"/>
          <w:lang w:val="zh-CN"/>
        </w:rPr>
      </w:pPr>
    </w:p>
    <w:p w14:paraId="6F2846A3">
      <w:pPr>
        <w:ind w:firstLine="480" w:firstLineChars="200"/>
        <w:rPr>
          <w:rFonts w:hint="eastAsia" w:cs="仿宋_GB2312"/>
          <w:i w:val="0"/>
          <w:iCs w:val="0"/>
          <w:color w:val="auto"/>
          <w:highlight w:val="none"/>
          <w:lang w:val="zh-CN"/>
        </w:rPr>
      </w:pPr>
    </w:p>
    <w:p w14:paraId="6D7EA01B">
      <w:pPr>
        <w:ind w:firstLine="480" w:firstLineChars="200"/>
        <w:rPr>
          <w:rFonts w:hint="eastAsia" w:cs="仿宋_GB2312"/>
          <w:i w:val="0"/>
          <w:iCs w:val="0"/>
          <w:color w:val="auto"/>
          <w:highlight w:val="none"/>
          <w:lang w:val="zh-CN"/>
        </w:rPr>
      </w:pPr>
    </w:p>
    <w:p w14:paraId="1FA1C6E4">
      <w:pPr>
        <w:ind w:firstLine="480" w:firstLineChars="200"/>
        <w:rPr>
          <w:rFonts w:hint="eastAsia" w:cs="仿宋_GB2312"/>
          <w:i w:val="0"/>
          <w:iCs w:val="0"/>
          <w:color w:val="auto"/>
          <w:highlight w:val="none"/>
          <w:lang w:val="zh-CN"/>
        </w:rPr>
      </w:pPr>
    </w:p>
    <w:p w14:paraId="7080018F">
      <w:pPr>
        <w:ind w:firstLine="480" w:firstLineChars="200"/>
        <w:rPr>
          <w:rFonts w:hint="eastAsia" w:cs="仿宋_GB2312"/>
          <w:i w:val="0"/>
          <w:iCs w:val="0"/>
          <w:color w:val="auto"/>
          <w:highlight w:val="none"/>
          <w:lang w:val="zh-CN"/>
        </w:rPr>
      </w:pPr>
    </w:p>
    <w:p w14:paraId="4B79049E">
      <w:pPr>
        <w:ind w:firstLine="480" w:firstLineChars="200"/>
        <w:rPr>
          <w:rFonts w:hint="eastAsia" w:cs="仿宋_GB2312"/>
          <w:i w:val="0"/>
          <w:iCs w:val="0"/>
          <w:color w:val="auto"/>
          <w:highlight w:val="none"/>
          <w:lang w:val="zh-CN"/>
        </w:rPr>
      </w:pPr>
    </w:p>
    <w:p w14:paraId="690F05F4">
      <w:pPr>
        <w:ind w:firstLine="480" w:firstLineChars="200"/>
        <w:rPr>
          <w:rFonts w:hint="eastAsia" w:cs="仿宋_GB2312"/>
          <w:i w:val="0"/>
          <w:iCs w:val="0"/>
          <w:color w:val="auto"/>
          <w:highlight w:val="none"/>
          <w:lang w:val="zh-CN"/>
        </w:rPr>
      </w:pPr>
    </w:p>
    <w:p w14:paraId="6ED94B89">
      <w:pPr>
        <w:ind w:firstLine="480" w:firstLineChars="200"/>
        <w:rPr>
          <w:rFonts w:hint="eastAsia" w:cs="仿宋_GB2312"/>
          <w:i w:val="0"/>
          <w:iCs w:val="0"/>
          <w:color w:val="auto"/>
          <w:highlight w:val="none"/>
          <w:lang w:val="zh-CN"/>
        </w:rPr>
      </w:pPr>
    </w:p>
    <w:p w14:paraId="7DE59651">
      <w:pPr>
        <w:ind w:firstLine="480" w:firstLineChars="200"/>
        <w:rPr>
          <w:rFonts w:hint="eastAsia" w:cs="仿宋_GB2312"/>
          <w:i w:val="0"/>
          <w:iCs w:val="0"/>
          <w:color w:val="auto"/>
          <w:highlight w:val="none"/>
          <w:lang w:val="zh-CN"/>
        </w:rPr>
      </w:pPr>
    </w:p>
    <w:p w14:paraId="0D899E1D">
      <w:pPr>
        <w:ind w:firstLine="480" w:firstLineChars="200"/>
        <w:rPr>
          <w:rFonts w:hint="eastAsia" w:cs="仿宋_GB2312"/>
          <w:i w:val="0"/>
          <w:iCs w:val="0"/>
          <w:color w:val="auto"/>
          <w:highlight w:val="none"/>
          <w:lang w:val="zh-CN"/>
        </w:rPr>
      </w:pPr>
    </w:p>
    <w:p w14:paraId="6EA0DF60">
      <w:pPr>
        <w:ind w:firstLine="480" w:firstLineChars="200"/>
        <w:rPr>
          <w:rFonts w:hint="eastAsia" w:cs="仿宋_GB2312"/>
          <w:i w:val="0"/>
          <w:iCs w:val="0"/>
          <w:color w:val="auto"/>
          <w:highlight w:val="none"/>
          <w:lang w:val="zh-CN"/>
        </w:rPr>
      </w:pPr>
    </w:p>
    <w:p w14:paraId="0EAD2D3B">
      <w:pPr>
        <w:ind w:firstLine="480" w:firstLineChars="200"/>
        <w:rPr>
          <w:rFonts w:hint="eastAsia" w:cs="仿宋_GB2312"/>
          <w:i w:val="0"/>
          <w:iCs w:val="0"/>
          <w:color w:val="auto"/>
          <w:highlight w:val="none"/>
          <w:lang w:val="zh-CN"/>
        </w:rPr>
      </w:pPr>
    </w:p>
    <w:p w14:paraId="3D40132F">
      <w:pPr>
        <w:ind w:firstLine="480" w:firstLineChars="200"/>
        <w:rPr>
          <w:rFonts w:hint="eastAsia" w:cs="仿宋_GB2312"/>
          <w:color w:val="auto"/>
          <w:szCs w:val="24"/>
          <w:highlight w:val="none"/>
          <w:lang w:val="zh-CN"/>
        </w:rPr>
      </w:pPr>
    </w:p>
    <w:p w14:paraId="799978BC">
      <w:pPr>
        <w:rPr>
          <w:rFonts w:hint="eastAsia" w:cs="仿宋_GB2312"/>
          <w:color w:val="auto"/>
          <w:szCs w:val="24"/>
          <w:highlight w:val="none"/>
          <w:lang w:val="zh-CN"/>
        </w:rPr>
      </w:pPr>
      <w:r>
        <w:rPr>
          <w:rFonts w:hint="eastAsia" w:cs="仿宋_GB2312"/>
          <w:color w:val="auto"/>
          <w:szCs w:val="24"/>
          <w:highlight w:val="none"/>
          <w:lang w:val="zh-CN"/>
        </w:rPr>
        <w:br w:type="page"/>
      </w:r>
    </w:p>
    <w:p w14:paraId="4BCCC423">
      <w:pPr>
        <w:ind w:firstLine="480" w:firstLineChars="200"/>
        <w:rPr>
          <w:rFonts w:hint="eastAsia" w:cs="仿宋_GB2312"/>
          <w:color w:val="auto"/>
          <w:szCs w:val="24"/>
          <w:highlight w:val="none"/>
          <w:lang w:val="zh-CN"/>
        </w:rPr>
      </w:pPr>
    </w:p>
    <w:p w14:paraId="6DC90E3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autoSpaceDE w:val="0"/>
        <w:autoSpaceDN w:val="0"/>
        <w:adjustRightInd w:val="0"/>
        <w:jc w:val="center"/>
        <w:rPr>
          <w:b/>
          <w:color w:val="auto"/>
          <w:sz w:val="84"/>
          <w:szCs w:val="84"/>
          <w:highlight w:val="none"/>
        </w:rPr>
      </w:pPr>
      <w:r>
        <w:rPr>
          <w:rFonts w:hint="eastAsia"/>
          <w:b/>
          <w:color w:val="auto"/>
          <w:sz w:val="84"/>
          <w:szCs w:val="84"/>
          <w:highlight w:val="none"/>
          <w:lang w:val="en-US" w:eastAsia="zh-CN"/>
        </w:rPr>
        <w:t>响</w:t>
      </w:r>
      <w:r>
        <w:rPr>
          <w:rFonts w:hint="eastAsia"/>
          <w:b/>
          <w:color w:val="auto"/>
          <w:sz w:val="84"/>
          <w:szCs w:val="84"/>
          <w:highlight w:val="none"/>
        </w:rPr>
        <w:t xml:space="preserve"> </w:t>
      </w:r>
      <w:r>
        <w:rPr>
          <w:rFonts w:hint="eastAsia"/>
          <w:b/>
          <w:color w:val="auto"/>
          <w:sz w:val="84"/>
          <w:szCs w:val="84"/>
          <w:highlight w:val="none"/>
          <w:lang w:val="en-US" w:eastAsia="zh-CN"/>
        </w:rPr>
        <w:t>应</w:t>
      </w:r>
      <w:r>
        <w:rPr>
          <w:rFonts w:hint="eastAsia"/>
          <w:b/>
          <w:color w:val="auto"/>
          <w:sz w:val="84"/>
          <w:szCs w:val="84"/>
          <w:highlight w:val="none"/>
        </w:rPr>
        <w:t xml:space="preserve"> 文 件</w:t>
      </w:r>
    </w:p>
    <w:p w14:paraId="7053976A">
      <w:pPr>
        <w:autoSpaceDE w:val="0"/>
        <w:autoSpaceDN w:val="0"/>
        <w:adjustRightInd w:val="0"/>
        <w:jc w:val="center"/>
        <w:outlineLvl w:val="0"/>
        <w:rPr>
          <w:b/>
          <w:color w:val="auto"/>
          <w:sz w:val="56"/>
          <w:szCs w:val="56"/>
          <w:highlight w:val="none"/>
        </w:rPr>
      </w:pPr>
      <w:bookmarkStart w:id="1440" w:name="_Toc58"/>
      <w:r>
        <w:rPr>
          <w:rFonts w:hint="eastAsia"/>
          <w:b/>
          <w:color w:val="auto"/>
          <w:sz w:val="56"/>
          <w:szCs w:val="56"/>
          <w:highlight w:val="none"/>
        </w:rPr>
        <w:t>资格证明文件</w:t>
      </w:r>
      <w:bookmarkEnd w:id="1440"/>
    </w:p>
    <w:p w14:paraId="11B2218D">
      <w:pPr>
        <w:autoSpaceDE w:val="0"/>
        <w:autoSpaceDN w:val="0"/>
        <w:adjustRightInd w:val="0"/>
        <w:rPr>
          <w:b/>
          <w:bCs/>
          <w:color w:val="auto"/>
          <w:sz w:val="22"/>
          <w:highlight w:val="none"/>
        </w:rPr>
      </w:pPr>
    </w:p>
    <w:p w14:paraId="7EDE7CD9">
      <w:pPr>
        <w:autoSpaceDE w:val="0"/>
        <w:autoSpaceDN w:val="0"/>
        <w:adjustRightInd w:val="0"/>
        <w:rPr>
          <w:color w:val="auto"/>
          <w:sz w:val="21"/>
          <w:szCs w:val="21"/>
          <w:highlight w:val="none"/>
        </w:rPr>
      </w:pPr>
    </w:p>
    <w:p w14:paraId="42DB1859">
      <w:pPr>
        <w:outlineLvl w:val="9"/>
        <w:rPr>
          <w:color w:val="auto"/>
          <w:highlight w:val="none"/>
        </w:rPr>
      </w:pPr>
    </w:p>
    <w:p w14:paraId="30EB22E6">
      <w:pPr>
        <w:autoSpaceDE w:val="0"/>
        <w:autoSpaceDN w:val="0"/>
        <w:adjustRightInd w:val="0"/>
        <w:rPr>
          <w:color w:val="auto"/>
          <w:sz w:val="21"/>
          <w:szCs w:val="21"/>
          <w:highlight w:val="none"/>
        </w:rPr>
      </w:pPr>
    </w:p>
    <w:p w14:paraId="0D158554">
      <w:pPr>
        <w:autoSpaceDE w:val="0"/>
        <w:autoSpaceDN w:val="0"/>
        <w:adjustRightInd w:val="0"/>
        <w:rPr>
          <w:color w:val="auto"/>
          <w:sz w:val="21"/>
          <w:szCs w:val="21"/>
          <w:highlight w:val="none"/>
        </w:rPr>
      </w:pPr>
    </w:p>
    <w:p w14:paraId="01B855BF">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E0530D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281C2EA">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7DB2DE4">
      <w:pPr>
        <w:ind w:left="840" w:firstLine="420"/>
        <w:rPr>
          <w:b/>
          <w:bCs/>
          <w:color w:val="auto"/>
          <w:sz w:val="28"/>
          <w:szCs w:val="28"/>
          <w:highlight w:val="none"/>
        </w:rPr>
      </w:pPr>
    </w:p>
    <w:p w14:paraId="1D6D546F">
      <w:pPr>
        <w:ind w:left="840" w:firstLine="420"/>
        <w:rPr>
          <w:b/>
          <w:bCs/>
          <w:color w:val="auto"/>
          <w:sz w:val="28"/>
          <w:szCs w:val="28"/>
          <w:highlight w:val="none"/>
        </w:rPr>
      </w:pPr>
    </w:p>
    <w:p w14:paraId="167EF277">
      <w:pPr>
        <w:ind w:left="840" w:firstLine="420"/>
        <w:rPr>
          <w:b/>
          <w:bCs/>
          <w:color w:val="auto"/>
          <w:sz w:val="28"/>
          <w:szCs w:val="28"/>
          <w:highlight w:val="none"/>
        </w:rPr>
      </w:pPr>
    </w:p>
    <w:p w14:paraId="6F83EA22">
      <w:pPr>
        <w:jc w:val="center"/>
        <w:rPr>
          <w:rFonts w:ascii="黑体" w:hAnsi="黑体" w:eastAsia="黑体"/>
          <w:i w:val="0"/>
          <w:iCs w:val="0"/>
          <w:color w:val="auto"/>
          <w:sz w:val="32"/>
          <w:szCs w:val="32"/>
          <w:highlight w:val="none"/>
        </w:rPr>
      </w:pPr>
      <w:r>
        <w:rPr>
          <w:rFonts w:hint="eastAsia" w:ascii="宋体" w:hAnsi="宋体" w:eastAsia="宋体" w:cs="宋体"/>
          <w:color w:val="auto"/>
          <w:sz w:val="32"/>
          <w:szCs w:val="32"/>
          <w:highlight w:val="none"/>
        </w:rPr>
        <w:t>年   月    日</w:t>
      </w:r>
    </w:p>
    <w:p w14:paraId="39BD53E8">
      <w:pPr>
        <w:jc w:val="center"/>
        <w:rPr>
          <w:b/>
          <w:bCs/>
          <w:i w:val="0"/>
          <w:iCs w:val="0"/>
          <w:color w:val="auto"/>
          <w:sz w:val="28"/>
          <w:szCs w:val="28"/>
          <w:highlight w:val="none"/>
        </w:rPr>
      </w:pPr>
      <w:r>
        <w:rPr>
          <w:b/>
          <w:bCs/>
          <w:i w:val="0"/>
          <w:iCs w:val="0"/>
          <w:color w:val="auto"/>
          <w:sz w:val="28"/>
          <w:szCs w:val="28"/>
          <w:highlight w:val="none"/>
        </w:rPr>
        <w:br w:type="page"/>
      </w:r>
    </w:p>
    <w:p w14:paraId="6DBE2CDA">
      <w:pPr>
        <w:rPr>
          <w:color w:val="auto"/>
          <w:highlight w:val="none"/>
          <w:lang w:val="zh-CN"/>
        </w:rPr>
      </w:pPr>
      <w:bookmarkStart w:id="1441" w:name="_Toc163493643"/>
    </w:p>
    <w:p w14:paraId="1582779F">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442" w:name="_Toc29525"/>
      <w:bookmarkStart w:id="1443" w:name="_Toc155185927"/>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1442"/>
    </w:p>
    <w:bookmarkEnd w:id="1443"/>
    <w:p w14:paraId="6B7B06F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18B05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1、供应商</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1D91F8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2、供应商</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11EBB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3、供应商</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783D09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4、供应商</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C5E4B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5、供应商</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20552EC5">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5A5AE2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93C05F7">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E552CF1">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7171938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0E2D6054">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3845DBA7">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278832F9">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867C6B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053A2AA">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A243C91">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08CDCDAB">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28CC466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7D8D8D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C8690F1">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31FEAA5E">
      <w:pPr>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br w:type="page"/>
      </w:r>
    </w:p>
    <w:p w14:paraId="36E16A3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p>
    <w:p w14:paraId="2D14B38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（二）具有良好的商业信誉和健全的财务会计制度；</w:t>
      </w:r>
    </w:p>
    <w:p w14:paraId="344A5E2F">
      <w:pPr>
        <w:pStyle w:val="74"/>
        <w:adjustRightInd w:val="0"/>
        <w:snapToGrid w:val="0"/>
        <w:spacing w:line="360" w:lineRule="auto"/>
        <w:ind w:firstLine="420" w:firstLineChars="200"/>
        <w:jc w:val="left"/>
        <w:rPr>
          <w:rFonts w:hint="eastAsia" w:ascii="宋体" w:hAnsi="宋体" w:cs="宋体"/>
          <w:b/>
          <w:color w:val="auto"/>
          <w:sz w:val="24"/>
          <w:szCs w:val="24"/>
          <w:highlight w:val="none"/>
        </w:rPr>
      </w:pPr>
      <w:r>
        <w:rPr>
          <w:rFonts w:hint="eastAsia" w:ascii="宋体" w:hAnsi="宋体" w:cs="宋体"/>
          <w:color w:val="auto"/>
          <w:sz w:val="21"/>
          <w:szCs w:val="21"/>
          <w:highlight w:val="none"/>
          <w:lang w:val="en-US" w:eastAsia="zh-CN"/>
        </w:rPr>
        <w:t>投标时，供应商需提供近三年任一年度（2022年度或2023年度或2024年度）财务审计报告或近一年内银行提供的资信证明（新公司从成立之日起算）</w:t>
      </w:r>
      <w:r>
        <w:rPr>
          <w:rFonts w:hint="eastAsia" w:ascii="宋体" w:hAnsi="宋体" w:eastAsia="宋体" w:cs="宋体"/>
          <w:b w:val="0"/>
          <w:bCs/>
          <w:color w:val="auto"/>
          <w:sz w:val="21"/>
          <w:szCs w:val="21"/>
          <w:highlight w:val="none"/>
        </w:rPr>
        <w:t>。</w:t>
      </w:r>
    </w:p>
    <w:p w14:paraId="2043C0FD">
      <w:pPr>
        <w:rPr>
          <w:rFonts w:hint="eastAsia" w:ascii="宋体" w:hAnsi="宋体" w:eastAsia="宋体" w:cs="宋体"/>
          <w:b/>
          <w:bCs/>
          <w:i w:val="0"/>
          <w:iCs w:val="0"/>
          <w:color w:val="auto"/>
          <w:kern w:val="2"/>
          <w:sz w:val="24"/>
          <w:szCs w:val="24"/>
          <w:highlight w:val="none"/>
          <w:lang w:val="en-US" w:eastAsia="zh-CN" w:bidi="ar-SA"/>
        </w:rPr>
      </w:pPr>
      <w:bookmarkStart w:id="1444" w:name="_Toc11370"/>
      <w:bookmarkStart w:id="1445" w:name="_Toc28292"/>
      <w:r>
        <w:rPr>
          <w:rFonts w:hint="eastAsia" w:ascii="宋体" w:hAnsi="宋体" w:eastAsia="宋体" w:cs="宋体"/>
          <w:b/>
          <w:bCs/>
          <w:i w:val="0"/>
          <w:iCs w:val="0"/>
          <w:color w:val="auto"/>
          <w:kern w:val="2"/>
          <w:sz w:val="24"/>
          <w:szCs w:val="24"/>
          <w:highlight w:val="none"/>
          <w:lang w:val="en-US" w:eastAsia="zh-CN" w:bidi="ar-SA"/>
        </w:rPr>
        <w:br w:type="page"/>
      </w:r>
    </w:p>
    <w:p w14:paraId="6CCF35F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p>
    <w:p w14:paraId="66F77BE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（三）有依法缴纳税收和社会保障资金的良好记录</w:t>
      </w:r>
      <w:bookmarkEnd w:id="1444"/>
      <w:bookmarkEnd w:id="1445"/>
    </w:p>
    <w:p w14:paraId="0B65B40E">
      <w:pPr>
        <w:pStyle w:val="74"/>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供应商依法缴纳税收的证明材料：本项目投标截止时间前6个月内（至少提供1个月）缴纳税收的凭据（完税证、缴款书、印花税票、银行代扣（代缴）转账凭证等均可）；</w:t>
      </w:r>
    </w:p>
    <w:p w14:paraId="068ACDE1">
      <w:pPr>
        <w:pStyle w:val="74"/>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依法免税的供应商，须提供相应文件证明其依法免税。</w:t>
      </w:r>
    </w:p>
    <w:p w14:paraId="3CD5783B">
      <w:pPr>
        <w:pStyle w:val="74"/>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供应商依法缴纳社会保障资金的证明材料：本项目投标截止时间时间前6个月内（至少提供1个月）缴纳社会保险的凭据（专用收据或社会保险交纳清单）；</w:t>
      </w:r>
    </w:p>
    <w:p w14:paraId="14734AAD">
      <w:pPr>
        <w:pStyle w:val="74"/>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供应商为其他组织或自然人的，也需要按此项规定提供缴纳税收的凭据和交纳社会保险的凭据。</w:t>
      </w:r>
    </w:p>
    <w:p w14:paraId="5F425A51">
      <w:pPr>
        <w:pStyle w:val="74"/>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sectPr>
          <w:pgSz w:w="11906" w:h="16838"/>
          <w:pgMar w:top="1440" w:right="1803" w:bottom="1440" w:left="1803" w:header="652" w:footer="652" w:gutter="0"/>
          <w:pgNumType w:fmt="decimal"/>
          <w:cols w:space="0" w:num="1"/>
          <w:rtlGutter w:val="0"/>
          <w:docGrid w:type="lines" w:linePitch="332" w:charSpace="0"/>
        </w:sectPr>
      </w:pPr>
      <w:r>
        <w:rPr>
          <w:rFonts w:hint="eastAsia" w:ascii="宋体" w:hAnsi="宋体" w:eastAsia="宋体" w:cs="宋体"/>
          <w:b w:val="0"/>
          <w:bCs/>
          <w:color w:val="auto"/>
          <w:sz w:val="21"/>
          <w:szCs w:val="21"/>
          <w:highlight w:val="none"/>
        </w:rPr>
        <w:t>依法不需要缴纳社会保障资金的供应商，须提供相应文件证明其依法不需要缴纳社会保障资金。</w:t>
      </w:r>
    </w:p>
    <w:p w14:paraId="51B64A7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1446" w:name="_Toc19442"/>
      <w:bookmarkStart w:id="1447" w:name="_Toc7342"/>
    </w:p>
    <w:p w14:paraId="39F8B77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（四）供应商须具有履行合同所必需的设备和专业技术能力，须附相关证明材料或声明：</w:t>
      </w:r>
      <w:bookmarkEnd w:id="1446"/>
      <w:bookmarkEnd w:id="1447"/>
    </w:p>
    <w:p w14:paraId="2CED8279">
      <w:pPr>
        <w:pStyle w:val="74"/>
        <w:autoSpaceDE w:val="0"/>
        <w:autoSpaceDN w:val="0"/>
        <w:adjustRightInd w:val="0"/>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格式：</w:t>
      </w:r>
    </w:p>
    <w:p w14:paraId="18C477D2">
      <w:pPr>
        <w:pStyle w:val="74"/>
        <w:autoSpaceDE w:val="0"/>
        <w:autoSpaceDN w:val="0"/>
        <w:adjustRightInd w:val="0"/>
        <w:spacing w:line="440" w:lineRule="exact"/>
        <w:ind w:firstLine="120" w:firstLineChars="5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本供应商郑重声明：</w:t>
      </w:r>
    </w:p>
    <w:p w14:paraId="7802F332">
      <w:pPr>
        <w:pStyle w:val="74"/>
        <w:autoSpaceDE w:val="0"/>
        <w:autoSpaceDN w:val="0"/>
        <w:adjustRightInd w:val="0"/>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本公司（或单位）具备本项目履行合同所必需的设备和专业技术能力，特此承诺。 </w:t>
      </w:r>
    </w:p>
    <w:p w14:paraId="74091F66">
      <w:pPr>
        <w:pStyle w:val="75"/>
        <w:adjustRightInd w:val="0"/>
        <w:snapToGrid w:val="0"/>
        <w:spacing w:line="500" w:lineRule="exact"/>
        <w:rPr>
          <w:rFonts w:hint="eastAsia" w:ascii="宋体" w:hAnsi="宋体" w:cs="宋体"/>
          <w:color w:val="auto"/>
          <w:sz w:val="24"/>
          <w:szCs w:val="24"/>
          <w:highlight w:val="none"/>
        </w:rPr>
      </w:pPr>
    </w:p>
    <w:p w14:paraId="09D05F52">
      <w:pPr>
        <w:pStyle w:val="75"/>
        <w:adjustRightInd w:val="0"/>
        <w:snapToGrid w:val="0"/>
        <w:spacing w:line="500" w:lineRule="exact"/>
        <w:rPr>
          <w:rFonts w:hint="eastAsia" w:ascii="宋体" w:hAnsi="宋体" w:cs="宋体"/>
          <w:color w:val="auto"/>
          <w:sz w:val="24"/>
          <w:szCs w:val="24"/>
          <w:highlight w:val="none"/>
        </w:rPr>
      </w:pPr>
    </w:p>
    <w:p w14:paraId="06E7F57F">
      <w:pPr>
        <w:pStyle w:val="75"/>
        <w:adjustRightInd w:val="0"/>
        <w:snapToGrid w:val="0"/>
        <w:spacing w:line="500" w:lineRule="exact"/>
        <w:rPr>
          <w:rFonts w:hint="eastAsia" w:ascii="宋体" w:hAnsi="宋体" w:cs="宋体"/>
          <w:color w:val="auto"/>
          <w:sz w:val="24"/>
          <w:szCs w:val="24"/>
          <w:highlight w:val="none"/>
        </w:rPr>
      </w:pPr>
    </w:p>
    <w:p w14:paraId="0A55E66A">
      <w:pPr>
        <w:pStyle w:val="75"/>
        <w:adjustRightInd w:val="0"/>
        <w:snapToGrid w:val="0"/>
        <w:spacing w:line="500" w:lineRule="exact"/>
        <w:rPr>
          <w:rFonts w:hint="eastAsia" w:ascii="宋体" w:hAnsi="宋体" w:cs="宋体"/>
          <w:color w:val="auto"/>
          <w:sz w:val="24"/>
          <w:szCs w:val="24"/>
          <w:highlight w:val="none"/>
        </w:rPr>
      </w:pPr>
    </w:p>
    <w:p w14:paraId="6C0B4994">
      <w:pPr>
        <w:pStyle w:val="75"/>
        <w:adjustRightInd w:val="0"/>
        <w:snapToGrid w:val="0"/>
        <w:spacing w:line="500" w:lineRule="exact"/>
        <w:rPr>
          <w:rFonts w:hint="eastAsia" w:ascii="宋体" w:hAnsi="宋体" w:cs="宋体"/>
          <w:color w:val="auto"/>
          <w:sz w:val="24"/>
          <w:szCs w:val="24"/>
          <w:highlight w:val="none"/>
        </w:rPr>
      </w:pPr>
    </w:p>
    <w:p w14:paraId="5CD3836F">
      <w:pPr>
        <w:pStyle w:val="75"/>
        <w:adjustRightInd w:val="0"/>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法定代表人（单位负责人）或其委托代理人（签字或电子签章）：</w:t>
      </w:r>
      <w:r>
        <w:rPr>
          <w:rFonts w:hint="eastAsia" w:ascii="宋体" w:hAnsi="宋体" w:cs="宋体"/>
          <w:color w:val="auto"/>
          <w:sz w:val="24"/>
          <w:szCs w:val="24"/>
          <w:highlight w:val="none"/>
          <w:u w:val="single"/>
        </w:rPr>
        <w:t xml:space="preserve">                  </w:t>
      </w:r>
    </w:p>
    <w:p w14:paraId="34C7D42A">
      <w:pPr>
        <w:pStyle w:val="75"/>
        <w:adjustRightInd w:val="0"/>
        <w:snapToGrid w:val="0"/>
        <w:spacing w:line="500" w:lineRule="exact"/>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供应商名称（签章）：</w:t>
      </w:r>
      <w:r>
        <w:rPr>
          <w:rFonts w:hint="eastAsia" w:ascii="宋体" w:hAnsi="宋体" w:cs="宋体"/>
          <w:color w:val="auto"/>
          <w:sz w:val="24"/>
          <w:szCs w:val="24"/>
          <w:highlight w:val="none"/>
          <w:u w:val="single"/>
        </w:rPr>
        <w:t xml:space="preserve">                       </w:t>
      </w:r>
    </w:p>
    <w:p w14:paraId="75F21B0F">
      <w:pPr>
        <w:pStyle w:val="75"/>
        <w:spacing w:line="500" w:lineRule="exact"/>
        <w:rPr>
          <w:rFonts w:hint="eastAsia" w:ascii="宋体" w:hAnsi="宋体" w:cs="宋体"/>
          <w:color w:val="auto"/>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日</w:t>
      </w:r>
    </w:p>
    <w:p w14:paraId="08D8F77C">
      <w:pPr>
        <w:pStyle w:val="74"/>
        <w:adjustRightInd w:val="0"/>
        <w:snapToGrid w:val="0"/>
        <w:spacing w:line="360" w:lineRule="auto"/>
        <w:jc w:val="left"/>
        <w:rPr>
          <w:rFonts w:hint="eastAsia" w:ascii="宋体" w:hAnsi="宋体" w:cs="宋体"/>
          <w:b/>
          <w:color w:val="auto"/>
          <w:sz w:val="24"/>
          <w:szCs w:val="24"/>
          <w:highlight w:val="none"/>
        </w:rPr>
      </w:pPr>
    </w:p>
    <w:p w14:paraId="42338A44">
      <w:pPr>
        <w:pStyle w:val="76"/>
        <w:outlineLvl w:val="2"/>
        <w:rPr>
          <w:rFonts w:hint="eastAsia" w:ascii="宋体" w:hAnsi="宋体" w:eastAsia="宋体" w:cs="宋体"/>
          <w:color w:val="auto"/>
          <w:highlight w:val="none"/>
        </w:rPr>
        <w:sectPr>
          <w:pgSz w:w="11906" w:h="16838"/>
          <w:pgMar w:top="1440" w:right="1803" w:bottom="1440" w:left="1803" w:header="652" w:footer="652" w:gutter="0"/>
          <w:pgNumType w:fmt="decimal"/>
          <w:cols w:space="0" w:num="1"/>
          <w:rtlGutter w:val="0"/>
          <w:docGrid w:type="lines" w:linePitch="332" w:charSpace="0"/>
        </w:sectPr>
      </w:pPr>
    </w:p>
    <w:p w14:paraId="5E2DD88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1448" w:name="_Toc16347"/>
      <w:bookmarkStart w:id="1449" w:name="_Toc21544"/>
    </w:p>
    <w:p w14:paraId="086F1CD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（五）参加政府采购活动前三年内，在经营活动中没有重大违法记录的书面声明：</w:t>
      </w:r>
      <w:bookmarkEnd w:id="1448"/>
      <w:bookmarkEnd w:id="1449"/>
    </w:p>
    <w:p w14:paraId="04A21087">
      <w:pPr>
        <w:pStyle w:val="74"/>
        <w:adjustRightInd w:val="0"/>
        <w:snapToGrid w:val="0"/>
        <w:spacing w:line="360" w:lineRule="auto"/>
        <w:rPr>
          <w:rFonts w:hint="eastAsia" w:ascii="宋体" w:hAnsi="宋体" w:cs="宋体"/>
          <w:color w:val="auto"/>
          <w:sz w:val="24"/>
          <w:szCs w:val="24"/>
          <w:highlight w:val="none"/>
        </w:rPr>
      </w:pPr>
    </w:p>
    <w:p w14:paraId="7D5E4B1B">
      <w:pPr>
        <w:pStyle w:val="74"/>
        <w:adjustRightInd w:val="0"/>
        <w:snapToGrid w:val="0"/>
        <w:spacing w:line="360" w:lineRule="auto"/>
        <w:rPr>
          <w:rFonts w:hint="eastAsia" w:ascii="宋体" w:hAnsi="宋体" w:cs="宋体"/>
          <w:color w:val="auto"/>
          <w:sz w:val="24"/>
          <w:szCs w:val="24"/>
          <w:highlight w:val="none"/>
        </w:rPr>
      </w:pPr>
    </w:p>
    <w:p w14:paraId="462EC1B3">
      <w:pPr>
        <w:pStyle w:val="74"/>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格式：</w:t>
      </w:r>
    </w:p>
    <w:p w14:paraId="5AE02A31">
      <w:pPr>
        <w:pStyle w:val="77"/>
        <w:adjustRightInd w:val="0"/>
        <w:snapToGrid w:val="0"/>
        <w:spacing w:line="360" w:lineRule="auto"/>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无重大违法记录声明书</w:t>
      </w:r>
    </w:p>
    <w:p w14:paraId="615E07B2">
      <w:pPr>
        <w:pStyle w:val="74"/>
        <w:adjustRightInd w:val="0"/>
        <w:snapToGrid w:val="0"/>
        <w:spacing w:line="360" w:lineRule="auto"/>
        <w:rPr>
          <w:rFonts w:hint="eastAsia" w:ascii="宋体" w:hAnsi="宋体" w:cs="宋体"/>
          <w:color w:val="auto"/>
          <w:sz w:val="24"/>
          <w:szCs w:val="24"/>
          <w:highlight w:val="none"/>
        </w:rPr>
      </w:pPr>
    </w:p>
    <w:p w14:paraId="0D9A0424">
      <w:pPr>
        <w:pStyle w:val="74"/>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（采购人）         </w:t>
      </w:r>
      <w:r>
        <w:rPr>
          <w:rFonts w:hint="eastAsia" w:ascii="宋体" w:hAnsi="宋体" w:cs="宋体"/>
          <w:color w:val="auto"/>
          <w:sz w:val="24"/>
          <w:szCs w:val="24"/>
          <w:highlight w:val="none"/>
        </w:rPr>
        <w:t>：</w:t>
      </w:r>
    </w:p>
    <w:p w14:paraId="41BE35A7">
      <w:pPr>
        <w:pStyle w:val="74"/>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我公司参与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251D3375">
      <w:pPr>
        <w:pStyle w:val="74"/>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特此声明  </w:t>
      </w:r>
    </w:p>
    <w:p w14:paraId="064185E4">
      <w:pPr>
        <w:pStyle w:val="75"/>
        <w:adjustRightInd w:val="0"/>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法定代表人（单位负责人）或其委托代理人（签字或电子签章）：</w:t>
      </w:r>
      <w:r>
        <w:rPr>
          <w:rFonts w:hint="eastAsia" w:ascii="宋体" w:hAnsi="宋体" w:cs="宋体"/>
          <w:color w:val="auto"/>
          <w:sz w:val="24"/>
          <w:szCs w:val="24"/>
          <w:highlight w:val="none"/>
          <w:u w:val="single"/>
        </w:rPr>
        <w:t xml:space="preserve">                  </w:t>
      </w:r>
    </w:p>
    <w:p w14:paraId="2C0A3BED">
      <w:pPr>
        <w:pStyle w:val="75"/>
        <w:adjustRightInd w:val="0"/>
        <w:snapToGrid w:val="0"/>
        <w:spacing w:line="500" w:lineRule="exact"/>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供应商名称（签章）：</w:t>
      </w:r>
      <w:r>
        <w:rPr>
          <w:rFonts w:hint="eastAsia" w:ascii="宋体" w:hAnsi="宋体" w:cs="宋体"/>
          <w:color w:val="auto"/>
          <w:sz w:val="24"/>
          <w:szCs w:val="24"/>
          <w:highlight w:val="none"/>
          <w:u w:val="single"/>
        </w:rPr>
        <w:t xml:space="preserve">                       </w:t>
      </w:r>
    </w:p>
    <w:p w14:paraId="0361B8A2">
      <w:pPr>
        <w:pStyle w:val="75"/>
        <w:spacing w:line="500" w:lineRule="exact"/>
        <w:rPr>
          <w:rFonts w:hint="eastAsia" w:ascii="宋体" w:hAnsi="宋体" w:cs="宋体"/>
          <w:color w:val="auto"/>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日</w:t>
      </w:r>
    </w:p>
    <w:p w14:paraId="4CF9B070">
      <w:pPr>
        <w:pStyle w:val="74"/>
        <w:adjustRightInd w:val="0"/>
        <w:snapToGrid w:val="0"/>
        <w:spacing w:line="360" w:lineRule="auto"/>
        <w:jc w:val="left"/>
        <w:rPr>
          <w:rFonts w:hint="eastAsia" w:ascii="宋体" w:hAnsi="宋体" w:cs="宋体"/>
          <w:color w:val="auto"/>
          <w:sz w:val="24"/>
          <w:szCs w:val="24"/>
          <w:highlight w:val="none"/>
        </w:rPr>
      </w:pPr>
    </w:p>
    <w:p w14:paraId="7B1DE612">
      <w:pPr>
        <w:pStyle w:val="74"/>
        <w:adjustRightInd w:val="0"/>
        <w:snapToGrid w:val="0"/>
        <w:spacing w:line="360" w:lineRule="auto"/>
        <w:jc w:val="left"/>
        <w:rPr>
          <w:rFonts w:hint="eastAsia" w:ascii="宋体" w:hAnsi="宋体" w:cs="宋体"/>
          <w:b/>
          <w:color w:val="auto"/>
          <w:kern w:val="0"/>
          <w:sz w:val="32"/>
          <w:szCs w:val="24"/>
          <w:highlight w:val="none"/>
        </w:rPr>
        <w:sectPr>
          <w:pgSz w:w="11906" w:h="16838"/>
          <w:pgMar w:top="1440" w:right="1803" w:bottom="1440" w:left="1803" w:header="652" w:footer="652" w:gutter="0"/>
          <w:pgNumType w:fmt="decimal"/>
          <w:cols w:space="0" w:num="1"/>
          <w:rtlGutter w:val="0"/>
          <w:docGrid w:type="lines" w:linePitch="332" w:charSpace="0"/>
        </w:sectPr>
      </w:pPr>
    </w:p>
    <w:p w14:paraId="2899BCE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1450" w:name="_Toc32053"/>
      <w:bookmarkStart w:id="1451" w:name="_Toc31574"/>
      <w:r>
        <w:rPr>
          <w:rFonts w:hint="eastAsia" w:ascii="宋体" w:hAnsi="宋体" w:eastAsia="宋体" w:cs="宋体"/>
          <w:b/>
          <w:bCs/>
          <w:i w:val="0"/>
          <w:iCs w:val="0"/>
          <w:color w:val="auto"/>
          <w:kern w:val="2"/>
          <w:sz w:val="24"/>
          <w:szCs w:val="24"/>
          <w:highlight w:val="none"/>
          <w:lang w:val="en-US" w:eastAsia="zh-CN" w:bidi="ar-SA"/>
        </w:rPr>
        <w:t>（六）供应商未列入失信被执行人、重大税收违法案件当事人名单、政府采购严重违法失信行为记录名单</w:t>
      </w:r>
      <w:bookmarkEnd w:id="1450"/>
      <w:bookmarkEnd w:id="1451"/>
    </w:p>
    <w:p w14:paraId="0DF2C932">
      <w:pPr>
        <w:pStyle w:val="78"/>
        <w:spacing w:line="360" w:lineRule="auto"/>
        <w:ind w:firstLine="504" w:firstLineChars="200"/>
        <w:jc w:val="left"/>
        <w:rPr>
          <w:rFonts w:hint="eastAsia" w:ascii="宋体" w:hAnsi="宋体" w:cs="宋体"/>
          <w:color w:val="auto"/>
          <w:spacing w:val="6"/>
          <w:kern w:val="0"/>
          <w:sz w:val="24"/>
          <w:szCs w:val="24"/>
          <w:highlight w:val="none"/>
        </w:rPr>
      </w:pPr>
    </w:p>
    <w:p w14:paraId="0ACD2F8E">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“信用中国”网站查询信息：</w:t>
      </w:r>
    </w:p>
    <w:p w14:paraId="2D561571">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①未被列入失信被执行人； </w:t>
      </w:r>
    </w:p>
    <w:p w14:paraId="77C6D42B">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②不是重大税收违法案件当事人名单的供应商； </w:t>
      </w:r>
    </w:p>
    <w:p w14:paraId="0C5A46E2">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③未被列入政府采购严重违法失信行为记录名单。</w:t>
      </w:r>
    </w:p>
    <w:p w14:paraId="5ACDECE8">
      <w:pPr>
        <w:pStyle w:val="78"/>
        <w:spacing w:line="360" w:lineRule="auto"/>
        <w:ind w:firstLine="504" w:firstLineChars="200"/>
        <w:jc w:val="left"/>
        <w:rPr>
          <w:rFonts w:hint="eastAsia" w:ascii="宋体" w:hAnsi="宋体" w:cs="宋体"/>
          <w:color w:val="auto"/>
          <w:spacing w:val="6"/>
          <w:kern w:val="0"/>
          <w:sz w:val="24"/>
          <w:szCs w:val="24"/>
          <w:highlight w:val="none"/>
        </w:rPr>
      </w:pPr>
    </w:p>
    <w:p w14:paraId="67FB19E7">
      <w:pPr>
        <w:pStyle w:val="78"/>
        <w:spacing w:line="360" w:lineRule="auto"/>
        <w:ind w:firstLine="504" w:firstLineChars="200"/>
        <w:jc w:val="left"/>
        <w:rPr>
          <w:rFonts w:hint="eastAsia" w:ascii="宋体" w:hAnsi="宋体" w:cs="宋体"/>
          <w:color w:val="auto"/>
          <w:spacing w:val="6"/>
          <w:kern w:val="0"/>
          <w:sz w:val="24"/>
          <w:szCs w:val="24"/>
          <w:highlight w:val="none"/>
        </w:rPr>
      </w:pPr>
    </w:p>
    <w:p w14:paraId="77537818">
      <w:pPr>
        <w:pStyle w:val="78"/>
        <w:spacing w:line="360" w:lineRule="auto"/>
        <w:ind w:firstLine="504" w:firstLineChars="200"/>
        <w:jc w:val="left"/>
        <w:rPr>
          <w:rFonts w:hint="eastAsia" w:ascii="宋体" w:hAnsi="宋体" w:cs="宋体"/>
          <w:color w:val="auto"/>
          <w:spacing w:val="6"/>
          <w:kern w:val="0"/>
          <w:sz w:val="24"/>
          <w:szCs w:val="24"/>
          <w:highlight w:val="none"/>
        </w:rPr>
      </w:pPr>
    </w:p>
    <w:p w14:paraId="610AF1FD">
      <w:pPr>
        <w:pStyle w:val="78"/>
        <w:spacing w:line="360" w:lineRule="auto"/>
        <w:ind w:firstLine="504" w:firstLineChars="200"/>
        <w:jc w:val="left"/>
        <w:rPr>
          <w:rFonts w:hint="eastAsia" w:ascii="宋体" w:hAnsi="宋体" w:eastAsia="宋体" w:cs="宋体"/>
          <w:color w:val="auto"/>
          <w:spacing w:val="6"/>
          <w:kern w:val="0"/>
          <w:sz w:val="24"/>
          <w:szCs w:val="24"/>
          <w:highlight w:val="none"/>
          <w:lang w:val="en-US" w:eastAsia="zh-CN"/>
        </w:rPr>
      </w:pPr>
      <w:r>
        <w:rPr>
          <w:rFonts w:hint="eastAsia" w:ascii="宋体" w:hAnsi="宋体" w:cs="宋体"/>
          <w:color w:val="auto"/>
          <w:spacing w:val="6"/>
          <w:kern w:val="0"/>
          <w:sz w:val="24"/>
          <w:szCs w:val="24"/>
          <w:highlight w:val="none"/>
          <w:lang w:val="en-US" w:eastAsia="zh-CN"/>
        </w:rPr>
        <w:t xml:space="preserve"> </w:t>
      </w:r>
    </w:p>
    <w:p w14:paraId="0EE0C17D">
      <w:pPr>
        <w:pStyle w:val="78"/>
        <w:spacing w:line="360" w:lineRule="auto"/>
        <w:ind w:firstLine="756" w:firstLineChars="300"/>
        <w:jc w:val="left"/>
        <w:rPr>
          <w:rFonts w:hint="eastAsia" w:ascii="宋体" w:hAnsi="宋体" w:cs="宋体"/>
          <w:color w:val="auto"/>
          <w:spacing w:val="6"/>
          <w:kern w:val="0"/>
          <w:sz w:val="24"/>
          <w:szCs w:val="24"/>
          <w:highlight w:val="none"/>
        </w:rPr>
      </w:pPr>
    </w:p>
    <w:p w14:paraId="25A3CFB9">
      <w:pPr>
        <w:pStyle w:val="78"/>
        <w:spacing w:line="360" w:lineRule="auto"/>
        <w:ind w:firstLine="756" w:firstLineChars="300"/>
        <w:jc w:val="left"/>
        <w:rPr>
          <w:rFonts w:hint="eastAsia" w:ascii="宋体" w:hAnsi="宋体" w:cs="宋体"/>
          <w:color w:val="auto"/>
          <w:spacing w:val="6"/>
          <w:kern w:val="0"/>
          <w:sz w:val="24"/>
          <w:szCs w:val="24"/>
          <w:highlight w:val="none"/>
          <w:lang w:eastAsia="zh-CN"/>
        </w:rPr>
      </w:pPr>
      <w:r>
        <w:rPr>
          <w:rFonts w:hint="eastAsia" w:ascii="宋体" w:hAnsi="宋体" w:cs="宋体"/>
          <w:color w:val="auto"/>
          <w:spacing w:val="6"/>
          <w:kern w:val="0"/>
          <w:sz w:val="24"/>
          <w:szCs w:val="24"/>
          <w:highlight w:val="none"/>
        </w:rPr>
        <w:t>“中国政府采购网”查询信息</w:t>
      </w:r>
      <w:r>
        <w:rPr>
          <w:rFonts w:hint="eastAsia" w:ascii="宋体" w:hAnsi="宋体" w:cs="宋体"/>
          <w:color w:val="auto"/>
          <w:spacing w:val="6"/>
          <w:kern w:val="0"/>
          <w:sz w:val="24"/>
          <w:szCs w:val="24"/>
          <w:highlight w:val="none"/>
          <w:lang w:eastAsia="zh-CN"/>
        </w:rPr>
        <w:t>：</w:t>
      </w:r>
    </w:p>
    <w:p w14:paraId="37E9B079">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rPr>
        <w:t>政府采购严重违法失信行为信息记录</w:t>
      </w:r>
      <w:r>
        <w:rPr>
          <w:rFonts w:hint="eastAsia" w:ascii="宋体" w:hAnsi="宋体" w:cs="宋体"/>
          <w:color w:val="auto"/>
          <w:sz w:val="24"/>
          <w:szCs w:val="24"/>
          <w:highlight w:val="none"/>
          <w:lang w:eastAsia="zh-CN"/>
        </w:rPr>
        <w:t>：</w:t>
      </w:r>
    </w:p>
    <w:p w14:paraId="1F4E790D">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282D3BE6">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33E55E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1452" w:name="_Toc109900336"/>
      <w:bookmarkStart w:id="1453" w:name="_Toc140132840"/>
      <w:bookmarkStart w:id="1454" w:name="_Toc109899917"/>
      <w:bookmarkStart w:id="1455" w:name="_Toc109899498"/>
      <w:bookmarkStart w:id="1456" w:name="_Toc163492923"/>
      <w:bookmarkStart w:id="1457" w:name="_Toc155185930"/>
      <w:bookmarkStart w:id="1458" w:name="_Toc22160"/>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1452"/>
      <w:bookmarkEnd w:id="1453"/>
      <w:bookmarkEnd w:id="1454"/>
      <w:bookmarkEnd w:id="1455"/>
      <w:bookmarkEnd w:id="1456"/>
      <w:bookmarkEnd w:id="1457"/>
      <w:bookmarkStart w:id="1459" w:name="_Toc155185931"/>
      <w:r>
        <w:rPr>
          <w:rFonts w:hint="eastAsia" w:eastAsia="宋体" w:asciiTheme="majorHAnsi" w:hAnsiTheme="majorHAnsi" w:cstheme="majorBidi"/>
          <w:b/>
          <w:bCs/>
          <w:color w:val="auto"/>
          <w:kern w:val="2"/>
          <w:sz w:val="28"/>
          <w:szCs w:val="28"/>
          <w:highlight w:val="none"/>
          <w:lang w:val="zh-CN" w:eastAsia="zh-CN" w:bidi="ar-SA"/>
        </w:rPr>
        <w:t>联合体协议书</w:t>
      </w:r>
      <w:bookmarkEnd w:id="1459"/>
      <w:r>
        <w:rPr>
          <w:rFonts w:hint="eastAsia" w:ascii="宋体" w:hAnsi="宋体" w:eastAsia="宋体" w:cstheme="minorBidi"/>
          <w:b w:val="0"/>
          <w:bCs w:val="0"/>
          <w:color w:val="auto"/>
          <w:kern w:val="2"/>
          <w:sz w:val="28"/>
          <w:szCs w:val="28"/>
          <w:highlight w:val="none"/>
          <w:lang w:val="zh-CN" w:eastAsia="zh-CN" w:bidi="ar-SA"/>
        </w:rPr>
        <w:t>【不适用可不提供】</w:t>
      </w:r>
      <w:bookmarkEnd w:id="1458"/>
    </w:p>
    <w:p w14:paraId="39563C7F">
      <w:pPr>
        <w:snapToGrid w:val="0"/>
        <w:spacing w:line="360" w:lineRule="auto"/>
        <w:jc w:val="center"/>
        <w:outlineLvl w:val="9"/>
        <w:rPr>
          <w:rFonts w:hint="eastAsia" w:ascii="宋体" w:hAnsi="宋体" w:cs="宋体"/>
          <w:b/>
          <w:color w:val="auto"/>
          <w:kern w:val="0"/>
          <w:sz w:val="32"/>
          <w:szCs w:val="32"/>
          <w:highlight w:val="none"/>
        </w:rPr>
      </w:pPr>
    </w:p>
    <w:p w14:paraId="5AAD02BD">
      <w:pPr>
        <w:snapToGrid w:val="0"/>
        <w:spacing w:line="360" w:lineRule="auto"/>
        <w:jc w:val="center"/>
        <w:outlineLvl w:val="9"/>
        <w:rPr>
          <w:rFonts w:hint="eastAsia" w:ascii="宋体" w:hAnsi="宋体" w:cs="宋体"/>
          <w:b/>
          <w:i w:val="0"/>
          <w:iCs w:val="0"/>
          <w:color w:val="auto"/>
          <w:kern w:val="0"/>
          <w:sz w:val="32"/>
          <w:szCs w:val="32"/>
          <w:highlight w:val="none"/>
        </w:rPr>
      </w:pPr>
      <w:r>
        <w:rPr>
          <w:rFonts w:hint="eastAsia" w:ascii="宋体" w:hAnsi="宋体" w:cs="宋体"/>
          <w:b/>
          <w:color w:val="auto"/>
          <w:kern w:val="0"/>
          <w:sz w:val="32"/>
          <w:szCs w:val="32"/>
          <w:highlight w:val="none"/>
        </w:rPr>
        <w:t>联合体协议书</w:t>
      </w:r>
    </w:p>
    <w:p w14:paraId="67954623">
      <w:pPr>
        <w:widowControl/>
        <w:spacing w:line="360" w:lineRule="auto"/>
        <w:ind w:firstLine="482" w:firstLineChars="200"/>
        <w:jc w:val="left"/>
        <w:rPr>
          <w:rFonts w:ascii="宋体" w:hAnsi="宋体" w:cs="宋体"/>
          <w:b/>
          <w:i w:val="0"/>
          <w:iCs w:val="0"/>
          <w:color w:val="auto"/>
          <w:sz w:val="24"/>
          <w:highlight w:val="none"/>
        </w:rPr>
      </w:pPr>
      <w:r>
        <w:rPr>
          <w:rFonts w:hint="eastAsia" w:ascii="宋体" w:hAnsi="宋体" w:cs="宋体"/>
          <w:b/>
          <w:i w:val="0"/>
          <w:iCs w:val="0"/>
          <w:color w:val="auto"/>
          <w:sz w:val="24"/>
          <w:highlight w:val="none"/>
        </w:rPr>
        <w:t>（以联合体形式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的，提供联合</w:t>
      </w:r>
      <w:r>
        <w:rPr>
          <w:rFonts w:hint="eastAsia" w:cs="宋体"/>
          <w:b/>
          <w:i w:val="0"/>
          <w:iCs w:val="0"/>
          <w:color w:val="auto"/>
          <w:sz w:val="24"/>
          <w:highlight w:val="none"/>
          <w:lang w:val="en-US" w:eastAsia="zh-CN"/>
        </w:rPr>
        <w:t>体</w:t>
      </w:r>
      <w:r>
        <w:rPr>
          <w:rFonts w:hint="eastAsia" w:ascii="宋体" w:hAnsi="宋体" w:cs="宋体"/>
          <w:b/>
          <w:i w:val="0"/>
          <w:iCs w:val="0"/>
          <w:color w:val="auto"/>
          <w:sz w:val="24"/>
          <w:highlight w:val="none"/>
        </w:rPr>
        <w:t>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；本项目不接受联合体</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或者</w:t>
      </w:r>
      <w:r>
        <w:rPr>
          <w:rFonts w:hint="eastAsia" w:cs="宋体"/>
          <w:b/>
          <w:i w:val="0"/>
          <w:iCs w:val="0"/>
          <w:color w:val="auto"/>
          <w:sz w:val="24"/>
          <w:highlight w:val="none"/>
          <w:lang w:val="en-US" w:eastAsia="zh-CN"/>
        </w:rPr>
        <w:t>供应商</w:t>
      </w:r>
      <w:r>
        <w:rPr>
          <w:rFonts w:hint="eastAsia" w:ascii="宋体" w:hAnsi="宋体" w:cs="宋体"/>
          <w:b/>
          <w:i w:val="0"/>
          <w:iCs w:val="0"/>
          <w:color w:val="auto"/>
          <w:sz w:val="24"/>
          <w:highlight w:val="none"/>
        </w:rPr>
        <w:t>不以联合体形式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的，则不需要提供）</w:t>
      </w:r>
    </w:p>
    <w:p w14:paraId="14187E6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（联合体所有成员名称）</w:t>
      </w:r>
      <w:r>
        <w:rPr>
          <w:rFonts w:hint="eastAsia" w:ascii="宋体" w:hAnsi="宋体" w:cs="宋体"/>
          <w:i w:val="0"/>
          <w:iCs w:val="0"/>
          <w:color w:val="auto"/>
          <w:kern w:val="0"/>
          <w:sz w:val="24"/>
          <w:highlight w:val="none"/>
        </w:rPr>
        <w:t>自愿</w:t>
      </w:r>
      <w:r>
        <w:rPr>
          <w:rFonts w:hint="eastAsia" w:ascii="宋体" w:hAnsi="宋体" w:cs="宋体"/>
          <w:i w:val="0"/>
          <w:iCs w:val="0"/>
          <w:color w:val="auto"/>
          <w:kern w:val="0"/>
          <w:sz w:val="24"/>
          <w:highlight w:val="none"/>
          <w:lang w:val="zh-CN"/>
        </w:rPr>
        <w:t>组成一个联合体，以一个</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的身份</w:t>
      </w:r>
      <w:r>
        <w:rPr>
          <w:rFonts w:hint="eastAsia" w:ascii="宋体" w:hAnsi="宋体" w:cs="宋体"/>
          <w:i w:val="0"/>
          <w:iCs w:val="0"/>
          <w:color w:val="auto"/>
          <w:kern w:val="0"/>
          <w:sz w:val="24"/>
          <w:highlight w:val="none"/>
        </w:rPr>
        <w:t>参加</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 xml:space="preserve">。 </w:t>
      </w:r>
    </w:p>
    <w:p w14:paraId="682E8747">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一、各方一致决定，</w:t>
      </w:r>
      <w:r>
        <w:rPr>
          <w:rFonts w:hint="eastAsia" w:ascii="宋体" w:hAnsi="宋体" w:cs="宋体"/>
          <w:i w:val="0"/>
          <w:iCs w:val="0"/>
          <w:color w:val="auto"/>
          <w:kern w:val="0"/>
          <w:sz w:val="24"/>
          <w:highlight w:val="none"/>
          <w:u w:val="single"/>
        </w:rPr>
        <w:t>（某联合体成员名称）</w:t>
      </w:r>
      <w:r>
        <w:rPr>
          <w:rFonts w:hint="eastAsia" w:ascii="宋体" w:hAnsi="宋体" w:cs="宋体"/>
          <w:i w:val="0"/>
          <w:iCs w:val="0"/>
          <w:color w:val="auto"/>
          <w:kern w:val="0"/>
          <w:sz w:val="24"/>
          <w:highlight w:val="none"/>
        </w:rPr>
        <w:t>为联合体</w:t>
      </w:r>
      <w:r>
        <w:rPr>
          <w:rFonts w:hint="eastAsia" w:ascii="宋体" w:hAnsi="宋体" w:cs="宋体"/>
          <w:i w:val="0"/>
          <w:iCs w:val="0"/>
          <w:color w:val="auto"/>
          <w:kern w:val="0"/>
          <w:sz w:val="24"/>
          <w:highlight w:val="none"/>
          <w:lang w:val="zh-CN"/>
        </w:rPr>
        <w:t>牵头人</w:t>
      </w:r>
      <w:r>
        <w:rPr>
          <w:rFonts w:hint="eastAsia" w:ascii="宋体" w:hAnsi="宋体" w:cs="宋体"/>
          <w:i w:val="0"/>
          <w:iCs w:val="0"/>
          <w:color w:val="auto"/>
          <w:sz w:val="24"/>
          <w:highlight w:val="none"/>
        </w:rPr>
        <w:t>，代表所有联合体成员负责</w:t>
      </w:r>
      <w:r>
        <w:rPr>
          <w:rFonts w:hint="eastAsia" w:cs="宋体"/>
          <w:i w:val="0"/>
          <w:iCs w:val="0"/>
          <w:color w:val="auto"/>
          <w:sz w:val="24"/>
          <w:highlight w:val="none"/>
          <w:lang w:val="en-US" w:eastAsia="zh-CN"/>
        </w:rPr>
        <w:t>磋商响应</w:t>
      </w:r>
      <w:r>
        <w:rPr>
          <w:rFonts w:hint="eastAsia" w:ascii="宋体" w:hAnsi="宋体" w:cs="宋体"/>
          <w:i w:val="0"/>
          <w:iCs w:val="0"/>
          <w:color w:val="auto"/>
          <w:sz w:val="24"/>
          <w:highlight w:val="none"/>
        </w:rPr>
        <w:t>和合同实施阶段的主办、协调工作</w:t>
      </w:r>
      <w:r>
        <w:rPr>
          <w:rFonts w:hint="eastAsia" w:ascii="宋体" w:hAnsi="宋体" w:cs="宋体"/>
          <w:i w:val="0"/>
          <w:iCs w:val="0"/>
          <w:color w:val="auto"/>
          <w:kern w:val="0"/>
          <w:sz w:val="24"/>
          <w:highlight w:val="none"/>
          <w:lang w:val="zh-CN"/>
        </w:rPr>
        <w:t>。</w:t>
      </w:r>
    </w:p>
    <w:p w14:paraId="2FA3C75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w:t>
      </w:r>
      <w:r>
        <w:rPr>
          <w:rFonts w:hint="eastAsia" w:ascii="宋体" w:hAnsi="宋体" w:cs="宋体"/>
          <w:i w:val="0"/>
          <w:iCs w:val="0"/>
          <w:color w:val="auto"/>
          <w:sz w:val="24"/>
          <w:highlight w:val="none"/>
        </w:rPr>
        <w:t>所有联合体成员各方签署授权书，授权书载明的</w:t>
      </w:r>
      <w:r>
        <w:rPr>
          <w:rFonts w:hint="eastAsia" w:ascii="宋体" w:hAnsi="宋体" w:cs="宋体"/>
          <w:i w:val="0"/>
          <w:iCs w:val="0"/>
          <w:color w:val="auto"/>
          <w:kern w:val="0"/>
          <w:sz w:val="24"/>
          <w:highlight w:val="none"/>
          <w:lang w:val="zh-CN"/>
        </w:rPr>
        <w:t>授权代表根据</w:t>
      </w:r>
      <w:r>
        <w:rPr>
          <w:rFonts w:hint="eastAsia" w:ascii="宋体" w:hAnsi="宋体" w:cs="宋体"/>
          <w:i w:val="0"/>
          <w:iCs w:val="0"/>
          <w:color w:val="auto"/>
          <w:kern w:val="0"/>
          <w:sz w:val="24"/>
          <w:highlight w:val="none"/>
          <w:lang w:val="zh-CN" w:eastAsia="zh-CN"/>
        </w:rPr>
        <w:t>竞争性磋商</w:t>
      </w:r>
      <w:r>
        <w:rPr>
          <w:rFonts w:hint="eastAsia" w:ascii="宋体" w:hAnsi="宋体" w:cs="宋体"/>
          <w:i w:val="0"/>
          <w:iCs w:val="0"/>
          <w:color w:val="auto"/>
          <w:kern w:val="0"/>
          <w:sz w:val="24"/>
          <w:highlight w:val="none"/>
          <w:lang w:val="zh-CN"/>
        </w:rPr>
        <w:t>文件规定及</w:t>
      </w:r>
      <w:r>
        <w:rPr>
          <w:rFonts w:hint="eastAsia" w:cs="宋体"/>
          <w:i w:val="0"/>
          <w:iCs w:val="0"/>
          <w:color w:val="auto"/>
          <w:kern w:val="0"/>
          <w:sz w:val="24"/>
          <w:highlight w:val="none"/>
          <w:lang w:val="en-US" w:eastAsia="zh-CN"/>
        </w:rPr>
        <w:t>响应</w:t>
      </w:r>
      <w:r>
        <w:rPr>
          <w:rFonts w:hint="eastAsia" w:ascii="宋体" w:hAnsi="宋体" w:cs="宋体"/>
          <w:i w:val="0"/>
          <w:iCs w:val="0"/>
          <w:color w:val="auto"/>
          <w:kern w:val="0"/>
          <w:sz w:val="24"/>
          <w:highlight w:val="none"/>
          <w:lang w:val="zh-CN"/>
        </w:rPr>
        <w:t>内容而对采购人、采购代理机构所作的任何合法承诺，包括书面澄清及相应等均对联合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各方产生约束力。</w:t>
      </w:r>
    </w:p>
    <w:p w14:paraId="794C756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中，分工如下：</w:t>
      </w:r>
    </w:p>
    <w:p w14:paraId="5742291A">
      <w:pPr>
        <w:snapToGrid w:val="0"/>
        <w:spacing w:line="360" w:lineRule="auto"/>
        <w:ind w:firstLine="576"/>
        <w:rPr>
          <w:rFonts w:ascii="宋体" w:hAnsi="宋体" w:cs="宋体"/>
          <w:i w:val="0"/>
          <w:iCs w:val="0"/>
          <w:color w:val="auto"/>
          <w:kern w:val="0"/>
          <w:sz w:val="24"/>
          <w:highlight w:val="none"/>
          <w:lang w:val="zh-CN"/>
        </w:rPr>
      </w:pPr>
      <w:bookmarkStart w:id="1460" w:name="_Hlk101134295"/>
      <w:r>
        <w:rPr>
          <w:rFonts w:hint="eastAsia" w:ascii="宋体" w:hAnsi="宋体" w:cs="宋体"/>
          <w:i w:val="0"/>
          <w:iCs w:val="0"/>
          <w:color w:val="auto"/>
          <w:kern w:val="0"/>
          <w:sz w:val="24"/>
          <w:highlight w:val="none"/>
          <w:u w:val="single"/>
        </w:rPr>
        <w:t>（联合体成员1）</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51F758B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2</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6E4350A6">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w:t>
      </w:r>
    </w:p>
    <w:bookmarkEnd w:id="1460"/>
    <w:p w14:paraId="417425E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i w:val="0"/>
          <w:iCs w:val="0"/>
          <w:color w:val="auto"/>
          <w:kern w:val="0"/>
          <w:sz w:val="24"/>
          <w:highlight w:val="none"/>
          <w:lang w:val="zh-CN"/>
        </w:rPr>
      </w:pPr>
      <w:r>
        <w:rPr>
          <w:rFonts w:hint="eastAsia" w:ascii="宋体" w:hAnsi="宋体" w:cs="宋体"/>
          <w:i w:val="0"/>
          <w:iCs w:val="0"/>
          <w:color w:val="auto"/>
          <w:kern w:val="0"/>
          <w:sz w:val="24"/>
          <w:highlight w:val="none"/>
          <w:lang w:val="zh-CN"/>
        </w:rPr>
        <w:t>1、</w:t>
      </w: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X,</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提供的全部</w:t>
      </w:r>
      <w:r>
        <w:rPr>
          <w:rFonts w:hint="eastAsia" w:cs="宋体"/>
          <w:i w:val="0"/>
          <w:iCs w:val="0"/>
          <w:color w:val="auto"/>
          <w:kern w:val="0"/>
          <w:sz w:val="24"/>
          <w:highlight w:val="none"/>
          <w:lang w:val="en-US" w:eastAsia="zh-CN"/>
        </w:rPr>
        <w:t>工程</w:t>
      </w:r>
      <w:r>
        <w:rPr>
          <w:rFonts w:hint="eastAsia" w:ascii="宋体" w:hAnsi="宋体" w:cs="宋体"/>
          <w:i w:val="0"/>
          <w:iCs w:val="0"/>
          <w:color w:val="auto"/>
          <w:kern w:val="0"/>
          <w:sz w:val="24"/>
          <w:highlight w:val="none"/>
        </w:rPr>
        <w:t>由小微企业</w:t>
      </w:r>
      <w:r>
        <w:rPr>
          <w:rFonts w:hint="eastAsia" w:cs="宋体"/>
          <w:i w:val="0"/>
          <w:iCs w:val="0"/>
          <w:color w:val="auto"/>
          <w:kern w:val="0"/>
          <w:sz w:val="24"/>
          <w:highlight w:val="none"/>
          <w:lang w:val="en-US" w:eastAsia="zh-CN"/>
        </w:rPr>
        <w:t>实施</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kern w:val="0"/>
          <w:sz w:val="24"/>
          <w:highlight w:val="none"/>
          <w:lang w:val="zh-CN"/>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（未预留份额专门面向中小企业采购的采购项目，以及预留份额中的非预留部分采购包，接受联合体</w:t>
      </w:r>
      <w:r>
        <w:rPr>
          <w:rFonts w:hint="eastAsia" w:ascii="宋体" w:hAnsi="宋体" w:cs="宋体"/>
          <w:b/>
          <w:i w:val="0"/>
          <w:iCs w:val="0"/>
          <w:color w:val="auto"/>
          <w:kern w:val="0"/>
          <w:sz w:val="24"/>
          <w:highlight w:val="none"/>
          <w:lang w:val="zh-CN" w:eastAsia="zh-CN"/>
        </w:rPr>
        <w:t>磋商响应</w:t>
      </w:r>
      <w:r>
        <w:rPr>
          <w:rFonts w:hint="eastAsia" w:ascii="宋体" w:hAnsi="宋体" w:cs="宋体"/>
          <w:b/>
          <w:i w:val="0"/>
          <w:iCs w:val="0"/>
          <w:color w:val="auto"/>
          <w:kern w:val="0"/>
          <w:sz w:val="24"/>
          <w:highlight w:val="none"/>
          <w:lang w:val="zh-CN"/>
        </w:rPr>
        <w:t>的，联合</w:t>
      </w:r>
      <w:r>
        <w:rPr>
          <w:rFonts w:hint="eastAsia" w:cs="宋体"/>
          <w:b/>
          <w:i w:val="0"/>
          <w:iCs w:val="0"/>
          <w:color w:val="auto"/>
          <w:kern w:val="0"/>
          <w:sz w:val="24"/>
          <w:highlight w:val="none"/>
          <w:lang w:val="en-US" w:eastAsia="zh-CN"/>
        </w:rPr>
        <w:t>体</w:t>
      </w:r>
      <w:r>
        <w:rPr>
          <w:rFonts w:hint="eastAsia" w:ascii="宋体" w:hAnsi="宋体" w:cs="宋体"/>
          <w:b/>
          <w:i w:val="0"/>
          <w:iCs w:val="0"/>
          <w:color w:val="auto"/>
          <w:kern w:val="0"/>
          <w:sz w:val="24"/>
          <w:highlight w:val="none"/>
          <w:lang w:val="zh-CN"/>
        </w:rPr>
        <w:t>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约定小微企业的合同份额占到合同总金额30%以上的，对联合体报价按评</w:t>
      </w:r>
      <w:r>
        <w:rPr>
          <w:rFonts w:hint="eastAsia" w:cs="宋体"/>
          <w:b/>
          <w:i w:val="0"/>
          <w:iCs w:val="0"/>
          <w:color w:val="auto"/>
          <w:kern w:val="0"/>
          <w:sz w:val="24"/>
          <w:highlight w:val="none"/>
          <w:lang w:val="en-US" w:eastAsia="zh-CN"/>
        </w:rPr>
        <w:t>审</w:t>
      </w:r>
      <w:r>
        <w:rPr>
          <w:rFonts w:hint="eastAsia" w:ascii="宋体" w:hAnsi="宋体" w:cs="宋体"/>
          <w:b/>
          <w:i w:val="0"/>
          <w:iCs w:val="0"/>
          <w:color w:val="auto"/>
          <w:kern w:val="0"/>
          <w:sz w:val="24"/>
          <w:highlight w:val="none"/>
          <w:lang w:val="zh-CN"/>
        </w:rPr>
        <w:t>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C0B640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sz w:val="24"/>
          <w:highlight w:val="none"/>
        </w:rPr>
        <w:t>2、中小企业合同金额达到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要求以联合体形式参加的项目或采购包，供应商按</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公告申请人的资格要求中规定的联合</w:t>
      </w:r>
      <w:r>
        <w:rPr>
          <w:rFonts w:hint="eastAsia" w:cs="宋体"/>
          <w:b/>
          <w:bCs/>
          <w:i w:val="0"/>
          <w:iCs w:val="0"/>
          <w:color w:val="auto"/>
          <w:sz w:val="24"/>
          <w:highlight w:val="none"/>
          <w:lang w:val="en-US" w:eastAsia="zh-CN"/>
        </w:rPr>
        <w:t>体</w:t>
      </w:r>
      <w:r>
        <w:rPr>
          <w:rFonts w:hint="eastAsia" w:ascii="宋体" w:hAnsi="宋体" w:cs="宋体"/>
          <w:b/>
          <w:bCs/>
          <w:i w:val="0"/>
          <w:iCs w:val="0"/>
          <w:color w:val="auto"/>
          <w:sz w:val="24"/>
          <w:highlight w:val="none"/>
        </w:rPr>
        <w:t>协议</w:t>
      </w:r>
      <w:r>
        <w:rPr>
          <w:rFonts w:hint="eastAsia" w:cs="宋体"/>
          <w:b/>
          <w:bCs/>
          <w:i w:val="0"/>
          <w:iCs w:val="0"/>
          <w:color w:val="auto"/>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p>
    <w:p w14:paraId="1EC462A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五、如果</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sz w:val="24"/>
          <w:highlight w:val="none"/>
        </w:rPr>
        <w:t>联合体各成员方共同与采购人签订</w:t>
      </w:r>
      <w:r>
        <w:rPr>
          <w:rFonts w:hint="eastAsia" w:ascii="宋体" w:hAnsi="宋体" w:cs="宋体"/>
          <w:i w:val="0"/>
          <w:iCs w:val="0"/>
          <w:color w:val="auto"/>
          <w:sz w:val="24"/>
          <w:highlight w:val="none"/>
          <w:lang w:val="en-US" w:eastAsia="zh-CN"/>
        </w:rPr>
        <w:t>采购</w:t>
      </w:r>
      <w:r>
        <w:rPr>
          <w:rFonts w:hint="eastAsia" w:ascii="宋体" w:hAnsi="宋体" w:cs="宋体"/>
          <w:i w:val="0"/>
          <w:iCs w:val="0"/>
          <w:color w:val="auto"/>
          <w:sz w:val="24"/>
          <w:highlight w:val="none"/>
        </w:rPr>
        <w:t>合同，并就采购合同约定的事项对采购人承担连带责任。</w:t>
      </w:r>
    </w:p>
    <w:p w14:paraId="0B6A82F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六、有关本次联合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的其他事宜：</w:t>
      </w:r>
    </w:p>
    <w:p w14:paraId="518CE91A">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1、联合体各方不再单独参加或者与其他供应商另外组成联合体参加同一合同项下的政府采购活动。</w:t>
      </w:r>
    </w:p>
    <w:p w14:paraId="23C062C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2、联合体中有同类资质的各方按照联合体分工承担相同工作的，按照资质等级较低的供应商确定资质等级。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4、</w:t>
      </w:r>
      <w:r>
        <w:rPr>
          <w:rFonts w:hint="eastAsia" w:ascii="宋体" w:hAnsi="宋体" w:cs="宋体"/>
          <w:i w:val="0"/>
          <w:iCs w:val="0"/>
          <w:color w:val="auto"/>
          <w:kern w:val="0"/>
          <w:sz w:val="24"/>
          <w:highlight w:val="none"/>
          <w:lang w:val="zh-CN"/>
        </w:rPr>
        <w:t>其他：……</w:t>
      </w:r>
    </w:p>
    <w:p w14:paraId="43009373">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5、</w:t>
      </w:r>
      <w:r>
        <w:rPr>
          <w:rFonts w:hint="eastAsia" w:ascii="宋体" w:hAnsi="宋体" w:cs="宋体"/>
          <w:i w:val="0"/>
          <w:iCs w:val="0"/>
          <w:color w:val="auto"/>
          <w:kern w:val="0"/>
          <w:sz w:val="24"/>
          <w:highlight w:val="none"/>
          <w:lang w:val="zh-CN"/>
        </w:rPr>
        <w:t>本协议书自签署之日起生效，若未</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，自本</w:t>
      </w:r>
      <w:r>
        <w:rPr>
          <w:rFonts w:hint="eastAsia" w:cs="宋体"/>
          <w:i w:val="0"/>
          <w:iCs w:val="0"/>
          <w:color w:val="auto"/>
          <w:kern w:val="0"/>
          <w:sz w:val="24"/>
          <w:highlight w:val="none"/>
          <w:lang w:val="en-US" w:eastAsia="zh-CN"/>
        </w:rPr>
        <w:t>响应文件</w:t>
      </w:r>
      <w:r>
        <w:rPr>
          <w:rFonts w:hint="eastAsia" w:ascii="宋体" w:hAnsi="宋体" w:cs="宋体"/>
          <w:i w:val="0"/>
          <w:iCs w:val="0"/>
          <w:color w:val="auto"/>
          <w:kern w:val="0"/>
          <w:sz w:val="24"/>
          <w:highlight w:val="none"/>
          <w:lang w:val="zh-CN"/>
        </w:rPr>
        <w:t>有效期结束后自行失效；若</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，自合同书规定的期限之后自行失效。</w:t>
      </w:r>
    </w:p>
    <w:p w14:paraId="580F475F">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6、</w:t>
      </w:r>
      <w:r>
        <w:rPr>
          <w:rFonts w:hint="eastAsia" w:ascii="宋体" w:hAnsi="宋体" w:cs="宋体"/>
          <w:i w:val="0"/>
          <w:iCs w:val="0"/>
          <w:color w:val="auto"/>
          <w:kern w:val="0"/>
          <w:sz w:val="24"/>
          <w:highlight w:val="none"/>
          <w:lang w:val="zh-CN"/>
        </w:rPr>
        <w:t>本协议书正本一式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份；副本一式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w:t>
      </w:r>
    </w:p>
    <w:p w14:paraId="1797DC92">
      <w:pPr>
        <w:outlineLvl w:val="9"/>
        <w:rPr>
          <w:i w:val="0"/>
          <w:iCs w:val="0"/>
          <w:color w:val="auto"/>
          <w:highlight w:val="none"/>
          <w:lang w:val="zh-CN"/>
        </w:rPr>
      </w:pPr>
    </w:p>
    <w:p w14:paraId="6A1B5B57">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1</w:t>
      </w:r>
      <w:r>
        <w:rPr>
          <w:rFonts w:hint="eastAsia" w:ascii="宋体" w:hAnsi="宋体" w:cs="宋体"/>
          <w:i w:val="0"/>
          <w:iCs w:val="0"/>
          <w:color w:val="auto"/>
          <w:kern w:val="0"/>
          <w:sz w:val="24"/>
          <w:highlight w:val="none"/>
          <w:lang w:val="zh-CN"/>
        </w:rPr>
        <w:t>名称(公章)：</w:t>
      </w:r>
    </w:p>
    <w:p w14:paraId="21DBA726">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2</w:t>
      </w:r>
      <w:r>
        <w:rPr>
          <w:rFonts w:hint="eastAsia" w:ascii="宋体" w:hAnsi="宋体" w:cs="宋体"/>
          <w:i w:val="0"/>
          <w:iCs w:val="0"/>
          <w:color w:val="auto"/>
          <w:kern w:val="0"/>
          <w:sz w:val="24"/>
          <w:highlight w:val="none"/>
          <w:lang w:val="zh-CN"/>
        </w:rPr>
        <w:t>名称(公章)：</w:t>
      </w:r>
    </w:p>
    <w:p w14:paraId="2C01AA77">
      <w:pPr>
        <w:snapToGrid w:val="0"/>
        <w:spacing w:line="360" w:lineRule="auto"/>
        <w:ind w:right="960"/>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p>
    <w:p w14:paraId="64D03F6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日期：  年  月   日</w:t>
      </w:r>
    </w:p>
    <w:p w14:paraId="69BB115A">
      <w:pPr>
        <w:spacing w:line="360" w:lineRule="auto"/>
        <w:ind w:right="420"/>
        <w:rPr>
          <w:rFonts w:ascii="宋体" w:hAnsi="宋体" w:cs="宋体"/>
          <w:i w:val="0"/>
          <w:iCs w:val="0"/>
          <w:color w:val="auto"/>
          <w:sz w:val="21"/>
          <w:szCs w:val="21"/>
          <w:highlight w:val="none"/>
        </w:rPr>
      </w:pPr>
      <w:r>
        <w:rPr>
          <w:rFonts w:hint="eastAsia" w:ascii="宋体" w:hAnsi="宋体" w:cs="宋体"/>
          <w:i w:val="0"/>
          <w:iCs w:val="0"/>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i w:val="0"/>
          <w:iCs w:val="0"/>
          <w:color w:val="auto"/>
          <w:highlight w:val="none"/>
          <w:u w:val="single"/>
        </w:rPr>
      </w:pPr>
      <w:r>
        <w:rPr>
          <w:rFonts w:cs="Tahoma"/>
          <w:i w:val="0"/>
          <w:iCs w:val="0"/>
          <w:color w:val="auto"/>
          <w:highlight w:val="none"/>
          <w:u w:val="single"/>
        </w:rPr>
        <w:br w:type="page"/>
      </w:r>
    </w:p>
    <w:p w14:paraId="7512156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1461" w:name="_Toc27433"/>
      <w:bookmarkStart w:id="1462" w:name="_Toc156490356"/>
      <w:bookmarkStart w:id="1463" w:name="_Toc162299566"/>
      <w:bookmarkStart w:id="1464" w:name="_Hlk101169080"/>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【不适用可不提供】</w:t>
      </w:r>
      <w:bookmarkEnd w:id="1461"/>
      <w:bookmarkEnd w:id="1462"/>
      <w:bookmarkEnd w:id="1463"/>
    </w:p>
    <w:p w14:paraId="72EF9FB2">
      <w:pPr>
        <w:snapToGrid w:val="0"/>
        <w:spacing w:line="360" w:lineRule="auto"/>
        <w:jc w:val="center"/>
        <w:outlineLvl w:val="9"/>
        <w:rPr>
          <w:rFonts w:hint="eastAsia" w:ascii="宋体" w:hAnsi="宋体" w:cs="宋体"/>
          <w:b/>
          <w:color w:val="auto"/>
          <w:kern w:val="0"/>
          <w:sz w:val="32"/>
          <w:szCs w:val="32"/>
          <w:highlight w:val="none"/>
        </w:rPr>
      </w:pPr>
    </w:p>
    <w:p w14:paraId="14324193">
      <w:pPr>
        <w:snapToGrid w:val="0"/>
        <w:spacing w:line="360" w:lineRule="auto"/>
        <w:jc w:val="center"/>
        <w:outlineLvl w:val="9"/>
        <w:rPr>
          <w:rFonts w:hint="eastAsia" w:ascii="宋体" w:hAnsi="宋体" w:eastAsia="宋体" w:cs="宋体"/>
          <w:b/>
          <w:i w:val="0"/>
          <w:iCs w:val="0"/>
          <w:color w:val="auto"/>
          <w:kern w:val="0"/>
          <w:sz w:val="32"/>
          <w:szCs w:val="32"/>
          <w:highlight w:val="none"/>
          <w:lang w:val="en-US" w:eastAsia="zh-CN"/>
        </w:rPr>
      </w:pPr>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p>
    <w:p w14:paraId="4E9F0BF4">
      <w:pPr>
        <w:widowControl/>
        <w:spacing w:line="360" w:lineRule="auto"/>
        <w:ind w:firstLine="120" w:firstLineChars="50"/>
        <w:jc w:val="left"/>
        <w:rPr>
          <w:rFonts w:ascii="宋体" w:hAnsi="宋体" w:cs="宋体"/>
          <w:i w:val="0"/>
          <w:iCs w:val="0"/>
          <w:color w:val="auto"/>
          <w:sz w:val="24"/>
          <w:highlight w:val="none"/>
        </w:rPr>
      </w:pPr>
      <w:r>
        <w:rPr>
          <w:rFonts w:hint="eastAsia" w:ascii="宋体" w:hAnsi="宋体" w:cs="宋体"/>
          <w:i w:val="0"/>
          <w:iCs w:val="0"/>
          <w:color w:val="auto"/>
          <w:sz w:val="24"/>
          <w:highlight w:val="none"/>
        </w:rPr>
        <w:t>（</w:t>
      </w:r>
      <w:r>
        <w:rPr>
          <w:rFonts w:hint="eastAsia" w:cs="宋体"/>
          <w:b/>
          <w:i w:val="0"/>
          <w:iCs w:val="0"/>
          <w:color w:val="auto"/>
          <w:sz w:val="24"/>
          <w:highlight w:val="none"/>
          <w:lang w:val="en-US" w:eastAsia="zh-CN"/>
        </w:rPr>
        <w:t>成交</w:t>
      </w:r>
      <w:r>
        <w:rPr>
          <w:rFonts w:hint="eastAsia" w:ascii="宋体" w:hAnsi="宋体" w:cs="宋体"/>
          <w:b/>
          <w:i w:val="0"/>
          <w:iCs w:val="0"/>
          <w:color w:val="auto"/>
          <w:sz w:val="24"/>
          <w:highlight w:val="none"/>
        </w:rPr>
        <w:t>后以分包方式履行合同的，提供分包意向协议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；采购人不同意分包或者</w:t>
      </w:r>
      <w:r>
        <w:rPr>
          <w:rFonts w:hint="eastAsia" w:cs="宋体"/>
          <w:b/>
          <w:i w:val="0"/>
          <w:iCs w:val="0"/>
          <w:color w:val="auto"/>
          <w:sz w:val="24"/>
          <w:highlight w:val="none"/>
          <w:lang w:val="en-US" w:eastAsia="zh-CN"/>
        </w:rPr>
        <w:t>供应商成交</w:t>
      </w:r>
      <w:r>
        <w:rPr>
          <w:rFonts w:hint="eastAsia" w:ascii="宋体" w:hAnsi="宋体" w:cs="宋体"/>
          <w:b/>
          <w:i w:val="0"/>
          <w:iCs w:val="0"/>
          <w:color w:val="auto"/>
          <w:sz w:val="24"/>
          <w:highlight w:val="none"/>
        </w:rPr>
        <w:t>后不以分包方式履行合同的，则不需要提供。</w:t>
      </w:r>
      <w:r>
        <w:rPr>
          <w:rFonts w:hint="eastAsia" w:ascii="宋体" w:hAnsi="宋体" w:cs="宋体"/>
          <w:i w:val="0"/>
          <w:iCs w:val="0"/>
          <w:color w:val="auto"/>
          <w:sz w:val="24"/>
          <w:highlight w:val="none"/>
        </w:rPr>
        <w:t>）</w:t>
      </w:r>
    </w:p>
    <w:p w14:paraId="5791A45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若成为</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的</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供应商，将依法采取分包方式履行合同。</w:t>
      </w: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rPr>
        <w:t>与</w:t>
      </w:r>
      <w:r>
        <w:rPr>
          <w:rFonts w:hint="eastAsia" w:ascii="宋体" w:hAnsi="宋体" w:cs="宋体"/>
          <w:i w:val="0"/>
          <w:iCs w:val="0"/>
          <w:color w:val="auto"/>
          <w:kern w:val="0"/>
          <w:sz w:val="24"/>
          <w:highlight w:val="none"/>
          <w:u w:val="single"/>
        </w:rPr>
        <w:t>（所有分包供应商名称）</w:t>
      </w:r>
      <w:r>
        <w:rPr>
          <w:rFonts w:hint="eastAsia" w:ascii="宋体" w:hAnsi="宋体" w:cs="宋体"/>
          <w:i w:val="0"/>
          <w:iCs w:val="0"/>
          <w:color w:val="auto"/>
          <w:kern w:val="0"/>
          <w:sz w:val="24"/>
          <w:highlight w:val="none"/>
        </w:rPr>
        <w:t>达成分包意向协议</w:t>
      </w:r>
      <w:r>
        <w:rPr>
          <w:rFonts w:hint="eastAsia" w:cs="宋体"/>
          <w:i w:val="0"/>
          <w:iCs w:val="0"/>
          <w:color w:val="auto"/>
          <w:kern w:val="0"/>
          <w:sz w:val="24"/>
          <w:highlight w:val="none"/>
          <w:lang w:val="en-US" w:eastAsia="zh-CN"/>
        </w:rPr>
        <w:t>书</w:t>
      </w:r>
      <w:r>
        <w:rPr>
          <w:rFonts w:hint="eastAsia" w:ascii="宋体" w:hAnsi="宋体" w:cs="宋体"/>
          <w:i w:val="0"/>
          <w:iCs w:val="0"/>
          <w:color w:val="auto"/>
          <w:kern w:val="0"/>
          <w:sz w:val="24"/>
          <w:highlight w:val="none"/>
          <w:lang w:val="zh-CN"/>
        </w:rPr>
        <w:t xml:space="preserve">。 </w:t>
      </w:r>
    </w:p>
    <w:p w14:paraId="545E90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一、分包标的及数量</w:t>
      </w:r>
    </w:p>
    <w:p w14:paraId="5E087378">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将</w:t>
      </w:r>
      <w:r>
        <w:rPr>
          <w:rFonts w:hint="eastAsia" w:ascii="宋体" w:hAnsi="宋体" w:cs="宋体"/>
          <w:i w:val="0"/>
          <w:iCs w:val="0"/>
          <w:color w:val="auto"/>
          <w:highlight w:val="none"/>
          <w:u w:val="single"/>
        </w:rPr>
        <w:t xml:space="preserve"> </w:t>
      </w:r>
      <w:r>
        <w:rPr>
          <w:rFonts w:ascii="宋体" w:hAnsi="宋体" w:cs="宋体"/>
          <w:i w:val="0"/>
          <w:iCs w:val="0"/>
          <w:color w:val="auto"/>
          <w:kern w:val="0"/>
          <w:sz w:val="24"/>
          <w:highlight w:val="none"/>
          <w:u w:val="single"/>
        </w:rPr>
        <w:t xml:space="preserve">  XX工作内容   </w:t>
      </w:r>
      <w:r>
        <w:rPr>
          <w:rFonts w:hint="eastAsia" w:ascii="宋体" w:hAnsi="宋体" w:cs="宋体"/>
          <w:i w:val="0"/>
          <w:iCs w:val="0"/>
          <w:color w:val="auto"/>
          <w:sz w:val="24"/>
          <w:highlight w:val="none"/>
        </w:rPr>
        <w:t>分包给</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具备承</w:t>
      </w:r>
      <w:r>
        <w:rPr>
          <w:rFonts w:hint="eastAsia" w:ascii="宋体" w:hAnsi="宋体" w:cs="宋体"/>
          <w:i w:val="0"/>
          <w:iCs w:val="0"/>
          <w:color w:val="auto"/>
          <w:kern w:val="0"/>
          <w:sz w:val="24"/>
          <w:highlight w:val="none"/>
        </w:rPr>
        <w:t>担</w:t>
      </w:r>
      <w:r>
        <w:rPr>
          <w:rFonts w:hint="eastAsia" w:ascii="宋体" w:hAnsi="宋体" w:cs="宋体"/>
          <w:i w:val="0"/>
          <w:iCs w:val="0"/>
          <w:color w:val="auto"/>
          <w:kern w:val="0"/>
          <w:sz w:val="24"/>
          <w:highlight w:val="none"/>
          <w:u w:val="single"/>
          <w:lang w:val="zh-CN"/>
        </w:rPr>
        <w:t>XX工作内容</w:t>
      </w:r>
      <w:r>
        <w:rPr>
          <w:rFonts w:hint="eastAsia" w:ascii="宋体" w:hAnsi="宋体" w:cs="宋体"/>
          <w:i w:val="0"/>
          <w:iCs w:val="0"/>
          <w:color w:val="auto"/>
          <w:kern w:val="0"/>
          <w:sz w:val="24"/>
          <w:highlight w:val="none"/>
          <w:lang w:val="zh-CN"/>
        </w:rPr>
        <w:t>相应资质条件且不得再次分包；</w:t>
      </w:r>
    </w:p>
    <w:p w14:paraId="37B916C5">
      <w:pPr>
        <w:tabs>
          <w:tab w:val="left" w:pos="432"/>
        </w:tabs>
        <w:ind w:left="758" w:leftChars="316" w:firstLine="228" w:firstLineChars="95"/>
        <w:outlineLvl w:val="9"/>
        <w:rPr>
          <w:rFonts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w:t>
      </w:r>
    </w:p>
    <w:p w14:paraId="0426889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i w:val="0"/>
          <w:iCs w:val="0"/>
          <w:color w:val="auto"/>
          <w:kern w:val="0"/>
          <w:sz w:val="24"/>
          <w:highlight w:val="none"/>
          <w:lang w:val="zh-CN"/>
        </w:rPr>
      </w:pPr>
      <w:r>
        <w:rPr>
          <w:rFonts w:ascii="宋体" w:hAnsi="宋体" w:cs="宋体"/>
          <w:i w:val="0"/>
          <w:iCs w:val="0"/>
          <w:color w:val="auto"/>
          <w:kern w:val="0"/>
          <w:sz w:val="24"/>
          <w:highlight w:val="none"/>
        </w:rPr>
        <w:t>1、</w:t>
      </w:r>
      <w:r>
        <w:rPr>
          <w:rFonts w:hint="eastAsia" w:ascii="宋体" w:hAnsi="宋体" w:cs="宋体"/>
          <w:i w:val="0"/>
          <w:iCs w:val="0"/>
          <w:color w:val="auto"/>
          <w:kern w:val="0"/>
          <w:sz w:val="24"/>
          <w:highlight w:val="none"/>
          <w:u w:val="single"/>
        </w:rPr>
        <w:t>（分包供应商X</w:t>
      </w:r>
      <w:r>
        <w:rPr>
          <w:rFonts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rPr>
        <w:t>……）提供的</w:t>
      </w:r>
      <w:r>
        <w:rPr>
          <w:rFonts w:hint="eastAsia" w:cs="宋体"/>
          <w:i w:val="0"/>
          <w:iCs w:val="0"/>
          <w:color w:val="auto"/>
          <w:kern w:val="0"/>
          <w:sz w:val="24"/>
          <w:highlight w:val="none"/>
          <w:u w:val="single"/>
          <w:lang w:val="en-US" w:eastAsia="zh-CN"/>
        </w:rPr>
        <w:t>工程</w:t>
      </w:r>
      <w:r>
        <w:rPr>
          <w:rFonts w:hint="eastAsia" w:ascii="宋体" w:hAnsi="宋体" w:cs="宋体"/>
          <w:i w:val="0"/>
          <w:iCs w:val="0"/>
          <w:color w:val="auto"/>
          <w:kern w:val="0"/>
          <w:sz w:val="24"/>
          <w:highlight w:val="none"/>
          <w:u w:val="single"/>
        </w:rPr>
        <w:t>全部由小微企业</w:t>
      </w:r>
      <w:r>
        <w:rPr>
          <w:rFonts w:hint="eastAsia" w:cs="宋体"/>
          <w:i w:val="0"/>
          <w:iCs w:val="0"/>
          <w:color w:val="auto"/>
          <w:kern w:val="0"/>
          <w:sz w:val="24"/>
          <w:highlight w:val="none"/>
          <w:u w:val="single"/>
          <w:lang w:val="en-US" w:eastAsia="zh-CN"/>
        </w:rPr>
        <w:t>实施</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highlight w:val="none"/>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（未预留份额专门面向中小企业采购的采购项目，以及预留份额中的非预留部分采购包，允许分包的，分包意向协议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45FF207">
      <w:pPr>
        <w:spacing w:line="360" w:lineRule="auto"/>
        <w:ind w:firstLine="480" w:firstLineChars="200"/>
        <w:rPr>
          <w:rFonts w:ascii="宋体" w:hAnsi="宋体" w:cs="宋体"/>
          <w:b/>
          <w:bCs/>
          <w:i w:val="0"/>
          <w:iCs w:val="0"/>
          <w:color w:val="auto"/>
          <w:kern w:val="0"/>
          <w:sz w:val="24"/>
          <w:highlight w:val="none"/>
          <w:lang w:val="zh-CN"/>
        </w:rPr>
      </w:pPr>
      <w:r>
        <w:rPr>
          <w:rFonts w:hint="eastAsia" w:ascii="宋体" w:hAnsi="宋体" w:cs="宋体"/>
          <w:i w:val="0"/>
          <w:iCs w:val="0"/>
          <w:color w:val="auto"/>
          <w:sz w:val="24"/>
          <w:highlight w:val="none"/>
        </w:rPr>
        <w:t>2、</w:t>
      </w:r>
      <w:bookmarkStart w:id="1465" w:name="_Hlk101133173"/>
      <w:r>
        <w:rPr>
          <w:rFonts w:hint="eastAsia" w:ascii="宋体" w:hAnsi="宋体" w:cs="宋体"/>
          <w:i w:val="0"/>
          <w:iCs w:val="0"/>
          <w:color w:val="auto"/>
          <w:sz w:val="24"/>
          <w:highlight w:val="none"/>
        </w:rPr>
        <w:t>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要求合同分包形式参加的项目或采购包，供应商按招标文件第一部分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w:t>
      </w:r>
      <w:r>
        <w:rPr>
          <w:rFonts w:hint="eastAsia" w:ascii="宋体" w:hAnsi="宋体" w:cs="宋体"/>
          <w:b/>
          <w:i w:val="0"/>
          <w:iCs w:val="0"/>
          <w:color w:val="auto"/>
          <w:kern w:val="0"/>
          <w:sz w:val="24"/>
          <w:highlight w:val="none"/>
          <w:lang w:val="zh-CN"/>
        </w:rPr>
        <w:t>分包意向协议</w:t>
      </w:r>
      <w:r>
        <w:rPr>
          <w:rFonts w:hint="eastAsia" w:cs="宋体"/>
          <w:b/>
          <w:i w:val="0"/>
          <w:iCs w:val="0"/>
          <w:color w:val="auto"/>
          <w:kern w:val="0"/>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bookmarkEnd w:id="1465"/>
    </w:p>
    <w:p w14:paraId="51C56E7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三、分包工作履行期限、地点、方式</w:t>
      </w:r>
    </w:p>
    <w:p w14:paraId="7F26E4A3">
      <w:pPr>
        <w:snapToGrid w:val="0"/>
        <w:spacing w:line="360" w:lineRule="auto"/>
        <w:ind w:firstLine="576"/>
        <w:rPr>
          <w:rFonts w:ascii="宋体" w:hAnsi="宋体" w:cs="宋体"/>
          <w:i w:val="0"/>
          <w:iCs w:val="0"/>
          <w:color w:val="auto"/>
          <w:highlight w:val="none"/>
          <w:u w:val="single"/>
        </w:rPr>
      </w:pPr>
      <w:r>
        <w:rPr>
          <w:rFonts w:hint="eastAsia" w:ascii="宋体" w:hAnsi="宋体" w:cs="宋体"/>
          <w:i w:val="0"/>
          <w:iCs w:val="0"/>
          <w:color w:val="auto"/>
          <w:highlight w:val="none"/>
          <w:u w:val="single"/>
        </w:rPr>
        <w:t xml:space="preserve">                                                                                  </w:t>
      </w:r>
    </w:p>
    <w:p w14:paraId="7925029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四、质量</w:t>
      </w:r>
    </w:p>
    <w:p w14:paraId="7369B1B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E7AB09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五、价款或者报酬</w:t>
      </w:r>
    </w:p>
    <w:p w14:paraId="632B92C8">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C79FAF7">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六、违约责任</w:t>
      </w:r>
    </w:p>
    <w:p w14:paraId="17F77B9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2CBB9BB">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七、争议解决的办法</w:t>
      </w:r>
    </w:p>
    <w:p w14:paraId="5D83C45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A9066DF">
      <w:pPr>
        <w:snapToGrid w:val="0"/>
        <w:spacing w:line="360" w:lineRule="auto"/>
        <w:ind w:left="5861" w:leftChars="342" w:hanging="5040" w:hangingChars="21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名称(</w:t>
      </w:r>
      <w:r>
        <w:rPr>
          <w:rFonts w:hint="eastAsia" w:cs="宋体"/>
          <w:i w:val="0"/>
          <w:iCs w:val="0"/>
          <w:color w:val="auto"/>
          <w:kern w:val="0"/>
          <w:sz w:val="24"/>
          <w:highlight w:val="none"/>
          <w:lang w:val="en-US" w:eastAsia="zh-CN"/>
        </w:rPr>
        <w:t>公章</w:t>
      </w:r>
      <w:r>
        <w:rPr>
          <w:rFonts w:hint="eastAsia" w:ascii="宋体" w:hAnsi="宋体" w:cs="宋体"/>
          <w:i w:val="0"/>
          <w:iCs w:val="0"/>
          <w:color w:val="auto"/>
          <w:kern w:val="0"/>
          <w:sz w:val="24"/>
          <w:highlight w:val="none"/>
          <w:lang w:val="zh-CN"/>
        </w:rPr>
        <w:t>)：</w:t>
      </w:r>
    </w:p>
    <w:p w14:paraId="665C464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分包供应商名称(公章)：</w:t>
      </w:r>
    </w:p>
    <w:p w14:paraId="102F6BD9">
      <w:pPr>
        <w:snapToGrid w:val="0"/>
        <w:spacing w:line="360" w:lineRule="auto"/>
        <w:ind w:firstLine="5760" w:firstLineChars="2400"/>
        <w:rPr>
          <w:rFonts w:ascii="宋体" w:hAnsi="宋体" w:cs="宋体"/>
          <w:i w:val="0"/>
          <w:iCs w:val="0"/>
          <w:color w:val="auto"/>
          <w:highlight w:val="none"/>
        </w:rPr>
      </w:pPr>
      <w:r>
        <w:rPr>
          <w:rFonts w:hint="eastAsia" w:ascii="宋体" w:hAnsi="宋体" w:cs="宋体"/>
          <w:i w:val="0"/>
          <w:iCs w:val="0"/>
          <w:color w:val="auto"/>
          <w:kern w:val="0"/>
          <w:sz w:val="24"/>
          <w:highlight w:val="none"/>
          <w:lang w:val="zh-CN"/>
        </w:rPr>
        <w:t>……</w:t>
      </w:r>
    </w:p>
    <w:p w14:paraId="22C38D7A">
      <w:pPr>
        <w:spacing w:line="360" w:lineRule="auto"/>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日期：  年  月   日</w:t>
      </w:r>
    </w:p>
    <w:p w14:paraId="49A2F910">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7F0D76CC">
      <w:pPr>
        <w:topLinePunct/>
        <w:ind w:firstLine="480" w:firstLineChars="200"/>
        <w:rPr>
          <w:rFonts w:hint="eastAsia"/>
          <w:i w:val="0"/>
          <w:iCs w:val="0"/>
          <w:color w:val="auto"/>
          <w:szCs w:val="32"/>
          <w:highlight w:val="none"/>
        </w:rPr>
      </w:pPr>
    </w:p>
    <w:p w14:paraId="5F400CB9">
      <w:pPr>
        <w:topLinePunct/>
        <w:ind w:firstLine="480" w:firstLineChars="200"/>
        <w:rPr>
          <w:rFonts w:hint="eastAsia"/>
          <w:i w:val="0"/>
          <w:iCs w:val="0"/>
          <w:color w:val="auto"/>
          <w:szCs w:val="32"/>
          <w:highlight w:val="none"/>
        </w:rPr>
      </w:pPr>
    </w:p>
    <w:p w14:paraId="11CAF290">
      <w:pPr>
        <w:topLinePunct/>
        <w:ind w:firstLine="480" w:firstLineChars="200"/>
        <w:rPr>
          <w:rFonts w:hint="eastAsia"/>
          <w:i w:val="0"/>
          <w:iCs w:val="0"/>
          <w:color w:val="auto"/>
          <w:szCs w:val="32"/>
          <w:highlight w:val="none"/>
        </w:rPr>
      </w:pPr>
    </w:p>
    <w:p w14:paraId="35CFE103">
      <w:pPr>
        <w:topLinePunct/>
        <w:ind w:firstLine="480" w:firstLineChars="200"/>
        <w:rPr>
          <w:rFonts w:hint="eastAsia"/>
          <w:i w:val="0"/>
          <w:iCs w:val="0"/>
          <w:color w:val="auto"/>
          <w:szCs w:val="32"/>
          <w:highlight w:val="none"/>
        </w:rPr>
      </w:pPr>
    </w:p>
    <w:bookmarkEnd w:id="1464"/>
    <w:p w14:paraId="5775F461">
      <w:pPr>
        <w:ind w:left="2520" w:leftChars="1050"/>
        <w:rPr>
          <w:i w:val="0"/>
          <w:iCs w:val="0"/>
          <w:color w:val="auto"/>
          <w:highlight w:val="none"/>
        </w:rPr>
      </w:pPr>
      <w:r>
        <w:rPr>
          <w:rFonts w:cs="Courier New"/>
          <w:i w:val="0"/>
          <w:iCs w:val="0"/>
          <w:color w:val="auto"/>
          <w:szCs w:val="24"/>
          <w:highlight w:val="none"/>
        </w:rPr>
        <w:br w:type="page"/>
      </w:r>
    </w:p>
    <w:p w14:paraId="27442EE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466" w:name="_Toc163492926"/>
      <w:bookmarkStart w:id="1467" w:name="_Toc155185932"/>
      <w:bookmarkStart w:id="1468" w:name="_Toc22190"/>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1466"/>
      <w:bookmarkEnd w:id="1467"/>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1468"/>
    </w:p>
    <w:p w14:paraId="0BDCE4AB">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69" w:name="_Toc163492938"/>
      <w:bookmarkStart w:id="1470" w:name="_Toc11173"/>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w:t>
      </w:r>
      <w:r>
        <w:rPr>
          <w:rFonts w:hint="eastAsia" w:cs="宋体"/>
          <w:b w:val="0"/>
          <w:bCs w:val="0"/>
          <w:i w:val="0"/>
          <w:iCs w:val="0"/>
          <w:color w:val="auto"/>
          <w:kern w:val="2"/>
          <w:sz w:val="24"/>
          <w:szCs w:val="24"/>
          <w:highlight w:val="none"/>
          <w:lang w:val="en-US" w:eastAsia="zh-CN" w:bidi="ar-SA"/>
        </w:rPr>
        <w:t>不适用可不提供</w:t>
      </w:r>
      <w:r>
        <w:rPr>
          <w:rFonts w:hint="eastAsia" w:ascii="宋体" w:hAnsi="宋体" w:eastAsia="宋体" w:cs="宋体"/>
          <w:b w:val="0"/>
          <w:bCs w:val="0"/>
          <w:color w:val="auto"/>
          <w:kern w:val="2"/>
          <w:sz w:val="24"/>
          <w:szCs w:val="24"/>
          <w:highlight w:val="none"/>
          <w:lang w:val="en-US" w:eastAsia="zh-CN" w:bidi="ar-SA"/>
        </w:rPr>
        <w:t>】</w:t>
      </w:r>
      <w:bookmarkEnd w:id="1469"/>
      <w:bookmarkEnd w:id="1470"/>
    </w:p>
    <w:p w14:paraId="738C7A23">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74728550">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D7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FCF36A0">
            <w:pPr>
              <w:pStyle w:val="50"/>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54C6998">
            <w:pPr>
              <w:pStyle w:val="50"/>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BB5F633">
            <w:pPr>
              <w:pStyle w:val="50"/>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5539A93">
            <w:pPr>
              <w:pStyle w:val="50"/>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EEF99">
            <w:pPr>
              <w:pStyle w:val="50"/>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F9D9ED4">
            <w:pPr>
              <w:pStyle w:val="50"/>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6E5422B">
            <w:pPr>
              <w:pStyle w:val="50"/>
              <w:jc w:val="center"/>
              <w:rPr>
                <w:color w:val="auto"/>
                <w:sz w:val="21"/>
                <w:szCs w:val="21"/>
                <w:highlight w:val="none"/>
              </w:rPr>
            </w:pPr>
            <w:r>
              <w:rPr>
                <w:rFonts w:hint="eastAsia"/>
                <w:color w:val="auto"/>
                <w:sz w:val="21"/>
                <w:szCs w:val="21"/>
                <w:highlight w:val="none"/>
              </w:rPr>
              <w:t>单价</w:t>
            </w:r>
          </w:p>
          <w:p w14:paraId="4D8AC9C4">
            <w:pPr>
              <w:pStyle w:val="50"/>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14FB4B3">
            <w:pPr>
              <w:pStyle w:val="50"/>
              <w:jc w:val="center"/>
              <w:rPr>
                <w:color w:val="auto"/>
                <w:sz w:val="21"/>
                <w:szCs w:val="21"/>
                <w:highlight w:val="none"/>
              </w:rPr>
            </w:pPr>
            <w:r>
              <w:rPr>
                <w:rFonts w:hint="eastAsia"/>
                <w:color w:val="auto"/>
                <w:sz w:val="21"/>
                <w:szCs w:val="21"/>
                <w:highlight w:val="none"/>
              </w:rPr>
              <w:t>总价</w:t>
            </w:r>
          </w:p>
          <w:p w14:paraId="4637FB3E">
            <w:pPr>
              <w:pStyle w:val="50"/>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D113D7A">
            <w:pPr>
              <w:pStyle w:val="50"/>
              <w:jc w:val="center"/>
              <w:rPr>
                <w:color w:val="auto"/>
                <w:sz w:val="21"/>
                <w:szCs w:val="21"/>
                <w:highlight w:val="none"/>
              </w:rPr>
            </w:pPr>
            <w:r>
              <w:rPr>
                <w:rFonts w:hint="eastAsia"/>
                <w:color w:val="auto"/>
                <w:sz w:val="21"/>
                <w:szCs w:val="21"/>
                <w:highlight w:val="none"/>
              </w:rPr>
              <w:t>属强制采购或优先采购</w:t>
            </w:r>
          </w:p>
        </w:tc>
      </w:tr>
      <w:tr w14:paraId="18D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95B8E6D">
            <w:pPr>
              <w:pStyle w:val="50"/>
              <w:numPr>
                <w:ilvl w:val="0"/>
                <w:numId w:val="6"/>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532E04E">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3CDFCC5">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4E845A">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348699">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CEBECC8">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782F642">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EADA19A">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C80F3F">
            <w:pPr>
              <w:pStyle w:val="50"/>
              <w:jc w:val="center"/>
              <w:rPr>
                <w:color w:val="auto"/>
                <w:sz w:val="21"/>
                <w:szCs w:val="21"/>
                <w:highlight w:val="none"/>
              </w:rPr>
            </w:pPr>
          </w:p>
        </w:tc>
      </w:tr>
      <w:tr w14:paraId="13A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443BF">
            <w:pPr>
              <w:pStyle w:val="50"/>
              <w:numPr>
                <w:ilvl w:val="0"/>
                <w:numId w:val="6"/>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B1FB35">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219D569">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AEC486">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046AFD5">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9C65DA">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B3EB9">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94FDF6">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C379112">
            <w:pPr>
              <w:pStyle w:val="50"/>
              <w:jc w:val="center"/>
              <w:rPr>
                <w:color w:val="auto"/>
                <w:sz w:val="21"/>
                <w:szCs w:val="21"/>
                <w:highlight w:val="none"/>
              </w:rPr>
            </w:pPr>
          </w:p>
        </w:tc>
      </w:tr>
      <w:tr w14:paraId="1A3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14FA40F">
            <w:pPr>
              <w:pStyle w:val="50"/>
              <w:numPr>
                <w:ilvl w:val="0"/>
                <w:numId w:val="6"/>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87F5988">
            <w:pPr>
              <w:pStyle w:val="50"/>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0E1A28">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A0864AE">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C9F1D0">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86AC29">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343A306">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A6317B8">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E24D072">
            <w:pPr>
              <w:pStyle w:val="50"/>
              <w:jc w:val="center"/>
              <w:rPr>
                <w:color w:val="auto"/>
                <w:sz w:val="21"/>
                <w:szCs w:val="21"/>
                <w:highlight w:val="none"/>
              </w:rPr>
            </w:pPr>
          </w:p>
        </w:tc>
      </w:tr>
    </w:tbl>
    <w:p w14:paraId="2831E0BE">
      <w:pPr>
        <w:spacing w:line="300" w:lineRule="auto"/>
        <w:rPr>
          <w:rFonts w:ascii="Arial" w:hAnsi="Arial" w:cs="Arial"/>
          <w:color w:val="auto"/>
          <w:szCs w:val="21"/>
          <w:highlight w:val="none"/>
        </w:rPr>
      </w:pPr>
    </w:p>
    <w:p w14:paraId="60D44E3F">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D26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57131EF">
            <w:pPr>
              <w:pStyle w:val="50"/>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B75546E">
            <w:pPr>
              <w:pStyle w:val="50"/>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807FE9">
            <w:pPr>
              <w:pStyle w:val="50"/>
              <w:jc w:val="center"/>
              <w:rPr>
                <w:color w:val="auto"/>
                <w:sz w:val="21"/>
                <w:szCs w:val="21"/>
                <w:highlight w:val="none"/>
              </w:rPr>
            </w:pPr>
            <w:r>
              <w:rPr>
                <w:rFonts w:hint="eastAsia"/>
                <w:color w:val="auto"/>
                <w:sz w:val="21"/>
                <w:szCs w:val="21"/>
                <w:highlight w:val="none"/>
              </w:rPr>
              <w:t>制造商</w:t>
            </w:r>
          </w:p>
          <w:p w14:paraId="6871D586">
            <w:pPr>
              <w:pStyle w:val="50"/>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3CB73BC">
            <w:pPr>
              <w:pStyle w:val="50"/>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6FFC544">
            <w:pPr>
              <w:pStyle w:val="50"/>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67CEFC8">
            <w:pPr>
              <w:pStyle w:val="50"/>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7A87868">
            <w:pPr>
              <w:pStyle w:val="50"/>
              <w:jc w:val="center"/>
              <w:rPr>
                <w:color w:val="auto"/>
                <w:sz w:val="21"/>
                <w:szCs w:val="21"/>
                <w:highlight w:val="none"/>
              </w:rPr>
            </w:pPr>
            <w:r>
              <w:rPr>
                <w:rFonts w:hint="eastAsia"/>
                <w:color w:val="auto"/>
                <w:sz w:val="21"/>
                <w:szCs w:val="21"/>
                <w:highlight w:val="none"/>
              </w:rPr>
              <w:t>单价</w:t>
            </w:r>
          </w:p>
          <w:p w14:paraId="09FBCB92">
            <w:pPr>
              <w:pStyle w:val="50"/>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A825EE6">
            <w:pPr>
              <w:pStyle w:val="50"/>
              <w:jc w:val="center"/>
              <w:rPr>
                <w:color w:val="auto"/>
                <w:sz w:val="21"/>
                <w:szCs w:val="21"/>
                <w:highlight w:val="none"/>
              </w:rPr>
            </w:pPr>
            <w:r>
              <w:rPr>
                <w:rFonts w:hint="eastAsia"/>
                <w:color w:val="auto"/>
                <w:sz w:val="21"/>
                <w:szCs w:val="21"/>
                <w:highlight w:val="none"/>
              </w:rPr>
              <w:t>总价</w:t>
            </w:r>
          </w:p>
          <w:p w14:paraId="33CDE01B">
            <w:pPr>
              <w:pStyle w:val="50"/>
              <w:jc w:val="center"/>
              <w:rPr>
                <w:color w:val="auto"/>
                <w:sz w:val="21"/>
                <w:szCs w:val="21"/>
                <w:highlight w:val="none"/>
              </w:rPr>
            </w:pPr>
            <w:r>
              <w:rPr>
                <w:rFonts w:hint="eastAsia"/>
                <w:color w:val="auto"/>
                <w:sz w:val="21"/>
                <w:szCs w:val="21"/>
                <w:highlight w:val="none"/>
              </w:rPr>
              <w:t>（万元）</w:t>
            </w:r>
          </w:p>
        </w:tc>
      </w:tr>
      <w:tr w14:paraId="730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FF683B">
            <w:pPr>
              <w:pStyle w:val="50"/>
              <w:numPr>
                <w:ilvl w:val="0"/>
                <w:numId w:val="7"/>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2A116FE">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37EAFD8">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48B80C">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46C9D21">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6E01E2C">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EBB7355">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00014CA">
            <w:pPr>
              <w:pStyle w:val="50"/>
              <w:jc w:val="center"/>
              <w:rPr>
                <w:color w:val="auto"/>
                <w:sz w:val="21"/>
                <w:szCs w:val="21"/>
                <w:highlight w:val="none"/>
              </w:rPr>
            </w:pPr>
          </w:p>
        </w:tc>
      </w:tr>
      <w:tr w14:paraId="7D13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E9564A">
            <w:pPr>
              <w:pStyle w:val="50"/>
              <w:numPr>
                <w:ilvl w:val="0"/>
                <w:numId w:val="7"/>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E2EB56">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8C31A9">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0A4A93">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DA7E15">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037ECDB">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3BD0E45">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D0710D8">
            <w:pPr>
              <w:pStyle w:val="50"/>
              <w:jc w:val="center"/>
              <w:rPr>
                <w:color w:val="auto"/>
                <w:sz w:val="21"/>
                <w:szCs w:val="21"/>
                <w:highlight w:val="none"/>
              </w:rPr>
            </w:pPr>
          </w:p>
        </w:tc>
      </w:tr>
      <w:tr w14:paraId="7AC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631B4FC">
            <w:pPr>
              <w:pStyle w:val="50"/>
              <w:numPr>
                <w:ilvl w:val="0"/>
                <w:numId w:val="7"/>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83E45D">
            <w:pPr>
              <w:pStyle w:val="50"/>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13CA41C">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553DA88">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DE0615D">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874A069">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65BE9E4">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2910C53">
            <w:pPr>
              <w:pStyle w:val="50"/>
              <w:jc w:val="center"/>
              <w:rPr>
                <w:color w:val="auto"/>
                <w:sz w:val="21"/>
                <w:szCs w:val="21"/>
                <w:highlight w:val="none"/>
              </w:rPr>
            </w:pPr>
          </w:p>
        </w:tc>
      </w:tr>
    </w:tbl>
    <w:p w14:paraId="141E07B3">
      <w:pPr>
        <w:spacing w:line="300" w:lineRule="auto"/>
        <w:rPr>
          <w:rFonts w:ascii="Arial" w:hAnsi="Arial" w:cs="Arial"/>
          <w:color w:val="auto"/>
          <w:szCs w:val="21"/>
          <w:highlight w:val="none"/>
        </w:rPr>
      </w:pPr>
    </w:p>
    <w:p w14:paraId="606E5A08">
      <w:pPr>
        <w:rPr>
          <w:rFonts w:ascii="Arial" w:hAnsi="Arial" w:cs="Arial"/>
          <w:b/>
          <w:i w:val="0"/>
          <w:iCs w:val="0"/>
          <w:color w:val="auto"/>
          <w:sz w:val="21"/>
          <w:szCs w:val="21"/>
          <w:highlight w:val="none"/>
        </w:rPr>
      </w:pPr>
      <w:r>
        <w:rPr>
          <w:rFonts w:hint="eastAsia" w:ascii="Arial" w:hAnsi="Arial" w:cs="Arial"/>
          <w:b/>
          <w:i w:val="0"/>
          <w:iCs w:val="0"/>
          <w:color w:val="auto"/>
          <w:sz w:val="21"/>
          <w:szCs w:val="21"/>
          <w:highlight w:val="none"/>
        </w:rPr>
        <w:t>特别说明：</w:t>
      </w:r>
      <w:r>
        <w:rPr>
          <w:rFonts w:hint="eastAsia" w:ascii="Arial" w:hAnsi="Arial" w:cs="Arial"/>
          <w:b/>
          <w:i w:val="0"/>
          <w:iCs w:val="0"/>
          <w:color w:val="auto"/>
          <w:sz w:val="21"/>
          <w:szCs w:val="21"/>
          <w:highlight w:val="none"/>
          <w:lang w:val="en-US" w:eastAsia="zh-CN"/>
        </w:rPr>
        <w:t>供应商</w:t>
      </w:r>
      <w:r>
        <w:rPr>
          <w:rFonts w:hint="eastAsia" w:ascii="Arial" w:hAnsi="Arial" w:cs="Arial"/>
          <w:b/>
          <w:i w:val="0"/>
          <w:iCs w:val="0"/>
          <w:color w:val="auto"/>
          <w:sz w:val="21"/>
          <w:szCs w:val="21"/>
          <w:highlight w:val="none"/>
        </w:rPr>
        <w:t>应将所投产品中节能、环保产品分别列入上表中，并按本</w:t>
      </w:r>
      <w:r>
        <w:rPr>
          <w:rFonts w:hint="eastAsia" w:ascii="Arial" w:hAnsi="Arial" w:cs="Arial"/>
          <w:b/>
          <w:i w:val="0"/>
          <w:iCs w:val="0"/>
          <w:color w:val="auto"/>
          <w:sz w:val="21"/>
          <w:szCs w:val="21"/>
          <w:highlight w:val="none"/>
          <w:lang w:val="en-US" w:eastAsia="zh-CN"/>
        </w:rPr>
        <w:t>竞争性磋商</w:t>
      </w:r>
      <w:r>
        <w:rPr>
          <w:rFonts w:hint="eastAsia" w:ascii="Arial" w:hAnsi="Arial" w:cs="Arial"/>
          <w:b/>
          <w:i w:val="0"/>
          <w:iCs w:val="0"/>
          <w:color w:val="auto"/>
          <w:sz w:val="21"/>
          <w:szCs w:val="21"/>
          <w:highlight w:val="none"/>
        </w:rPr>
        <w:t>文件</w:t>
      </w:r>
      <w:r>
        <w:rPr>
          <w:rFonts w:hint="eastAsia" w:ascii="Arial" w:hAnsi="Arial" w:cs="Arial"/>
          <w:b/>
          <w:i w:val="0"/>
          <w:iCs w:val="0"/>
          <w:color w:val="auto"/>
          <w:sz w:val="21"/>
          <w:szCs w:val="21"/>
          <w:highlight w:val="none"/>
          <w:lang w:val="en-US" w:eastAsia="zh-CN"/>
        </w:rPr>
        <w:t>“</w:t>
      </w:r>
      <w:r>
        <w:rPr>
          <w:rFonts w:hint="eastAsia" w:ascii="Arial" w:hAnsi="Arial" w:cs="Arial"/>
          <w:b/>
          <w:i w:val="0"/>
          <w:iCs w:val="0"/>
          <w:color w:val="auto"/>
          <w:sz w:val="21"/>
          <w:szCs w:val="21"/>
          <w:highlight w:val="none"/>
        </w:rPr>
        <w:t>第二章</w:t>
      </w:r>
      <w:r>
        <w:rPr>
          <w:rFonts w:hint="eastAsia" w:ascii="Arial" w:hAnsi="Arial" w:cs="Arial"/>
          <w:b/>
          <w:i w:val="0"/>
          <w:iCs w:val="0"/>
          <w:color w:val="auto"/>
          <w:sz w:val="21"/>
          <w:szCs w:val="21"/>
          <w:highlight w:val="none"/>
          <w:lang w:val="en-US" w:eastAsia="zh-CN"/>
        </w:rPr>
        <w:t>供应商须知”</w:t>
      </w:r>
      <w:r>
        <w:rPr>
          <w:rFonts w:hint="eastAsia" w:ascii="Arial" w:hAnsi="Arial" w:cs="Arial"/>
          <w:b/>
          <w:i w:val="0"/>
          <w:iCs w:val="0"/>
          <w:color w:val="auto"/>
          <w:sz w:val="21"/>
          <w:szCs w:val="21"/>
          <w:highlight w:val="none"/>
        </w:rPr>
        <w:t>提供相关证明材料，未填写本表或未提供有效认证证书</w:t>
      </w:r>
      <w:r>
        <w:rPr>
          <w:rFonts w:ascii="Arial" w:hAnsi="Arial" w:cs="Arial"/>
          <w:b/>
          <w:i w:val="0"/>
          <w:iCs w:val="0"/>
          <w:color w:val="auto"/>
          <w:sz w:val="21"/>
          <w:szCs w:val="21"/>
          <w:highlight w:val="none"/>
        </w:rPr>
        <w:t>的</w:t>
      </w:r>
      <w:r>
        <w:rPr>
          <w:rFonts w:hint="eastAsia" w:ascii="Arial" w:hAnsi="Arial" w:cs="Arial"/>
          <w:b/>
          <w:i w:val="0"/>
          <w:iCs w:val="0"/>
          <w:color w:val="auto"/>
          <w:sz w:val="21"/>
          <w:szCs w:val="21"/>
          <w:highlight w:val="none"/>
        </w:rPr>
        <w:t>不给予</w:t>
      </w:r>
      <w:r>
        <w:rPr>
          <w:rFonts w:ascii="Arial" w:hAnsi="Arial" w:cs="Arial"/>
          <w:b/>
          <w:i w:val="0"/>
          <w:iCs w:val="0"/>
          <w:color w:val="auto"/>
          <w:sz w:val="21"/>
          <w:szCs w:val="21"/>
          <w:highlight w:val="none"/>
        </w:rPr>
        <w:t>价格扣除</w:t>
      </w:r>
      <w:r>
        <w:rPr>
          <w:rFonts w:hint="eastAsia" w:ascii="Arial" w:hAnsi="Arial" w:cs="Arial"/>
          <w:b/>
          <w:i w:val="0"/>
          <w:iCs w:val="0"/>
          <w:color w:val="auto"/>
          <w:sz w:val="21"/>
          <w:szCs w:val="21"/>
          <w:highlight w:val="none"/>
        </w:rPr>
        <w:t>。</w:t>
      </w:r>
    </w:p>
    <w:p w14:paraId="675C9164">
      <w:pPr>
        <w:spacing w:line="300" w:lineRule="auto"/>
        <w:rPr>
          <w:rFonts w:ascii="Arial" w:hAnsi="Arial" w:cs="Arial"/>
          <w:i w:val="0"/>
          <w:iCs w:val="0"/>
          <w:color w:val="auto"/>
          <w:szCs w:val="21"/>
          <w:highlight w:val="none"/>
        </w:rPr>
      </w:pPr>
    </w:p>
    <w:p w14:paraId="402F965E">
      <w:pPr>
        <w:spacing w:line="300" w:lineRule="auto"/>
        <w:rPr>
          <w:rFonts w:ascii="Arial" w:hAnsi="Arial" w:cs="Arial"/>
          <w:i w:val="0"/>
          <w:iCs w:val="0"/>
          <w:color w:val="auto"/>
          <w:szCs w:val="21"/>
          <w:highlight w:val="none"/>
        </w:rPr>
      </w:pPr>
      <w:r>
        <w:rPr>
          <w:rFonts w:hint="eastAsia" w:ascii="Arial" w:hAnsi="Arial" w:cs="Arial"/>
          <w:i w:val="0"/>
          <w:iCs w:val="0"/>
          <w:color w:val="auto"/>
          <w:szCs w:val="21"/>
          <w:highlight w:val="none"/>
          <w:lang w:val="en-US" w:eastAsia="zh-CN"/>
        </w:rPr>
        <w:t>供应商</w:t>
      </w:r>
      <w:r>
        <w:rPr>
          <w:rFonts w:ascii="Arial" w:hAnsi="Arial" w:cs="Arial"/>
          <w:i w:val="0"/>
          <w:iCs w:val="0"/>
          <w:color w:val="auto"/>
          <w:szCs w:val="21"/>
          <w:highlight w:val="none"/>
        </w:rPr>
        <w:t>名称：</w:t>
      </w:r>
    </w:p>
    <w:p w14:paraId="3068A70D">
      <w:pPr>
        <w:rPr>
          <w:rFonts w:ascii="Arial" w:hAnsi="Arial" w:cs="Arial"/>
          <w:i w:val="0"/>
          <w:iCs w:val="0"/>
          <w:color w:val="auto"/>
          <w:szCs w:val="21"/>
          <w:highlight w:val="none"/>
        </w:rPr>
      </w:pPr>
      <w:r>
        <w:rPr>
          <w:rFonts w:ascii="Arial" w:hAnsi="Arial" w:cs="Arial"/>
          <w:i w:val="0"/>
          <w:iCs w:val="0"/>
          <w:color w:val="auto"/>
          <w:szCs w:val="21"/>
          <w:highlight w:val="none"/>
        </w:rPr>
        <w:t>日期：</w:t>
      </w:r>
    </w:p>
    <w:p w14:paraId="70617D68">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711C0C58">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1471" w:name="_Toc163492939"/>
      <w:bookmarkStart w:id="1472" w:name="_Toc27615"/>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1471"/>
      <w:bookmarkEnd w:id="1472"/>
    </w:p>
    <w:p w14:paraId="17DF8322">
      <w:pPr>
        <w:pStyle w:val="44"/>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53FBBEA6">
      <w:pPr>
        <w:spacing w:line="360" w:lineRule="auto"/>
        <w:jc w:val="center"/>
        <w:rPr>
          <w:rFonts w:ascii="宋体" w:hAnsi="宋体" w:cs="宋体"/>
          <w:b/>
          <w:i w:val="0"/>
          <w:iCs w:val="0"/>
          <w:color w:val="auto"/>
          <w:sz w:val="32"/>
          <w:szCs w:val="32"/>
          <w:highlight w:val="none"/>
        </w:rPr>
      </w:pPr>
      <w:r>
        <w:rPr>
          <w:rFonts w:hint="eastAsia"/>
          <w:b/>
          <w:bCs/>
          <w:color w:val="auto"/>
          <w:sz w:val="32"/>
          <w:szCs w:val="32"/>
          <w:highlight w:val="none"/>
        </w:rPr>
        <w:t>中小企业声明函</w:t>
      </w:r>
    </w:p>
    <w:p w14:paraId="220BFBEA">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i w:val="0"/>
          <w:iCs w:val="0"/>
          <w:color w:val="auto"/>
          <w:sz w:val="24"/>
          <w:highlight w:val="none"/>
          <w:u w:val="single"/>
        </w:rPr>
        <w:t>（</w:t>
      </w:r>
      <w:r>
        <w:rPr>
          <w:rFonts w:hint="eastAsia" w:cs="宋体"/>
          <w:i w:val="0"/>
          <w:iCs w:val="0"/>
          <w:color w:val="auto"/>
          <w:sz w:val="24"/>
          <w:highlight w:val="none"/>
          <w:u w:val="single"/>
          <w:lang w:val="en-US" w:eastAsia="zh-CN"/>
        </w:rPr>
        <w:t>单位名称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的</w:t>
      </w:r>
      <w:r>
        <w:rPr>
          <w:rFonts w:hint="eastAsia" w:ascii="宋体" w:hAnsi="宋体" w:eastAsia="宋体" w:cs="宋体"/>
          <w:i w:val="0"/>
          <w:iCs w:val="0"/>
          <w:color w:val="auto"/>
          <w:sz w:val="24"/>
          <w:highlight w:val="none"/>
          <w:u w:val="single"/>
        </w:rPr>
        <w:t xml:space="preserve"> （项目名称） </w:t>
      </w:r>
      <w:r>
        <w:rPr>
          <w:rFonts w:hint="eastAsia" w:ascii="宋体" w:hAnsi="宋体" w:eastAsia="宋体" w:cs="宋体"/>
          <w:i w:val="0"/>
          <w:iCs w:val="0"/>
          <w:color w:val="auto"/>
          <w:sz w:val="24"/>
          <w:highlight w:val="none"/>
        </w:rPr>
        <w:t>采购活动，工程的施工单位全部为符合政策要求的中小企业。相关企业（含联合体中的中小企业、签订分包意向协议的中小企业）的具体情况如下：</w:t>
      </w:r>
    </w:p>
    <w:p w14:paraId="04EA303F">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（采购文件中明确的所属行业）</w:t>
      </w:r>
      <w:r>
        <w:rPr>
          <w:rFonts w:hint="eastAsia" w:ascii="宋体" w:hAnsi="宋体" w:eastAsia="宋体" w:cs="宋体"/>
          <w:i w:val="0"/>
          <w:iCs w:val="0"/>
          <w:color w:val="auto"/>
          <w:sz w:val="24"/>
          <w:highlight w:val="none"/>
        </w:rPr>
        <w:t xml:space="preserve"> ；承建企业为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w:t>
      </w:r>
      <w:r>
        <w:rPr>
          <w:rFonts w:hint="eastAsia" w:cs="宋体"/>
          <w:i w:val="0"/>
          <w:iCs w:val="0"/>
          <w:color w:val="auto"/>
          <w:sz w:val="24"/>
          <w:highlight w:val="none"/>
          <w:lang w:eastAsia="zh-CN"/>
        </w:rPr>
        <w:t>，</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4F02369D">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（采购文件中明确的所属行业）</w:t>
      </w:r>
      <w:r>
        <w:rPr>
          <w:rFonts w:hint="eastAsia" w:ascii="宋体" w:hAnsi="宋体" w:eastAsia="宋体" w:cs="宋体"/>
          <w:i w:val="0"/>
          <w:iCs w:val="0"/>
          <w:color w:val="auto"/>
          <w:sz w:val="24"/>
          <w:highlight w:val="none"/>
        </w:rPr>
        <w:t xml:space="preserve"> ；承建企业为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w:t>
      </w:r>
      <w:r>
        <w:rPr>
          <w:rFonts w:hint="eastAsia" w:cs="宋体"/>
          <w:i w:val="0"/>
          <w:iCs w:val="0"/>
          <w:color w:val="auto"/>
          <w:sz w:val="24"/>
          <w:highlight w:val="none"/>
          <w:lang w:eastAsia="zh-CN"/>
        </w:rPr>
        <w:t>，</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58DDA894">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p w14:paraId="68292050">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以上企业，不属于大企业的分支机构，不存在控股股东为大企业的情形，也不存在与大企业的负责人为同一人的情形。</w:t>
      </w:r>
    </w:p>
    <w:p w14:paraId="6474980D">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本企业对上述声明内容的真实性负责。如有虚假，将依法承担相应责任。</w:t>
      </w:r>
    </w:p>
    <w:p w14:paraId="6F144CE6">
      <w:pPr>
        <w:spacing w:line="360" w:lineRule="auto"/>
        <w:ind w:firstLine="480" w:firstLineChars="200"/>
        <w:rPr>
          <w:rFonts w:hint="eastAsia" w:ascii="宋体" w:hAnsi="宋体" w:eastAsia="宋体" w:cs="宋体"/>
          <w:i w:val="0"/>
          <w:iCs w:val="0"/>
          <w:color w:val="auto"/>
          <w:sz w:val="24"/>
          <w:highlight w:val="none"/>
        </w:rPr>
      </w:pPr>
    </w:p>
    <w:p w14:paraId="2A781C2A">
      <w:pPr>
        <w:snapToGrid w:val="0"/>
        <w:spacing w:line="360" w:lineRule="auto"/>
        <w:ind w:firstLine="5160" w:firstLineChars="215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供应商名称(</w:t>
      </w:r>
      <w:r>
        <w:rPr>
          <w:rFonts w:hint="eastAsia" w:cs="宋体"/>
          <w:i w:val="0"/>
          <w:iCs w:val="0"/>
          <w:color w:val="auto"/>
          <w:kern w:val="0"/>
          <w:sz w:val="24"/>
          <w:highlight w:val="none"/>
          <w:lang w:val="en-US" w:eastAsia="zh-CN"/>
        </w:rPr>
        <w:t>公章</w:t>
      </w:r>
      <w:r>
        <w:rPr>
          <w:rFonts w:hint="eastAsia" w:ascii="宋体" w:hAnsi="宋体" w:eastAsia="宋体" w:cs="宋体"/>
          <w:i w:val="0"/>
          <w:iCs w:val="0"/>
          <w:color w:val="auto"/>
          <w:kern w:val="0"/>
          <w:sz w:val="24"/>
          <w:highlight w:val="none"/>
          <w:lang w:val="zh-CN"/>
        </w:rPr>
        <w:t>)：</w:t>
      </w:r>
    </w:p>
    <w:p w14:paraId="6457F571">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w:t>
      </w:r>
      <w:r>
        <w:rPr>
          <w:rFonts w:hint="eastAsia" w:ascii="宋体" w:hAnsi="宋体" w:eastAsia="宋体" w:cs="宋体"/>
          <w:i w:val="0"/>
          <w:iCs w:val="0"/>
          <w:color w:val="auto"/>
          <w:kern w:val="0"/>
          <w:sz w:val="24"/>
          <w:highlight w:val="none"/>
        </w:rPr>
        <w:t xml:space="preserve">：  年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w:t>
      </w:r>
    </w:p>
    <w:p w14:paraId="459B85C0">
      <w:pPr>
        <w:snapToGrid w:val="0"/>
        <w:spacing w:line="360" w:lineRule="auto"/>
        <w:ind w:firstLine="420" w:firstLineChars="200"/>
        <w:rPr>
          <w:rFonts w:hint="eastAsia" w:ascii="宋体" w:hAnsi="宋体" w:eastAsia="宋体" w:cs="宋体"/>
          <w:i w:val="0"/>
          <w:iCs w:val="0"/>
          <w:color w:val="auto"/>
          <w:sz w:val="21"/>
          <w:szCs w:val="21"/>
          <w:highlight w:val="none"/>
        </w:rPr>
      </w:pPr>
    </w:p>
    <w:p w14:paraId="748B4DD4">
      <w:pPr>
        <w:rPr>
          <w:rFonts w:hint="default" w:cs="宋体"/>
          <w:b/>
          <w:bCs/>
          <w:i w:val="0"/>
          <w:iCs w:val="0"/>
          <w:color w:val="auto"/>
          <w:spacing w:val="6"/>
          <w:sz w:val="21"/>
          <w:szCs w:val="21"/>
          <w:highlight w:val="none"/>
          <w:lang w:val="en-US" w:eastAsia="zh-CN"/>
        </w:rPr>
      </w:pPr>
      <w:r>
        <w:rPr>
          <w:rFonts w:hint="eastAsia" w:cs="宋体"/>
          <w:b/>
          <w:bCs/>
          <w:i w:val="0"/>
          <w:iCs w:val="0"/>
          <w:color w:val="auto"/>
          <w:spacing w:val="6"/>
          <w:sz w:val="21"/>
          <w:szCs w:val="21"/>
          <w:highlight w:val="none"/>
        </w:rPr>
        <w:t>说明：</w:t>
      </w:r>
      <w:r>
        <w:rPr>
          <w:rFonts w:hint="eastAsia" w:cs="宋体"/>
          <w:b/>
          <w:bCs/>
          <w:i w:val="0"/>
          <w:iCs w:val="0"/>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645259F9">
      <w:pPr>
        <w:ind w:firstLine="446" w:firstLineChars="200"/>
        <w:rPr>
          <w:rFonts w:hint="eastAsia" w:cs="宋体"/>
          <w:i w:val="0"/>
          <w:iCs w:val="0"/>
          <w:color w:val="auto"/>
          <w:spacing w:val="6"/>
          <w:sz w:val="21"/>
          <w:szCs w:val="21"/>
          <w:highlight w:val="none"/>
        </w:rPr>
      </w:pPr>
      <w:r>
        <w:rPr>
          <w:rFonts w:hint="eastAsia" w:cs="宋体"/>
          <w:b/>
          <w:bCs/>
          <w:i w:val="0"/>
          <w:iCs w:val="0"/>
          <w:color w:val="auto"/>
          <w:spacing w:val="6"/>
          <w:sz w:val="21"/>
          <w:szCs w:val="21"/>
          <w:highlight w:val="none"/>
          <w:lang w:val="en-US" w:eastAsia="zh-CN"/>
        </w:rPr>
        <w:t>2.</w:t>
      </w:r>
      <w:r>
        <w:rPr>
          <w:rFonts w:hint="eastAsia" w:cs="宋体"/>
          <w:i w:val="0"/>
          <w:iCs w:val="0"/>
          <w:color w:val="auto"/>
          <w:spacing w:val="6"/>
          <w:sz w:val="21"/>
          <w:szCs w:val="21"/>
          <w:highlight w:val="none"/>
        </w:rPr>
        <w:t>从业人员、营业收入、资产总额填报上一年度数据，无上一年度数据的新成立企业可不填报。</w:t>
      </w:r>
    </w:p>
    <w:p w14:paraId="012BEE83">
      <w:pPr>
        <w:snapToGrid w:val="0"/>
        <w:spacing w:line="360" w:lineRule="auto"/>
        <w:ind w:firstLine="420" w:firstLineChars="200"/>
        <w:rPr>
          <w:rFonts w:hint="eastAsia" w:ascii="宋体" w:hAnsi="宋体" w:eastAsia="宋体" w:cs="宋体"/>
          <w:i w:val="0"/>
          <w:iCs w:val="0"/>
          <w:color w:val="auto"/>
          <w:sz w:val="21"/>
          <w:szCs w:val="21"/>
          <w:highlight w:val="none"/>
        </w:rPr>
      </w:pPr>
    </w:p>
    <w:p w14:paraId="600935B0">
      <w:pPr>
        <w:rPr>
          <w:rFonts w:cs="宋体"/>
          <w:i w:val="0"/>
          <w:iCs w:val="0"/>
          <w:color w:val="auto"/>
          <w:spacing w:val="6"/>
          <w:sz w:val="21"/>
          <w:szCs w:val="21"/>
          <w:highlight w:val="none"/>
        </w:rPr>
      </w:pPr>
    </w:p>
    <w:p w14:paraId="149F21C9">
      <w:pPr>
        <w:rPr>
          <w:rFonts w:cs="宋体"/>
          <w:i w:val="0"/>
          <w:iCs w:val="0"/>
          <w:color w:val="auto"/>
          <w:spacing w:val="6"/>
          <w:sz w:val="21"/>
          <w:szCs w:val="21"/>
          <w:highlight w:val="none"/>
        </w:rPr>
      </w:pPr>
    </w:p>
    <w:p w14:paraId="60EFE5EE">
      <w:pPr>
        <w:rPr>
          <w:rFonts w:cs="宋体"/>
          <w:i w:val="0"/>
          <w:iCs w:val="0"/>
          <w:color w:val="auto"/>
          <w:spacing w:val="6"/>
          <w:sz w:val="21"/>
          <w:szCs w:val="21"/>
          <w:highlight w:val="none"/>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006C7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0A0B18BB">
      <w:pPr>
        <w:keepNext w:val="0"/>
        <w:keepLines w:val="0"/>
        <w:widowControl/>
        <w:suppressLineNumbers w:val="0"/>
        <w:ind w:firstLine="562" w:firstLineChars="200"/>
        <w:jc w:val="left"/>
        <w:rPr>
          <w:rStyle w:val="36"/>
          <w:rFonts w:hint="eastAsia" w:ascii="宋体" w:hAnsi="宋体" w:eastAsia="宋体" w:cs="宋体"/>
          <w:color w:val="auto"/>
          <w:kern w:val="0"/>
          <w:sz w:val="28"/>
          <w:szCs w:val="28"/>
          <w:highlight w:val="none"/>
          <w:lang w:val="en-US" w:eastAsia="zh-CN" w:bidi="ar"/>
        </w:rPr>
      </w:pPr>
    </w:p>
    <w:p w14:paraId="2C71B7D1">
      <w:pPr>
        <w:keepNext w:val="0"/>
        <w:keepLines w:val="0"/>
        <w:widowControl/>
        <w:suppressLineNumbers w:val="0"/>
        <w:ind w:firstLine="482" w:firstLineChars="200"/>
        <w:jc w:val="left"/>
        <w:rPr>
          <w:rStyle w:val="36"/>
          <w:rFonts w:hint="eastAsia" w:ascii="宋体" w:hAnsi="宋体" w:eastAsia="宋体" w:cs="宋体"/>
          <w:i w:val="0"/>
          <w:iCs w:val="0"/>
          <w:color w:val="auto"/>
          <w:kern w:val="0"/>
          <w:sz w:val="28"/>
          <w:szCs w:val="28"/>
          <w:highlight w:val="none"/>
          <w:lang w:val="en-US" w:eastAsia="zh-CN" w:bidi="ar"/>
        </w:rPr>
      </w:pPr>
      <w:r>
        <w:rPr>
          <w:rStyle w:val="36"/>
          <w:rFonts w:hint="eastAsia" w:ascii="宋体" w:hAnsi="宋体" w:eastAsia="宋体" w:cs="宋体"/>
          <w:color w:val="auto"/>
          <w:kern w:val="0"/>
          <w:sz w:val="24"/>
          <w:szCs w:val="24"/>
          <w:highlight w:val="none"/>
          <w:lang w:val="en-US" w:eastAsia="zh-CN" w:bidi="ar"/>
        </w:rPr>
        <w:t>（一）关于</w:t>
      </w:r>
      <w:r>
        <w:rPr>
          <w:rStyle w:val="36"/>
          <w:rFonts w:hint="eastAsia" w:cs="宋体"/>
          <w:color w:val="auto"/>
          <w:kern w:val="0"/>
          <w:sz w:val="24"/>
          <w:szCs w:val="24"/>
          <w:highlight w:val="none"/>
          <w:lang w:val="en-US" w:eastAsia="zh-CN" w:bidi="ar"/>
        </w:rPr>
        <w:t>“</w:t>
      </w:r>
      <w:r>
        <w:rPr>
          <w:rStyle w:val="36"/>
          <w:rFonts w:hint="eastAsia" w:ascii="宋体" w:hAnsi="宋体" w:eastAsia="宋体" w:cs="宋体"/>
          <w:color w:val="auto"/>
          <w:kern w:val="0"/>
          <w:sz w:val="24"/>
          <w:szCs w:val="24"/>
          <w:highlight w:val="none"/>
          <w:lang w:val="en-US" w:eastAsia="zh-CN" w:bidi="ar"/>
        </w:rPr>
        <w:t>中小企业声明函</w:t>
      </w:r>
      <w:r>
        <w:rPr>
          <w:rStyle w:val="36"/>
          <w:rFonts w:hint="eastAsia" w:cs="宋体"/>
          <w:color w:val="auto"/>
          <w:kern w:val="0"/>
          <w:sz w:val="24"/>
          <w:szCs w:val="24"/>
          <w:highlight w:val="none"/>
          <w:lang w:val="en-US" w:eastAsia="zh-CN" w:bidi="ar"/>
        </w:rPr>
        <w:t>”</w:t>
      </w:r>
      <w:r>
        <w:rPr>
          <w:rStyle w:val="36"/>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6"/>
          <w:rFonts w:hint="eastAsia" w:ascii="宋体" w:hAnsi="宋体" w:eastAsia="宋体" w:cs="宋体"/>
          <w:color w:val="auto"/>
          <w:kern w:val="0"/>
          <w:sz w:val="24"/>
          <w:szCs w:val="24"/>
          <w:highlight w:val="none"/>
          <w:lang w:val="en-US" w:eastAsia="zh-CN" w:bidi="ar"/>
        </w:rPr>
      </w:pPr>
      <w:r>
        <w:rPr>
          <w:rStyle w:val="36"/>
          <w:rFonts w:hint="eastAsia" w:ascii="宋体" w:hAnsi="宋体" w:eastAsia="宋体" w:cs="宋体"/>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1.投标（响应）供应商对</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75B198BB">
      <w:pPr>
        <w:ind w:firstLine="480" w:firstLineChars="200"/>
        <w:rPr>
          <w:rFonts w:cs="宋体"/>
          <w:i w:val="0"/>
          <w:iCs w:val="0"/>
          <w:color w:val="auto"/>
          <w:spacing w:val="6"/>
          <w:sz w:val="21"/>
          <w:szCs w:val="21"/>
          <w:highlight w:val="none"/>
        </w:rPr>
      </w:pPr>
      <w:r>
        <w:rPr>
          <w:rFonts w:hint="eastAsia" w:ascii="宋体" w:hAnsi="宋体" w:eastAsia="宋体" w:cs="宋体"/>
          <w:i w:val="0"/>
          <w:iCs w:val="0"/>
          <w:color w:val="auto"/>
          <w:kern w:val="0"/>
          <w:sz w:val="24"/>
          <w:szCs w:val="28"/>
          <w:highlight w:val="none"/>
          <w:lang w:val="en-US" w:eastAsia="zh-CN" w:bidi="ar"/>
        </w:rPr>
        <w:t>3.如供应商提供的</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704D8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i w:val="0"/>
          <w:iCs w:val="0"/>
          <w:color w:val="auto"/>
          <w:highlight w:val="none"/>
          <w:lang w:val="en-US" w:eastAsia="zh-CN"/>
        </w:rPr>
      </w:pPr>
    </w:p>
    <w:p w14:paraId="6E224C04">
      <w:pPr>
        <w:rPr>
          <w:rFonts w:cs="宋体"/>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243BB2FE">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7FFC0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6"/>
          <w:rFonts w:hint="eastAsia" w:ascii="宋体" w:hAnsi="宋体" w:eastAsia="宋体" w:cs="宋体"/>
          <w:b w:val="0"/>
          <w:color w:val="auto"/>
          <w:sz w:val="24"/>
          <w:szCs w:val="24"/>
          <w:highlight w:val="none"/>
        </w:rPr>
      </w:pPr>
      <w:r>
        <w:rPr>
          <w:rStyle w:val="36"/>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6"/>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6"/>
          <w:rFonts w:hint="eastAsia" w:ascii="宋体" w:hAnsi="宋体" w:eastAsia="宋体" w:cs="宋体"/>
          <w:b w:val="0"/>
          <w:i w:val="0"/>
          <w:iCs w:val="0"/>
          <w:color w:val="auto"/>
          <w:sz w:val="24"/>
          <w:szCs w:val="24"/>
          <w:highlight w:val="none"/>
        </w:rPr>
      </w:pPr>
      <w:r>
        <w:rPr>
          <w:rStyle w:val="36"/>
          <w:rFonts w:hint="eastAsia" w:ascii="宋体" w:hAnsi="宋体" w:eastAsia="宋体" w:cs="宋体"/>
          <w:b w:val="0"/>
          <w:i w:val="0"/>
          <w:iCs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6"/>
          <w:rFonts w:hint="eastAsia" w:ascii="宋体" w:hAnsi="宋体" w:eastAsia="宋体" w:cs="宋体"/>
          <w:b/>
          <w:bCs w:val="0"/>
          <w:i w:val="0"/>
          <w:iCs w:val="0"/>
          <w:color w:val="auto"/>
          <w:sz w:val="30"/>
          <w:szCs w:val="30"/>
          <w:highlight w:val="none"/>
        </w:rPr>
      </w:pPr>
      <w:r>
        <w:rPr>
          <w:rStyle w:val="36"/>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i w:val="0"/>
          <w:iCs w:val="0"/>
          <w:color w:val="auto"/>
          <w:spacing w:val="6"/>
          <w:sz w:val="21"/>
          <w:szCs w:val="21"/>
          <w:highlight w:val="none"/>
        </w:rPr>
      </w:pPr>
      <w:r>
        <w:rPr>
          <w:rStyle w:val="36"/>
          <w:rFonts w:hint="eastAsia" w:ascii="宋体" w:hAnsi="宋体" w:eastAsia="宋体" w:cs="宋体"/>
          <w:b w:val="0"/>
          <w:bCs w:val="0"/>
          <w:i w:val="0"/>
          <w:i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p w14:paraId="20B4770A">
      <w:pPr>
        <w:rPr>
          <w:rFonts w:cs="宋体"/>
          <w:color w:val="auto"/>
          <w:spacing w:val="6"/>
          <w:sz w:val="21"/>
          <w:szCs w:val="21"/>
          <w:highlight w:val="none"/>
        </w:rPr>
      </w:pPr>
      <w:bookmarkStart w:id="1473" w:name="_Toc163492940"/>
    </w:p>
    <w:p w14:paraId="5FA7D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AF7C83B">
      <w:pPr>
        <w:rPr>
          <w:rFonts w:hint="eastAsia" w:cs="宋体"/>
          <w:color w:val="auto"/>
          <w:spacing w:val="6"/>
          <w:sz w:val="21"/>
          <w:szCs w:val="21"/>
          <w:highlight w:val="none"/>
        </w:rPr>
      </w:pPr>
    </w:p>
    <w:p w14:paraId="134F6EBF">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0E9786C6">
      <w:pPr>
        <w:jc w:val="center"/>
        <w:rPr>
          <w:rStyle w:val="36"/>
          <w:rFonts w:hint="eastAsia" w:ascii="宋体" w:hAnsi="宋体" w:eastAsia="宋体" w:cs="宋体"/>
          <w:b w:val="0"/>
          <w:i w:val="0"/>
          <w:iCs w:val="0"/>
          <w:color w:val="auto"/>
          <w:sz w:val="24"/>
          <w:szCs w:val="24"/>
          <w:highlight w:val="none"/>
        </w:rPr>
      </w:pPr>
      <w:r>
        <w:rPr>
          <w:rStyle w:val="36"/>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6"/>
          <w:rFonts w:hint="eastAsia" w:ascii="宋体" w:hAnsi="宋体" w:eastAsia="宋体" w:cs="宋体"/>
          <w:b w:val="0"/>
          <w:bCs w:val="0"/>
          <w:i w:val="0"/>
          <w:i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6"/>
          <w:rFonts w:hint="eastAsia" w:ascii="宋体" w:hAnsi="宋体" w:eastAsia="宋体" w:cs="宋体"/>
          <w:b w:val="0"/>
          <w:bCs w:val="0"/>
          <w:i w:val="0"/>
          <w:iCs w:val="0"/>
          <w:color w:val="auto"/>
          <w:sz w:val="24"/>
          <w:szCs w:val="24"/>
          <w:highlight w:val="none"/>
        </w:rPr>
      </w:pPr>
      <w:r>
        <w:rPr>
          <w:rFonts w:hint="eastAsia" w:cs="宋体"/>
          <w:i w:val="0"/>
          <w:iCs w:val="0"/>
          <w:color w:val="auto"/>
          <w:spacing w:val="6"/>
          <w:sz w:val="24"/>
          <w:szCs w:val="24"/>
          <w:highlight w:val="none"/>
        </w:rPr>
        <w:t>                                      </w:t>
      </w:r>
      <w:r>
        <w:rPr>
          <w:rStyle w:val="36"/>
          <w:rFonts w:hint="eastAsia" w:ascii="宋体" w:hAnsi="宋体" w:eastAsia="宋体" w:cs="宋体"/>
          <w:b w:val="0"/>
          <w:bCs w:val="0"/>
          <w:i w:val="0"/>
          <w:iCs w:val="0"/>
          <w:color w:val="auto"/>
          <w:sz w:val="24"/>
          <w:szCs w:val="24"/>
          <w:highlight w:val="none"/>
        </w:rPr>
        <w:t>       </w:t>
      </w:r>
      <w:r>
        <w:rPr>
          <w:rStyle w:val="36"/>
          <w:rFonts w:hint="eastAsia" w:cs="宋体"/>
          <w:b w:val="0"/>
          <w:bCs w:val="0"/>
          <w:i w:val="0"/>
          <w:iCs w:val="0"/>
          <w:color w:val="auto"/>
          <w:sz w:val="24"/>
          <w:szCs w:val="24"/>
          <w:highlight w:val="none"/>
          <w:lang w:val="en-US" w:eastAsia="zh-CN"/>
        </w:rPr>
        <w:t xml:space="preserve">                            </w:t>
      </w:r>
      <w:r>
        <w:rPr>
          <w:rStyle w:val="36"/>
          <w:rFonts w:hint="eastAsia" w:ascii="宋体" w:hAnsi="宋体" w:eastAsia="宋体" w:cs="宋体"/>
          <w:b w:val="0"/>
          <w:bCs w:val="0"/>
          <w:i w:val="0"/>
          <w:i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                                                     </w:t>
      </w:r>
      <w:r>
        <w:rPr>
          <w:rStyle w:val="36"/>
          <w:rFonts w:hint="eastAsia" w:cs="宋体"/>
          <w:b w:val="0"/>
          <w:bCs w:val="0"/>
          <w:i w:val="0"/>
          <w:iCs w:val="0"/>
          <w:color w:val="auto"/>
          <w:sz w:val="24"/>
          <w:szCs w:val="24"/>
          <w:highlight w:val="none"/>
          <w:lang w:val="en-US" w:eastAsia="zh-CN"/>
        </w:rPr>
        <w:t xml:space="preserve">     </w:t>
      </w:r>
      <w:r>
        <w:rPr>
          <w:rStyle w:val="36"/>
          <w:rFonts w:hint="eastAsia" w:ascii="宋体" w:hAnsi="宋体" w:eastAsia="宋体" w:cs="宋体"/>
          <w:b w:val="0"/>
          <w:bCs w:val="0"/>
          <w:i w:val="0"/>
          <w:iCs w:val="0"/>
          <w:color w:val="auto"/>
          <w:sz w:val="24"/>
          <w:szCs w:val="24"/>
          <w:highlight w:val="none"/>
        </w:rPr>
        <w:t> 2015年9月28日</w:t>
      </w:r>
    </w:p>
    <w:p w14:paraId="2D875BF0">
      <w:pPr>
        <w:rPr>
          <w:rFonts w:hint="eastAsia" w:cs="宋体"/>
          <w:i w:val="0"/>
          <w:iCs w:val="0"/>
          <w:color w:val="auto"/>
          <w:spacing w:val="6"/>
          <w:sz w:val="21"/>
          <w:szCs w:val="21"/>
          <w:highlight w:val="none"/>
        </w:rPr>
      </w:pPr>
    </w:p>
    <w:p w14:paraId="3D3E2F07">
      <w:pPr>
        <w:rPr>
          <w:rFonts w:hint="eastAsia" w:cs="宋体"/>
          <w:i w:val="0"/>
          <w:iCs w:val="0"/>
          <w:color w:val="auto"/>
          <w:spacing w:val="6"/>
          <w:sz w:val="21"/>
          <w:szCs w:val="21"/>
          <w:highlight w:val="none"/>
          <w:lang w:val="en-US" w:eastAsia="zh-CN"/>
        </w:rPr>
      </w:pPr>
    </w:p>
    <w:p w14:paraId="7D55D2C4">
      <w:pPr>
        <w:rPr>
          <w:rFonts w:hint="eastAsia" w:cs="宋体"/>
          <w:i w:val="0"/>
          <w:iCs w:val="0"/>
          <w:color w:val="auto"/>
          <w:spacing w:val="6"/>
          <w:sz w:val="21"/>
          <w:szCs w:val="21"/>
          <w:highlight w:val="none"/>
          <w:lang w:val="en-US" w:eastAsia="zh-CN"/>
        </w:rPr>
      </w:pPr>
    </w:p>
    <w:p w14:paraId="535B7B3C">
      <w:pPr>
        <w:rPr>
          <w:rFonts w:hint="eastAsia" w:cs="宋体"/>
          <w:i w:val="0"/>
          <w:iCs w:val="0"/>
          <w:color w:val="auto"/>
          <w:spacing w:val="6"/>
          <w:sz w:val="21"/>
          <w:szCs w:val="21"/>
          <w:highlight w:val="none"/>
          <w:lang w:val="en-US" w:eastAsia="zh-CN"/>
        </w:rPr>
      </w:pPr>
    </w:p>
    <w:p w14:paraId="0003DA46">
      <w:pPr>
        <w:rPr>
          <w:rFonts w:hint="eastAsia" w:cs="宋体"/>
          <w:i w:val="0"/>
          <w:iCs w:val="0"/>
          <w:color w:val="auto"/>
          <w:spacing w:val="6"/>
          <w:sz w:val="21"/>
          <w:szCs w:val="21"/>
          <w:highlight w:val="none"/>
          <w:lang w:val="en-US" w:eastAsia="zh-CN"/>
        </w:rPr>
      </w:pPr>
    </w:p>
    <w:p w14:paraId="2EB5298D">
      <w:pPr>
        <w:rPr>
          <w:rFonts w:hint="eastAsia" w:cs="宋体"/>
          <w:i w:val="0"/>
          <w:iCs w:val="0"/>
          <w:color w:val="auto"/>
          <w:spacing w:val="6"/>
          <w:sz w:val="21"/>
          <w:szCs w:val="21"/>
          <w:highlight w:val="none"/>
          <w:lang w:val="en-US" w:eastAsia="zh-CN"/>
        </w:rPr>
      </w:pPr>
    </w:p>
    <w:p w14:paraId="04253368">
      <w:pPr>
        <w:rPr>
          <w:rFonts w:hint="eastAsia" w:cs="宋体"/>
          <w:color w:val="auto"/>
          <w:spacing w:val="6"/>
          <w:sz w:val="21"/>
          <w:szCs w:val="21"/>
          <w:highlight w:val="none"/>
          <w:lang w:val="en-US" w:eastAsia="zh-CN"/>
        </w:rPr>
      </w:pPr>
    </w:p>
    <w:p w14:paraId="0C202F82">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6F014A68">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lang w:eastAsia="zh-CN"/>
        </w:rPr>
      </w:pPr>
      <w:r>
        <w:rPr>
          <w:rStyle w:val="36"/>
          <w:rFonts w:hint="eastAsia" w:ascii="宋体" w:hAnsi="宋体" w:eastAsia="宋体" w:cs="宋体"/>
          <w:b w:val="0"/>
          <w:bCs w:val="0"/>
          <w:i w:val="0"/>
          <w:i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6"/>
          <w:rFonts w:hint="eastAsia" w:cs="宋体"/>
          <w:b w:val="0"/>
          <w:bCs w:val="0"/>
          <w:i w:val="0"/>
          <w:i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6"/>
          <w:rFonts w:hint="eastAsia" w:cs="宋体"/>
          <w:b w:val="0"/>
          <w:bCs w:val="0"/>
          <w:i w:val="0"/>
          <w:iCs w:val="0"/>
          <w:color w:val="auto"/>
          <w:sz w:val="24"/>
          <w:szCs w:val="24"/>
          <w:highlight w:val="none"/>
          <w:lang w:eastAsia="zh-CN"/>
        </w:rPr>
        <w:t>，</w:t>
      </w:r>
      <w:r>
        <w:rPr>
          <w:rStyle w:val="36"/>
          <w:rFonts w:hint="eastAsia" w:ascii="宋体" w:hAnsi="宋体" w:eastAsia="宋体" w:cs="宋体"/>
          <w:b w:val="0"/>
          <w:bCs w:val="0"/>
          <w:i w:val="0"/>
          <w:i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lang w:eastAsia="zh-CN"/>
        </w:rPr>
      </w:pPr>
      <w:r>
        <w:rPr>
          <w:rStyle w:val="36"/>
          <w:rFonts w:hint="eastAsia" w:ascii="宋体" w:hAnsi="宋体" w:eastAsia="宋体" w:cs="宋体"/>
          <w:b w:val="0"/>
          <w:bCs w:val="0"/>
          <w:i w:val="0"/>
          <w:i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6"/>
          <w:rFonts w:hint="eastAsia" w:cs="宋体"/>
          <w:b w:val="0"/>
          <w:bCs w:val="0"/>
          <w:i w:val="0"/>
          <w:i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lang w:eastAsia="zh-CN"/>
        </w:rPr>
      </w:pPr>
      <w:r>
        <w:rPr>
          <w:rStyle w:val="36"/>
          <w:rFonts w:hint="eastAsia" w:ascii="宋体" w:hAnsi="宋体" w:eastAsia="宋体" w:cs="宋体"/>
          <w:b w:val="0"/>
          <w:bCs w:val="0"/>
          <w:i w:val="0"/>
          <w:iCs w:val="0"/>
          <w:color w:val="auto"/>
          <w:sz w:val="24"/>
          <w:szCs w:val="24"/>
          <w:highlight w:val="none"/>
        </w:rPr>
        <w:t>九、融资担保公司参照本规定中“除贷款公司、小额贷款公司、典当行以外的其他金融机构”标准划型</w:t>
      </w:r>
      <w:r>
        <w:rPr>
          <w:rStyle w:val="36"/>
          <w:rFonts w:hint="eastAsia" w:cs="宋体"/>
          <w:b w:val="0"/>
          <w:bCs w:val="0"/>
          <w:i w:val="0"/>
          <w:i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十一、本规定自发布之日起实施,</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6"/>
          <w:rFonts w:hint="eastAsia" w:ascii="宋体" w:hAnsi="宋体" w:eastAsia="宋体" w:cs="宋体"/>
          <w:b w:val="0"/>
          <w:bCs w:val="0"/>
          <w:i w:val="0"/>
          <w:iCs w:val="0"/>
          <w:color w:val="auto"/>
          <w:sz w:val="24"/>
          <w:szCs w:val="24"/>
          <w:highlight w:val="none"/>
        </w:rPr>
      </w:pPr>
      <w:r>
        <w:rPr>
          <w:rStyle w:val="36"/>
          <w:rFonts w:hint="eastAsia" w:ascii="宋体" w:hAnsi="宋体" w:eastAsia="宋体" w:cs="宋体"/>
          <w:b w:val="0"/>
          <w:bCs w:val="0"/>
          <w:i w:val="0"/>
          <w:iCs w:val="0"/>
          <w:color w:val="auto"/>
          <w:sz w:val="24"/>
          <w:szCs w:val="24"/>
          <w:highlight w:val="none"/>
        </w:rPr>
        <w:t>附:金融业企业划型标准</w:t>
      </w:r>
    </w:p>
    <w:p w14:paraId="4CB94869">
      <w:pPr>
        <w:rPr>
          <w:rFonts w:cs="宋体"/>
          <w:i w:val="0"/>
          <w:iCs w:val="0"/>
          <w:color w:val="auto"/>
          <w:spacing w:val="6"/>
          <w:sz w:val="21"/>
          <w:szCs w:val="21"/>
          <w:highlight w:val="none"/>
        </w:rPr>
      </w:pPr>
    </w:p>
    <w:p w14:paraId="018058A8">
      <w:pPr>
        <w:rPr>
          <w:rFonts w:hint="eastAsia" w:cs="宋体"/>
          <w:i w:val="0"/>
          <w:iCs w:val="0"/>
          <w:color w:val="auto"/>
          <w:spacing w:val="6"/>
          <w:sz w:val="24"/>
          <w:szCs w:val="24"/>
          <w:highlight w:val="none"/>
          <w:lang w:val="en-US" w:eastAsia="zh-CN"/>
        </w:rPr>
      </w:pPr>
    </w:p>
    <w:p w14:paraId="5023B69E">
      <w:pPr>
        <w:rPr>
          <w:rFonts w:hint="eastAsia" w:cs="宋体"/>
          <w:i w:val="0"/>
          <w:iCs w:val="0"/>
          <w:color w:val="auto"/>
          <w:spacing w:val="6"/>
          <w:sz w:val="24"/>
          <w:szCs w:val="24"/>
          <w:highlight w:val="none"/>
          <w:lang w:val="en-US" w:eastAsia="zh-CN"/>
        </w:rPr>
      </w:pPr>
    </w:p>
    <w:p w14:paraId="5F7D4B83">
      <w:pPr>
        <w:rPr>
          <w:rFonts w:hint="eastAsia" w:cs="宋体"/>
          <w:i w:val="0"/>
          <w:iCs w:val="0"/>
          <w:color w:val="auto"/>
          <w:spacing w:val="6"/>
          <w:sz w:val="24"/>
          <w:szCs w:val="24"/>
          <w:highlight w:val="none"/>
          <w:lang w:val="en-US" w:eastAsia="zh-CN"/>
        </w:rPr>
      </w:pPr>
    </w:p>
    <w:p w14:paraId="20B74F82">
      <w:pPr>
        <w:rPr>
          <w:rFonts w:hint="eastAsia" w:cs="宋体"/>
          <w:i w:val="0"/>
          <w:iCs w:val="0"/>
          <w:color w:val="auto"/>
          <w:spacing w:val="6"/>
          <w:sz w:val="24"/>
          <w:szCs w:val="24"/>
          <w:highlight w:val="none"/>
          <w:lang w:val="en-US" w:eastAsia="zh-CN"/>
        </w:rPr>
      </w:pPr>
    </w:p>
    <w:p w14:paraId="5D736742">
      <w:pPr>
        <w:rPr>
          <w:rFonts w:hint="eastAsia" w:cs="宋体"/>
          <w:color w:val="auto"/>
          <w:spacing w:val="6"/>
          <w:sz w:val="24"/>
          <w:szCs w:val="24"/>
          <w:highlight w:val="none"/>
          <w:lang w:val="en-US" w:eastAsia="zh-CN"/>
        </w:rPr>
      </w:pPr>
    </w:p>
    <w:p w14:paraId="226ECDE6">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4D37D23">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color w:val="auto"/>
          <w:sz w:val="28"/>
          <w:szCs w:val="28"/>
          <w:highlight w:val="none"/>
        </w:rPr>
        <w:t>金融业企业划型标准</w:t>
      </w:r>
    </w:p>
    <w:tbl>
      <w:tblPr>
        <w:tblStyle w:val="34"/>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i w:val="0"/>
                <w:iCs w:val="0"/>
                <w:color w:val="auto"/>
                <w:spacing w:val="6"/>
                <w:sz w:val="21"/>
                <w:szCs w:val="21"/>
                <w:highlight w:val="none"/>
                <w:vertAlign w:val="baseline"/>
                <w:lang w:val="en-US"/>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bl>
    <w:p w14:paraId="4F673937">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bookmarkEnd w:id="1473"/>
    <w:p w14:paraId="5D4F19F2">
      <w:pPr>
        <w:pStyle w:val="17"/>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p>
    <w:p w14:paraId="14DDE05C">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1474" w:name="_Toc7363"/>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1474"/>
    </w:p>
    <w:p w14:paraId="28DED716">
      <w:pPr>
        <w:rPr>
          <w:rFonts w:cs="仿宋_GB2312"/>
          <w:b/>
          <w:color w:val="auto"/>
          <w:sz w:val="28"/>
          <w:szCs w:val="28"/>
          <w:highlight w:val="none"/>
        </w:rPr>
      </w:pPr>
    </w:p>
    <w:p w14:paraId="23D1BFCD">
      <w:pPr>
        <w:adjustRightInd w:val="0"/>
        <w:snapToGrid w:val="0"/>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i w:val="0"/>
          <w:iCs w:val="0"/>
          <w:color w:val="auto"/>
          <w:sz w:val="24"/>
          <w:szCs w:val="24"/>
          <w:highlight w:val="none"/>
          <w:lang w:val="en-US" w:eastAsia="zh-CN"/>
        </w:rPr>
        <w:t>如下</w:t>
      </w:r>
      <w:r>
        <w:rPr>
          <w:rFonts w:hint="eastAsia" w:ascii="宋体" w:hAnsi="宋体" w:eastAsia="宋体" w:cs="宋体"/>
          <w:i w:val="0"/>
          <w:iCs w:val="0"/>
          <w:color w:val="auto"/>
          <w:sz w:val="24"/>
          <w:szCs w:val="24"/>
          <w:highlight w:val="none"/>
        </w:rPr>
        <w:t>】。</w:t>
      </w:r>
    </w:p>
    <w:p w14:paraId="75238DB1">
      <w:pPr>
        <w:pStyle w:val="17"/>
        <w:spacing w:line="360" w:lineRule="auto"/>
        <w:jc w:val="center"/>
        <w:rPr>
          <w:rFonts w:hint="eastAsia" w:ascii="宋体" w:hAnsi="宋体" w:eastAsia="宋体" w:cs="宋体"/>
          <w:b/>
          <w:bCs w:val="0"/>
          <w:i w:val="0"/>
          <w:iCs w:val="0"/>
          <w:color w:val="auto"/>
          <w:sz w:val="32"/>
          <w:szCs w:val="32"/>
          <w:highlight w:val="none"/>
        </w:rPr>
      </w:pPr>
    </w:p>
    <w:p w14:paraId="3EAA5E2A">
      <w:pPr>
        <w:pStyle w:val="17"/>
        <w:spacing w:line="360" w:lineRule="auto"/>
        <w:jc w:val="center"/>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监狱企业证明函</w:t>
      </w:r>
    </w:p>
    <w:p w14:paraId="73EFA9C1">
      <w:pPr>
        <w:spacing w:line="360" w:lineRule="auto"/>
        <w:rPr>
          <w:rFonts w:hint="eastAsia" w:ascii="仿宋_GB2312" w:hAnsi="仿宋_GB2312" w:eastAsia="仿宋_GB2312" w:cs="仿宋_GB2312"/>
          <w:i w:val="0"/>
          <w:iCs w:val="0"/>
          <w:color w:val="auto"/>
          <w:sz w:val="32"/>
          <w:szCs w:val="32"/>
          <w:highlight w:val="none"/>
        </w:rPr>
      </w:pPr>
    </w:p>
    <w:p w14:paraId="7E6FDB37">
      <w:pPr>
        <w:ind w:firstLine="504" w:firstLineChars="200"/>
        <w:rPr>
          <w:rFonts w:hint="eastAsia" w:cs="宋体"/>
          <w:i w:val="0"/>
          <w:iCs w:val="0"/>
          <w:color w:val="auto"/>
          <w:spacing w:val="6"/>
          <w:szCs w:val="24"/>
          <w:highlight w:val="none"/>
        </w:rPr>
      </w:pPr>
      <w:r>
        <w:rPr>
          <w:rFonts w:hint="eastAsia" w:cs="宋体"/>
          <w:i w:val="0"/>
          <w:iCs w:val="0"/>
          <w:color w:val="auto"/>
          <w:spacing w:val="6"/>
          <w:szCs w:val="24"/>
          <w:highlight w:val="none"/>
        </w:rPr>
        <w:t>本公司郑重声明，根据财政部、司法部《关于政府采购支持监狱企业发展有关问题的通知》（财库【2014】68号）的规定，本公司为监狱企业。</w:t>
      </w:r>
    </w:p>
    <w:p w14:paraId="3C2CE4C6">
      <w:pPr>
        <w:spacing w:line="360" w:lineRule="auto"/>
        <w:rPr>
          <w:rFonts w:hint="eastAsia" w:ascii="宋体" w:hAnsi="宋体" w:eastAsia="宋体" w:cs="宋体"/>
          <w:i w:val="0"/>
          <w:iCs w:val="0"/>
          <w:color w:val="auto"/>
          <w:sz w:val="24"/>
          <w:szCs w:val="24"/>
          <w:highlight w:val="none"/>
        </w:rPr>
      </w:pPr>
    </w:p>
    <w:p w14:paraId="25406F97">
      <w:pPr>
        <w:ind w:firstLine="4440" w:firstLineChars="1850"/>
        <w:rPr>
          <w:rFonts w:hint="eastAsia" w:ascii="宋体" w:hAnsi="宋体" w:eastAsia="宋体" w:cs="宋体"/>
          <w:i w:val="0"/>
          <w:iCs w:val="0"/>
          <w:color w:val="auto"/>
          <w:sz w:val="24"/>
          <w:szCs w:val="24"/>
          <w:highlight w:val="none"/>
        </w:rPr>
      </w:pPr>
    </w:p>
    <w:p w14:paraId="44FF352C">
      <w:pPr>
        <w:ind w:firstLine="4440" w:firstLineChars="1850"/>
        <w:rPr>
          <w:rFonts w:hint="eastAsia" w:ascii="宋体" w:hAnsi="宋体" w:eastAsia="宋体" w:cs="宋体"/>
          <w:i w:val="0"/>
          <w:iCs w:val="0"/>
          <w:color w:val="auto"/>
          <w:sz w:val="24"/>
          <w:szCs w:val="24"/>
          <w:highlight w:val="none"/>
        </w:rPr>
      </w:pPr>
    </w:p>
    <w:p w14:paraId="0841D36F">
      <w:pPr>
        <w:ind w:right="1008" w:firstLine="4284" w:firstLineChars="1700"/>
        <w:rPr>
          <w:rFonts w:hint="eastAsia" w:ascii="宋体" w:hAnsi="宋体" w:eastAsia="宋体" w:cs="宋体"/>
          <w:i w:val="0"/>
          <w:iCs w:val="0"/>
          <w:color w:val="auto"/>
          <w:spacing w:val="6"/>
          <w:sz w:val="24"/>
          <w:szCs w:val="24"/>
          <w:highlight w:val="none"/>
        </w:rPr>
      </w:pPr>
      <w:r>
        <w:rPr>
          <w:rFonts w:hint="eastAsia" w:cs="宋体"/>
          <w:i w:val="0"/>
          <w:iCs w:val="0"/>
          <w:color w:val="auto"/>
          <w:spacing w:val="6"/>
          <w:sz w:val="24"/>
          <w:szCs w:val="24"/>
          <w:highlight w:val="none"/>
          <w:lang w:val="en-US" w:eastAsia="zh-CN"/>
        </w:rPr>
        <w:t>供应商</w:t>
      </w:r>
      <w:r>
        <w:rPr>
          <w:rFonts w:hint="eastAsia" w:ascii="宋体" w:hAnsi="宋体" w:eastAsia="宋体" w:cs="宋体"/>
          <w:i w:val="0"/>
          <w:iCs w:val="0"/>
          <w:color w:val="auto"/>
          <w:spacing w:val="6"/>
          <w:sz w:val="24"/>
          <w:szCs w:val="24"/>
          <w:highlight w:val="none"/>
        </w:rPr>
        <w:t>名称</w:t>
      </w:r>
      <w:r>
        <w:rPr>
          <w:rFonts w:hint="eastAsia" w:ascii="宋体" w:hAnsi="宋体" w:eastAsia="宋体" w:cs="宋体"/>
          <w:i w:val="0"/>
          <w:iCs w:val="0"/>
          <w:color w:val="auto"/>
          <w:spacing w:val="6"/>
          <w:sz w:val="24"/>
          <w:szCs w:val="24"/>
          <w:highlight w:val="none"/>
          <w:lang w:eastAsia="zh-CN"/>
        </w:rPr>
        <w:t>（</w:t>
      </w:r>
      <w:r>
        <w:rPr>
          <w:rFonts w:hint="eastAsia" w:cs="宋体"/>
          <w:i w:val="0"/>
          <w:iCs w:val="0"/>
          <w:color w:val="auto"/>
          <w:spacing w:val="6"/>
          <w:sz w:val="24"/>
          <w:szCs w:val="24"/>
          <w:highlight w:val="none"/>
          <w:lang w:val="en-US" w:eastAsia="zh-CN"/>
        </w:rPr>
        <w:t>公章</w:t>
      </w:r>
      <w:r>
        <w:rPr>
          <w:rFonts w:hint="eastAsia" w:ascii="宋体" w:hAnsi="宋体" w:eastAsia="宋体" w:cs="宋体"/>
          <w:i w:val="0"/>
          <w:iCs w:val="0"/>
          <w:color w:val="auto"/>
          <w:spacing w:val="6"/>
          <w:sz w:val="24"/>
          <w:szCs w:val="24"/>
          <w:highlight w:val="none"/>
          <w:lang w:eastAsia="zh-CN"/>
        </w:rPr>
        <w:t>）</w:t>
      </w:r>
      <w:r>
        <w:rPr>
          <w:rFonts w:hint="eastAsia" w:ascii="宋体" w:hAnsi="宋体" w:eastAsia="宋体" w:cs="宋体"/>
          <w:i w:val="0"/>
          <w:iCs w:val="0"/>
          <w:color w:val="auto"/>
          <w:spacing w:val="6"/>
          <w:sz w:val="24"/>
          <w:szCs w:val="24"/>
          <w:highlight w:val="none"/>
        </w:rPr>
        <w:t>：</w:t>
      </w:r>
    </w:p>
    <w:p w14:paraId="3678CEA7">
      <w:pPr>
        <w:ind w:right="1008" w:firstLine="4284" w:firstLineChars="1700"/>
        <w:rPr>
          <w:rFonts w:hint="eastAsia" w:ascii="宋体" w:hAnsi="宋体" w:eastAsia="宋体" w:cs="宋体"/>
          <w:i w:val="0"/>
          <w:iCs w:val="0"/>
          <w:color w:val="auto"/>
          <w:spacing w:val="6"/>
          <w:sz w:val="24"/>
          <w:szCs w:val="24"/>
          <w:highlight w:val="none"/>
          <w:lang w:val="en-US" w:eastAsia="zh-CN"/>
        </w:rPr>
      </w:pPr>
      <w:r>
        <w:rPr>
          <w:rFonts w:hint="eastAsia" w:ascii="宋体" w:hAnsi="宋体" w:eastAsia="宋体" w:cs="宋体"/>
          <w:i w:val="0"/>
          <w:iCs w:val="0"/>
          <w:color w:val="auto"/>
          <w:spacing w:val="6"/>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i w:val="0"/>
          <w:iCs w:val="0"/>
          <w:color w:val="auto"/>
          <w:sz w:val="24"/>
          <w:szCs w:val="24"/>
          <w:highlight w:val="none"/>
        </w:rPr>
      </w:pPr>
    </w:p>
    <w:p w14:paraId="7B8735C9">
      <w:pPr>
        <w:spacing w:line="360" w:lineRule="auto"/>
        <w:ind w:firstLine="240" w:firstLineChars="100"/>
        <w:rPr>
          <w:rFonts w:hint="eastAsia" w:ascii="宋体" w:hAnsi="宋体" w:eastAsia="宋体" w:cs="宋体"/>
          <w:i w:val="0"/>
          <w:iCs w:val="0"/>
          <w:color w:val="auto"/>
          <w:sz w:val="24"/>
          <w:szCs w:val="24"/>
          <w:highlight w:val="none"/>
        </w:rPr>
      </w:pPr>
    </w:p>
    <w:p w14:paraId="32722C7E">
      <w:pPr>
        <w:spacing w:line="360" w:lineRule="auto"/>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省级以上监狱管理局、戒毒管理局</w:t>
      </w:r>
    </w:p>
    <w:p w14:paraId="20204BC0">
      <w:pPr>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（含新疆生产建设兵团）（盖章）：  </w:t>
      </w:r>
    </w:p>
    <w:p w14:paraId="4A414B41">
      <w:pPr>
        <w:ind w:firstLine="4320" w:firstLineChars="18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i w:val="0"/>
          <w:iCs w:val="0"/>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i w:val="0"/>
          <w:iCs w:val="0"/>
          <w:color w:val="auto"/>
          <w:sz w:val="32"/>
          <w:szCs w:val="32"/>
          <w:highlight w:val="none"/>
        </w:rPr>
      </w:pPr>
    </w:p>
    <w:p w14:paraId="206A9633">
      <w:pPr>
        <w:spacing w:line="360" w:lineRule="auto"/>
        <w:rPr>
          <w:rFonts w:hint="eastAsia" w:ascii="仿宋_GB2312" w:hAnsi="仿宋_GB2312" w:eastAsia="仿宋_GB2312" w:cs="仿宋_GB2312"/>
          <w:i w:val="0"/>
          <w:iCs w:val="0"/>
          <w:color w:val="auto"/>
          <w:sz w:val="32"/>
          <w:szCs w:val="32"/>
          <w:highlight w:val="none"/>
        </w:rPr>
      </w:pPr>
    </w:p>
    <w:p w14:paraId="283F77FC">
      <w:pPr>
        <w:widowControl/>
        <w:spacing w:before="100" w:beforeAutospacing="1" w:after="100" w:afterAutospacing="1"/>
        <w:rPr>
          <w:rFonts w:ascii="Arial" w:hAnsi="Arial" w:cs="Arial"/>
          <w:i w:val="0"/>
          <w:iCs w:val="0"/>
          <w:color w:val="auto"/>
          <w:sz w:val="21"/>
          <w:szCs w:val="21"/>
          <w:highlight w:val="none"/>
        </w:rPr>
      </w:pPr>
    </w:p>
    <w:p w14:paraId="3ACDD48E">
      <w:pPr>
        <w:widowControl/>
        <w:spacing w:before="100" w:beforeAutospacing="1" w:after="100" w:afterAutospacing="1"/>
        <w:rPr>
          <w:rFonts w:ascii="Arial" w:hAnsi="Arial" w:cs="Arial"/>
          <w:i w:val="0"/>
          <w:iCs w:val="0"/>
          <w:color w:val="auto"/>
          <w:sz w:val="21"/>
          <w:szCs w:val="21"/>
          <w:highlight w:val="none"/>
        </w:rPr>
      </w:pPr>
    </w:p>
    <w:p w14:paraId="2AA0844D">
      <w:pPr>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outlineLvl w:val="9"/>
        <w:rPr>
          <w:rFonts w:hint="eastAsia" w:ascii="宋体" w:hAnsi="宋体" w:eastAsia="宋体" w:cstheme="minorBidi"/>
          <w:b/>
          <w:bCs/>
          <w:color w:val="auto"/>
          <w:kern w:val="2"/>
          <w:sz w:val="24"/>
          <w:szCs w:val="24"/>
          <w:highlight w:val="none"/>
          <w:lang w:val="en-US" w:eastAsia="zh-CN" w:bidi="ar-SA"/>
        </w:rPr>
      </w:pPr>
      <w:bookmarkStart w:id="1475" w:name="_Toc163492941"/>
    </w:p>
    <w:p w14:paraId="69ACD5D5">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1476" w:name="_Toc26766"/>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1475"/>
      <w:bookmarkEnd w:id="1476"/>
    </w:p>
    <w:p w14:paraId="57F303A4">
      <w:pPr>
        <w:pStyle w:val="44"/>
        <w:numPr>
          <w:ilvl w:val="0"/>
          <w:numId w:val="0"/>
        </w:numPr>
        <w:ind w:left="420" w:leftChars="0" w:hanging="420" w:firstLineChars="0"/>
        <w:jc w:val="center"/>
        <w:rPr>
          <w:rFonts w:hint="eastAsia"/>
          <w:b/>
          <w:bCs/>
          <w:color w:val="auto"/>
          <w:sz w:val="32"/>
          <w:szCs w:val="32"/>
          <w:highlight w:val="none"/>
        </w:rPr>
      </w:pPr>
    </w:p>
    <w:p w14:paraId="6582780B">
      <w:pPr>
        <w:pStyle w:val="44"/>
        <w:numPr>
          <w:ilvl w:val="0"/>
          <w:numId w:val="0"/>
        </w:numPr>
        <w:ind w:left="420" w:leftChars="0" w:hanging="420" w:firstLineChars="0"/>
        <w:jc w:val="center"/>
        <w:rPr>
          <w:b/>
          <w:bCs/>
          <w:i w:val="0"/>
          <w:iCs w:val="0"/>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i w:val="0"/>
          <w:iCs w:val="0"/>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工程</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承建</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承建单位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承建单位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en-US" w:eastAsia="zh-CN"/>
        </w:rPr>
        <w:t>工程</w:t>
      </w:r>
      <w:r>
        <w:rPr>
          <w:rFonts w:hint="eastAsia"/>
          <w:bCs/>
          <w:i w:val="0"/>
          <w:iCs w:val="0"/>
          <w:color w:val="auto"/>
          <w:szCs w:val="21"/>
          <w:highlight w:val="none"/>
          <w:lang w:val="zh-CN"/>
        </w:rPr>
        <w:t>应当全部由符合政策要求的残疾人福利性单位</w:t>
      </w:r>
      <w:r>
        <w:rPr>
          <w:rFonts w:hint="eastAsia"/>
          <w:bCs/>
          <w:i w:val="0"/>
          <w:iCs w:val="0"/>
          <w:color w:val="auto"/>
          <w:szCs w:val="21"/>
          <w:highlight w:val="none"/>
          <w:lang w:val="en-US" w:eastAsia="zh-CN"/>
        </w:rPr>
        <w:t>承建</w:t>
      </w:r>
      <w:r>
        <w:rPr>
          <w:rFonts w:hint="eastAsia"/>
          <w:bCs/>
          <w:i w:val="0"/>
          <w:iCs w:val="0"/>
          <w:color w:val="auto"/>
          <w:szCs w:val="21"/>
          <w:highlight w:val="none"/>
          <w:lang w:val="zh-CN"/>
        </w:rPr>
        <w:t>；应当严格按上述格式及内容进行填写（应当明确每个</w:t>
      </w:r>
      <w:r>
        <w:rPr>
          <w:rFonts w:hint="eastAsia"/>
          <w:bCs/>
          <w:i w:val="0"/>
          <w:iCs w:val="0"/>
          <w:color w:val="auto"/>
          <w:szCs w:val="21"/>
          <w:highlight w:val="none"/>
          <w:lang w:val="en-US" w:eastAsia="zh-CN"/>
        </w:rPr>
        <w:t>包</w:t>
      </w:r>
      <w:r>
        <w:rPr>
          <w:rFonts w:hint="eastAsia"/>
          <w:bCs/>
          <w:i w:val="0"/>
          <w:iCs w:val="0"/>
          <w:color w:val="auto"/>
          <w:szCs w:val="21"/>
          <w:highlight w:val="none"/>
          <w:lang w:val="zh-CN"/>
        </w:rPr>
        <w:t>的的</w:t>
      </w:r>
      <w:r>
        <w:rPr>
          <w:rFonts w:hint="eastAsia"/>
          <w:bCs/>
          <w:i w:val="0"/>
          <w:iCs w:val="0"/>
          <w:color w:val="auto"/>
          <w:szCs w:val="21"/>
          <w:highlight w:val="none"/>
          <w:lang w:val="en-US" w:eastAsia="zh-CN"/>
        </w:rPr>
        <w:t>实施单位</w:t>
      </w:r>
      <w:r>
        <w:rPr>
          <w:rFonts w:hint="eastAsia"/>
          <w:bCs/>
          <w:i w:val="0"/>
          <w:iCs w:val="0"/>
          <w:color w:val="auto"/>
          <w:szCs w:val="21"/>
          <w:highlight w:val="none"/>
          <w:lang w:val="zh-CN"/>
        </w:rPr>
        <w:t>及相关数据），否则导致的后果由</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自行承担；</w:t>
      </w:r>
    </w:p>
    <w:p w14:paraId="2288B711">
      <w:pPr>
        <w:wordWrap w:val="0"/>
        <w:ind w:left="1087" w:hanging="1087" w:hangingChars="453"/>
        <w:rPr>
          <w:rFonts w:cs="Courier New"/>
          <w:i w:val="0"/>
          <w:iCs w:val="0"/>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i w:val="0"/>
          <w:iCs w:val="0"/>
          <w:color w:val="auto"/>
          <w:szCs w:val="21"/>
          <w:highlight w:val="none"/>
          <w:lang w:val="zh-CN"/>
        </w:rPr>
      </w:pPr>
      <w:r>
        <w:rPr>
          <w:rFonts w:hint="eastAsia"/>
          <w:bCs/>
          <w:i w:val="0"/>
          <w:iCs w:val="0"/>
          <w:color w:val="auto"/>
          <w:szCs w:val="21"/>
          <w:highlight w:val="none"/>
          <w:lang w:val="en-US" w:eastAsia="zh-CN"/>
        </w:rPr>
        <w:t>供应商名称（公章）</w:t>
      </w:r>
      <w:r>
        <w:rPr>
          <w:rFonts w:hint="eastAsia"/>
          <w:bCs/>
          <w:i w:val="0"/>
          <w:iCs w:val="0"/>
          <w:color w:val="auto"/>
          <w:szCs w:val="21"/>
          <w:highlight w:val="none"/>
          <w:lang w:val="zh-CN"/>
        </w:rPr>
        <w:t>：</w:t>
      </w:r>
      <w:r>
        <w:rPr>
          <w:rFonts w:hint="eastAsia"/>
          <w:bCs/>
          <w:i w:val="0"/>
          <w:iCs w:val="0"/>
          <w:color w:val="auto"/>
          <w:szCs w:val="21"/>
          <w:highlight w:val="none"/>
          <w:u w:val="single"/>
          <w:lang w:val="zh-CN"/>
        </w:rPr>
        <w:t xml:space="preserve">                </w:t>
      </w:r>
    </w:p>
    <w:p w14:paraId="3A972AC9">
      <w:pPr>
        <w:wordWrap w:val="0"/>
        <w:spacing w:before="100" w:beforeAutospacing="1" w:after="100" w:afterAutospacing="1"/>
        <w:ind w:firstLine="3316" w:firstLineChars="1382"/>
        <w:rPr>
          <w:i w:val="0"/>
          <w:iCs w:val="0"/>
          <w:color w:val="auto"/>
          <w:highlight w:val="none"/>
        </w:rPr>
      </w:pPr>
      <w:r>
        <w:rPr>
          <w:rFonts w:hint="eastAsia"/>
          <w:i w:val="0"/>
          <w:iCs w:val="0"/>
          <w:color w:val="auto"/>
          <w:szCs w:val="24"/>
          <w:highlight w:val="none"/>
        </w:rPr>
        <w:t>日</w:t>
      </w:r>
      <w:r>
        <w:rPr>
          <w:i w:val="0"/>
          <w:iCs w:val="0"/>
          <w:color w:val="auto"/>
          <w:szCs w:val="24"/>
          <w:highlight w:val="none"/>
        </w:rPr>
        <w:t xml:space="preserve">  </w:t>
      </w:r>
      <w:r>
        <w:rPr>
          <w:rFonts w:hint="eastAsia"/>
          <w:i w:val="0"/>
          <w:iCs w:val="0"/>
          <w:color w:val="auto"/>
          <w:szCs w:val="24"/>
          <w:highlight w:val="none"/>
        </w:rPr>
        <w:t>期：</w:t>
      </w:r>
      <w:r>
        <w:rPr>
          <w:bCs/>
          <w:i w:val="0"/>
          <w:iCs w:val="0"/>
          <w:color w:val="auto"/>
          <w:szCs w:val="24"/>
          <w:highlight w:val="none"/>
          <w:u w:val="single"/>
        </w:rPr>
        <w:t xml:space="preserve">             </w:t>
      </w:r>
      <w:r>
        <w:rPr>
          <w:rFonts w:hint="eastAsia"/>
          <w:bCs/>
          <w:i w:val="0"/>
          <w:iCs w:val="0"/>
          <w:color w:val="auto"/>
          <w:szCs w:val="24"/>
          <w:highlight w:val="none"/>
          <w:u w:val="single"/>
          <w:lang w:val="en-US" w:eastAsia="zh-CN"/>
        </w:rPr>
        <w:t xml:space="preserve">  </w:t>
      </w:r>
      <w:r>
        <w:rPr>
          <w:bCs/>
          <w:i w:val="0"/>
          <w:iCs w:val="0"/>
          <w:color w:val="auto"/>
          <w:szCs w:val="24"/>
          <w:highlight w:val="none"/>
          <w:u w:val="single"/>
        </w:rPr>
        <w:t xml:space="preserve">            </w:t>
      </w:r>
    </w:p>
    <w:p w14:paraId="6F5F8DCA">
      <w:pPr>
        <w:ind w:left="4620" w:firstLine="281" w:firstLineChars="100"/>
        <w:rPr>
          <w:rFonts w:cs="仿宋_GB2312"/>
          <w:b/>
          <w:i w:val="0"/>
          <w:iCs w:val="0"/>
          <w:color w:val="auto"/>
          <w:sz w:val="28"/>
          <w:szCs w:val="28"/>
          <w:highlight w:val="none"/>
        </w:rPr>
      </w:pPr>
    </w:p>
    <w:p w14:paraId="7BDD1A80">
      <w:pPr>
        <w:rPr>
          <w:i w:val="0"/>
          <w:iCs w:val="0"/>
          <w:color w:val="auto"/>
          <w:highlight w:val="none"/>
        </w:rPr>
      </w:pPr>
      <w:r>
        <w:rPr>
          <w:i w:val="0"/>
          <w:iCs w:val="0"/>
          <w:color w:val="auto"/>
          <w:highlight w:val="none"/>
        </w:rPr>
        <w:br w:type="page"/>
      </w:r>
    </w:p>
    <w:p w14:paraId="4044E1FE">
      <w:pPr>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outlineLvl w:val="9"/>
        <w:rPr>
          <w:rFonts w:hint="eastAsia" w:ascii="宋体" w:hAnsi="宋体" w:eastAsia="宋体" w:cstheme="minorBidi"/>
          <w:b/>
          <w:bCs/>
          <w:color w:val="auto"/>
          <w:kern w:val="2"/>
          <w:sz w:val="24"/>
          <w:szCs w:val="24"/>
          <w:highlight w:val="none"/>
          <w:lang w:val="en-US" w:eastAsia="zh-CN" w:bidi="ar-SA"/>
        </w:rPr>
      </w:pPr>
    </w:p>
    <w:p w14:paraId="1468967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1477" w:name="_Toc4153"/>
      <w:r>
        <w:rPr>
          <w:rFonts w:hint="eastAsia" w:cstheme="majorBidi"/>
          <w:b/>
          <w:bCs/>
          <w:color w:val="auto"/>
          <w:kern w:val="2"/>
          <w:sz w:val="28"/>
          <w:szCs w:val="28"/>
          <w:highlight w:val="none"/>
          <w:lang w:val="en-US" w:eastAsia="zh-CN" w:bidi="ar-SA"/>
        </w:rPr>
        <w:t>五、不参与围标串标承诺书</w:t>
      </w:r>
      <w:bookmarkEnd w:id="1477"/>
    </w:p>
    <w:p w14:paraId="415F309A">
      <w:pPr>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outlineLvl w:val="9"/>
        <w:rPr>
          <w:rFonts w:hint="eastAsia" w:eastAsia="宋体" w:asciiTheme="majorHAnsi" w:hAnsiTheme="majorHAnsi" w:cstheme="majorBidi"/>
          <w:b/>
          <w:bCs/>
          <w:color w:val="auto"/>
          <w:kern w:val="2"/>
          <w:sz w:val="32"/>
          <w:szCs w:val="32"/>
          <w:highlight w:val="none"/>
          <w:lang w:val="en-US" w:eastAsia="zh-CN" w:bidi="ar-SA"/>
        </w:rPr>
      </w:pPr>
    </w:p>
    <w:p w14:paraId="593E065F">
      <w:pPr>
        <w:jc w:val="center"/>
        <w:rPr>
          <w:rFonts w:hint="eastAsia"/>
          <w:i w:val="0"/>
          <w:iCs w:val="0"/>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785BACB9">
      <w:pPr>
        <w:rPr>
          <w:rFonts w:hint="eastAsia"/>
          <w:i w:val="0"/>
          <w:iCs w:val="0"/>
          <w:color w:val="auto"/>
          <w:highlight w:val="none"/>
          <w:lang w:val="en-US" w:eastAsia="zh-CN"/>
        </w:rPr>
      </w:pPr>
      <w:r>
        <w:rPr>
          <w:rFonts w:hint="eastAsia"/>
          <w:i w:val="0"/>
          <w:iCs w:val="0"/>
          <w:color w:val="auto"/>
          <w:highlight w:val="none"/>
          <w:lang w:val="en-US" w:eastAsia="zh-CN"/>
        </w:rPr>
        <w:t>  </w:t>
      </w:r>
    </w:p>
    <w:p w14:paraId="2A499E15">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为诚实、客观、有序地参与</w:t>
      </w:r>
      <w:r>
        <w:rPr>
          <w:rFonts w:hint="eastAsia" w:ascii="宋体" w:hAnsi="宋体" w:eastAsia="宋体" w:cs="宋体"/>
          <w:i/>
          <w:iCs/>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项目采购活动，愿就以下内容作出承诺：</w:t>
      </w:r>
    </w:p>
    <w:p w14:paraId="32F6E106">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一、严格遵守国家法律法规和行业规范，诚实守信，公平竞争，不参与任何形式的围标、串标行为，不与其他投标供应商存在控股、管理及其他关联关系。</w:t>
      </w:r>
    </w:p>
    <w:p w14:paraId="46347ABE">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0D6BA85D">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三、若在招标投标过程中发现其他投标人或相关方有围标、串标等违法行为，及时告知采购人或代理机构，积极配合调查。</w:t>
      </w:r>
    </w:p>
    <w:p w14:paraId="299E09AB">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3E6464F4">
      <w:pPr>
        <w:spacing w:line="560" w:lineRule="exact"/>
        <w:rPr>
          <w:rFonts w:hint="eastAsia" w:ascii="宋体" w:hAnsi="宋体" w:eastAsia="宋体" w:cs="宋体"/>
          <w:i w:val="0"/>
          <w:iCs w:val="0"/>
          <w:color w:val="auto"/>
          <w:kern w:val="0"/>
          <w:sz w:val="24"/>
          <w:szCs w:val="24"/>
          <w:highlight w:val="none"/>
        </w:rPr>
      </w:pPr>
    </w:p>
    <w:p w14:paraId="718D11ED">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                             （公章）</w:t>
      </w:r>
    </w:p>
    <w:p w14:paraId="38AF2F0D">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法定代表人或委托代理人：             （签字）</w:t>
      </w:r>
    </w:p>
    <w:p w14:paraId="2CE354BE">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年   月   日</w:t>
      </w:r>
    </w:p>
    <w:p w14:paraId="685BABFA">
      <w:pPr>
        <w:spacing w:line="560" w:lineRule="exact"/>
        <w:rPr>
          <w:rFonts w:hint="eastAsia" w:ascii="宋体" w:hAnsi="宋体" w:eastAsia="宋体" w:cs="宋体"/>
          <w:i w:val="0"/>
          <w:iCs w:val="0"/>
          <w:color w:val="auto"/>
          <w:kern w:val="0"/>
          <w:sz w:val="24"/>
          <w:szCs w:val="24"/>
          <w:highlight w:val="none"/>
        </w:rPr>
      </w:pPr>
    </w:p>
    <w:p w14:paraId="13DEAFB3">
      <w:pPr>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outlineLvl w:val="9"/>
        <w:rPr>
          <w:rFonts w:hint="eastAsia" w:ascii="宋体" w:hAnsi="宋体" w:eastAsia="宋体" w:cstheme="minorBidi"/>
          <w:b/>
          <w:bCs/>
          <w:color w:val="auto"/>
          <w:kern w:val="2"/>
          <w:sz w:val="24"/>
          <w:szCs w:val="24"/>
          <w:highlight w:val="none"/>
          <w:lang w:val="en-US" w:eastAsia="zh-CN" w:bidi="ar-SA"/>
        </w:rPr>
      </w:pPr>
    </w:p>
    <w:p w14:paraId="2A0D0C5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32"/>
          <w:szCs w:val="32"/>
          <w:highlight w:val="none"/>
          <w:lang w:val="zh-CN" w:eastAsia="zh-CN" w:bidi="ar-SA"/>
        </w:rPr>
      </w:pPr>
      <w:bookmarkStart w:id="1478" w:name="_Toc17604"/>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1478"/>
    </w:p>
    <w:p w14:paraId="0C24F0AE">
      <w:pPr>
        <w:pStyle w:val="40"/>
        <w:rPr>
          <w:rFonts w:hint="eastAsia"/>
          <w:i w:val="0"/>
          <w:iCs w:val="0"/>
          <w:color w:val="auto"/>
          <w:highlight w:val="none"/>
        </w:rPr>
      </w:pPr>
      <w:r>
        <w:rPr>
          <w:rFonts w:hint="eastAsia" w:cs="Courier New"/>
          <w:i w:val="0"/>
          <w:iCs w:val="0"/>
          <w:color w:val="auto"/>
          <w:szCs w:val="24"/>
          <w:highlight w:val="none"/>
          <w:lang w:val="en-US" w:eastAsia="zh-CN"/>
        </w:rPr>
        <w:t>供应商</w:t>
      </w:r>
      <w:r>
        <w:rPr>
          <w:rFonts w:hint="eastAsia" w:cs="Courier New"/>
          <w:i w:val="0"/>
          <w:iCs w:val="0"/>
          <w:color w:val="auto"/>
          <w:szCs w:val="24"/>
          <w:highlight w:val="none"/>
        </w:rPr>
        <w:t>认为需提供的其它相关资格证明材料</w:t>
      </w:r>
    </w:p>
    <w:p w14:paraId="7C2C3E83">
      <w:pPr>
        <w:pStyle w:val="40"/>
        <w:rPr>
          <w:rFonts w:hint="eastAsia"/>
          <w:i w:val="0"/>
          <w:iCs w:val="0"/>
          <w:color w:val="auto"/>
          <w:highlight w:val="none"/>
        </w:rPr>
      </w:pPr>
    </w:p>
    <w:p w14:paraId="58A36194">
      <w:pPr>
        <w:pStyle w:val="40"/>
        <w:rPr>
          <w:rFonts w:hint="eastAsia"/>
          <w:i w:val="0"/>
          <w:iCs w:val="0"/>
          <w:color w:val="auto"/>
          <w:highlight w:val="none"/>
        </w:rPr>
      </w:pPr>
    </w:p>
    <w:p w14:paraId="3553B395">
      <w:pPr>
        <w:pStyle w:val="40"/>
        <w:rPr>
          <w:rFonts w:hint="eastAsia"/>
          <w:i w:val="0"/>
          <w:iCs w:val="0"/>
          <w:color w:val="auto"/>
          <w:highlight w:val="none"/>
        </w:rPr>
      </w:pPr>
    </w:p>
    <w:p w14:paraId="49D404FC">
      <w:pPr>
        <w:pStyle w:val="40"/>
        <w:rPr>
          <w:rFonts w:hint="eastAsia"/>
          <w:i w:val="0"/>
          <w:iCs w:val="0"/>
          <w:color w:val="auto"/>
          <w:highlight w:val="none"/>
        </w:rPr>
      </w:pPr>
    </w:p>
    <w:p w14:paraId="4B98E4B6">
      <w:pPr>
        <w:pStyle w:val="40"/>
        <w:rPr>
          <w:rFonts w:hint="eastAsia"/>
          <w:i w:val="0"/>
          <w:iCs w:val="0"/>
          <w:color w:val="auto"/>
          <w:highlight w:val="none"/>
        </w:rPr>
      </w:pPr>
    </w:p>
    <w:p w14:paraId="737FEDD3">
      <w:pPr>
        <w:pStyle w:val="40"/>
        <w:rPr>
          <w:rFonts w:hint="eastAsia"/>
          <w:i w:val="0"/>
          <w:iCs w:val="0"/>
          <w:color w:val="auto"/>
          <w:highlight w:val="none"/>
        </w:rPr>
      </w:pPr>
    </w:p>
    <w:p w14:paraId="1C876135">
      <w:pPr>
        <w:pStyle w:val="40"/>
        <w:rPr>
          <w:rFonts w:hint="eastAsia"/>
          <w:i w:val="0"/>
          <w:iCs w:val="0"/>
          <w:color w:val="auto"/>
          <w:highlight w:val="none"/>
        </w:rPr>
      </w:pPr>
    </w:p>
    <w:p w14:paraId="7E85C842">
      <w:pPr>
        <w:pStyle w:val="40"/>
        <w:rPr>
          <w:rFonts w:hint="eastAsia"/>
          <w:i w:val="0"/>
          <w:iCs w:val="0"/>
          <w:color w:val="auto"/>
          <w:highlight w:val="none"/>
        </w:rPr>
      </w:pPr>
    </w:p>
    <w:p w14:paraId="4CBE3B0D">
      <w:pPr>
        <w:pStyle w:val="40"/>
        <w:rPr>
          <w:rFonts w:hint="eastAsia"/>
          <w:i w:val="0"/>
          <w:iCs w:val="0"/>
          <w:color w:val="auto"/>
          <w:highlight w:val="none"/>
        </w:rPr>
      </w:pPr>
    </w:p>
    <w:p w14:paraId="2E6E451F">
      <w:pPr>
        <w:pStyle w:val="40"/>
        <w:rPr>
          <w:rFonts w:hint="eastAsia"/>
          <w:i w:val="0"/>
          <w:iCs w:val="0"/>
          <w:color w:val="auto"/>
          <w:highlight w:val="none"/>
        </w:rPr>
      </w:pPr>
    </w:p>
    <w:p w14:paraId="38DC2C55">
      <w:pPr>
        <w:pStyle w:val="40"/>
        <w:rPr>
          <w:rFonts w:hint="eastAsia"/>
          <w:i w:val="0"/>
          <w:iCs w:val="0"/>
          <w:color w:val="auto"/>
          <w:highlight w:val="none"/>
        </w:rPr>
      </w:pPr>
    </w:p>
    <w:p w14:paraId="04DAFD3C">
      <w:pPr>
        <w:pStyle w:val="40"/>
        <w:rPr>
          <w:rFonts w:hint="eastAsia"/>
          <w:i w:val="0"/>
          <w:iCs w:val="0"/>
          <w:color w:val="auto"/>
          <w:highlight w:val="none"/>
        </w:rPr>
      </w:pPr>
    </w:p>
    <w:p w14:paraId="51E24CDC">
      <w:pPr>
        <w:pStyle w:val="40"/>
        <w:rPr>
          <w:rFonts w:hint="eastAsia"/>
          <w:i w:val="0"/>
          <w:iCs w:val="0"/>
          <w:color w:val="auto"/>
          <w:highlight w:val="none"/>
        </w:rPr>
      </w:pPr>
    </w:p>
    <w:p w14:paraId="1AC1942E">
      <w:pPr>
        <w:pStyle w:val="40"/>
        <w:rPr>
          <w:rFonts w:hint="eastAsia"/>
          <w:i w:val="0"/>
          <w:iCs w:val="0"/>
          <w:color w:val="auto"/>
          <w:highlight w:val="none"/>
        </w:rPr>
      </w:pPr>
    </w:p>
    <w:p w14:paraId="4722E259">
      <w:pPr>
        <w:pStyle w:val="40"/>
        <w:rPr>
          <w:rFonts w:hint="eastAsia"/>
          <w:i w:val="0"/>
          <w:iCs w:val="0"/>
          <w:color w:val="auto"/>
          <w:highlight w:val="none"/>
        </w:rPr>
      </w:pPr>
    </w:p>
    <w:p w14:paraId="07033BD3">
      <w:pPr>
        <w:pStyle w:val="40"/>
        <w:rPr>
          <w:rFonts w:hint="eastAsia"/>
          <w:i w:val="0"/>
          <w:iCs w:val="0"/>
          <w:color w:val="auto"/>
          <w:highlight w:val="none"/>
        </w:rPr>
      </w:pPr>
    </w:p>
    <w:p w14:paraId="6E1D094D">
      <w:pPr>
        <w:pStyle w:val="40"/>
        <w:rPr>
          <w:rFonts w:hint="eastAsia"/>
          <w:i w:val="0"/>
          <w:iCs w:val="0"/>
          <w:color w:val="auto"/>
          <w:highlight w:val="none"/>
        </w:rPr>
      </w:pPr>
    </w:p>
    <w:p w14:paraId="23B0DB54">
      <w:pPr>
        <w:pStyle w:val="40"/>
        <w:rPr>
          <w:rFonts w:hint="eastAsia"/>
          <w:i w:val="0"/>
          <w:iCs w:val="0"/>
          <w:color w:val="auto"/>
          <w:highlight w:val="none"/>
        </w:rPr>
      </w:pPr>
    </w:p>
    <w:p w14:paraId="07159DF6">
      <w:pPr>
        <w:pStyle w:val="40"/>
        <w:rPr>
          <w:rFonts w:hint="eastAsia"/>
          <w:i w:val="0"/>
          <w:iCs w:val="0"/>
          <w:color w:val="auto"/>
          <w:highlight w:val="none"/>
        </w:rPr>
      </w:pPr>
    </w:p>
    <w:p w14:paraId="44B3A5AA">
      <w:pPr>
        <w:pStyle w:val="40"/>
        <w:rPr>
          <w:rFonts w:hint="eastAsia"/>
          <w:i w:val="0"/>
          <w:iCs w:val="0"/>
          <w:color w:val="auto"/>
          <w:highlight w:val="none"/>
        </w:rPr>
      </w:pPr>
    </w:p>
    <w:p w14:paraId="05BB178A">
      <w:pPr>
        <w:pStyle w:val="40"/>
        <w:rPr>
          <w:rFonts w:hint="eastAsia"/>
          <w:i w:val="0"/>
          <w:iCs w:val="0"/>
          <w:color w:val="auto"/>
          <w:highlight w:val="none"/>
        </w:rPr>
      </w:pPr>
    </w:p>
    <w:p w14:paraId="0E7980AB">
      <w:pPr>
        <w:pStyle w:val="40"/>
        <w:rPr>
          <w:rFonts w:hint="eastAsia"/>
          <w:i w:val="0"/>
          <w:iCs w:val="0"/>
          <w:color w:val="auto"/>
          <w:highlight w:val="none"/>
        </w:rPr>
      </w:pPr>
    </w:p>
    <w:p w14:paraId="5A09B930">
      <w:pPr>
        <w:pStyle w:val="40"/>
        <w:rPr>
          <w:rFonts w:hint="eastAsia"/>
          <w:i w:val="0"/>
          <w:iCs w:val="0"/>
          <w:color w:val="auto"/>
          <w:highlight w:val="none"/>
        </w:rPr>
      </w:pPr>
    </w:p>
    <w:p w14:paraId="3FB1F62E">
      <w:pPr>
        <w:pStyle w:val="40"/>
        <w:rPr>
          <w:rFonts w:hint="eastAsia"/>
          <w:i w:val="0"/>
          <w:iCs w:val="0"/>
          <w:color w:val="auto"/>
          <w:highlight w:val="none"/>
        </w:rPr>
      </w:pPr>
    </w:p>
    <w:p w14:paraId="674D4B47">
      <w:pPr>
        <w:pStyle w:val="40"/>
        <w:rPr>
          <w:rFonts w:hint="eastAsia"/>
          <w:i w:val="0"/>
          <w:iCs w:val="0"/>
          <w:color w:val="auto"/>
          <w:highlight w:val="none"/>
        </w:rPr>
      </w:pPr>
    </w:p>
    <w:p w14:paraId="04384634">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047D3EE">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FC23E9A">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579E32CA">
      <w:pPr>
        <w:autoSpaceDE w:val="0"/>
        <w:autoSpaceDN w:val="0"/>
        <w:adjustRightInd w:val="0"/>
        <w:rPr>
          <w:color w:val="auto"/>
          <w:sz w:val="21"/>
          <w:szCs w:val="24"/>
          <w:highlight w:val="none"/>
        </w:rPr>
      </w:pPr>
    </w:p>
    <w:p w14:paraId="2CC27B4B">
      <w:pPr>
        <w:autoSpaceDE w:val="0"/>
        <w:autoSpaceDN w:val="0"/>
        <w:adjustRightInd w:val="0"/>
        <w:rPr>
          <w:color w:val="auto"/>
          <w:sz w:val="21"/>
          <w:szCs w:val="24"/>
          <w:highlight w:val="none"/>
        </w:rPr>
      </w:pPr>
    </w:p>
    <w:p w14:paraId="63CA31F9">
      <w:pPr>
        <w:autoSpaceDE w:val="0"/>
        <w:autoSpaceDN w:val="0"/>
        <w:adjustRightInd w:val="0"/>
        <w:jc w:val="center"/>
        <w:rPr>
          <w:color w:val="auto"/>
          <w:sz w:val="21"/>
          <w:szCs w:val="24"/>
          <w:highlight w:val="none"/>
        </w:rPr>
      </w:pPr>
    </w:p>
    <w:p w14:paraId="0F2A8793">
      <w:pPr>
        <w:autoSpaceDE w:val="0"/>
        <w:autoSpaceDN w:val="0"/>
        <w:adjustRightInd w:val="0"/>
        <w:jc w:val="center"/>
        <w:rPr>
          <w:b/>
          <w:color w:val="auto"/>
          <w:sz w:val="84"/>
          <w:szCs w:val="84"/>
          <w:highlight w:val="none"/>
        </w:rPr>
      </w:pPr>
      <w:r>
        <w:rPr>
          <w:rFonts w:hint="eastAsia"/>
          <w:b/>
          <w:color w:val="auto"/>
          <w:sz w:val="84"/>
          <w:szCs w:val="84"/>
          <w:highlight w:val="none"/>
          <w:lang w:val="en-US" w:eastAsia="zh-CN"/>
        </w:rPr>
        <w:t>响 应</w:t>
      </w:r>
      <w:r>
        <w:rPr>
          <w:rFonts w:hint="eastAsia"/>
          <w:b/>
          <w:color w:val="auto"/>
          <w:sz w:val="84"/>
          <w:szCs w:val="84"/>
          <w:highlight w:val="none"/>
        </w:rPr>
        <w:t xml:space="preserve"> 文 件</w:t>
      </w:r>
    </w:p>
    <w:p w14:paraId="383861DE">
      <w:pPr>
        <w:autoSpaceDE w:val="0"/>
        <w:autoSpaceDN w:val="0"/>
        <w:adjustRightInd w:val="0"/>
        <w:jc w:val="center"/>
        <w:outlineLvl w:val="0"/>
        <w:rPr>
          <w:rFonts w:hint="eastAsia"/>
          <w:b/>
          <w:color w:val="auto"/>
          <w:sz w:val="56"/>
          <w:szCs w:val="56"/>
          <w:highlight w:val="none"/>
          <w:lang w:val="en-US" w:eastAsia="zh-CN"/>
        </w:rPr>
      </w:pPr>
      <w:bookmarkStart w:id="1479" w:name="_Toc32363"/>
      <w:r>
        <w:rPr>
          <w:rFonts w:hint="eastAsia"/>
          <w:b/>
          <w:color w:val="auto"/>
          <w:sz w:val="56"/>
          <w:szCs w:val="56"/>
          <w:highlight w:val="none"/>
          <w:lang w:val="en-US" w:eastAsia="zh-CN"/>
        </w:rPr>
        <w:t>报价文件</w:t>
      </w:r>
      <w:bookmarkEnd w:id="1479"/>
    </w:p>
    <w:p w14:paraId="798A956E">
      <w:pPr>
        <w:outlineLvl w:val="9"/>
        <w:rPr>
          <w:color w:val="auto"/>
          <w:sz w:val="21"/>
          <w:szCs w:val="21"/>
          <w:highlight w:val="none"/>
        </w:rPr>
      </w:pPr>
    </w:p>
    <w:p w14:paraId="24B6A268">
      <w:pPr>
        <w:outlineLvl w:val="9"/>
        <w:rPr>
          <w:color w:val="auto"/>
          <w:sz w:val="21"/>
          <w:szCs w:val="21"/>
          <w:highlight w:val="none"/>
        </w:rPr>
      </w:pPr>
    </w:p>
    <w:p w14:paraId="3DC104B3">
      <w:pPr>
        <w:outlineLvl w:val="9"/>
        <w:rPr>
          <w:color w:val="auto"/>
          <w:highlight w:val="none"/>
        </w:rPr>
      </w:pPr>
    </w:p>
    <w:p w14:paraId="74A7A117">
      <w:pPr>
        <w:autoSpaceDE w:val="0"/>
        <w:autoSpaceDN w:val="0"/>
        <w:adjustRightInd w:val="0"/>
        <w:outlineLvl w:val="9"/>
        <w:rPr>
          <w:color w:val="auto"/>
          <w:sz w:val="21"/>
          <w:szCs w:val="21"/>
          <w:highlight w:val="none"/>
        </w:rPr>
      </w:pPr>
    </w:p>
    <w:p w14:paraId="6EE89269">
      <w:pPr>
        <w:autoSpaceDE w:val="0"/>
        <w:autoSpaceDN w:val="0"/>
        <w:adjustRightInd w:val="0"/>
        <w:outlineLvl w:val="9"/>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17D47AB2">
      <w:pPr>
        <w:ind w:left="840" w:firstLine="420"/>
        <w:rPr>
          <w:b/>
          <w:bCs/>
          <w:color w:val="auto"/>
          <w:sz w:val="28"/>
          <w:szCs w:val="28"/>
          <w:highlight w:val="none"/>
        </w:rPr>
      </w:pPr>
    </w:p>
    <w:p w14:paraId="0C84FB8A">
      <w:pPr>
        <w:jc w:val="center"/>
        <w:rPr>
          <w:rFonts w:ascii="黑体" w:hAnsi="黑体" w:eastAsia="黑体"/>
          <w:i w:val="0"/>
          <w:iCs w:val="0"/>
          <w:color w:val="auto"/>
          <w:sz w:val="32"/>
          <w:szCs w:val="32"/>
          <w:highlight w:val="none"/>
        </w:rPr>
      </w:pPr>
      <w:r>
        <w:rPr>
          <w:rFonts w:hint="eastAsia" w:ascii="宋体" w:hAnsi="宋体" w:eastAsia="宋体" w:cs="宋体"/>
          <w:color w:val="auto"/>
          <w:sz w:val="32"/>
          <w:szCs w:val="32"/>
          <w:highlight w:val="none"/>
        </w:rPr>
        <w:t>年   月    日</w:t>
      </w:r>
    </w:p>
    <w:p w14:paraId="2B025C97">
      <w:pPr>
        <w:rPr>
          <w:i w:val="0"/>
          <w:iCs w:val="0"/>
          <w:color w:val="auto"/>
          <w:highlight w:val="none"/>
          <w:lang w:val="zh-CN"/>
        </w:rPr>
      </w:pPr>
      <w:r>
        <w:rPr>
          <w:i w:val="0"/>
          <w:iCs w:val="0"/>
          <w:color w:val="auto"/>
          <w:highlight w:val="none"/>
          <w:lang w:val="zh-CN"/>
        </w:rPr>
        <w:br w:type="page"/>
      </w:r>
    </w:p>
    <w:p w14:paraId="5A6B7717">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i w:val="0"/>
          <w:iCs w:val="0"/>
          <w:color w:val="auto"/>
          <w:kern w:val="2"/>
          <w:sz w:val="32"/>
          <w:szCs w:val="32"/>
          <w:highlight w:val="none"/>
          <w:lang w:val="en-US" w:eastAsia="zh-CN" w:bidi="ar-SA"/>
        </w:rPr>
      </w:pPr>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1480" w:name="_Toc32210"/>
      <w:r>
        <w:rPr>
          <w:rFonts w:hint="eastAsia" w:cstheme="majorBidi"/>
          <w:b/>
          <w:bCs/>
          <w:i w:val="0"/>
          <w:iCs w:val="0"/>
          <w:color w:val="auto"/>
          <w:kern w:val="2"/>
          <w:sz w:val="32"/>
          <w:szCs w:val="32"/>
          <w:highlight w:val="none"/>
          <w:lang w:val="en-US" w:eastAsia="zh-CN" w:bidi="ar-SA"/>
        </w:rPr>
        <w:t>一、报价一览表</w:t>
      </w:r>
      <w:bookmarkEnd w:id="1480"/>
    </w:p>
    <w:p w14:paraId="29B57BB7">
      <w:pPr>
        <w:snapToGrid w:val="0"/>
        <w:spacing w:line="360" w:lineRule="auto"/>
        <w:jc w:val="left"/>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项目名称：</w:t>
      </w:r>
      <w:r>
        <w:rPr>
          <w:rFonts w:hint="eastAsia" w:ascii="宋体" w:hAnsi="宋体" w:eastAsia="宋体" w:cs="宋体"/>
          <w:b w:val="0"/>
          <w:bCs/>
          <w:i w:val="0"/>
          <w:iCs w:val="0"/>
          <w:color w:val="auto"/>
          <w:kern w:val="2"/>
          <w:sz w:val="24"/>
          <w:szCs w:val="24"/>
          <w:highlight w:val="none"/>
          <w:u w:val="single"/>
        </w:rPr>
        <w:t xml:space="preserve"> </w:t>
      </w:r>
      <w:r>
        <w:rPr>
          <w:rFonts w:hint="eastAsia" w:ascii="宋体" w:hAnsi="宋体" w:eastAsia="宋体" w:cs="宋体"/>
          <w:b w:val="0"/>
          <w:bCs/>
          <w:i w:val="0"/>
          <w:iCs w:val="0"/>
          <w:color w:val="auto"/>
          <w:kern w:val="2"/>
          <w:sz w:val="24"/>
          <w:szCs w:val="24"/>
          <w:highlight w:val="none"/>
          <w:u w:val="single"/>
          <w:lang w:val="en-US" w:eastAsia="zh-CN"/>
        </w:rPr>
        <w:t xml:space="preserve">                    </w:t>
      </w:r>
      <w:r>
        <w:rPr>
          <w:rFonts w:hint="eastAsia" w:ascii="宋体" w:hAnsi="宋体" w:eastAsia="宋体" w:cs="宋体"/>
          <w:b w:val="0"/>
          <w:bCs/>
          <w:i w:val="0"/>
          <w:iCs w:val="0"/>
          <w:color w:val="auto"/>
          <w:kern w:val="2"/>
          <w:sz w:val="24"/>
          <w:szCs w:val="24"/>
          <w:highlight w:val="none"/>
          <w:u w:val="single"/>
        </w:rPr>
        <w:t xml:space="preserve">    </w:t>
      </w:r>
    </w:p>
    <w:p w14:paraId="4FA16203">
      <w:pPr>
        <w:snapToGrid w:val="0"/>
        <w:spacing w:after="156" w:afterLines="50" w:line="360" w:lineRule="auto"/>
        <w:jc w:val="left"/>
        <w:rPr>
          <w:rFonts w:hint="eastAsia" w:ascii="宋体" w:hAnsi="宋体" w:eastAsia="宋体" w:cs="宋体"/>
          <w:b w:val="0"/>
          <w:bCs/>
          <w:i w:val="0"/>
          <w:iCs w:val="0"/>
          <w:color w:val="auto"/>
          <w:kern w:val="2"/>
          <w:sz w:val="24"/>
          <w:szCs w:val="24"/>
          <w:highlight w:val="none"/>
          <w:u w:val="single"/>
        </w:rPr>
      </w:pPr>
      <w:r>
        <w:rPr>
          <w:rFonts w:hint="eastAsia" w:ascii="宋体" w:hAnsi="宋体" w:eastAsia="宋体" w:cs="宋体"/>
          <w:b w:val="0"/>
          <w:bCs/>
          <w:i w:val="0"/>
          <w:iCs w:val="0"/>
          <w:color w:val="auto"/>
          <w:kern w:val="2"/>
          <w:sz w:val="24"/>
          <w:szCs w:val="24"/>
          <w:highlight w:val="none"/>
        </w:rPr>
        <w:t>项目编号：</w:t>
      </w:r>
      <w:r>
        <w:rPr>
          <w:rFonts w:hint="eastAsia" w:ascii="宋体" w:hAnsi="宋体" w:eastAsia="宋体" w:cs="宋体"/>
          <w:b w:val="0"/>
          <w:bCs/>
          <w:i w:val="0"/>
          <w:iCs w:val="0"/>
          <w:color w:val="auto"/>
          <w:kern w:val="2"/>
          <w:sz w:val="24"/>
          <w:szCs w:val="24"/>
          <w:highlight w:val="none"/>
          <w:u w:val="single"/>
        </w:rPr>
        <w:t xml:space="preserve"> </w:t>
      </w:r>
      <w:r>
        <w:rPr>
          <w:rFonts w:hint="eastAsia" w:ascii="宋体" w:hAnsi="宋体" w:eastAsia="宋体" w:cs="宋体"/>
          <w:b w:val="0"/>
          <w:bCs/>
          <w:i w:val="0"/>
          <w:iCs w:val="0"/>
          <w:color w:val="auto"/>
          <w:kern w:val="2"/>
          <w:sz w:val="24"/>
          <w:szCs w:val="24"/>
          <w:highlight w:val="none"/>
          <w:u w:val="single"/>
          <w:lang w:val="en-US" w:eastAsia="zh-CN"/>
        </w:rPr>
        <w:t xml:space="preserve">                    </w:t>
      </w:r>
      <w:r>
        <w:rPr>
          <w:rFonts w:hint="eastAsia" w:ascii="宋体" w:hAnsi="宋体" w:eastAsia="宋体" w:cs="宋体"/>
          <w:b w:val="0"/>
          <w:bCs/>
          <w:i w:val="0"/>
          <w:iCs w:val="0"/>
          <w:color w:val="auto"/>
          <w:kern w:val="2"/>
          <w:sz w:val="24"/>
          <w:szCs w:val="24"/>
          <w:highlight w:val="none"/>
          <w:u w:val="single"/>
        </w:rPr>
        <w:t xml:space="preserve">    </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58"/>
      </w:tblGrid>
      <w:tr w14:paraId="366A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2F78EDC1">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供应商名称</w:t>
            </w:r>
          </w:p>
        </w:tc>
        <w:tc>
          <w:tcPr>
            <w:tcW w:w="3556" w:type="pct"/>
            <w:tcBorders>
              <w:left w:val="single" w:color="auto" w:sz="4" w:space="0"/>
            </w:tcBorders>
            <w:vAlign w:val="center"/>
          </w:tcPr>
          <w:p w14:paraId="37CB85C6">
            <w:pPr>
              <w:spacing w:line="240" w:lineRule="auto"/>
              <w:jc w:val="both"/>
              <w:rPr>
                <w:rFonts w:hint="eastAsia" w:ascii="宋体" w:hAnsi="宋体" w:eastAsia="宋体" w:cs="宋体"/>
                <w:b w:val="0"/>
                <w:bCs/>
                <w:i w:val="0"/>
                <w:iCs w:val="0"/>
                <w:color w:val="auto"/>
                <w:kern w:val="2"/>
                <w:sz w:val="24"/>
                <w:szCs w:val="24"/>
                <w:highlight w:val="none"/>
              </w:rPr>
            </w:pPr>
          </w:p>
        </w:tc>
      </w:tr>
      <w:tr w14:paraId="24EB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2FEDE8CF">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磋商范围</w:t>
            </w:r>
          </w:p>
        </w:tc>
        <w:tc>
          <w:tcPr>
            <w:tcW w:w="3556" w:type="pct"/>
            <w:tcBorders>
              <w:left w:val="single" w:color="auto" w:sz="4" w:space="0"/>
            </w:tcBorders>
            <w:vAlign w:val="center"/>
          </w:tcPr>
          <w:p w14:paraId="78670A18">
            <w:pPr>
              <w:widowControl/>
              <w:spacing w:line="240" w:lineRule="auto"/>
              <w:jc w:val="both"/>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 xml:space="preserve">全部 </w:t>
            </w:r>
          </w:p>
        </w:tc>
      </w:tr>
      <w:tr w14:paraId="6038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216E7E9E">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报价</w:t>
            </w:r>
          </w:p>
          <w:p w14:paraId="5F388EDB">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（详见备注说明）</w:t>
            </w:r>
          </w:p>
        </w:tc>
        <w:tc>
          <w:tcPr>
            <w:tcW w:w="3556" w:type="pct"/>
            <w:vAlign w:val="center"/>
          </w:tcPr>
          <w:p w14:paraId="2F2F150D">
            <w:pPr>
              <w:snapToGrid w:val="0"/>
              <w:spacing w:line="240" w:lineRule="auto"/>
              <w:jc w:val="both"/>
              <w:rPr>
                <w:rFonts w:hint="eastAsia" w:ascii="宋体" w:hAnsi="宋体" w:eastAsia="宋体" w:cs="宋体"/>
                <w:b w:val="0"/>
                <w:bCs/>
                <w:i w:val="0"/>
                <w:iCs w:val="0"/>
                <w:color w:val="auto"/>
                <w:kern w:val="2"/>
                <w:sz w:val="24"/>
                <w:szCs w:val="24"/>
                <w:highlight w:val="none"/>
              </w:rPr>
            </w:pPr>
          </w:p>
          <w:p w14:paraId="3D4F3E9E">
            <w:pPr>
              <w:snapToGrid w:val="0"/>
              <w:spacing w:line="240" w:lineRule="auto"/>
              <w:jc w:val="both"/>
              <w:rPr>
                <w:rFonts w:hint="eastAsia" w:ascii="宋体" w:hAnsi="宋体" w:eastAsia="宋体" w:cs="宋体"/>
                <w:b w:val="0"/>
                <w:bCs/>
                <w:i w:val="0"/>
                <w:iCs w:val="0"/>
                <w:color w:val="auto"/>
                <w:sz w:val="24"/>
                <w:szCs w:val="24"/>
                <w:highlight w:val="none"/>
                <w:u w:val="single"/>
              </w:rPr>
            </w:pPr>
            <w:r>
              <w:rPr>
                <w:rFonts w:hint="eastAsia" w:ascii="宋体" w:hAnsi="宋体" w:eastAsia="宋体" w:cs="宋体"/>
                <w:b w:val="0"/>
                <w:bCs/>
                <w:i w:val="0"/>
                <w:iCs w:val="0"/>
                <w:color w:val="auto"/>
                <w:sz w:val="24"/>
                <w:szCs w:val="24"/>
                <w:highlight w:val="none"/>
              </w:rPr>
              <w:t>大写：</w:t>
            </w:r>
            <w:r>
              <w:rPr>
                <w:rFonts w:hint="eastAsia" w:ascii="宋体" w:hAnsi="宋体" w:eastAsia="宋体" w:cs="宋体"/>
                <w:b w:val="0"/>
                <w:bCs/>
                <w:i w:val="0"/>
                <w:iCs w:val="0"/>
                <w:color w:val="auto"/>
                <w:sz w:val="24"/>
                <w:szCs w:val="24"/>
                <w:highlight w:val="none"/>
                <w:u w:val="single"/>
              </w:rPr>
              <w:t xml:space="preserve">                     </w:t>
            </w:r>
          </w:p>
          <w:p w14:paraId="0CAE42C2">
            <w:pPr>
              <w:spacing w:line="240" w:lineRule="auto"/>
              <w:ind w:right="-670"/>
              <w:jc w:val="both"/>
              <w:rPr>
                <w:rFonts w:hint="eastAsia" w:ascii="宋体" w:hAnsi="宋体" w:eastAsia="宋体" w:cs="宋体"/>
                <w:b w:val="0"/>
                <w:bCs/>
                <w:i w:val="0"/>
                <w:iCs w:val="0"/>
                <w:color w:val="auto"/>
                <w:sz w:val="24"/>
                <w:szCs w:val="24"/>
                <w:highlight w:val="none"/>
              </w:rPr>
            </w:pPr>
            <w:r>
              <w:rPr>
                <w:rFonts w:hint="eastAsia" w:ascii="宋体" w:hAnsi="宋体" w:eastAsia="宋体" w:cs="宋体"/>
                <w:b w:val="0"/>
                <w:bCs/>
                <w:i w:val="0"/>
                <w:iCs w:val="0"/>
                <w:color w:val="auto"/>
                <w:sz w:val="24"/>
                <w:szCs w:val="24"/>
                <w:highlight w:val="none"/>
              </w:rPr>
              <w:t>小写：</w:t>
            </w:r>
            <w:r>
              <w:rPr>
                <w:rFonts w:hint="eastAsia" w:ascii="宋体" w:hAnsi="宋体" w:eastAsia="宋体" w:cs="宋体"/>
                <w:b w:val="0"/>
                <w:bCs/>
                <w:i w:val="0"/>
                <w:iCs w:val="0"/>
                <w:color w:val="auto"/>
                <w:sz w:val="24"/>
                <w:szCs w:val="24"/>
                <w:highlight w:val="none"/>
                <w:u w:val="single"/>
              </w:rPr>
              <w:t xml:space="preserve">                     </w:t>
            </w:r>
          </w:p>
          <w:p w14:paraId="3A1569B3">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37D4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179A7373">
            <w:pPr>
              <w:snapToGrid w:val="0"/>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质量标准</w:t>
            </w:r>
          </w:p>
        </w:tc>
        <w:tc>
          <w:tcPr>
            <w:tcW w:w="3556" w:type="pct"/>
            <w:vAlign w:val="center"/>
          </w:tcPr>
          <w:p w14:paraId="1E5D469E">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222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4E204255">
            <w:pPr>
              <w:snapToGrid w:val="0"/>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工    期</w:t>
            </w:r>
          </w:p>
        </w:tc>
        <w:tc>
          <w:tcPr>
            <w:tcW w:w="3556" w:type="pct"/>
            <w:vAlign w:val="center"/>
          </w:tcPr>
          <w:p w14:paraId="78146B7E">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0805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3" w:type="pct"/>
            <w:vAlign w:val="center"/>
          </w:tcPr>
          <w:p w14:paraId="71B51A75">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备注</w:t>
            </w:r>
          </w:p>
        </w:tc>
        <w:tc>
          <w:tcPr>
            <w:tcW w:w="3556" w:type="pct"/>
            <w:vAlign w:val="center"/>
          </w:tcPr>
          <w:p w14:paraId="73BFA4FB">
            <w:pPr>
              <w:spacing w:line="240" w:lineRule="auto"/>
              <w:jc w:val="both"/>
              <w:rPr>
                <w:rFonts w:hint="eastAsia" w:ascii="宋体" w:hAnsi="宋体" w:eastAsia="宋体" w:cs="宋体"/>
                <w:b w:val="0"/>
                <w:bCs/>
                <w:i w:val="0"/>
                <w:iCs w:val="0"/>
                <w:color w:val="auto"/>
                <w:kern w:val="2"/>
                <w:sz w:val="24"/>
                <w:szCs w:val="24"/>
                <w:highlight w:val="none"/>
              </w:rPr>
            </w:pPr>
          </w:p>
        </w:tc>
      </w:tr>
    </w:tbl>
    <w:p w14:paraId="40B6EF5A">
      <w:pPr>
        <w:spacing w:line="440" w:lineRule="exact"/>
        <w:rPr>
          <w:rFonts w:cs="@仿宋_GB2312"/>
          <w:i w:val="0"/>
          <w:iCs w:val="0"/>
          <w:color w:val="auto"/>
          <w:kern w:val="2"/>
          <w:sz w:val="24"/>
          <w:szCs w:val="24"/>
          <w:highlight w:val="none"/>
          <w:u w:val="single"/>
        </w:rPr>
      </w:pPr>
      <w:r>
        <w:rPr>
          <w:rFonts w:hint="eastAsia" w:cs="@仿宋_GB2312"/>
          <w:i w:val="0"/>
          <w:iCs w:val="0"/>
          <w:color w:val="auto"/>
          <w:kern w:val="2"/>
          <w:sz w:val="24"/>
          <w:szCs w:val="24"/>
          <w:highlight w:val="none"/>
        </w:rPr>
        <w:t>供应商</w:t>
      </w:r>
      <w:r>
        <w:rPr>
          <w:rFonts w:ascii="Arial" w:hAnsi="Arial" w:cs="Arial"/>
          <w:i w:val="0"/>
          <w:iCs w:val="0"/>
          <w:color w:val="auto"/>
          <w:szCs w:val="21"/>
          <w:highlight w:val="none"/>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cs="@仿宋_GB2312"/>
          <w:i w:val="0"/>
          <w:iCs w:val="0"/>
          <w:color w:val="auto"/>
          <w:kern w:val="2"/>
          <w:sz w:val="24"/>
          <w:szCs w:val="24"/>
          <w:highlight w:val="none"/>
        </w:rPr>
        <w:t>：</w:t>
      </w:r>
      <w:r>
        <w:rPr>
          <w:rFonts w:hint="eastAsia" w:cs="@仿宋_GB2312"/>
          <w:i w:val="0"/>
          <w:iCs w:val="0"/>
          <w:color w:val="auto"/>
          <w:kern w:val="2"/>
          <w:sz w:val="24"/>
          <w:szCs w:val="24"/>
          <w:highlight w:val="none"/>
          <w:u w:val="single"/>
        </w:rPr>
        <w:t xml:space="preserve">     </w:t>
      </w:r>
      <w:r>
        <w:rPr>
          <w:rFonts w:cs="@仿宋_GB2312"/>
          <w:i w:val="0"/>
          <w:iCs w:val="0"/>
          <w:color w:val="auto"/>
          <w:kern w:val="2"/>
          <w:sz w:val="24"/>
          <w:szCs w:val="24"/>
          <w:highlight w:val="none"/>
          <w:u w:val="single"/>
        </w:rPr>
        <w:t xml:space="preserve">    </w:t>
      </w:r>
      <w:r>
        <w:rPr>
          <w:rFonts w:hint="eastAsia" w:cs="@仿宋_GB2312"/>
          <w:i w:val="0"/>
          <w:iCs w:val="0"/>
          <w:color w:val="auto"/>
          <w:kern w:val="2"/>
          <w:sz w:val="24"/>
          <w:szCs w:val="24"/>
          <w:highlight w:val="none"/>
          <w:u w:val="single"/>
        </w:rPr>
        <w:t xml:space="preserve">    </w:t>
      </w:r>
    </w:p>
    <w:p w14:paraId="3D468598">
      <w:pPr>
        <w:spacing w:line="440" w:lineRule="exact"/>
        <w:rPr>
          <w:rFonts w:cs="@仿宋_GB2312"/>
          <w:i w:val="0"/>
          <w:iCs w:val="0"/>
          <w:color w:val="auto"/>
          <w:kern w:val="2"/>
          <w:sz w:val="24"/>
          <w:szCs w:val="24"/>
          <w:highlight w:val="none"/>
          <w:u w:val="single"/>
        </w:rPr>
      </w:pPr>
      <w:r>
        <w:rPr>
          <w:rFonts w:hint="eastAsia" w:cs="@仿宋_GB2312"/>
          <w:i w:val="0"/>
          <w:iCs w:val="0"/>
          <w:color w:val="auto"/>
          <w:kern w:val="2"/>
          <w:sz w:val="24"/>
          <w:szCs w:val="24"/>
          <w:highlight w:val="none"/>
        </w:rPr>
        <w:t xml:space="preserve">日     </w:t>
      </w:r>
      <w:r>
        <w:rPr>
          <w:rFonts w:cs="@仿宋_GB2312"/>
          <w:i w:val="0"/>
          <w:iCs w:val="0"/>
          <w:color w:val="auto"/>
          <w:kern w:val="2"/>
          <w:sz w:val="24"/>
          <w:szCs w:val="24"/>
          <w:highlight w:val="none"/>
        </w:rPr>
        <w:t xml:space="preserve">    </w:t>
      </w:r>
      <w:r>
        <w:rPr>
          <w:rFonts w:hint="eastAsia" w:cs="@仿宋_GB2312"/>
          <w:i w:val="0"/>
          <w:iCs w:val="0"/>
          <w:color w:val="auto"/>
          <w:kern w:val="2"/>
          <w:sz w:val="24"/>
          <w:szCs w:val="24"/>
          <w:highlight w:val="none"/>
        </w:rPr>
        <w:t xml:space="preserve"> 期：</w:t>
      </w:r>
      <w:r>
        <w:rPr>
          <w:rFonts w:hint="eastAsia" w:cs="@仿宋_GB2312"/>
          <w:i w:val="0"/>
          <w:iCs w:val="0"/>
          <w:color w:val="auto"/>
          <w:kern w:val="2"/>
          <w:sz w:val="24"/>
          <w:szCs w:val="24"/>
          <w:highlight w:val="none"/>
          <w:u w:val="single"/>
        </w:rPr>
        <w:t xml:space="preserve">       </w:t>
      </w:r>
      <w:r>
        <w:rPr>
          <w:rFonts w:hint="eastAsia" w:cs="@仿宋_GB2312"/>
          <w:i w:val="0"/>
          <w:iCs w:val="0"/>
          <w:color w:val="auto"/>
          <w:kern w:val="2"/>
          <w:sz w:val="24"/>
          <w:szCs w:val="24"/>
          <w:highlight w:val="none"/>
          <w:u w:val="single"/>
          <w:lang w:val="en-US" w:eastAsia="zh-CN"/>
        </w:rPr>
        <w:t xml:space="preserve">    </w:t>
      </w:r>
      <w:r>
        <w:rPr>
          <w:rFonts w:hint="eastAsia" w:cs="@仿宋_GB2312"/>
          <w:i w:val="0"/>
          <w:iCs w:val="0"/>
          <w:color w:val="auto"/>
          <w:kern w:val="2"/>
          <w:sz w:val="24"/>
          <w:szCs w:val="24"/>
          <w:highlight w:val="none"/>
          <w:u w:val="single"/>
        </w:rPr>
        <w:t xml:space="preserve">      </w:t>
      </w:r>
    </w:p>
    <w:p w14:paraId="2461B1D2">
      <w:pPr>
        <w:adjustRightInd w:val="0"/>
        <w:snapToGrid w:val="0"/>
        <w:spacing w:line="360" w:lineRule="auto"/>
        <w:rPr>
          <w:rFonts w:hint="eastAsia" w:ascii="宋体" w:hAnsi="宋体" w:eastAsia="宋体" w:cs="宋体"/>
          <w:b w:val="0"/>
          <w:bCs w:val="0"/>
          <w:i w:val="0"/>
          <w:iCs w:val="0"/>
          <w:color w:val="auto"/>
          <w:kern w:val="2"/>
          <w:sz w:val="24"/>
          <w:szCs w:val="24"/>
          <w:highlight w:val="none"/>
        </w:rPr>
      </w:pPr>
    </w:p>
    <w:p w14:paraId="442950C1">
      <w:pPr>
        <w:adjustRightInd w:val="0"/>
        <w:snapToGrid w:val="0"/>
        <w:spacing w:line="360" w:lineRule="auto"/>
        <w:rPr>
          <w:rFonts w:hint="eastAsia" w:ascii="宋体" w:hAnsi="宋体" w:eastAsia="宋体" w:cs="宋体"/>
          <w:b w:val="0"/>
          <w:bCs w:val="0"/>
          <w:i w:val="0"/>
          <w:iCs w:val="0"/>
          <w:color w:val="auto"/>
          <w:kern w:val="2"/>
          <w:sz w:val="24"/>
          <w:szCs w:val="24"/>
          <w:highlight w:val="none"/>
        </w:rPr>
      </w:pPr>
    </w:p>
    <w:p w14:paraId="385FAD34">
      <w:pPr>
        <w:adjustRightInd w:val="0"/>
        <w:snapToGrid w:val="0"/>
        <w:spacing w:line="360" w:lineRule="auto"/>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bCs/>
          <w:i w:val="0"/>
          <w:iCs w:val="0"/>
          <w:color w:val="auto"/>
          <w:kern w:val="2"/>
          <w:sz w:val="21"/>
          <w:szCs w:val="21"/>
          <w:highlight w:val="none"/>
        </w:rPr>
        <w:t>注：</w:t>
      </w:r>
    </w:p>
    <w:p w14:paraId="7AC2D20F">
      <w:pPr>
        <w:adjustRightInd w:val="0"/>
        <w:snapToGrid w:val="0"/>
        <w:spacing w:line="360" w:lineRule="auto"/>
        <w:ind w:firstLine="420" w:firstLineChars="200"/>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val="0"/>
          <w:bCs w:val="0"/>
          <w:i w:val="0"/>
          <w:iCs w:val="0"/>
          <w:color w:val="auto"/>
          <w:kern w:val="2"/>
          <w:sz w:val="21"/>
          <w:szCs w:val="21"/>
          <w:highlight w:val="none"/>
        </w:rPr>
        <w:t>1.本表内容根据磋商文件要求包括了磋商文件要求提供的全部内容的所有费用。</w:t>
      </w:r>
    </w:p>
    <w:p w14:paraId="25395212">
      <w:pPr>
        <w:adjustRightInd w:val="0"/>
        <w:snapToGrid w:val="0"/>
        <w:spacing w:line="360" w:lineRule="auto"/>
        <w:ind w:firstLine="420" w:firstLineChars="200"/>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val="0"/>
          <w:bCs w:val="0"/>
          <w:i w:val="0"/>
          <w:iCs w:val="0"/>
          <w:color w:val="auto"/>
          <w:kern w:val="2"/>
          <w:sz w:val="21"/>
          <w:szCs w:val="21"/>
          <w:highlight w:val="none"/>
        </w:rPr>
        <w:t>2.特殊事项在备注中注明。</w:t>
      </w:r>
    </w:p>
    <w:p w14:paraId="59454300">
      <w:pPr>
        <w:adjustRightInd w:val="0"/>
        <w:snapToGrid w:val="0"/>
        <w:spacing w:line="360" w:lineRule="auto"/>
        <w:ind w:firstLine="420" w:firstLineChars="200"/>
        <w:rPr>
          <w:rFonts w:hint="eastAsia" w:ascii="宋体" w:hAnsi="宋体" w:eastAsia="宋体" w:cs="宋体"/>
          <w:b w:val="0"/>
          <w:bCs w:val="0"/>
          <w:i w:val="0"/>
          <w:iCs w:val="0"/>
          <w:color w:val="auto"/>
          <w:sz w:val="21"/>
          <w:szCs w:val="21"/>
          <w:highlight w:val="none"/>
          <w:lang w:val="en-US" w:eastAsia="zh-CN"/>
        </w:rPr>
      </w:pPr>
      <w:r>
        <w:rPr>
          <w:rFonts w:hint="eastAsia" w:ascii="宋体" w:hAnsi="宋体" w:eastAsia="宋体" w:cs="宋体"/>
          <w:b w:val="0"/>
          <w:bCs w:val="0"/>
          <w:i w:val="0"/>
          <w:iCs w:val="0"/>
          <w:color w:val="auto"/>
          <w:sz w:val="21"/>
          <w:szCs w:val="21"/>
          <w:highlight w:val="none"/>
          <w:lang w:val="en-US" w:eastAsia="zh-CN"/>
        </w:rPr>
        <w:t>3</w:t>
      </w:r>
      <w:r>
        <w:rPr>
          <w:rFonts w:hint="eastAsia" w:ascii="宋体" w:hAnsi="宋体" w:eastAsia="宋体" w:cs="宋体"/>
          <w:b w:val="0"/>
          <w:bCs w:val="0"/>
          <w:i w:val="0"/>
          <w:iCs w:val="0"/>
          <w:color w:val="auto"/>
          <w:sz w:val="21"/>
          <w:szCs w:val="21"/>
          <w:highlight w:val="none"/>
        </w:rPr>
        <w:t>.表中大写与小写不一致的，以大写为准。</w:t>
      </w:r>
    </w:p>
    <w:p w14:paraId="4CFFB9C9">
      <w:pPr>
        <w:spacing w:line="300" w:lineRule="auto"/>
        <w:rPr>
          <w:rFonts w:hint="eastAsia" w:ascii="宋体" w:hAnsi="宋体" w:eastAsia="宋体" w:cs="宋体"/>
          <w:b w:val="0"/>
          <w:bCs w:val="0"/>
          <w:i w:val="0"/>
          <w:iCs w:val="0"/>
          <w:color w:val="auto"/>
          <w:szCs w:val="24"/>
          <w:highlight w:val="none"/>
        </w:rPr>
      </w:pPr>
    </w:p>
    <w:p w14:paraId="27C73E89">
      <w:pPr>
        <w:rPr>
          <w:rFonts w:hint="eastAsia"/>
          <w:b w:val="0"/>
          <w:bCs/>
          <w:i w:val="0"/>
          <w:iCs w:val="0"/>
          <w:color w:val="auto"/>
          <w:szCs w:val="21"/>
          <w:highlight w:val="none"/>
          <w:lang w:val="zh-CN"/>
        </w:rPr>
      </w:pPr>
    </w:p>
    <w:p w14:paraId="758FF184">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i w:val="0"/>
          <w:iCs w:val="0"/>
          <w:color w:val="auto"/>
          <w:kern w:val="2"/>
          <w:sz w:val="32"/>
          <w:szCs w:val="32"/>
          <w:highlight w:val="none"/>
          <w:lang w:val="en-US" w:eastAsia="zh-CN" w:bidi="ar-SA"/>
        </w:rPr>
      </w:pPr>
    </w:p>
    <w:p w14:paraId="7B2B1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1481" w:name="_Toc9210"/>
      <w:r>
        <w:rPr>
          <w:rFonts w:hint="eastAsia" w:cstheme="majorBidi"/>
          <w:b/>
          <w:bCs/>
          <w:i w:val="0"/>
          <w:iCs w:val="0"/>
          <w:color w:val="auto"/>
          <w:kern w:val="2"/>
          <w:sz w:val="32"/>
          <w:szCs w:val="32"/>
          <w:highlight w:val="none"/>
          <w:lang w:val="en-US" w:eastAsia="zh-CN" w:bidi="ar-SA"/>
        </w:rPr>
        <w:t>二、已标价工程量清单</w:t>
      </w:r>
      <w:bookmarkEnd w:id="1481"/>
    </w:p>
    <w:p w14:paraId="4565E7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i w:val="0"/>
          <w:iCs w:val="0"/>
          <w:color w:val="auto"/>
          <w:szCs w:val="21"/>
          <w:highlight w:val="none"/>
          <w:lang w:val="zh-CN"/>
        </w:rPr>
      </w:pPr>
      <w:r>
        <w:rPr>
          <w:rFonts w:hint="eastAsia" w:ascii="宋体" w:hAnsi="宋体" w:cs="宋体"/>
          <w:i w:val="0"/>
          <w:iCs w:val="0"/>
          <w:color w:val="auto"/>
          <w:szCs w:val="21"/>
          <w:highlight w:val="none"/>
        </w:rPr>
        <w:t>已标价工程量清单</w:t>
      </w:r>
    </w:p>
    <w:p w14:paraId="10F0B4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i w:val="0"/>
          <w:iCs w:val="0"/>
          <w:color w:val="auto"/>
          <w:szCs w:val="21"/>
          <w:highlight w:val="none"/>
          <w:lang w:val="zh-CN"/>
        </w:rPr>
      </w:pPr>
      <w:r>
        <w:rPr>
          <w:rFonts w:hint="eastAsia"/>
          <w:b w:val="0"/>
          <w:bCs/>
          <w:i w:val="0"/>
          <w:iCs w:val="0"/>
          <w:color w:val="auto"/>
          <w:szCs w:val="21"/>
          <w:highlight w:val="none"/>
          <w:lang w:val="zh-CN"/>
        </w:rPr>
        <w:t>（格式详见工程量清单）</w:t>
      </w:r>
    </w:p>
    <w:p w14:paraId="2F1CDA67">
      <w:pPr>
        <w:rPr>
          <w:rFonts w:hint="eastAsia"/>
          <w:b w:val="0"/>
          <w:bCs/>
          <w:i w:val="0"/>
          <w:iCs w:val="0"/>
          <w:color w:val="auto"/>
          <w:szCs w:val="21"/>
          <w:highlight w:val="none"/>
          <w:lang w:val="zh-CN"/>
        </w:rPr>
      </w:pPr>
      <w:r>
        <w:rPr>
          <w:rFonts w:hint="eastAsia"/>
          <w:b w:val="0"/>
          <w:bCs/>
          <w:i w:val="0"/>
          <w:iCs w:val="0"/>
          <w:color w:val="auto"/>
          <w:szCs w:val="21"/>
          <w:highlight w:val="none"/>
          <w:lang w:val="zh-CN"/>
        </w:rPr>
        <w:br w:type="page"/>
      </w:r>
    </w:p>
    <w:p w14:paraId="182ECC77">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FEA1E8F">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38CF572">
      <w:pPr>
        <w:autoSpaceDE w:val="0"/>
        <w:autoSpaceDN w:val="0"/>
        <w:adjustRightInd w:val="0"/>
        <w:rPr>
          <w:color w:val="auto"/>
          <w:sz w:val="21"/>
          <w:szCs w:val="24"/>
          <w:highlight w:val="none"/>
        </w:rPr>
      </w:pPr>
    </w:p>
    <w:p w14:paraId="01DE1B7A">
      <w:pPr>
        <w:autoSpaceDE w:val="0"/>
        <w:autoSpaceDN w:val="0"/>
        <w:adjustRightInd w:val="0"/>
        <w:rPr>
          <w:color w:val="auto"/>
          <w:sz w:val="21"/>
          <w:szCs w:val="24"/>
          <w:highlight w:val="none"/>
        </w:rPr>
      </w:pPr>
    </w:p>
    <w:p w14:paraId="42EEFC45">
      <w:pPr>
        <w:autoSpaceDE w:val="0"/>
        <w:autoSpaceDN w:val="0"/>
        <w:adjustRightInd w:val="0"/>
        <w:jc w:val="center"/>
        <w:rPr>
          <w:color w:val="auto"/>
          <w:sz w:val="21"/>
          <w:szCs w:val="24"/>
          <w:highlight w:val="none"/>
        </w:rPr>
      </w:pPr>
    </w:p>
    <w:p w14:paraId="2985381A">
      <w:pPr>
        <w:autoSpaceDE w:val="0"/>
        <w:autoSpaceDN w:val="0"/>
        <w:adjustRightInd w:val="0"/>
        <w:jc w:val="center"/>
        <w:rPr>
          <w:b/>
          <w:color w:val="auto"/>
          <w:sz w:val="84"/>
          <w:szCs w:val="84"/>
          <w:highlight w:val="none"/>
        </w:rPr>
      </w:pPr>
      <w:r>
        <w:rPr>
          <w:rFonts w:hint="eastAsia"/>
          <w:b/>
          <w:color w:val="auto"/>
          <w:sz w:val="84"/>
          <w:szCs w:val="84"/>
          <w:highlight w:val="none"/>
          <w:lang w:val="en-US" w:eastAsia="zh-CN"/>
        </w:rPr>
        <w:t>响 应</w:t>
      </w:r>
      <w:r>
        <w:rPr>
          <w:rFonts w:hint="eastAsia"/>
          <w:b/>
          <w:color w:val="auto"/>
          <w:sz w:val="84"/>
          <w:szCs w:val="84"/>
          <w:highlight w:val="none"/>
        </w:rPr>
        <w:t xml:space="preserve"> 文 件</w:t>
      </w:r>
    </w:p>
    <w:p w14:paraId="6117C88A">
      <w:pPr>
        <w:autoSpaceDE w:val="0"/>
        <w:autoSpaceDN w:val="0"/>
        <w:adjustRightInd w:val="0"/>
        <w:jc w:val="center"/>
        <w:outlineLvl w:val="0"/>
        <w:rPr>
          <w:rFonts w:hint="eastAsia"/>
          <w:b/>
          <w:color w:val="auto"/>
          <w:sz w:val="56"/>
          <w:szCs w:val="56"/>
          <w:highlight w:val="none"/>
          <w:lang w:val="en-US" w:eastAsia="zh-CN"/>
        </w:rPr>
      </w:pPr>
      <w:bookmarkStart w:id="1482" w:name="_Toc2076"/>
      <w:r>
        <w:rPr>
          <w:rFonts w:hint="eastAsia"/>
          <w:b/>
          <w:color w:val="auto"/>
          <w:sz w:val="56"/>
          <w:szCs w:val="56"/>
          <w:highlight w:val="none"/>
          <w:lang w:val="en-US" w:eastAsia="zh-CN"/>
        </w:rPr>
        <w:t>商务技术文件</w:t>
      </w:r>
      <w:bookmarkEnd w:id="1482"/>
    </w:p>
    <w:p w14:paraId="0E248DF9">
      <w:pPr>
        <w:outlineLvl w:val="9"/>
        <w:rPr>
          <w:color w:val="auto"/>
          <w:sz w:val="21"/>
          <w:szCs w:val="21"/>
          <w:highlight w:val="none"/>
        </w:rPr>
      </w:pPr>
    </w:p>
    <w:p w14:paraId="207E2924">
      <w:pPr>
        <w:rPr>
          <w:color w:val="auto"/>
          <w:sz w:val="21"/>
          <w:szCs w:val="21"/>
          <w:highlight w:val="none"/>
        </w:rPr>
      </w:pPr>
    </w:p>
    <w:p w14:paraId="15C28DB8">
      <w:pPr>
        <w:rPr>
          <w:color w:val="auto"/>
          <w:highlight w:val="none"/>
        </w:rPr>
      </w:pPr>
    </w:p>
    <w:p w14:paraId="3C33BDD9">
      <w:pPr>
        <w:autoSpaceDE w:val="0"/>
        <w:autoSpaceDN w:val="0"/>
        <w:adjustRightInd w:val="0"/>
        <w:rPr>
          <w:color w:val="auto"/>
          <w:sz w:val="21"/>
          <w:szCs w:val="21"/>
          <w:highlight w:val="none"/>
        </w:rPr>
      </w:pPr>
    </w:p>
    <w:p w14:paraId="2F863FAA">
      <w:pPr>
        <w:autoSpaceDE w:val="0"/>
        <w:autoSpaceDN w:val="0"/>
        <w:adjustRightInd w:val="0"/>
        <w:rPr>
          <w:color w:val="auto"/>
          <w:sz w:val="21"/>
          <w:szCs w:val="21"/>
          <w:highlight w:val="none"/>
        </w:rPr>
      </w:pPr>
    </w:p>
    <w:p w14:paraId="0798FBB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1E4C1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C5E0224">
      <w:pPr>
        <w:jc w:val="center"/>
        <w:rPr>
          <w:rFonts w:ascii="黑体" w:hAnsi="黑体" w:eastAsia="黑体"/>
          <w:color w:val="auto"/>
          <w:sz w:val="32"/>
          <w:szCs w:val="32"/>
          <w:highlight w:val="none"/>
        </w:rPr>
      </w:pPr>
    </w:p>
    <w:p w14:paraId="23AF064E">
      <w:pPr>
        <w:jc w:val="center"/>
        <w:rPr>
          <w:rFonts w:ascii="黑体" w:hAnsi="黑体" w:eastAsia="黑体"/>
          <w:i w:val="0"/>
          <w:iCs w:val="0"/>
          <w:color w:val="auto"/>
          <w:sz w:val="32"/>
          <w:szCs w:val="32"/>
          <w:highlight w:val="none"/>
        </w:rPr>
      </w:pPr>
    </w:p>
    <w:p w14:paraId="5C2AEB63">
      <w:pPr>
        <w:rPr>
          <w:i w:val="0"/>
          <w:iCs w:val="0"/>
          <w:color w:val="auto"/>
          <w:highlight w:val="none"/>
          <w:lang w:val="zh-CN"/>
        </w:rPr>
      </w:pPr>
      <w:r>
        <w:rPr>
          <w:i w:val="0"/>
          <w:iCs w:val="0"/>
          <w:color w:val="auto"/>
          <w:highlight w:val="none"/>
          <w:lang w:val="zh-CN"/>
        </w:rPr>
        <w:br w:type="page"/>
      </w:r>
    </w:p>
    <w:p w14:paraId="374BEE8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483" w:name="_Toc109899489"/>
      <w:bookmarkStart w:id="1484" w:name="_Toc3577"/>
      <w:bookmarkStart w:id="1485" w:name="_Toc155185921"/>
      <w:bookmarkStart w:id="1486" w:name="_Toc25402"/>
      <w:bookmarkStart w:id="1487" w:name="_Toc19676"/>
      <w:bookmarkStart w:id="1488" w:name="_Toc140132831"/>
      <w:bookmarkStart w:id="1489" w:name="_Toc109899908"/>
      <w:bookmarkStart w:id="1490" w:name="_Toc109900327"/>
      <w:r>
        <w:rPr>
          <w:rFonts w:hint="eastAsia" w:eastAsia="宋体" w:asciiTheme="majorHAnsi" w:hAnsiTheme="majorHAnsi" w:cstheme="majorBidi"/>
          <w:b/>
          <w:bCs/>
          <w:i w:val="0"/>
          <w:iCs w:val="0"/>
          <w:color w:val="auto"/>
          <w:kern w:val="2"/>
          <w:sz w:val="32"/>
          <w:szCs w:val="32"/>
          <w:highlight w:val="none"/>
          <w:lang w:val="en-US" w:eastAsia="zh-CN" w:bidi="ar-SA"/>
        </w:rPr>
        <w:t>一、</w:t>
      </w:r>
      <w:r>
        <w:rPr>
          <w:rFonts w:hint="eastAsia" w:cstheme="majorBidi"/>
          <w:b/>
          <w:bCs/>
          <w:i w:val="0"/>
          <w:iCs w:val="0"/>
          <w:color w:val="auto"/>
          <w:kern w:val="2"/>
          <w:sz w:val="32"/>
          <w:szCs w:val="32"/>
          <w:highlight w:val="none"/>
          <w:lang w:val="en-US" w:eastAsia="zh-CN" w:bidi="ar-SA"/>
        </w:rPr>
        <w:t>响应</w:t>
      </w:r>
      <w:r>
        <w:rPr>
          <w:rFonts w:hint="eastAsia" w:eastAsia="宋体" w:asciiTheme="majorHAnsi" w:hAnsiTheme="majorHAnsi" w:cstheme="majorBidi"/>
          <w:b/>
          <w:bCs/>
          <w:i w:val="0"/>
          <w:iCs w:val="0"/>
          <w:color w:val="auto"/>
          <w:kern w:val="2"/>
          <w:sz w:val="32"/>
          <w:szCs w:val="32"/>
          <w:highlight w:val="none"/>
          <w:lang w:val="en-US" w:eastAsia="zh-CN" w:bidi="ar-SA"/>
        </w:rPr>
        <w:t>函</w:t>
      </w:r>
      <w:bookmarkEnd w:id="1483"/>
      <w:bookmarkEnd w:id="1484"/>
      <w:bookmarkEnd w:id="1485"/>
      <w:bookmarkEnd w:id="1486"/>
      <w:bookmarkEnd w:id="1487"/>
      <w:bookmarkEnd w:id="1488"/>
      <w:bookmarkEnd w:id="1489"/>
      <w:bookmarkEnd w:id="1490"/>
    </w:p>
    <w:p w14:paraId="0ABD9EA3">
      <w:pPr>
        <w:rPr>
          <w:i w:val="0"/>
          <w:iCs w:val="0"/>
          <w:color w:val="auto"/>
          <w:highlight w:val="none"/>
        </w:rPr>
      </w:pPr>
      <w:r>
        <w:rPr>
          <w:rFonts w:hint="eastAsia"/>
          <w:i w:val="0"/>
          <w:iCs w:val="0"/>
          <w:color w:val="auto"/>
          <w:highlight w:val="none"/>
        </w:rPr>
        <w:t>致：（采购人）</w:t>
      </w:r>
    </w:p>
    <w:p w14:paraId="35C4266A">
      <w:pPr>
        <w:ind w:firstLine="480" w:firstLineChars="200"/>
        <w:rPr>
          <w:rFonts w:cs="仿宋_GB2312"/>
          <w:b/>
          <w:bCs/>
          <w:i w:val="0"/>
          <w:iCs w:val="0"/>
          <w:color w:val="auto"/>
          <w:szCs w:val="24"/>
          <w:highlight w:val="none"/>
        </w:rPr>
      </w:pPr>
      <w:r>
        <w:rPr>
          <w:rFonts w:hint="eastAsia" w:cs="仿宋_GB2312"/>
          <w:i w:val="0"/>
          <w:iCs w:val="0"/>
          <w:color w:val="auto"/>
          <w:szCs w:val="24"/>
          <w:highlight w:val="none"/>
        </w:rPr>
        <w:t>根据贵方</w:t>
      </w:r>
      <w:r>
        <w:rPr>
          <w:rFonts w:hint="eastAsia" w:cs="仿宋_GB2312"/>
          <w:i w:val="0"/>
          <w:iCs w:val="0"/>
          <w:color w:val="auto"/>
          <w:szCs w:val="24"/>
          <w:highlight w:val="none"/>
          <w:u w:val="single"/>
        </w:rPr>
        <w:t>（项目名称）（项目编号）</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竞争性磋商公告</w:t>
      </w:r>
      <w:r>
        <w:rPr>
          <w:rFonts w:hint="eastAsia" w:cs="仿宋_GB2312"/>
          <w:i w:val="0"/>
          <w:iCs w:val="0"/>
          <w:color w:val="auto"/>
          <w:szCs w:val="24"/>
          <w:highlight w:val="none"/>
        </w:rPr>
        <w:t>，签字代表</w:t>
      </w:r>
      <w:r>
        <w:rPr>
          <w:rFonts w:hint="eastAsia" w:cs="仿宋_GB2312"/>
          <w:i w:val="0"/>
          <w:iCs w:val="0"/>
          <w:color w:val="auto"/>
          <w:szCs w:val="24"/>
          <w:highlight w:val="none"/>
          <w:u w:val="single"/>
        </w:rPr>
        <w:t>（姓名、职务）</w:t>
      </w:r>
      <w:r>
        <w:rPr>
          <w:rFonts w:hint="eastAsia" w:cs="仿宋_GB2312"/>
          <w:i w:val="0"/>
          <w:iCs w:val="0"/>
          <w:color w:val="auto"/>
          <w:szCs w:val="24"/>
          <w:highlight w:val="none"/>
        </w:rPr>
        <w:t>经正式授权并代表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u w:val="single"/>
        </w:rPr>
        <w:t>（</w:t>
      </w:r>
      <w:r>
        <w:rPr>
          <w:rFonts w:hint="eastAsia" w:cs="仿宋_GB2312"/>
          <w:i w:val="0"/>
          <w:iCs w:val="0"/>
          <w:color w:val="auto"/>
          <w:szCs w:val="24"/>
          <w:highlight w:val="none"/>
          <w:u w:val="single"/>
          <w:lang w:val="en-US" w:eastAsia="zh-CN"/>
        </w:rPr>
        <w:t>供应商</w:t>
      </w:r>
      <w:r>
        <w:rPr>
          <w:rFonts w:hint="eastAsia" w:cs="仿宋_GB2312"/>
          <w:i w:val="0"/>
          <w:iCs w:val="0"/>
          <w:color w:val="auto"/>
          <w:szCs w:val="24"/>
          <w:highlight w:val="none"/>
          <w:u w:val="single"/>
        </w:rPr>
        <w:t>名称、地址）</w:t>
      </w:r>
      <w:r>
        <w:rPr>
          <w:rFonts w:hint="eastAsia" w:cs="仿宋_GB2312"/>
          <w:i w:val="0"/>
          <w:iCs w:val="0"/>
          <w:color w:val="auto"/>
          <w:szCs w:val="24"/>
          <w:highlight w:val="none"/>
        </w:rPr>
        <w:t>提交下述文件</w:t>
      </w:r>
      <w:r>
        <w:rPr>
          <w:rFonts w:hint="eastAsia" w:cs="仿宋_GB2312"/>
          <w:b/>
          <w:bCs/>
          <w:i w:val="0"/>
          <w:iCs w:val="0"/>
          <w:color w:val="auto"/>
          <w:szCs w:val="24"/>
          <w:highlight w:val="none"/>
        </w:rPr>
        <w:t>：</w:t>
      </w:r>
    </w:p>
    <w:p w14:paraId="31DE4B23">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1.资格证明文件；</w:t>
      </w:r>
    </w:p>
    <w:p w14:paraId="7E086E9D">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2.报价文件；</w:t>
      </w:r>
    </w:p>
    <w:p w14:paraId="7C008F28">
      <w:pPr>
        <w:numPr>
          <w:ilvl w:val="0"/>
          <w:numId w:val="0"/>
        </w:numPr>
        <w:spacing w:line="324" w:lineRule="auto"/>
        <w:ind w:firstLine="480" w:firstLineChars="200"/>
        <w:jc w:val="both"/>
        <w:rPr>
          <w:rFonts w:cs="Arial"/>
          <w:i w:val="0"/>
          <w:iCs w:val="0"/>
          <w:color w:val="auto"/>
          <w:szCs w:val="24"/>
          <w:highlight w:val="none"/>
        </w:rPr>
      </w:pPr>
      <w:r>
        <w:rPr>
          <w:rFonts w:hint="eastAsia" w:cs="Arial"/>
          <w:i w:val="0"/>
          <w:iCs w:val="0"/>
          <w:color w:val="auto"/>
          <w:szCs w:val="24"/>
          <w:highlight w:val="none"/>
          <w:lang w:val="en-US" w:eastAsia="zh-CN"/>
        </w:rPr>
        <w:t>3.商务技术文件</w:t>
      </w:r>
      <w:r>
        <w:rPr>
          <w:rFonts w:cs="Arial"/>
          <w:i w:val="0"/>
          <w:iCs w:val="0"/>
          <w:color w:val="auto"/>
          <w:szCs w:val="24"/>
          <w:highlight w:val="none"/>
        </w:rPr>
        <w:t>。</w:t>
      </w:r>
    </w:p>
    <w:p w14:paraId="2038C573">
      <w:pPr>
        <w:spacing w:line="324" w:lineRule="auto"/>
        <w:ind w:firstLine="480" w:firstLineChars="200"/>
        <w:rPr>
          <w:rFonts w:cs="Arial"/>
          <w:i w:val="0"/>
          <w:iCs w:val="0"/>
          <w:color w:val="auto"/>
          <w:szCs w:val="24"/>
          <w:highlight w:val="none"/>
        </w:rPr>
      </w:pPr>
      <w:r>
        <w:rPr>
          <w:rFonts w:cs="Arial"/>
          <w:i w:val="0"/>
          <w:iCs w:val="0"/>
          <w:color w:val="auto"/>
          <w:szCs w:val="24"/>
          <w:highlight w:val="none"/>
        </w:rPr>
        <w:t>根据此函，签字代表宣布同意如下：</w:t>
      </w:r>
    </w:p>
    <w:p w14:paraId="7021F25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1.</w:t>
      </w:r>
      <w:r>
        <w:rPr>
          <w:rFonts w:cs="Arial"/>
          <w:i w:val="0"/>
          <w:iCs w:val="0"/>
          <w:color w:val="auto"/>
          <w:szCs w:val="24"/>
          <w:highlight w:val="none"/>
        </w:rPr>
        <w:t>所附</w:t>
      </w:r>
      <w:r>
        <w:rPr>
          <w:rFonts w:hint="eastAsia" w:cs="Arial"/>
          <w:i w:val="0"/>
          <w:iCs w:val="0"/>
          <w:color w:val="auto"/>
          <w:szCs w:val="24"/>
          <w:highlight w:val="none"/>
          <w:lang w:val="en-US" w:eastAsia="zh-CN"/>
        </w:rPr>
        <w:t>报价一览</w:t>
      </w:r>
      <w:r>
        <w:rPr>
          <w:rFonts w:cs="Arial"/>
          <w:i w:val="0"/>
          <w:iCs w:val="0"/>
          <w:color w:val="auto"/>
          <w:szCs w:val="24"/>
          <w:highlight w:val="none"/>
        </w:rPr>
        <w:t>表中规定的应提交和交付的</w:t>
      </w:r>
      <w:r>
        <w:rPr>
          <w:rFonts w:hint="eastAsia" w:cs="Arial"/>
          <w:i w:val="0"/>
          <w:iCs w:val="0"/>
          <w:color w:val="auto"/>
          <w:szCs w:val="24"/>
          <w:highlight w:val="none"/>
          <w:lang w:val="en-US" w:eastAsia="zh-CN"/>
        </w:rPr>
        <w:t>工程及相关的</w:t>
      </w:r>
      <w:r>
        <w:rPr>
          <w:rFonts w:hint="eastAsia" w:cs="Arial"/>
          <w:i w:val="0"/>
          <w:iCs w:val="0"/>
          <w:color w:val="auto"/>
          <w:szCs w:val="24"/>
          <w:highlight w:val="none"/>
        </w:rPr>
        <w:t>货物</w:t>
      </w:r>
      <w:r>
        <w:rPr>
          <w:rFonts w:cs="Arial"/>
          <w:i w:val="0"/>
          <w:iCs w:val="0"/>
          <w:color w:val="auto"/>
          <w:szCs w:val="24"/>
          <w:highlight w:val="none"/>
        </w:rPr>
        <w:t>和服务</w:t>
      </w:r>
      <w:r>
        <w:rPr>
          <w:rFonts w:hint="eastAsia" w:cs="Arial"/>
          <w:i w:val="0"/>
          <w:iCs w:val="0"/>
          <w:color w:val="auto"/>
          <w:szCs w:val="24"/>
          <w:highlight w:val="none"/>
        </w:rPr>
        <w:t>（如有）</w:t>
      </w:r>
      <w:r>
        <w:rPr>
          <w:rFonts w:cs="Arial"/>
          <w:i w:val="0"/>
          <w:iCs w:val="0"/>
          <w:color w:val="auto"/>
          <w:szCs w:val="24"/>
          <w:highlight w:val="none"/>
        </w:rPr>
        <w:t>的</w:t>
      </w:r>
      <w:r>
        <w:rPr>
          <w:rFonts w:hint="eastAsia" w:cs="Arial"/>
          <w:i w:val="0"/>
          <w:iCs w:val="0"/>
          <w:color w:val="auto"/>
          <w:szCs w:val="24"/>
          <w:highlight w:val="none"/>
        </w:rPr>
        <w:t>报价</w:t>
      </w:r>
      <w:r>
        <w:rPr>
          <w:rFonts w:cs="Arial"/>
          <w:i w:val="0"/>
          <w:iCs w:val="0"/>
          <w:color w:val="auto"/>
          <w:szCs w:val="24"/>
          <w:highlight w:val="none"/>
        </w:rPr>
        <w:t>为</w:t>
      </w:r>
      <w:r>
        <w:rPr>
          <w:rFonts w:hint="eastAsia" w:cs="Arial"/>
          <w:i w:val="0"/>
          <w:iCs w:val="0"/>
          <w:color w:val="auto"/>
          <w:szCs w:val="24"/>
          <w:highlight w:val="none"/>
        </w:rPr>
        <w:t xml:space="preserve"> </w:t>
      </w:r>
      <w:r>
        <w:rPr>
          <w:rFonts w:hint="eastAsia" w:cs="Arial"/>
          <w:i w:val="0"/>
          <w:iCs w:val="0"/>
          <w:color w:val="auto"/>
          <w:szCs w:val="24"/>
          <w:highlight w:val="none"/>
          <w:u w:val="single"/>
        </w:rPr>
        <w:t xml:space="preserve">                  </w:t>
      </w:r>
      <w:r>
        <w:rPr>
          <w:rFonts w:cs="Arial"/>
          <w:i w:val="0"/>
          <w:iCs w:val="0"/>
          <w:color w:val="auto"/>
          <w:szCs w:val="24"/>
          <w:highlight w:val="none"/>
        </w:rPr>
        <w:t>。</w:t>
      </w:r>
    </w:p>
    <w:p w14:paraId="3FF1B405">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2.</w:t>
      </w:r>
      <w:r>
        <w:rPr>
          <w:rFonts w:hint="eastAsia" w:cs="Arial"/>
          <w:i w:val="0"/>
          <w:iCs w:val="0"/>
          <w:color w:val="auto"/>
          <w:szCs w:val="24"/>
          <w:highlight w:val="none"/>
        </w:rPr>
        <w:t>我方</w:t>
      </w:r>
      <w:r>
        <w:rPr>
          <w:rFonts w:cs="Arial"/>
          <w:i w:val="0"/>
          <w:iCs w:val="0"/>
          <w:color w:val="auto"/>
          <w:szCs w:val="24"/>
          <w:highlight w:val="none"/>
        </w:rPr>
        <w:t>将按</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3.</w:t>
      </w:r>
      <w:r>
        <w:rPr>
          <w:rFonts w:hint="eastAsia" w:cs="Arial"/>
          <w:i w:val="0"/>
          <w:iCs w:val="0"/>
          <w:color w:val="auto"/>
          <w:szCs w:val="24"/>
          <w:highlight w:val="none"/>
        </w:rPr>
        <w:t>我方</w:t>
      </w:r>
      <w:r>
        <w:rPr>
          <w:rFonts w:cs="Arial"/>
          <w:i w:val="0"/>
          <w:iCs w:val="0"/>
          <w:color w:val="auto"/>
          <w:szCs w:val="24"/>
          <w:highlight w:val="none"/>
        </w:rPr>
        <w:t>已详细审查全部</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rPr>
        <w:t xml:space="preserve"> （由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填写）</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竞争性磋商</w:t>
      </w:r>
      <w:r>
        <w:rPr>
          <w:rFonts w:hint="eastAsia" w:cs="Arial"/>
          <w:i w:val="0"/>
          <w:iCs w:val="0"/>
          <w:color w:val="auto"/>
          <w:szCs w:val="24"/>
          <w:highlight w:val="none"/>
        </w:rPr>
        <w:t>文件</w:t>
      </w:r>
      <w:r>
        <w:rPr>
          <w:rFonts w:cs="Arial"/>
          <w:i w:val="0"/>
          <w:iCs w:val="0"/>
          <w:color w:val="auto"/>
          <w:szCs w:val="24"/>
          <w:highlight w:val="none"/>
        </w:rPr>
        <w:t>要求的与其</w:t>
      </w:r>
      <w:r>
        <w:rPr>
          <w:rFonts w:hint="eastAsia" w:cs="Arial"/>
          <w:i w:val="0"/>
          <w:iCs w:val="0"/>
          <w:color w:val="auto"/>
          <w:szCs w:val="24"/>
          <w:highlight w:val="none"/>
          <w:lang w:val="en-US" w:eastAsia="zh-CN"/>
        </w:rPr>
        <w:t>磋商响应</w:t>
      </w:r>
      <w:r>
        <w:rPr>
          <w:rFonts w:cs="Arial"/>
          <w:i w:val="0"/>
          <w:iCs w:val="0"/>
          <w:color w:val="auto"/>
          <w:szCs w:val="24"/>
          <w:highlight w:val="none"/>
        </w:rPr>
        <w:t>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w:t>
      </w:r>
      <w:r>
        <w:rPr>
          <w:rFonts w:hint="eastAsia" w:cs="Arial"/>
          <w:i w:val="0"/>
          <w:iCs w:val="0"/>
          <w:color w:val="auto"/>
          <w:szCs w:val="24"/>
          <w:highlight w:val="none"/>
          <w:lang w:val="en-US" w:eastAsia="zh-CN"/>
        </w:rPr>
        <w:t>响应</w:t>
      </w:r>
      <w:r>
        <w:rPr>
          <w:rFonts w:cs="Arial"/>
          <w:i w:val="0"/>
          <w:iCs w:val="0"/>
          <w:color w:val="auto"/>
          <w:szCs w:val="24"/>
          <w:highlight w:val="none"/>
        </w:rPr>
        <w:t>。</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FC84088">
      <w:pPr>
        <w:spacing w:line="324" w:lineRule="auto"/>
        <w:ind w:firstLine="480" w:firstLineChars="200"/>
        <w:rPr>
          <w:i w:val="0"/>
          <w:iCs w:val="0"/>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4）我方在本</w:t>
      </w:r>
      <w:r>
        <w:rPr>
          <w:rFonts w:hint="eastAsia"/>
          <w:i w:val="0"/>
          <w:iCs w:val="0"/>
          <w:color w:val="auto"/>
          <w:szCs w:val="24"/>
          <w:highlight w:val="none"/>
          <w:lang w:val="en-US" w:eastAsia="zh-CN"/>
        </w:rPr>
        <w:t>响应</w:t>
      </w:r>
      <w:r>
        <w:rPr>
          <w:rFonts w:hint="eastAsia"/>
          <w:i w:val="0"/>
          <w:iCs w:val="0"/>
          <w:color w:val="auto"/>
          <w:szCs w:val="24"/>
          <w:highlight w:val="none"/>
        </w:rPr>
        <w:t>文件中所提供的全部资料均真实有效，我方承诺对其真实性负责并承担相应后果。</w:t>
      </w:r>
    </w:p>
    <w:p w14:paraId="5FB2607B">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5）我方承诺本《</w:t>
      </w:r>
      <w:r>
        <w:rPr>
          <w:rFonts w:hint="eastAsia"/>
          <w:i w:val="0"/>
          <w:iCs w:val="0"/>
          <w:color w:val="auto"/>
          <w:szCs w:val="24"/>
          <w:highlight w:val="none"/>
          <w:lang w:val="en-US" w:eastAsia="zh-CN"/>
        </w:rPr>
        <w:t>响应</w:t>
      </w:r>
      <w:r>
        <w:rPr>
          <w:rFonts w:hint="eastAsia"/>
          <w:i w:val="0"/>
          <w:iCs w:val="0"/>
          <w:color w:val="auto"/>
          <w:szCs w:val="24"/>
          <w:highlight w:val="none"/>
        </w:rPr>
        <w:t>函》的签章对本</w:t>
      </w:r>
      <w:r>
        <w:rPr>
          <w:rFonts w:hint="eastAsia"/>
          <w:i w:val="0"/>
          <w:iCs w:val="0"/>
          <w:color w:val="auto"/>
          <w:szCs w:val="24"/>
          <w:highlight w:val="none"/>
          <w:lang w:val="en-US" w:eastAsia="zh-CN"/>
        </w:rPr>
        <w:t>响应</w:t>
      </w:r>
      <w:r>
        <w:rPr>
          <w:rFonts w:hint="eastAsia"/>
          <w:i w:val="0"/>
          <w:iCs w:val="0"/>
          <w:color w:val="auto"/>
          <w:szCs w:val="24"/>
          <w:highlight w:val="none"/>
        </w:rPr>
        <w:t>文件全部内容具有约束力并承担法律责任。</w:t>
      </w:r>
    </w:p>
    <w:p w14:paraId="2A195747">
      <w:pPr>
        <w:spacing w:line="300" w:lineRule="auto"/>
        <w:rPr>
          <w:rFonts w:cs="Arial"/>
          <w:i w:val="0"/>
          <w:iCs w:val="0"/>
          <w:color w:val="auto"/>
          <w:szCs w:val="24"/>
          <w:highlight w:val="none"/>
        </w:rPr>
      </w:pPr>
    </w:p>
    <w:p w14:paraId="3F664789">
      <w:pPr>
        <w:spacing w:line="300" w:lineRule="auto"/>
        <w:rPr>
          <w:rFonts w:cs="Arial"/>
          <w:i w:val="0"/>
          <w:iCs w:val="0"/>
          <w:color w:val="auto"/>
          <w:szCs w:val="24"/>
          <w:highlight w:val="none"/>
        </w:rPr>
      </w:pPr>
    </w:p>
    <w:p w14:paraId="6C365FF0">
      <w:pPr>
        <w:spacing w:line="300" w:lineRule="auto"/>
        <w:rPr>
          <w:rFonts w:cs="Arial"/>
          <w:i w:val="0"/>
          <w:iCs w:val="0"/>
          <w:color w:val="auto"/>
          <w:szCs w:val="24"/>
          <w:highlight w:val="none"/>
        </w:rPr>
      </w:pPr>
    </w:p>
    <w:p w14:paraId="2DB608AC">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lang w:val="en-US" w:eastAsia="zh-CN"/>
        </w:rPr>
        <w:t>供    应    商</w:t>
      </w:r>
      <w:r>
        <w:rPr>
          <w:rFonts w:hint="eastAsia" w:cs="宋体"/>
          <w:i w:val="0"/>
          <w:iCs w:val="0"/>
          <w:color w:val="auto"/>
          <w:highlight w:val="none"/>
        </w:rPr>
        <w:t>：（公章）</w:t>
      </w:r>
    </w:p>
    <w:p w14:paraId="4CCC9D16">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通  讯  地  址：</w:t>
      </w:r>
    </w:p>
    <w:p w14:paraId="268281DA">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传       </w:t>
      </w:r>
      <w:r>
        <w:rPr>
          <w:rFonts w:cs="宋体"/>
          <w:i w:val="0"/>
          <w:iCs w:val="0"/>
          <w:color w:val="auto"/>
          <w:highlight w:val="none"/>
        </w:rPr>
        <w:t xml:space="preserve">   </w:t>
      </w:r>
      <w:r>
        <w:rPr>
          <w:rFonts w:hint="eastAsia" w:cs="宋体"/>
          <w:i w:val="0"/>
          <w:iCs w:val="0"/>
          <w:color w:val="auto"/>
          <w:highlight w:val="none"/>
        </w:rPr>
        <w:t>真：</w:t>
      </w:r>
    </w:p>
    <w:p w14:paraId="0A396883">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电          话：</w:t>
      </w:r>
    </w:p>
    <w:p w14:paraId="21203E4D">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授 </w:t>
      </w:r>
      <w:r>
        <w:rPr>
          <w:rFonts w:cs="宋体"/>
          <w:i w:val="0"/>
          <w:iCs w:val="0"/>
          <w:color w:val="auto"/>
          <w:highlight w:val="none"/>
        </w:rPr>
        <w:t xml:space="preserve"> </w:t>
      </w:r>
      <w:r>
        <w:rPr>
          <w:rFonts w:hint="eastAsia" w:cs="宋体"/>
          <w:i w:val="0"/>
          <w:iCs w:val="0"/>
          <w:color w:val="auto"/>
          <w:highlight w:val="none"/>
        </w:rPr>
        <w:t xml:space="preserve">权 </w:t>
      </w:r>
      <w:r>
        <w:rPr>
          <w:rFonts w:cs="宋体"/>
          <w:i w:val="0"/>
          <w:iCs w:val="0"/>
          <w:color w:val="auto"/>
          <w:highlight w:val="none"/>
        </w:rPr>
        <w:t xml:space="preserve"> </w:t>
      </w:r>
      <w:r>
        <w:rPr>
          <w:rFonts w:hint="eastAsia" w:cs="宋体"/>
          <w:i w:val="0"/>
          <w:iCs w:val="0"/>
          <w:color w:val="auto"/>
          <w:highlight w:val="none"/>
        </w:rPr>
        <w:t xml:space="preserve">代 </w:t>
      </w:r>
      <w:r>
        <w:rPr>
          <w:rFonts w:cs="宋体"/>
          <w:i w:val="0"/>
          <w:iCs w:val="0"/>
          <w:color w:val="auto"/>
          <w:highlight w:val="none"/>
        </w:rPr>
        <w:t xml:space="preserve"> </w:t>
      </w:r>
      <w:r>
        <w:rPr>
          <w:rFonts w:hint="eastAsia" w:cs="宋体"/>
          <w:i w:val="0"/>
          <w:iCs w:val="0"/>
          <w:color w:val="auto"/>
          <w:highlight w:val="none"/>
        </w:rPr>
        <w:t>表：</w:t>
      </w:r>
    </w:p>
    <w:p w14:paraId="63C92097">
      <w:pPr>
        <w:ind w:firstLine="480" w:firstLineChars="200"/>
        <w:rPr>
          <w:rFonts w:cs="Arial"/>
          <w:i w:val="0"/>
          <w:iCs w:val="0"/>
          <w:color w:val="auto"/>
          <w:szCs w:val="24"/>
          <w:highlight w:val="none"/>
        </w:rPr>
      </w:pPr>
      <w:r>
        <w:rPr>
          <w:rFonts w:hint="eastAsia" w:cs="宋体"/>
          <w:i w:val="0"/>
          <w:iCs w:val="0"/>
          <w:color w:val="auto"/>
          <w:highlight w:val="none"/>
        </w:rPr>
        <w:t xml:space="preserve">日     </w:t>
      </w:r>
      <w:r>
        <w:rPr>
          <w:rFonts w:cs="宋体"/>
          <w:i w:val="0"/>
          <w:iCs w:val="0"/>
          <w:color w:val="auto"/>
          <w:highlight w:val="none"/>
        </w:rPr>
        <w:t xml:space="preserve">  </w:t>
      </w:r>
      <w:r>
        <w:rPr>
          <w:rFonts w:hint="eastAsia" w:cs="宋体"/>
          <w:i w:val="0"/>
          <w:iCs w:val="0"/>
          <w:color w:val="auto"/>
          <w:highlight w:val="none"/>
        </w:rPr>
        <w:t xml:space="preserve">    期：</w:t>
      </w:r>
    </w:p>
    <w:p w14:paraId="6674502E">
      <w:pPr>
        <w:rPr>
          <w:rFonts w:cs="Arial"/>
          <w:i w:val="0"/>
          <w:iCs w:val="0"/>
          <w:color w:val="auto"/>
          <w:szCs w:val="24"/>
          <w:highlight w:val="none"/>
          <w:u w:val="single"/>
        </w:rPr>
      </w:pPr>
    </w:p>
    <w:p w14:paraId="478BFBB8">
      <w:pPr>
        <w:rPr>
          <w:rFonts w:cs="Arial"/>
          <w:i w:val="0"/>
          <w:iCs w:val="0"/>
          <w:color w:val="auto"/>
          <w:szCs w:val="24"/>
          <w:highlight w:val="none"/>
          <w:u w:val="single"/>
        </w:rPr>
      </w:pPr>
      <w:r>
        <w:rPr>
          <w:rFonts w:cs="Arial"/>
          <w:i w:val="0"/>
          <w:iCs w:val="0"/>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491" w:name="_Toc155185924"/>
      <w:bookmarkStart w:id="1492" w:name="_Toc3160"/>
      <w:r>
        <w:rPr>
          <w:rFonts w:hint="eastAsia" w:cstheme="majorBidi"/>
          <w:b/>
          <w:bCs/>
          <w:i w:val="0"/>
          <w:iCs w:val="0"/>
          <w:color w:val="auto"/>
          <w:kern w:val="2"/>
          <w:sz w:val="32"/>
          <w:szCs w:val="32"/>
          <w:highlight w:val="none"/>
          <w:lang w:val="en-US" w:eastAsia="zh-CN" w:bidi="ar-SA"/>
        </w:rPr>
        <w:t>二</w:t>
      </w:r>
      <w:r>
        <w:rPr>
          <w:rFonts w:hint="eastAsia" w:eastAsia="宋体" w:asciiTheme="majorHAnsi" w:hAnsiTheme="majorHAnsi" w:cstheme="majorBidi"/>
          <w:b/>
          <w:bCs/>
          <w:i w:val="0"/>
          <w:iCs w:val="0"/>
          <w:color w:val="auto"/>
          <w:kern w:val="2"/>
          <w:sz w:val="32"/>
          <w:szCs w:val="32"/>
          <w:highlight w:val="none"/>
          <w:lang w:val="en-US" w:eastAsia="zh-CN" w:bidi="ar-SA"/>
        </w:rPr>
        <w:t>、法定代表人（单位负责人）身份证明</w:t>
      </w:r>
      <w:bookmarkEnd w:id="1491"/>
      <w:bookmarkEnd w:id="1492"/>
    </w:p>
    <w:p w14:paraId="46CF1AA3">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兹证明， </w:t>
      </w:r>
    </w:p>
    <w:p w14:paraId="1D36B9E0">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系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lang w:val="en-US" w:eastAsia="zh-CN"/>
        </w:rPr>
        <w:t xml:space="preserve">（供应商名称）的法定代表人（单位负责人）。 </w:t>
      </w:r>
    </w:p>
    <w:p w14:paraId="3B002BC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i w:val="0"/>
          <w:iCs w:val="0"/>
          <w:color w:val="auto"/>
          <w:szCs w:val="24"/>
          <w:highlight w:val="none"/>
        </w:rPr>
      </w:pPr>
    </w:p>
    <w:p w14:paraId="473563CD">
      <w:pPr>
        <w:rPr>
          <w:rFonts w:cs="Arial"/>
          <w:i w:val="0"/>
          <w:iCs w:val="0"/>
          <w:color w:val="auto"/>
          <w:sz w:val="21"/>
          <w:szCs w:val="21"/>
          <w:highlight w:val="none"/>
        </w:rPr>
      </w:pPr>
    </w:p>
    <w:tbl>
      <w:tblPr>
        <w:tblStyle w:val="33"/>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i w:val="0"/>
                <w:iCs w:val="0"/>
                <w:color w:val="auto"/>
                <w:highlight w:val="none"/>
              </w:rPr>
            </w:pPr>
          </w:p>
        </w:tc>
      </w:tr>
    </w:tbl>
    <w:p w14:paraId="76B5C725">
      <w:pPr>
        <w:ind w:firstLine="840" w:firstLineChars="350"/>
        <w:jc w:val="center"/>
        <w:rPr>
          <w:rFonts w:cs="Arial"/>
          <w:i w:val="0"/>
          <w:iCs w:val="0"/>
          <w:color w:val="auto"/>
          <w:highlight w:val="none"/>
        </w:rPr>
      </w:pPr>
    </w:p>
    <w:p w14:paraId="4AD74708">
      <w:pPr>
        <w:keepNext w:val="0"/>
        <w:keepLines w:val="0"/>
        <w:widowControl/>
        <w:suppressLineNumbers w:val="0"/>
        <w:jc w:val="left"/>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364A1245">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i w:val="0"/>
          <w:iCs w:val="0"/>
          <w:color w:val="auto"/>
          <w:kern w:val="0"/>
          <w:sz w:val="24"/>
          <w:szCs w:val="24"/>
          <w:highlight w:val="none"/>
          <w:lang w:val="en-US" w:eastAsia="zh-CN" w:bidi="ar"/>
        </w:rPr>
      </w:pPr>
    </w:p>
    <w:p w14:paraId="7239FE13">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日</w:t>
      </w:r>
    </w:p>
    <w:p w14:paraId="6948CD78">
      <w:pPr>
        <w:rPr>
          <w:b/>
          <w:i w:val="0"/>
          <w:iCs w:val="0"/>
          <w:color w:val="auto"/>
          <w:sz w:val="28"/>
          <w:szCs w:val="28"/>
          <w:highlight w:val="none"/>
        </w:rPr>
      </w:pPr>
    </w:p>
    <w:p w14:paraId="04FDD702">
      <w:pPr>
        <w:rPr>
          <w:b/>
          <w:i w:val="0"/>
          <w:iCs w:val="0"/>
          <w:color w:val="auto"/>
          <w:sz w:val="28"/>
          <w:szCs w:val="28"/>
          <w:highlight w:val="none"/>
        </w:rPr>
      </w:pPr>
      <w:r>
        <w:rPr>
          <w:b/>
          <w:i w:val="0"/>
          <w:iCs w:val="0"/>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493" w:name="_Toc155185925"/>
      <w:bookmarkStart w:id="1494" w:name="_Toc16671"/>
      <w:r>
        <w:rPr>
          <w:rFonts w:hint="eastAsia" w:cstheme="majorBidi"/>
          <w:b/>
          <w:bCs/>
          <w:i w:val="0"/>
          <w:iCs w:val="0"/>
          <w:color w:val="auto"/>
          <w:kern w:val="2"/>
          <w:sz w:val="32"/>
          <w:szCs w:val="32"/>
          <w:highlight w:val="none"/>
          <w:lang w:val="en-US" w:eastAsia="zh-CN" w:bidi="ar-SA"/>
        </w:rPr>
        <w:t>三</w:t>
      </w:r>
      <w:r>
        <w:rPr>
          <w:rFonts w:hint="eastAsia" w:eastAsia="宋体" w:asciiTheme="majorHAnsi" w:hAnsiTheme="majorHAnsi" w:cstheme="majorBidi"/>
          <w:b/>
          <w:bCs/>
          <w:i w:val="0"/>
          <w:iCs w:val="0"/>
          <w:color w:val="auto"/>
          <w:kern w:val="2"/>
          <w:sz w:val="32"/>
          <w:szCs w:val="32"/>
          <w:highlight w:val="none"/>
          <w:lang w:val="en-US" w:eastAsia="zh-CN" w:bidi="ar-SA"/>
        </w:rPr>
        <w:t>、授权委托书</w:t>
      </w:r>
      <w:bookmarkEnd w:id="1493"/>
      <w:bookmarkEnd w:id="1494"/>
    </w:p>
    <w:p w14:paraId="593F068D">
      <w:pPr>
        <w:ind w:firstLine="480" w:firstLineChars="200"/>
        <w:rPr>
          <w:rFonts w:cs="仿宋_GB2312"/>
          <w:i w:val="0"/>
          <w:iCs w:val="0"/>
          <w:color w:val="auto"/>
          <w:szCs w:val="24"/>
          <w:highlight w:val="none"/>
        </w:rPr>
      </w:pPr>
      <w:r>
        <w:rPr>
          <w:rFonts w:hint="eastAsia" w:cs="仿宋_GB2312"/>
          <w:i w:val="0"/>
          <w:iCs w:val="0"/>
          <w:color w:val="auto"/>
          <w:szCs w:val="24"/>
          <w:highlight w:val="none"/>
        </w:rPr>
        <w:t>本人</w:t>
      </w:r>
      <w:r>
        <w:rPr>
          <w:rFonts w:cs="仿宋_GB2312"/>
          <w:i w:val="0"/>
          <w:iCs w:val="0"/>
          <w:color w:val="auto"/>
          <w:szCs w:val="24"/>
          <w:highlight w:val="none"/>
          <w:u w:val="single"/>
        </w:rPr>
        <w:t xml:space="preserve">     </w:t>
      </w:r>
      <w:r>
        <w:rPr>
          <w:rFonts w:hint="eastAsia" w:cs="仿宋_GB2312"/>
          <w:i w:val="0"/>
          <w:iCs w:val="0"/>
          <w:color w:val="auto"/>
          <w:szCs w:val="24"/>
          <w:highlight w:val="none"/>
          <w:u w:val="none"/>
        </w:rPr>
        <w:t>（姓名）</w:t>
      </w:r>
      <w:r>
        <w:rPr>
          <w:rFonts w:hint="eastAsia" w:cs="仿宋_GB2312"/>
          <w:i w:val="0"/>
          <w:iCs w:val="0"/>
          <w:color w:val="auto"/>
          <w:szCs w:val="24"/>
          <w:highlight w:val="none"/>
        </w:rPr>
        <w:t>系</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none"/>
        </w:rPr>
        <w:t>（</w:t>
      </w:r>
      <w:r>
        <w:rPr>
          <w:rFonts w:hint="eastAsia" w:cs="仿宋_GB2312"/>
          <w:i w:val="0"/>
          <w:iCs w:val="0"/>
          <w:color w:val="auto"/>
          <w:szCs w:val="24"/>
          <w:highlight w:val="none"/>
          <w:u w:val="none"/>
          <w:lang w:val="en-US" w:eastAsia="zh-CN"/>
        </w:rPr>
        <w:t>供应商</w:t>
      </w:r>
      <w:r>
        <w:rPr>
          <w:rFonts w:hint="eastAsia" w:cs="仿宋_GB2312"/>
          <w:i w:val="0"/>
          <w:iCs w:val="0"/>
          <w:color w:val="auto"/>
          <w:szCs w:val="24"/>
          <w:highlight w:val="none"/>
          <w:u w:val="none"/>
        </w:rPr>
        <w:t>名称）</w:t>
      </w:r>
      <w:r>
        <w:rPr>
          <w:rFonts w:hint="eastAsia" w:cs="仿宋_GB2312"/>
          <w:i w:val="0"/>
          <w:iCs w:val="0"/>
          <w:color w:val="auto"/>
          <w:szCs w:val="24"/>
          <w:highlight w:val="none"/>
        </w:rPr>
        <w:t>的法定代表人</w:t>
      </w:r>
      <w:r>
        <w:rPr>
          <w:rFonts w:hint="eastAsia"/>
          <w:i w:val="0"/>
          <w:iCs w:val="0"/>
          <w:color w:val="auto"/>
          <w:highlight w:val="none"/>
        </w:rPr>
        <w:t>（</w:t>
      </w:r>
      <w:r>
        <w:rPr>
          <w:rFonts w:hint="eastAsia"/>
          <w:i w:val="0"/>
          <w:iCs w:val="0"/>
          <w:color w:val="auto"/>
          <w:highlight w:val="none"/>
          <w:lang w:val="en-US" w:eastAsia="zh-CN"/>
        </w:rPr>
        <w:t>单位</w:t>
      </w:r>
      <w:r>
        <w:rPr>
          <w:rFonts w:hint="eastAsia"/>
          <w:i w:val="0"/>
          <w:iCs w:val="0"/>
          <w:color w:val="auto"/>
          <w:highlight w:val="none"/>
        </w:rPr>
        <w:t>负责人）</w:t>
      </w:r>
      <w:r>
        <w:rPr>
          <w:rFonts w:hint="eastAsia" w:cs="仿宋_GB2312"/>
          <w:i w:val="0"/>
          <w:iCs w:val="0"/>
          <w:color w:val="auto"/>
          <w:szCs w:val="24"/>
          <w:highlight w:val="none"/>
        </w:rPr>
        <w:t>，现委托</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（姓名）为我方代理人。代理人根据授权，以我方名义签署、澄清</w:t>
      </w:r>
      <w:r>
        <w:rPr>
          <w:rFonts w:hint="eastAsia" w:cs="仿宋_GB2312"/>
          <w:i w:val="0"/>
          <w:iCs w:val="0"/>
          <w:color w:val="auto"/>
          <w:szCs w:val="24"/>
          <w:highlight w:val="none"/>
          <w:lang w:val="en-US" w:eastAsia="zh-CN"/>
        </w:rPr>
        <w:t>确认</w:t>
      </w:r>
      <w:r>
        <w:rPr>
          <w:rFonts w:hint="eastAsia" w:cs="仿宋_GB2312"/>
          <w:i w:val="0"/>
          <w:iCs w:val="0"/>
          <w:color w:val="auto"/>
          <w:szCs w:val="24"/>
          <w:highlight w:val="none"/>
        </w:rPr>
        <w:t>、说明、补正、递交、撤回、修改</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（项目名称）</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文件、签订合同和处理有关事宜，其法律后果由我方承担。</w:t>
      </w:r>
    </w:p>
    <w:p w14:paraId="56B80D1C">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rPr>
        <w:t>委托期限：</w:t>
      </w:r>
      <w:r>
        <w:rPr>
          <w:rFonts w:hint="eastAsia" w:cs="仿宋_GB2312"/>
          <w:i w:val="0"/>
          <w:iCs w:val="0"/>
          <w:color w:val="auto"/>
          <w:szCs w:val="24"/>
          <w:highlight w:val="none"/>
          <w:lang w:val="en-US" w:eastAsia="zh-CN"/>
        </w:rPr>
        <w:t>自本授权委托书签署之日起至响应文件有效期届满之日止。</w:t>
      </w:r>
    </w:p>
    <w:p w14:paraId="0A605ABE">
      <w:pPr>
        <w:ind w:firstLine="480" w:firstLineChars="200"/>
        <w:rPr>
          <w:rFonts w:cs="仿宋_GB2312"/>
          <w:i w:val="0"/>
          <w:iCs w:val="0"/>
          <w:color w:val="auto"/>
          <w:szCs w:val="24"/>
          <w:highlight w:val="none"/>
        </w:rPr>
      </w:pPr>
      <w:r>
        <w:rPr>
          <w:rFonts w:hint="eastAsia" w:cs="仿宋_GB2312"/>
          <w:i w:val="0"/>
          <w:iCs w:val="0"/>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委托代理人（签字或签章）：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r>
        <w:rPr>
          <w:rFonts w:hint="eastAsia" w:ascii="DejaVuSans" w:hAnsi="DejaVuSans" w:eastAsia="DejaVuSans" w:cs="DejaVuSans"/>
          <w:i w:val="0"/>
          <w:iCs w:val="0"/>
          <w:color w:val="auto"/>
          <w:kern w:val="0"/>
          <w:sz w:val="24"/>
          <w:szCs w:val="24"/>
          <w:highlight w:val="none"/>
          <w:lang w:val="en-US" w:eastAsia="zh-CN" w:bidi="ar"/>
        </w:rPr>
        <w:t xml:space="preserve">  联系电话：</w:t>
      </w:r>
      <w:r>
        <w:rPr>
          <w:rFonts w:hint="eastAsia" w:ascii="DejaVuSans" w:hAnsi="DejaVuSans" w:eastAsia="DejaVuSans" w:cs="DejaVuSans"/>
          <w:i w:val="0"/>
          <w:iCs w:val="0"/>
          <w:color w:val="auto"/>
          <w:kern w:val="0"/>
          <w:sz w:val="24"/>
          <w:szCs w:val="24"/>
          <w:highlight w:val="none"/>
          <w:u w:val="single"/>
          <w:lang w:val="en-US" w:eastAsia="zh-CN" w:bidi="ar"/>
        </w:rPr>
        <w:t xml:space="preserve">              </w:t>
      </w:r>
      <w:r>
        <w:rPr>
          <w:rFonts w:hint="default" w:ascii="DejaVuSans" w:hAnsi="DejaVuSans" w:eastAsia="DejaVuSans" w:cs="DejaVuSans"/>
          <w:i w:val="0"/>
          <w:iCs w:val="0"/>
          <w:color w:val="auto"/>
          <w:kern w:val="0"/>
          <w:sz w:val="24"/>
          <w:szCs w:val="24"/>
          <w:highlight w:val="none"/>
          <w:lang w:val="en-US" w:eastAsia="zh-CN" w:bidi="ar"/>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 xml:space="preserve">附：法定代表人及委托代理人身份证明文件电子件： </w:t>
      </w:r>
    </w:p>
    <w:tbl>
      <w:tblPr>
        <w:tblStyle w:val="33"/>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i w:val="0"/>
                <w:iCs w:val="0"/>
                <w:color w:val="auto"/>
                <w:highlight w:val="none"/>
              </w:rPr>
            </w:pPr>
          </w:p>
        </w:tc>
      </w:tr>
    </w:tbl>
    <w:p w14:paraId="003FC2D7">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说明： </w:t>
      </w:r>
    </w:p>
    <w:p w14:paraId="6A6FAC65">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1.若供应商为事业单位或其他组织或分支机构，则法定代表人（单位负责人）处的签署人可为单位负责人。 </w:t>
      </w:r>
    </w:p>
    <w:p w14:paraId="7579C425">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2.</w:t>
      </w:r>
      <w:r>
        <w:rPr>
          <w:rFonts w:hint="eastAsia" w:cs="仿宋_GB2312"/>
          <w:i w:val="0"/>
          <w:iCs w:val="0"/>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7D81952A">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3.</w:t>
      </w:r>
      <w:r>
        <w:rPr>
          <w:rFonts w:hint="eastAsia" w:cs="仿宋_GB2312"/>
          <w:i w:val="0"/>
          <w:iCs w:val="0"/>
          <w:color w:val="auto"/>
          <w:szCs w:val="24"/>
          <w:highlight w:val="none"/>
          <w:lang w:val="en-US" w:eastAsia="zh-CN"/>
        </w:rPr>
        <w:t xml:space="preserve">供应商为自然人的情形，可不提供本《授权委托书》。 </w:t>
      </w:r>
    </w:p>
    <w:p w14:paraId="16E91B57">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4.</w:t>
      </w:r>
      <w:r>
        <w:rPr>
          <w:rFonts w:hint="eastAsia" w:cs="仿宋_GB2312"/>
          <w:i w:val="0"/>
          <w:iCs w:val="0"/>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i w:val="0"/>
          <w:iCs w:val="0"/>
          <w:color w:val="auto"/>
          <w:szCs w:val="24"/>
          <w:highlight w:val="none"/>
          <w:lang w:val="en-US" w:eastAsia="zh-CN"/>
        </w:rPr>
        <w:t>双面</w:t>
      </w:r>
      <w:r>
        <w:rPr>
          <w:rFonts w:hint="eastAsia" w:cs="仿宋_GB2312"/>
          <w:i w:val="0"/>
          <w:iCs w:val="0"/>
          <w:color w:val="auto"/>
          <w:szCs w:val="24"/>
          <w:highlight w:val="none"/>
          <w:lang w:val="en-US" w:eastAsia="zh-CN"/>
        </w:rPr>
        <w:t>电子件。</w:t>
      </w:r>
    </w:p>
    <w:p w14:paraId="0B2EBA16">
      <w:pPr>
        <w:rPr>
          <w:i w:val="0"/>
          <w:iCs w:val="0"/>
          <w:color w:val="auto"/>
          <w:highlight w:val="none"/>
        </w:rPr>
      </w:pPr>
      <w:r>
        <w:rPr>
          <w:i w:val="0"/>
          <w:iCs w:val="0"/>
          <w:color w:val="auto"/>
          <w:highlight w:val="none"/>
        </w:rPr>
        <w:br w:type="page"/>
      </w:r>
    </w:p>
    <w:p w14:paraId="117D25C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495" w:name="_Toc155185934"/>
      <w:bookmarkStart w:id="1496" w:name="_Toc163492928"/>
      <w:bookmarkStart w:id="1497" w:name="_Toc13256"/>
      <w:r>
        <w:rPr>
          <w:rFonts w:hint="eastAsia" w:cstheme="majorBidi"/>
          <w:b/>
          <w:bCs/>
          <w:i w:val="0"/>
          <w:iCs w:val="0"/>
          <w:color w:val="auto"/>
          <w:kern w:val="2"/>
          <w:sz w:val="32"/>
          <w:szCs w:val="32"/>
          <w:highlight w:val="none"/>
          <w:lang w:val="en-US" w:eastAsia="zh-CN" w:bidi="ar-SA"/>
        </w:rPr>
        <w:t>四</w:t>
      </w:r>
      <w:r>
        <w:rPr>
          <w:rFonts w:hint="eastAsia" w:eastAsia="宋体" w:asciiTheme="majorHAnsi" w:hAnsiTheme="majorHAnsi" w:cstheme="majorBidi"/>
          <w:b/>
          <w:bCs/>
          <w:i w:val="0"/>
          <w:iCs w:val="0"/>
          <w:color w:val="auto"/>
          <w:kern w:val="2"/>
          <w:sz w:val="32"/>
          <w:szCs w:val="32"/>
          <w:highlight w:val="none"/>
          <w:lang w:val="en-US" w:eastAsia="zh-CN" w:bidi="ar-SA"/>
        </w:rPr>
        <w:t>、</w:t>
      </w:r>
      <w:bookmarkEnd w:id="1495"/>
      <w:bookmarkEnd w:id="1496"/>
      <w:r>
        <w:rPr>
          <w:rFonts w:hint="eastAsia" w:eastAsia="宋体" w:asciiTheme="majorHAnsi" w:hAnsiTheme="majorHAnsi" w:cstheme="majorBidi"/>
          <w:b/>
          <w:bCs/>
          <w:i w:val="0"/>
          <w:iCs w:val="0"/>
          <w:color w:val="auto"/>
          <w:kern w:val="2"/>
          <w:sz w:val="32"/>
          <w:szCs w:val="32"/>
          <w:highlight w:val="none"/>
          <w:lang w:val="zh-CN" w:eastAsia="zh-CN" w:bidi="ar-SA"/>
        </w:rPr>
        <w:t>政府采购供应商廉洁自律承诺书</w:t>
      </w:r>
      <w:bookmarkEnd w:id="1497"/>
    </w:p>
    <w:p w14:paraId="2AB445CF">
      <w:pPr>
        <w:pStyle w:val="13"/>
        <w:rPr>
          <w:i w:val="0"/>
          <w:iCs w:val="0"/>
          <w:color w:val="auto"/>
          <w:highlight w:val="none"/>
        </w:rPr>
      </w:pPr>
    </w:p>
    <w:p w14:paraId="2CE177B4">
      <w:pPr>
        <w:snapToGrid w:val="0"/>
        <w:spacing w:line="360" w:lineRule="auto"/>
        <w:rPr>
          <w:rFonts w:ascii="宋体" w:hAnsi="宋体" w:cs="宋体"/>
          <w:i w:val="0"/>
          <w:iCs w:val="0"/>
          <w:color w:val="auto"/>
          <w:kern w:val="0"/>
          <w:sz w:val="24"/>
          <w:szCs w:val="24"/>
          <w:highlight w:val="none"/>
        </w:rPr>
      </w:pPr>
      <w:r>
        <w:rPr>
          <w:rFonts w:hint="eastAsia" w:ascii="宋体" w:hAnsi="宋体" w:cs="宋体"/>
          <w:i w:val="0"/>
          <w:iCs w:val="0"/>
          <w:color w:val="auto"/>
          <w:sz w:val="24"/>
          <w:szCs w:val="24"/>
          <w:highlight w:val="none"/>
        </w:rPr>
        <w:t>（采购人）、（采购代理机构）</w:t>
      </w:r>
      <w:r>
        <w:rPr>
          <w:rFonts w:hint="eastAsia" w:ascii="宋体" w:hAnsi="宋体" w:cs="宋体"/>
          <w:i w:val="0"/>
          <w:iCs w:val="0"/>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我单位响应你</w:t>
      </w:r>
      <w:r>
        <w:rPr>
          <w:rFonts w:hint="eastAsia" w:ascii="宋体" w:hAnsi="宋体" w:cs="宋体"/>
          <w:i w:val="0"/>
          <w:iCs w:val="0"/>
          <w:color w:val="auto"/>
          <w:sz w:val="24"/>
          <w:szCs w:val="24"/>
          <w:highlight w:val="none"/>
        </w:rPr>
        <w:t>单位</w:t>
      </w:r>
      <w:r>
        <w:rPr>
          <w:rFonts w:hint="eastAsia" w:ascii="宋体" w:hAnsi="宋体" w:cs="宋体"/>
          <w:i w:val="0"/>
          <w:iCs w:val="0"/>
          <w:color w:val="auto"/>
          <w:kern w:val="0"/>
          <w:sz w:val="24"/>
          <w:szCs w:val="24"/>
          <w:highlight w:val="none"/>
          <w:lang w:val="zh-CN"/>
        </w:rPr>
        <w:t>项目</w:t>
      </w:r>
      <w:r>
        <w:rPr>
          <w:rFonts w:hint="eastAsia" w:cs="宋体"/>
          <w:i w:val="0"/>
          <w:iCs w:val="0"/>
          <w:color w:val="auto"/>
          <w:kern w:val="0"/>
          <w:sz w:val="24"/>
          <w:szCs w:val="24"/>
          <w:highlight w:val="none"/>
          <w:lang w:val="en-US" w:eastAsia="zh-CN"/>
        </w:rPr>
        <w:t>竞争性磋商</w:t>
      </w:r>
      <w:r>
        <w:rPr>
          <w:rFonts w:hint="eastAsia" w:ascii="宋体" w:hAnsi="宋体" w:cs="宋体"/>
          <w:i w:val="0"/>
          <w:iCs w:val="0"/>
          <w:color w:val="auto"/>
          <w:kern w:val="0"/>
          <w:sz w:val="24"/>
          <w:szCs w:val="24"/>
          <w:highlight w:val="none"/>
          <w:lang w:val="zh-CN"/>
        </w:rPr>
        <w:t>要求参加</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。在这次</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过程中和</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如违反上述承诺，你单位有权立即取消我单位</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或在建项目的建设资格，有权拒绝我单位在一定时期内进入你单位进行项目建设或其他经营活动，并通报</w:t>
      </w:r>
      <w:r>
        <w:rPr>
          <w:rFonts w:hint="eastAsia" w:ascii="宋体" w:hAnsi="宋体" w:cs="宋体"/>
          <w:i w:val="0"/>
          <w:iCs w:val="0"/>
          <w:color w:val="auto"/>
          <w:kern w:val="0"/>
          <w:sz w:val="24"/>
          <w:szCs w:val="24"/>
          <w:highlight w:val="none"/>
          <w:lang w:val="en-US" w:eastAsia="zh-CN"/>
        </w:rPr>
        <w:t>兵团</w:t>
      </w:r>
      <w:r>
        <w:rPr>
          <w:rFonts w:hint="eastAsia" w:ascii="宋体" w:hAnsi="宋体" w:cs="宋体"/>
          <w:i w:val="0"/>
          <w:iCs w:val="0"/>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914ACDE">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2E01AF0">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i w:val="0"/>
          <w:iCs w:val="0"/>
          <w:color w:val="auto"/>
          <w:kern w:val="2"/>
          <w:sz w:val="24"/>
          <w:szCs w:val="24"/>
          <w:highlight w:val="none"/>
          <w:lang w:val="en-US" w:eastAsia="zh-CN" w:bidi="ar-SA"/>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5AA40BF9">
      <w:pPr>
        <w:rPr>
          <w:rFonts w:hint="eastAsia" w:eastAsia="宋体" w:asciiTheme="majorHAnsi" w:hAnsiTheme="majorHAnsi" w:cstheme="majorBidi"/>
          <w:b/>
          <w:bCs/>
          <w:i w:val="0"/>
          <w:iCs w:val="0"/>
          <w:color w:val="auto"/>
          <w:kern w:val="2"/>
          <w:sz w:val="24"/>
          <w:szCs w:val="24"/>
          <w:highlight w:val="none"/>
          <w:lang w:val="en-US" w:eastAsia="zh-CN" w:bidi="ar-SA"/>
        </w:rPr>
      </w:pPr>
    </w:p>
    <w:p w14:paraId="2917743B">
      <w:pPr>
        <w:pStyle w:val="13"/>
        <w:rPr>
          <w:rFonts w:hint="eastAsia" w:eastAsia="宋体" w:asciiTheme="majorHAnsi" w:hAnsiTheme="majorHAnsi" w:cstheme="majorBidi"/>
          <w:b/>
          <w:bCs/>
          <w:i w:val="0"/>
          <w:iCs w:val="0"/>
          <w:color w:val="auto"/>
          <w:kern w:val="2"/>
          <w:sz w:val="24"/>
          <w:szCs w:val="24"/>
          <w:highlight w:val="none"/>
          <w:lang w:val="en-US" w:eastAsia="zh-CN" w:bidi="ar-SA"/>
        </w:rPr>
      </w:pPr>
    </w:p>
    <w:p w14:paraId="2CC927CA">
      <w:pPr>
        <w:pStyle w:val="13"/>
        <w:rPr>
          <w:rFonts w:hint="eastAsia" w:eastAsia="宋体" w:asciiTheme="majorHAnsi" w:hAnsiTheme="majorHAnsi" w:cstheme="majorBidi"/>
          <w:b/>
          <w:bCs/>
          <w:i w:val="0"/>
          <w:iCs w:val="0"/>
          <w:color w:val="auto"/>
          <w:kern w:val="2"/>
          <w:sz w:val="24"/>
          <w:szCs w:val="24"/>
          <w:highlight w:val="none"/>
          <w:lang w:val="en-US" w:eastAsia="zh-CN" w:bidi="ar-SA"/>
        </w:rPr>
      </w:pPr>
    </w:p>
    <w:p w14:paraId="18FDCDE0">
      <w:pPr>
        <w:pStyle w:val="13"/>
        <w:rPr>
          <w:rFonts w:hint="eastAsia" w:eastAsia="宋体" w:asciiTheme="majorHAnsi" w:hAnsiTheme="majorHAnsi" w:cstheme="majorBidi"/>
          <w:b/>
          <w:bCs/>
          <w:i w:val="0"/>
          <w:iCs w:val="0"/>
          <w:color w:val="auto"/>
          <w:kern w:val="2"/>
          <w:sz w:val="24"/>
          <w:szCs w:val="24"/>
          <w:highlight w:val="none"/>
          <w:lang w:val="en-US" w:eastAsia="zh-CN" w:bidi="ar-SA"/>
        </w:rPr>
      </w:pPr>
    </w:p>
    <w:p w14:paraId="380411C5">
      <w:pPr>
        <w:keepNext w:val="0"/>
        <w:keepLines w:val="0"/>
        <w:pageBreakBefore w:val="0"/>
        <w:widowControl w:val="0"/>
        <w:shd w:val="clear" w:color="auto" w:fill="FFFFFF"/>
        <w:tabs>
          <w:tab w:val="left" w:pos="3045"/>
        </w:tabs>
        <w:kinsoku/>
        <w:wordWrap/>
        <w:overflowPunct/>
        <w:topLinePunct w:val="0"/>
        <w:autoSpaceDE w:val="0"/>
        <w:autoSpaceDN w:val="0"/>
        <w:bidi w:val="0"/>
        <w:adjustRightInd w:val="0"/>
        <w:snapToGrid w:val="0"/>
        <w:spacing w:before="157" w:beforeLines="50" w:after="80" w:line="360" w:lineRule="exact"/>
        <w:jc w:val="center"/>
        <w:textAlignment w:val="auto"/>
        <w:outlineLvl w:val="1"/>
        <w:rPr>
          <w:rFonts w:hint="eastAsia" w:ascii="宋体" w:hAnsi="宋体" w:eastAsia="宋体" w:cstheme="minorBidi"/>
          <w:b/>
          <w:bCs/>
          <w:color w:val="auto"/>
          <w:kern w:val="2"/>
          <w:sz w:val="30"/>
          <w:szCs w:val="32"/>
          <w:highlight w:val="none"/>
          <w:lang w:val="en-US" w:eastAsia="zh-CN" w:bidi="ar-SA"/>
        </w:rPr>
      </w:pPr>
      <w:bookmarkStart w:id="1498" w:name="_Toc10431"/>
      <w:r>
        <w:rPr>
          <w:rFonts w:hint="eastAsia" w:cstheme="majorBidi"/>
          <w:b/>
          <w:bCs/>
          <w:color w:val="auto"/>
          <w:kern w:val="2"/>
          <w:sz w:val="32"/>
          <w:szCs w:val="32"/>
          <w:highlight w:val="none"/>
          <w:lang w:val="en-US" w:eastAsia="zh-CN" w:bidi="ar-SA"/>
        </w:rPr>
        <w:t>五、实质性响应一览表</w:t>
      </w:r>
      <w:r>
        <w:rPr>
          <w:rFonts w:hint="eastAsia" w:ascii="宋体" w:hAnsi="宋体" w:eastAsia="宋体" w:cstheme="minorBidi"/>
          <w:b/>
          <w:bCs/>
          <w:color w:val="auto"/>
          <w:kern w:val="2"/>
          <w:sz w:val="30"/>
          <w:szCs w:val="32"/>
          <w:highlight w:val="none"/>
          <w:lang w:val="zh-CN" w:eastAsia="zh-CN" w:bidi="ar-SA"/>
        </w:rPr>
        <w:t>【</w:t>
      </w:r>
      <w:r>
        <w:rPr>
          <w:rFonts w:hint="eastAsia" w:ascii="宋体" w:hAnsi="宋体" w:eastAsia="宋体" w:cstheme="minorBidi"/>
          <w:b/>
          <w:bCs/>
          <w:color w:val="auto"/>
          <w:kern w:val="2"/>
          <w:sz w:val="30"/>
          <w:szCs w:val="32"/>
          <w:highlight w:val="none"/>
          <w:lang w:val="en-US" w:eastAsia="zh-CN" w:bidi="ar-SA"/>
        </w:rPr>
        <w:t>本表须与第四章的一致】</w:t>
      </w:r>
      <w:bookmarkEnd w:id="1498"/>
    </w:p>
    <w:p w14:paraId="48C7EA86">
      <w:pPr>
        <w:keepNext w:val="0"/>
        <w:keepLines w:val="0"/>
        <w:pageBreakBefore w:val="0"/>
        <w:widowControl w:val="0"/>
        <w:shd w:val="clear" w:color="auto" w:fill="FFFFFF"/>
        <w:tabs>
          <w:tab w:val="left" w:pos="3045"/>
        </w:tabs>
        <w:kinsoku/>
        <w:wordWrap/>
        <w:overflowPunct/>
        <w:topLinePunct w:val="0"/>
        <w:autoSpaceDE w:val="0"/>
        <w:autoSpaceDN w:val="0"/>
        <w:bidi w:val="0"/>
        <w:adjustRightInd w:val="0"/>
        <w:snapToGrid w:val="0"/>
        <w:spacing w:before="157" w:beforeLines="50" w:after="80" w:line="360" w:lineRule="exact"/>
        <w:jc w:val="center"/>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（供应商须对本附表所有内容逐条响应且无负偏离，否则</w:t>
      </w:r>
      <w:r>
        <w:rPr>
          <w:rFonts w:hint="eastAsia" w:cs="宋体"/>
          <w:b w:val="0"/>
          <w:bCs/>
          <w:color w:val="auto"/>
          <w:sz w:val="24"/>
          <w:highlight w:val="none"/>
          <w:lang w:val="en-US" w:eastAsia="zh-CN"/>
        </w:rPr>
        <w:t>其</w:t>
      </w:r>
      <w:r>
        <w:rPr>
          <w:rFonts w:hint="eastAsia" w:cs="宋体"/>
          <w:b/>
          <w:color w:val="auto"/>
          <w:sz w:val="24"/>
          <w:highlight w:val="none"/>
          <w:lang w:val="en-US" w:eastAsia="zh-CN"/>
        </w:rPr>
        <w:t>响应</w:t>
      </w:r>
      <w:r>
        <w:rPr>
          <w:rFonts w:hint="eastAsia" w:ascii="宋体" w:hAnsi="宋体" w:cs="宋体"/>
          <w:b/>
          <w:color w:val="auto"/>
          <w:sz w:val="24"/>
          <w:highlight w:val="none"/>
        </w:rPr>
        <w:t>无效</w:t>
      </w:r>
      <w:r>
        <w:rPr>
          <w:rFonts w:hint="eastAsia" w:ascii="宋体" w:hAnsi="宋体" w:cs="宋体"/>
          <w:b w:val="0"/>
          <w:bCs/>
          <w:color w:val="auto"/>
          <w:sz w:val="24"/>
          <w:highlight w:val="none"/>
        </w:rPr>
        <w:t>）</w:t>
      </w:r>
    </w:p>
    <w:p w14:paraId="23C37A41">
      <w:pPr>
        <w:pStyle w:val="25"/>
        <w:rPr>
          <w:rFonts w:hint="eastAsia" w:ascii="宋体" w:hAnsi="宋体" w:cs="宋体"/>
          <w:b w:val="0"/>
          <w:bCs/>
          <w:color w:val="auto"/>
          <w:sz w:val="24"/>
          <w:highlight w:val="none"/>
        </w:rPr>
      </w:pPr>
    </w:p>
    <w:tbl>
      <w:tblPr>
        <w:tblStyle w:val="33"/>
        <w:tblW w:w="5590" w:type="pct"/>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494"/>
        <w:gridCol w:w="3668"/>
        <w:gridCol w:w="1955"/>
        <w:gridCol w:w="731"/>
      </w:tblGrid>
      <w:tr w14:paraId="563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353" w:type="pct"/>
            <w:vMerge w:val="restart"/>
            <w:noWrap w:val="0"/>
            <w:vAlign w:val="center"/>
          </w:tcPr>
          <w:p w14:paraId="70DEA68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序号</w:t>
            </w:r>
          </w:p>
        </w:tc>
        <w:tc>
          <w:tcPr>
            <w:tcW w:w="3235" w:type="pct"/>
            <w:gridSpan w:val="2"/>
            <w:noWrap w:val="0"/>
            <w:vAlign w:val="center"/>
          </w:tcPr>
          <w:p w14:paraId="7BD88E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eastAsia="zh-CN"/>
              </w:rPr>
              <w:t>磋商</w:t>
            </w:r>
            <w:r>
              <w:rPr>
                <w:rFonts w:hint="eastAsia" w:ascii="宋体" w:hAnsi="宋体" w:cs="宋体"/>
                <w:i w:val="0"/>
                <w:iCs w:val="0"/>
                <w:color w:val="auto"/>
                <w:sz w:val="24"/>
                <w:highlight w:val="none"/>
              </w:rPr>
              <w:t>文件要求的实质性响应内容</w:t>
            </w:r>
          </w:p>
        </w:tc>
        <w:tc>
          <w:tcPr>
            <w:tcW w:w="1026" w:type="pct"/>
            <w:vMerge w:val="restart"/>
            <w:noWrap w:val="0"/>
            <w:vAlign w:val="center"/>
          </w:tcPr>
          <w:p w14:paraId="2598EDF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cs="宋体"/>
                <w:i w:val="0"/>
                <w:iCs w:val="0"/>
                <w:color w:val="auto"/>
                <w:sz w:val="24"/>
                <w:highlight w:val="none"/>
                <w:lang w:eastAsia="zh-CN"/>
              </w:rPr>
              <w:t>响应</w:t>
            </w:r>
            <w:r>
              <w:rPr>
                <w:rFonts w:hint="eastAsia" w:ascii="宋体" w:hAnsi="宋体" w:cs="宋体"/>
                <w:i w:val="0"/>
                <w:iCs w:val="0"/>
                <w:color w:val="auto"/>
                <w:sz w:val="24"/>
                <w:highlight w:val="none"/>
              </w:rPr>
              <w:t>文件具体</w:t>
            </w:r>
            <w:r>
              <w:rPr>
                <w:rFonts w:hint="eastAsia" w:cs="宋体"/>
                <w:i w:val="0"/>
                <w:iCs w:val="0"/>
                <w:color w:val="auto"/>
                <w:sz w:val="24"/>
                <w:highlight w:val="none"/>
                <w:lang w:val="en-US" w:eastAsia="zh-CN"/>
              </w:rPr>
              <w:t>的</w:t>
            </w:r>
            <w:r>
              <w:rPr>
                <w:rFonts w:hint="eastAsia" w:ascii="宋体" w:hAnsi="宋体" w:cs="宋体"/>
                <w:i w:val="0"/>
                <w:iCs w:val="0"/>
                <w:color w:val="auto"/>
                <w:sz w:val="24"/>
                <w:highlight w:val="none"/>
              </w:rPr>
              <w:t>响应内容</w:t>
            </w:r>
          </w:p>
        </w:tc>
        <w:tc>
          <w:tcPr>
            <w:tcW w:w="384" w:type="pct"/>
            <w:vMerge w:val="restart"/>
            <w:noWrap w:val="0"/>
            <w:vAlign w:val="center"/>
          </w:tcPr>
          <w:p w14:paraId="0E80A1F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备注</w:t>
            </w:r>
          </w:p>
        </w:tc>
      </w:tr>
      <w:tr w14:paraId="22BA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353" w:type="pct"/>
            <w:vMerge w:val="continue"/>
            <w:noWrap w:val="0"/>
            <w:vAlign w:val="center"/>
          </w:tcPr>
          <w:p w14:paraId="788F1149">
            <w:pPr>
              <w:keepNext w:val="0"/>
              <w:keepLines w:val="0"/>
              <w:pageBreakBefore w:val="0"/>
              <w:widowControl w:val="0"/>
              <w:kinsoku/>
              <w:wordWrap/>
              <w:overflowPunct/>
              <w:topLinePunct w:val="0"/>
              <w:bidi w:val="0"/>
              <w:adjustRightInd/>
              <w:snapToGrid/>
              <w:spacing w:line="360" w:lineRule="exact"/>
              <w:jc w:val="center"/>
              <w:textAlignment w:val="auto"/>
              <w:rPr>
                <w:i w:val="0"/>
                <w:iCs w:val="0"/>
                <w:color w:val="auto"/>
                <w:highlight w:val="none"/>
              </w:rPr>
            </w:pPr>
          </w:p>
        </w:tc>
        <w:tc>
          <w:tcPr>
            <w:tcW w:w="1309" w:type="pct"/>
            <w:noWrap w:val="0"/>
            <w:vAlign w:val="center"/>
          </w:tcPr>
          <w:p w14:paraId="5B941D5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实质性要求</w:t>
            </w:r>
          </w:p>
        </w:tc>
        <w:tc>
          <w:tcPr>
            <w:tcW w:w="1926" w:type="pct"/>
            <w:noWrap w:val="0"/>
            <w:vAlign w:val="center"/>
          </w:tcPr>
          <w:p w14:paraId="1887A7EA">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磋商文件中的规定</w:t>
            </w:r>
          </w:p>
        </w:tc>
        <w:tc>
          <w:tcPr>
            <w:tcW w:w="1026" w:type="pct"/>
            <w:vMerge w:val="continue"/>
            <w:noWrap w:val="0"/>
            <w:vAlign w:val="center"/>
          </w:tcPr>
          <w:p w14:paraId="5FF6F46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c>
          <w:tcPr>
            <w:tcW w:w="384" w:type="pct"/>
            <w:vMerge w:val="continue"/>
            <w:noWrap w:val="0"/>
            <w:vAlign w:val="center"/>
          </w:tcPr>
          <w:p w14:paraId="231BB2B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r>
      <w:tr w14:paraId="19E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30499CF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1</w:t>
            </w:r>
          </w:p>
        </w:tc>
        <w:tc>
          <w:tcPr>
            <w:tcW w:w="1309" w:type="pct"/>
            <w:noWrap w:val="0"/>
            <w:vAlign w:val="center"/>
          </w:tcPr>
          <w:p w14:paraId="1710CDD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noWrap w:val="0"/>
            <w:vAlign w:val="center"/>
          </w:tcPr>
          <w:p w14:paraId="63B0DE90">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cs="宋体"/>
                <w:i w:val="0"/>
                <w:iCs w:val="0"/>
                <w:color w:val="auto"/>
                <w:sz w:val="24"/>
                <w:highlight w:val="none"/>
              </w:rPr>
            </w:pPr>
          </w:p>
        </w:tc>
        <w:tc>
          <w:tcPr>
            <w:tcW w:w="1026" w:type="pct"/>
            <w:noWrap w:val="0"/>
            <w:vAlign w:val="center"/>
          </w:tcPr>
          <w:p w14:paraId="0B1E2FB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259753B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78B0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4CBD69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2</w:t>
            </w:r>
          </w:p>
        </w:tc>
        <w:tc>
          <w:tcPr>
            <w:tcW w:w="1309" w:type="pct"/>
            <w:noWrap w:val="0"/>
            <w:vAlign w:val="center"/>
          </w:tcPr>
          <w:p w14:paraId="07A7760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noWrap w:val="0"/>
            <w:vAlign w:val="center"/>
          </w:tcPr>
          <w:p w14:paraId="5649ACF6">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4"/>
                <w:highlight w:val="none"/>
                <w:lang w:eastAsia="zh-CN"/>
              </w:rPr>
            </w:pPr>
          </w:p>
        </w:tc>
        <w:tc>
          <w:tcPr>
            <w:tcW w:w="1026" w:type="pct"/>
            <w:noWrap w:val="0"/>
            <w:vAlign w:val="center"/>
          </w:tcPr>
          <w:p w14:paraId="4746B94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06627A9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970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3B9948B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3</w:t>
            </w:r>
          </w:p>
        </w:tc>
        <w:tc>
          <w:tcPr>
            <w:tcW w:w="1309" w:type="pct"/>
            <w:noWrap w:val="0"/>
            <w:vAlign w:val="center"/>
          </w:tcPr>
          <w:p w14:paraId="3EA4601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1926" w:type="pct"/>
            <w:noWrap w:val="0"/>
            <w:vAlign w:val="center"/>
          </w:tcPr>
          <w:p w14:paraId="62EC5B93">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仿宋_GB2312" w:hAnsi="宋体" w:eastAsia="宋体"/>
                <w:i w:val="0"/>
                <w:iCs w:val="0"/>
                <w:color w:val="auto"/>
                <w:kern w:val="0"/>
                <w:sz w:val="31"/>
                <w:szCs w:val="20"/>
                <w:highlight w:val="none"/>
                <w:lang w:val="en-US" w:eastAsia="zh-CN" w:bidi="ar-SA"/>
              </w:rPr>
            </w:pPr>
          </w:p>
        </w:tc>
        <w:tc>
          <w:tcPr>
            <w:tcW w:w="1026" w:type="pct"/>
            <w:noWrap w:val="0"/>
            <w:vAlign w:val="center"/>
          </w:tcPr>
          <w:p w14:paraId="0A9F833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08E089D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0C6F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08F70755">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4</w:t>
            </w:r>
          </w:p>
        </w:tc>
        <w:tc>
          <w:tcPr>
            <w:tcW w:w="1309" w:type="pct"/>
            <w:noWrap w:val="0"/>
            <w:vAlign w:val="center"/>
          </w:tcPr>
          <w:p w14:paraId="695BCC8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1926" w:type="pct"/>
            <w:noWrap w:val="0"/>
            <w:vAlign w:val="center"/>
          </w:tcPr>
          <w:p w14:paraId="7AA3A6EB">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cs="宋体"/>
                <w:i w:val="0"/>
                <w:iCs w:val="0"/>
                <w:color w:val="auto"/>
                <w:kern w:val="2"/>
                <w:sz w:val="24"/>
                <w:szCs w:val="24"/>
                <w:highlight w:val="none"/>
                <w:lang w:val="en-US" w:eastAsia="zh-CN" w:bidi="ar-SA"/>
              </w:rPr>
            </w:pPr>
          </w:p>
        </w:tc>
        <w:tc>
          <w:tcPr>
            <w:tcW w:w="1026" w:type="pct"/>
            <w:noWrap w:val="0"/>
            <w:vAlign w:val="center"/>
          </w:tcPr>
          <w:p w14:paraId="0F24775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7E09989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1BA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01C20FB8">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5</w:t>
            </w:r>
          </w:p>
        </w:tc>
        <w:tc>
          <w:tcPr>
            <w:tcW w:w="1309" w:type="pct"/>
            <w:noWrap w:val="0"/>
            <w:vAlign w:val="center"/>
          </w:tcPr>
          <w:p w14:paraId="6450B6FD">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eastAsia="宋体" w:cs="宋体"/>
                <w:i w:val="0"/>
                <w:iCs w:val="0"/>
                <w:color w:val="auto"/>
                <w:sz w:val="24"/>
                <w:szCs w:val="24"/>
                <w:highlight w:val="none"/>
                <w:lang w:val="en-US" w:eastAsia="zh-CN"/>
              </w:rPr>
            </w:pPr>
          </w:p>
        </w:tc>
        <w:tc>
          <w:tcPr>
            <w:tcW w:w="1926" w:type="pct"/>
            <w:noWrap w:val="0"/>
            <w:vAlign w:val="center"/>
          </w:tcPr>
          <w:p w14:paraId="76FAB450">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i w:val="0"/>
                <w:iCs w:val="0"/>
                <w:color w:val="auto"/>
                <w:sz w:val="24"/>
                <w:highlight w:val="none"/>
                <w:lang w:val="en-US" w:eastAsia="zh-CN"/>
              </w:rPr>
            </w:pPr>
          </w:p>
        </w:tc>
        <w:tc>
          <w:tcPr>
            <w:tcW w:w="1026" w:type="pct"/>
            <w:noWrap w:val="0"/>
            <w:vAlign w:val="center"/>
          </w:tcPr>
          <w:p w14:paraId="07DA94E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07E6D39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7D3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4F43B457">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6</w:t>
            </w:r>
          </w:p>
        </w:tc>
        <w:tc>
          <w:tcPr>
            <w:tcW w:w="1309" w:type="pct"/>
            <w:noWrap w:val="0"/>
            <w:vAlign w:val="center"/>
          </w:tcPr>
          <w:p w14:paraId="369ABC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noWrap w:val="0"/>
            <w:vAlign w:val="center"/>
          </w:tcPr>
          <w:p w14:paraId="3A38EA74">
            <w:pPr>
              <w:keepNext w:val="0"/>
              <w:keepLines w:val="0"/>
              <w:pageBreakBefore w:val="0"/>
              <w:widowControl w:val="0"/>
              <w:shd w:val="clear" w:color="auto" w:fill="FFFFFF"/>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026" w:type="pct"/>
            <w:noWrap w:val="0"/>
            <w:vAlign w:val="center"/>
          </w:tcPr>
          <w:p w14:paraId="24EE6A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1ABD1D6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0163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6E2F1659">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7</w:t>
            </w:r>
          </w:p>
        </w:tc>
        <w:tc>
          <w:tcPr>
            <w:tcW w:w="1309" w:type="pct"/>
            <w:noWrap w:val="0"/>
            <w:vAlign w:val="center"/>
          </w:tcPr>
          <w:p w14:paraId="317CE50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noWrap w:val="0"/>
            <w:vAlign w:val="center"/>
          </w:tcPr>
          <w:p w14:paraId="678C19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026" w:type="pct"/>
            <w:noWrap w:val="0"/>
            <w:vAlign w:val="center"/>
          </w:tcPr>
          <w:p w14:paraId="63C11E7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168EE7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501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65574B3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val="en-US" w:eastAsia="zh-CN"/>
              </w:rPr>
            </w:pPr>
          </w:p>
        </w:tc>
        <w:tc>
          <w:tcPr>
            <w:tcW w:w="1309" w:type="pct"/>
            <w:shd w:val="clear" w:color="auto" w:fill="auto"/>
            <w:noWrap w:val="0"/>
            <w:vAlign w:val="center"/>
          </w:tcPr>
          <w:p w14:paraId="4892F810">
            <w:pPr>
              <w:pStyle w:val="50"/>
              <w:rPr>
                <w:rFonts w:hint="eastAsia" w:ascii="宋体" w:hAnsi="宋体" w:eastAsia="宋体" w:cstheme="minorBidi"/>
                <w:i w:val="0"/>
                <w:iCs w:val="0"/>
                <w:color w:val="auto"/>
                <w:kern w:val="2"/>
                <w:sz w:val="24"/>
                <w:szCs w:val="22"/>
                <w:highlight w:val="none"/>
                <w:lang w:val="zh-CN" w:eastAsia="zh-CN" w:bidi="ar-SA"/>
              </w:rPr>
            </w:pPr>
            <w:r>
              <w:rPr>
                <w:rFonts w:hint="default" w:ascii="Arial" w:hAnsi="Arial" w:cs="Arial"/>
                <w:i w:val="0"/>
                <w:iCs w:val="0"/>
                <w:color w:val="auto"/>
                <w:highlight w:val="none"/>
                <w:lang w:val="zh-CN"/>
              </w:rPr>
              <w:t>……</w:t>
            </w:r>
          </w:p>
        </w:tc>
        <w:tc>
          <w:tcPr>
            <w:tcW w:w="1926" w:type="pct"/>
            <w:noWrap w:val="0"/>
            <w:vAlign w:val="center"/>
          </w:tcPr>
          <w:p w14:paraId="6EE496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lang w:eastAsia="zh-CN"/>
              </w:rPr>
            </w:pPr>
          </w:p>
        </w:tc>
        <w:tc>
          <w:tcPr>
            <w:tcW w:w="1026" w:type="pct"/>
            <w:noWrap w:val="0"/>
            <w:vAlign w:val="center"/>
          </w:tcPr>
          <w:p w14:paraId="5A390DA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noWrap w:val="0"/>
            <w:vAlign w:val="center"/>
          </w:tcPr>
          <w:p w14:paraId="639F595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bl>
    <w:p w14:paraId="4758525D">
      <w:pPr>
        <w:rPr>
          <w:rFonts w:hint="eastAsia" w:cstheme="majorBidi"/>
          <w:b/>
          <w:bCs/>
          <w:i w:val="0"/>
          <w:iCs w:val="0"/>
          <w:color w:val="auto"/>
          <w:kern w:val="2"/>
          <w:sz w:val="32"/>
          <w:szCs w:val="32"/>
          <w:highlight w:val="none"/>
          <w:lang w:val="en-US" w:eastAsia="zh-CN" w:bidi="ar-SA"/>
        </w:rPr>
      </w:pPr>
    </w:p>
    <w:p w14:paraId="2AF49F95">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i w:val="0"/>
          <w:iCs w:val="0"/>
          <w:color w:val="auto"/>
          <w:kern w:val="2"/>
          <w:sz w:val="32"/>
          <w:szCs w:val="32"/>
          <w:highlight w:val="none"/>
          <w:lang w:val="en-US" w:eastAsia="zh-CN" w:bidi="ar-SA"/>
        </w:rPr>
      </w:pPr>
    </w:p>
    <w:p w14:paraId="3A7F3E88">
      <w:pPr>
        <w:rPr>
          <w:rFonts w:hint="eastAsia"/>
          <w:i w:val="0"/>
          <w:iCs w:val="0"/>
          <w:color w:val="auto"/>
          <w:highlight w:val="none"/>
          <w:lang w:val="en-US" w:eastAsia="zh-CN"/>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499" w:name="_Toc9011"/>
      <w:r>
        <w:rPr>
          <w:rFonts w:hint="eastAsia" w:cstheme="majorBidi"/>
          <w:b/>
          <w:bCs/>
          <w:i w:val="0"/>
          <w:iCs w:val="0"/>
          <w:color w:val="auto"/>
          <w:kern w:val="2"/>
          <w:sz w:val="32"/>
          <w:szCs w:val="32"/>
          <w:highlight w:val="none"/>
          <w:lang w:val="en-US" w:eastAsia="zh-CN" w:bidi="ar-SA"/>
        </w:rPr>
        <w:t>六</w:t>
      </w:r>
      <w:r>
        <w:rPr>
          <w:rFonts w:hint="eastAsia" w:eastAsia="宋体" w:asciiTheme="majorHAnsi" w:hAnsiTheme="majorHAnsi" w:cstheme="majorBidi"/>
          <w:b/>
          <w:bCs/>
          <w:i w:val="0"/>
          <w:iCs w:val="0"/>
          <w:color w:val="auto"/>
          <w:kern w:val="2"/>
          <w:sz w:val="32"/>
          <w:szCs w:val="32"/>
          <w:highlight w:val="none"/>
          <w:lang w:val="en-US" w:eastAsia="zh-CN" w:bidi="ar-SA"/>
        </w:rPr>
        <w:t>、商务响应偏离表</w:t>
      </w:r>
      <w:bookmarkEnd w:id="1499"/>
    </w:p>
    <w:p w14:paraId="21AF32D6">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0424C095">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i w:val="0"/>
          <w:iCs w:val="0"/>
          <w:color w:val="auto"/>
          <w:szCs w:val="24"/>
          <w:highlight w:val="none"/>
        </w:rPr>
        <w:t xml:space="preserve">：        </w:t>
      </w:r>
    </w:p>
    <w:tbl>
      <w:tblPr>
        <w:tblStyle w:val="33"/>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393"/>
        <w:gridCol w:w="1719"/>
        <w:gridCol w:w="1870"/>
        <w:gridCol w:w="1870"/>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0"/>
              <w:jc w:val="center"/>
              <w:rPr>
                <w:i w:val="0"/>
                <w:iCs w:val="0"/>
                <w:color w:val="auto"/>
                <w:highlight w:val="none"/>
              </w:rPr>
            </w:pPr>
            <w:r>
              <w:rPr>
                <w:rFonts w:hint="eastAsia"/>
                <w:i w:val="0"/>
                <w:iCs w:val="0"/>
                <w:color w:val="auto"/>
                <w:highlight w:val="none"/>
              </w:rPr>
              <w:t>序号</w:t>
            </w:r>
          </w:p>
        </w:tc>
        <w:tc>
          <w:tcPr>
            <w:tcW w:w="1395" w:type="pct"/>
            <w:vAlign w:val="center"/>
          </w:tcPr>
          <w:p w14:paraId="7CB83CD6">
            <w:pPr>
              <w:pStyle w:val="50"/>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文件的商务条款</w:t>
            </w:r>
          </w:p>
        </w:tc>
        <w:tc>
          <w:tcPr>
            <w:tcW w:w="1002" w:type="pct"/>
            <w:vAlign w:val="center"/>
          </w:tcPr>
          <w:p w14:paraId="55A47B57">
            <w:pPr>
              <w:pStyle w:val="50"/>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文件的响应内容</w:t>
            </w:r>
          </w:p>
        </w:tc>
        <w:tc>
          <w:tcPr>
            <w:tcW w:w="1090" w:type="pct"/>
            <w:vAlign w:val="center"/>
          </w:tcPr>
          <w:p w14:paraId="2572E859">
            <w:pPr>
              <w:pStyle w:val="50"/>
              <w:jc w:val="center"/>
              <w:rPr>
                <w:i w:val="0"/>
                <w:iCs w:val="0"/>
                <w:color w:val="auto"/>
                <w:highlight w:val="none"/>
              </w:rPr>
            </w:pPr>
            <w:r>
              <w:rPr>
                <w:rFonts w:hint="eastAsia"/>
                <w:i w:val="0"/>
                <w:iCs w:val="0"/>
                <w:color w:val="auto"/>
                <w:highlight w:val="none"/>
              </w:rPr>
              <w:t>响应情况</w:t>
            </w:r>
          </w:p>
        </w:tc>
        <w:tc>
          <w:tcPr>
            <w:tcW w:w="1090" w:type="pct"/>
            <w:vAlign w:val="center"/>
          </w:tcPr>
          <w:p w14:paraId="7884F206">
            <w:pPr>
              <w:pStyle w:val="50"/>
              <w:jc w:val="center"/>
              <w:rPr>
                <w:i w:val="0"/>
                <w:iCs w:val="0"/>
                <w:color w:val="auto"/>
                <w:highlight w:val="none"/>
              </w:rPr>
            </w:pPr>
            <w:r>
              <w:rPr>
                <w:rFonts w:hint="eastAsia"/>
                <w:i w:val="0"/>
                <w:iCs w:val="0"/>
                <w:color w:val="auto"/>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0"/>
              <w:jc w:val="center"/>
              <w:rPr>
                <w:i w:val="0"/>
                <w:iCs w:val="0"/>
                <w:color w:val="auto"/>
                <w:highlight w:val="none"/>
              </w:rPr>
            </w:pPr>
            <w:r>
              <w:rPr>
                <w:rFonts w:hint="eastAsia"/>
                <w:i w:val="0"/>
                <w:iCs w:val="0"/>
                <w:color w:val="auto"/>
                <w:highlight w:val="none"/>
              </w:rPr>
              <w:t>1</w:t>
            </w:r>
          </w:p>
        </w:tc>
        <w:tc>
          <w:tcPr>
            <w:tcW w:w="1395" w:type="pct"/>
            <w:vAlign w:val="center"/>
          </w:tcPr>
          <w:p w14:paraId="34566CA0">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1C6482B4">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1BBD0417">
            <w:pPr>
              <w:pStyle w:val="50"/>
              <w:jc w:val="center"/>
              <w:rPr>
                <w:i w:val="0"/>
                <w:iCs w:val="0"/>
                <w:color w:val="auto"/>
                <w:highlight w:val="none"/>
              </w:rPr>
            </w:pPr>
            <w:r>
              <w:rPr>
                <w:rFonts w:hint="eastAsia"/>
                <w:i w:val="0"/>
                <w:iCs w:val="0"/>
                <w:color w:val="auto"/>
                <w:highlight w:val="none"/>
              </w:rPr>
              <w:t>响应</w:t>
            </w:r>
            <w:r>
              <w:rPr>
                <w:i w:val="0"/>
                <w:iCs w:val="0"/>
                <w:color w:val="auto"/>
                <w:highlight w:val="none"/>
              </w:rPr>
              <w:t>/偏离</w:t>
            </w:r>
          </w:p>
        </w:tc>
        <w:tc>
          <w:tcPr>
            <w:tcW w:w="1090" w:type="pct"/>
            <w:vAlign w:val="center"/>
          </w:tcPr>
          <w:p w14:paraId="1A90E39C">
            <w:pPr>
              <w:pStyle w:val="50"/>
              <w:jc w:val="center"/>
              <w:rPr>
                <w:i w:val="0"/>
                <w:iCs w:val="0"/>
                <w:color w:val="auto"/>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0"/>
              <w:jc w:val="center"/>
              <w:rPr>
                <w:i w:val="0"/>
                <w:iCs w:val="0"/>
                <w:color w:val="auto"/>
                <w:highlight w:val="none"/>
              </w:rPr>
            </w:pPr>
            <w:r>
              <w:rPr>
                <w:rFonts w:hint="eastAsia"/>
                <w:i w:val="0"/>
                <w:iCs w:val="0"/>
                <w:color w:val="auto"/>
                <w:highlight w:val="none"/>
              </w:rPr>
              <w:t>2</w:t>
            </w:r>
          </w:p>
        </w:tc>
        <w:tc>
          <w:tcPr>
            <w:tcW w:w="1395" w:type="pct"/>
            <w:vAlign w:val="center"/>
          </w:tcPr>
          <w:p w14:paraId="2A717A55">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20EC7575">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923E58D">
            <w:pPr>
              <w:pStyle w:val="50"/>
              <w:jc w:val="center"/>
              <w:rPr>
                <w:i w:val="0"/>
                <w:iCs w:val="0"/>
                <w:color w:val="auto"/>
                <w:highlight w:val="none"/>
              </w:rPr>
            </w:pPr>
          </w:p>
        </w:tc>
        <w:tc>
          <w:tcPr>
            <w:tcW w:w="1090" w:type="pct"/>
            <w:vAlign w:val="center"/>
          </w:tcPr>
          <w:p w14:paraId="59C2C317">
            <w:pPr>
              <w:pStyle w:val="50"/>
              <w:jc w:val="center"/>
              <w:rPr>
                <w:i w:val="0"/>
                <w:iCs w:val="0"/>
                <w:color w:val="auto"/>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0"/>
              <w:jc w:val="center"/>
              <w:rPr>
                <w:i w:val="0"/>
                <w:iCs w:val="0"/>
                <w:color w:val="auto"/>
                <w:highlight w:val="none"/>
              </w:rPr>
            </w:pPr>
            <w:r>
              <w:rPr>
                <w:rFonts w:hint="eastAsia"/>
                <w:i w:val="0"/>
                <w:iCs w:val="0"/>
                <w:color w:val="auto"/>
                <w:highlight w:val="none"/>
              </w:rPr>
              <w:t>3</w:t>
            </w:r>
          </w:p>
        </w:tc>
        <w:tc>
          <w:tcPr>
            <w:tcW w:w="1395" w:type="pct"/>
            <w:vAlign w:val="center"/>
          </w:tcPr>
          <w:p w14:paraId="595245DB">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0A16B4B6">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8535F72">
            <w:pPr>
              <w:pStyle w:val="50"/>
              <w:jc w:val="center"/>
              <w:rPr>
                <w:i w:val="0"/>
                <w:iCs w:val="0"/>
                <w:color w:val="auto"/>
                <w:highlight w:val="none"/>
              </w:rPr>
            </w:pPr>
          </w:p>
        </w:tc>
        <w:tc>
          <w:tcPr>
            <w:tcW w:w="1090" w:type="pct"/>
            <w:vAlign w:val="center"/>
          </w:tcPr>
          <w:p w14:paraId="50AB520B">
            <w:pPr>
              <w:pStyle w:val="50"/>
              <w:jc w:val="center"/>
              <w:rPr>
                <w:i w:val="0"/>
                <w:iCs w:val="0"/>
                <w:color w:val="auto"/>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0"/>
              <w:jc w:val="center"/>
              <w:rPr>
                <w:i w:val="0"/>
                <w:iCs w:val="0"/>
                <w:color w:val="auto"/>
                <w:highlight w:val="none"/>
              </w:rPr>
            </w:pPr>
          </w:p>
        </w:tc>
        <w:tc>
          <w:tcPr>
            <w:tcW w:w="1395" w:type="pct"/>
            <w:vAlign w:val="center"/>
          </w:tcPr>
          <w:p w14:paraId="14968038">
            <w:pPr>
              <w:pStyle w:val="50"/>
              <w:jc w:val="center"/>
              <w:rPr>
                <w:i w:val="0"/>
                <w:iCs w:val="0"/>
                <w:color w:val="auto"/>
                <w:highlight w:val="none"/>
              </w:rPr>
            </w:pPr>
          </w:p>
        </w:tc>
        <w:tc>
          <w:tcPr>
            <w:tcW w:w="1002" w:type="pct"/>
            <w:vAlign w:val="center"/>
          </w:tcPr>
          <w:p w14:paraId="10A6B59E">
            <w:pPr>
              <w:pStyle w:val="50"/>
              <w:jc w:val="center"/>
              <w:rPr>
                <w:i w:val="0"/>
                <w:iCs w:val="0"/>
                <w:color w:val="auto"/>
                <w:highlight w:val="none"/>
              </w:rPr>
            </w:pPr>
          </w:p>
        </w:tc>
        <w:tc>
          <w:tcPr>
            <w:tcW w:w="1090" w:type="pct"/>
            <w:vAlign w:val="center"/>
          </w:tcPr>
          <w:p w14:paraId="61702DF6">
            <w:pPr>
              <w:pStyle w:val="50"/>
              <w:jc w:val="center"/>
              <w:rPr>
                <w:i w:val="0"/>
                <w:iCs w:val="0"/>
                <w:color w:val="auto"/>
                <w:highlight w:val="none"/>
              </w:rPr>
            </w:pPr>
          </w:p>
        </w:tc>
        <w:tc>
          <w:tcPr>
            <w:tcW w:w="1090" w:type="pct"/>
            <w:vAlign w:val="center"/>
          </w:tcPr>
          <w:p w14:paraId="0CC18FC2">
            <w:pPr>
              <w:pStyle w:val="50"/>
              <w:jc w:val="center"/>
              <w:rPr>
                <w:i w:val="0"/>
                <w:iCs w:val="0"/>
                <w:color w:val="auto"/>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0"/>
              <w:jc w:val="center"/>
              <w:rPr>
                <w:i w:val="0"/>
                <w:iCs w:val="0"/>
                <w:color w:val="auto"/>
                <w:highlight w:val="none"/>
              </w:rPr>
            </w:pPr>
          </w:p>
        </w:tc>
        <w:tc>
          <w:tcPr>
            <w:tcW w:w="1395" w:type="pct"/>
            <w:vAlign w:val="center"/>
          </w:tcPr>
          <w:p w14:paraId="5DDD9937">
            <w:pPr>
              <w:pStyle w:val="50"/>
              <w:jc w:val="center"/>
              <w:rPr>
                <w:i w:val="0"/>
                <w:iCs w:val="0"/>
                <w:color w:val="auto"/>
                <w:highlight w:val="none"/>
              </w:rPr>
            </w:pPr>
          </w:p>
        </w:tc>
        <w:tc>
          <w:tcPr>
            <w:tcW w:w="1002" w:type="pct"/>
            <w:vAlign w:val="center"/>
          </w:tcPr>
          <w:p w14:paraId="0B29A018">
            <w:pPr>
              <w:pStyle w:val="50"/>
              <w:jc w:val="center"/>
              <w:rPr>
                <w:i w:val="0"/>
                <w:iCs w:val="0"/>
                <w:color w:val="auto"/>
                <w:highlight w:val="none"/>
              </w:rPr>
            </w:pPr>
          </w:p>
        </w:tc>
        <w:tc>
          <w:tcPr>
            <w:tcW w:w="1090" w:type="pct"/>
            <w:vAlign w:val="center"/>
          </w:tcPr>
          <w:p w14:paraId="1FA693DE">
            <w:pPr>
              <w:pStyle w:val="50"/>
              <w:jc w:val="center"/>
              <w:rPr>
                <w:i w:val="0"/>
                <w:iCs w:val="0"/>
                <w:color w:val="auto"/>
                <w:highlight w:val="none"/>
              </w:rPr>
            </w:pPr>
          </w:p>
        </w:tc>
        <w:tc>
          <w:tcPr>
            <w:tcW w:w="1090" w:type="pct"/>
            <w:vAlign w:val="center"/>
          </w:tcPr>
          <w:p w14:paraId="3D633AB6">
            <w:pPr>
              <w:pStyle w:val="50"/>
              <w:jc w:val="center"/>
              <w:rPr>
                <w:i w:val="0"/>
                <w:iCs w:val="0"/>
                <w:color w:val="auto"/>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0"/>
              <w:jc w:val="center"/>
              <w:rPr>
                <w:i w:val="0"/>
                <w:iCs w:val="0"/>
                <w:color w:val="auto"/>
                <w:highlight w:val="none"/>
              </w:rPr>
            </w:pPr>
          </w:p>
        </w:tc>
        <w:tc>
          <w:tcPr>
            <w:tcW w:w="1395" w:type="pct"/>
            <w:vAlign w:val="center"/>
          </w:tcPr>
          <w:p w14:paraId="014A297F">
            <w:pPr>
              <w:pStyle w:val="50"/>
              <w:jc w:val="center"/>
              <w:rPr>
                <w:i w:val="0"/>
                <w:iCs w:val="0"/>
                <w:color w:val="auto"/>
                <w:highlight w:val="none"/>
              </w:rPr>
            </w:pPr>
          </w:p>
        </w:tc>
        <w:tc>
          <w:tcPr>
            <w:tcW w:w="1002" w:type="pct"/>
            <w:vAlign w:val="center"/>
          </w:tcPr>
          <w:p w14:paraId="51467013">
            <w:pPr>
              <w:pStyle w:val="50"/>
              <w:jc w:val="center"/>
              <w:rPr>
                <w:i w:val="0"/>
                <w:iCs w:val="0"/>
                <w:color w:val="auto"/>
                <w:highlight w:val="none"/>
              </w:rPr>
            </w:pPr>
          </w:p>
        </w:tc>
        <w:tc>
          <w:tcPr>
            <w:tcW w:w="1090" w:type="pct"/>
            <w:vAlign w:val="center"/>
          </w:tcPr>
          <w:p w14:paraId="011E40CA">
            <w:pPr>
              <w:pStyle w:val="50"/>
              <w:jc w:val="center"/>
              <w:rPr>
                <w:i w:val="0"/>
                <w:iCs w:val="0"/>
                <w:color w:val="auto"/>
                <w:highlight w:val="none"/>
              </w:rPr>
            </w:pPr>
          </w:p>
        </w:tc>
        <w:tc>
          <w:tcPr>
            <w:tcW w:w="1090" w:type="pct"/>
            <w:vAlign w:val="center"/>
          </w:tcPr>
          <w:p w14:paraId="7062C313">
            <w:pPr>
              <w:pStyle w:val="50"/>
              <w:jc w:val="center"/>
              <w:rPr>
                <w:i w:val="0"/>
                <w:iCs w:val="0"/>
                <w:color w:val="auto"/>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0"/>
              <w:jc w:val="center"/>
              <w:rPr>
                <w:i w:val="0"/>
                <w:iCs w:val="0"/>
                <w:color w:val="auto"/>
                <w:highlight w:val="none"/>
              </w:rPr>
            </w:pPr>
          </w:p>
        </w:tc>
        <w:tc>
          <w:tcPr>
            <w:tcW w:w="1395" w:type="pct"/>
            <w:vAlign w:val="center"/>
          </w:tcPr>
          <w:p w14:paraId="010A1BB0">
            <w:pPr>
              <w:pStyle w:val="50"/>
              <w:jc w:val="center"/>
              <w:rPr>
                <w:i w:val="0"/>
                <w:iCs w:val="0"/>
                <w:color w:val="auto"/>
                <w:highlight w:val="none"/>
              </w:rPr>
            </w:pPr>
          </w:p>
        </w:tc>
        <w:tc>
          <w:tcPr>
            <w:tcW w:w="1002" w:type="pct"/>
            <w:vAlign w:val="center"/>
          </w:tcPr>
          <w:p w14:paraId="1EE22C75">
            <w:pPr>
              <w:pStyle w:val="50"/>
              <w:jc w:val="center"/>
              <w:rPr>
                <w:i w:val="0"/>
                <w:iCs w:val="0"/>
                <w:color w:val="auto"/>
                <w:highlight w:val="none"/>
              </w:rPr>
            </w:pPr>
          </w:p>
        </w:tc>
        <w:tc>
          <w:tcPr>
            <w:tcW w:w="1090" w:type="pct"/>
            <w:vAlign w:val="center"/>
          </w:tcPr>
          <w:p w14:paraId="3C86F2CC">
            <w:pPr>
              <w:pStyle w:val="50"/>
              <w:jc w:val="center"/>
              <w:rPr>
                <w:i w:val="0"/>
                <w:iCs w:val="0"/>
                <w:color w:val="auto"/>
                <w:highlight w:val="none"/>
              </w:rPr>
            </w:pPr>
          </w:p>
        </w:tc>
        <w:tc>
          <w:tcPr>
            <w:tcW w:w="1090" w:type="pct"/>
            <w:vAlign w:val="center"/>
          </w:tcPr>
          <w:p w14:paraId="515EA04E">
            <w:pPr>
              <w:pStyle w:val="50"/>
              <w:jc w:val="center"/>
              <w:rPr>
                <w:i w:val="0"/>
                <w:iCs w:val="0"/>
                <w:color w:val="auto"/>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0"/>
              <w:jc w:val="center"/>
              <w:rPr>
                <w:i w:val="0"/>
                <w:iCs w:val="0"/>
                <w:color w:val="auto"/>
                <w:highlight w:val="none"/>
              </w:rPr>
            </w:pPr>
          </w:p>
        </w:tc>
        <w:tc>
          <w:tcPr>
            <w:tcW w:w="1395" w:type="pct"/>
            <w:vAlign w:val="center"/>
          </w:tcPr>
          <w:p w14:paraId="1C7A6406">
            <w:pPr>
              <w:pStyle w:val="50"/>
              <w:jc w:val="center"/>
              <w:rPr>
                <w:i w:val="0"/>
                <w:iCs w:val="0"/>
                <w:color w:val="auto"/>
                <w:highlight w:val="none"/>
              </w:rPr>
            </w:pPr>
          </w:p>
        </w:tc>
        <w:tc>
          <w:tcPr>
            <w:tcW w:w="1002" w:type="pct"/>
            <w:vAlign w:val="center"/>
          </w:tcPr>
          <w:p w14:paraId="7F774DAF">
            <w:pPr>
              <w:pStyle w:val="50"/>
              <w:jc w:val="center"/>
              <w:rPr>
                <w:i w:val="0"/>
                <w:iCs w:val="0"/>
                <w:color w:val="auto"/>
                <w:highlight w:val="none"/>
              </w:rPr>
            </w:pPr>
          </w:p>
        </w:tc>
        <w:tc>
          <w:tcPr>
            <w:tcW w:w="1090" w:type="pct"/>
            <w:vAlign w:val="center"/>
          </w:tcPr>
          <w:p w14:paraId="66A55C54">
            <w:pPr>
              <w:pStyle w:val="50"/>
              <w:jc w:val="center"/>
              <w:rPr>
                <w:i w:val="0"/>
                <w:iCs w:val="0"/>
                <w:color w:val="auto"/>
                <w:highlight w:val="none"/>
              </w:rPr>
            </w:pPr>
          </w:p>
        </w:tc>
        <w:tc>
          <w:tcPr>
            <w:tcW w:w="1090" w:type="pct"/>
            <w:vAlign w:val="center"/>
          </w:tcPr>
          <w:p w14:paraId="6FC3A7DB">
            <w:pPr>
              <w:pStyle w:val="50"/>
              <w:jc w:val="center"/>
              <w:rPr>
                <w:i w:val="0"/>
                <w:iCs w:val="0"/>
                <w:color w:val="auto"/>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50"/>
              <w:jc w:val="center"/>
              <w:rPr>
                <w:i w:val="0"/>
                <w:iCs w:val="0"/>
                <w:color w:val="auto"/>
                <w:highlight w:val="none"/>
              </w:rPr>
            </w:pPr>
          </w:p>
        </w:tc>
        <w:tc>
          <w:tcPr>
            <w:tcW w:w="1395" w:type="pct"/>
            <w:vAlign w:val="center"/>
          </w:tcPr>
          <w:p w14:paraId="5A1690B5">
            <w:pPr>
              <w:pStyle w:val="50"/>
              <w:jc w:val="center"/>
              <w:rPr>
                <w:i w:val="0"/>
                <w:iCs w:val="0"/>
                <w:color w:val="auto"/>
                <w:highlight w:val="none"/>
              </w:rPr>
            </w:pPr>
          </w:p>
        </w:tc>
        <w:tc>
          <w:tcPr>
            <w:tcW w:w="1002" w:type="pct"/>
            <w:vAlign w:val="center"/>
          </w:tcPr>
          <w:p w14:paraId="735418C2">
            <w:pPr>
              <w:pStyle w:val="50"/>
              <w:jc w:val="center"/>
              <w:rPr>
                <w:i w:val="0"/>
                <w:iCs w:val="0"/>
                <w:color w:val="auto"/>
                <w:highlight w:val="none"/>
              </w:rPr>
            </w:pPr>
          </w:p>
        </w:tc>
        <w:tc>
          <w:tcPr>
            <w:tcW w:w="1090" w:type="pct"/>
            <w:vAlign w:val="center"/>
          </w:tcPr>
          <w:p w14:paraId="13F6671D">
            <w:pPr>
              <w:pStyle w:val="50"/>
              <w:jc w:val="center"/>
              <w:rPr>
                <w:i w:val="0"/>
                <w:iCs w:val="0"/>
                <w:color w:val="auto"/>
                <w:highlight w:val="none"/>
              </w:rPr>
            </w:pPr>
          </w:p>
        </w:tc>
        <w:tc>
          <w:tcPr>
            <w:tcW w:w="1090" w:type="pct"/>
            <w:vAlign w:val="center"/>
          </w:tcPr>
          <w:p w14:paraId="3DC0B3BB">
            <w:pPr>
              <w:pStyle w:val="50"/>
              <w:jc w:val="center"/>
              <w:rPr>
                <w:i w:val="0"/>
                <w:iCs w:val="0"/>
                <w:color w:val="auto"/>
                <w:highlight w:val="none"/>
              </w:rPr>
            </w:pPr>
          </w:p>
        </w:tc>
      </w:tr>
      <w:tr w14:paraId="23E0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109CF1">
            <w:pPr>
              <w:pStyle w:val="50"/>
              <w:jc w:val="center"/>
              <w:rPr>
                <w:i w:val="0"/>
                <w:iCs w:val="0"/>
                <w:color w:val="auto"/>
                <w:highlight w:val="none"/>
              </w:rPr>
            </w:pPr>
          </w:p>
        </w:tc>
        <w:tc>
          <w:tcPr>
            <w:tcW w:w="1395" w:type="pct"/>
            <w:vAlign w:val="center"/>
          </w:tcPr>
          <w:p w14:paraId="4E1F25E0">
            <w:pPr>
              <w:pStyle w:val="50"/>
              <w:jc w:val="center"/>
              <w:rPr>
                <w:i w:val="0"/>
                <w:iCs w:val="0"/>
                <w:color w:val="auto"/>
                <w:highlight w:val="none"/>
              </w:rPr>
            </w:pPr>
          </w:p>
        </w:tc>
        <w:tc>
          <w:tcPr>
            <w:tcW w:w="1002" w:type="pct"/>
            <w:vAlign w:val="center"/>
          </w:tcPr>
          <w:p w14:paraId="4F1707F4">
            <w:pPr>
              <w:pStyle w:val="50"/>
              <w:jc w:val="center"/>
              <w:rPr>
                <w:i w:val="0"/>
                <w:iCs w:val="0"/>
                <w:color w:val="auto"/>
                <w:highlight w:val="none"/>
              </w:rPr>
            </w:pPr>
          </w:p>
        </w:tc>
        <w:tc>
          <w:tcPr>
            <w:tcW w:w="1090" w:type="pct"/>
            <w:vAlign w:val="center"/>
          </w:tcPr>
          <w:p w14:paraId="59E61A3B">
            <w:pPr>
              <w:pStyle w:val="50"/>
              <w:jc w:val="center"/>
              <w:rPr>
                <w:i w:val="0"/>
                <w:iCs w:val="0"/>
                <w:color w:val="auto"/>
                <w:highlight w:val="none"/>
              </w:rPr>
            </w:pPr>
          </w:p>
        </w:tc>
        <w:tc>
          <w:tcPr>
            <w:tcW w:w="1090" w:type="pct"/>
            <w:vAlign w:val="center"/>
          </w:tcPr>
          <w:p w14:paraId="33E07ECA">
            <w:pPr>
              <w:pStyle w:val="50"/>
              <w:jc w:val="center"/>
              <w:rPr>
                <w:i w:val="0"/>
                <w:iCs w:val="0"/>
                <w:color w:val="auto"/>
                <w:highlight w:val="none"/>
              </w:rPr>
            </w:pPr>
          </w:p>
        </w:tc>
      </w:tr>
      <w:tr w14:paraId="6B9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1CB3DA8">
            <w:pPr>
              <w:pStyle w:val="50"/>
              <w:jc w:val="center"/>
              <w:rPr>
                <w:i w:val="0"/>
                <w:iCs w:val="0"/>
                <w:color w:val="auto"/>
                <w:highlight w:val="none"/>
              </w:rPr>
            </w:pPr>
          </w:p>
        </w:tc>
        <w:tc>
          <w:tcPr>
            <w:tcW w:w="1395" w:type="pct"/>
            <w:vAlign w:val="center"/>
          </w:tcPr>
          <w:p w14:paraId="494F1780">
            <w:pPr>
              <w:pStyle w:val="50"/>
              <w:jc w:val="center"/>
              <w:rPr>
                <w:i w:val="0"/>
                <w:iCs w:val="0"/>
                <w:color w:val="auto"/>
                <w:highlight w:val="none"/>
              </w:rPr>
            </w:pPr>
          </w:p>
        </w:tc>
        <w:tc>
          <w:tcPr>
            <w:tcW w:w="1002" w:type="pct"/>
            <w:vAlign w:val="center"/>
          </w:tcPr>
          <w:p w14:paraId="02E24AFD">
            <w:pPr>
              <w:pStyle w:val="50"/>
              <w:jc w:val="center"/>
              <w:rPr>
                <w:i w:val="0"/>
                <w:iCs w:val="0"/>
                <w:color w:val="auto"/>
                <w:highlight w:val="none"/>
              </w:rPr>
            </w:pPr>
          </w:p>
        </w:tc>
        <w:tc>
          <w:tcPr>
            <w:tcW w:w="1090" w:type="pct"/>
            <w:vAlign w:val="center"/>
          </w:tcPr>
          <w:p w14:paraId="15C952B3">
            <w:pPr>
              <w:pStyle w:val="50"/>
              <w:jc w:val="center"/>
              <w:rPr>
                <w:i w:val="0"/>
                <w:iCs w:val="0"/>
                <w:color w:val="auto"/>
                <w:highlight w:val="none"/>
              </w:rPr>
            </w:pPr>
          </w:p>
        </w:tc>
        <w:tc>
          <w:tcPr>
            <w:tcW w:w="1090" w:type="pct"/>
            <w:vAlign w:val="center"/>
          </w:tcPr>
          <w:p w14:paraId="042480C5">
            <w:pPr>
              <w:pStyle w:val="50"/>
              <w:jc w:val="center"/>
              <w:rPr>
                <w:i w:val="0"/>
                <w:iCs w:val="0"/>
                <w:color w:val="auto"/>
                <w:highlight w:val="none"/>
              </w:rPr>
            </w:pPr>
          </w:p>
        </w:tc>
      </w:tr>
      <w:tr w14:paraId="13B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3D8B34">
            <w:pPr>
              <w:pStyle w:val="50"/>
              <w:jc w:val="center"/>
              <w:rPr>
                <w:i w:val="0"/>
                <w:iCs w:val="0"/>
                <w:color w:val="auto"/>
                <w:highlight w:val="none"/>
              </w:rPr>
            </w:pPr>
          </w:p>
        </w:tc>
        <w:tc>
          <w:tcPr>
            <w:tcW w:w="1395" w:type="pct"/>
            <w:vAlign w:val="center"/>
          </w:tcPr>
          <w:p w14:paraId="3FA50495">
            <w:pPr>
              <w:pStyle w:val="50"/>
              <w:jc w:val="center"/>
              <w:rPr>
                <w:i w:val="0"/>
                <w:iCs w:val="0"/>
                <w:color w:val="auto"/>
                <w:highlight w:val="none"/>
              </w:rPr>
            </w:pPr>
          </w:p>
        </w:tc>
        <w:tc>
          <w:tcPr>
            <w:tcW w:w="1002" w:type="pct"/>
            <w:vAlign w:val="center"/>
          </w:tcPr>
          <w:p w14:paraId="65521973">
            <w:pPr>
              <w:pStyle w:val="50"/>
              <w:jc w:val="center"/>
              <w:rPr>
                <w:i w:val="0"/>
                <w:iCs w:val="0"/>
                <w:color w:val="auto"/>
                <w:highlight w:val="none"/>
              </w:rPr>
            </w:pPr>
          </w:p>
        </w:tc>
        <w:tc>
          <w:tcPr>
            <w:tcW w:w="1090" w:type="pct"/>
            <w:vAlign w:val="center"/>
          </w:tcPr>
          <w:p w14:paraId="505486BC">
            <w:pPr>
              <w:pStyle w:val="50"/>
              <w:jc w:val="center"/>
              <w:rPr>
                <w:i w:val="0"/>
                <w:iCs w:val="0"/>
                <w:color w:val="auto"/>
                <w:highlight w:val="none"/>
              </w:rPr>
            </w:pPr>
          </w:p>
        </w:tc>
        <w:tc>
          <w:tcPr>
            <w:tcW w:w="1090" w:type="pct"/>
            <w:vAlign w:val="center"/>
          </w:tcPr>
          <w:p w14:paraId="40E41834">
            <w:pPr>
              <w:pStyle w:val="50"/>
              <w:jc w:val="center"/>
              <w:rPr>
                <w:i w:val="0"/>
                <w:iCs w:val="0"/>
                <w:color w:val="auto"/>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0"/>
              <w:jc w:val="center"/>
              <w:rPr>
                <w:i w:val="0"/>
                <w:iCs w:val="0"/>
                <w:color w:val="auto"/>
                <w:highlight w:val="none"/>
              </w:rPr>
            </w:pPr>
          </w:p>
        </w:tc>
        <w:tc>
          <w:tcPr>
            <w:tcW w:w="1395" w:type="pct"/>
            <w:vAlign w:val="center"/>
          </w:tcPr>
          <w:p w14:paraId="199507E1">
            <w:pPr>
              <w:pStyle w:val="50"/>
              <w:jc w:val="center"/>
              <w:rPr>
                <w:i w:val="0"/>
                <w:iCs w:val="0"/>
                <w:color w:val="auto"/>
                <w:highlight w:val="none"/>
              </w:rPr>
            </w:pPr>
          </w:p>
        </w:tc>
        <w:tc>
          <w:tcPr>
            <w:tcW w:w="1002" w:type="pct"/>
            <w:vAlign w:val="center"/>
          </w:tcPr>
          <w:p w14:paraId="6691FD82">
            <w:pPr>
              <w:pStyle w:val="50"/>
              <w:jc w:val="center"/>
              <w:rPr>
                <w:i w:val="0"/>
                <w:iCs w:val="0"/>
                <w:color w:val="auto"/>
                <w:highlight w:val="none"/>
              </w:rPr>
            </w:pPr>
          </w:p>
        </w:tc>
        <w:tc>
          <w:tcPr>
            <w:tcW w:w="1090" w:type="pct"/>
            <w:vAlign w:val="center"/>
          </w:tcPr>
          <w:p w14:paraId="6E35002B">
            <w:pPr>
              <w:pStyle w:val="50"/>
              <w:jc w:val="center"/>
              <w:rPr>
                <w:i w:val="0"/>
                <w:iCs w:val="0"/>
                <w:color w:val="auto"/>
                <w:highlight w:val="none"/>
              </w:rPr>
            </w:pPr>
          </w:p>
        </w:tc>
        <w:tc>
          <w:tcPr>
            <w:tcW w:w="1090" w:type="pct"/>
            <w:vAlign w:val="center"/>
          </w:tcPr>
          <w:p w14:paraId="69818ED1">
            <w:pPr>
              <w:pStyle w:val="50"/>
              <w:jc w:val="center"/>
              <w:rPr>
                <w:i w:val="0"/>
                <w:iCs w:val="0"/>
                <w:color w:val="auto"/>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0"/>
              <w:jc w:val="center"/>
              <w:rPr>
                <w:i w:val="0"/>
                <w:iCs w:val="0"/>
                <w:color w:val="auto"/>
                <w:highlight w:val="none"/>
              </w:rPr>
            </w:pPr>
            <w:r>
              <w:rPr>
                <w:rFonts w:hint="eastAsia"/>
                <w:i w:val="0"/>
                <w:iCs w:val="0"/>
                <w:color w:val="auto"/>
                <w:highlight w:val="none"/>
              </w:rPr>
              <w:t>……</w:t>
            </w:r>
          </w:p>
        </w:tc>
        <w:tc>
          <w:tcPr>
            <w:tcW w:w="1395" w:type="pct"/>
            <w:vAlign w:val="center"/>
          </w:tcPr>
          <w:p w14:paraId="6324A49D">
            <w:pPr>
              <w:pStyle w:val="50"/>
              <w:jc w:val="center"/>
              <w:rPr>
                <w:i w:val="0"/>
                <w:iCs w:val="0"/>
                <w:color w:val="auto"/>
                <w:highlight w:val="none"/>
              </w:rPr>
            </w:pPr>
            <w:r>
              <w:rPr>
                <w:rFonts w:hint="eastAsia"/>
                <w:i w:val="0"/>
                <w:iCs w:val="0"/>
                <w:color w:val="auto"/>
                <w:highlight w:val="none"/>
              </w:rPr>
              <w:t>…………</w:t>
            </w:r>
          </w:p>
        </w:tc>
        <w:tc>
          <w:tcPr>
            <w:tcW w:w="1002" w:type="pct"/>
            <w:vAlign w:val="center"/>
          </w:tcPr>
          <w:p w14:paraId="0EE83785">
            <w:pPr>
              <w:pStyle w:val="50"/>
              <w:jc w:val="center"/>
              <w:rPr>
                <w:i w:val="0"/>
                <w:iCs w:val="0"/>
                <w:color w:val="auto"/>
                <w:highlight w:val="none"/>
              </w:rPr>
            </w:pPr>
            <w:r>
              <w:rPr>
                <w:rFonts w:hint="eastAsia"/>
                <w:i w:val="0"/>
                <w:iCs w:val="0"/>
                <w:color w:val="auto"/>
                <w:highlight w:val="none"/>
              </w:rPr>
              <w:t>…………</w:t>
            </w:r>
          </w:p>
        </w:tc>
        <w:tc>
          <w:tcPr>
            <w:tcW w:w="1090" w:type="pct"/>
            <w:vAlign w:val="center"/>
          </w:tcPr>
          <w:p w14:paraId="7A24BB2D">
            <w:pPr>
              <w:pStyle w:val="50"/>
              <w:jc w:val="center"/>
              <w:rPr>
                <w:i w:val="0"/>
                <w:iCs w:val="0"/>
                <w:color w:val="auto"/>
                <w:highlight w:val="none"/>
              </w:rPr>
            </w:pPr>
            <w:r>
              <w:rPr>
                <w:rFonts w:hint="eastAsia"/>
                <w:i w:val="0"/>
                <w:iCs w:val="0"/>
                <w:color w:val="auto"/>
                <w:highlight w:val="none"/>
              </w:rPr>
              <w:t>……</w:t>
            </w:r>
          </w:p>
        </w:tc>
        <w:tc>
          <w:tcPr>
            <w:tcW w:w="1090" w:type="pct"/>
            <w:vAlign w:val="center"/>
          </w:tcPr>
          <w:p w14:paraId="7CC08218">
            <w:pPr>
              <w:pStyle w:val="50"/>
              <w:jc w:val="center"/>
              <w:rPr>
                <w:i w:val="0"/>
                <w:iCs w:val="0"/>
                <w:color w:val="auto"/>
                <w:highlight w:val="none"/>
              </w:rPr>
            </w:pPr>
          </w:p>
        </w:tc>
      </w:tr>
    </w:tbl>
    <w:p w14:paraId="51EF5BE9">
      <w:pPr>
        <w:ind w:firstLine="480" w:firstLineChars="200"/>
        <w:rPr>
          <w:rFonts w:hint="eastAsia" w:cs="仿宋_GB2312"/>
          <w:i w:val="0"/>
          <w:iCs w:val="0"/>
          <w:color w:val="auto"/>
          <w:szCs w:val="24"/>
          <w:highlight w:val="none"/>
        </w:rPr>
      </w:pPr>
    </w:p>
    <w:p w14:paraId="79243E57">
      <w:pPr>
        <w:ind w:firstLine="420" w:firstLineChars="20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 w:val="21"/>
          <w:szCs w:val="21"/>
          <w:highlight w:val="none"/>
        </w:rPr>
        <w:t>注：</w:t>
      </w: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rPr>
        <w:t>应按照</w:t>
      </w:r>
      <w:r>
        <w:rPr>
          <w:rFonts w:hint="eastAsia" w:ascii="宋体" w:hAnsi="宋体" w:eastAsia="宋体" w:cs="宋体"/>
          <w:i w:val="0"/>
          <w:iCs w:val="0"/>
          <w:color w:val="auto"/>
          <w:sz w:val="21"/>
          <w:szCs w:val="21"/>
          <w:highlight w:val="none"/>
          <w:lang w:val="en-US" w:eastAsia="zh-CN"/>
        </w:rPr>
        <w:t>竞争性磋商</w:t>
      </w:r>
      <w:r>
        <w:rPr>
          <w:rFonts w:hint="eastAsia" w:ascii="宋体" w:hAnsi="宋体" w:eastAsia="宋体" w:cs="宋体"/>
          <w:i w:val="0"/>
          <w:iCs w:val="0"/>
          <w:color w:val="auto"/>
          <w:sz w:val="21"/>
          <w:szCs w:val="21"/>
          <w:highlight w:val="none"/>
        </w:rPr>
        <w:t>文件</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 xml:space="preserve">第三章 </w:t>
      </w:r>
      <w:r>
        <w:rPr>
          <w:rFonts w:hint="eastAsia" w:ascii="宋体" w:hAnsi="宋体" w:eastAsia="宋体" w:cs="宋体"/>
          <w:i w:val="0"/>
          <w:iCs w:val="0"/>
          <w:color w:val="auto"/>
          <w:sz w:val="21"/>
          <w:szCs w:val="21"/>
          <w:highlight w:val="none"/>
          <w:lang w:val="en-US" w:eastAsia="zh-CN"/>
        </w:rPr>
        <w:t>项目</w:t>
      </w:r>
      <w:r>
        <w:rPr>
          <w:rFonts w:hint="eastAsia" w:ascii="宋体" w:hAnsi="宋体" w:eastAsia="宋体" w:cs="宋体"/>
          <w:i w:val="0"/>
          <w:iCs w:val="0"/>
          <w:color w:val="auto"/>
          <w:sz w:val="21"/>
          <w:szCs w:val="21"/>
          <w:highlight w:val="none"/>
        </w:rPr>
        <w:t>采购需求</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中的商务要求</w:t>
      </w:r>
      <w:r>
        <w:rPr>
          <w:rFonts w:hint="eastAsia" w:ascii="宋体" w:hAnsi="宋体" w:eastAsia="宋体" w:cs="宋体"/>
          <w:i w:val="0"/>
          <w:iCs w:val="0"/>
          <w:color w:val="auto"/>
          <w:sz w:val="21"/>
          <w:szCs w:val="21"/>
          <w:highlight w:val="none"/>
        </w:rPr>
        <w:t>填写</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“响应/偏离”应据实填写“响应”、“正偏离”或“负偏离”</w:t>
      </w:r>
      <w:r>
        <w:rPr>
          <w:rFonts w:hint="eastAsia" w:ascii="宋体" w:hAnsi="宋体" w:eastAsia="宋体" w:cs="宋体"/>
          <w:i w:val="0"/>
          <w:iCs w:val="0"/>
          <w:color w:val="auto"/>
          <w:sz w:val="21"/>
          <w:szCs w:val="21"/>
          <w:highlight w:val="none"/>
        </w:rPr>
        <w:t>。</w:t>
      </w:r>
    </w:p>
    <w:p w14:paraId="1A3EAC71">
      <w:pPr>
        <w:rPr>
          <w:rFonts w:cs="仿宋_GB2312"/>
          <w:i w:val="0"/>
          <w:iCs w:val="0"/>
          <w:color w:val="auto"/>
          <w:szCs w:val="24"/>
          <w:highlight w:val="none"/>
        </w:rPr>
      </w:pPr>
    </w:p>
    <w:p w14:paraId="5CB06622">
      <w:pPr>
        <w:ind w:firstLine="480" w:firstLineChars="200"/>
        <w:rPr>
          <w:rFonts w:cs="仿宋_GB2312"/>
          <w:i w:val="0"/>
          <w:iCs w:val="0"/>
          <w:color w:val="auto"/>
          <w:szCs w:val="24"/>
          <w:highlight w:val="none"/>
        </w:rPr>
      </w:pPr>
    </w:p>
    <w:p w14:paraId="2E8083B6">
      <w:pPr>
        <w:ind w:firstLine="480" w:firstLineChars="200"/>
        <w:rPr>
          <w:rFonts w:cs="仿宋_GB2312"/>
          <w:i w:val="0"/>
          <w:iCs w:val="0"/>
          <w:color w:val="auto"/>
          <w:szCs w:val="24"/>
          <w:highlight w:val="none"/>
        </w:rPr>
      </w:pP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名称</w:t>
      </w:r>
      <w:r>
        <w:rPr>
          <w:rFonts w:hint="eastAsia" w:ascii="宋体" w:hAnsi="宋体" w:cs="宋体"/>
          <w:i w:val="0"/>
          <w:iCs w:val="0"/>
          <w:color w:val="auto"/>
          <w:kern w:val="0"/>
          <w:sz w:val="24"/>
          <w:szCs w:val="24"/>
          <w:highlight w:val="none"/>
          <w:lang w:val="zh-CN"/>
        </w:rPr>
        <w:t>（</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w:t>
      </w:r>
      <w:r>
        <w:rPr>
          <w:rFonts w:hint="eastAsia" w:cs="仿宋_GB2312"/>
          <w:i w:val="0"/>
          <w:iCs w:val="0"/>
          <w:color w:val="auto"/>
          <w:szCs w:val="24"/>
          <w:highlight w:val="none"/>
        </w:rPr>
        <w:t>：</w:t>
      </w:r>
      <w:r>
        <w:rPr>
          <w:rFonts w:cs="仿宋_GB2312"/>
          <w:i w:val="0"/>
          <w:iCs w:val="0"/>
          <w:color w:val="auto"/>
          <w:szCs w:val="24"/>
          <w:highlight w:val="none"/>
        </w:rPr>
        <w:t xml:space="preserve"> </w:t>
      </w:r>
    </w:p>
    <w:p w14:paraId="77655944">
      <w:pPr>
        <w:ind w:firstLine="420"/>
        <w:rPr>
          <w:rFonts w:cs="仿宋_GB2312"/>
          <w:i w:val="0"/>
          <w:iCs w:val="0"/>
          <w:color w:val="auto"/>
          <w:szCs w:val="24"/>
          <w:highlight w:val="none"/>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598C43A6">
      <w:pPr>
        <w:ind w:firstLine="420"/>
        <w:rPr>
          <w:rFonts w:cs="仿宋_GB2312"/>
          <w:i w:val="0"/>
          <w:iCs w:val="0"/>
          <w:color w:val="auto"/>
          <w:szCs w:val="24"/>
          <w:highlight w:val="none"/>
        </w:rPr>
      </w:pPr>
      <w:r>
        <w:rPr>
          <w:rFonts w:cs="仿宋_GB2312"/>
          <w:i w:val="0"/>
          <w:iCs w:val="0"/>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i w:val="0"/>
          <w:iCs w:val="0"/>
          <w:color w:val="auto"/>
          <w:kern w:val="2"/>
          <w:sz w:val="28"/>
          <w:szCs w:val="28"/>
          <w:highlight w:val="none"/>
          <w:lang w:val="en-US" w:eastAsia="zh-CN" w:bidi="ar-SA"/>
        </w:rPr>
      </w:pPr>
    </w:p>
    <w:p w14:paraId="287724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00" w:name="_Toc10043"/>
      <w:r>
        <w:rPr>
          <w:rFonts w:hint="eastAsia" w:cstheme="majorBidi"/>
          <w:b/>
          <w:bCs/>
          <w:i w:val="0"/>
          <w:iCs w:val="0"/>
          <w:color w:val="auto"/>
          <w:kern w:val="2"/>
          <w:sz w:val="32"/>
          <w:szCs w:val="32"/>
          <w:highlight w:val="none"/>
          <w:lang w:val="en-US" w:eastAsia="zh-CN" w:bidi="ar-SA"/>
        </w:rPr>
        <w:t>七</w:t>
      </w:r>
      <w:r>
        <w:rPr>
          <w:rFonts w:hint="eastAsia" w:eastAsia="宋体" w:asciiTheme="majorHAnsi" w:hAnsiTheme="majorHAnsi" w:cstheme="majorBidi"/>
          <w:b/>
          <w:bCs/>
          <w:i w:val="0"/>
          <w:iCs w:val="0"/>
          <w:color w:val="auto"/>
          <w:kern w:val="2"/>
          <w:sz w:val="32"/>
          <w:szCs w:val="32"/>
          <w:highlight w:val="none"/>
          <w:lang w:val="en-US" w:eastAsia="zh-CN" w:bidi="ar-SA"/>
        </w:rPr>
        <w:t>、业绩证明文件</w:t>
      </w:r>
      <w:bookmarkEnd w:id="1500"/>
    </w:p>
    <w:p w14:paraId="4541380C">
      <w:pPr>
        <w:rPr>
          <w:rFonts w:cs="仿宋_GB2312"/>
          <w:i w:val="0"/>
          <w:iCs w:val="0"/>
          <w:color w:val="auto"/>
          <w:szCs w:val="24"/>
          <w:highlight w:val="none"/>
        </w:rPr>
      </w:pPr>
      <w:r>
        <w:rPr>
          <w:rFonts w:cs="Arial"/>
          <w:bCs/>
          <w:i w:val="0"/>
          <w:iCs w:val="0"/>
          <w:color w:val="auto"/>
          <w:szCs w:val="21"/>
          <w:highlight w:val="none"/>
        </w:rPr>
        <w:fldChar w:fldCharType="begin"/>
      </w:r>
      <w:r>
        <w:rPr>
          <w:rFonts w:cs="Arial"/>
          <w:bCs/>
          <w:i w:val="0"/>
          <w:iCs w:val="0"/>
          <w:color w:val="auto"/>
          <w:szCs w:val="21"/>
          <w:highlight w:val="none"/>
        </w:rPr>
        <w:instrText xml:space="preserve"> LINK Word.Document.8 "D:\\音乐厅\\4通用设备\\招标文件\\音乐厅空调设备招标文件v1.0.doc" "OLE_LINK8" \r  \* MERGEFORMAT </w:instrText>
      </w:r>
      <w:r>
        <w:rPr>
          <w:rFonts w:cs="Arial"/>
          <w:bCs/>
          <w:i w:val="0"/>
          <w:iCs w:val="0"/>
          <w:color w:val="auto"/>
          <w:szCs w:val="21"/>
          <w:highlight w:val="none"/>
        </w:rPr>
        <w:fldChar w:fldCharType="separate"/>
      </w:r>
      <w:r>
        <w:rPr>
          <w:rFonts w:hint="eastAsia" w:cs="仿宋_GB2312"/>
          <w:i w:val="0"/>
          <w:iCs w:val="0"/>
          <w:color w:val="auto"/>
          <w:szCs w:val="24"/>
          <w:highlight w:val="none"/>
        </w:rPr>
        <w:t xml:space="preserve">项目名称：                                         </w:t>
      </w:r>
    </w:p>
    <w:p w14:paraId="159B24BA">
      <w:pPr>
        <w:rPr>
          <w:rFonts w:cs="Arial"/>
          <w:bCs/>
          <w:i w:val="0"/>
          <w:iCs w:val="0"/>
          <w:color w:val="auto"/>
          <w:szCs w:val="21"/>
          <w:highlight w:val="none"/>
        </w:rPr>
      </w:pPr>
      <w:r>
        <w:rPr>
          <w:rFonts w:hint="eastAsia" w:cs="仿宋_GB2312"/>
          <w:i w:val="0"/>
          <w:iCs w:val="0"/>
          <w:color w:val="auto"/>
          <w:szCs w:val="24"/>
          <w:highlight w:val="none"/>
        </w:rPr>
        <w:t xml:space="preserve">项目编号：      </w:t>
      </w:r>
      <w:r>
        <w:rPr>
          <w:rFonts w:cs="Arial"/>
          <w:bCs/>
          <w:i w:val="0"/>
          <w:iCs w:val="0"/>
          <w:color w:val="auto"/>
          <w:szCs w:val="21"/>
          <w:highlight w:val="none"/>
        </w:rPr>
        <w:fldChar w:fldCharType="end"/>
      </w:r>
    </w:p>
    <w:tbl>
      <w:tblPr>
        <w:tblStyle w:val="33"/>
        <w:tblW w:w="9854"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95"/>
        <w:gridCol w:w="1295"/>
        <w:gridCol w:w="1240"/>
        <w:gridCol w:w="1416"/>
        <w:gridCol w:w="1560"/>
        <w:gridCol w:w="1068"/>
        <w:gridCol w:w="1197"/>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4E9572F9">
            <w:pPr>
              <w:jc w:val="center"/>
              <w:rPr>
                <w:rFonts w:cs="仿宋_GB2312"/>
                <w:i w:val="0"/>
                <w:iCs w:val="0"/>
                <w:color w:val="auto"/>
                <w:sz w:val="24"/>
                <w:szCs w:val="24"/>
                <w:highlight w:val="none"/>
              </w:rPr>
            </w:pPr>
            <w:bookmarkStart w:id="1501" w:name="_Hlk46779239"/>
            <w:r>
              <w:rPr>
                <w:rFonts w:hint="eastAsia" w:cs="仿宋_GB2312"/>
                <w:i w:val="0"/>
                <w:iCs w:val="0"/>
                <w:color w:val="auto"/>
                <w:sz w:val="24"/>
                <w:szCs w:val="24"/>
                <w:highlight w:val="none"/>
              </w:rPr>
              <w:t>序号</w:t>
            </w:r>
          </w:p>
        </w:tc>
        <w:tc>
          <w:tcPr>
            <w:tcW w:w="1295" w:type="dxa"/>
            <w:vAlign w:val="center"/>
          </w:tcPr>
          <w:p w14:paraId="51F55A40">
            <w:pPr>
              <w:rPr>
                <w:rFonts w:cs="仿宋_GB2312"/>
                <w:i w:val="0"/>
                <w:iCs w:val="0"/>
                <w:color w:val="auto"/>
                <w:sz w:val="24"/>
                <w:szCs w:val="24"/>
                <w:highlight w:val="none"/>
              </w:rPr>
            </w:pPr>
            <w:r>
              <w:rPr>
                <w:rFonts w:hint="eastAsia" w:cs="仿宋_GB2312"/>
                <w:i w:val="0"/>
                <w:iCs w:val="0"/>
                <w:color w:val="auto"/>
                <w:sz w:val="24"/>
                <w:szCs w:val="24"/>
                <w:highlight w:val="none"/>
              </w:rPr>
              <w:t>完成时间</w:t>
            </w:r>
          </w:p>
        </w:tc>
        <w:tc>
          <w:tcPr>
            <w:tcW w:w="1295" w:type="dxa"/>
            <w:vAlign w:val="center"/>
          </w:tcPr>
          <w:p w14:paraId="4D5C38D5">
            <w:pPr>
              <w:jc w:val="center"/>
              <w:rPr>
                <w:rFonts w:cs="仿宋_GB2312"/>
                <w:i w:val="0"/>
                <w:iCs w:val="0"/>
                <w:color w:val="auto"/>
                <w:sz w:val="24"/>
                <w:szCs w:val="24"/>
                <w:highlight w:val="none"/>
              </w:rPr>
            </w:pPr>
            <w:r>
              <w:rPr>
                <w:rFonts w:hint="eastAsia" w:cs="仿宋_GB2312"/>
                <w:i w:val="0"/>
                <w:iCs w:val="0"/>
                <w:color w:val="auto"/>
                <w:sz w:val="24"/>
                <w:szCs w:val="24"/>
                <w:highlight w:val="none"/>
              </w:rPr>
              <w:t>项目名称</w:t>
            </w:r>
          </w:p>
        </w:tc>
        <w:tc>
          <w:tcPr>
            <w:tcW w:w="1240" w:type="dxa"/>
            <w:vAlign w:val="center"/>
          </w:tcPr>
          <w:p w14:paraId="69717F2A">
            <w:pPr>
              <w:jc w:val="center"/>
              <w:rPr>
                <w:rFonts w:cs="仿宋_GB2312"/>
                <w:i w:val="0"/>
                <w:iCs w:val="0"/>
                <w:color w:val="auto"/>
                <w:sz w:val="24"/>
                <w:szCs w:val="24"/>
                <w:highlight w:val="none"/>
              </w:rPr>
            </w:pPr>
            <w:r>
              <w:rPr>
                <w:rFonts w:hint="eastAsia" w:cs="仿宋_GB2312"/>
                <w:i w:val="0"/>
                <w:iCs w:val="0"/>
                <w:color w:val="auto"/>
                <w:sz w:val="24"/>
                <w:szCs w:val="24"/>
                <w:highlight w:val="none"/>
                <w:lang w:val="en-US" w:eastAsia="zh-CN"/>
              </w:rPr>
              <w:t>标的</w:t>
            </w:r>
            <w:r>
              <w:rPr>
                <w:rFonts w:hint="eastAsia" w:cs="仿宋_GB2312"/>
                <w:i w:val="0"/>
                <w:iCs w:val="0"/>
                <w:color w:val="auto"/>
                <w:sz w:val="24"/>
                <w:szCs w:val="24"/>
                <w:highlight w:val="none"/>
              </w:rPr>
              <w:t>内容</w:t>
            </w:r>
          </w:p>
        </w:tc>
        <w:tc>
          <w:tcPr>
            <w:tcW w:w="1416" w:type="dxa"/>
            <w:vAlign w:val="center"/>
          </w:tcPr>
          <w:p w14:paraId="57C35070">
            <w:pPr>
              <w:jc w:val="center"/>
              <w:rPr>
                <w:rFonts w:cs="仿宋_GB2312"/>
                <w:i w:val="0"/>
                <w:iCs w:val="0"/>
                <w:color w:val="auto"/>
                <w:sz w:val="24"/>
                <w:szCs w:val="24"/>
                <w:highlight w:val="none"/>
              </w:rPr>
            </w:pPr>
            <w:r>
              <w:rPr>
                <w:rFonts w:hint="eastAsia" w:cs="仿宋_GB2312"/>
                <w:i w:val="0"/>
                <w:iCs w:val="0"/>
                <w:color w:val="auto"/>
                <w:sz w:val="24"/>
                <w:szCs w:val="24"/>
                <w:highlight w:val="none"/>
                <w:lang w:val="en-US" w:eastAsia="zh-CN"/>
              </w:rPr>
              <w:t>采购人</w:t>
            </w:r>
            <w:r>
              <w:rPr>
                <w:rFonts w:hint="eastAsia" w:cs="仿宋_GB2312"/>
                <w:i w:val="0"/>
                <w:iCs w:val="0"/>
                <w:color w:val="auto"/>
                <w:sz w:val="24"/>
                <w:szCs w:val="24"/>
                <w:highlight w:val="none"/>
              </w:rPr>
              <w:t>名称</w:t>
            </w:r>
          </w:p>
        </w:tc>
        <w:tc>
          <w:tcPr>
            <w:tcW w:w="1560" w:type="dxa"/>
            <w:vAlign w:val="center"/>
          </w:tcPr>
          <w:p w14:paraId="0236C23C">
            <w:pPr>
              <w:jc w:val="center"/>
              <w:rPr>
                <w:rFonts w:hint="eastAsia" w:cs="仿宋_GB2312"/>
                <w:i w:val="0"/>
                <w:iCs w:val="0"/>
                <w:color w:val="auto"/>
                <w:sz w:val="24"/>
                <w:szCs w:val="24"/>
                <w:highlight w:val="none"/>
              </w:rPr>
            </w:pPr>
            <w:r>
              <w:rPr>
                <w:rFonts w:hint="eastAsia" w:cs="仿宋_GB2312"/>
                <w:i w:val="0"/>
                <w:iCs w:val="0"/>
                <w:color w:val="auto"/>
                <w:sz w:val="24"/>
                <w:szCs w:val="24"/>
                <w:highlight w:val="none"/>
                <w:lang w:val="en-US" w:eastAsia="zh-CN"/>
              </w:rPr>
              <w:t>中标（成交）金额</w:t>
            </w:r>
          </w:p>
        </w:tc>
        <w:tc>
          <w:tcPr>
            <w:tcW w:w="1068" w:type="dxa"/>
            <w:vAlign w:val="center"/>
          </w:tcPr>
          <w:p w14:paraId="01352CB9">
            <w:pPr>
              <w:jc w:val="center"/>
              <w:rPr>
                <w:rFonts w:cs="仿宋_GB2312"/>
                <w:i w:val="0"/>
                <w:iCs w:val="0"/>
                <w:color w:val="auto"/>
                <w:sz w:val="24"/>
                <w:szCs w:val="24"/>
                <w:highlight w:val="none"/>
              </w:rPr>
            </w:pPr>
            <w:r>
              <w:rPr>
                <w:rFonts w:hint="eastAsia" w:cs="仿宋_GB2312"/>
                <w:i w:val="0"/>
                <w:iCs w:val="0"/>
                <w:color w:val="auto"/>
                <w:sz w:val="24"/>
                <w:szCs w:val="24"/>
                <w:highlight w:val="none"/>
              </w:rPr>
              <w:t>联系人</w:t>
            </w:r>
          </w:p>
        </w:tc>
        <w:tc>
          <w:tcPr>
            <w:tcW w:w="1197" w:type="dxa"/>
            <w:vAlign w:val="center"/>
          </w:tcPr>
          <w:p w14:paraId="2DA424BF">
            <w:pPr>
              <w:jc w:val="center"/>
              <w:rPr>
                <w:rFonts w:cs="仿宋_GB2312"/>
                <w:i w:val="0"/>
                <w:iCs w:val="0"/>
                <w:color w:val="auto"/>
                <w:sz w:val="24"/>
                <w:szCs w:val="24"/>
                <w:highlight w:val="none"/>
              </w:rPr>
            </w:pPr>
            <w:r>
              <w:rPr>
                <w:rFonts w:hint="eastAsia" w:cs="仿宋_GB2312"/>
                <w:i w:val="0"/>
                <w:iCs w:val="0"/>
                <w:color w:val="auto"/>
                <w:sz w:val="24"/>
                <w:szCs w:val="24"/>
                <w:highlight w:val="none"/>
              </w:rPr>
              <w:t>联系电话</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27508E81">
            <w:pPr>
              <w:jc w:val="center"/>
              <w:rPr>
                <w:rFonts w:cs="仿宋_GB2312"/>
                <w:i w:val="0"/>
                <w:iCs w:val="0"/>
                <w:color w:val="auto"/>
                <w:sz w:val="24"/>
                <w:szCs w:val="24"/>
                <w:highlight w:val="none"/>
              </w:rPr>
            </w:pPr>
            <w:r>
              <w:rPr>
                <w:rFonts w:hint="eastAsia" w:cs="仿宋_GB2312"/>
                <w:i w:val="0"/>
                <w:iCs w:val="0"/>
                <w:color w:val="auto"/>
                <w:sz w:val="24"/>
                <w:szCs w:val="24"/>
                <w:highlight w:val="none"/>
              </w:rPr>
              <w:t>1</w:t>
            </w:r>
          </w:p>
        </w:tc>
        <w:tc>
          <w:tcPr>
            <w:tcW w:w="1295" w:type="dxa"/>
            <w:vAlign w:val="center"/>
          </w:tcPr>
          <w:p w14:paraId="27562AF7">
            <w:pPr>
              <w:rPr>
                <w:rFonts w:cs="仿宋_GB2312"/>
                <w:i w:val="0"/>
                <w:iCs w:val="0"/>
                <w:color w:val="auto"/>
                <w:sz w:val="24"/>
                <w:szCs w:val="24"/>
                <w:highlight w:val="none"/>
              </w:rPr>
            </w:pPr>
          </w:p>
        </w:tc>
        <w:tc>
          <w:tcPr>
            <w:tcW w:w="1295" w:type="dxa"/>
            <w:vAlign w:val="center"/>
          </w:tcPr>
          <w:p w14:paraId="02799269">
            <w:pPr>
              <w:rPr>
                <w:rFonts w:cs="仿宋_GB2312"/>
                <w:i w:val="0"/>
                <w:iCs w:val="0"/>
                <w:color w:val="auto"/>
                <w:sz w:val="24"/>
                <w:szCs w:val="24"/>
                <w:highlight w:val="none"/>
              </w:rPr>
            </w:pPr>
          </w:p>
        </w:tc>
        <w:tc>
          <w:tcPr>
            <w:tcW w:w="1240" w:type="dxa"/>
            <w:vAlign w:val="center"/>
          </w:tcPr>
          <w:p w14:paraId="6449ADDF">
            <w:pPr>
              <w:rPr>
                <w:rFonts w:cs="仿宋_GB2312"/>
                <w:i w:val="0"/>
                <w:iCs w:val="0"/>
                <w:color w:val="auto"/>
                <w:sz w:val="24"/>
                <w:szCs w:val="24"/>
                <w:highlight w:val="none"/>
              </w:rPr>
            </w:pPr>
          </w:p>
        </w:tc>
        <w:tc>
          <w:tcPr>
            <w:tcW w:w="1416" w:type="dxa"/>
            <w:vAlign w:val="center"/>
          </w:tcPr>
          <w:p w14:paraId="183C0714">
            <w:pPr>
              <w:rPr>
                <w:rFonts w:cs="仿宋_GB2312"/>
                <w:i w:val="0"/>
                <w:iCs w:val="0"/>
                <w:color w:val="auto"/>
                <w:sz w:val="24"/>
                <w:szCs w:val="24"/>
                <w:highlight w:val="none"/>
              </w:rPr>
            </w:pPr>
          </w:p>
        </w:tc>
        <w:tc>
          <w:tcPr>
            <w:tcW w:w="1560" w:type="dxa"/>
            <w:vAlign w:val="center"/>
          </w:tcPr>
          <w:p w14:paraId="4F169081">
            <w:pPr>
              <w:rPr>
                <w:rFonts w:cs="仿宋_GB2312"/>
                <w:i w:val="0"/>
                <w:iCs w:val="0"/>
                <w:color w:val="auto"/>
                <w:sz w:val="24"/>
                <w:szCs w:val="24"/>
                <w:highlight w:val="none"/>
              </w:rPr>
            </w:pPr>
          </w:p>
        </w:tc>
        <w:tc>
          <w:tcPr>
            <w:tcW w:w="1068" w:type="dxa"/>
            <w:vAlign w:val="center"/>
          </w:tcPr>
          <w:p w14:paraId="14FB4C57">
            <w:pPr>
              <w:rPr>
                <w:rFonts w:cs="仿宋_GB2312"/>
                <w:i w:val="0"/>
                <w:iCs w:val="0"/>
                <w:color w:val="auto"/>
                <w:sz w:val="24"/>
                <w:szCs w:val="24"/>
                <w:highlight w:val="none"/>
              </w:rPr>
            </w:pPr>
          </w:p>
        </w:tc>
        <w:tc>
          <w:tcPr>
            <w:tcW w:w="1197" w:type="dxa"/>
            <w:vAlign w:val="center"/>
          </w:tcPr>
          <w:p w14:paraId="09D0936A">
            <w:pPr>
              <w:rPr>
                <w:rFonts w:cs="仿宋_GB2312"/>
                <w:i w:val="0"/>
                <w:iCs w:val="0"/>
                <w:color w:val="auto"/>
                <w:sz w:val="24"/>
                <w:szCs w:val="24"/>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4A21BB39">
            <w:pPr>
              <w:jc w:val="center"/>
              <w:rPr>
                <w:rFonts w:cs="仿宋_GB2312"/>
                <w:i w:val="0"/>
                <w:iCs w:val="0"/>
                <w:color w:val="auto"/>
                <w:sz w:val="24"/>
                <w:szCs w:val="24"/>
                <w:highlight w:val="none"/>
              </w:rPr>
            </w:pPr>
            <w:r>
              <w:rPr>
                <w:rFonts w:hint="eastAsia" w:cs="仿宋_GB2312"/>
                <w:i w:val="0"/>
                <w:iCs w:val="0"/>
                <w:color w:val="auto"/>
                <w:sz w:val="24"/>
                <w:szCs w:val="24"/>
                <w:highlight w:val="none"/>
              </w:rPr>
              <w:t>2</w:t>
            </w:r>
          </w:p>
        </w:tc>
        <w:tc>
          <w:tcPr>
            <w:tcW w:w="1295" w:type="dxa"/>
            <w:vAlign w:val="center"/>
          </w:tcPr>
          <w:p w14:paraId="7CA4B3F3">
            <w:pPr>
              <w:rPr>
                <w:rFonts w:cs="仿宋_GB2312"/>
                <w:i w:val="0"/>
                <w:iCs w:val="0"/>
                <w:color w:val="auto"/>
                <w:sz w:val="24"/>
                <w:szCs w:val="24"/>
                <w:highlight w:val="none"/>
              </w:rPr>
            </w:pPr>
          </w:p>
        </w:tc>
        <w:tc>
          <w:tcPr>
            <w:tcW w:w="1295" w:type="dxa"/>
            <w:vAlign w:val="center"/>
          </w:tcPr>
          <w:p w14:paraId="59CCECB1">
            <w:pPr>
              <w:rPr>
                <w:rFonts w:cs="仿宋_GB2312"/>
                <w:i w:val="0"/>
                <w:iCs w:val="0"/>
                <w:color w:val="auto"/>
                <w:sz w:val="24"/>
                <w:szCs w:val="24"/>
                <w:highlight w:val="none"/>
              </w:rPr>
            </w:pPr>
          </w:p>
        </w:tc>
        <w:tc>
          <w:tcPr>
            <w:tcW w:w="1240" w:type="dxa"/>
            <w:vAlign w:val="center"/>
          </w:tcPr>
          <w:p w14:paraId="4E8043C4">
            <w:pPr>
              <w:rPr>
                <w:rFonts w:cs="仿宋_GB2312"/>
                <w:i w:val="0"/>
                <w:iCs w:val="0"/>
                <w:color w:val="auto"/>
                <w:sz w:val="24"/>
                <w:szCs w:val="24"/>
                <w:highlight w:val="none"/>
              </w:rPr>
            </w:pPr>
          </w:p>
        </w:tc>
        <w:tc>
          <w:tcPr>
            <w:tcW w:w="1416" w:type="dxa"/>
            <w:vAlign w:val="center"/>
          </w:tcPr>
          <w:p w14:paraId="2E195778">
            <w:pPr>
              <w:rPr>
                <w:rFonts w:cs="仿宋_GB2312"/>
                <w:i w:val="0"/>
                <w:iCs w:val="0"/>
                <w:color w:val="auto"/>
                <w:sz w:val="24"/>
                <w:szCs w:val="24"/>
                <w:highlight w:val="none"/>
              </w:rPr>
            </w:pPr>
          </w:p>
        </w:tc>
        <w:tc>
          <w:tcPr>
            <w:tcW w:w="1560" w:type="dxa"/>
            <w:vAlign w:val="center"/>
          </w:tcPr>
          <w:p w14:paraId="49A8CC13">
            <w:pPr>
              <w:rPr>
                <w:rFonts w:cs="仿宋_GB2312"/>
                <w:i w:val="0"/>
                <w:iCs w:val="0"/>
                <w:color w:val="auto"/>
                <w:sz w:val="24"/>
                <w:szCs w:val="24"/>
                <w:highlight w:val="none"/>
              </w:rPr>
            </w:pPr>
          </w:p>
        </w:tc>
        <w:tc>
          <w:tcPr>
            <w:tcW w:w="1068" w:type="dxa"/>
            <w:vAlign w:val="center"/>
          </w:tcPr>
          <w:p w14:paraId="2B509829">
            <w:pPr>
              <w:rPr>
                <w:rFonts w:cs="仿宋_GB2312"/>
                <w:i w:val="0"/>
                <w:iCs w:val="0"/>
                <w:color w:val="auto"/>
                <w:sz w:val="24"/>
                <w:szCs w:val="24"/>
                <w:highlight w:val="none"/>
              </w:rPr>
            </w:pPr>
          </w:p>
        </w:tc>
        <w:tc>
          <w:tcPr>
            <w:tcW w:w="1197" w:type="dxa"/>
            <w:vAlign w:val="center"/>
          </w:tcPr>
          <w:p w14:paraId="185645D3">
            <w:pPr>
              <w:rPr>
                <w:rFonts w:cs="仿宋_GB2312"/>
                <w:i w:val="0"/>
                <w:iCs w:val="0"/>
                <w:color w:val="auto"/>
                <w:sz w:val="24"/>
                <w:szCs w:val="24"/>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4428D324">
            <w:pPr>
              <w:jc w:val="center"/>
              <w:rPr>
                <w:rFonts w:cs="仿宋_GB2312"/>
                <w:i w:val="0"/>
                <w:iCs w:val="0"/>
                <w:color w:val="auto"/>
                <w:sz w:val="24"/>
                <w:szCs w:val="24"/>
                <w:highlight w:val="none"/>
              </w:rPr>
            </w:pPr>
            <w:r>
              <w:rPr>
                <w:rFonts w:hint="eastAsia" w:cs="仿宋_GB2312"/>
                <w:i w:val="0"/>
                <w:iCs w:val="0"/>
                <w:color w:val="auto"/>
                <w:sz w:val="24"/>
                <w:szCs w:val="24"/>
                <w:highlight w:val="none"/>
              </w:rPr>
              <w:t>3</w:t>
            </w:r>
          </w:p>
        </w:tc>
        <w:tc>
          <w:tcPr>
            <w:tcW w:w="1295" w:type="dxa"/>
            <w:vAlign w:val="center"/>
          </w:tcPr>
          <w:p w14:paraId="46AEF6AC">
            <w:pPr>
              <w:rPr>
                <w:rFonts w:cs="仿宋_GB2312"/>
                <w:i w:val="0"/>
                <w:iCs w:val="0"/>
                <w:color w:val="auto"/>
                <w:sz w:val="24"/>
                <w:szCs w:val="24"/>
                <w:highlight w:val="none"/>
              </w:rPr>
            </w:pPr>
          </w:p>
        </w:tc>
        <w:tc>
          <w:tcPr>
            <w:tcW w:w="1295" w:type="dxa"/>
            <w:vAlign w:val="center"/>
          </w:tcPr>
          <w:p w14:paraId="601B0208">
            <w:pPr>
              <w:rPr>
                <w:rFonts w:cs="仿宋_GB2312"/>
                <w:i w:val="0"/>
                <w:iCs w:val="0"/>
                <w:color w:val="auto"/>
                <w:sz w:val="24"/>
                <w:szCs w:val="24"/>
                <w:highlight w:val="none"/>
              </w:rPr>
            </w:pPr>
          </w:p>
        </w:tc>
        <w:tc>
          <w:tcPr>
            <w:tcW w:w="1240" w:type="dxa"/>
            <w:vAlign w:val="center"/>
          </w:tcPr>
          <w:p w14:paraId="56885EE6">
            <w:pPr>
              <w:rPr>
                <w:rFonts w:cs="仿宋_GB2312"/>
                <w:i w:val="0"/>
                <w:iCs w:val="0"/>
                <w:color w:val="auto"/>
                <w:sz w:val="24"/>
                <w:szCs w:val="24"/>
                <w:highlight w:val="none"/>
              </w:rPr>
            </w:pPr>
          </w:p>
        </w:tc>
        <w:tc>
          <w:tcPr>
            <w:tcW w:w="1416" w:type="dxa"/>
            <w:vAlign w:val="center"/>
          </w:tcPr>
          <w:p w14:paraId="00552B19">
            <w:pPr>
              <w:rPr>
                <w:rFonts w:cs="仿宋_GB2312"/>
                <w:i w:val="0"/>
                <w:iCs w:val="0"/>
                <w:color w:val="auto"/>
                <w:sz w:val="24"/>
                <w:szCs w:val="24"/>
                <w:highlight w:val="none"/>
              </w:rPr>
            </w:pPr>
          </w:p>
        </w:tc>
        <w:tc>
          <w:tcPr>
            <w:tcW w:w="1560" w:type="dxa"/>
            <w:vAlign w:val="center"/>
          </w:tcPr>
          <w:p w14:paraId="77BC6128">
            <w:pPr>
              <w:rPr>
                <w:rFonts w:cs="仿宋_GB2312"/>
                <w:i w:val="0"/>
                <w:iCs w:val="0"/>
                <w:color w:val="auto"/>
                <w:sz w:val="24"/>
                <w:szCs w:val="24"/>
                <w:highlight w:val="none"/>
              </w:rPr>
            </w:pPr>
          </w:p>
        </w:tc>
        <w:tc>
          <w:tcPr>
            <w:tcW w:w="1068" w:type="dxa"/>
            <w:vAlign w:val="center"/>
          </w:tcPr>
          <w:p w14:paraId="143DFC44">
            <w:pPr>
              <w:rPr>
                <w:rFonts w:cs="仿宋_GB2312"/>
                <w:i w:val="0"/>
                <w:iCs w:val="0"/>
                <w:color w:val="auto"/>
                <w:sz w:val="24"/>
                <w:szCs w:val="24"/>
                <w:highlight w:val="none"/>
              </w:rPr>
            </w:pPr>
          </w:p>
        </w:tc>
        <w:tc>
          <w:tcPr>
            <w:tcW w:w="1197" w:type="dxa"/>
            <w:vAlign w:val="center"/>
          </w:tcPr>
          <w:p w14:paraId="20173386">
            <w:pPr>
              <w:rPr>
                <w:rFonts w:cs="仿宋_GB2312"/>
                <w:i w:val="0"/>
                <w:iCs w:val="0"/>
                <w:color w:val="auto"/>
                <w:sz w:val="24"/>
                <w:szCs w:val="24"/>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83" w:type="dxa"/>
            <w:vAlign w:val="center"/>
          </w:tcPr>
          <w:p w14:paraId="433A34E7">
            <w:pPr>
              <w:jc w:val="center"/>
              <w:rPr>
                <w:rFonts w:cs="仿宋_GB2312"/>
                <w:i w:val="0"/>
                <w:iCs w:val="0"/>
                <w:color w:val="auto"/>
                <w:sz w:val="24"/>
                <w:szCs w:val="24"/>
                <w:highlight w:val="none"/>
              </w:rPr>
            </w:pPr>
            <w:r>
              <w:rPr>
                <w:rFonts w:hint="eastAsia" w:cs="仿宋_GB2312"/>
                <w:i w:val="0"/>
                <w:iCs w:val="0"/>
                <w:color w:val="auto"/>
                <w:sz w:val="24"/>
                <w:szCs w:val="24"/>
                <w:highlight w:val="none"/>
              </w:rPr>
              <w:t>…</w:t>
            </w:r>
          </w:p>
        </w:tc>
        <w:tc>
          <w:tcPr>
            <w:tcW w:w="1295" w:type="dxa"/>
            <w:vAlign w:val="center"/>
          </w:tcPr>
          <w:p w14:paraId="5D94CAA1">
            <w:pPr>
              <w:rPr>
                <w:rFonts w:cs="仿宋_GB2312"/>
                <w:i w:val="0"/>
                <w:iCs w:val="0"/>
                <w:color w:val="auto"/>
                <w:sz w:val="24"/>
                <w:szCs w:val="24"/>
                <w:highlight w:val="none"/>
              </w:rPr>
            </w:pPr>
          </w:p>
        </w:tc>
        <w:tc>
          <w:tcPr>
            <w:tcW w:w="1295" w:type="dxa"/>
            <w:vAlign w:val="center"/>
          </w:tcPr>
          <w:p w14:paraId="48AC7386">
            <w:pPr>
              <w:rPr>
                <w:rFonts w:cs="仿宋_GB2312"/>
                <w:i w:val="0"/>
                <w:iCs w:val="0"/>
                <w:color w:val="auto"/>
                <w:sz w:val="24"/>
                <w:szCs w:val="24"/>
                <w:highlight w:val="none"/>
              </w:rPr>
            </w:pPr>
          </w:p>
        </w:tc>
        <w:tc>
          <w:tcPr>
            <w:tcW w:w="1240" w:type="dxa"/>
            <w:vAlign w:val="center"/>
          </w:tcPr>
          <w:p w14:paraId="20172F35">
            <w:pPr>
              <w:rPr>
                <w:rFonts w:cs="仿宋_GB2312"/>
                <w:i w:val="0"/>
                <w:iCs w:val="0"/>
                <w:color w:val="auto"/>
                <w:sz w:val="24"/>
                <w:szCs w:val="24"/>
                <w:highlight w:val="none"/>
              </w:rPr>
            </w:pPr>
          </w:p>
        </w:tc>
        <w:tc>
          <w:tcPr>
            <w:tcW w:w="1416" w:type="dxa"/>
            <w:vAlign w:val="center"/>
          </w:tcPr>
          <w:p w14:paraId="75CF74D1">
            <w:pPr>
              <w:rPr>
                <w:rFonts w:cs="仿宋_GB2312"/>
                <w:i w:val="0"/>
                <w:iCs w:val="0"/>
                <w:color w:val="auto"/>
                <w:sz w:val="24"/>
                <w:szCs w:val="24"/>
                <w:highlight w:val="none"/>
              </w:rPr>
            </w:pPr>
          </w:p>
        </w:tc>
        <w:tc>
          <w:tcPr>
            <w:tcW w:w="1560" w:type="dxa"/>
            <w:vAlign w:val="center"/>
          </w:tcPr>
          <w:p w14:paraId="52CF4BF0">
            <w:pPr>
              <w:rPr>
                <w:rFonts w:cs="仿宋_GB2312"/>
                <w:i w:val="0"/>
                <w:iCs w:val="0"/>
                <w:color w:val="auto"/>
                <w:sz w:val="24"/>
                <w:szCs w:val="24"/>
                <w:highlight w:val="none"/>
              </w:rPr>
            </w:pPr>
          </w:p>
        </w:tc>
        <w:tc>
          <w:tcPr>
            <w:tcW w:w="1068" w:type="dxa"/>
            <w:vAlign w:val="center"/>
          </w:tcPr>
          <w:p w14:paraId="13901816">
            <w:pPr>
              <w:rPr>
                <w:rFonts w:cs="仿宋_GB2312"/>
                <w:i w:val="0"/>
                <w:iCs w:val="0"/>
                <w:color w:val="auto"/>
                <w:sz w:val="24"/>
                <w:szCs w:val="24"/>
                <w:highlight w:val="none"/>
              </w:rPr>
            </w:pPr>
          </w:p>
        </w:tc>
        <w:tc>
          <w:tcPr>
            <w:tcW w:w="1197" w:type="dxa"/>
            <w:vAlign w:val="center"/>
          </w:tcPr>
          <w:p w14:paraId="52BCFD5F">
            <w:pPr>
              <w:rPr>
                <w:rFonts w:cs="仿宋_GB2312"/>
                <w:i w:val="0"/>
                <w:iCs w:val="0"/>
                <w:color w:val="auto"/>
                <w:sz w:val="24"/>
                <w:szCs w:val="24"/>
                <w:highlight w:val="none"/>
              </w:rPr>
            </w:pPr>
          </w:p>
        </w:tc>
      </w:tr>
      <w:bookmarkEnd w:id="1501"/>
    </w:tbl>
    <w:p w14:paraId="434280D6">
      <w:pPr>
        <w:rPr>
          <w:rFonts w:hint="eastAsia" w:cs="仿宋_GB2312"/>
          <w:i w:val="0"/>
          <w:iCs w:val="0"/>
          <w:color w:val="auto"/>
          <w:szCs w:val="24"/>
          <w:highlight w:val="none"/>
        </w:rPr>
      </w:pPr>
    </w:p>
    <w:p w14:paraId="58FF379C">
      <w:pPr>
        <w:rPr>
          <w:rFonts w:cs="仿宋_GB2312"/>
          <w:i w:val="0"/>
          <w:iCs w:val="0"/>
          <w:color w:val="auto"/>
          <w:sz w:val="21"/>
          <w:szCs w:val="21"/>
          <w:highlight w:val="none"/>
        </w:rPr>
      </w:pPr>
      <w:r>
        <w:rPr>
          <w:rFonts w:hint="eastAsia" w:cs="仿宋_GB2312"/>
          <w:i w:val="0"/>
          <w:iCs w:val="0"/>
          <w:color w:val="auto"/>
          <w:sz w:val="21"/>
          <w:szCs w:val="21"/>
          <w:highlight w:val="none"/>
        </w:rPr>
        <w:t>注：</w:t>
      </w:r>
      <w:r>
        <w:rPr>
          <w:rFonts w:hint="eastAsia" w:cs="仿宋_GB2312"/>
          <w:i w:val="0"/>
          <w:iCs w:val="0"/>
          <w:color w:val="auto"/>
          <w:sz w:val="21"/>
          <w:szCs w:val="21"/>
          <w:highlight w:val="none"/>
          <w:lang w:val="en-US" w:eastAsia="zh-CN"/>
        </w:rPr>
        <w:t>供应商</w:t>
      </w:r>
      <w:r>
        <w:rPr>
          <w:rFonts w:hint="eastAsia" w:cs="仿宋_GB2312"/>
          <w:i w:val="0"/>
          <w:iCs w:val="0"/>
          <w:color w:val="auto"/>
          <w:sz w:val="21"/>
          <w:szCs w:val="21"/>
          <w:highlight w:val="none"/>
        </w:rPr>
        <w:t>须按上表提供相应的中标/成交通知书、合同、竣工验收报告证明资料。</w:t>
      </w:r>
    </w:p>
    <w:p w14:paraId="5DB99613">
      <w:pPr>
        <w:widowControl/>
        <w:spacing w:before="100" w:beforeAutospacing="1" w:after="100" w:afterAutospacing="1"/>
        <w:rPr>
          <w:rFonts w:cs="Arial"/>
          <w:i w:val="0"/>
          <w:iCs w:val="0"/>
          <w:color w:val="auto"/>
          <w:szCs w:val="21"/>
          <w:highlight w:val="none"/>
        </w:rPr>
      </w:pPr>
    </w:p>
    <w:p w14:paraId="24086818">
      <w:pPr>
        <w:autoSpaceDE w:val="0"/>
        <w:autoSpaceDN w:val="0"/>
        <w:spacing w:line="360" w:lineRule="auto"/>
        <w:ind w:right="1120" w:firstLine="480" w:firstLineChars="2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C8E7138">
      <w:pPr>
        <w:ind w:firstLine="420"/>
        <w:rPr>
          <w:rFonts w:cs="仿宋_GB2312"/>
          <w:i w:val="0"/>
          <w:iCs w:val="0"/>
          <w:color w:val="auto"/>
          <w:szCs w:val="24"/>
          <w:highlight w:val="none"/>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095105C8">
      <w:pPr>
        <w:ind w:firstLine="420"/>
        <w:rPr>
          <w:rFonts w:cs="仿宋_GB2312"/>
          <w:i w:val="0"/>
          <w:iCs w:val="0"/>
          <w:color w:val="auto"/>
          <w:szCs w:val="24"/>
          <w:highlight w:val="none"/>
        </w:rPr>
      </w:pPr>
      <w:r>
        <w:rPr>
          <w:rFonts w:cs="仿宋_GB2312"/>
          <w:i w:val="0"/>
          <w:iCs w:val="0"/>
          <w:color w:val="auto"/>
          <w:szCs w:val="24"/>
          <w:highlight w:val="none"/>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02" w:name="_Toc678"/>
      <w:r>
        <w:rPr>
          <w:rFonts w:hint="eastAsia" w:cstheme="majorBidi"/>
          <w:b/>
          <w:bCs/>
          <w:i w:val="0"/>
          <w:iCs w:val="0"/>
          <w:color w:val="auto"/>
          <w:kern w:val="2"/>
          <w:sz w:val="32"/>
          <w:szCs w:val="32"/>
          <w:highlight w:val="none"/>
          <w:lang w:val="en-US" w:eastAsia="zh-CN" w:bidi="ar-SA"/>
        </w:rPr>
        <w:t>八</w:t>
      </w:r>
      <w:r>
        <w:rPr>
          <w:rFonts w:hint="eastAsia" w:eastAsia="宋体" w:asciiTheme="majorHAnsi" w:hAnsiTheme="majorHAnsi" w:cstheme="majorBidi"/>
          <w:b/>
          <w:bCs/>
          <w:i w:val="0"/>
          <w:iCs w:val="0"/>
          <w:color w:val="auto"/>
          <w:kern w:val="2"/>
          <w:sz w:val="32"/>
          <w:szCs w:val="32"/>
          <w:highlight w:val="none"/>
          <w:lang w:val="en-US" w:eastAsia="zh-CN" w:bidi="ar-SA"/>
        </w:rPr>
        <w:t>、拟派项目团队</w:t>
      </w:r>
      <w:bookmarkEnd w:id="1502"/>
    </w:p>
    <w:tbl>
      <w:tblPr>
        <w:tblStyle w:val="33"/>
        <w:tblW w:w="8945" w:type="dxa"/>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143"/>
        <w:gridCol w:w="1204"/>
        <w:gridCol w:w="1140"/>
        <w:gridCol w:w="756"/>
        <w:gridCol w:w="1836"/>
        <w:gridCol w:w="1277"/>
        <w:gridCol w:w="816"/>
      </w:tblGrid>
      <w:tr w14:paraId="23B29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44A1D47D">
            <w:pPr>
              <w:pStyle w:val="50"/>
              <w:jc w:val="center"/>
              <w:rPr>
                <w:i w:val="0"/>
                <w:iCs w:val="0"/>
                <w:color w:val="auto"/>
                <w:highlight w:val="none"/>
              </w:rPr>
            </w:pPr>
            <w:r>
              <w:rPr>
                <w:rFonts w:hint="eastAsia"/>
                <w:i w:val="0"/>
                <w:iCs w:val="0"/>
                <w:color w:val="auto"/>
                <w:highlight w:val="none"/>
              </w:rPr>
              <w:t>序号</w:t>
            </w:r>
          </w:p>
        </w:tc>
        <w:tc>
          <w:tcPr>
            <w:tcW w:w="1143" w:type="dxa"/>
            <w:vAlign w:val="center"/>
          </w:tcPr>
          <w:p w14:paraId="06896F70">
            <w:pPr>
              <w:pStyle w:val="50"/>
              <w:jc w:val="center"/>
              <w:rPr>
                <w:i w:val="0"/>
                <w:iCs w:val="0"/>
                <w:color w:val="auto"/>
                <w:highlight w:val="none"/>
              </w:rPr>
            </w:pPr>
            <w:r>
              <w:rPr>
                <w:rFonts w:hint="eastAsia"/>
                <w:i w:val="0"/>
                <w:iCs w:val="0"/>
                <w:color w:val="auto"/>
                <w:highlight w:val="none"/>
                <w:lang w:val="en-US" w:eastAsia="zh-CN"/>
              </w:rPr>
              <w:t>团队成员</w:t>
            </w:r>
          </w:p>
          <w:p w14:paraId="4131E775">
            <w:pPr>
              <w:pStyle w:val="50"/>
              <w:jc w:val="center"/>
              <w:rPr>
                <w:i w:val="0"/>
                <w:iCs w:val="0"/>
                <w:color w:val="auto"/>
                <w:highlight w:val="none"/>
              </w:rPr>
            </w:pPr>
            <w:r>
              <w:rPr>
                <w:rFonts w:hint="eastAsia"/>
                <w:i w:val="0"/>
                <w:iCs w:val="0"/>
                <w:color w:val="auto"/>
                <w:highlight w:val="none"/>
              </w:rPr>
              <w:t>姓名</w:t>
            </w:r>
          </w:p>
        </w:tc>
        <w:tc>
          <w:tcPr>
            <w:tcW w:w="1204" w:type="dxa"/>
            <w:tcBorders>
              <w:right w:val="single" w:color="auto" w:sz="4" w:space="0"/>
            </w:tcBorders>
            <w:vAlign w:val="center"/>
          </w:tcPr>
          <w:p w14:paraId="7A003668">
            <w:pPr>
              <w:pStyle w:val="50"/>
              <w:jc w:val="center"/>
              <w:rPr>
                <w:i w:val="0"/>
                <w:iCs w:val="0"/>
                <w:color w:val="auto"/>
                <w:highlight w:val="none"/>
              </w:rPr>
            </w:pPr>
            <w:r>
              <w:rPr>
                <w:rFonts w:hint="eastAsia"/>
                <w:i w:val="0"/>
                <w:iCs w:val="0"/>
                <w:color w:val="auto"/>
                <w:highlight w:val="none"/>
              </w:rPr>
              <w:t>工作单位</w:t>
            </w:r>
          </w:p>
        </w:tc>
        <w:tc>
          <w:tcPr>
            <w:tcW w:w="1140" w:type="dxa"/>
            <w:tcBorders>
              <w:left w:val="single" w:color="auto" w:sz="4" w:space="0"/>
            </w:tcBorders>
            <w:vAlign w:val="center"/>
          </w:tcPr>
          <w:p w14:paraId="1E2760FF">
            <w:pPr>
              <w:pStyle w:val="50"/>
              <w:jc w:val="center"/>
              <w:rPr>
                <w:i w:val="0"/>
                <w:iCs w:val="0"/>
                <w:color w:val="auto"/>
                <w:highlight w:val="none"/>
              </w:rPr>
            </w:pPr>
            <w:r>
              <w:rPr>
                <w:rFonts w:hint="eastAsia"/>
                <w:i w:val="0"/>
                <w:iCs w:val="0"/>
                <w:color w:val="auto"/>
                <w:highlight w:val="none"/>
              </w:rPr>
              <w:t>身份证号</w:t>
            </w:r>
          </w:p>
        </w:tc>
        <w:tc>
          <w:tcPr>
            <w:tcW w:w="756" w:type="dxa"/>
            <w:tcBorders>
              <w:left w:val="single" w:color="auto" w:sz="4" w:space="0"/>
            </w:tcBorders>
            <w:vAlign w:val="center"/>
          </w:tcPr>
          <w:p w14:paraId="1955E989">
            <w:pPr>
              <w:pStyle w:val="50"/>
              <w:jc w:val="center"/>
              <w:rPr>
                <w:i w:val="0"/>
                <w:iCs w:val="0"/>
                <w:color w:val="auto"/>
                <w:highlight w:val="none"/>
              </w:rPr>
            </w:pPr>
            <w:r>
              <w:rPr>
                <w:rFonts w:hint="eastAsia"/>
                <w:i w:val="0"/>
                <w:iCs w:val="0"/>
                <w:color w:val="auto"/>
                <w:highlight w:val="none"/>
              </w:rPr>
              <w:t>职称</w:t>
            </w:r>
          </w:p>
        </w:tc>
        <w:tc>
          <w:tcPr>
            <w:tcW w:w="1836" w:type="dxa"/>
            <w:vAlign w:val="center"/>
          </w:tcPr>
          <w:p w14:paraId="57503923">
            <w:pPr>
              <w:pStyle w:val="50"/>
              <w:jc w:val="center"/>
              <w:rPr>
                <w:rFonts w:hint="default" w:eastAsia="宋体"/>
                <w:i w:val="0"/>
                <w:iCs w:val="0"/>
                <w:color w:val="auto"/>
                <w:highlight w:val="none"/>
                <w:lang w:val="en-US" w:eastAsia="zh-CN"/>
              </w:rPr>
            </w:pPr>
            <w:r>
              <w:rPr>
                <w:rFonts w:hint="eastAsia"/>
                <w:i w:val="0"/>
                <w:iCs w:val="0"/>
                <w:color w:val="auto"/>
                <w:highlight w:val="none"/>
                <w:lang w:val="en-US" w:eastAsia="zh-CN"/>
              </w:rPr>
              <w:t>注册证书（岗位证书）名称及编号</w:t>
            </w:r>
          </w:p>
        </w:tc>
        <w:tc>
          <w:tcPr>
            <w:tcW w:w="1277" w:type="dxa"/>
            <w:vAlign w:val="center"/>
          </w:tcPr>
          <w:p w14:paraId="7D2284E1">
            <w:pPr>
              <w:pStyle w:val="50"/>
              <w:jc w:val="center"/>
              <w:rPr>
                <w:i w:val="0"/>
                <w:iCs w:val="0"/>
                <w:color w:val="auto"/>
                <w:highlight w:val="none"/>
              </w:rPr>
            </w:pPr>
            <w:r>
              <w:rPr>
                <w:rFonts w:hint="eastAsia" w:eastAsia="宋体"/>
                <w:i w:val="0"/>
                <w:iCs w:val="0"/>
                <w:color w:val="auto"/>
                <w:highlight w:val="none"/>
                <w:lang w:val="en-US" w:eastAsia="zh-CN"/>
              </w:rPr>
              <w:t>在团队中职务（岗位）</w:t>
            </w:r>
          </w:p>
        </w:tc>
        <w:tc>
          <w:tcPr>
            <w:tcW w:w="816" w:type="dxa"/>
            <w:vAlign w:val="center"/>
          </w:tcPr>
          <w:p w14:paraId="626902B6">
            <w:pPr>
              <w:pStyle w:val="50"/>
              <w:jc w:val="center"/>
              <w:rPr>
                <w:i w:val="0"/>
                <w:iCs w:val="0"/>
                <w:color w:val="auto"/>
                <w:highlight w:val="none"/>
              </w:rPr>
            </w:pPr>
            <w:r>
              <w:rPr>
                <w:rFonts w:hint="eastAsia"/>
                <w:i w:val="0"/>
                <w:iCs w:val="0"/>
                <w:color w:val="auto"/>
                <w:highlight w:val="none"/>
              </w:rPr>
              <w:t>自有</w:t>
            </w:r>
            <w:r>
              <w:rPr>
                <w:i w:val="0"/>
                <w:iCs w:val="0"/>
                <w:color w:val="auto"/>
                <w:highlight w:val="none"/>
              </w:rPr>
              <w:t>/外聘</w:t>
            </w:r>
          </w:p>
        </w:tc>
      </w:tr>
      <w:tr w14:paraId="0920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5DBB5AA">
            <w:pPr>
              <w:pStyle w:val="50"/>
              <w:jc w:val="center"/>
              <w:rPr>
                <w:i w:val="0"/>
                <w:iCs w:val="0"/>
                <w:color w:val="auto"/>
                <w:highlight w:val="none"/>
              </w:rPr>
            </w:pPr>
            <w:bookmarkStart w:id="1503" w:name="_Toc100090784"/>
            <w:bookmarkStart w:id="1504" w:name="_Toc99533292"/>
            <w:r>
              <w:rPr>
                <w:rFonts w:hint="eastAsia"/>
                <w:i w:val="0"/>
                <w:iCs w:val="0"/>
                <w:color w:val="auto"/>
                <w:highlight w:val="none"/>
              </w:rPr>
              <w:t>1</w:t>
            </w:r>
            <w:bookmarkEnd w:id="1503"/>
            <w:bookmarkEnd w:id="1504"/>
          </w:p>
        </w:tc>
        <w:tc>
          <w:tcPr>
            <w:tcW w:w="1143" w:type="dxa"/>
            <w:vAlign w:val="center"/>
          </w:tcPr>
          <w:p w14:paraId="0D3CEC33">
            <w:pPr>
              <w:pStyle w:val="50"/>
              <w:jc w:val="center"/>
              <w:rPr>
                <w:i w:val="0"/>
                <w:iCs w:val="0"/>
                <w:color w:val="auto"/>
                <w:highlight w:val="none"/>
              </w:rPr>
            </w:pPr>
          </w:p>
        </w:tc>
        <w:tc>
          <w:tcPr>
            <w:tcW w:w="1204" w:type="dxa"/>
            <w:tcBorders>
              <w:right w:val="single" w:color="auto" w:sz="4" w:space="0"/>
            </w:tcBorders>
            <w:vAlign w:val="center"/>
          </w:tcPr>
          <w:p w14:paraId="12684669">
            <w:pPr>
              <w:pStyle w:val="50"/>
              <w:jc w:val="center"/>
              <w:rPr>
                <w:i w:val="0"/>
                <w:iCs w:val="0"/>
                <w:color w:val="auto"/>
                <w:highlight w:val="none"/>
              </w:rPr>
            </w:pPr>
          </w:p>
        </w:tc>
        <w:tc>
          <w:tcPr>
            <w:tcW w:w="1140" w:type="dxa"/>
            <w:tcBorders>
              <w:left w:val="single" w:color="auto" w:sz="4" w:space="0"/>
            </w:tcBorders>
            <w:vAlign w:val="center"/>
          </w:tcPr>
          <w:p w14:paraId="3952353B">
            <w:pPr>
              <w:pStyle w:val="50"/>
              <w:jc w:val="center"/>
              <w:rPr>
                <w:i w:val="0"/>
                <w:iCs w:val="0"/>
                <w:color w:val="auto"/>
                <w:highlight w:val="none"/>
              </w:rPr>
            </w:pPr>
          </w:p>
        </w:tc>
        <w:tc>
          <w:tcPr>
            <w:tcW w:w="756" w:type="dxa"/>
            <w:tcBorders>
              <w:left w:val="single" w:color="auto" w:sz="4" w:space="0"/>
            </w:tcBorders>
            <w:vAlign w:val="center"/>
          </w:tcPr>
          <w:p w14:paraId="36890BC1">
            <w:pPr>
              <w:pStyle w:val="50"/>
              <w:jc w:val="center"/>
              <w:rPr>
                <w:i w:val="0"/>
                <w:iCs w:val="0"/>
                <w:color w:val="auto"/>
                <w:highlight w:val="none"/>
              </w:rPr>
            </w:pPr>
          </w:p>
        </w:tc>
        <w:tc>
          <w:tcPr>
            <w:tcW w:w="1836" w:type="dxa"/>
            <w:vAlign w:val="center"/>
          </w:tcPr>
          <w:p w14:paraId="66425032">
            <w:pPr>
              <w:pStyle w:val="50"/>
              <w:jc w:val="center"/>
              <w:rPr>
                <w:i w:val="0"/>
                <w:iCs w:val="0"/>
                <w:color w:val="auto"/>
                <w:highlight w:val="none"/>
              </w:rPr>
            </w:pPr>
          </w:p>
        </w:tc>
        <w:tc>
          <w:tcPr>
            <w:tcW w:w="1277" w:type="dxa"/>
            <w:vAlign w:val="center"/>
          </w:tcPr>
          <w:p w14:paraId="2148FD62">
            <w:pPr>
              <w:pStyle w:val="50"/>
              <w:jc w:val="center"/>
              <w:rPr>
                <w:i w:val="0"/>
                <w:iCs w:val="0"/>
                <w:color w:val="auto"/>
                <w:highlight w:val="none"/>
              </w:rPr>
            </w:pPr>
          </w:p>
        </w:tc>
        <w:tc>
          <w:tcPr>
            <w:tcW w:w="816" w:type="dxa"/>
            <w:vAlign w:val="center"/>
          </w:tcPr>
          <w:p w14:paraId="69E0652E">
            <w:pPr>
              <w:pStyle w:val="50"/>
              <w:jc w:val="center"/>
              <w:rPr>
                <w:i w:val="0"/>
                <w:iCs w:val="0"/>
                <w:color w:val="auto"/>
                <w:highlight w:val="none"/>
              </w:rPr>
            </w:pPr>
          </w:p>
        </w:tc>
      </w:tr>
      <w:tr w14:paraId="0C38B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A0B7EE5">
            <w:pPr>
              <w:pStyle w:val="50"/>
              <w:jc w:val="center"/>
              <w:rPr>
                <w:i w:val="0"/>
                <w:iCs w:val="0"/>
                <w:color w:val="auto"/>
                <w:highlight w:val="none"/>
              </w:rPr>
            </w:pPr>
            <w:bookmarkStart w:id="1505" w:name="_Toc100090785"/>
            <w:bookmarkStart w:id="1506" w:name="_Toc99533293"/>
            <w:r>
              <w:rPr>
                <w:rFonts w:hint="eastAsia"/>
                <w:i w:val="0"/>
                <w:iCs w:val="0"/>
                <w:color w:val="auto"/>
                <w:highlight w:val="none"/>
              </w:rPr>
              <w:t>2</w:t>
            </w:r>
            <w:bookmarkEnd w:id="1505"/>
            <w:bookmarkEnd w:id="1506"/>
          </w:p>
        </w:tc>
        <w:tc>
          <w:tcPr>
            <w:tcW w:w="1143" w:type="dxa"/>
            <w:vAlign w:val="center"/>
          </w:tcPr>
          <w:p w14:paraId="0DE2AA09">
            <w:pPr>
              <w:pStyle w:val="50"/>
              <w:jc w:val="center"/>
              <w:rPr>
                <w:i w:val="0"/>
                <w:iCs w:val="0"/>
                <w:color w:val="auto"/>
                <w:highlight w:val="none"/>
              </w:rPr>
            </w:pPr>
          </w:p>
        </w:tc>
        <w:tc>
          <w:tcPr>
            <w:tcW w:w="1204" w:type="dxa"/>
            <w:tcBorders>
              <w:right w:val="single" w:color="auto" w:sz="4" w:space="0"/>
            </w:tcBorders>
            <w:vAlign w:val="center"/>
          </w:tcPr>
          <w:p w14:paraId="65B29372">
            <w:pPr>
              <w:pStyle w:val="50"/>
              <w:jc w:val="center"/>
              <w:rPr>
                <w:i w:val="0"/>
                <w:iCs w:val="0"/>
                <w:color w:val="auto"/>
                <w:highlight w:val="none"/>
              </w:rPr>
            </w:pPr>
          </w:p>
        </w:tc>
        <w:tc>
          <w:tcPr>
            <w:tcW w:w="1140" w:type="dxa"/>
            <w:tcBorders>
              <w:left w:val="single" w:color="auto" w:sz="4" w:space="0"/>
            </w:tcBorders>
            <w:vAlign w:val="center"/>
          </w:tcPr>
          <w:p w14:paraId="32395576">
            <w:pPr>
              <w:pStyle w:val="50"/>
              <w:jc w:val="center"/>
              <w:rPr>
                <w:i w:val="0"/>
                <w:iCs w:val="0"/>
                <w:color w:val="auto"/>
                <w:highlight w:val="none"/>
              </w:rPr>
            </w:pPr>
          </w:p>
        </w:tc>
        <w:tc>
          <w:tcPr>
            <w:tcW w:w="756" w:type="dxa"/>
            <w:tcBorders>
              <w:left w:val="single" w:color="auto" w:sz="4" w:space="0"/>
            </w:tcBorders>
            <w:vAlign w:val="center"/>
          </w:tcPr>
          <w:p w14:paraId="79F4FDA7">
            <w:pPr>
              <w:pStyle w:val="50"/>
              <w:jc w:val="center"/>
              <w:rPr>
                <w:i w:val="0"/>
                <w:iCs w:val="0"/>
                <w:color w:val="auto"/>
                <w:highlight w:val="none"/>
              </w:rPr>
            </w:pPr>
          </w:p>
        </w:tc>
        <w:tc>
          <w:tcPr>
            <w:tcW w:w="1836" w:type="dxa"/>
            <w:vAlign w:val="center"/>
          </w:tcPr>
          <w:p w14:paraId="7C034AB7">
            <w:pPr>
              <w:pStyle w:val="50"/>
              <w:jc w:val="center"/>
              <w:rPr>
                <w:i w:val="0"/>
                <w:iCs w:val="0"/>
                <w:color w:val="auto"/>
                <w:highlight w:val="none"/>
              </w:rPr>
            </w:pPr>
          </w:p>
        </w:tc>
        <w:tc>
          <w:tcPr>
            <w:tcW w:w="1277" w:type="dxa"/>
            <w:vAlign w:val="center"/>
          </w:tcPr>
          <w:p w14:paraId="77E48E09">
            <w:pPr>
              <w:pStyle w:val="50"/>
              <w:jc w:val="center"/>
              <w:rPr>
                <w:i w:val="0"/>
                <w:iCs w:val="0"/>
                <w:color w:val="auto"/>
                <w:highlight w:val="none"/>
              </w:rPr>
            </w:pPr>
          </w:p>
        </w:tc>
        <w:tc>
          <w:tcPr>
            <w:tcW w:w="816" w:type="dxa"/>
            <w:vAlign w:val="center"/>
          </w:tcPr>
          <w:p w14:paraId="5F5A41B2">
            <w:pPr>
              <w:pStyle w:val="50"/>
              <w:jc w:val="center"/>
              <w:rPr>
                <w:i w:val="0"/>
                <w:iCs w:val="0"/>
                <w:color w:val="auto"/>
                <w:highlight w:val="none"/>
              </w:rPr>
            </w:pPr>
          </w:p>
        </w:tc>
      </w:tr>
      <w:tr w14:paraId="364DC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1098136">
            <w:pPr>
              <w:pStyle w:val="50"/>
              <w:jc w:val="center"/>
              <w:rPr>
                <w:i w:val="0"/>
                <w:iCs w:val="0"/>
                <w:color w:val="auto"/>
                <w:highlight w:val="none"/>
              </w:rPr>
            </w:pPr>
            <w:bookmarkStart w:id="1507" w:name="_Toc100090786"/>
            <w:bookmarkStart w:id="1508" w:name="_Toc99533294"/>
            <w:r>
              <w:rPr>
                <w:rFonts w:hint="eastAsia"/>
                <w:i w:val="0"/>
                <w:iCs w:val="0"/>
                <w:color w:val="auto"/>
                <w:highlight w:val="none"/>
              </w:rPr>
              <w:t>3</w:t>
            </w:r>
            <w:bookmarkEnd w:id="1507"/>
            <w:bookmarkEnd w:id="1508"/>
          </w:p>
        </w:tc>
        <w:tc>
          <w:tcPr>
            <w:tcW w:w="1143" w:type="dxa"/>
            <w:vAlign w:val="center"/>
          </w:tcPr>
          <w:p w14:paraId="65BF25AF">
            <w:pPr>
              <w:pStyle w:val="50"/>
              <w:jc w:val="center"/>
              <w:rPr>
                <w:i w:val="0"/>
                <w:iCs w:val="0"/>
                <w:color w:val="auto"/>
                <w:highlight w:val="none"/>
              </w:rPr>
            </w:pPr>
          </w:p>
        </w:tc>
        <w:tc>
          <w:tcPr>
            <w:tcW w:w="1204" w:type="dxa"/>
            <w:tcBorders>
              <w:right w:val="single" w:color="auto" w:sz="4" w:space="0"/>
            </w:tcBorders>
            <w:vAlign w:val="center"/>
          </w:tcPr>
          <w:p w14:paraId="4557A193">
            <w:pPr>
              <w:pStyle w:val="50"/>
              <w:jc w:val="center"/>
              <w:rPr>
                <w:i w:val="0"/>
                <w:iCs w:val="0"/>
                <w:color w:val="auto"/>
                <w:highlight w:val="none"/>
              </w:rPr>
            </w:pPr>
          </w:p>
        </w:tc>
        <w:tc>
          <w:tcPr>
            <w:tcW w:w="1140" w:type="dxa"/>
            <w:tcBorders>
              <w:left w:val="single" w:color="auto" w:sz="4" w:space="0"/>
            </w:tcBorders>
            <w:vAlign w:val="center"/>
          </w:tcPr>
          <w:p w14:paraId="2409DFBA">
            <w:pPr>
              <w:pStyle w:val="50"/>
              <w:jc w:val="center"/>
              <w:rPr>
                <w:i w:val="0"/>
                <w:iCs w:val="0"/>
                <w:color w:val="auto"/>
                <w:highlight w:val="none"/>
              </w:rPr>
            </w:pPr>
          </w:p>
        </w:tc>
        <w:tc>
          <w:tcPr>
            <w:tcW w:w="756" w:type="dxa"/>
            <w:tcBorders>
              <w:left w:val="single" w:color="auto" w:sz="4" w:space="0"/>
            </w:tcBorders>
            <w:vAlign w:val="center"/>
          </w:tcPr>
          <w:p w14:paraId="069AB07B">
            <w:pPr>
              <w:pStyle w:val="50"/>
              <w:jc w:val="center"/>
              <w:rPr>
                <w:i w:val="0"/>
                <w:iCs w:val="0"/>
                <w:color w:val="auto"/>
                <w:highlight w:val="none"/>
              </w:rPr>
            </w:pPr>
          </w:p>
        </w:tc>
        <w:tc>
          <w:tcPr>
            <w:tcW w:w="1836" w:type="dxa"/>
            <w:vAlign w:val="center"/>
          </w:tcPr>
          <w:p w14:paraId="68C1087B">
            <w:pPr>
              <w:pStyle w:val="50"/>
              <w:jc w:val="center"/>
              <w:rPr>
                <w:i w:val="0"/>
                <w:iCs w:val="0"/>
                <w:color w:val="auto"/>
                <w:highlight w:val="none"/>
              </w:rPr>
            </w:pPr>
          </w:p>
        </w:tc>
        <w:tc>
          <w:tcPr>
            <w:tcW w:w="1277" w:type="dxa"/>
            <w:vAlign w:val="center"/>
          </w:tcPr>
          <w:p w14:paraId="107FDE9E">
            <w:pPr>
              <w:pStyle w:val="50"/>
              <w:jc w:val="center"/>
              <w:rPr>
                <w:i w:val="0"/>
                <w:iCs w:val="0"/>
                <w:color w:val="auto"/>
                <w:highlight w:val="none"/>
              </w:rPr>
            </w:pPr>
          </w:p>
        </w:tc>
        <w:tc>
          <w:tcPr>
            <w:tcW w:w="816" w:type="dxa"/>
            <w:vAlign w:val="center"/>
          </w:tcPr>
          <w:p w14:paraId="35A7CF6F">
            <w:pPr>
              <w:pStyle w:val="50"/>
              <w:jc w:val="center"/>
              <w:rPr>
                <w:i w:val="0"/>
                <w:iCs w:val="0"/>
                <w:color w:val="auto"/>
                <w:highlight w:val="none"/>
              </w:rPr>
            </w:pPr>
          </w:p>
        </w:tc>
      </w:tr>
      <w:tr w14:paraId="74F5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EB655AF">
            <w:pPr>
              <w:pStyle w:val="50"/>
              <w:jc w:val="center"/>
              <w:rPr>
                <w:i w:val="0"/>
                <w:iCs w:val="0"/>
                <w:color w:val="auto"/>
                <w:highlight w:val="none"/>
              </w:rPr>
            </w:pPr>
            <w:bookmarkStart w:id="1509" w:name="_Toc100090787"/>
            <w:bookmarkStart w:id="1510" w:name="_Toc99533295"/>
            <w:r>
              <w:rPr>
                <w:rFonts w:hint="eastAsia"/>
                <w:i w:val="0"/>
                <w:iCs w:val="0"/>
                <w:color w:val="auto"/>
                <w:highlight w:val="none"/>
              </w:rPr>
              <w:t>4</w:t>
            </w:r>
            <w:bookmarkEnd w:id="1509"/>
            <w:bookmarkEnd w:id="1510"/>
          </w:p>
        </w:tc>
        <w:tc>
          <w:tcPr>
            <w:tcW w:w="1143" w:type="dxa"/>
            <w:vAlign w:val="center"/>
          </w:tcPr>
          <w:p w14:paraId="4FD9BC22">
            <w:pPr>
              <w:pStyle w:val="50"/>
              <w:jc w:val="center"/>
              <w:rPr>
                <w:i w:val="0"/>
                <w:iCs w:val="0"/>
                <w:color w:val="auto"/>
                <w:highlight w:val="none"/>
              </w:rPr>
            </w:pPr>
          </w:p>
        </w:tc>
        <w:tc>
          <w:tcPr>
            <w:tcW w:w="1204" w:type="dxa"/>
            <w:tcBorders>
              <w:right w:val="single" w:color="auto" w:sz="4" w:space="0"/>
            </w:tcBorders>
            <w:vAlign w:val="center"/>
          </w:tcPr>
          <w:p w14:paraId="3072B13C">
            <w:pPr>
              <w:pStyle w:val="50"/>
              <w:jc w:val="center"/>
              <w:rPr>
                <w:i w:val="0"/>
                <w:iCs w:val="0"/>
                <w:color w:val="auto"/>
                <w:highlight w:val="none"/>
              </w:rPr>
            </w:pPr>
          </w:p>
        </w:tc>
        <w:tc>
          <w:tcPr>
            <w:tcW w:w="1140" w:type="dxa"/>
            <w:tcBorders>
              <w:left w:val="single" w:color="auto" w:sz="4" w:space="0"/>
            </w:tcBorders>
            <w:vAlign w:val="center"/>
          </w:tcPr>
          <w:p w14:paraId="7CF007DD">
            <w:pPr>
              <w:pStyle w:val="50"/>
              <w:jc w:val="center"/>
              <w:rPr>
                <w:i w:val="0"/>
                <w:iCs w:val="0"/>
                <w:color w:val="auto"/>
                <w:highlight w:val="none"/>
              </w:rPr>
            </w:pPr>
          </w:p>
        </w:tc>
        <w:tc>
          <w:tcPr>
            <w:tcW w:w="756" w:type="dxa"/>
            <w:tcBorders>
              <w:left w:val="single" w:color="auto" w:sz="4" w:space="0"/>
            </w:tcBorders>
            <w:vAlign w:val="center"/>
          </w:tcPr>
          <w:p w14:paraId="1ECAB603">
            <w:pPr>
              <w:pStyle w:val="50"/>
              <w:jc w:val="center"/>
              <w:rPr>
                <w:i w:val="0"/>
                <w:iCs w:val="0"/>
                <w:color w:val="auto"/>
                <w:highlight w:val="none"/>
              </w:rPr>
            </w:pPr>
          </w:p>
        </w:tc>
        <w:tc>
          <w:tcPr>
            <w:tcW w:w="1836" w:type="dxa"/>
            <w:vAlign w:val="center"/>
          </w:tcPr>
          <w:p w14:paraId="3A3079A1">
            <w:pPr>
              <w:pStyle w:val="50"/>
              <w:jc w:val="center"/>
              <w:rPr>
                <w:i w:val="0"/>
                <w:iCs w:val="0"/>
                <w:color w:val="auto"/>
                <w:highlight w:val="none"/>
              </w:rPr>
            </w:pPr>
          </w:p>
        </w:tc>
        <w:tc>
          <w:tcPr>
            <w:tcW w:w="1277" w:type="dxa"/>
            <w:vAlign w:val="center"/>
          </w:tcPr>
          <w:p w14:paraId="7A6D63FA">
            <w:pPr>
              <w:pStyle w:val="50"/>
              <w:jc w:val="center"/>
              <w:rPr>
                <w:i w:val="0"/>
                <w:iCs w:val="0"/>
                <w:color w:val="auto"/>
                <w:highlight w:val="none"/>
              </w:rPr>
            </w:pPr>
          </w:p>
        </w:tc>
        <w:tc>
          <w:tcPr>
            <w:tcW w:w="816" w:type="dxa"/>
            <w:vAlign w:val="center"/>
          </w:tcPr>
          <w:p w14:paraId="0BEC0EB5">
            <w:pPr>
              <w:pStyle w:val="50"/>
              <w:jc w:val="center"/>
              <w:rPr>
                <w:i w:val="0"/>
                <w:iCs w:val="0"/>
                <w:color w:val="auto"/>
                <w:highlight w:val="none"/>
              </w:rPr>
            </w:pPr>
          </w:p>
        </w:tc>
      </w:tr>
      <w:tr w14:paraId="7DC6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9B75283">
            <w:pPr>
              <w:pStyle w:val="50"/>
              <w:jc w:val="center"/>
              <w:rPr>
                <w:i w:val="0"/>
                <w:iCs w:val="0"/>
                <w:color w:val="auto"/>
                <w:highlight w:val="none"/>
              </w:rPr>
            </w:pPr>
            <w:bookmarkStart w:id="1511" w:name="_Toc99533296"/>
            <w:bookmarkStart w:id="1512" w:name="_Toc100090788"/>
            <w:r>
              <w:rPr>
                <w:rFonts w:hint="eastAsia"/>
                <w:i w:val="0"/>
                <w:iCs w:val="0"/>
                <w:color w:val="auto"/>
                <w:highlight w:val="none"/>
              </w:rPr>
              <w:t>5</w:t>
            </w:r>
            <w:bookmarkEnd w:id="1511"/>
            <w:bookmarkEnd w:id="1512"/>
          </w:p>
        </w:tc>
        <w:tc>
          <w:tcPr>
            <w:tcW w:w="1143" w:type="dxa"/>
            <w:vAlign w:val="center"/>
          </w:tcPr>
          <w:p w14:paraId="7571DCBB">
            <w:pPr>
              <w:pStyle w:val="50"/>
              <w:jc w:val="center"/>
              <w:rPr>
                <w:i w:val="0"/>
                <w:iCs w:val="0"/>
                <w:color w:val="auto"/>
                <w:highlight w:val="none"/>
              </w:rPr>
            </w:pPr>
          </w:p>
        </w:tc>
        <w:tc>
          <w:tcPr>
            <w:tcW w:w="1204" w:type="dxa"/>
            <w:tcBorders>
              <w:right w:val="single" w:color="auto" w:sz="4" w:space="0"/>
            </w:tcBorders>
            <w:vAlign w:val="center"/>
          </w:tcPr>
          <w:p w14:paraId="3AEFCEE4">
            <w:pPr>
              <w:pStyle w:val="50"/>
              <w:jc w:val="center"/>
              <w:rPr>
                <w:i w:val="0"/>
                <w:iCs w:val="0"/>
                <w:color w:val="auto"/>
                <w:highlight w:val="none"/>
              </w:rPr>
            </w:pPr>
          </w:p>
        </w:tc>
        <w:tc>
          <w:tcPr>
            <w:tcW w:w="1140" w:type="dxa"/>
            <w:tcBorders>
              <w:left w:val="single" w:color="auto" w:sz="4" w:space="0"/>
            </w:tcBorders>
            <w:vAlign w:val="center"/>
          </w:tcPr>
          <w:p w14:paraId="0DE56CC6">
            <w:pPr>
              <w:pStyle w:val="50"/>
              <w:jc w:val="center"/>
              <w:rPr>
                <w:i w:val="0"/>
                <w:iCs w:val="0"/>
                <w:color w:val="auto"/>
                <w:highlight w:val="none"/>
              </w:rPr>
            </w:pPr>
          </w:p>
        </w:tc>
        <w:tc>
          <w:tcPr>
            <w:tcW w:w="756" w:type="dxa"/>
            <w:tcBorders>
              <w:left w:val="single" w:color="auto" w:sz="4" w:space="0"/>
            </w:tcBorders>
            <w:vAlign w:val="center"/>
          </w:tcPr>
          <w:p w14:paraId="719499C3">
            <w:pPr>
              <w:pStyle w:val="50"/>
              <w:jc w:val="center"/>
              <w:rPr>
                <w:i w:val="0"/>
                <w:iCs w:val="0"/>
                <w:color w:val="auto"/>
                <w:highlight w:val="none"/>
              </w:rPr>
            </w:pPr>
          </w:p>
        </w:tc>
        <w:tc>
          <w:tcPr>
            <w:tcW w:w="1836" w:type="dxa"/>
            <w:vAlign w:val="center"/>
          </w:tcPr>
          <w:p w14:paraId="2D71EF98">
            <w:pPr>
              <w:pStyle w:val="50"/>
              <w:jc w:val="center"/>
              <w:rPr>
                <w:i w:val="0"/>
                <w:iCs w:val="0"/>
                <w:color w:val="auto"/>
                <w:highlight w:val="none"/>
              </w:rPr>
            </w:pPr>
          </w:p>
        </w:tc>
        <w:tc>
          <w:tcPr>
            <w:tcW w:w="1277" w:type="dxa"/>
            <w:vAlign w:val="center"/>
          </w:tcPr>
          <w:p w14:paraId="3943C72A">
            <w:pPr>
              <w:pStyle w:val="50"/>
              <w:jc w:val="center"/>
              <w:rPr>
                <w:i w:val="0"/>
                <w:iCs w:val="0"/>
                <w:color w:val="auto"/>
                <w:highlight w:val="none"/>
              </w:rPr>
            </w:pPr>
          </w:p>
        </w:tc>
        <w:tc>
          <w:tcPr>
            <w:tcW w:w="816" w:type="dxa"/>
            <w:vAlign w:val="center"/>
          </w:tcPr>
          <w:p w14:paraId="736CF79C">
            <w:pPr>
              <w:pStyle w:val="50"/>
              <w:jc w:val="center"/>
              <w:rPr>
                <w:i w:val="0"/>
                <w:iCs w:val="0"/>
                <w:color w:val="auto"/>
                <w:highlight w:val="none"/>
              </w:rPr>
            </w:pPr>
          </w:p>
        </w:tc>
      </w:tr>
      <w:tr w14:paraId="51731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D6C5DEB">
            <w:pPr>
              <w:pStyle w:val="50"/>
              <w:jc w:val="center"/>
              <w:rPr>
                <w:i w:val="0"/>
                <w:iCs w:val="0"/>
                <w:color w:val="auto"/>
                <w:highlight w:val="none"/>
              </w:rPr>
            </w:pPr>
            <w:bookmarkStart w:id="1513" w:name="_Toc100090789"/>
            <w:bookmarkStart w:id="1514" w:name="_Toc99533297"/>
            <w:r>
              <w:rPr>
                <w:rFonts w:hint="eastAsia"/>
                <w:i w:val="0"/>
                <w:iCs w:val="0"/>
                <w:color w:val="auto"/>
                <w:highlight w:val="none"/>
              </w:rPr>
              <w:t>6</w:t>
            </w:r>
            <w:bookmarkEnd w:id="1513"/>
            <w:bookmarkEnd w:id="1514"/>
          </w:p>
        </w:tc>
        <w:tc>
          <w:tcPr>
            <w:tcW w:w="1143" w:type="dxa"/>
            <w:vAlign w:val="center"/>
          </w:tcPr>
          <w:p w14:paraId="3ACC18A2">
            <w:pPr>
              <w:pStyle w:val="50"/>
              <w:jc w:val="center"/>
              <w:rPr>
                <w:i w:val="0"/>
                <w:iCs w:val="0"/>
                <w:color w:val="auto"/>
                <w:highlight w:val="none"/>
              </w:rPr>
            </w:pPr>
          </w:p>
        </w:tc>
        <w:tc>
          <w:tcPr>
            <w:tcW w:w="1204" w:type="dxa"/>
            <w:tcBorders>
              <w:right w:val="single" w:color="auto" w:sz="4" w:space="0"/>
            </w:tcBorders>
            <w:vAlign w:val="center"/>
          </w:tcPr>
          <w:p w14:paraId="68D4F678">
            <w:pPr>
              <w:pStyle w:val="50"/>
              <w:jc w:val="center"/>
              <w:rPr>
                <w:i w:val="0"/>
                <w:iCs w:val="0"/>
                <w:color w:val="auto"/>
                <w:highlight w:val="none"/>
              </w:rPr>
            </w:pPr>
          </w:p>
        </w:tc>
        <w:tc>
          <w:tcPr>
            <w:tcW w:w="1140" w:type="dxa"/>
            <w:tcBorders>
              <w:left w:val="single" w:color="auto" w:sz="4" w:space="0"/>
            </w:tcBorders>
            <w:vAlign w:val="center"/>
          </w:tcPr>
          <w:p w14:paraId="4C384F48">
            <w:pPr>
              <w:pStyle w:val="50"/>
              <w:jc w:val="center"/>
              <w:rPr>
                <w:i w:val="0"/>
                <w:iCs w:val="0"/>
                <w:color w:val="auto"/>
                <w:highlight w:val="none"/>
              </w:rPr>
            </w:pPr>
          </w:p>
        </w:tc>
        <w:tc>
          <w:tcPr>
            <w:tcW w:w="756" w:type="dxa"/>
            <w:tcBorders>
              <w:left w:val="single" w:color="auto" w:sz="4" w:space="0"/>
            </w:tcBorders>
            <w:vAlign w:val="center"/>
          </w:tcPr>
          <w:p w14:paraId="1D0C7379">
            <w:pPr>
              <w:pStyle w:val="50"/>
              <w:jc w:val="center"/>
              <w:rPr>
                <w:i w:val="0"/>
                <w:iCs w:val="0"/>
                <w:color w:val="auto"/>
                <w:highlight w:val="none"/>
              </w:rPr>
            </w:pPr>
          </w:p>
        </w:tc>
        <w:tc>
          <w:tcPr>
            <w:tcW w:w="1836" w:type="dxa"/>
            <w:vAlign w:val="center"/>
          </w:tcPr>
          <w:p w14:paraId="51660AF8">
            <w:pPr>
              <w:pStyle w:val="50"/>
              <w:jc w:val="center"/>
              <w:rPr>
                <w:i w:val="0"/>
                <w:iCs w:val="0"/>
                <w:color w:val="auto"/>
                <w:highlight w:val="none"/>
              </w:rPr>
            </w:pPr>
          </w:p>
        </w:tc>
        <w:tc>
          <w:tcPr>
            <w:tcW w:w="1277" w:type="dxa"/>
            <w:vAlign w:val="center"/>
          </w:tcPr>
          <w:p w14:paraId="6FF03D95">
            <w:pPr>
              <w:pStyle w:val="50"/>
              <w:jc w:val="center"/>
              <w:rPr>
                <w:i w:val="0"/>
                <w:iCs w:val="0"/>
                <w:color w:val="auto"/>
                <w:highlight w:val="none"/>
              </w:rPr>
            </w:pPr>
          </w:p>
        </w:tc>
        <w:tc>
          <w:tcPr>
            <w:tcW w:w="816" w:type="dxa"/>
            <w:vAlign w:val="center"/>
          </w:tcPr>
          <w:p w14:paraId="2CE761E9">
            <w:pPr>
              <w:pStyle w:val="50"/>
              <w:jc w:val="center"/>
              <w:rPr>
                <w:i w:val="0"/>
                <w:iCs w:val="0"/>
                <w:color w:val="auto"/>
                <w:highlight w:val="none"/>
              </w:rPr>
            </w:pPr>
          </w:p>
        </w:tc>
      </w:tr>
      <w:tr w14:paraId="0B455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B4D2698">
            <w:pPr>
              <w:pStyle w:val="50"/>
              <w:jc w:val="center"/>
              <w:rPr>
                <w:i w:val="0"/>
                <w:iCs w:val="0"/>
                <w:color w:val="auto"/>
                <w:highlight w:val="none"/>
              </w:rPr>
            </w:pPr>
            <w:bookmarkStart w:id="1515" w:name="_Toc99533298"/>
            <w:bookmarkStart w:id="1516" w:name="_Toc100090790"/>
            <w:r>
              <w:rPr>
                <w:rFonts w:hint="eastAsia"/>
                <w:i w:val="0"/>
                <w:iCs w:val="0"/>
                <w:color w:val="auto"/>
                <w:highlight w:val="none"/>
              </w:rPr>
              <w:t>7</w:t>
            </w:r>
            <w:bookmarkEnd w:id="1515"/>
            <w:bookmarkEnd w:id="1516"/>
          </w:p>
        </w:tc>
        <w:tc>
          <w:tcPr>
            <w:tcW w:w="1143" w:type="dxa"/>
            <w:vAlign w:val="center"/>
          </w:tcPr>
          <w:p w14:paraId="67876EF6">
            <w:pPr>
              <w:pStyle w:val="50"/>
              <w:jc w:val="center"/>
              <w:rPr>
                <w:i w:val="0"/>
                <w:iCs w:val="0"/>
                <w:color w:val="auto"/>
                <w:highlight w:val="none"/>
              </w:rPr>
            </w:pPr>
          </w:p>
        </w:tc>
        <w:tc>
          <w:tcPr>
            <w:tcW w:w="1204" w:type="dxa"/>
            <w:tcBorders>
              <w:right w:val="single" w:color="auto" w:sz="4" w:space="0"/>
            </w:tcBorders>
            <w:vAlign w:val="center"/>
          </w:tcPr>
          <w:p w14:paraId="547BE1BD">
            <w:pPr>
              <w:pStyle w:val="50"/>
              <w:jc w:val="center"/>
              <w:rPr>
                <w:i w:val="0"/>
                <w:iCs w:val="0"/>
                <w:color w:val="auto"/>
                <w:highlight w:val="none"/>
              </w:rPr>
            </w:pPr>
          </w:p>
        </w:tc>
        <w:tc>
          <w:tcPr>
            <w:tcW w:w="1140" w:type="dxa"/>
            <w:tcBorders>
              <w:left w:val="single" w:color="auto" w:sz="4" w:space="0"/>
            </w:tcBorders>
            <w:vAlign w:val="center"/>
          </w:tcPr>
          <w:p w14:paraId="77C6C698">
            <w:pPr>
              <w:pStyle w:val="50"/>
              <w:jc w:val="center"/>
              <w:rPr>
                <w:i w:val="0"/>
                <w:iCs w:val="0"/>
                <w:color w:val="auto"/>
                <w:highlight w:val="none"/>
              </w:rPr>
            </w:pPr>
          </w:p>
        </w:tc>
        <w:tc>
          <w:tcPr>
            <w:tcW w:w="756" w:type="dxa"/>
            <w:tcBorders>
              <w:left w:val="single" w:color="auto" w:sz="4" w:space="0"/>
            </w:tcBorders>
            <w:vAlign w:val="center"/>
          </w:tcPr>
          <w:p w14:paraId="0D9D0032">
            <w:pPr>
              <w:pStyle w:val="50"/>
              <w:jc w:val="center"/>
              <w:rPr>
                <w:i w:val="0"/>
                <w:iCs w:val="0"/>
                <w:color w:val="auto"/>
                <w:highlight w:val="none"/>
              </w:rPr>
            </w:pPr>
          </w:p>
        </w:tc>
        <w:tc>
          <w:tcPr>
            <w:tcW w:w="1836" w:type="dxa"/>
            <w:vAlign w:val="center"/>
          </w:tcPr>
          <w:p w14:paraId="7CC4B080">
            <w:pPr>
              <w:pStyle w:val="50"/>
              <w:jc w:val="center"/>
              <w:rPr>
                <w:i w:val="0"/>
                <w:iCs w:val="0"/>
                <w:color w:val="auto"/>
                <w:highlight w:val="none"/>
              </w:rPr>
            </w:pPr>
          </w:p>
        </w:tc>
        <w:tc>
          <w:tcPr>
            <w:tcW w:w="1277" w:type="dxa"/>
            <w:vAlign w:val="center"/>
          </w:tcPr>
          <w:p w14:paraId="5FBF328E">
            <w:pPr>
              <w:pStyle w:val="50"/>
              <w:jc w:val="center"/>
              <w:rPr>
                <w:i w:val="0"/>
                <w:iCs w:val="0"/>
                <w:color w:val="auto"/>
                <w:highlight w:val="none"/>
              </w:rPr>
            </w:pPr>
          </w:p>
        </w:tc>
        <w:tc>
          <w:tcPr>
            <w:tcW w:w="816" w:type="dxa"/>
            <w:vAlign w:val="center"/>
          </w:tcPr>
          <w:p w14:paraId="4CC06498">
            <w:pPr>
              <w:pStyle w:val="50"/>
              <w:jc w:val="center"/>
              <w:rPr>
                <w:i w:val="0"/>
                <w:iCs w:val="0"/>
                <w:color w:val="auto"/>
                <w:highlight w:val="none"/>
              </w:rPr>
            </w:pPr>
          </w:p>
        </w:tc>
      </w:tr>
      <w:tr w14:paraId="2BAB5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F7A2FA1">
            <w:pPr>
              <w:pStyle w:val="50"/>
              <w:jc w:val="center"/>
              <w:rPr>
                <w:i w:val="0"/>
                <w:iCs w:val="0"/>
                <w:color w:val="auto"/>
                <w:highlight w:val="none"/>
              </w:rPr>
            </w:pPr>
            <w:bookmarkStart w:id="1517" w:name="_Toc99533299"/>
            <w:bookmarkStart w:id="1518" w:name="_Toc100090791"/>
            <w:r>
              <w:rPr>
                <w:rFonts w:hint="eastAsia"/>
                <w:i w:val="0"/>
                <w:iCs w:val="0"/>
                <w:color w:val="auto"/>
                <w:highlight w:val="none"/>
              </w:rPr>
              <w:t>8</w:t>
            </w:r>
            <w:bookmarkEnd w:id="1517"/>
            <w:bookmarkEnd w:id="1518"/>
          </w:p>
        </w:tc>
        <w:tc>
          <w:tcPr>
            <w:tcW w:w="1143" w:type="dxa"/>
            <w:vAlign w:val="center"/>
          </w:tcPr>
          <w:p w14:paraId="783E8C54">
            <w:pPr>
              <w:pStyle w:val="50"/>
              <w:jc w:val="center"/>
              <w:rPr>
                <w:i w:val="0"/>
                <w:iCs w:val="0"/>
                <w:color w:val="auto"/>
                <w:highlight w:val="none"/>
              </w:rPr>
            </w:pPr>
          </w:p>
        </w:tc>
        <w:tc>
          <w:tcPr>
            <w:tcW w:w="1204" w:type="dxa"/>
            <w:tcBorders>
              <w:right w:val="single" w:color="auto" w:sz="4" w:space="0"/>
            </w:tcBorders>
            <w:vAlign w:val="center"/>
          </w:tcPr>
          <w:p w14:paraId="16080438">
            <w:pPr>
              <w:pStyle w:val="50"/>
              <w:jc w:val="center"/>
              <w:rPr>
                <w:i w:val="0"/>
                <w:iCs w:val="0"/>
                <w:color w:val="auto"/>
                <w:highlight w:val="none"/>
              </w:rPr>
            </w:pPr>
          </w:p>
        </w:tc>
        <w:tc>
          <w:tcPr>
            <w:tcW w:w="1140" w:type="dxa"/>
            <w:tcBorders>
              <w:left w:val="single" w:color="auto" w:sz="4" w:space="0"/>
            </w:tcBorders>
            <w:vAlign w:val="center"/>
          </w:tcPr>
          <w:p w14:paraId="4608C235">
            <w:pPr>
              <w:pStyle w:val="50"/>
              <w:jc w:val="center"/>
              <w:rPr>
                <w:i w:val="0"/>
                <w:iCs w:val="0"/>
                <w:color w:val="auto"/>
                <w:highlight w:val="none"/>
              </w:rPr>
            </w:pPr>
          </w:p>
        </w:tc>
        <w:tc>
          <w:tcPr>
            <w:tcW w:w="756" w:type="dxa"/>
            <w:tcBorders>
              <w:left w:val="single" w:color="auto" w:sz="4" w:space="0"/>
            </w:tcBorders>
            <w:vAlign w:val="center"/>
          </w:tcPr>
          <w:p w14:paraId="4082BDDF">
            <w:pPr>
              <w:pStyle w:val="50"/>
              <w:jc w:val="center"/>
              <w:rPr>
                <w:i w:val="0"/>
                <w:iCs w:val="0"/>
                <w:color w:val="auto"/>
                <w:highlight w:val="none"/>
              </w:rPr>
            </w:pPr>
          </w:p>
        </w:tc>
        <w:tc>
          <w:tcPr>
            <w:tcW w:w="1836" w:type="dxa"/>
            <w:vAlign w:val="center"/>
          </w:tcPr>
          <w:p w14:paraId="65185B57">
            <w:pPr>
              <w:pStyle w:val="50"/>
              <w:jc w:val="center"/>
              <w:rPr>
                <w:i w:val="0"/>
                <w:iCs w:val="0"/>
                <w:color w:val="auto"/>
                <w:highlight w:val="none"/>
              </w:rPr>
            </w:pPr>
          </w:p>
        </w:tc>
        <w:tc>
          <w:tcPr>
            <w:tcW w:w="1277" w:type="dxa"/>
            <w:vAlign w:val="center"/>
          </w:tcPr>
          <w:p w14:paraId="7107F6B0">
            <w:pPr>
              <w:pStyle w:val="50"/>
              <w:jc w:val="center"/>
              <w:rPr>
                <w:i w:val="0"/>
                <w:iCs w:val="0"/>
                <w:color w:val="auto"/>
                <w:highlight w:val="none"/>
              </w:rPr>
            </w:pPr>
          </w:p>
        </w:tc>
        <w:tc>
          <w:tcPr>
            <w:tcW w:w="816" w:type="dxa"/>
            <w:vAlign w:val="center"/>
          </w:tcPr>
          <w:p w14:paraId="2A255265">
            <w:pPr>
              <w:pStyle w:val="50"/>
              <w:jc w:val="center"/>
              <w:rPr>
                <w:i w:val="0"/>
                <w:iCs w:val="0"/>
                <w:color w:val="auto"/>
                <w:highlight w:val="none"/>
              </w:rPr>
            </w:pPr>
          </w:p>
        </w:tc>
      </w:tr>
      <w:tr w14:paraId="5B1CC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F66056B">
            <w:pPr>
              <w:pStyle w:val="50"/>
              <w:jc w:val="center"/>
              <w:rPr>
                <w:i w:val="0"/>
                <w:iCs w:val="0"/>
                <w:color w:val="auto"/>
                <w:highlight w:val="none"/>
              </w:rPr>
            </w:pPr>
            <w:bookmarkStart w:id="1519" w:name="_Toc99533300"/>
            <w:bookmarkStart w:id="1520" w:name="_Toc100090792"/>
            <w:r>
              <w:rPr>
                <w:rFonts w:hint="eastAsia"/>
                <w:i w:val="0"/>
                <w:iCs w:val="0"/>
                <w:color w:val="auto"/>
                <w:highlight w:val="none"/>
              </w:rPr>
              <w:t>9</w:t>
            </w:r>
            <w:bookmarkEnd w:id="1519"/>
            <w:bookmarkEnd w:id="1520"/>
          </w:p>
        </w:tc>
        <w:tc>
          <w:tcPr>
            <w:tcW w:w="1143" w:type="dxa"/>
            <w:vAlign w:val="center"/>
          </w:tcPr>
          <w:p w14:paraId="1EAC117F">
            <w:pPr>
              <w:pStyle w:val="50"/>
              <w:jc w:val="center"/>
              <w:rPr>
                <w:i w:val="0"/>
                <w:iCs w:val="0"/>
                <w:color w:val="auto"/>
                <w:highlight w:val="none"/>
              </w:rPr>
            </w:pPr>
          </w:p>
        </w:tc>
        <w:tc>
          <w:tcPr>
            <w:tcW w:w="1204" w:type="dxa"/>
            <w:tcBorders>
              <w:right w:val="single" w:color="auto" w:sz="4" w:space="0"/>
            </w:tcBorders>
            <w:vAlign w:val="center"/>
          </w:tcPr>
          <w:p w14:paraId="0C56C72E">
            <w:pPr>
              <w:pStyle w:val="50"/>
              <w:jc w:val="center"/>
              <w:rPr>
                <w:i w:val="0"/>
                <w:iCs w:val="0"/>
                <w:color w:val="auto"/>
                <w:highlight w:val="none"/>
              </w:rPr>
            </w:pPr>
          </w:p>
        </w:tc>
        <w:tc>
          <w:tcPr>
            <w:tcW w:w="1140" w:type="dxa"/>
            <w:tcBorders>
              <w:left w:val="single" w:color="auto" w:sz="4" w:space="0"/>
            </w:tcBorders>
            <w:vAlign w:val="center"/>
          </w:tcPr>
          <w:p w14:paraId="53D85840">
            <w:pPr>
              <w:pStyle w:val="50"/>
              <w:jc w:val="center"/>
              <w:rPr>
                <w:i w:val="0"/>
                <w:iCs w:val="0"/>
                <w:color w:val="auto"/>
                <w:highlight w:val="none"/>
              </w:rPr>
            </w:pPr>
          </w:p>
        </w:tc>
        <w:tc>
          <w:tcPr>
            <w:tcW w:w="756" w:type="dxa"/>
            <w:tcBorders>
              <w:left w:val="single" w:color="auto" w:sz="4" w:space="0"/>
            </w:tcBorders>
            <w:vAlign w:val="center"/>
          </w:tcPr>
          <w:p w14:paraId="6C7CE02A">
            <w:pPr>
              <w:pStyle w:val="50"/>
              <w:jc w:val="center"/>
              <w:rPr>
                <w:i w:val="0"/>
                <w:iCs w:val="0"/>
                <w:color w:val="auto"/>
                <w:highlight w:val="none"/>
              </w:rPr>
            </w:pPr>
          </w:p>
        </w:tc>
        <w:tc>
          <w:tcPr>
            <w:tcW w:w="1836" w:type="dxa"/>
            <w:vAlign w:val="center"/>
          </w:tcPr>
          <w:p w14:paraId="2AB0E034">
            <w:pPr>
              <w:pStyle w:val="50"/>
              <w:jc w:val="center"/>
              <w:rPr>
                <w:i w:val="0"/>
                <w:iCs w:val="0"/>
                <w:color w:val="auto"/>
                <w:highlight w:val="none"/>
              </w:rPr>
            </w:pPr>
          </w:p>
        </w:tc>
        <w:tc>
          <w:tcPr>
            <w:tcW w:w="1277" w:type="dxa"/>
            <w:vAlign w:val="center"/>
          </w:tcPr>
          <w:p w14:paraId="6968EA5F">
            <w:pPr>
              <w:pStyle w:val="50"/>
              <w:jc w:val="center"/>
              <w:rPr>
                <w:i w:val="0"/>
                <w:iCs w:val="0"/>
                <w:color w:val="auto"/>
                <w:highlight w:val="none"/>
              </w:rPr>
            </w:pPr>
          </w:p>
        </w:tc>
        <w:tc>
          <w:tcPr>
            <w:tcW w:w="816" w:type="dxa"/>
            <w:vAlign w:val="center"/>
          </w:tcPr>
          <w:p w14:paraId="7D8C1BDF">
            <w:pPr>
              <w:pStyle w:val="50"/>
              <w:jc w:val="center"/>
              <w:rPr>
                <w:i w:val="0"/>
                <w:iCs w:val="0"/>
                <w:color w:val="auto"/>
                <w:highlight w:val="none"/>
              </w:rPr>
            </w:pPr>
          </w:p>
        </w:tc>
      </w:tr>
      <w:tr w14:paraId="0D50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216F2C57">
            <w:pPr>
              <w:pStyle w:val="50"/>
              <w:jc w:val="center"/>
              <w:rPr>
                <w:i w:val="0"/>
                <w:iCs w:val="0"/>
                <w:color w:val="auto"/>
                <w:highlight w:val="none"/>
              </w:rPr>
            </w:pPr>
            <w:bookmarkStart w:id="1521" w:name="_Toc100090793"/>
            <w:bookmarkStart w:id="1522" w:name="_Toc99533301"/>
            <w:r>
              <w:rPr>
                <w:rFonts w:hint="eastAsia"/>
                <w:i w:val="0"/>
                <w:iCs w:val="0"/>
                <w:color w:val="auto"/>
                <w:highlight w:val="none"/>
              </w:rPr>
              <w:t>10</w:t>
            </w:r>
            <w:bookmarkEnd w:id="1521"/>
            <w:bookmarkEnd w:id="1522"/>
          </w:p>
        </w:tc>
        <w:tc>
          <w:tcPr>
            <w:tcW w:w="1143" w:type="dxa"/>
            <w:vAlign w:val="center"/>
          </w:tcPr>
          <w:p w14:paraId="7811E0AD">
            <w:pPr>
              <w:pStyle w:val="50"/>
              <w:jc w:val="center"/>
              <w:rPr>
                <w:i w:val="0"/>
                <w:iCs w:val="0"/>
                <w:color w:val="auto"/>
                <w:highlight w:val="none"/>
              </w:rPr>
            </w:pPr>
          </w:p>
        </w:tc>
        <w:tc>
          <w:tcPr>
            <w:tcW w:w="1204" w:type="dxa"/>
            <w:tcBorders>
              <w:right w:val="single" w:color="auto" w:sz="4" w:space="0"/>
            </w:tcBorders>
            <w:vAlign w:val="center"/>
          </w:tcPr>
          <w:p w14:paraId="62E7AF22">
            <w:pPr>
              <w:pStyle w:val="50"/>
              <w:jc w:val="center"/>
              <w:rPr>
                <w:i w:val="0"/>
                <w:iCs w:val="0"/>
                <w:color w:val="auto"/>
                <w:highlight w:val="none"/>
              </w:rPr>
            </w:pPr>
          </w:p>
        </w:tc>
        <w:tc>
          <w:tcPr>
            <w:tcW w:w="1140" w:type="dxa"/>
            <w:tcBorders>
              <w:left w:val="single" w:color="auto" w:sz="4" w:space="0"/>
            </w:tcBorders>
            <w:vAlign w:val="center"/>
          </w:tcPr>
          <w:p w14:paraId="34B04CA5">
            <w:pPr>
              <w:pStyle w:val="50"/>
              <w:jc w:val="center"/>
              <w:rPr>
                <w:i w:val="0"/>
                <w:iCs w:val="0"/>
                <w:color w:val="auto"/>
                <w:highlight w:val="none"/>
              </w:rPr>
            </w:pPr>
          </w:p>
        </w:tc>
        <w:tc>
          <w:tcPr>
            <w:tcW w:w="756" w:type="dxa"/>
            <w:tcBorders>
              <w:left w:val="single" w:color="auto" w:sz="4" w:space="0"/>
            </w:tcBorders>
            <w:vAlign w:val="center"/>
          </w:tcPr>
          <w:p w14:paraId="05EAA54E">
            <w:pPr>
              <w:pStyle w:val="50"/>
              <w:jc w:val="center"/>
              <w:rPr>
                <w:i w:val="0"/>
                <w:iCs w:val="0"/>
                <w:color w:val="auto"/>
                <w:highlight w:val="none"/>
              </w:rPr>
            </w:pPr>
          </w:p>
        </w:tc>
        <w:tc>
          <w:tcPr>
            <w:tcW w:w="1836" w:type="dxa"/>
            <w:vAlign w:val="center"/>
          </w:tcPr>
          <w:p w14:paraId="55197B5F">
            <w:pPr>
              <w:pStyle w:val="50"/>
              <w:jc w:val="center"/>
              <w:rPr>
                <w:i w:val="0"/>
                <w:iCs w:val="0"/>
                <w:color w:val="auto"/>
                <w:highlight w:val="none"/>
              </w:rPr>
            </w:pPr>
          </w:p>
        </w:tc>
        <w:tc>
          <w:tcPr>
            <w:tcW w:w="1277" w:type="dxa"/>
            <w:vAlign w:val="center"/>
          </w:tcPr>
          <w:p w14:paraId="292E64B7">
            <w:pPr>
              <w:pStyle w:val="50"/>
              <w:jc w:val="center"/>
              <w:rPr>
                <w:i w:val="0"/>
                <w:iCs w:val="0"/>
                <w:color w:val="auto"/>
                <w:highlight w:val="none"/>
              </w:rPr>
            </w:pPr>
          </w:p>
        </w:tc>
        <w:tc>
          <w:tcPr>
            <w:tcW w:w="816" w:type="dxa"/>
            <w:vAlign w:val="center"/>
          </w:tcPr>
          <w:p w14:paraId="6F333150">
            <w:pPr>
              <w:pStyle w:val="50"/>
              <w:jc w:val="center"/>
              <w:rPr>
                <w:i w:val="0"/>
                <w:iCs w:val="0"/>
                <w:color w:val="auto"/>
                <w:highlight w:val="none"/>
              </w:rPr>
            </w:pPr>
          </w:p>
        </w:tc>
      </w:tr>
    </w:tbl>
    <w:p w14:paraId="51ED7B0D">
      <w:pPr>
        <w:rPr>
          <w:i w:val="0"/>
          <w:iCs w:val="0"/>
          <w:color w:val="auto"/>
          <w:highlight w:val="none"/>
        </w:rPr>
      </w:pPr>
      <w:r>
        <w:rPr>
          <w:i w:val="0"/>
          <w:iCs w:val="0"/>
          <w:color w:val="auto"/>
          <w:highlight w:val="none"/>
        </w:rPr>
        <w:br w:type="page"/>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23" w:name="_Toc13519"/>
      <w:r>
        <w:rPr>
          <w:rFonts w:hint="eastAsia" w:cstheme="majorBidi"/>
          <w:b/>
          <w:bCs/>
          <w:i w:val="0"/>
          <w:iCs w:val="0"/>
          <w:color w:val="auto"/>
          <w:kern w:val="2"/>
          <w:sz w:val="32"/>
          <w:szCs w:val="32"/>
          <w:highlight w:val="none"/>
          <w:lang w:val="en-US" w:eastAsia="zh-CN" w:bidi="ar-SA"/>
        </w:rPr>
        <w:t>九</w:t>
      </w:r>
      <w:r>
        <w:rPr>
          <w:rFonts w:hint="eastAsia" w:eastAsia="宋体" w:asciiTheme="majorHAnsi" w:hAnsiTheme="majorHAnsi" w:cstheme="majorBidi"/>
          <w:b/>
          <w:bCs/>
          <w:i w:val="0"/>
          <w:iCs w:val="0"/>
          <w:color w:val="auto"/>
          <w:kern w:val="2"/>
          <w:sz w:val="32"/>
          <w:szCs w:val="32"/>
          <w:highlight w:val="none"/>
          <w:lang w:val="en-US" w:eastAsia="zh-CN" w:bidi="ar-SA"/>
        </w:rPr>
        <w:t>、技术响应偏离表</w:t>
      </w:r>
      <w:bookmarkEnd w:id="1523"/>
    </w:p>
    <w:p w14:paraId="7EE50E6A">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10CF1BE4">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i w:val="0"/>
          <w:iCs w:val="0"/>
          <w:color w:val="auto"/>
          <w:szCs w:val="24"/>
          <w:highlight w:val="none"/>
        </w:rPr>
        <w:t xml:space="preserve">：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2175"/>
        <w:gridCol w:w="1555"/>
        <w:gridCol w:w="2045"/>
        <w:gridCol w:w="2045"/>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50"/>
              <w:jc w:val="center"/>
              <w:rPr>
                <w:i w:val="0"/>
                <w:iCs w:val="0"/>
                <w:color w:val="auto"/>
                <w:highlight w:val="none"/>
              </w:rPr>
            </w:pPr>
            <w:r>
              <w:rPr>
                <w:rFonts w:hint="eastAsia"/>
                <w:i w:val="0"/>
                <w:iCs w:val="0"/>
                <w:color w:val="auto"/>
                <w:highlight w:val="none"/>
              </w:rPr>
              <w:t>序号</w:t>
            </w:r>
          </w:p>
        </w:tc>
        <w:tc>
          <w:tcPr>
            <w:tcW w:w="1277" w:type="pct"/>
            <w:vAlign w:val="center"/>
          </w:tcPr>
          <w:p w14:paraId="0C5608DB">
            <w:pPr>
              <w:pStyle w:val="50"/>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文件技术要求条款</w:t>
            </w:r>
          </w:p>
        </w:tc>
        <w:tc>
          <w:tcPr>
            <w:tcW w:w="913" w:type="pct"/>
            <w:vAlign w:val="center"/>
          </w:tcPr>
          <w:p w14:paraId="0B845CF1">
            <w:pPr>
              <w:pStyle w:val="50"/>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文件内容</w:t>
            </w:r>
          </w:p>
          <w:p w14:paraId="4F79E073">
            <w:pPr>
              <w:pStyle w:val="50"/>
              <w:jc w:val="center"/>
              <w:rPr>
                <w:i w:val="0"/>
                <w:iCs w:val="0"/>
                <w:color w:val="auto"/>
                <w:highlight w:val="none"/>
              </w:rPr>
            </w:pPr>
            <w:r>
              <w:rPr>
                <w:rFonts w:hint="eastAsia"/>
                <w:i w:val="0"/>
                <w:iCs w:val="0"/>
                <w:color w:val="auto"/>
                <w:highlight w:val="none"/>
              </w:rPr>
              <w:t>对应简述</w:t>
            </w:r>
          </w:p>
        </w:tc>
        <w:tc>
          <w:tcPr>
            <w:tcW w:w="1200" w:type="pct"/>
            <w:vAlign w:val="center"/>
          </w:tcPr>
          <w:p w14:paraId="4AB4E9C3">
            <w:pPr>
              <w:pStyle w:val="50"/>
              <w:jc w:val="center"/>
              <w:rPr>
                <w:i w:val="0"/>
                <w:iCs w:val="0"/>
                <w:color w:val="auto"/>
                <w:highlight w:val="none"/>
              </w:rPr>
            </w:pPr>
            <w:r>
              <w:rPr>
                <w:rFonts w:hint="eastAsia"/>
                <w:i w:val="0"/>
                <w:iCs w:val="0"/>
                <w:color w:val="auto"/>
                <w:highlight w:val="none"/>
              </w:rPr>
              <w:t>响应情况</w:t>
            </w:r>
          </w:p>
        </w:tc>
        <w:tc>
          <w:tcPr>
            <w:tcW w:w="1200" w:type="pct"/>
            <w:vAlign w:val="center"/>
          </w:tcPr>
          <w:p w14:paraId="09D725B9">
            <w:pPr>
              <w:pStyle w:val="50"/>
              <w:jc w:val="center"/>
              <w:rPr>
                <w:i w:val="0"/>
                <w:iCs w:val="0"/>
                <w:color w:val="auto"/>
                <w:highlight w:val="none"/>
              </w:rPr>
            </w:pPr>
            <w:r>
              <w:rPr>
                <w:rFonts w:hint="eastAsia"/>
                <w:i w:val="0"/>
                <w:iCs w:val="0"/>
                <w:color w:val="auto"/>
                <w:highlight w:val="none"/>
                <w:lang w:val="en-US" w:eastAsia="zh-CN"/>
              </w:rPr>
              <w:t>证明资料</w:t>
            </w:r>
            <w:r>
              <w:rPr>
                <w:rFonts w:hint="eastAsia"/>
                <w:i w:val="0"/>
                <w:iCs w:val="0"/>
                <w:color w:val="auto"/>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50"/>
              <w:jc w:val="center"/>
              <w:rPr>
                <w:i w:val="0"/>
                <w:iCs w:val="0"/>
                <w:color w:val="auto"/>
                <w:highlight w:val="none"/>
              </w:rPr>
            </w:pPr>
            <w:r>
              <w:rPr>
                <w:rFonts w:hint="eastAsia"/>
                <w:i w:val="0"/>
                <w:iCs w:val="0"/>
                <w:color w:val="auto"/>
                <w:highlight w:val="none"/>
              </w:rPr>
              <w:t>1</w:t>
            </w:r>
          </w:p>
        </w:tc>
        <w:tc>
          <w:tcPr>
            <w:tcW w:w="1277" w:type="pct"/>
            <w:vAlign w:val="center"/>
          </w:tcPr>
          <w:p w14:paraId="69B288A0">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913" w:type="pct"/>
            <w:vAlign w:val="center"/>
          </w:tcPr>
          <w:p w14:paraId="0E04AD72">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200" w:type="pct"/>
            <w:vAlign w:val="center"/>
          </w:tcPr>
          <w:p w14:paraId="585AEA1C">
            <w:pPr>
              <w:pStyle w:val="50"/>
              <w:jc w:val="center"/>
              <w:rPr>
                <w:i w:val="0"/>
                <w:iCs w:val="0"/>
                <w:color w:val="auto"/>
                <w:highlight w:val="none"/>
              </w:rPr>
            </w:pPr>
            <w:r>
              <w:rPr>
                <w:rFonts w:hint="eastAsia"/>
                <w:i w:val="0"/>
                <w:iCs w:val="0"/>
                <w:color w:val="auto"/>
                <w:highlight w:val="none"/>
              </w:rPr>
              <w:t>响应/正偏离/负偏离</w:t>
            </w:r>
          </w:p>
        </w:tc>
        <w:tc>
          <w:tcPr>
            <w:tcW w:w="1200" w:type="pct"/>
            <w:vAlign w:val="center"/>
          </w:tcPr>
          <w:p w14:paraId="02D97874">
            <w:pPr>
              <w:pStyle w:val="50"/>
              <w:jc w:val="center"/>
              <w:rPr>
                <w:i w:val="0"/>
                <w:iCs w:val="0"/>
                <w:color w:val="auto"/>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50"/>
              <w:jc w:val="center"/>
              <w:rPr>
                <w:i w:val="0"/>
                <w:iCs w:val="0"/>
                <w:color w:val="auto"/>
                <w:highlight w:val="none"/>
              </w:rPr>
            </w:pPr>
            <w:r>
              <w:rPr>
                <w:rFonts w:hint="eastAsia"/>
                <w:i w:val="0"/>
                <w:iCs w:val="0"/>
                <w:color w:val="auto"/>
                <w:highlight w:val="none"/>
              </w:rPr>
              <w:t>2</w:t>
            </w:r>
          </w:p>
        </w:tc>
        <w:tc>
          <w:tcPr>
            <w:tcW w:w="1277" w:type="pct"/>
            <w:vAlign w:val="center"/>
          </w:tcPr>
          <w:p w14:paraId="30E52A7F">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913" w:type="pct"/>
            <w:vAlign w:val="center"/>
          </w:tcPr>
          <w:p w14:paraId="29A6C1E1">
            <w:pPr>
              <w:pStyle w:val="50"/>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200" w:type="pct"/>
            <w:vAlign w:val="center"/>
          </w:tcPr>
          <w:p w14:paraId="5D92E460">
            <w:pPr>
              <w:pStyle w:val="50"/>
              <w:jc w:val="center"/>
              <w:rPr>
                <w:i w:val="0"/>
                <w:iCs w:val="0"/>
                <w:color w:val="auto"/>
                <w:highlight w:val="none"/>
              </w:rPr>
            </w:pPr>
            <w:r>
              <w:rPr>
                <w:rFonts w:hint="eastAsia"/>
                <w:i w:val="0"/>
                <w:iCs w:val="0"/>
                <w:color w:val="auto"/>
                <w:highlight w:val="none"/>
              </w:rPr>
              <w:t>响应/正偏离/负偏离</w:t>
            </w:r>
          </w:p>
        </w:tc>
        <w:tc>
          <w:tcPr>
            <w:tcW w:w="1200" w:type="pct"/>
            <w:vAlign w:val="center"/>
          </w:tcPr>
          <w:p w14:paraId="63E16449">
            <w:pPr>
              <w:pStyle w:val="50"/>
              <w:jc w:val="center"/>
              <w:rPr>
                <w:i w:val="0"/>
                <w:iCs w:val="0"/>
                <w:color w:val="auto"/>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50"/>
              <w:jc w:val="center"/>
              <w:rPr>
                <w:i w:val="0"/>
                <w:iCs w:val="0"/>
                <w:color w:val="auto"/>
                <w:highlight w:val="none"/>
              </w:rPr>
            </w:pPr>
          </w:p>
        </w:tc>
        <w:tc>
          <w:tcPr>
            <w:tcW w:w="1277" w:type="pct"/>
            <w:vAlign w:val="center"/>
          </w:tcPr>
          <w:p w14:paraId="6D1DD644">
            <w:pPr>
              <w:pStyle w:val="50"/>
              <w:jc w:val="center"/>
              <w:rPr>
                <w:i w:val="0"/>
                <w:iCs w:val="0"/>
                <w:color w:val="auto"/>
                <w:highlight w:val="none"/>
              </w:rPr>
            </w:pPr>
          </w:p>
        </w:tc>
        <w:tc>
          <w:tcPr>
            <w:tcW w:w="913" w:type="pct"/>
            <w:vAlign w:val="center"/>
          </w:tcPr>
          <w:p w14:paraId="2982168B">
            <w:pPr>
              <w:pStyle w:val="50"/>
              <w:jc w:val="center"/>
              <w:rPr>
                <w:i w:val="0"/>
                <w:iCs w:val="0"/>
                <w:color w:val="auto"/>
                <w:highlight w:val="none"/>
              </w:rPr>
            </w:pPr>
          </w:p>
        </w:tc>
        <w:tc>
          <w:tcPr>
            <w:tcW w:w="1200" w:type="pct"/>
            <w:vAlign w:val="center"/>
          </w:tcPr>
          <w:p w14:paraId="78EC7D09">
            <w:pPr>
              <w:pStyle w:val="50"/>
              <w:jc w:val="center"/>
              <w:rPr>
                <w:i w:val="0"/>
                <w:iCs w:val="0"/>
                <w:color w:val="auto"/>
                <w:highlight w:val="none"/>
              </w:rPr>
            </w:pPr>
          </w:p>
        </w:tc>
        <w:tc>
          <w:tcPr>
            <w:tcW w:w="1200" w:type="pct"/>
            <w:vAlign w:val="center"/>
          </w:tcPr>
          <w:p w14:paraId="46369488">
            <w:pPr>
              <w:pStyle w:val="50"/>
              <w:jc w:val="center"/>
              <w:rPr>
                <w:i w:val="0"/>
                <w:iCs w:val="0"/>
                <w:color w:val="auto"/>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50"/>
              <w:jc w:val="center"/>
              <w:rPr>
                <w:i w:val="0"/>
                <w:iCs w:val="0"/>
                <w:color w:val="auto"/>
                <w:highlight w:val="none"/>
              </w:rPr>
            </w:pPr>
          </w:p>
        </w:tc>
        <w:tc>
          <w:tcPr>
            <w:tcW w:w="1277" w:type="pct"/>
            <w:vAlign w:val="center"/>
          </w:tcPr>
          <w:p w14:paraId="529041E2">
            <w:pPr>
              <w:pStyle w:val="50"/>
              <w:jc w:val="center"/>
              <w:rPr>
                <w:i w:val="0"/>
                <w:iCs w:val="0"/>
                <w:color w:val="auto"/>
                <w:highlight w:val="none"/>
              </w:rPr>
            </w:pPr>
          </w:p>
        </w:tc>
        <w:tc>
          <w:tcPr>
            <w:tcW w:w="913" w:type="pct"/>
            <w:vAlign w:val="center"/>
          </w:tcPr>
          <w:p w14:paraId="301E476D">
            <w:pPr>
              <w:pStyle w:val="50"/>
              <w:jc w:val="center"/>
              <w:rPr>
                <w:i w:val="0"/>
                <w:iCs w:val="0"/>
                <w:color w:val="auto"/>
                <w:highlight w:val="none"/>
              </w:rPr>
            </w:pPr>
          </w:p>
        </w:tc>
        <w:tc>
          <w:tcPr>
            <w:tcW w:w="1200" w:type="pct"/>
            <w:vAlign w:val="center"/>
          </w:tcPr>
          <w:p w14:paraId="06F8AED7">
            <w:pPr>
              <w:pStyle w:val="50"/>
              <w:jc w:val="center"/>
              <w:rPr>
                <w:i w:val="0"/>
                <w:iCs w:val="0"/>
                <w:color w:val="auto"/>
                <w:highlight w:val="none"/>
              </w:rPr>
            </w:pPr>
          </w:p>
        </w:tc>
        <w:tc>
          <w:tcPr>
            <w:tcW w:w="1200" w:type="pct"/>
            <w:vAlign w:val="center"/>
          </w:tcPr>
          <w:p w14:paraId="0CE9DF45">
            <w:pPr>
              <w:pStyle w:val="50"/>
              <w:jc w:val="center"/>
              <w:rPr>
                <w:i w:val="0"/>
                <w:iCs w:val="0"/>
                <w:color w:val="auto"/>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50"/>
              <w:jc w:val="center"/>
              <w:rPr>
                <w:i w:val="0"/>
                <w:iCs w:val="0"/>
                <w:color w:val="auto"/>
                <w:highlight w:val="none"/>
              </w:rPr>
            </w:pPr>
          </w:p>
        </w:tc>
        <w:tc>
          <w:tcPr>
            <w:tcW w:w="1277" w:type="pct"/>
            <w:vAlign w:val="center"/>
          </w:tcPr>
          <w:p w14:paraId="77107295">
            <w:pPr>
              <w:pStyle w:val="50"/>
              <w:jc w:val="center"/>
              <w:rPr>
                <w:i w:val="0"/>
                <w:iCs w:val="0"/>
                <w:color w:val="auto"/>
                <w:highlight w:val="none"/>
              </w:rPr>
            </w:pPr>
          </w:p>
        </w:tc>
        <w:tc>
          <w:tcPr>
            <w:tcW w:w="913" w:type="pct"/>
            <w:vAlign w:val="center"/>
          </w:tcPr>
          <w:p w14:paraId="4D01D78E">
            <w:pPr>
              <w:pStyle w:val="50"/>
              <w:jc w:val="center"/>
              <w:rPr>
                <w:i w:val="0"/>
                <w:iCs w:val="0"/>
                <w:color w:val="auto"/>
                <w:highlight w:val="none"/>
              </w:rPr>
            </w:pPr>
          </w:p>
        </w:tc>
        <w:tc>
          <w:tcPr>
            <w:tcW w:w="1200" w:type="pct"/>
            <w:vAlign w:val="center"/>
          </w:tcPr>
          <w:p w14:paraId="6D546857">
            <w:pPr>
              <w:pStyle w:val="50"/>
              <w:jc w:val="center"/>
              <w:rPr>
                <w:i w:val="0"/>
                <w:iCs w:val="0"/>
                <w:color w:val="auto"/>
                <w:highlight w:val="none"/>
              </w:rPr>
            </w:pPr>
          </w:p>
        </w:tc>
        <w:tc>
          <w:tcPr>
            <w:tcW w:w="1200" w:type="pct"/>
            <w:vAlign w:val="center"/>
          </w:tcPr>
          <w:p w14:paraId="2E1B7D0B">
            <w:pPr>
              <w:pStyle w:val="50"/>
              <w:jc w:val="center"/>
              <w:rPr>
                <w:i w:val="0"/>
                <w:iCs w:val="0"/>
                <w:color w:val="auto"/>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50"/>
              <w:jc w:val="center"/>
              <w:rPr>
                <w:i w:val="0"/>
                <w:iCs w:val="0"/>
                <w:color w:val="auto"/>
                <w:highlight w:val="none"/>
              </w:rPr>
            </w:pPr>
          </w:p>
        </w:tc>
        <w:tc>
          <w:tcPr>
            <w:tcW w:w="1277" w:type="pct"/>
            <w:vAlign w:val="center"/>
          </w:tcPr>
          <w:p w14:paraId="5C7E043B">
            <w:pPr>
              <w:pStyle w:val="50"/>
              <w:jc w:val="center"/>
              <w:rPr>
                <w:i w:val="0"/>
                <w:iCs w:val="0"/>
                <w:color w:val="auto"/>
                <w:highlight w:val="none"/>
              </w:rPr>
            </w:pPr>
          </w:p>
        </w:tc>
        <w:tc>
          <w:tcPr>
            <w:tcW w:w="913" w:type="pct"/>
            <w:vAlign w:val="center"/>
          </w:tcPr>
          <w:p w14:paraId="64166C7A">
            <w:pPr>
              <w:pStyle w:val="50"/>
              <w:jc w:val="center"/>
              <w:rPr>
                <w:i w:val="0"/>
                <w:iCs w:val="0"/>
                <w:color w:val="auto"/>
                <w:highlight w:val="none"/>
              </w:rPr>
            </w:pPr>
          </w:p>
        </w:tc>
        <w:tc>
          <w:tcPr>
            <w:tcW w:w="1200" w:type="pct"/>
            <w:vAlign w:val="center"/>
          </w:tcPr>
          <w:p w14:paraId="2817CCE5">
            <w:pPr>
              <w:pStyle w:val="50"/>
              <w:jc w:val="center"/>
              <w:rPr>
                <w:i w:val="0"/>
                <w:iCs w:val="0"/>
                <w:color w:val="auto"/>
                <w:highlight w:val="none"/>
              </w:rPr>
            </w:pPr>
          </w:p>
        </w:tc>
        <w:tc>
          <w:tcPr>
            <w:tcW w:w="1200" w:type="pct"/>
            <w:vAlign w:val="center"/>
          </w:tcPr>
          <w:p w14:paraId="184E3F96">
            <w:pPr>
              <w:pStyle w:val="50"/>
              <w:jc w:val="center"/>
              <w:rPr>
                <w:i w:val="0"/>
                <w:iCs w:val="0"/>
                <w:color w:val="auto"/>
                <w:highlight w:val="none"/>
              </w:rPr>
            </w:pPr>
          </w:p>
        </w:tc>
      </w:tr>
      <w:tr w14:paraId="60C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F23FFC2">
            <w:pPr>
              <w:pStyle w:val="50"/>
              <w:jc w:val="center"/>
              <w:rPr>
                <w:i w:val="0"/>
                <w:iCs w:val="0"/>
                <w:color w:val="auto"/>
                <w:highlight w:val="none"/>
              </w:rPr>
            </w:pPr>
          </w:p>
        </w:tc>
        <w:tc>
          <w:tcPr>
            <w:tcW w:w="1277" w:type="pct"/>
            <w:vAlign w:val="center"/>
          </w:tcPr>
          <w:p w14:paraId="565EC642">
            <w:pPr>
              <w:pStyle w:val="50"/>
              <w:jc w:val="center"/>
              <w:rPr>
                <w:i w:val="0"/>
                <w:iCs w:val="0"/>
                <w:color w:val="auto"/>
                <w:highlight w:val="none"/>
              </w:rPr>
            </w:pPr>
          </w:p>
        </w:tc>
        <w:tc>
          <w:tcPr>
            <w:tcW w:w="913" w:type="pct"/>
            <w:vAlign w:val="center"/>
          </w:tcPr>
          <w:p w14:paraId="4813DEC4">
            <w:pPr>
              <w:pStyle w:val="50"/>
              <w:jc w:val="center"/>
              <w:rPr>
                <w:i w:val="0"/>
                <w:iCs w:val="0"/>
                <w:color w:val="auto"/>
                <w:highlight w:val="none"/>
              </w:rPr>
            </w:pPr>
          </w:p>
        </w:tc>
        <w:tc>
          <w:tcPr>
            <w:tcW w:w="1200" w:type="pct"/>
            <w:vAlign w:val="center"/>
          </w:tcPr>
          <w:p w14:paraId="6FC99520">
            <w:pPr>
              <w:pStyle w:val="50"/>
              <w:jc w:val="center"/>
              <w:rPr>
                <w:i w:val="0"/>
                <w:iCs w:val="0"/>
                <w:color w:val="auto"/>
                <w:highlight w:val="none"/>
              </w:rPr>
            </w:pPr>
          </w:p>
        </w:tc>
        <w:tc>
          <w:tcPr>
            <w:tcW w:w="1200" w:type="pct"/>
            <w:vAlign w:val="center"/>
          </w:tcPr>
          <w:p w14:paraId="6C388A43">
            <w:pPr>
              <w:pStyle w:val="50"/>
              <w:jc w:val="center"/>
              <w:rPr>
                <w:i w:val="0"/>
                <w:iCs w:val="0"/>
                <w:color w:val="auto"/>
                <w:highlight w:val="none"/>
              </w:rPr>
            </w:pPr>
          </w:p>
        </w:tc>
      </w:tr>
      <w:tr w14:paraId="668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0AF398B2">
            <w:pPr>
              <w:pStyle w:val="50"/>
              <w:jc w:val="center"/>
              <w:rPr>
                <w:i w:val="0"/>
                <w:iCs w:val="0"/>
                <w:color w:val="auto"/>
                <w:highlight w:val="none"/>
              </w:rPr>
            </w:pPr>
          </w:p>
        </w:tc>
        <w:tc>
          <w:tcPr>
            <w:tcW w:w="1277" w:type="pct"/>
            <w:vAlign w:val="center"/>
          </w:tcPr>
          <w:p w14:paraId="7E5C6D21">
            <w:pPr>
              <w:pStyle w:val="50"/>
              <w:jc w:val="center"/>
              <w:rPr>
                <w:i w:val="0"/>
                <w:iCs w:val="0"/>
                <w:color w:val="auto"/>
                <w:highlight w:val="none"/>
              </w:rPr>
            </w:pPr>
          </w:p>
        </w:tc>
        <w:tc>
          <w:tcPr>
            <w:tcW w:w="913" w:type="pct"/>
            <w:vAlign w:val="center"/>
          </w:tcPr>
          <w:p w14:paraId="449C5534">
            <w:pPr>
              <w:pStyle w:val="50"/>
              <w:jc w:val="center"/>
              <w:rPr>
                <w:i w:val="0"/>
                <w:iCs w:val="0"/>
                <w:color w:val="auto"/>
                <w:highlight w:val="none"/>
              </w:rPr>
            </w:pPr>
          </w:p>
        </w:tc>
        <w:tc>
          <w:tcPr>
            <w:tcW w:w="1200" w:type="pct"/>
            <w:vAlign w:val="center"/>
          </w:tcPr>
          <w:p w14:paraId="43936EF1">
            <w:pPr>
              <w:pStyle w:val="50"/>
              <w:jc w:val="center"/>
              <w:rPr>
                <w:i w:val="0"/>
                <w:iCs w:val="0"/>
                <w:color w:val="auto"/>
                <w:highlight w:val="none"/>
              </w:rPr>
            </w:pPr>
          </w:p>
        </w:tc>
        <w:tc>
          <w:tcPr>
            <w:tcW w:w="1200" w:type="pct"/>
            <w:vAlign w:val="center"/>
          </w:tcPr>
          <w:p w14:paraId="015081ED">
            <w:pPr>
              <w:pStyle w:val="50"/>
              <w:jc w:val="center"/>
              <w:rPr>
                <w:i w:val="0"/>
                <w:iCs w:val="0"/>
                <w:color w:val="auto"/>
                <w:highlight w:val="none"/>
              </w:rPr>
            </w:pPr>
          </w:p>
        </w:tc>
      </w:tr>
      <w:tr w14:paraId="576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3BE7E344">
            <w:pPr>
              <w:pStyle w:val="50"/>
              <w:jc w:val="center"/>
              <w:rPr>
                <w:i w:val="0"/>
                <w:iCs w:val="0"/>
                <w:color w:val="auto"/>
                <w:highlight w:val="none"/>
              </w:rPr>
            </w:pPr>
          </w:p>
        </w:tc>
        <w:tc>
          <w:tcPr>
            <w:tcW w:w="1277" w:type="pct"/>
            <w:vAlign w:val="center"/>
          </w:tcPr>
          <w:p w14:paraId="4E7FED0B">
            <w:pPr>
              <w:pStyle w:val="50"/>
              <w:jc w:val="center"/>
              <w:rPr>
                <w:i w:val="0"/>
                <w:iCs w:val="0"/>
                <w:color w:val="auto"/>
                <w:highlight w:val="none"/>
              </w:rPr>
            </w:pPr>
          </w:p>
        </w:tc>
        <w:tc>
          <w:tcPr>
            <w:tcW w:w="913" w:type="pct"/>
            <w:vAlign w:val="center"/>
          </w:tcPr>
          <w:p w14:paraId="07398BD3">
            <w:pPr>
              <w:pStyle w:val="50"/>
              <w:jc w:val="center"/>
              <w:rPr>
                <w:i w:val="0"/>
                <w:iCs w:val="0"/>
                <w:color w:val="auto"/>
                <w:highlight w:val="none"/>
              </w:rPr>
            </w:pPr>
          </w:p>
        </w:tc>
        <w:tc>
          <w:tcPr>
            <w:tcW w:w="1200" w:type="pct"/>
            <w:vAlign w:val="center"/>
          </w:tcPr>
          <w:p w14:paraId="085E5102">
            <w:pPr>
              <w:pStyle w:val="50"/>
              <w:jc w:val="center"/>
              <w:rPr>
                <w:i w:val="0"/>
                <w:iCs w:val="0"/>
                <w:color w:val="auto"/>
                <w:highlight w:val="none"/>
              </w:rPr>
            </w:pPr>
          </w:p>
        </w:tc>
        <w:tc>
          <w:tcPr>
            <w:tcW w:w="1200" w:type="pct"/>
            <w:vAlign w:val="center"/>
          </w:tcPr>
          <w:p w14:paraId="74B87043">
            <w:pPr>
              <w:pStyle w:val="50"/>
              <w:jc w:val="center"/>
              <w:rPr>
                <w:i w:val="0"/>
                <w:iCs w:val="0"/>
                <w:color w:val="auto"/>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DBDBE11">
            <w:pPr>
              <w:pStyle w:val="50"/>
              <w:jc w:val="center"/>
              <w:rPr>
                <w:i w:val="0"/>
                <w:iCs w:val="0"/>
                <w:color w:val="auto"/>
                <w:highlight w:val="none"/>
              </w:rPr>
            </w:pPr>
          </w:p>
        </w:tc>
        <w:tc>
          <w:tcPr>
            <w:tcW w:w="1277" w:type="pct"/>
            <w:vAlign w:val="center"/>
          </w:tcPr>
          <w:p w14:paraId="1F11A7BE">
            <w:pPr>
              <w:pStyle w:val="50"/>
              <w:jc w:val="center"/>
              <w:rPr>
                <w:i w:val="0"/>
                <w:iCs w:val="0"/>
                <w:color w:val="auto"/>
                <w:highlight w:val="none"/>
              </w:rPr>
            </w:pPr>
          </w:p>
        </w:tc>
        <w:tc>
          <w:tcPr>
            <w:tcW w:w="913" w:type="pct"/>
            <w:vAlign w:val="center"/>
          </w:tcPr>
          <w:p w14:paraId="09342B6E">
            <w:pPr>
              <w:pStyle w:val="50"/>
              <w:jc w:val="center"/>
              <w:rPr>
                <w:i w:val="0"/>
                <w:iCs w:val="0"/>
                <w:color w:val="auto"/>
                <w:highlight w:val="none"/>
              </w:rPr>
            </w:pPr>
          </w:p>
        </w:tc>
        <w:tc>
          <w:tcPr>
            <w:tcW w:w="1200" w:type="pct"/>
            <w:vAlign w:val="center"/>
          </w:tcPr>
          <w:p w14:paraId="6742B646">
            <w:pPr>
              <w:pStyle w:val="50"/>
              <w:jc w:val="center"/>
              <w:rPr>
                <w:i w:val="0"/>
                <w:iCs w:val="0"/>
                <w:color w:val="auto"/>
                <w:highlight w:val="none"/>
              </w:rPr>
            </w:pPr>
          </w:p>
        </w:tc>
        <w:tc>
          <w:tcPr>
            <w:tcW w:w="1200" w:type="pct"/>
            <w:vAlign w:val="center"/>
          </w:tcPr>
          <w:p w14:paraId="4C72FCC2">
            <w:pPr>
              <w:pStyle w:val="50"/>
              <w:jc w:val="center"/>
              <w:rPr>
                <w:i w:val="0"/>
                <w:iCs w:val="0"/>
                <w:color w:val="auto"/>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50"/>
              <w:jc w:val="center"/>
              <w:rPr>
                <w:i w:val="0"/>
                <w:iCs w:val="0"/>
                <w:color w:val="auto"/>
                <w:highlight w:val="none"/>
              </w:rPr>
            </w:pPr>
            <w:r>
              <w:rPr>
                <w:rFonts w:hint="eastAsia"/>
                <w:i w:val="0"/>
                <w:iCs w:val="0"/>
                <w:color w:val="auto"/>
                <w:highlight w:val="none"/>
              </w:rPr>
              <w:t>……</w:t>
            </w:r>
          </w:p>
        </w:tc>
        <w:tc>
          <w:tcPr>
            <w:tcW w:w="1277" w:type="pct"/>
            <w:vAlign w:val="center"/>
          </w:tcPr>
          <w:p w14:paraId="7D0AF02A">
            <w:pPr>
              <w:pStyle w:val="50"/>
              <w:jc w:val="center"/>
              <w:rPr>
                <w:i w:val="0"/>
                <w:iCs w:val="0"/>
                <w:color w:val="auto"/>
                <w:highlight w:val="none"/>
              </w:rPr>
            </w:pPr>
            <w:r>
              <w:rPr>
                <w:rFonts w:hint="eastAsia"/>
                <w:i w:val="0"/>
                <w:iCs w:val="0"/>
                <w:color w:val="auto"/>
                <w:highlight w:val="none"/>
              </w:rPr>
              <w:t>…………</w:t>
            </w:r>
          </w:p>
        </w:tc>
        <w:tc>
          <w:tcPr>
            <w:tcW w:w="913" w:type="pct"/>
            <w:vAlign w:val="center"/>
          </w:tcPr>
          <w:p w14:paraId="6EC8C4F3">
            <w:pPr>
              <w:pStyle w:val="50"/>
              <w:jc w:val="center"/>
              <w:rPr>
                <w:i w:val="0"/>
                <w:iCs w:val="0"/>
                <w:color w:val="auto"/>
                <w:highlight w:val="none"/>
              </w:rPr>
            </w:pPr>
            <w:r>
              <w:rPr>
                <w:rFonts w:hint="eastAsia"/>
                <w:i w:val="0"/>
                <w:iCs w:val="0"/>
                <w:color w:val="auto"/>
                <w:highlight w:val="none"/>
              </w:rPr>
              <w:t>………………</w:t>
            </w:r>
          </w:p>
        </w:tc>
        <w:tc>
          <w:tcPr>
            <w:tcW w:w="1200" w:type="pct"/>
            <w:vAlign w:val="center"/>
          </w:tcPr>
          <w:p w14:paraId="59EB3DF9">
            <w:pPr>
              <w:pStyle w:val="50"/>
              <w:jc w:val="center"/>
              <w:rPr>
                <w:i w:val="0"/>
                <w:iCs w:val="0"/>
                <w:color w:val="auto"/>
                <w:highlight w:val="none"/>
              </w:rPr>
            </w:pPr>
            <w:r>
              <w:rPr>
                <w:rFonts w:hint="eastAsia"/>
                <w:i w:val="0"/>
                <w:iCs w:val="0"/>
                <w:color w:val="auto"/>
                <w:highlight w:val="none"/>
              </w:rPr>
              <w:t>…………</w:t>
            </w:r>
          </w:p>
        </w:tc>
        <w:tc>
          <w:tcPr>
            <w:tcW w:w="1200" w:type="pct"/>
            <w:vAlign w:val="center"/>
          </w:tcPr>
          <w:p w14:paraId="1BF96619">
            <w:pPr>
              <w:pStyle w:val="50"/>
              <w:jc w:val="center"/>
              <w:rPr>
                <w:i w:val="0"/>
                <w:iCs w:val="0"/>
                <w:color w:val="auto"/>
                <w:highlight w:val="none"/>
              </w:rPr>
            </w:pPr>
          </w:p>
        </w:tc>
      </w:tr>
    </w:tbl>
    <w:p w14:paraId="48CF14C4">
      <w:pPr>
        <w:ind w:firstLine="480" w:firstLineChars="200"/>
        <w:rPr>
          <w:rFonts w:hint="eastAsia" w:cs="仿宋_GB2312"/>
          <w:i w:val="0"/>
          <w:iCs w:val="0"/>
          <w:color w:val="auto"/>
          <w:szCs w:val="24"/>
          <w:highlight w:val="none"/>
        </w:rPr>
      </w:pPr>
    </w:p>
    <w:p w14:paraId="2B5EBACC">
      <w:pPr>
        <w:ind w:firstLine="420" w:firstLineChars="200"/>
        <w:rPr>
          <w:rFonts w:cs="仿宋_GB2312"/>
          <w:i w:val="0"/>
          <w:iCs w:val="0"/>
          <w:color w:val="auto"/>
          <w:sz w:val="21"/>
          <w:szCs w:val="21"/>
          <w:highlight w:val="none"/>
        </w:rPr>
      </w:pPr>
      <w:r>
        <w:rPr>
          <w:rFonts w:hint="eastAsia" w:cs="仿宋_GB2312"/>
          <w:i w:val="0"/>
          <w:iCs w:val="0"/>
          <w:color w:val="auto"/>
          <w:sz w:val="21"/>
          <w:szCs w:val="21"/>
          <w:highlight w:val="none"/>
        </w:rPr>
        <w:t>说明：</w:t>
      </w:r>
      <w:r>
        <w:rPr>
          <w:rFonts w:hint="eastAsia" w:cs="仿宋_GB2312"/>
          <w:i w:val="0"/>
          <w:iCs w:val="0"/>
          <w:color w:val="auto"/>
          <w:sz w:val="21"/>
          <w:szCs w:val="21"/>
          <w:highlight w:val="none"/>
          <w:lang w:val="en-US" w:eastAsia="zh-CN"/>
        </w:rPr>
        <w:t>供应商</w:t>
      </w:r>
      <w:r>
        <w:rPr>
          <w:rFonts w:hint="eastAsia" w:cs="仿宋_GB2312"/>
          <w:i w:val="0"/>
          <w:iCs w:val="0"/>
          <w:color w:val="auto"/>
          <w:sz w:val="21"/>
          <w:szCs w:val="21"/>
          <w:highlight w:val="none"/>
        </w:rPr>
        <w:t>应按照</w:t>
      </w:r>
      <w:r>
        <w:rPr>
          <w:rFonts w:hint="eastAsia"/>
          <w:i w:val="0"/>
          <w:iCs w:val="0"/>
          <w:color w:val="auto"/>
          <w:sz w:val="21"/>
          <w:szCs w:val="21"/>
          <w:highlight w:val="none"/>
          <w:lang w:val="en-US" w:eastAsia="zh-CN"/>
        </w:rPr>
        <w:t>竞争性磋商</w:t>
      </w:r>
      <w:r>
        <w:rPr>
          <w:rFonts w:hint="eastAsia" w:cs="仿宋_GB2312"/>
          <w:i w:val="0"/>
          <w:iCs w:val="0"/>
          <w:color w:val="auto"/>
          <w:sz w:val="21"/>
          <w:szCs w:val="21"/>
          <w:highlight w:val="none"/>
        </w:rPr>
        <w:t xml:space="preserve">文件“第三章 </w:t>
      </w:r>
      <w:r>
        <w:rPr>
          <w:rFonts w:hint="eastAsia" w:cs="仿宋_GB2312"/>
          <w:i w:val="0"/>
          <w:iCs w:val="0"/>
          <w:color w:val="auto"/>
          <w:sz w:val="21"/>
          <w:szCs w:val="21"/>
          <w:highlight w:val="none"/>
          <w:lang w:val="en-US" w:eastAsia="zh-CN"/>
        </w:rPr>
        <w:t>项目</w:t>
      </w:r>
      <w:r>
        <w:rPr>
          <w:rFonts w:hint="eastAsia" w:cs="仿宋_GB2312"/>
          <w:i w:val="0"/>
          <w:iCs w:val="0"/>
          <w:color w:val="auto"/>
          <w:sz w:val="21"/>
          <w:szCs w:val="21"/>
          <w:highlight w:val="none"/>
        </w:rPr>
        <w:t>采购需求</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lang w:val="en-US" w:eastAsia="zh-CN"/>
        </w:rPr>
        <w:t>中的</w:t>
      </w:r>
      <w:r>
        <w:rPr>
          <w:rFonts w:hint="eastAsia" w:cs="仿宋_GB2312"/>
          <w:i w:val="0"/>
          <w:iCs w:val="0"/>
          <w:color w:val="auto"/>
          <w:sz w:val="21"/>
          <w:szCs w:val="21"/>
          <w:highlight w:val="none"/>
        </w:rPr>
        <w:t>技术要求填写</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lang w:val="en-US" w:eastAsia="zh-CN"/>
        </w:rPr>
        <w:t>“响应/正偏离/负偏离”应据实填写“响应”、“正偏离”或“负偏离”</w:t>
      </w:r>
      <w:r>
        <w:rPr>
          <w:rFonts w:hint="eastAsia" w:cs="仿宋_GB2312"/>
          <w:i w:val="0"/>
          <w:iCs w:val="0"/>
          <w:color w:val="auto"/>
          <w:sz w:val="21"/>
          <w:szCs w:val="21"/>
          <w:highlight w:val="none"/>
        </w:rPr>
        <w:t>。</w:t>
      </w:r>
    </w:p>
    <w:p w14:paraId="12AEBD40">
      <w:pPr>
        <w:ind w:firstLine="480" w:firstLineChars="200"/>
        <w:rPr>
          <w:rFonts w:cs="仿宋_GB2312"/>
          <w:i w:val="0"/>
          <w:iCs w:val="0"/>
          <w:color w:val="auto"/>
          <w:szCs w:val="24"/>
          <w:highlight w:val="none"/>
        </w:rPr>
      </w:pPr>
    </w:p>
    <w:p w14:paraId="53059121">
      <w:pPr>
        <w:ind w:firstLine="480" w:firstLineChars="200"/>
        <w:rPr>
          <w:rFonts w:cs="仿宋_GB2312"/>
          <w:i w:val="0"/>
          <w:iCs w:val="0"/>
          <w:color w:val="auto"/>
          <w:szCs w:val="24"/>
          <w:highlight w:val="none"/>
        </w:rPr>
      </w:pP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名称：</w:t>
      </w:r>
    </w:p>
    <w:p w14:paraId="27EF6D84">
      <w:pPr>
        <w:ind w:firstLine="420"/>
        <w:rPr>
          <w:rFonts w:cs="仿宋_GB2312"/>
          <w:i w:val="0"/>
          <w:iCs w:val="0"/>
          <w:color w:val="auto"/>
          <w:szCs w:val="24"/>
          <w:highlight w:val="none"/>
        </w:rPr>
      </w:pPr>
      <w:r>
        <w:rPr>
          <w:rFonts w:hint="eastAsia" w:cs="仿宋_GB2312"/>
          <w:i w:val="0"/>
          <w:iCs w:val="0"/>
          <w:color w:val="auto"/>
          <w:szCs w:val="24"/>
          <w:highlight w:val="none"/>
        </w:rPr>
        <w:t>日      期：</w:t>
      </w:r>
    </w:p>
    <w:p w14:paraId="57D8F886">
      <w:pPr>
        <w:ind w:firstLine="420"/>
        <w:rPr>
          <w:rFonts w:cs="仿宋_GB2312"/>
          <w:i w:val="0"/>
          <w:iCs w:val="0"/>
          <w:color w:val="auto"/>
          <w:szCs w:val="24"/>
          <w:highlight w:val="none"/>
        </w:rPr>
      </w:pPr>
    </w:p>
    <w:p w14:paraId="4F204CD5">
      <w:pPr>
        <w:ind w:firstLine="420"/>
        <w:rPr>
          <w:rFonts w:cs="仿宋_GB2312"/>
          <w:i w:val="0"/>
          <w:iCs w:val="0"/>
          <w:color w:val="auto"/>
          <w:szCs w:val="24"/>
          <w:highlight w:val="none"/>
        </w:rPr>
      </w:pPr>
    </w:p>
    <w:p w14:paraId="49A1A5E5">
      <w:pPr>
        <w:ind w:firstLine="420"/>
        <w:rPr>
          <w:rFonts w:cs="仿宋_GB2312"/>
          <w:i w:val="0"/>
          <w:iCs w:val="0"/>
          <w:color w:val="auto"/>
          <w:szCs w:val="24"/>
          <w:highlight w:val="none"/>
        </w:rPr>
      </w:pPr>
      <w:r>
        <w:rPr>
          <w:rFonts w:cs="仿宋_GB2312"/>
          <w:i w:val="0"/>
          <w:iCs w:val="0"/>
          <w:color w:val="auto"/>
          <w:szCs w:val="24"/>
          <w:highlight w:val="none"/>
        </w:rPr>
        <w:br w:type="page"/>
      </w:r>
    </w:p>
    <w:p w14:paraId="600EA7EE">
      <w:pPr>
        <w:pStyle w:val="17"/>
        <w:spacing w:line="360" w:lineRule="auto"/>
        <w:jc w:val="center"/>
        <w:rPr>
          <w:rFonts w:hint="eastAsia" w:ascii="方正小标宋_GBK" w:hAnsi="方正小标宋_GBK" w:eastAsia="方正小标宋_GBK" w:cs="方正小标宋_GBK"/>
          <w:bCs/>
          <w:i w:val="0"/>
          <w:iCs w:val="0"/>
          <w:color w:val="auto"/>
          <w:sz w:val="36"/>
          <w:szCs w:val="36"/>
          <w:highlight w:val="none"/>
          <w:lang w:val="en-US" w:eastAsia="zh-CN"/>
        </w:rPr>
      </w:pP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24" w:name="_Toc8263"/>
      <w:r>
        <w:rPr>
          <w:rFonts w:hint="eastAsia" w:cstheme="majorBidi"/>
          <w:b/>
          <w:bCs/>
          <w:i w:val="0"/>
          <w:iCs w:val="0"/>
          <w:color w:val="auto"/>
          <w:kern w:val="2"/>
          <w:sz w:val="32"/>
          <w:szCs w:val="32"/>
          <w:highlight w:val="none"/>
          <w:lang w:val="en-US" w:eastAsia="zh-CN" w:bidi="ar-SA"/>
        </w:rPr>
        <w:t>十</w:t>
      </w:r>
      <w:r>
        <w:rPr>
          <w:rFonts w:hint="eastAsia" w:eastAsia="宋体" w:asciiTheme="majorHAnsi" w:hAnsiTheme="majorHAnsi" w:cstheme="majorBidi"/>
          <w:b/>
          <w:bCs/>
          <w:i w:val="0"/>
          <w:iCs w:val="0"/>
          <w:color w:val="auto"/>
          <w:kern w:val="2"/>
          <w:sz w:val="32"/>
          <w:szCs w:val="32"/>
          <w:highlight w:val="none"/>
          <w:lang w:val="en-US" w:eastAsia="zh-CN" w:bidi="ar-SA"/>
        </w:rPr>
        <w:t>、技术方案</w:t>
      </w:r>
      <w:bookmarkEnd w:id="1524"/>
    </w:p>
    <w:p w14:paraId="3878D3F5">
      <w:pPr>
        <w:pStyle w:val="40"/>
        <w:rPr>
          <w:i w:val="0"/>
          <w:iCs w:val="0"/>
          <w:color w:val="auto"/>
          <w:highlight w:val="none"/>
        </w:rPr>
      </w:pPr>
      <w:r>
        <w:rPr>
          <w:rFonts w:hint="eastAsia"/>
          <w:i w:val="0"/>
          <w:iCs w:val="0"/>
          <w:color w:val="auto"/>
          <w:highlight w:val="none"/>
          <w:lang w:val="en-US" w:eastAsia="zh-CN"/>
        </w:rPr>
        <w:t>供应商</w:t>
      </w:r>
      <w:r>
        <w:rPr>
          <w:rFonts w:hint="eastAsia"/>
          <w:i w:val="0"/>
          <w:iCs w:val="0"/>
          <w:color w:val="auto"/>
          <w:highlight w:val="none"/>
        </w:rPr>
        <w:t>应按照</w:t>
      </w:r>
      <w:r>
        <w:rPr>
          <w:rFonts w:hint="eastAsia"/>
          <w:i w:val="0"/>
          <w:iCs w:val="0"/>
          <w:color w:val="auto"/>
          <w:highlight w:val="none"/>
          <w:lang w:val="en-US" w:eastAsia="zh-CN"/>
        </w:rPr>
        <w:t>竞争性磋商</w:t>
      </w:r>
      <w:r>
        <w:rPr>
          <w:rFonts w:hint="eastAsia"/>
          <w:i w:val="0"/>
          <w:iCs w:val="0"/>
          <w:color w:val="auto"/>
          <w:highlight w:val="none"/>
        </w:rPr>
        <w:t>文件的要求，提供详细的</w:t>
      </w:r>
      <w:r>
        <w:rPr>
          <w:rFonts w:hint="eastAsia"/>
          <w:i w:val="0"/>
          <w:iCs w:val="0"/>
          <w:color w:val="auto"/>
          <w:highlight w:val="none"/>
          <w:lang w:val="en-US" w:eastAsia="zh-CN"/>
        </w:rPr>
        <w:t>工程实施及相关</w:t>
      </w:r>
      <w:r>
        <w:rPr>
          <w:rFonts w:hint="eastAsia"/>
          <w:i w:val="0"/>
          <w:iCs w:val="0"/>
          <w:color w:val="auto"/>
          <w:highlight w:val="none"/>
        </w:rPr>
        <w:t>服务方案，包括文字描述或图表显示。格式自拟。</w:t>
      </w:r>
    </w:p>
    <w:p w14:paraId="7EE77353">
      <w:pPr>
        <w:pStyle w:val="40"/>
        <w:rPr>
          <w:i w:val="0"/>
          <w:iCs w:val="0"/>
          <w:color w:val="auto"/>
          <w:highlight w:val="none"/>
        </w:rPr>
      </w:pPr>
      <w:r>
        <w:rPr>
          <w:i w:val="0"/>
          <w:iCs w:val="0"/>
          <w:color w:val="auto"/>
          <w:highlight w:val="none"/>
        </w:rPr>
        <w:br w:type="page"/>
      </w:r>
    </w:p>
    <w:p w14:paraId="7AD86D6F">
      <w:pPr>
        <w:pStyle w:val="17"/>
        <w:spacing w:line="360" w:lineRule="auto"/>
        <w:jc w:val="center"/>
        <w:rPr>
          <w:rFonts w:hint="eastAsia" w:cstheme="minorBidi"/>
          <w:b/>
          <w:bCs/>
          <w:i w:val="0"/>
          <w:iCs w:val="0"/>
          <w:color w:val="auto"/>
          <w:kern w:val="2"/>
          <w:sz w:val="44"/>
          <w:szCs w:val="44"/>
          <w:highlight w:val="none"/>
          <w:lang w:val="en-US" w:eastAsia="zh-CN" w:bidi="ar-SA"/>
        </w:rPr>
      </w:pPr>
    </w:p>
    <w:p w14:paraId="68D392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25" w:name="_Toc10874"/>
      <w:r>
        <w:rPr>
          <w:rFonts w:hint="eastAsia" w:eastAsia="宋体" w:asciiTheme="majorHAnsi" w:hAnsiTheme="majorHAnsi" w:cstheme="majorBidi"/>
          <w:b/>
          <w:bCs/>
          <w:i w:val="0"/>
          <w:iCs w:val="0"/>
          <w:color w:val="auto"/>
          <w:kern w:val="2"/>
          <w:sz w:val="32"/>
          <w:szCs w:val="32"/>
          <w:highlight w:val="none"/>
          <w:lang w:val="en-US" w:eastAsia="zh-CN" w:bidi="ar-SA"/>
        </w:rPr>
        <w:t>十</w:t>
      </w:r>
      <w:r>
        <w:rPr>
          <w:rFonts w:hint="eastAsia" w:cstheme="majorBidi"/>
          <w:b/>
          <w:bCs/>
          <w:i w:val="0"/>
          <w:iCs w:val="0"/>
          <w:color w:val="auto"/>
          <w:kern w:val="2"/>
          <w:sz w:val="32"/>
          <w:szCs w:val="32"/>
          <w:highlight w:val="none"/>
          <w:lang w:val="en-US" w:eastAsia="zh-CN" w:bidi="ar-SA"/>
        </w:rPr>
        <w:t>一</w:t>
      </w:r>
      <w:r>
        <w:rPr>
          <w:rFonts w:hint="eastAsia" w:eastAsia="宋体" w:asciiTheme="majorHAnsi" w:hAnsiTheme="majorHAnsi" w:cstheme="majorBidi"/>
          <w:b/>
          <w:bCs/>
          <w:i w:val="0"/>
          <w:iCs w:val="0"/>
          <w:color w:val="auto"/>
          <w:kern w:val="2"/>
          <w:sz w:val="32"/>
          <w:szCs w:val="32"/>
          <w:highlight w:val="none"/>
          <w:lang w:val="en-US" w:eastAsia="zh-CN" w:bidi="ar-SA"/>
        </w:rPr>
        <w:t>、其他文件</w:t>
      </w:r>
      <w:bookmarkEnd w:id="1525"/>
    </w:p>
    <w:p w14:paraId="6EF40482">
      <w:pPr>
        <w:pStyle w:val="40"/>
        <w:ind w:left="0" w:leftChars="0" w:firstLine="0" w:firstLineChars="0"/>
        <w:rPr>
          <w:rFonts w:hint="eastAsia"/>
          <w:b/>
          <w:bCs/>
          <w:iCs/>
          <w:color w:val="auto"/>
          <w:sz w:val="24"/>
          <w:szCs w:val="24"/>
          <w:highlight w:val="none"/>
          <w:shd w:val="clear" w:color="auto" w:fill="FFFFFF" w:themeFill="background1"/>
          <w:lang w:val="zh-CN" w:eastAsia="zh-CN"/>
        </w:rPr>
      </w:pPr>
      <w:r>
        <w:rPr>
          <w:rFonts w:hint="eastAsia"/>
          <w:b/>
          <w:bCs/>
          <w:iCs/>
          <w:color w:val="auto"/>
          <w:sz w:val="24"/>
          <w:szCs w:val="24"/>
          <w:highlight w:val="none"/>
          <w:shd w:val="clear" w:color="auto" w:fill="FFFFFF" w:themeFill="background1"/>
          <w:lang w:val="en-US" w:eastAsia="zh-CN"/>
        </w:rPr>
        <w:t>（一）竞争性磋商</w:t>
      </w:r>
      <w:r>
        <w:rPr>
          <w:rFonts w:hint="eastAsia"/>
          <w:b/>
          <w:bCs/>
          <w:iCs/>
          <w:color w:val="auto"/>
          <w:sz w:val="24"/>
          <w:szCs w:val="24"/>
          <w:highlight w:val="none"/>
          <w:shd w:val="clear" w:color="auto" w:fill="FFFFFF" w:themeFill="background1"/>
          <w:lang w:val="zh-CN" w:eastAsia="zh-CN"/>
        </w:rPr>
        <w:t>文件要求提供的其它商务、技术资料和证明材料；</w:t>
      </w:r>
    </w:p>
    <w:p w14:paraId="161DD85C">
      <w:pPr>
        <w:pStyle w:val="40"/>
        <w:rPr>
          <w:rFonts w:hint="eastAsia" w:ascii="宋体" w:hAnsi="宋体" w:eastAsia="宋体" w:cs="宋体"/>
          <w:b/>
          <w:bCs/>
          <w:color w:val="auto"/>
          <w:sz w:val="24"/>
          <w:szCs w:val="24"/>
          <w:highlight w:val="none"/>
          <w:lang w:val="en-US" w:eastAsia="zh-CN"/>
        </w:rPr>
      </w:pPr>
    </w:p>
    <w:p w14:paraId="48C74519">
      <w:pPr>
        <w:pStyle w:val="4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1.1供应商信息采集表</w:t>
      </w:r>
    </w:p>
    <w:tbl>
      <w:tblPr>
        <w:tblStyle w:val="34"/>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95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29648684">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59089373">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5F046EFB">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6134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DE14BE8">
            <w:pPr>
              <w:pStyle w:val="40"/>
              <w:rPr>
                <w:rFonts w:hint="eastAsia" w:ascii="宋体" w:hAnsi="宋体" w:eastAsia="宋体" w:cs="宋体"/>
                <w:color w:val="auto"/>
                <w:sz w:val="24"/>
                <w:szCs w:val="24"/>
                <w:highlight w:val="none"/>
                <w:vertAlign w:val="baseline"/>
                <w:lang w:val="en-US" w:eastAsia="zh-CN"/>
              </w:rPr>
            </w:pPr>
          </w:p>
        </w:tc>
        <w:tc>
          <w:tcPr>
            <w:tcW w:w="2841" w:type="dxa"/>
          </w:tcPr>
          <w:p w14:paraId="2128E8D2">
            <w:pPr>
              <w:pStyle w:val="40"/>
              <w:rPr>
                <w:rFonts w:hint="eastAsia" w:ascii="宋体" w:hAnsi="宋体" w:eastAsia="宋体" w:cs="宋体"/>
                <w:color w:val="auto"/>
                <w:sz w:val="24"/>
                <w:szCs w:val="24"/>
                <w:highlight w:val="none"/>
                <w:vertAlign w:val="baseline"/>
                <w:lang w:val="en-US" w:eastAsia="zh-CN"/>
              </w:rPr>
            </w:pPr>
          </w:p>
        </w:tc>
        <w:tc>
          <w:tcPr>
            <w:tcW w:w="2743" w:type="dxa"/>
          </w:tcPr>
          <w:p w14:paraId="2062793F">
            <w:pPr>
              <w:pStyle w:val="40"/>
              <w:rPr>
                <w:rFonts w:hint="eastAsia" w:ascii="宋体" w:hAnsi="宋体" w:eastAsia="宋体" w:cs="宋体"/>
                <w:color w:val="auto"/>
                <w:sz w:val="24"/>
                <w:szCs w:val="24"/>
                <w:highlight w:val="none"/>
                <w:vertAlign w:val="baseline"/>
                <w:lang w:val="en-US" w:eastAsia="zh-CN"/>
              </w:rPr>
            </w:pPr>
          </w:p>
        </w:tc>
      </w:tr>
      <w:tr w14:paraId="211A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3E7A68A">
            <w:pPr>
              <w:pStyle w:val="40"/>
              <w:rPr>
                <w:rFonts w:hint="eastAsia" w:ascii="宋体" w:hAnsi="宋体" w:eastAsia="宋体" w:cs="宋体"/>
                <w:color w:val="auto"/>
                <w:sz w:val="24"/>
                <w:szCs w:val="24"/>
                <w:highlight w:val="none"/>
                <w:vertAlign w:val="baseline"/>
                <w:lang w:val="en-US" w:eastAsia="zh-CN"/>
              </w:rPr>
            </w:pPr>
          </w:p>
        </w:tc>
        <w:tc>
          <w:tcPr>
            <w:tcW w:w="2841" w:type="dxa"/>
          </w:tcPr>
          <w:p w14:paraId="1C079DA0">
            <w:pPr>
              <w:pStyle w:val="40"/>
              <w:rPr>
                <w:rFonts w:hint="eastAsia" w:ascii="宋体" w:hAnsi="宋体" w:eastAsia="宋体" w:cs="宋体"/>
                <w:color w:val="auto"/>
                <w:sz w:val="24"/>
                <w:szCs w:val="24"/>
                <w:highlight w:val="none"/>
                <w:vertAlign w:val="baseline"/>
                <w:lang w:val="en-US" w:eastAsia="zh-CN"/>
              </w:rPr>
            </w:pPr>
          </w:p>
        </w:tc>
        <w:tc>
          <w:tcPr>
            <w:tcW w:w="2743" w:type="dxa"/>
          </w:tcPr>
          <w:p w14:paraId="299E6465">
            <w:pPr>
              <w:pStyle w:val="40"/>
              <w:rPr>
                <w:rFonts w:hint="eastAsia" w:ascii="宋体" w:hAnsi="宋体" w:eastAsia="宋体" w:cs="宋体"/>
                <w:color w:val="auto"/>
                <w:sz w:val="24"/>
                <w:szCs w:val="24"/>
                <w:highlight w:val="none"/>
                <w:vertAlign w:val="baseline"/>
                <w:lang w:val="en-US" w:eastAsia="zh-CN"/>
              </w:rPr>
            </w:pPr>
          </w:p>
        </w:tc>
      </w:tr>
      <w:tr w14:paraId="4E8F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46698E8">
            <w:pPr>
              <w:pStyle w:val="40"/>
              <w:rPr>
                <w:rFonts w:hint="eastAsia" w:ascii="宋体" w:hAnsi="宋体" w:eastAsia="宋体" w:cs="宋体"/>
                <w:color w:val="auto"/>
                <w:sz w:val="24"/>
                <w:szCs w:val="24"/>
                <w:highlight w:val="none"/>
                <w:vertAlign w:val="baseline"/>
                <w:lang w:val="en-US" w:eastAsia="zh-CN"/>
              </w:rPr>
            </w:pPr>
          </w:p>
        </w:tc>
        <w:tc>
          <w:tcPr>
            <w:tcW w:w="2841" w:type="dxa"/>
          </w:tcPr>
          <w:p w14:paraId="5DE31D06">
            <w:pPr>
              <w:pStyle w:val="40"/>
              <w:rPr>
                <w:rFonts w:hint="eastAsia" w:ascii="宋体" w:hAnsi="宋体" w:eastAsia="宋体" w:cs="宋体"/>
                <w:color w:val="auto"/>
                <w:sz w:val="24"/>
                <w:szCs w:val="24"/>
                <w:highlight w:val="none"/>
                <w:vertAlign w:val="baseline"/>
                <w:lang w:val="en-US" w:eastAsia="zh-CN"/>
              </w:rPr>
            </w:pPr>
          </w:p>
        </w:tc>
        <w:tc>
          <w:tcPr>
            <w:tcW w:w="2743" w:type="dxa"/>
          </w:tcPr>
          <w:p w14:paraId="2EBF2A2E">
            <w:pPr>
              <w:pStyle w:val="40"/>
              <w:rPr>
                <w:rFonts w:hint="eastAsia" w:ascii="宋体" w:hAnsi="宋体" w:eastAsia="宋体" w:cs="宋体"/>
                <w:color w:val="auto"/>
                <w:sz w:val="24"/>
                <w:szCs w:val="24"/>
                <w:highlight w:val="none"/>
                <w:vertAlign w:val="baseline"/>
                <w:lang w:val="en-US" w:eastAsia="zh-CN"/>
              </w:rPr>
            </w:pPr>
          </w:p>
        </w:tc>
      </w:tr>
      <w:tr w14:paraId="1F66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2C8B53D">
            <w:pPr>
              <w:pStyle w:val="40"/>
              <w:rPr>
                <w:rFonts w:hint="eastAsia" w:ascii="宋体" w:hAnsi="宋体" w:eastAsia="宋体" w:cs="宋体"/>
                <w:color w:val="auto"/>
                <w:sz w:val="24"/>
                <w:szCs w:val="24"/>
                <w:highlight w:val="none"/>
                <w:vertAlign w:val="baseline"/>
                <w:lang w:val="en-US" w:eastAsia="zh-CN"/>
              </w:rPr>
            </w:pPr>
          </w:p>
        </w:tc>
        <w:tc>
          <w:tcPr>
            <w:tcW w:w="2841" w:type="dxa"/>
          </w:tcPr>
          <w:p w14:paraId="0AB8EE25">
            <w:pPr>
              <w:pStyle w:val="40"/>
              <w:rPr>
                <w:rFonts w:hint="eastAsia" w:ascii="宋体" w:hAnsi="宋体" w:eastAsia="宋体" w:cs="宋体"/>
                <w:color w:val="auto"/>
                <w:sz w:val="24"/>
                <w:szCs w:val="24"/>
                <w:highlight w:val="none"/>
                <w:vertAlign w:val="baseline"/>
                <w:lang w:val="en-US" w:eastAsia="zh-CN"/>
              </w:rPr>
            </w:pPr>
          </w:p>
        </w:tc>
        <w:tc>
          <w:tcPr>
            <w:tcW w:w="2743" w:type="dxa"/>
          </w:tcPr>
          <w:p w14:paraId="17F71402">
            <w:pPr>
              <w:pStyle w:val="40"/>
              <w:rPr>
                <w:rFonts w:hint="eastAsia" w:ascii="宋体" w:hAnsi="宋体" w:eastAsia="宋体" w:cs="宋体"/>
                <w:color w:val="auto"/>
                <w:sz w:val="24"/>
                <w:szCs w:val="24"/>
                <w:highlight w:val="none"/>
                <w:vertAlign w:val="baseline"/>
                <w:lang w:val="en-US" w:eastAsia="zh-CN"/>
              </w:rPr>
            </w:pPr>
          </w:p>
        </w:tc>
      </w:tr>
    </w:tbl>
    <w:p w14:paraId="181C01DA">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2.“供应商实际控制人性别”按供应商实际控制人性别划分请填写“男”或“女”，指拥有供应商 51%以上绝对所有权的性；绝对所有权拥有者可以是一个人，也可以是多人合计计算。</w:t>
      </w:r>
    </w:p>
    <w:p w14:paraId="6C85D95C">
      <w:pPr>
        <w:pStyle w:val="40"/>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3.“外商投资类型”请填写“外商单独投资”、“外商部分投资”或“内资”。</w:t>
      </w:r>
    </w:p>
    <w:p w14:paraId="55FB009A">
      <w:pPr>
        <w:pStyle w:val="40"/>
        <w:rPr>
          <w:rFonts w:hint="eastAsia" w:ascii="宋体" w:hAnsi="宋体" w:eastAsia="宋体" w:cs="宋体"/>
          <w:color w:val="auto"/>
          <w:sz w:val="24"/>
          <w:szCs w:val="24"/>
          <w:highlight w:val="none"/>
          <w:lang w:val="en-US" w:eastAsia="zh-CN"/>
        </w:rPr>
      </w:pPr>
    </w:p>
    <w:bookmarkEnd w:id="1441"/>
    <w:p w14:paraId="7CB0AFFA">
      <w:pPr>
        <w:rPr>
          <w:i w:val="0"/>
          <w:iCs w:val="0"/>
          <w:color w:val="auto"/>
          <w:highlight w:val="none"/>
        </w:rPr>
      </w:pPr>
      <w:r>
        <w:rPr>
          <w:i w:val="0"/>
          <w:iCs w:val="0"/>
          <w:color w:val="auto"/>
          <w:highlight w:val="none"/>
        </w:rPr>
        <w:br w:type="page"/>
      </w:r>
    </w:p>
    <w:p w14:paraId="27C91FEA">
      <w:pPr>
        <w:pStyle w:val="40"/>
        <w:rPr>
          <w:rFonts w:hint="eastAsia"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1.2供应商诚信承诺书</w:t>
      </w:r>
    </w:p>
    <w:p w14:paraId="48A48D0C">
      <w:pPr>
        <w:autoSpaceDE w:val="0"/>
        <w:autoSpaceDN w:val="0"/>
        <w:adjustRightInd w:val="0"/>
        <w:spacing w:line="36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供应商诚信承诺书</w:t>
      </w:r>
    </w:p>
    <w:p w14:paraId="43A60F09">
      <w:pPr>
        <w:autoSpaceDE w:val="0"/>
        <w:autoSpaceDN w:val="0"/>
        <w:adjustRightInd w:val="0"/>
        <w:spacing w:line="360" w:lineRule="auto"/>
        <w:ind w:firstLine="480"/>
        <w:rPr>
          <w:rFonts w:hint="eastAsia" w:ascii="宋体" w:hAnsi="宋体" w:eastAsia="宋体" w:cs="宋体"/>
          <w:kern w:val="0"/>
          <w:sz w:val="24"/>
          <w:szCs w:val="24"/>
          <w:lang w:val="zh-CN"/>
        </w:rPr>
      </w:pPr>
      <w:bookmarkStart w:id="1526" w:name="_Hlk182910040"/>
      <w:r>
        <w:rPr>
          <w:rFonts w:hint="eastAsia" w:ascii="宋体" w:hAnsi="宋体" w:eastAsia="宋体" w:cs="宋体"/>
          <w:kern w:val="0"/>
          <w:sz w:val="24"/>
          <w:szCs w:val="24"/>
          <w:lang w:val="zh-CN"/>
        </w:rPr>
        <w:t>为了诚实、客观、有序地参与</w:t>
      </w:r>
      <w:r>
        <w:rPr>
          <w:rFonts w:hint="eastAsia" w:ascii="宋体" w:hAnsi="宋体" w:eastAsia="宋体" w:cs="宋体"/>
          <w:sz w:val="24"/>
          <w:szCs w:val="24"/>
          <w:u w:val="single"/>
        </w:rPr>
        <w:t xml:space="preserve">                       </w:t>
      </w:r>
      <w:r>
        <w:rPr>
          <w:rFonts w:hint="eastAsia" w:ascii="宋体" w:hAnsi="宋体" w:eastAsia="宋体" w:cs="宋体"/>
          <w:sz w:val="24"/>
          <w:szCs w:val="24"/>
        </w:rPr>
        <w:t>项目</w:t>
      </w:r>
      <w:r>
        <w:rPr>
          <w:rFonts w:hint="eastAsia" w:ascii="宋体" w:hAnsi="宋体" w:eastAsia="宋体" w:cs="宋体"/>
          <w:kern w:val="0"/>
          <w:sz w:val="24"/>
          <w:szCs w:val="24"/>
          <w:lang w:val="zh-CN"/>
        </w:rPr>
        <w:t>采购活动，愿就以下内容作出承诺：</w:t>
      </w:r>
    </w:p>
    <w:bookmarkEnd w:id="1526"/>
    <w:p w14:paraId="6EE92DB9">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一、自觉遵守各项法律、法规、规章、制度以及社会公德，维护廉洁环境，与同场竞争的供应商平等参加招采购活动。</w:t>
      </w:r>
    </w:p>
    <w:p w14:paraId="29C3164B">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二、参加采购代理机构组织的采购活动时，严格按照</w:t>
      </w:r>
      <w:r>
        <w:rPr>
          <w:rFonts w:hint="eastAsia" w:ascii="宋体" w:hAnsi="宋体" w:eastAsia="宋体" w:cs="宋体"/>
          <w:kern w:val="0"/>
          <w:sz w:val="24"/>
          <w:szCs w:val="24"/>
        </w:rPr>
        <w:t>招标</w:t>
      </w:r>
      <w:r>
        <w:rPr>
          <w:rFonts w:hint="eastAsia" w:ascii="宋体" w:hAnsi="宋体" w:eastAsia="宋体" w:cs="宋体"/>
          <w:kern w:val="0"/>
          <w:sz w:val="24"/>
          <w:szCs w:val="24"/>
          <w:lang w:val="zh-CN"/>
        </w:rPr>
        <w:t>文件的规定和要求提供所需的相关材料，并对所提供的各类资料的真实性负责，不虚假应标，不虚列业绩；不以他人名义投标或者以其他方式弄虚作假，骗取中标。</w:t>
      </w:r>
    </w:p>
    <w:p w14:paraId="1CF33483">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三、尊重参与采购活动各相关方的合法行为，接受采购活动依法形成的意见、结果。</w:t>
      </w:r>
    </w:p>
    <w:p w14:paraId="3EC454A9">
      <w:pPr>
        <w:autoSpaceDE w:val="0"/>
        <w:autoSpaceDN w:val="0"/>
        <w:adjustRightInd w:val="0"/>
        <w:spacing w:line="360" w:lineRule="auto"/>
        <w:ind w:firstLine="480"/>
        <w:rPr>
          <w:rFonts w:hint="eastAsia" w:ascii="宋体" w:hAnsi="宋体" w:eastAsia="宋体" w:cs="宋体"/>
          <w:kern w:val="0"/>
          <w:sz w:val="24"/>
          <w:szCs w:val="24"/>
          <w:lang w:val="zh-CN"/>
        </w:rPr>
      </w:pPr>
      <w:bookmarkStart w:id="1527" w:name="_Hlk182909516"/>
      <w:r>
        <w:rPr>
          <w:rFonts w:hint="eastAsia" w:ascii="宋体" w:hAnsi="宋体" w:eastAsia="宋体" w:cs="宋体"/>
          <w:kern w:val="0"/>
          <w:sz w:val="24"/>
          <w:szCs w:val="24"/>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1527"/>
    <w:p w14:paraId="19C00019">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037F69A7">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六、积极推动采购活动健康开展，对采购活动有疑问、异议时，按法律规定的程序实名（加盖单位章和法定代表人签名）反映情况，不恶意中伤、无事生非，以和谐、平等的心态参加采购活动。</w:t>
      </w:r>
    </w:p>
    <w:p w14:paraId="402BFD8C">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七、认真履行成交人应承担的责任和义务，全面执行采购合同规定的各项内容，保质保量地按时提供采购物品。</w:t>
      </w:r>
    </w:p>
    <w:p w14:paraId="21784999">
      <w:pPr>
        <w:autoSpaceDE w:val="0"/>
        <w:autoSpaceDN w:val="0"/>
        <w:adjustRightInd w:val="0"/>
        <w:spacing w:line="360" w:lineRule="auto"/>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若本企业（单位）发生有悖于上述承诺的行为或形成恶意投诉，我们自愿接受《政府采购法》等有关法律法规中对供应商的相关处理：</w:t>
      </w:r>
      <w:bookmarkStart w:id="1528" w:name="_Hlk182910718"/>
      <w:r>
        <w:rPr>
          <w:rFonts w:hint="eastAsia" w:ascii="宋体" w:hAnsi="宋体" w:eastAsia="宋体" w:cs="宋体"/>
          <w:kern w:val="0"/>
          <w:sz w:val="24"/>
          <w:szCs w:val="24"/>
          <w:lang w:val="zh-CN"/>
        </w:rPr>
        <w:t>自愿放弃中标资格、限制以后投标、记入不良信用档案、没收本次投标保证金，并愿意承担由此引起的其他法律责任。</w:t>
      </w:r>
      <w:bookmarkEnd w:id="1528"/>
    </w:p>
    <w:p w14:paraId="5D8C3111">
      <w:pPr>
        <w:autoSpaceDE w:val="0"/>
        <w:autoSpaceDN w:val="0"/>
        <w:adjustRightInd w:val="0"/>
        <w:spacing w:line="360" w:lineRule="auto"/>
        <w:ind w:firstLine="4435" w:firstLineChars="1848"/>
        <w:rPr>
          <w:rFonts w:hint="eastAsia" w:ascii="宋体" w:hAnsi="宋体" w:eastAsia="宋体" w:cs="宋体"/>
          <w:bCs/>
          <w:kern w:val="0"/>
          <w:sz w:val="24"/>
          <w:szCs w:val="24"/>
          <w:lang w:val="zh-CN"/>
        </w:rPr>
      </w:pPr>
      <w:bookmarkStart w:id="1529" w:name="_Hlk182910783"/>
      <w:r>
        <w:rPr>
          <w:rFonts w:hint="eastAsia" w:ascii="宋体" w:hAnsi="宋体" w:eastAsia="宋体" w:cs="宋体"/>
          <w:bCs/>
          <w:kern w:val="0"/>
          <w:sz w:val="24"/>
          <w:szCs w:val="24"/>
          <w:lang w:val="zh-CN"/>
        </w:rPr>
        <w:t>供应商：             （公章）</w:t>
      </w:r>
    </w:p>
    <w:p w14:paraId="6CD88646">
      <w:pPr>
        <w:autoSpaceDE w:val="0"/>
        <w:autoSpaceDN w:val="0"/>
        <w:adjustRightInd w:val="0"/>
        <w:spacing w:line="360" w:lineRule="auto"/>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 xml:space="preserve">                     法定代表人或委托代理人：             （签字）</w:t>
      </w:r>
    </w:p>
    <w:p w14:paraId="66AFCE18">
      <w:pPr>
        <w:spacing w:line="360" w:lineRule="auto"/>
        <w:rPr>
          <w:rFonts w:hint="eastAsia" w:ascii="宋体" w:hAnsi="宋体" w:eastAsia="宋体" w:cs="宋体"/>
          <w:sz w:val="24"/>
          <w:szCs w:val="24"/>
        </w:rPr>
      </w:pPr>
      <w:r>
        <w:rPr>
          <w:rFonts w:hint="eastAsia" w:ascii="宋体" w:hAnsi="宋体" w:eastAsia="宋体" w:cs="宋体"/>
          <w:bCs/>
          <w:kern w:val="0"/>
          <w:sz w:val="24"/>
          <w:szCs w:val="24"/>
          <w:lang w:val="zh-CN"/>
        </w:rPr>
        <w:t xml:space="preserve">                                         年   月   日</w:t>
      </w:r>
      <w:bookmarkEnd w:id="1529"/>
    </w:p>
    <w:p w14:paraId="22EB252B">
      <w:pPr>
        <w:pStyle w:val="40"/>
        <w:rPr>
          <w:rFonts w:hint="eastAsia" w:ascii="宋体" w:hAnsi="宋体" w:eastAsia="宋体" w:cs="宋体"/>
          <w:i w:val="0"/>
          <w:iCs w:val="0"/>
          <w:color w:val="auto"/>
          <w:sz w:val="24"/>
          <w:szCs w:val="24"/>
          <w:highlight w:val="none"/>
          <w:lang w:val="en-US" w:eastAsia="zh-CN"/>
        </w:rPr>
      </w:pPr>
    </w:p>
    <w:p w14:paraId="3E268B04">
      <w:pPr>
        <w:pStyle w:val="40"/>
        <w:rPr>
          <w:rFonts w:hint="eastAsia" w:ascii="宋体" w:hAnsi="宋体" w:eastAsia="宋体" w:cs="宋体"/>
          <w:i w:val="0"/>
          <w:iCs w:val="0"/>
          <w:color w:val="auto"/>
          <w:sz w:val="24"/>
          <w:szCs w:val="24"/>
          <w:highlight w:val="none"/>
          <w:lang w:val="en-US" w:eastAsia="zh-CN"/>
        </w:rPr>
      </w:pPr>
    </w:p>
    <w:p w14:paraId="75A357CC">
      <w:pPr>
        <w:pStyle w:val="40"/>
        <w:rPr>
          <w:rFonts w:hint="eastAsia" w:ascii="宋体" w:hAnsi="宋体" w:eastAsia="宋体" w:cs="宋体"/>
          <w:i w:val="0"/>
          <w:iCs w:val="0"/>
          <w:color w:val="auto"/>
          <w:sz w:val="24"/>
          <w:szCs w:val="24"/>
          <w:highlight w:val="none"/>
          <w:lang w:val="en-US" w:eastAsia="zh-CN"/>
        </w:rPr>
      </w:pPr>
    </w:p>
    <w:p w14:paraId="2B5ECE66">
      <w:pPr>
        <w:pStyle w:val="40"/>
        <w:rPr>
          <w:rFonts w:hint="eastAsia" w:ascii="宋体" w:hAnsi="宋体" w:eastAsia="宋体" w:cs="宋体"/>
          <w:i w:val="0"/>
          <w:iCs w:val="0"/>
          <w:color w:val="auto"/>
          <w:sz w:val="24"/>
          <w:szCs w:val="24"/>
          <w:highlight w:val="none"/>
          <w:lang w:val="en-US" w:eastAsia="zh-CN"/>
        </w:rPr>
      </w:pPr>
    </w:p>
    <w:p w14:paraId="4F7D1AC6">
      <w:pP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br w:type="page"/>
      </w:r>
    </w:p>
    <w:p w14:paraId="2E05EA3C">
      <w:pPr>
        <w:pStyle w:val="40"/>
        <w:rPr>
          <w:rFonts w:hint="eastAsia"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1.3磋商保证金</w:t>
      </w:r>
    </w:p>
    <w:p w14:paraId="7C28B190">
      <w:pPr>
        <w:pStyle w:val="79"/>
        <w:spacing w:line="360" w:lineRule="auto"/>
        <w:rPr>
          <w:rFonts w:hint="eastAsia" w:ascii="宋体" w:hAnsi="宋体" w:eastAsia="宋体" w:cs="宋体"/>
          <w:color w:val="auto"/>
          <w:highlight w:val="none"/>
        </w:rPr>
      </w:pPr>
    </w:p>
    <w:p w14:paraId="5693D063">
      <w:pPr>
        <w:pStyle w:val="40"/>
        <w:rPr>
          <w:rFonts w:hint="eastAsia" w:cs="宋体"/>
          <w:i w:val="0"/>
          <w:iCs w:val="0"/>
          <w:color w:val="auto"/>
          <w:sz w:val="24"/>
          <w:szCs w:val="24"/>
          <w:highlight w:val="none"/>
          <w:lang w:val="en-US" w:eastAsia="zh-CN"/>
        </w:rPr>
      </w:pPr>
      <w:r>
        <w:rPr>
          <w:rFonts w:hint="eastAsia" w:ascii="宋体" w:hAnsi="宋体" w:eastAsia="宋体" w:cs="宋体"/>
          <w:b w:val="0"/>
          <w:color w:val="auto"/>
          <w:spacing w:val="6"/>
          <w:sz w:val="24"/>
          <w:highlight w:val="none"/>
        </w:rPr>
        <w:t>说明：</w:t>
      </w:r>
      <w:r>
        <w:rPr>
          <w:rFonts w:hint="eastAsia" w:ascii="宋体" w:hAnsi="宋体" w:eastAsia="宋体" w:cs="宋体"/>
          <w:b w:val="0"/>
          <w:color w:val="auto"/>
          <w:spacing w:val="6"/>
          <w:sz w:val="24"/>
          <w:highlight w:val="none"/>
          <w:lang w:val="en-US" w:eastAsia="zh-CN"/>
        </w:rPr>
        <w:t>①电汇、转账形式，附投标保证金汇款底单复印件（要求复印件内容清晰，能看清采购代理机构、响应人的名称、账号、金额等）②支票、汇票、本票、保函等非现金形式提供对应的资料（如保函可提供保单）</w:t>
      </w:r>
    </w:p>
    <w:p w14:paraId="1ACE08B8">
      <w:pPr>
        <w:pStyle w:val="40"/>
        <w:rPr>
          <w:rFonts w:hint="eastAsia" w:cs="宋体"/>
          <w:i w:val="0"/>
          <w:iCs w:val="0"/>
          <w:color w:val="auto"/>
          <w:sz w:val="24"/>
          <w:szCs w:val="24"/>
          <w:highlight w:val="none"/>
          <w:lang w:val="en-US" w:eastAsia="zh-CN"/>
        </w:rPr>
      </w:pPr>
    </w:p>
    <w:p w14:paraId="25820B91">
      <w:pPr>
        <w:pStyle w:val="40"/>
        <w:rPr>
          <w:rFonts w:hint="default" w:cs="宋体"/>
          <w:i w:val="0"/>
          <w:iCs w:val="0"/>
          <w:color w:val="auto"/>
          <w:sz w:val="24"/>
          <w:szCs w:val="24"/>
          <w:highlight w:val="none"/>
          <w:lang w:val="en-US" w:eastAsia="zh-CN"/>
        </w:rPr>
      </w:pPr>
    </w:p>
    <w:p w14:paraId="2B035F0A">
      <w:pPr>
        <w:pStyle w:val="40"/>
        <w:rPr>
          <w:rFonts w:hint="eastAsia" w:ascii="宋体" w:hAnsi="宋体" w:eastAsia="宋体" w:cs="宋体"/>
          <w:i w:val="0"/>
          <w:iCs w:val="0"/>
          <w:color w:val="auto"/>
          <w:sz w:val="24"/>
          <w:szCs w:val="24"/>
          <w:highlight w:val="none"/>
          <w:lang w:val="en-US" w:eastAsia="zh-CN"/>
        </w:rPr>
      </w:pPr>
    </w:p>
    <w:p w14:paraId="45C5BE88">
      <w:pPr>
        <w:pStyle w:val="40"/>
        <w:rPr>
          <w:rFonts w:hint="eastAsia" w:ascii="宋体" w:hAnsi="宋体" w:eastAsia="宋体" w:cs="宋体"/>
          <w:i w:val="0"/>
          <w:iCs w:val="0"/>
          <w:color w:val="auto"/>
          <w:sz w:val="24"/>
          <w:szCs w:val="24"/>
          <w:highlight w:val="none"/>
          <w:lang w:val="en-US" w:eastAsia="zh-CN"/>
        </w:rPr>
      </w:pPr>
    </w:p>
    <w:p w14:paraId="0E58FAE7">
      <w:pPr>
        <w:pStyle w:val="40"/>
        <w:rPr>
          <w:rFonts w:hint="eastAsia" w:ascii="宋体" w:hAnsi="宋体" w:eastAsia="宋体" w:cs="宋体"/>
          <w:i w:val="0"/>
          <w:iCs w:val="0"/>
          <w:color w:val="auto"/>
          <w:sz w:val="24"/>
          <w:szCs w:val="24"/>
          <w:highlight w:val="none"/>
          <w:lang w:val="en-US" w:eastAsia="zh-CN"/>
        </w:rPr>
      </w:pPr>
    </w:p>
    <w:p w14:paraId="74744AB7">
      <w:pPr>
        <w:pStyle w:val="40"/>
        <w:rPr>
          <w:rFonts w:hint="eastAsia" w:ascii="宋体" w:hAnsi="宋体" w:eastAsia="宋体" w:cs="宋体"/>
          <w:i w:val="0"/>
          <w:iCs w:val="0"/>
          <w:color w:val="auto"/>
          <w:sz w:val="24"/>
          <w:szCs w:val="24"/>
          <w:highlight w:val="none"/>
          <w:lang w:val="en-US" w:eastAsia="zh-CN"/>
        </w:rPr>
      </w:pPr>
    </w:p>
    <w:p w14:paraId="4C62BA71">
      <w:pPr>
        <w:pStyle w:val="40"/>
        <w:rPr>
          <w:rFonts w:hint="eastAsia" w:ascii="宋体" w:hAnsi="宋体" w:eastAsia="宋体" w:cs="宋体"/>
          <w:i w:val="0"/>
          <w:iCs w:val="0"/>
          <w:color w:val="auto"/>
          <w:sz w:val="24"/>
          <w:szCs w:val="24"/>
          <w:highlight w:val="none"/>
          <w:lang w:val="en-US" w:eastAsia="zh-CN"/>
        </w:rPr>
      </w:pPr>
    </w:p>
    <w:p w14:paraId="0E97969F">
      <w:pP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br w:type="page"/>
      </w:r>
    </w:p>
    <w:p w14:paraId="3CFEE115">
      <w:pPr>
        <w:pStyle w:val="40"/>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w:t>
      </w:r>
      <w:r>
        <w:rPr>
          <w:rFonts w:hint="eastAsia" w:cs="宋体"/>
          <w:b/>
          <w:bCs/>
          <w:i w:val="0"/>
          <w:iCs w:val="0"/>
          <w:color w:val="auto"/>
          <w:sz w:val="24"/>
          <w:szCs w:val="24"/>
          <w:highlight w:val="none"/>
          <w:lang w:val="en-US" w:eastAsia="zh-CN"/>
        </w:rPr>
        <w:t>4</w:t>
      </w:r>
      <w:r>
        <w:rPr>
          <w:rFonts w:hint="eastAsia" w:ascii="宋体" w:hAnsi="宋体" w:eastAsia="宋体" w:cs="宋体"/>
          <w:b/>
          <w:bCs/>
          <w:i w:val="0"/>
          <w:iCs w:val="0"/>
          <w:color w:val="auto"/>
          <w:sz w:val="24"/>
          <w:szCs w:val="24"/>
          <w:highlight w:val="none"/>
          <w:lang w:val="en-US" w:eastAsia="zh-CN"/>
        </w:rPr>
        <w:t>其它商务、技术资料和证明材料</w:t>
      </w:r>
    </w:p>
    <w:p w14:paraId="03EBC6BE">
      <w:pPr>
        <w:rPr>
          <w:rFonts w:hint="default"/>
          <w:i w:val="0"/>
          <w:iCs w:val="0"/>
          <w:color w:val="auto"/>
          <w:sz w:val="28"/>
          <w:szCs w:val="28"/>
          <w:highlight w:val="none"/>
          <w:lang w:val="en-US" w:eastAsia="zh-CN"/>
        </w:rPr>
      </w:pPr>
      <w:r>
        <w:rPr>
          <w:rFonts w:hint="default"/>
          <w:i w:val="0"/>
          <w:iCs w:val="0"/>
          <w:color w:val="auto"/>
          <w:sz w:val="28"/>
          <w:szCs w:val="28"/>
          <w:highlight w:val="none"/>
          <w:lang w:val="en-US" w:eastAsia="zh-CN"/>
        </w:rPr>
        <w:br w:type="page"/>
      </w:r>
    </w:p>
    <w:p w14:paraId="613A10CE">
      <w:pPr>
        <w:pStyle w:val="40"/>
        <w:ind w:left="0" w:leftChars="0" w:firstLine="0" w:firstLineChars="0"/>
        <w:rPr>
          <w:rFonts w:hint="eastAsia"/>
          <w:i w:val="0"/>
          <w:iCs w:val="0"/>
          <w:color w:val="auto"/>
          <w:highlight w:val="none"/>
        </w:rPr>
      </w:pPr>
      <w:r>
        <w:rPr>
          <w:rFonts w:hint="eastAsia"/>
          <w:b/>
          <w:bCs/>
          <w:i w:val="0"/>
          <w:iCs w:val="0"/>
          <w:color w:val="auto"/>
          <w:sz w:val="24"/>
          <w:szCs w:val="24"/>
          <w:highlight w:val="none"/>
          <w:shd w:val="clear" w:color="auto" w:fill="FFFFFF" w:themeFill="background1"/>
          <w:lang w:val="en-US" w:eastAsia="zh-CN"/>
        </w:rPr>
        <w:t>（二）供应商认为需要提供的其它商务、技术资料和说明。</w:t>
      </w:r>
    </w:p>
    <w:p w14:paraId="3353E9A5">
      <w:pPr>
        <w:rPr>
          <w:i w:val="0"/>
          <w:iCs w:val="0"/>
          <w:color w:val="auto"/>
          <w:highlight w:val="none"/>
        </w:rPr>
      </w:pPr>
    </w:p>
    <w:sectPr>
      <w:footerReference r:id="rId11" w:type="default"/>
      <w:pgSz w:w="11906" w:h="16838"/>
      <w:pgMar w:top="1440" w:right="1803" w:bottom="1440" w:left="1803" w:header="652" w:footer="652" w:gutter="0"/>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5ABA76-7137-4F91-B619-0EAD969D5DC5}"/>
  </w:font>
  <w:font w:name="Arial">
    <w:panose1 w:val="020B0604020202020204"/>
    <w:charset w:val="01"/>
    <w:family w:val="swiss"/>
    <w:pitch w:val="default"/>
    <w:sig w:usb0="E0002EFF" w:usb1="C000785B" w:usb2="00000009" w:usb3="00000000" w:csb0="400001FF" w:csb1="FFFF0000"/>
    <w:embedRegular r:id="rId2" w:fontKey="{40E4F5F7-AE7E-4A09-809C-7F57884DE901}"/>
  </w:font>
  <w:font w:name="黑体">
    <w:panose1 w:val="02010609060101010101"/>
    <w:charset w:val="86"/>
    <w:family w:val="auto"/>
    <w:pitch w:val="default"/>
    <w:sig w:usb0="800002BF" w:usb1="38CF7CFA" w:usb2="00000016" w:usb3="00000000" w:csb0="00040001" w:csb1="00000000"/>
    <w:embedRegular r:id="rId3" w:fontKey="{256CC2B9-A062-4774-ADBA-8093FAE50D90}"/>
  </w:font>
  <w:font w:name="Courier New">
    <w:panose1 w:val="02070309020205020404"/>
    <w:charset w:val="01"/>
    <w:family w:val="modern"/>
    <w:pitch w:val="default"/>
    <w:sig w:usb0="E0002EFF" w:usb1="C0007843" w:usb2="00000009" w:usb3="00000000" w:csb0="400001FF" w:csb1="FFFF0000"/>
    <w:embedRegular r:id="rId4" w:fontKey="{366014D8-BB0D-4DFA-8F57-53B57FF35EB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CF612512-F92D-4BE7-BC0C-1313F0DEE69B}"/>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6" w:fontKey="{1C6DB968-163B-4CFA-AA22-DEA0E711D9F4}"/>
  </w:font>
  <w:font w:name="仿宋">
    <w:panose1 w:val="02010609060101010101"/>
    <w:charset w:val="86"/>
    <w:family w:val="auto"/>
    <w:pitch w:val="default"/>
    <w:sig w:usb0="800002BF" w:usb1="38CF7CFA" w:usb2="00000016" w:usb3="00000000" w:csb0="00040001" w:csb1="00000000"/>
    <w:embedRegular r:id="rId7" w:fontKey="{D14A7DD8-3F9F-451C-8BC3-0125B7578FD2}"/>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0" w:csb1="00000000"/>
    <w:embedRegular r:id="rId8" w:fontKey="{27A05C89-20FF-4C1D-8B62-63E4C365C758}"/>
  </w:font>
  <w:font w:name="方正黑体_GBK">
    <w:altName w:val="微软雅黑"/>
    <w:panose1 w:val="00000000000000000000"/>
    <w:charset w:val="86"/>
    <w:family w:val="auto"/>
    <w:pitch w:val="default"/>
    <w:sig w:usb0="00000000" w:usb1="00000000" w:usb2="00000000" w:usb3="00000000" w:csb0="00040000" w:csb1="00000000"/>
    <w:embedRegular r:id="rId9" w:fontKey="{B81E73BA-BEDA-4AAC-9547-6BF3C3B64650}"/>
  </w:font>
  <w:font w:name="方正仿宋_GB2312">
    <w:panose1 w:val="02000000000000000000"/>
    <w:charset w:val="86"/>
    <w:family w:val="auto"/>
    <w:pitch w:val="default"/>
    <w:sig w:usb0="A00002BF" w:usb1="184F6CFA" w:usb2="00000012" w:usb3="00000000" w:csb0="00040001" w:csb1="00000000"/>
    <w:embedRegular r:id="rId10" w:fontKey="{B207538A-AD82-40DE-90CE-49A6F6D5ECE9}"/>
  </w:font>
  <w:font w:name="Tahoma">
    <w:panose1 w:val="020B0604030504040204"/>
    <w:charset w:val="00"/>
    <w:family w:val="swiss"/>
    <w:pitch w:val="default"/>
    <w:sig w:usb0="E1002EFF" w:usb1="C000605B" w:usb2="00000029" w:usb3="00000000" w:csb0="200101FF" w:csb1="20280000"/>
    <w:embedRegular r:id="rId11" w:fontKey="{D54FAE49-BF0D-42F5-9F20-600CEFEF5F77}"/>
  </w:font>
  <w:font w:name="方正小标宋_GBK">
    <w:altName w:val="微软雅黑"/>
    <w:panose1 w:val="02000000000000000000"/>
    <w:charset w:val="86"/>
    <w:family w:val="auto"/>
    <w:pitch w:val="default"/>
    <w:sig w:usb0="00000000" w:usb1="00000000" w:usb2="00082016" w:usb3="00000000" w:csb0="00040001" w:csb1="00000000"/>
    <w:embedRegular r:id="rId12" w:fontKey="{D1D9CBAD-689F-4FAE-86BF-86119D3ADC5F}"/>
  </w:font>
  <w:font w:name="@仿宋_GB2312">
    <w:altName w:val="仿宋"/>
    <w:panose1 w:val="02010609030101010101"/>
    <w:charset w:val="86"/>
    <w:family w:val="modern"/>
    <w:pitch w:val="default"/>
    <w:sig w:usb0="00000000" w:usb1="00000000" w:usb2="00000000" w:usb3="00000000" w:csb0="00040000" w:csb1="00000000"/>
    <w:embedRegular r:id="rId13" w:fontKey="{D89D19EE-BDF1-4D52-B175-198E5046DE4E}"/>
  </w:font>
  <w:font w:name="DejaVuSans">
    <w:altName w:val="Segoe Print"/>
    <w:panose1 w:val="00000000000000000000"/>
    <w:charset w:val="00"/>
    <w:family w:val="auto"/>
    <w:pitch w:val="default"/>
    <w:sig w:usb0="00000000" w:usb1="00000000" w:usb2="00000000" w:usb3="00000000" w:csb0="00000000" w:csb1="00000000"/>
    <w:embedRegular r:id="rId14" w:fontKey="{7BE1AAAC-1554-4E1E-A17A-3F88EC33908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6791">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96D25">
                          <w:pPr>
                            <w:pStyle w:val="1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CF96D25">
                    <w:pPr>
                      <w:pStyle w:val="19"/>
                    </w:pPr>
                    <w:r>
                      <w:fldChar w:fldCharType="begin"/>
                    </w:r>
                    <w:r>
                      <w:instrText xml:space="preserve"> PAGE  \* MERGEFORMAT </w:instrText>
                    </w:r>
                    <w:r>
                      <w:fldChar w:fldCharType="separate"/>
                    </w:r>
                    <w:r>
                      <w:t>5</w:t>
                    </w:r>
                    <w:r>
                      <w:fldChar w:fldCharType="end"/>
                    </w:r>
                  </w:p>
                </w:txbxContent>
              </v:textbox>
            </v:shape>
          </w:pict>
        </mc:Fallback>
      </mc:AlternateContent>
    </w:r>
  </w:p>
  <w:p w14:paraId="1D038EF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2B501">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4E42D">
                          <w:pPr>
                            <w:pStyle w:val="1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74E42D">
                    <w:pPr>
                      <w:pStyle w:val="1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D693E">
    <w:pPr>
      <w:pStyle w:val="19"/>
      <w:rPr>
        <w:rFonts w:ascii="Times New Roman" w:hAnsi="Times New Roman" w:eastAsia="仿宋_GB2312"/>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BC06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3BC06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E693C">
    <w:pPr>
      <w:rPr>
        <w:rFonts w:hint="eastAsia"/>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24125">
                          <w:pPr>
                            <w:pStyle w:val="19"/>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5F24125">
                    <w:pPr>
                      <w:pStyle w:val="1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0C5A0">
                          <w:pPr>
                            <w:pStyle w:val="19"/>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860C5A0">
                    <w:pPr>
                      <w:pStyle w:val="19"/>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FE228">
    <w:pPr>
      <w:pStyle w:val="20"/>
      <w:tabs>
        <w:tab w:val="left" w:pos="3120"/>
      </w:tabs>
      <w:spacing w:line="240" w:lineRule="auto"/>
      <w:jc w:val="right"/>
      <w:rPr>
        <w:rFonts w:hint="eastAsia"/>
        <w:sz w:val="21"/>
        <w:szCs w:val="21"/>
      </w:rPr>
    </w:pPr>
  </w:p>
  <w:p w14:paraId="4CB92D40">
    <w:pPr>
      <w:pStyle w:val="20"/>
      <w:tabs>
        <w:tab w:val="left" w:pos="3120"/>
      </w:tabs>
      <w:spacing w:line="240" w:lineRule="auto"/>
      <w:jc w:val="right"/>
      <w:rPr>
        <w:rFonts w:hint="eastAsia"/>
        <w:sz w:val="21"/>
        <w:szCs w:val="21"/>
      </w:rPr>
    </w:pPr>
  </w:p>
  <w:p w14:paraId="6A68C037">
    <w:pPr>
      <w:pStyle w:val="20"/>
      <w:tabs>
        <w:tab w:val="left" w:pos="3120"/>
      </w:tabs>
      <w:spacing w:line="240" w:lineRule="auto"/>
      <w:jc w:val="right"/>
      <w:rPr>
        <w:rFonts w:hint="eastAsia" w:eastAsia="宋体"/>
        <w:sz w:val="21"/>
        <w:szCs w:val="21"/>
        <w:lang w:eastAsia="zh-CN"/>
      </w:rPr>
    </w:pPr>
    <w:r>
      <w:rPr>
        <w:rFonts w:hint="eastAsia"/>
        <w:sz w:val="21"/>
        <w:szCs w:val="21"/>
        <w:lang w:eastAsia="zh-CN"/>
      </w:rPr>
      <w:t>新疆医科大学第一附属医院临床教学楼会议室等楼宇室外屋面防水维修项目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9E5B0">
    <w:pPr>
      <w:pStyle w:val="20"/>
      <w:rPr>
        <w:rFonts w:hint="eastAsia" w:eastAsia="宋体"/>
        <w:lang w:val="en-US" w:eastAsia="zh-CN"/>
      </w:rPr>
    </w:pPr>
    <w:r>
      <w:rPr>
        <w:rFonts w:hint="eastAsia"/>
        <w:sz w:val="21"/>
        <w:szCs w:val="21"/>
        <w:lang w:val="en-US" w:eastAsia="zh-CN"/>
      </w:rPr>
      <w:t xml:space="preserve">                                          </w:t>
    </w:r>
    <w:r>
      <w:rPr>
        <w:rFonts w:hint="eastAsia"/>
        <w:sz w:val="21"/>
        <w:szCs w:val="21"/>
        <w:lang w:eastAsia="zh-CN"/>
      </w:rPr>
      <w:t>新疆医科大学第一附属医院临床教学楼会议室等楼宇室外屋面防水维修项目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CA23C"/>
    <w:multiLevelType w:val="singleLevel"/>
    <w:tmpl w:val="8BCCA23C"/>
    <w:lvl w:ilvl="0" w:tentative="0">
      <w:start w:val="1"/>
      <w:numFmt w:val="decimal"/>
      <w:suff w:val="nothing"/>
      <w:lvlText w:val="%1、"/>
      <w:lvlJc w:val="left"/>
    </w:lvl>
  </w:abstractNum>
  <w:abstractNum w:abstractNumId="1">
    <w:nsid w:val="00000006"/>
    <w:multiLevelType w:val="singleLevel"/>
    <w:tmpl w:val="00000006"/>
    <w:lvl w:ilvl="0" w:tentative="0">
      <w:start w:val="1"/>
      <w:numFmt w:val="decimal"/>
      <w:suff w:val="nothing"/>
      <w:lvlText w:val="（%1）"/>
      <w:lvlJc w:val="left"/>
    </w:lvl>
  </w:abstractNum>
  <w:abstractNum w:abstractNumId="2">
    <w:nsid w:val="0E4B6168"/>
    <w:multiLevelType w:val="singleLevel"/>
    <w:tmpl w:val="0E4B6168"/>
    <w:lvl w:ilvl="0" w:tentative="0">
      <w:start w:val="1"/>
      <w:numFmt w:val="decimal"/>
      <w:suff w:val="nothing"/>
      <w:lvlText w:val="（%1）"/>
      <w:lvlJc w:val="left"/>
    </w:lvl>
  </w:abstractNum>
  <w:abstractNum w:abstractNumId="3">
    <w:nsid w:val="1C761375"/>
    <w:multiLevelType w:val="multilevel"/>
    <w:tmpl w:val="1C761375"/>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C339421"/>
    <w:multiLevelType w:val="singleLevel"/>
    <w:tmpl w:val="3C339421"/>
    <w:lvl w:ilvl="0" w:tentative="0">
      <w:start w:val="1"/>
      <w:numFmt w:val="decimal"/>
      <w:suff w:val="nothing"/>
      <w:lvlText w:val="（%1）"/>
      <w:lvlJc w:val="left"/>
    </w:lvl>
  </w:abstractNum>
  <w:abstractNum w:abstractNumId="5">
    <w:nsid w:val="5AA69D12"/>
    <w:multiLevelType w:val="singleLevel"/>
    <w:tmpl w:val="5AA69D12"/>
    <w:lvl w:ilvl="0" w:tentative="0">
      <w:start w:val="10"/>
      <w:numFmt w:val="decimal"/>
      <w:suff w:val="nothing"/>
      <w:lvlText w:val="（%1）"/>
      <w:lvlJc w:val="left"/>
    </w:lvl>
  </w:abstractNum>
  <w:abstractNum w:abstractNumId="6">
    <w:nsid w:val="75504026"/>
    <w:multiLevelType w:val="multilevel"/>
    <w:tmpl w:val="75504026"/>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40"/>
  <w:drawingGridVerticalSpacing w:val="166"/>
  <w:displayHorizontalDrawingGridEvery w:val="1"/>
  <w:displayVerticalDrawingGridEvery w:val="2"/>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DA2E46"/>
    <w:rsid w:val="00010DF5"/>
    <w:rsid w:val="0002050C"/>
    <w:rsid w:val="00031D74"/>
    <w:rsid w:val="00031EDA"/>
    <w:rsid w:val="00035FD6"/>
    <w:rsid w:val="00041275"/>
    <w:rsid w:val="00041E23"/>
    <w:rsid w:val="00057979"/>
    <w:rsid w:val="00062839"/>
    <w:rsid w:val="000640B1"/>
    <w:rsid w:val="0006527E"/>
    <w:rsid w:val="000716F8"/>
    <w:rsid w:val="000725C9"/>
    <w:rsid w:val="000751D5"/>
    <w:rsid w:val="00077F3F"/>
    <w:rsid w:val="00080BBF"/>
    <w:rsid w:val="00094137"/>
    <w:rsid w:val="000A301B"/>
    <w:rsid w:val="000A519B"/>
    <w:rsid w:val="000A7A3F"/>
    <w:rsid w:val="000B0E52"/>
    <w:rsid w:val="000B7490"/>
    <w:rsid w:val="000D18E4"/>
    <w:rsid w:val="000D1DA9"/>
    <w:rsid w:val="000D2926"/>
    <w:rsid w:val="000D48B5"/>
    <w:rsid w:val="0011305B"/>
    <w:rsid w:val="00115707"/>
    <w:rsid w:val="0012011D"/>
    <w:rsid w:val="0012733E"/>
    <w:rsid w:val="00127F58"/>
    <w:rsid w:val="00131A1C"/>
    <w:rsid w:val="001361D8"/>
    <w:rsid w:val="00140C6C"/>
    <w:rsid w:val="00144643"/>
    <w:rsid w:val="00160D0D"/>
    <w:rsid w:val="0016196A"/>
    <w:rsid w:val="00161FD2"/>
    <w:rsid w:val="00167161"/>
    <w:rsid w:val="0019372B"/>
    <w:rsid w:val="00197CB9"/>
    <w:rsid w:val="001D1DC9"/>
    <w:rsid w:val="001E2156"/>
    <w:rsid w:val="001F00D7"/>
    <w:rsid w:val="001F0B83"/>
    <w:rsid w:val="002232D4"/>
    <w:rsid w:val="00230459"/>
    <w:rsid w:val="002416CF"/>
    <w:rsid w:val="00247842"/>
    <w:rsid w:val="002554AB"/>
    <w:rsid w:val="002629DD"/>
    <w:rsid w:val="00262A33"/>
    <w:rsid w:val="002630BB"/>
    <w:rsid w:val="00264A6E"/>
    <w:rsid w:val="00266970"/>
    <w:rsid w:val="002746A9"/>
    <w:rsid w:val="00285085"/>
    <w:rsid w:val="00290F66"/>
    <w:rsid w:val="0029432F"/>
    <w:rsid w:val="002A1AEC"/>
    <w:rsid w:val="002A1FBA"/>
    <w:rsid w:val="002A5F16"/>
    <w:rsid w:val="002A6FAF"/>
    <w:rsid w:val="002B0E82"/>
    <w:rsid w:val="002C4B74"/>
    <w:rsid w:val="002C7C83"/>
    <w:rsid w:val="002D34F4"/>
    <w:rsid w:val="002D3A54"/>
    <w:rsid w:val="002D518A"/>
    <w:rsid w:val="002E0B52"/>
    <w:rsid w:val="002E34F0"/>
    <w:rsid w:val="002E6413"/>
    <w:rsid w:val="002E7870"/>
    <w:rsid w:val="002F0DD6"/>
    <w:rsid w:val="002F3C1F"/>
    <w:rsid w:val="003025BA"/>
    <w:rsid w:val="0030326B"/>
    <w:rsid w:val="00303828"/>
    <w:rsid w:val="00321CAC"/>
    <w:rsid w:val="00325002"/>
    <w:rsid w:val="003259BD"/>
    <w:rsid w:val="003327F2"/>
    <w:rsid w:val="00333AF9"/>
    <w:rsid w:val="0033438F"/>
    <w:rsid w:val="00343177"/>
    <w:rsid w:val="00343F73"/>
    <w:rsid w:val="00345C72"/>
    <w:rsid w:val="00345DEA"/>
    <w:rsid w:val="00346801"/>
    <w:rsid w:val="00346FB8"/>
    <w:rsid w:val="0034739D"/>
    <w:rsid w:val="00350BD8"/>
    <w:rsid w:val="00365E80"/>
    <w:rsid w:val="00381A77"/>
    <w:rsid w:val="00384C92"/>
    <w:rsid w:val="0038618F"/>
    <w:rsid w:val="003A07A4"/>
    <w:rsid w:val="003A4878"/>
    <w:rsid w:val="003B1785"/>
    <w:rsid w:val="003C4B9C"/>
    <w:rsid w:val="003C68DF"/>
    <w:rsid w:val="003E0B9F"/>
    <w:rsid w:val="003E2527"/>
    <w:rsid w:val="004017D6"/>
    <w:rsid w:val="0040190B"/>
    <w:rsid w:val="00411AB3"/>
    <w:rsid w:val="00411C17"/>
    <w:rsid w:val="00420DD8"/>
    <w:rsid w:val="00423A88"/>
    <w:rsid w:val="00425B35"/>
    <w:rsid w:val="0042756D"/>
    <w:rsid w:val="00427D0A"/>
    <w:rsid w:val="00437213"/>
    <w:rsid w:val="00443B3B"/>
    <w:rsid w:val="0044711D"/>
    <w:rsid w:val="00462EBD"/>
    <w:rsid w:val="0047182E"/>
    <w:rsid w:val="0048656E"/>
    <w:rsid w:val="00490932"/>
    <w:rsid w:val="00492077"/>
    <w:rsid w:val="00492402"/>
    <w:rsid w:val="004A5602"/>
    <w:rsid w:val="004B29A0"/>
    <w:rsid w:val="004C31F0"/>
    <w:rsid w:val="004D65D4"/>
    <w:rsid w:val="004E09FC"/>
    <w:rsid w:val="004E0CE0"/>
    <w:rsid w:val="004E5531"/>
    <w:rsid w:val="004E5E3E"/>
    <w:rsid w:val="005001D8"/>
    <w:rsid w:val="00512CBB"/>
    <w:rsid w:val="00523D61"/>
    <w:rsid w:val="00535A35"/>
    <w:rsid w:val="00543B0C"/>
    <w:rsid w:val="00552FD8"/>
    <w:rsid w:val="00555F96"/>
    <w:rsid w:val="0055725A"/>
    <w:rsid w:val="00557310"/>
    <w:rsid w:val="00561A07"/>
    <w:rsid w:val="00562895"/>
    <w:rsid w:val="005714C6"/>
    <w:rsid w:val="00574A51"/>
    <w:rsid w:val="00582A20"/>
    <w:rsid w:val="00590283"/>
    <w:rsid w:val="00594A14"/>
    <w:rsid w:val="005A3570"/>
    <w:rsid w:val="005A7750"/>
    <w:rsid w:val="005B55AC"/>
    <w:rsid w:val="005B7E2F"/>
    <w:rsid w:val="005C18C8"/>
    <w:rsid w:val="005C30DA"/>
    <w:rsid w:val="005C3DD9"/>
    <w:rsid w:val="005C7693"/>
    <w:rsid w:val="005C77AF"/>
    <w:rsid w:val="005D689D"/>
    <w:rsid w:val="005E12E8"/>
    <w:rsid w:val="005E483B"/>
    <w:rsid w:val="005E4988"/>
    <w:rsid w:val="005E77BD"/>
    <w:rsid w:val="005F5FDD"/>
    <w:rsid w:val="00601022"/>
    <w:rsid w:val="0060162F"/>
    <w:rsid w:val="00602CF4"/>
    <w:rsid w:val="0060487D"/>
    <w:rsid w:val="00615D07"/>
    <w:rsid w:val="00623DA8"/>
    <w:rsid w:val="00626D3F"/>
    <w:rsid w:val="00630151"/>
    <w:rsid w:val="0064251F"/>
    <w:rsid w:val="00643F74"/>
    <w:rsid w:val="00662692"/>
    <w:rsid w:val="006664E4"/>
    <w:rsid w:val="00666E2F"/>
    <w:rsid w:val="00675096"/>
    <w:rsid w:val="006849F1"/>
    <w:rsid w:val="00687D2D"/>
    <w:rsid w:val="00691A5B"/>
    <w:rsid w:val="006926FF"/>
    <w:rsid w:val="006A28D1"/>
    <w:rsid w:val="006C0E57"/>
    <w:rsid w:val="006C30ED"/>
    <w:rsid w:val="006D2DE3"/>
    <w:rsid w:val="006D333D"/>
    <w:rsid w:val="006D6279"/>
    <w:rsid w:val="006E05F6"/>
    <w:rsid w:val="006E6126"/>
    <w:rsid w:val="006E7A70"/>
    <w:rsid w:val="006E7AAC"/>
    <w:rsid w:val="006F0A97"/>
    <w:rsid w:val="006F1007"/>
    <w:rsid w:val="006F1D7F"/>
    <w:rsid w:val="006F37E1"/>
    <w:rsid w:val="006F5BD9"/>
    <w:rsid w:val="00710747"/>
    <w:rsid w:val="00711E45"/>
    <w:rsid w:val="00712591"/>
    <w:rsid w:val="00714959"/>
    <w:rsid w:val="00720085"/>
    <w:rsid w:val="0072447B"/>
    <w:rsid w:val="007308A0"/>
    <w:rsid w:val="00733184"/>
    <w:rsid w:val="00735F23"/>
    <w:rsid w:val="00742B38"/>
    <w:rsid w:val="007439AE"/>
    <w:rsid w:val="00744ABD"/>
    <w:rsid w:val="00752609"/>
    <w:rsid w:val="0075271A"/>
    <w:rsid w:val="007625D0"/>
    <w:rsid w:val="0078326D"/>
    <w:rsid w:val="007840EB"/>
    <w:rsid w:val="007953A3"/>
    <w:rsid w:val="007953FA"/>
    <w:rsid w:val="007A3868"/>
    <w:rsid w:val="007B0927"/>
    <w:rsid w:val="007B31D2"/>
    <w:rsid w:val="007C1714"/>
    <w:rsid w:val="007C25B6"/>
    <w:rsid w:val="007C69D0"/>
    <w:rsid w:val="007C7E56"/>
    <w:rsid w:val="007D2501"/>
    <w:rsid w:val="007D3FAB"/>
    <w:rsid w:val="007E1B6D"/>
    <w:rsid w:val="007E1F79"/>
    <w:rsid w:val="007E27BF"/>
    <w:rsid w:val="007F2F74"/>
    <w:rsid w:val="007F7C6A"/>
    <w:rsid w:val="00805604"/>
    <w:rsid w:val="00814B4D"/>
    <w:rsid w:val="008155C5"/>
    <w:rsid w:val="00816516"/>
    <w:rsid w:val="00816A64"/>
    <w:rsid w:val="0083010B"/>
    <w:rsid w:val="0083496F"/>
    <w:rsid w:val="00836A98"/>
    <w:rsid w:val="00836FF3"/>
    <w:rsid w:val="00837654"/>
    <w:rsid w:val="0083775E"/>
    <w:rsid w:val="00837818"/>
    <w:rsid w:val="00847DE1"/>
    <w:rsid w:val="00861791"/>
    <w:rsid w:val="00866CA2"/>
    <w:rsid w:val="0086739C"/>
    <w:rsid w:val="0087004C"/>
    <w:rsid w:val="008700B2"/>
    <w:rsid w:val="00870A31"/>
    <w:rsid w:val="008744F5"/>
    <w:rsid w:val="00875ABA"/>
    <w:rsid w:val="00875E7B"/>
    <w:rsid w:val="008849F0"/>
    <w:rsid w:val="00884D19"/>
    <w:rsid w:val="0088780F"/>
    <w:rsid w:val="00893784"/>
    <w:rsid w:val="00896666"/>
    <w:rsid w:val="008A0CEF"/>
    <w:rsid w:val="008B0233"/>
    <w:rsid w:val="008B0B41"/>
    <w:rsid w:val="008B31A7"/>
    <w:rsid w:val="008D0B3B"/>
    <w:rsid w:val="008D33D3"/>
    <w:rsid w:val="008D5158"/>
    <w:rsid w:val="008D5F39"/>
    <w:rsid w:val="008D7F29"/>
    <w:rsid w:val="008E1419"/>
    <w:rsid w:val="008F3D10"/>
    <w:rsid w:val="008F4F88"/>
    <w:rsid w:val="009166DF"/>
    <w:rsid w:val="009312E6"/>
    <w:rsid w:val="0093260C"/>
    <w:rsid w:val="00937503"/>
    <w:rsid w:val="00942B9F"/>
    <w:rsid w:val="00943319"/>
    <w:rsid w:val="0094346F"/>
    <w:rsid w:val="00947447"/>
    <w:rsid w:val="009613A1"/>
    <w:rsid w:val="00973FB8"/>
    <w:rsid w:val="0097494E"/>
    <w:rsid w:val="00976A8C"/>
    <w:rsid w:val="00977FF3"/>
    <w:rsid w:val="0098091D"/>
    <w:rsid w:val="00980D3C"/>
    <w:rsid w:val="00984CC9"/>
    <w:rsid w:val="009941A6"/>
    <w:rsid w:val="0099510C"/>
    <w:rsid w:val="009A27AF"/>
    <w:rsid w:val="009A4A48"/>
    <w:rsid w:val="009A6DC0"/>
    <w:rsid w:val="009B74C7"/>
    <w:rsid w:val="009C06EE"/>
    <w:rsid w:val="009C4C40"/>
    <w:rsid w:val="009C5078"/>
    <w:rsid w:val="009F0E95"/>
    <w:rsid w:val="009F620C"/>
    <w:rsid w:val="00A00250"/>
    <w:rsid w:val="00A009BC"/>
    <w:rsid w:val="00A03C8F"/>
    <w:rsid w:val="00A208D0"/>
    <w:rsid w:val="00A2153A"/>
    <w:rsid w:val="00A3620F"/>
    <w:rsid w:val="00A36D87"/>
    <w:rsid w:val="00A42BA3"/>
    <w:rsid w:val="00A5026C"/>
    <w:rsid w:val="00A61ADA"/>
    <w:rsid w:val="00A67B9F"/>
    <w:rsid w:val="00A80437"/>
    <w:rsid w:val="00AA0034"/>
    <w:rsid w:val="00AA4E14"/>
    <w:rsid w:val="00AC1AE7"/>
    <w:rsid w:val="00AC7E4E"/>
    <w:rsid w:val="00B03E70"/>
    <w:rsid w:val="00B0667D"/>
    <w:rsid w:val="00B075F8"/>
    <w:rsid w:val="00B10CBD"/>
    <w:rsid w:val="00B15249"/>
    <w:rsid w:val="00B22126"/>
    <w:rsid w:val="00B23B20"/>
    <w:rsid w:val="00B24932"/>
    <w:rsid w:val="00B30024"/>
    <w:rsid w:val="00B35E10"/>
    <w:rsid w:val="00B67AB7"/>
    <w:rsid w:val="00B76EBE"/>
    <w:rsid w:val="00B807B2"/>
    <w:rsid w:val="00B81261"/>
    <w:rsid w:val="00B831FD"/>
    <w:rsid w:val="00B93E93"/>
    <w:rsid w:val="00BA0002"/>
    <w:rsid w:val="00BA7887"/>
    <w:rsid w:val="00BB0695"/>
    <w:rsid w:val="00BB0AA9"/>
    <w:rsid w:val="00BB389C"/>
    <w:rsid w:val="00BB5E22"/>
    <w:rsid w:val="00BC1538"/>
    <w:rsid w:val="00BC1927"/>
    <w:rsid w:val="00BC3D6E"/>
    <w:rsid w:val="00BC43BB"/>
    <w:rsid w:val="00BD0190"/>
    <w:rsid w:val="00BD36BD"/>
    <w:rsid w:val="00BD49FC"/>
    <w:rsid w:val="00BE027C"/>
    <w:rsid w:val="00BE229C"/>
    <w:rsid w:val="00BE2BE6"/>
    <w:rsid w:val="00BE359F"/>
    <w:rsid w:val="00BE6FC4"/>
    <w:rsid w:val="00BF2390"/>
    <w:rsid w:val="00BF2E8C"/>
    <w:rsid w:val="00BF513D"/>
    <w:rsid w:val="00BF52B9"/>
    <w:rsid w:val="00C2211B"/>
    <w:rsid w:val="00C24E2A"/>
    <w:rsid w:val="00C32FB4"/>
    <w:rsid w:val="00C34601"/>
    <w:rsid w:val="00C415A9"/>
    <w:rsid w:val="00C45CBF"/>
    <w:rsid w:val="00C47234"/>
    <w:rsid w:val="00C5578E"/>
    <w:rsid w:val="00C56F38"/>
    <w:rsid w:val="00C57229"/>
    <w:rsid w:val="00C57A04"/>
    <w:rsid w:val="00C74942"/>
    <w:rsid w:val="00C808EB"/>
    <w:rsid w:val="00C8512E"/>
    <w:rsid w:val="00C87E32"/>
    <w:rsid w:val="00C9657E"/>
    <w:rsid w:val="00CA1AB8"/>
    <w:rsid w:val="00CA3606"/>
    <w:rsid w:val="00CA5E59"/>
    <w:rsid w:val="00CB4EE6"/>
    <w:rsid w:val="00CB6539"/>
    <w:rsid w:val="00CC25B9"/>
    <w:rsid w:val="00CD5867"/>
    <w:rsid w:val="00CD6536"/>
    <w:rsid w:val="00CD674A"/>
    <w:rsid w:val="00CD73E5"/>
    <w:rsid w:val="00CE2D16"/>
    <w:rsid w:val="00CE2E34"/>
    <w:rsid w:val="00CE3408"/>
    <w:rsid w:val="00CE6C2F"/>
    <w:rsid w:val="00CE6E51"/>
    <w:rsid w:val="00CF3BE6"/>
    <w:rsid w:val="00D0326E"/>
    <w:rsid w:val="00D039E3"/>
    <w:rsid w:val="00D04025"/>
    <w:rsid w:val="00D11BF3"/>
    <w:rsid w:val="00D15C83"/>
    <w:rsid w:val="00D22E42"/>
    <w:rsid w:val="00D32675"/>
    <w:rsid w:val="00D337FF"/>
    <w:rsid w:val="00D36F93"/>
    <w:rsid w:val="00D43106"/>
    <w:rsid w:val="00D43B65"/>
    <w:rsid w:val="00D4715E"/>
    <w:rsid w:val="00D50483"/>
    <w:rsid w:val="00D50FA2"/>
    <w:rsid w:val="00D51CA5"/>
    <w:rsid w:val="00D605D6"/>
    <w:rsid w:val="00D91B19"/>
    <w:rsid w:val="00D93134"/>
    <w:rsid w:val="00D95972"/>
    <w:rsid w:val="00DA19EF"/>
    <w:rsid w:val="00DA2E46"/>
    <w:rsid w:val="00DA3EA5"/>
    <w:rsid w:val="00DA4062"/>
    <w:rsid w:val="00DB07DE"/>
    <w:rsid w:val="00DB6470"/>
    <w:rsid w:val="00DB648D"/>
    <w:rsid w:val="00DD2AE9"/>
    <w:rsid w:val="00DE21E8"/>
    <w:rsid w:val="00DE279C"/>
    <w:rsid w:val="00E131D1"/>
    <w:rsid w:val="00E22CBF"/>
    <w:rsid w:val="00E24A49"/>
    <w:rsid w:val="00E3190C"/>
    <w:rsid w:val="00E33B4C"/>
    <w:rsid w:val="00E346C5"/>
    <w:rsid w:val="00E40218"/>
    <w:rsid w:val="00E44C93"/>
    <w:rsid w:val="00E6060C"/>
    <w:rsid w:val="00E637A9"/>
    <w:rsid w:val="00E67DF9"/>
    <w:rsid w:val="00E71A4E"/>
    <w:rsid w:val="00E92BA7"/>
    <w:rsid w:val="00E957E7"/>
    <w:rsid w:val="00EB4AEC"/>
    <w:rsid w:val="00ED08EB"/>
    <w:rsid w:val="00ED4D5F"/>
    <w:rsid w:val="00ED6D28"/>
    <w:rsid w:val="00ED72DC"/>
    <w:rsid w:val="00EE1389"/>
    <w:rsid w:val="00EE3D1C"/>
    <w:rsid w:val="00EE3FF1"/>
    <w:rsid w:val="00EE6A89"/>
    <w:rsid w:val="00EF2CF1"/>
    <w:rsid w:val="00F02A03"/>
    <w:rsid w:val="00F16856"/>
    <w:rsid w:val="00F23C03"/>
    <w:rsid w:val="00F43B46"/>
    <w:rsid w:val="00F46C50"/>
    <w:rsid w:val="00F50DD6"/>
    <w:rsid w:val="00F517BA"/>
    <w:rsid w:val="00F538E2"/>
    <w:rsid w:val="00F76A89"/>
    <w:rsid w:val="00F8151A"/>
    <w:rsid w:val="00F822CF"/>
    <w:rsid w:val="00F93C6F"/>
    <w:rsid w:val="00F9418D"/>
    <w:rsid w:val="00F94BDC"/>
    <w:rsid w:val="00FA29A1"/>
    <w:rsid w:val="00FA7B4A"/>
    <w:rsid w:val="00FB50E5"/>
    <w:rsid w:val="00FB6912"/>
    <w:rsid w:val="00FC12AF"/>
    <w:rsid w:val="00FC1536"/>
    <w:rsid w:val="00FC2785"/>
    <w:rsid w:val="00FC4922"/>
    <w:rsid w:val="00FD19D9"/>
    <w:rsid w:val="00FD51C3"/>
    <w:rsid w:val="00FE4777"/>
    <w:rsid w:val="00FE4FF0"/>
    <w:rsid w:val="00FE551A"/>
    <w:rsid w:val="00FE60DA"/>
    <w:rsid w:val="00FE6DDE"/>
    <w:rsid w:val="00FF415F"/>
    <w:rsid w:val="00FF74A7"/>
    <w:rsid w:val="00FF75EA"/>
    <w:rsid w:val="01011432"/>
    <w:rsid w:val="010147E2"/>
    <w:rsid w:val="01161381"/>
    <w:rsid w:val="011A5E25"/>
    <w:rsid w:val="012A118F"/>
    <w:rsid w:val="012A6BDB"/>
    <w:rsid w:val="014F6641"/>
    <w:rsid w:val="01521C8D"/>
    <w:rsid w:val="0168325F"/>
    <w:rsid w:val="01A544B3"/>
    <w:rsid w:val="01AE3368"/>
    <w:rsid w:val="01BA61B0"/>
    <w:rsid w:val="01BD35AB"/>
    <w:rsid w:val="01D17056"/>
    <w:rsid w:val="01F86CD9"/>
    <w:rsid w:val="021D673F"/>
    <w:rsid w:val="024E4B4B"/>
    <w:rsid w:val="02581525"/>
    <w:rsid w:val="025B2DC4"/>
    <w:rsid w:val="02746D61"/>
    <w:rsid w:val="027A149C"/>
    <w:rsid w:val="02C72207"/>
    <w:rsid w:val="02ED6112"/>
    <w:rsid w:val="02F94AB6"/>
    <w:rsid w:val="03092820"/>
    <w:rsid w:val="0317318F"/>
    <w:rsid w:val="035937A7"/>
    <w:rsid w:val="0387014A"/>
    <w:rsid w:val="038F71C9"/>
    <w:rsid w:val="03BB6210"/>
    <w:rsid w:val="03D64DF8"/>
    <w:rsid w:val="03D66BA6"/>
    <w:rsid w:val="040556DD"/>
    <w:rsid w:val="04212517"/>
    <w:rsid w:val="046917C8"/>
    <w:rsid w:val="04730898"/>
    <w:rsid w:val="04842AA6"/>
    <w:rsid w:val="048C3708"/>
    <w:rsid w:val="049802FF"/>
    <w:rsid w:val="04A3117E"/>
    <w:rsid w:val="04B0389B"/>
    <w:rsid w:val="04BF588C"/>
    <w:rsid w:val="04DA4474"/>
    <w:rsid w:val="04F76DD4"/>
    <w:rsid w:val="05114316"/>
    <w:rsid w:val="05214D81"/>
    <w:rsid w:val="053B7608"/>
    <w:rsid w:val="054B2562"/>
    <w:rsid w:val="056805A2"/>
    <w:rsid w:val="056F2E0E"/>
    <w:rsid w:val="057743B8"/>
    <w:rsid w:val="05810D93"/>
    <w:rsid w:val="059565ED"/>
    <w:rsid w:val="059C5BCD"/>
    <w:rsid w:val="05B44CC5"/>
    <w:rsid w:val="05DB04A3"/>
    <w:rsid w:val="05E530D0"/>
    <w:rsid w:val="06140B37"/>
    <w:rsid w:val="06500E91"/>
    <w:rsid w:val="069C40D7"/>
    <w:rsid w:val="06A15634"/>
    <w:rsid w:val="06A411DD"/>
    <w:rsid w:val="06B74FBC"/>
    <w:rsid w:val="06C07699"/>
    <w:rsid w:val="06F37A6F"/>
    <w:rsid w:val="070E75E1"/>
    <w:rsid w:val="07577FFE"/>
    <w:rsid w:val="076B1CFB"/>
    <w:rsid w:val="07B0770E"/>
    <w:rsid w:val="07C531B9"/>
    <w:rsid w:val="07CA07CF"/>
    <w:rsid w:val="07CF5DE6"/>
    <w:rsid w:val="07ED2710"/>
    <w:rsid w:val="08027530"/>
    <w:rsid w:val="08063DC3"/>
    <w:rsid w:val="08145258"/>
    <w:rsid w:val="086230FE"/>
    <w:rsid w:val="08691E27"/>
    <w:rsid w:val="08736DF0"/>
    <w:rsid w:val="08766BA9"/>
    <w:rsid w:val="088272FC"/>
    <w:rsid w:val="08872B64"/>
    <w:rsid w:val="088C3CD7"/>
    <w:rsid w:val="08907C6B"/>
    <w:rsid w:val="08BA08C0"/>
    <w:rsid w:val="08BC0A60"/>
    <w:rsid w:val="08E81CF0"/>
    <w:rsid w:val="092403B3"/>
    <w:rsid w:val="09246605"/>
    <w:rsid w:val="09414AC1"/>
    <w:rsid w:val="094C3466"/>
    <w:rsid w:val="097924AD"/>
    <w:rsid w:val="09B07E99"/>
    <w:rsid w:val="09BD6E87"/>
    <w:rsid w:val="09F9539C"/>
    <w:rsid w:val="09FC4E8C"/>
    <w:rsid w:val="0A314B36"/>
    <w:rsid w:val="0A73514E"/>
    <w:rsid w:val="0A7F7F97"/>
    <w:rsid w:val="0AA479FE"/>
    <w:rsid w:val="0ABF65E6"/>
    <w:rsid w:val="0ACC485F"/>
    <w:rsid w:val="0ADA3F4C"/>
    <w:rsid w:val="0B057D70"/>
    <w:rsid w:val="0B0E131B"/>
    <w:rsid w:val="0B116715"/>
    <w:rsid w:val="0B48482D"/>
    <w:rsid w:val="0B5A00BC"/>
    <w:rsid w:val="0B732363"/>
    <w:rsid w:val="0B7F5D75"/>
    <w:rsid w:val="0B9C6927"/>
    <w:rsid w:val="0BBF61BC"/>
    <w:rsid w:val="0BCB5C52"/>
    <w:rsid w:val="0BE300B2"/>
    <w:rsid w:val="0BE629C1"/>
    <w:rsid w:val="0BEF6A57"/>
    <w:rsid w:val="0BF71DAF"/>
    <w:rsid w:val="0C01678A"/>
    <w:rsid w:val="0C085D6A"/>
    <w:rsid w:val="0C120B65"/>
    <w:rsid w:val="0C142961"/>
    <w:rsid w:val="0C193AD3"/>
    <w:rsid w:val="0C475EF7"/>
    <w:rsid w:val="0C7B29E0"/>
    <w:rsid w:val="0C7D22B4"/>
    <w:rsid w:val="0C913FB2"/>
    <w:rsid w:val="0CA80F95"/>
    <w:rsid w:val="0CDA4EA9"/>
    <w:rsid w:val="0D1424ED"/>
    <w:rsid w:val="0D5D3E94"/>
    <w:rsid w:val="0D8238FA"/>
    <w:rsid w:val="0D8C18C1"/>
    <w:rsid w:val="0DAB4BFF"/>
    <w:rsid w:val="0DFA638C"/>
    <w:rsid w:val="0E0013EF"/>
    <w:rsid w:val="0E0D58BA"/>
    <w:rsid w:val="0E2B3F92"/>
    <w:rsid w:val="0E75278D"/>
    <w:rsid w:val="0E8611C8"/>
    <w:rsid w:val="0E8B67DF"/>
    <w:rsid w:val="0E90419B"/>
    <w:rsid w:val="0E9B1118"/>
    <w:rsid w:val="0EB75826"/>
    <w:rsid w:val="0EC37B54"/>
    <w:rsid w:val="0ED10695"/>
    <w:rsid w:val="0ED32660"/>
    <w:rsid w:val="0EDB7766"/>
    <w:rsid w:val="0EEA79A9"/>
    <w:rsid w:val="0EEF3211"/>
    <w:rsid w:val="0EF3685E"/>
    <w:rsid w:val="0EFB1BB6"/>
    <w:rsid w:val="0F113188"/>
    <w:rsid w:val="0F29227F"/>
    <w:rsid w:val="0F3F7CF5"/>
    <w:rsid w:val="0F4F5A5E"/>
    <w:rsid w:val="0F6634D4"/>
    <w:rsid w:val="0F670FFA"/>
    <w:rsid w:val="0F694D72"/>
    <w:rsid w:val="0F6C4862"/>
    <w:rsid w:val="0F7200CA"/>
    <w:rsid w:val="0F760751"/>
    <w:rsid w:val="0F7F4595"/>
    <w:rsid w:val="0FB35FED"/>
    <w:rsid w:val="0FF07241"/>
    <w:rsid w:val="101A1275"/>
    <w:rsid w:val="101E3DAE"/>
    <w:rsid w:val="10390BE8"/>
    <w:rsid w:val="10637A13"/>
    <w:rsid w:val="108979E3"/>
    <w:rsid w:val="10A36062"/>
    <w:rsid w:val="10A5627E"/>
    <w:rsid w:val="10B93AD7"/>
    <w:rsid w:val="10BD35C7"/>
    <w:rsid w:val="1160463D"/>
    <w:rsid w:val="11AA3420"/>
    <w:rsid w:val="11CE5360"/>
    <w:rsid w:val="11E626AA"/>
    <w:rsid w:val="11F27D2E"/>
    <w:rsid w:val="1218364A"/>
    <w:rsid w:val="12241424"/>
    <w:rsid w:val="122F22A3"/>
    <w:rsid w:val="12404081"/>
    <w:rsid w:val="12505D75"/>
    <w:rsid w:val="126A32DB"/>
    <w:rsid w:val="12AA36D7"/>
    <w:rsid w:val="12B16E0A"/>
    <w:rsid w:val="12BB58E4"/>
    <w:rsid w:val="12C0739F"/>
    <w:rsid w:val="12F9465F"/>
    <w:rsid w:val="12FC7CAB"/>
    <w:rsid w:val="130F79DE"/>
    <w:rsid w:val="1319085D"/>
    <w:rsid w:val="136602E1"/>
    <w:rsid w:val="13931986"/>
    <w:rsid w:val="13A73607"/>
    <w:rsid w:val="13AC7923"/>
    <w:rsid w:val="13D03611"/>
    <w:rsid w:val="13F54E26"/>
    <w:rsid w:val="13FB7F63"/>
    <w:rsid w:val="14221993"/>
    <w:rsid w:val="1422618B"/>
    <w:rsid w:val="14733F9D"/>
    <w:rsid w:val="147C10A3"/>
    <w:rsid w:val="148C004F"/>
    <w:rsid w:val="14C447F8"/>
    <w:rsid w:val="15115C90"/>
    <w:rsid w:val="151B4D60"/>
    <w:rsid w:val="151C4AB2"/>
    <w:rsid w:val="152534E9"/>
    <w:rsid w:val="15347304"/>
    <w:rsid w:val="15657B9D"/>
    <w:rsid w:val="15853E70"/>
    <w:rsid w:val="15862B82"/>
    <w:rsid w:val="15883A78"/>
    <w:rsid w:val="15AF7257"/>
    <w:rsid w:val="15C52F2D"/>
    <w:rsid w:val="15E52C78"/>
    <w:rsid w:val="162E0AC3"/>
    <w:rsid w:val="163C5D9C"/>
    <w:rsid w:val="163D4862"/>
    <w:rsid w:val="164E4CC1"/>
    <w:rsid w:val="165247B2"/>
    <w:rsid w:val="16556050"/>
    <w:rsid w:val="168C1346"/>
    <w:rsid w:val="169923E1"/>
    <w:rsid w:val="16994D22"/>
    <w:rsid w:val="169D3553"/>
    <w:rsid w:val="16A6065A"/>
    <w:rsid w:val="16AC04CA"/>
    <w:rsid w:val="16B84207"/>
    <w:rsid w:val="16BC7E7D"/>
    <w:rsid w:val="16EB2510"/>
    <w:rsid w:val="17081314"/>
    <w:rsid w:val="170F1E76"/>
    <w:rsid w:val="17163A31"/>
    <w:rsid w:val="171C3957"/>
    <w:rsid w:val="172024A5"/>
    <w:rsid w:val="172D30C4"/>
    <w:rsid w:val="17326391"/>
    <w:rsid w:val="17345C65"/>
    <w:rsid w:val="17416ECA"/>
    <w:rsid w:val="174F0CF1"/>
    <w:rsid w:val="175C6F6A"/>
    <w:rsid w:val="1780534F"/>
    <w:rsid w:val="17AF1790"/>
    <w:rsid w:val="17B2302E"/>
    <w:rsid w:val="17CF1E32"/>
    <w:rsid w:val="17D81FF2"/>
    <w:rsid w:val="17F83137"/>
    <w:rsid w:val="17FF44C5"/>
    <w:rsid w:val="183D6D9C"/>
    <w:rsid w:val="183F0D66"/>
    <w:rsid w:val="184D2180"/>
    <w:rsid w:val="186407CC"/>
    <w:rsid w:val="18644328"/>
    <w:rsid w:val="18934C0E"/>
    <w:rsid w:val="189B3AC2"/>
    <w:rsid w:val="18A707E9"/>
    <w:rsid w:val="18B21538"/>
    <w:rsid w:val="18D70F9E"/>
    <w:rsid w:val="18DE5293"/>
    <w:rsid w:val="18E67433"/>
    <w:rsid w:val="190478B9"/>
    <w:rsid w:val="19063631"/>
    <w:rsid w:val="191775ED"/>
    <w:rsid w:val="19392391"/>
    <w:rsid w:val="194523AC"/>
    <w:rsid w:val="196934AD"/>
    <w:rsid w:val="197762DD"/>
    <w:rsid w:val="197E58BE"/>
    <w:rsid w:val="199D21E8"/>
    <w:rsid w:val="19A277FE"/>
    <w:rsid w:val="19E45129"/>
    <w:rsid w:val="1A172451"/>
    <w:rsid w:val="1A240213"/>
    <w:rsid w:val="1A5B175B"/>
    <w:rsid w:val="1A705206"/>
    <w:rsid w:val="1A8D2B13"/>
    <w:rsid w:val="1AC76DF0"/>
    <w:rsid w:val="1AC92B69"/>
    <w:rsid w:val="1ADF238C"/>
    <w:rsid w:val="1AEB0D31"/>
    <w:rsid w:val="1AF92BB3"/>
    <w:rsid w:val="1B0E4A1F"/>
    <w:rsid w:val="1B3C158C"/>
    <w:rsid w:val="1B574618"/>
    <w:rsid w:val="1B684130"/>
    <w:rsid w:val="1B697EA8"/>
    <w:rsid w:val="1B8076CB"/>
    <w:rsid w:val="1BC7354C"/>
    <w:rsid w:val="1BCA303C"/>
    <w:rsid w:val="1C033E58"/>
    <w:rsid w:val="1C071B9A"/>
    <w:rsid w:val="1C0C0F5F"/>
    <w:rsid w:val="1C0F6CA1"/>
    <w:rsid w:val="1C387FA6"/>
    <w:rsid w:val="1C4C3A51"/>
    <w:rsid w:val="1C766D20"/>
    <w:rsid w:val="1C9D24FF"/>
    <w:rsid w:val="1CA05B4B"/>
    <w:rsid w:val="1CAB69CA"/>
    <w:rsid w:val="1CBC0BD7"/>
    <w:rsid w:val="1CEE68B6"/>
    <w:rsid w:val="1D320E99"/>
    <w:rsid w:val="1DAB47A7"/>
    <w:rsid w:val="1DBE44DB"/>
    <w:rsid w:val="1DD73F28"/>
    <w:rsid w:val="1DDC5D1E"/>
    <w:rsid w:val="1DFB74DD"/>
    <w:rsid w:val="1E0839A8"/>
    <w:rsid w:val="1E0C793C"/>
    <w:rsid w:val="1E252D30"/>
    <w:rsid w:val="1E293FBC"/>
    <w:rsid w:val="1E2A6014"/>
    <w:rsid w:val="1E311151"/>
    <w:rsid w:val="1E3D3153"/>
    <w:rsid w:val="1E5866DD"/>
    <w:rsid w:val="1E5E7A6C"/>
    <w:rsid w:val="1E914811"/>
    <w:rsid w:val="1EC04283"/>
    <w:rsid w:val="1EE77A61"/>
    <w:rsid w:val="1EEE7042"/>
    <w:rsid w:val="1EF328AA"/>
    <w:rsid w:val="1EF53F2C"/>
    <w:rsid w:val="1F2111C5"/>
    <w:rsid w:val="1F4C5B16"/>
    <w:rsid w:val="1F9A4AD4"/>
    <w:rsid w:val="1FA63478"/>
    <w:rsid w:val="1FB042F7"/>
    <w:rsid w:val="1FB45B95"/>
    <w:rsid w:val="1FBF278C"/>
    <w:rsid w:val="1FEA5A5B"/>
    <w:rsid w:val="1FFE5062"/>
    <w:rsid w:val="20126D60"/>
    <w:rsid w:val="20311090"/>
    <w:rsid w:val="20346E0E"/>
    <w:rsid w:val="204F3443"/>
    <w:rsid w:val="205E01F7"/>
    <w:rsid w:val="20857532"/>
    <w:rsid w:val="20B41BC5"/>
    <w:rsid w:val="20B9542D"/>
    <w:rsid w:val="20D02EA3"/>
    <w:rsid w:val="211014F1"/>
    <w:rsid w:val="21254871"/>
    <w:rsid w:val="212C5BFF"/>
    <w:rsid w:val="213056EF"/>
    <w:rsid w:val="215A09BE"/>
    <w:rsid w:val="216B497A"/>
    <w:rsid w:val="21937A2C"/>
    <w:rsid w:val="21992A01"/>
    <w:rsid w:val="21A8155E"/>
    <w:rsid w:val="21C85928"/>
    <w:rsid w:val="21E40288"/>
    <w:rsid w:val="220426D8"/>
    <w:rsid w:val="22124DF5"/>
    <w:rsid w:val="222608A0"/>
    <w:rsid w:val="224F1BA5"/>
    <w:rsid w:val="228D1E28"/>
    <w:rsid w:val="228D6B72"/>
    <w:rsid w:val="229323DA"/>
    <w:rsid w:val="22B20386"/>
    <w:rsid w:val="22CE1AC1"/>
    <w:rsid w:val="22F547E2"/>
    <w:rsid w:val="230E1A60"/>
    <w:rsid w:val="23377209"/>
    <w:rsid w:val="233D2B25"/>
    <w:rsid w:val="235A6A54"/>
    <w:rsid w:val="238E0DF3"/>
    <w:rsid w:val="239F090A"/>
    <w:rsid w:val="23B56380"/>
    <w:rsid w:val="23C6058D"/>
    <w:rsid w:val="23C72304"/>
    <w:rsid w:val="23F46EA8"/>
    <w:rsid w:val="23FB0A5B"/>
    <w:rsid w:val="241F37F9"/>
    <w:rsid w:val="245E4322"/>
    <w:rsid w:val="24653902"/>
    <w:rsid w:val="247D50F0"/>
    <w:rsid w:val="24AF254A"/>
    <w:rsid w:val="24AF7273"/>
    <w:rsid w:val="24C525F3"/>
    <w:rsid w:val="24C90335"/>
    <w:rsid w:val="24CA19B7"/>
    <w:rsid w:val="25096983"/>
    <w:rsid w:val="25270BB7"/>
    <w:rsid w:val="255B6AB3"/>
    <w:rsid w:val="25853B30"/>
    <w:rsid w:val="25950217"/>
    <w:rsid w:val="25A20B86"/>
    <w:rsid w:val="25B74631"/>
    <w:rsid w:val="25BD32CA"/>
    <w:rsid w:val="25C40AFC"/>
    <w:rsid w:val="25CE197B"/>
    <w:rsid w:val="25D725DE"/>
    <w:rsid w:val="25E847EB"/>
    <w:rsid w:val="25EE7927"/>
    <w:rsid w:val="25EF3DCB"/>
    <w:rsid w:val="261C1238"/>
    <w:rsid w:val="2628108B"/>
    <w:rsid w:val="26526108"/>
    <w:rsid w:val="26667E05"/>
    <w:rsid w:val="26771661"/>
    <w:rsid w:val="268F4C66"/>
    <w:rsid w:val="26976211"/>
    <w:rsid w:val="269F7B78"/>
    <w:rsid w:val="26B4291F"/>
    <w:rsid w:val="27157820"/>
    <w:rsid w:val="271B0BF0"/>
    <w:rsid w:val="271C2272"/>
    <w:rsid w:val="272F1FA5"/>
    <w:rsid w:val="273A72C8"/>
    <w:rsid w:val="2767173F"/>
    <w:rsid w:val="27AE55C0"/>
    <w:rsid w:val="27BB320F"/>
    <w:rsid w:val="27BC0609"/>
    <w:rsid w:val="27C13D12"/>
    <w:rsid w:val="27C43F9E"/>
    <w:rsid w:val="27D8263D"/>
    <w:rsid w:val="27DB7654"/>
    <w:rsid w:val="27EB6814"/>
    <w:rsid w:val="27F06E9B"/>
    <w:rsid w:val="27FD0DC1"/>
    <w:rsid w:val="281573ED"/>
    <w:rsid w:val="28177609"/>
    <w:rsid w:val="281C2BC6"/>
    <w:rsid w:val="281C4C20"/>
    <w:rsid w:val="28235FAE"/>
    <w:rsid w:val="282F32ED"/>
    <w:rsid w:val="28327F9F"/>
    <w:rsid w:val="283C2BCC"/>
    <w:rsid w:val="283E4BF7"/>
    <w:rsid w:val="285F4B0C"/>
    <w:rsid w:val="28757E8C"/>
    <w:rsid w:val="28AD1D1C"/>
    <w:rsid w:val="28B22E8E"/>
    <w:rsid w:val="28C02B57"/>
    <w:rsid w:val="28D41056"/>
    <w:rsid w:val="28DC7F0B"/>
    <w:rsid w:val="28F416F8"/>
    <w:rsid w:val="28F811E9"/>
    <w:rsid w:val="29001E4B"/>
    <w:rsid w:val="295978DD"/>
    <w:rsid w:val="298F1421"/>
    <w:rsid w:val="29A46E4B"/>
    <w:rsid w:val="29BF3AB4"/>
    <w:rsid w:val="29C91AA7"/>
    <w:rsid w:val="29CE019B"/>
    <w:rsid w:val="29D11A3A"/>
    <w:rsid w:val="29D62BAC"/>
    <w:rsid w:val="29E95828"/>
    <w:rsid w:val="2A1262DA"/>
    <w:rsid w:val="2A2049DE"/>
    <w:rsid w:val="2A32072A"/>
    <w:rsid w:val="2A391AB9"/>
    <w:rsid w:val="2A4B359A"/>
    <w:rsid w:val="2AB91DB1"/>
    <w:rsid w:val="2ABB0720"/>
    <w:rsid w:val="2ACA0377"/>
    <w:rsid w:val="2AD01F7D"/>
    <w:rsid w:val="2ADE440E"/>
    <w:rsid w:val="2AFB4FC0"/>
    <w:rsid w:val="2B147E30"/>
    <w:rsid w:val="2B3E6C5B"/>
    <w:rsid w:val="2B6F32B8"/>
    <w:rsid w:val="2B786611"/>
    <w:rsid w:val="2B9601FE"/>
    <w:rsid w:val="2BD25682"/>
    <w:rsid w:val="2BE27F2E"/>
    <w:rsid w:val="2C155C0E"/>
    <w:rsid w:val="2C2E29B5"/>
    <w:rsid w:val="2C414C55"/>
    <w:rsid w:val="2C475FE3"/>
    <w:rsid w:val="2C4C5A92"/>
    <w:rsid w:val="2C83526D"/>
    <w:rsid w:val="2CAB47C4"/>
    <w:rsid w:val="2CC33AC9"/>
    <w:rsid w:val="2CC633AC"/>
    <w:rsid w:val="2CD05FD9"/>
    <w:rsid w:val="2CD23AFF"/>
    <w:rsid w:val="2CDE6947"/>
    <w:rsid w:val="2CEF7A50"/>
    <w:rsid w:val="2D2643A2"/>
    <w:rsid w:val="2D3227EF"/>
    <w:rsid w:val="2D3E2F42"/>
    <w:rsid w:val="2D621327"/>
    <w:rsid w:val="2D71156A"/>
    <w:rsid w:val="2DE27D71"/>
    <w:rsid w:val="2DEE4968"/>
    <w:rsid w:val="2E310CF9"/>
    <w:rsid w:val="2E3F6F72"/>
    <w:rsid w:val="2E6764C9"/>
    <w:rsid w:val="2E7555D3"/>
    <w:rsid w:val="2EB536D8"/>
    <w:rsid w:val="2EB712DA"/>
    <w:rsid w:val="2ECA005F"/>
    <w:rsid w:val="2ECB2EFB"/>
    <w:rsid w:val="2ECD316E"/>
    <w:rsid w:val="2EDA313F"/>
    <w:rsid w:val="2F065CE2"/>
    <w:rsid w:val="2F0E760F"/>
    <w:rsid w:val="2F1C6FCF"/>
    <w:rsid w:val="2F5C3519"/>
    <w:rsid w:val="2F5C7FF7"/>
    <w:rsid w:val="2F5E167A"/>
    <w:rsid w:val="2F880DEC"/>
    <w:rsid w:val="2F886E61"/>
    <w:rsid w:val="300F6E18"/>
    <w:rsid w:val="3034062C"/>
    <w:rsid w:val="303951DC"/>
    <w:rsid w:val="30536D05"/>
    <w:rsid w:val="305B3E0B"/>
    <w:rsid w:val="305F1B4D"/>
    <w:rsid w:val="30705B08"/>
    <w:rsid w:val="30AC639E"/>
    <w:rsid w:val="30AF3584"/>
    <w:rsid w:val="30E56588"/>
    <w:rsid w:val="30E91417"/>
    <w:rsid w:val="31293F09"/>
    <w:rsid w:val="31350B00"/>
    <w:rsid w:val="3159659D"/>
    <w:rsid w:val="315C608D"/>
    <w:rsid w:val="3194582D"/>
    <w:rsid w:val="31A83080"/>
    <w:rsid w:val="31B41A25"/>
    <w:rsid w:val="31BC6B2B"/>
    <w:rsid w:val="31E602A8"/>
    <w:rsid w:val="320504D2"/>
    <w:rsid w:val="321B3828"/>
    <w:rsid w:val="32513718"/>
    <w:rsid w:val="326A47D9"/>
    <w:rsid w:val="32837D7C"/>
    <w:rsid w:val="32B048E2"/>
    <w:rsid w:val="32B1065A"/>
    <w:rsid w:val="32E4458C"/>
    <w:rsid w:val="3304078A"/>
    <w:rsid w:val="33174961"/>
    <w:rsid w:val="33242BDA"/>
    <w:rsid w:val="332D26D2"/>
    <w:rsid w:val="33443C83"/>
    <w:rsid w:val="33705E1F"/>
    <w:rsid w:val="33745910"/>
    <w:rsid w:val="33953AD8"/>
    <w:rsid w:val="33997124"/>
    <w:rsid w:val="33CC574C"/>
    <w:rsid w:val="33D37747"/>
    <w:rsid w:val="3421711A"/>
    <w:rsid w:val="34256C0A"/>
    <w:rsid w:val="345968B4"/>
    <w:rsid w:val="348D41C6"/>
    <w:rsid w:val="35156C7E"/>
    <w:rsid w:val="35352E7D"/>
    <w:rsid w:val="3538471B"/>
    <w:rsid w:val="3566572C"/>
    <w:rsid w:val="3571636E"/>
    <w:rsid w:val="358362DE"/>
    <w:rsid w:val="35843E04"/>
    <w:rsid w:val="3589141A"/>
    <w:rsid w:val="358F4AB7"/>
    <w:rsid w:val="35BE10C4"/>
    <w:rsid w:val="35C506A4"/>
    <w:rsid w:val="35C8047F"/>
    <w:rsid w:val="35F04FF6"/>
    <w:rsid w:val="36021D61"/>
    <w:rsid w:val="36213401"/>
    <w:rsid w:val="36392E40"/>
    <w:rsid w:val="364D41F6"/>
    <w:rsid w:val="365C268B"/>
    <w:rsid w:val="36794FEB"/>
    <w:rsid w:val="3687595A"/>
    <w:rsid w:val="368816D2"/>
    <w:rsid w:val="368D6CE8"/>
    <w:rsid w:val="369E0EF6"/>
    <w:rsid w:val="36AC716F"/>
    <w:rsid w:val="36AF6C5F"/>
    <w:rsid w:val="36D6243D"/>
    <w:rsid w:val="36D87F64"/>
    <w:rsid w:val="36E42DAC"/>
    <w:rsid w:val="36F32FEF"/>
    <w:rsid w:val="371A057C"/>
    <w:rsid w:val="373B4810"/>
    <w:rsid w:val="373B6744"/>
    <w:rsid w:val="373D24BC"/>
    <w:rsid w:val="37444515"/>
    <w:rsid w:val="37490E61"/>
    <w:rsid w:val="37695060"/>
    <w:rsid w:val="377D0B0B"/>
    <w:rsid w:val="37991DE9"/>
    <w:rsid w:val="37A662B4"/>
    <w:rsid w:val="37A83DDA"/>
    <w:rsid w:val="37B24C58"/>
    <w:rsid w:val="37BE35FD"/>
    <w:rsid w:val="37C14E9C"/>
    <w:rsid w:val="37D72911"/>
    <w:rsid w:val="37DF17C6"/>
    <w:rsid w:val="381D3A0B"/>
    <w:rsid w:val="3825542A"/>
    <w:rsid w:val="38451629"/>
    <w:rsid w:val="38AF451F"/>
    <w:rsid w:val="38C5276A"/>
    <w:rsid w:val="38DE382B"/>
    <w:rsid w:val="3902751A"/>
    <w:rsid w:val="392C27E9"/>
    <w:rsid w:val="394C69E7"/>
    <w:rsid w:val="39F41558"/>
    <w:rsid w:val="3A1C0AAF"/>
    <w:rsid w:val="3A2636DC"/>
    <w:rsid w:val="3A916DA7"/>
    <w:rsid w:val="3AA36ADA"/>
    <w:rsid w:val="3AD37F93"/>
    <w:rsid w:val="3B0F23C2"/>
    <w:rsid w:val="3B60677A"/>
    <w:rsid w:val="3B6E533A"/>
    <w:rsid w:val="3B862684"/>
    <w:rsid w:val="3B8B7C9A"/>
    <w:rsid w:val="3B8E4123"/>
    <w:rsid w:val="3BAC19BF"/>
    <w:rsid w:val="3BD038FF"/>
    <w:rsid w:val="3BD11425"/>
    <w:rsid w:val="3BDD7DCA"/>
    <w:rsid w:val="3BEB698B"/>
    <w:rsid w:val="3BF55114"/>
    <w:rsid w:val="3C21415B"/>
    <w:rsid w:val="3C371BD0"/>
    <w:rsid w:val="3CA8662A"/>
    <w:rsid w:val="3CAA23A2"/>
    <w:rsid w:val="3CB72D11"/>
    <w:rsid w:val="3CBA010B"/>
    <w:rsid w:val="3CE533DA"/>
    <w:rsid w:val="3D0870C9"/>
    <w:rsid w:val="3D390965"/>
    <w:rsid w:val="3D4A5E08"/>
    <w:rsid w:val="3D5B019B"/>
    <w:rsid w:val="3D69400B"/>
    <w:rsid w:val="3D7724B9"/>
    <w:rsid w:val="3D8C7CFA"/>
    <w:rsid w:val="3D9A22F4"/>
    <w:rsid w:val="3DC56D68"/>
    <w:rsid w:val="3DEE62BF"/>
    <w:rsid w:val="3DF062BF"/>
    <w:rsid w:val="3E10092B"/>
    <w:rsid w:val="3E18333B"/>
    <w:rsid w:val="3E261EFC"/>
    <w:rsid w:val="3E3E7246"/>
    <w:rsid w:val="3E4B1963"/>
    <w:rsid w:val="3E75253C"/>
    <w:rsid w:val="3E774506"/>
    <w:rsid w:val="3E7C7D6E"/>
    <w:rsid w:val="3E8135D7"/>
    <w:rsid w:val="3E8978EB"/>
    <w:rsid w:val="3EB94B1E"/>
    <w:rsid w:val="3ECD05CA"/>
    <w:rsid w:val="3EE26BC7"/>
    <w:rsid w:val="3EEC127F"/>
    <w:rsid w:val="3EFE4C27"/>
    <w:rsid w:val="3F830C89"/>
    <w:rsid w:val="3F9133A5"/>
    <w:rsid w:val="3FA806EF"/>
    <w:rsid w:val="3FB11C9A"/>
    <w:rsid w:val="3FCE0156"/>
    <w:rsid w:val="3FE54EAF"/>
    <w:rsid w:val="401B1A9A"/>
    <w:rsid w:val="40580367"/>
    <w:rsid w:val="405A7C3B"/>
    <w:rsid w:val="406B009A"/>
    <w:rsid w:val="40833636"/>
    <w:rsid w:val="40890521"/>
    <w:rsid w:val="408D0011"/>
    <w:rsid w:val="40D43E92"/>
    <w:rsid w:val="412546ED"/>
    <w:rsid w:val="41456B3D"/>
    <w:rsid w:val="418F600A"/>
    <w:rsid w:val="41911D83"/>
    <w:rsid w:val="41933E73"/>
    <w:rsid w:val="41C21F3C"/>
    <w:rsid w:val="41C652D3"/>
    <w:rsid w:val="41CA2B9F"/>
    <w:rsid w:val="41E023C2"/>
    <w:rsid w:val="41EA1493"/>
    <w:rsid w:val="41FF6CEC"/>
    <w:rsid w:val="421D7172"/>
    <w:rsid w:val="422B7AE1"/>
    <w:rsid w:val="42786A9F"/>
    <w:rsid w:val="427C033D"/>
    <w:rsid w:val="428E1E1E"/>
    <w:rsid w:val="429733C9"/>
    <w:rsid w:val="42A87384"/>
    <w:rsid w:val="42D3205F"/>
    <w:rsid w:val="42E63A08"/>
    <w:rsid w:val="42E90FF2"/>
    <w:rsid w:val="43056584"/>
    <w:rsid w:val="431762B8"/>
    <w:rsid w:val="432664FB"/>
    <w:rsid w:val="432A5FEB"/>
    <w:rsid w:val="434370AD"/>
    <w:rsid w:val="43544E16"/>
    <w:rsid w:val="437454B8"/>
    <w:rsid w:val="438020AF"/>
    <w:rsid w:val="43866F99"/>
    <w:rsid w:val="43B27D8E"/>
    <w:rsid w:val="43DD4E0B"/>
    <w:rsid w:val="43EC32A0"/>
    <w:rsid w:val="43FE2FD4"/>
    <w:rsid w:val="43FF1225"/>
    <w:rsid w:val="441B5933"/>
    <w:rsid w:val="444C01E3"/>
    <w:rsid w:val="444F065C"/>
    <w:rsid w:val="44507CD3"/>
    <w:rsid w:val="44623562"/>
    <w:rsid w:val="447137A5"/>
    <w:rsid w:val="449000D0"/>
    <w:rsid w:val="44C24001"/>
    <w:rsid w:val="44DA57EF"/>
    <w:rsid w:val="44DC50C3"/>
    <w:rsid w:val="44E4041B"/>
    <w:rsid w:val="4508235C"/>
    <w:rsid w:val="450D7972"/>
    <w:rsid w:val="45126D36"/>
    <w:rsid w:val="452623BD"/>
    <w:rsid w:val="452B4BB5"/>
    <w:rsid w:val="452B604A"/>
    <w:rsid w:val="453B44DF"/>
    <w:rsid w:val="45603F46"/>
    <w:rsid w:val="45660E30"/>
    <w:rsid w:val="457B0D80"/>
    <w:rsid w:val="46144D30"/>
    <w:rsid w:val="461B7E6D"/>
    <w:rsid w:val="46477F15"/>
    <w:rsid w:val="46511AE0"/>
    <w:rsid w:val="465B57DC"/>
    <w:rsid w:val="46690BD8"/>
    <w:rsid w:val="469C3B23"/>
    <w:rsid w:val="469F260E"/>
    <w:rsid w:val="46B277D6"/>
    <w:rsid w:val="46CC1167"/>
    <w:rsid w:val="46E66846"/>
    <w:rsid w:val="473E02B7"/>
    <w:rsid w:val="47460F19"/>
    <w:rsid w:val="47632D59"/>
    <w:rsid w:val="47857C94"/>
    <w:rsid w:val="47863A0C"/>
    <w:rsid w:val="478B4B7E"/>
    <w:rsid w:val="47B73BC5"/>
    <w:rsid w:val="47E00AF1"/>
    <w:rsid w:val="47EC5378"/>
    <w:rsid w:val="47F60B91"/>
    <w:rsid w:val="47FE35A2"/>
    <w:rsid w:val="4832149E"/>
    <w:rsid w:val="48396CD0"/>
    <w:rsid w:val="483B65A4"/>
    <w:rsid w:val="483E7E42"/>
    <w:rsid w:val="48660E58"/>
    <w:rsid w:val="48741AB6"/>
    <w:rsid w:val="488241D3"/>
    <w:rsid w:val="48961A2D"/>
    <w:rsid w:val="489B34E7"/>
    <w:rsid w:val="48B85E47"/>
    <w:rsid w:val="48CB5B7A"/>
    <w:rsid w:val="48EC00C7"/>
    <w:rsid w:val="48EE2BC9"/>
    <w:rsid w:val="491C4628"/>
    <w:rsid w:val="49743D8F"/>
    <w:rsid w:val="49B06B1E"/>
    <w:rsid w:val="49B72A97"/>
    <w:rsid w:val="49DD050D"/>
    <w:rsid w:val="49E54A1A"/>
    <w:rsid w:val="49E8275C"/>
    <w:rsid w:val="4A0B36CD"/>
    <w:rsid w:val="4A630034"/>
    <w:rsid w:val="4A69564B"/>
    <w:rsid w:val="4A720F03"/>
    <w:rsid w:val="4A881849"/>
    <w:rsid w:val="4AA30431"/>
    <w:rsid w:val="4ABB39CC"/>
    <w:rsid w:val="4AFD5D93"/>
    <w:rsid w:val="4B3A7B4E"/>
    <w:rsid w:val="4B3F63AB"/>
    <w:rsid w:val="4B490FD8"/>
    <w:rsid w:val="4B555BCF"/>
    <w:rsid w:val="4B58746D"/>
    <w:rsid w:val="4B614574"/>
    <w:rsid w:val="4B771FE9"/>
    <w:rsid w:val="4BCE772F"/>
    <w:rsid w:val="4C235CCD"/>
    <w:rsid w:val="4C4F6AC2"/>
    <w:rsid w:val="4C8A5D4C"/>
    <w:rsid w:val="4C8F3363"/>
    <w:rsid w:val="4CAC5CC3"/>
    <w:rsid w:val="4CC50B32"/>
    <w:rsid w:val="4CC72AFC"/>
    <w:rsid w:val="4CFB4554"/>
    <w:rsid w:val="4D043409"/>
    <w:rsid w:val="4D31441A"/>
    <w:rsid w:val="4D3A5B11"/>
    <w:rsid w:val="4D3D691B"/>
    <w:rsid w:val="4DD74FC1"/>
    <w:rsid w:val="4DFC0584"/>
    <w:rsid w:val="4E0631B0"/>
    <w:rsid w:val="4E0B07C7"/>
    <w:rsid w:val="4E2A50F1"/>
    <w:rsid w:val="4E342F84"/>
    <w:rsid w:val="4E395334"/>
    <w:rsid w:val="4E4F7A0A"/>
    <w:rsid w:val="4E656129"/>
    <w:rsid w:val="4E8A5B90"/>
    <w:rsid w:val="4EA76741"/>
    <w:rsid w:val="4EAF3848"/>
    <w:rsid w:val="4ED92673"/>
    <w:rsid w:val="4EEC684A"/>
    <w:rsid w:val="4F391364"/>
    <w:rsid w:val="4F585C8E"/>
    <w:rsid w:val="4F5A7C58"/>
    <w:rsid w:val="4F7F321A"/>
    <w:rsid w:val="4F895E47"/>
    <w:rsid w:val="4F90367A"/>
    <w:rsid w:val="4F9D5D96"/>
    <w:rsid w:val="4FB76E58"/>
    <w:rsid w:val="4FF9121F"/>
    <w:rsid w:val="4FF97471"/>
    <w:rsid w:val="50033E4B"/>
    <w:rsid w:val="50062B38"/>
    <w:rsid w:val="506D7517"/>
    <w:rsid w:val="50B52C6C"/>
    <w:rsid w:val="50BB64D4"/>
    <w:rsid w:val="50BD049E"/>
    <w:rsid w:val="50D2079F"/>
    <w:rsid w:val="50D92DFE"/>
    <w:rsid w:val="50EE68AA"/>
    <w:rsid w:val="51087240"/>
    <w:rsid w:val="510F4A72"/>
    <w:rsid w:val="512322CB"/>
    <w:rsid w:val="5139564B"/>
    <w:rsid w:val="51623FE8"/>
    <w:rsid w:val="51894824"/>
    <w:rsid w:val="518E5997"/>
    <w:rsid w:val="51AE7DE7"/>
    <w:rsid w:val="51D57A6A"/>
    <w:rsid w:val="51EB4B97"/>
    <w:rsid w:val="521560B8"/>
    <w:rsid w:val="52775DEE"/>
    <w:rsid w:val="5290573F"/>
    <w:rsid w:val="52B15DE1"/>
    <w:rsid w:val="52D95337"/>
    <w:rsid w:val="52DD4E28"/>
    <w:rsid w:val="52E166C3"/>
    <w:rsid w:val="52ED0DE3"/>
    <w:rsid w:val="531620E8"/>
    <w:rsid w:val="53226CDE"/>
    <w:rsid w:val="53285977"/>
    <w:rsid w:val="532E5683"/>
    <w:rsid w:val="533F5EBA"/>
    <w:rsid w:val="53422EDD"/>
    <w:rsid w:val="538C23AA"/>
    <w:rsid w:val="539F3E8B"/>
    <w:rsid w:val="53B17155"/>
    <w:rsid w:val="53B61F77"/>
    <w:rsid w:val="53C02053"/>
    <w:rsid w:val="53C27B7A"/>
    <w:rsid w:val="53DC50DF"/>
    <w:rsid w:val="53E421E6"/>
    <w:rsid w:val="53E46B80"/>
    <w:rsid w:val="53E775E0"/>
    <w:rsid w:val="53EE2FD4"/>
    <w:rsid w:val="541D74A6"/>
    <w:rsid w:val="543C0319"/>
    <w:rsid w:val="54422A68"/>
    <w:rsid w:val="544E11C2"/>
    <w:rsid w:val="5463310B"/>
    <w:rsid w:val="54662BFB"/>
    <w:rsid w:val="54A51975"/>
    <w:rsid w:val="54F71AA5"/>
    <w:rsid w:val="551E7032"/>
    <w:rsid w:val="55392A77"/>
    <w:rsid w:val="555E38D2"/>
    <w:rsid w:val="55A439DB"/>
    <w:rsid w:val="55AE2AAB"/>
    <w:rsid w:val="55CA0F67"/>
    <w:rsid w:val="560E70A6"/>
    <w:rsid w:val="562260D0"/>
    <w:rsid w:val="563805C7"/>
    <w:rsid w:val="56442F60"/>
    <w:rsid w:val="565076BF"/>
    <w:rsid w:val="567D13ED"/>
    <w:rsid w:val="56BD287A"/>
    <w:rsid w:val="56D57BC4"/>
    <w:rsid w:val="56DB78D0"/>
    <w:rsid w:val="56ED7603"/>
    <w:rsid w:val="56F3629C"/>
    <w:rsid w:val="56F72230"/>
    <w:rsid w:val="56FC7846"/>
    <w:rsid w:val="5719555B"/>
    <w:rsid w:val="573D226B"/>
    <w:rsid w:val="57741E27"/>
    <w:rsid w:val="57833AC4"/>
    <w:rsid w:val="57A23F4A"/>
    <w:rsid w:val="57B343A9"/>
    <w:rsid w:val="57C57C38"/>
    <w:rsid w:val="57CC7219"/>
    <w:rsid w:val="57D1482F"/>
    <w:rsid w:val="57ED10AC"/>
    <w:rsid w:val="583C7C96"/>
    <w:rsid w:val="5875340D"/>
    <w:rsid w:val="588C69A8"/>
    <w:rsid w:val="58BA19B2"/>
    <w:rsid w:val="58CD149A"/>
    <w:rsid w:val="58D520FD"/>
    <w:rsid w:val="58F72073"/>
    <w:rsid w:val="58FC3B2E"/>
    <w:rsid w:val="590D1897"/>
    <w:rsid w:val="5919023C"/>
    <w:rsid w:val="59284923"/>
    <w:rsid w:val="593432C8"/>
    <w:rsid w:val="593B28A8"/>
    <w:rsid w:val="5943175D"/>
    <w:rsid w:val="594D25DB"/>
    <w:rsid w:val="594E4DC3"/>
    <w:rsid w:val="59561490"/>
    <w:rsid w:val="59570D64"/>
    <w:rsid w:val="595A0F3F"/>
    <w:rsid w:val="59705BA9"/>
    <w:rsid w:val="59747B68"/>
    <w:rsid w:val="598D700C"/>
    <w:rsid w:val="598F04FE"/>
    <w:rsid w:val="59D64D5C"/>
    <w:rsid w:val="59F36CDF"/>
    <w:rsid w:val="5A105AE3"/>
    <w:rsid w:val="5A2A0227"/>
    <w:rsid w:val="5A382944"/>
    <w:rsid w:val="5A3966BC"/>
    <w:rsid w:val="5A3B4BCC"/>
    <w:rsid w:val="5A584D94"/>
    <w:rsid w:val="5A602C61"/>
    <w:rsid w:val="5A7871E4"/>
    <w:rsid w:val="5A8F01C0"/>
    <w:rsid w:val="5AB9459A"/>
    <w:rsid w:val="5ACE32A8"/>
    <w:rsid w:val="5AEB20AC"/>
    <w:rsid w:val="5B1A029B"/>
    <w:rsid w:val="5B2829B8"/>
    <w:rsid w:val="5B3A26EB"/>
    <w:rsid w:val="5B5913F8"/>
    <w:rsid w:val="5B6360E6"/>
    <w:rsid w:val="5B955B74"/>
    <w:rsid w:val="5B9B5880"/>
    <w:rsid w:val="5BA67D81"/>
    <w:rsid w:val="5BD668B8"/>
    <w:rsid w:val="5BED775E"/>
    <w:rsid w:val="5BF907F8"/>
    <w:rsid w:val="5C3D6937"/>
    <w:rsid w:val="5C464A56"/>
    <w:rsid w:val="5C6A7000"/>
    <w:rsid w:val="5C920267"/>
    <w:rsid w:val="5C9F6CAA"/>
    <w:rsid w:val="5CA02A22"/>
    <w:rsid w:val="5CCC1A69"/>
    <w:rsid w:val="5D153410"/>
    <w:rsid w:val="5D1F428F"/>
    <w:rsid w:val="5D235B2D"/>
    <w:rsid w:val="5D5201C0"/>
    <w:rsid w:val="5D7A14C5"/>
    <w:rsid w:val="5DEB15DF"/>
    <w:rsid w:val="5E135D11"/>
    <w:rsid w:val="5E593D11"/>
    <w:rsid w:val="5E6F08FE"/>
    <w:rsid w:val="5E7D126D"/>
    <w:rsid w:val="5E7F3237"/>
    <w:rsid w:val="5E9B59CB"/>
    <w:rsid w:val="5EB10F16"/>
    <w:rsid w:val="5ECE6AE2"/>
    <w:rsid w:val="5EF57055"/>
    <w:rsid w:val="5F0C439F"/>
    <w:rsid w:val="5F180C0B"/>
    <w:rsid w:val="5F313E05"/>
    <w:rsid w:val="5F3F0259"/>
    <w:rsid w:val="5F645F89"/>
    <w:rsid w:val="5F6B7317"/>
    <w:rsid w:val="5F775CBC"/>
    <w:rsid w:val="5F8D1984"/>
    <w:rsid w:val="5F961333"/>
    <w:rsid w:val="5F990328"/>
    <w:rsid w:val="5FC058B5"/>
    <w:rsid w:val="5FC30F01"/>
    <w:rsid w:val="5FCD3B2E"/>
    <w:rsid w:val="5FDC6467"/>
    <w:rsid w:val="5FE31328"/>
    <w:rsid w:val="5FEA2932"/>
    <w:rsid w:val="5FF732A1"/>
    <w:rsid w:val="60114363"/>
    <w:rsid w:val="602B6AA7"/>
    <w:rsid w:val="60433DF0"/>
    <w:rsid w:val="604C539B"/>
    <w:rsid w:val="6065645C"/>
    <w:rsid w:val="60681AA9"/>
    <w:rsid w:val="609F196E"/>
    <w:rsid w:val="60A26D69"/>
    <w:rsid w:val="60B62814"/>
    <w:rsid w:val="60DC59A2"/>
    <w:rsid w:val="60E23123"/>
    <w:rsid w:val="61045C75"/>
    <w:rsid w:val="610C4B2A"/>
    <w:rsid w:val="610F0176"/>
    <w:rsid w:val="61306A6A"/>
    <w:rsid w:val="61565DA5"/>
    <w:rsid w:val="616109D2"/>
    <w:rsid w:val="6171498D"/>
    <w:rsid w:val="61750921"/>
    <w:rsid w:val="618C1561"/>
    <w:rsid w:val="618D5C6B"/>
    <w:rsid w:val="619012B7"/>
    <w:rsid w:val="61B64F19"/>
    <w:rsid w:val="61CD7F83"/>
    <w:rsid w:val="61D7354F"/>
    <w:rsid w:val="61ED495B"/>
    <w:rsid w:val="61EE5FDE"/>
    <w:rsid w:val="61FA0313"/>
    <w:rsid w:val="61FE26C5"/>
    <w:rsid w:val="62083543"/>
    <w:rsid w:val="620D2908"/>
    <w:rsid w:val="623F15C0"/>
    <w:rsid w:val="62516C98"/>
    <w:rsid w:val="625C73EB"/>
    <w:rsid w:val="626F5370"/>
    <w:rsid w:val="627B5AC3"/>
    <w:rsid w:val="62A74B0A"/>
    <w:rsid w:val="62B249B4"/>
    <w:rsid w:val="62DE6052"/>
    <w:rsid w:val="62FA7330"/>
    <w:rsid w:val="630A6E47"/>
    <w:rsid w:val="632A1297"/>
    <w:rsid w:val="63700E68"/>
    <w:rsid w:val="63732C3E"/>
    <w:rsid w:val="63BC2837"/>
    <w:rsid w:val="640D6BEF"/>
    <w:rsid w:val="64340620"/>
    <w:rsid w:val="64356146"/>
    <w:rsid w:val="643979E4"/>
    <w:rsid w:val="64686B51"/>
    <w:rsid w:val="646D1D84"/>
    <w:rsid w:val="647A41FA"/>
    <w:rsid w:val="64A62BA0"/>
    <w:rsid w:val="64C23E7D"/>
    <w:rsid w:val="65000502"/>
    <w:rsid w:val="65110961"/>
    <w:rsid w:val="651A39E8"/>
    <w:rsid w:val="654E5711"/>
    <w:rsid w:val="65554CF2"/>
    <w:rsid w:val="65907AD8"/>
    <w:rsid w:val="65984BDE"/>
    <w:rsid w:val="65B23EF2"/>
    <w:rsid w:val="65D200F0"/>
    <w:rsid w:val="6618187B"/>
    <w:rsid w:val="662D17CA"/>
    <w:rsid w:val="664B39FF"/>
    <w:rsid w:val="6659611C"/>
    <w:rsid w:val="667747F4"/>
    <w:rsid w:val="667E2026"/>
    <w:rsid w:val="66C37A39"/>
    <w:rsid w:val="66CF2882"/>
    <w:rsid w:val="66E71979"/>
    <w:rsid w:val="66EA1469"/>
    <w:rsid w:val="670544F5"/>
    <w:rsid w:val="670C5884"/>
    <w:rsid w:val="673B7F17"/>
    <w:rsid w:val="673D3C8F"/>
    <w:rsid w:val="6759039D"/>
    <w:rsid w:val="67A818B0"/>
    <w:rsid w:val="67B850C4"/>
    <w:rsid w:val="67BF46A4"/>
    <w:rsid w:val="67E802BB"/>
    <w:rsid w:val="6804655B"/>
    <w:rsid w:val="6828049B"/>
    <w:rsid w:val="68525518"/>
    <w:rsid w:val="68733C9B"/>
    <w:rsid w:val="688A2F04"/>
    <w:rsid w:val="68907DEF"/>
    <w:rsid w:val="68BA5D49"/>
    <w:rsid w:val="68C36416"/>
    <w:rsid w:val="690600B1"/>
    <w:rsid w:val="69112CDD"/>
    <w:rsid w:val="69194288"/>
    <w:rsid w:val="69221092"/>
    <w:rsid w:val="69280027"/>
    <w:rsid w:val="69354EFB"/>
    <w:rsid w:val="6937396B"/>
    <w:rsid w:val="696B4AA2"/>
    <w:rsid w:val="697119CE"/>
    <w:rsid w:val="697414BE"/>
    <w:rsid w:val="69BD0841"/>
    <w:rsid w:val="69C04704"/>
    <w:rsid w:val="69C75B99"/>
    <w:rsid w:val="69E9754E"/>
    <w:rsid w:val="69F50851"/>
    <w:rsid w:val="6A211646"/>
    <w:rsid w:val="6A3550F2"/>
    <w:rsid w:val="6A570BC4"/>
    <w:rsid w:val="6A627569"/>
    <w:rsid w:val="6A6D6639"/>
    <w:rsid w:val="6A841BD5"/>
    <w:rsid w:val="6A9C2A7B"/>
    <w:rsid w:val="6AB53B3C"/>
    <w:rsid w:val="6AF24D91"/>
    <w:rsid w:val="6B036F9E"/>
    <w:rsid w:val="6B1B6095"/>
    <w:rsid w:val="6B321631"/>
    <w:rsid w:val="6B5605DC"/>
    <w:rsid w:val="6B562347"/>
    <w:rsid w:val="6B601CFA"/>
    <w:rsid w:val="6B821888"/>
    <w:rsid w:val="6B824366"/>
    <w:rsid w:val="6B9D1512"/>
    <w:rsid w:val="6B9E0FF1"/>
    <w:rsid w:val="6BD149A6"/>
    <w:rsid w:val="6BD6020E"/>
    <w:rsid w:val="6BF32B6E"/>
    <w:rsid w:val="6C041279"/>
    <w:rsid w:val="6C270A6A"/>
    <w:rsid w:val="6C3F4006"/>
    <w:rsid w:val="6C4E249B"/>
    <w:rsid w:val="6C4E4249"/>
    <w:rsid w:val="6C7E41A5"/>
    <w:rsid w:val="6C841DBF"/>
    <w:rsid w:val="6C8C6B1F"/>
    <w:rsid w:val="6CA83959"/>
    <w:rsid w:val="6CCE2A58"/>
    <w:rsid w:val="6CF748E0"/>
    <w:rsid w:val="6D0668D1"/>
    <w:rsid w:val="6D2C27DC"/>
    <w:rsid w:val="6D2F7BD6"/>
    <w:rsid w:val="6D604233"/>
    <w:rsid w:val="6D6F4477"/>
    <w:rsid w:val="6D785A21"/>
    <w:rsid w:val="6D7E0B5E"/>
    <w:rsid w:val="6D920165"/>
    <w:rsid w:val="6DAF51BB"/>
    <w:rsid w:val="6DD8026E"/>
    <w:rsid w:val="6DDB7D5E"/>
    <w:rsid w:val="6E005A16"/>
    <w:rsid w:val="6E1F649C"/>
    <w:rsid w:val="6E427DDD"/>
    <w:rsid w:val="6E4C47B8"/>
    <w:rsid w:val="6E7066F8"/>
    <w:rsid w:val="6E8E4DD0"/>
    <w:rsid w:val="6EA6036C"/>
    <w:rsid w:val="6EA939B8"/>
    <w:rsid w:val="6EC46558"/>
    <w:rsid w:val="6EDC1FE0"/>
    <w:rsid w:val="6EF015E7"/>
    <w:rsid w:val="6F07701B"/>
    <w:rsid w:val="6F0B4673"/>
    <w:rsid w:val="6F0F4163"/>
    <w:rsid w:val="6F2A4AF9"/>
    <w:rsid w:val="6F4162E7"/>
    <w:rsid w:val="6F651FD5"/>
    <w:rsid w:val="6F795A80"/>
    <w:rsid w:val="6F863CF9"/>
    <w:rsid w:val="6F9208F0"/>
    <w:rsid w:val="6F944668"/>
    <w:rsid w:val="6FAA3E8C"/>
    <w:rsid w:val="6FB940CF"/>
    <w:rsid w:val="6FE54EC4"/>
    <w:rsid w:val="6FE729EA"/>
    <w:rsid w:val="7012394F"/>
    <w:rsid w:val="7020414E"/>
    <w:rsid w:val="70585696"/>
    <w:rsid w:val="70A332E1"/>
    <w:rsid w:val="70AB1C6A"/>
    <w:rsid w:val="70BB28C7"/>
    <w:rsid w:val="70CB230C"/>
    <w:rsid w:val="71093911"/>
    <w:rsid w:val="710B6BAC"/>
    <w:rsid w:val="711315BD"/>
    <w:rsid w:val="71306613"/>
    <w:rsid w:val="713559D7"/>
    <w:rsid w:val="7141612A"/>
    <w:rsid w:val="714874B8"/>
    <w:rsid w:val="714D216E"/>
    <w:rsid w:val="714F4CEB"/>
    <w:rsid w:val="71526589"/>
    <w:rsid w:val="71630796"/>
    <w:rsid w:val="716342F2"/>
    <w:rsid w:val="719C5A56"/>
    <w:rsid w:val="71B44B4E"/>
    <w:rsid w:val="71B763EC"/>
    <w:rsid w:val="71C254BD"/>
    <w:rsid w:val="71C50B09"/>
    <w:rsid w:val="71D90A58"/>
    <w:rsid w:val="724F4877"/>
    <w:rsid w:val="72AA0ADE"/>
    <w:rsid w:val="72B07ECB"/>
    <w:rsid w:val="72C9533D"/>
    <w:rsid w:val="72D54D7C"/>
    <w:rsid w:val="72D57472"/>
    <w:rsid w:val="72EF7CA5"/>
    <w:rsid w:val="72FD42D3"/>
    <w:rsid w:val="73261A7B"/>
    <w:rsid w:val="73267CCD"/>
    <w:rsid w:val="733107D8"/>
    <w:rsid w:val="73752F6C"/>
    <w:rsid w:val="737B21A7"/>
    <w:rsid w:val="737C169B"/>
    <w:rsid w:val="738D4B62"/>
    <w:rsid w:val="73C41CC8"/>
    <w:rsid w:val="73C84053"/>
    <w:rsid w:val="73E536E4"/>
    <w:rsid w:val="73F92CEC"/>
    <w:rsid w:val="73FE47A6"/>
    <w:rsid w:val="73FE6554"/>
    <w:rsid w:val="740B2A1F"/>
    <w:rsid w:val="743B3304"/>
    <w:rsid w:val="745D6531"/>
    <w:rsid w:val="74600FBD"/>
    <w:rsid w:val="749D3FBF"/>
    <w:rsid w:val="749E5660"/>
    <w:rsid w:val="74AE3AD6"/>
    <w:rsid w:val="74DD362F"/>
    <w:rsid w:val="750E6C6B"/>
    <w:rsid w:val="751E11CC"/>
    <w:rsid w:val="753B10E2"/>
    <w:rsid w:val="754F282D"/>
    <w:rsid w:val="75952EE8"/>
    <w:rsid w:val="75D91027"/>
    <w:rsid w:val="75E83018"/>
    <w:rsid w:val="75E85738"/>
    <w:rsid w:val="75EA08F6"/>
    <w:rsid w:val="760342F6"/>
    <w:rsid w:val="761E2EDE"/>
    <w:rsid w:val="7625426C"/>
    <w:rsid w:val="76437692"/>
    <w:rsid w:val="76562678"/>
    <w:rsid w:val="765B5EE0"/>
    <w:rsid w:val="76685F07"/>
    <w:rsid w:val="7671125F"/>
    <w:rsid w:val="76DD06A3"/>
    <w:rsid w:val="76FB321F"/>
    <w:rsid w:val="772067E2"/>
    <w:rsid w:val="772905BC"/>
    <w:rsid w:val="77342D4E"/>
    <w:rsid w:val="7746449A"/>
    <w:rsid w:val="776112D4"/>
    <w:rsid w:val="77664B3C"/>
    <w:rsid w:val="776B1C7B"/>
    <w:rsid w:val="777C4360"/>
    <w:rsid w:val="777E63ED"/>
    <w:rsid w:val="77882D05"/>
    <w:rsid w:val="77950F7E"/>
    <w:rsid w:val="77955421"/>
    <w:rsid w:val="77BC29AE"/>
    <w:rsid w:val="77C43611"/>
    <w:rsid w:val="77D45F4A"/>
    <w:rsid w:val="77E37F3B"/>
    <w:rsid w:val="77FA7033"/>
    <w:rsid w:val="780F19B8"/>
    <w:rsid w:val="7819395D"/>
    <w:rsid w:val="782E6CB4"/>
    <w:rsid w:val="7840538D"/>
    <w:rsid w:val="7855070D"/>
    <w:rsid w:val="785C1A9B"/>
    <w:rsid w:val="786D1EFA"/>
    <w:rsid w:val="78746DE5"/>
    <w:rsid w:val="78760DAF"/>
    <w:rsid w:val="788A2AAC"/>
    <w:rsid w:val="789A3CEC"/>
    <w:rsid w:val="78A376CA"/>
    <w:rsid w:val="78EA5EF2"/>
    <w:rsid w:val="78F1120A"/>
    <w:rsid w:val="79163F59"/>
    <w:rsid w:val="791A5BDE"/>
    <w:rsid w:val="791B3704"/>
    <w:rsid w:val="7924080B"/>
    <w:rsid w:val="7956298E"/>
    <w:rsid w:val="795A422D"/>
    <w:rsid w:val="795F5CE7"/>
    <w:rsid w:val="797B5EDA"/>
    <w:rsid w:val="79823784"/>
    <w:rsid w:val="799314ED"/>
    <w:rsid w:val="79A100AE"/>
    <w:rsid w:val="79BA191D"/>
    <w:rsid w:val="79C1605A"/>
    <w:rsid w:val="79D12015"/>
    <w:rsid w:val="79E306C6"/>
    <w:rsid w:val="79ED6E4F"/>
    <w:rsid w:val="79F3642F"/>
    <w:rsid w:val="79F857F4"/>
    <w:rsid w:val="7A275176"/>
    <w:rsid w:val="7A320D06"/>
    <w:rsid w:val="7A3D6F22"/>
    <w:rsid w:val="7A520562"/>
    <w:rsid w:val="7A5C3FD5"/>
    <w:rsid w:val="7AAC271B"/>
    <w:rsid w:val="7ACF29F8"/>
    <w:rsid w:val="7AD149C3"/>
    <w:rsid w:val="7AE2097E"/>
    <w:rsid w:val="7B0A68E9"/>
    <w:rsid w:val="7B0D52CF"/>
    <w:rsid w:val="7B227779"/>
    <w:rsid w:val="7B354F51"/>
    <w:rsid w:val="7B3B1E3C"/>
    <w:rsid w:val="7B811F45"/>
    <w:rsid w:val="7BA2010D"/>
    <w:rsid w:val="7BAB5214"/>
    <w:rsid w:val="7BC71922"/>
    <w:rsid w:val="7BD057ED"/>
    <w:rsid w:val="7BDA6D21"/>
    <w:rsid w:val="7BDA78A7"/>
    <w:rsid w:val="7C0C5586"/>
    <w:rsid w:val="7C10151B"/>
    <w:rsid w:val="7C240B22"/>
    <w:rsid w:val="7C694787"/>
    <w:rsid w:val="7C8F0691"/>
    <w:rsid w:val="7CAB4D9F"/>
    <w:rsid w:val="7CBE4AD3"/>
    <w:rsid w:val="7CBF5669"/>
    <w:rsid w:val="7CC55E61"/>
    <w:rsid w:val="7CD460A4"/>
    <w:rsid w:val="7CDF5BE8"/>
    <w:rsid w:val="7CFE5817"/>
    <w:rsid w:val="7D2C7C8E"/>
    <w:rsid w:val="7D397EFB"/>
    <w:rsid w:val="7D484F9C"/>
    <w:rsid w:val="7D586CD5"/>
    <w:rsid w:val="7D6722A4"/>
    <w:rsid w:val="7D8555F0"/>
    <w:rsid w:val="7DA4016C"/>
    <w:rsid w:val="7DB879A9"/>
    <w:rsid w:val="7DE40569"/>
    <w:rsid w:val="7E114D79"/>
    <w:rsid w:val="7E1F3C97"/>
    <w:rsid w:val="7E2B6198"/>
    <w:rsid w:val="7E350DC4"/>
    <w:rsid w:val="7E395E6F"/>
    <w:rsid w:val="7E3E236F"/>
    <w:rsid w:val="7E5A082B"/>
    <w:rsid w:val="7E7A2C7B"/>
    <w:rsid w:val="7E801D18"/>
    <w:rsid w:val="7E90249F"/>
    <w:rsid w:val="7EAD4DFF"/>
    <w:rsid w:val="7EBC14E6"/>
    <w:rsid w:val="7EC52231"/>
    <w:rsid w:val="7EED306E"/>
    <w:rsid w:val="7F032C71"/>
    <w:rsid w:val="7F08472B"/>
    <w:rsid w:val="7F0D7F93"/>
    <w:rsid w:val="7F135944"/>
    <w:rsid w:val="7F21759B"/>
    <w:rsid w:val="7F2826CD"/>
    <w:rsid w:val="7F3C6183"/>
    <w:rsid w:val="7F511C2E"/>
    <w:rsid w:val="7F7122D0"/>
    <w:rsid w:val="7F8567C3"/>
    <w:rsid w:val="7F86582B"/>
    <w:rsid w:val="7F930498"/>
    <w:rsid w:val="7FA77AA0"/>
    <w:rsid w:val="7FC00B62"/>
    <w:rsid w:val="7FE72592"/>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3"/>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4"/>
    <w:link w:val="81"/>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6">
    <w:name w:val="heading 3"/>
    <w:basedOn w:val="1"/>
    <w:next w:val="1"/>
    <w:link w:val="53"/>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54"/>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8">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4">
    <w:name w:val="文档正文"/>
    <w:basedOn w:val="5"/>
    <w:qFormat/>
    <w:uiPriority w:val="0"/>
    <w:pPr>
      <w:spacing w:line="480" w:lineRule="atLeast"/>
      <w:textAlignment w:val="baseline"/>
    </w:pPr>
    <w:rPr>
      <w:kern w:val="0"/>
      <w:sz w:val="24"/>
    </w:rPr>
  </w:style>
  <w:style w:type="paragraph" w:styleId="5">
    <w:name w:val="Normal Indent"/>
    <w:basedOn w:val="1"/>
    <w:unhideWhenUsed/>
    <w:qFormat/>
    <w:uiPriority w:val="0"/>
    <w:pPr>
      <w:ind w:firstLine="420" w:firstLineChars="200"/>
    </w:pPr>
    <w:rPr>
      <w:rFonts w:ascii="Calibri" w:hAnsi="Calibri"/>
      <w:szCs w:val="22"/>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1">
    <w:name w:val="annotation text"/>
    <w:basedOn w:val="1"/>
    <w:link w:val="51"/>
    <w:qFormat/>
    <w:uiPriority w:val="0"/>
    <w:pPr>
      <w:spacing w:line="240" w:lineRule="auto"/>
    </w:pPr>
    <w:rPr>
      <w:rFonts w:asciiTheme="minorHAnsi" w:hAnsiTheme="minorHAnsi" w:eastAsiaTheme="minorEastAsia"/>
      <w:sz w:val="21"/>
      <w:szCs w:val="24"/>
    </w:rPr>
  </w:style>
  <w:style w:type="paragraph" w:styleId="12">
    <w:name w:val="Body Text 3"/>
    <w:basedOn w:val="1"/>
    <w:link w:val="48"/>
    <w:semiHidden/>
    <w:unhideWhenUsed/>
    <w:qFormat/>
    <w:uiPriority w:val="99"/>
    <w:pPr>
      <w:spacing w:after="120"/>
    </w:pPr>
    <w:rPr>
      <w:sz w:val="16"/>
      <w:szCs w:val="16"/>
    </w:rPr>
  </w:style>
  <w:style w:type="paragraph" w:styleId="13">
    <w:name w:val="Body Text"/>
    <w:basedOn w:val="1"/>
    <w:link w:val="47"/>
    <w:unhideWhenUsed/>
    <w:qFormat/>
    <w:uiPriority w:val="99"/>
    <w:pPr>
      <w:spacing w:after="120" w:line="240" w:lineRule="auto"/>
      <w:jc w:val="both"/>
    </w:pPr>
    <w:rPr>
      <w:rFonts w:ascii="Times New Roman" w:hAnsi="Times New Roman" w:cs="Times New Roman"/>
      <w:kern w:val="0"/>
      <w:sz w:val="20"/>
      <w:szCs w:val="20"/>
    </w:rPr>
  </w:style>
  <w:style w:type="paragraph" w:styleId="14">
    <w:name w:val="Body Text Indent"/>
    <w:basedOn w:val="1"/>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unhideWhenUsed/>
    <w:qFormat/>
    <w:uiPriority w:val="0"/>
    <w:rPr>
      <w:rFonts w:ascii="宋体"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footer"/>
    <w:basedOn w:val="1"/>
    <w:link w:val="42"/>
    <w:unhideWhenUsed/>
    <w:qFormat/>
    <w:uiPriority w:val="99"/>
    <w:pPr>
      <w:tabs>
        <w:tab w:val="center" w:pos="4153"/>
        <w:tab w:val="right" w:pos="8306"/>
      </w:tabs>
      <w:snapToGrid w:val="0"/>
    </w:pPr>
    <w:rPr>
      <w:sz w:val="18"/>
      <w:szCs w:val="18"/>
    </w:rPr>
  </w:style>
  <w:style w:type="paragraph" w:styleId="20">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2">
    <w:name w:val="toc 4"/>
    <w:basedOn w:val="1"/>
    <w:next w:val="1"/>
    <w:autoRedefine/>
    <w:unhideWhenUsed/>
    <w:qFormat/>
    <w:uiPriority w:val="39"/>
    <w:pPr>
      <w:ind w:left="720"/>
    </w:pPr>
    <w:rPr>
      <w:rFonts w:asciiTheme="minorHAnsi" w:eastAsiaTheme="minorHAnsi"/>
      <w:sz w:val="18"/>
      <w:szCs w:val="18"/>
    </w:rPr>
  </w:style>
  <w:style w:type="paragraph" w:styleId="23">
    <w:name w:val="List"/>
    <w:basedOn w:val="1"/>
    <w:next w:val="24"/>
    <w:qFormat/>
    <w:uiPriority w:val="0"/>
    <w:pPr>
      <w:adjustRightInd w:val="0"/>
      <w:spacing w:line="360" w:lineRule="atLeast"/>
      <w:ind w:left="420" w:hanging="420"/>
      <w:jc w:val="left"/>
    </w:pPr>
    <w:rPr>
      <w:rFonts w:hint="eastAsia" w:ascii="宋体"/>
      <w:kern w:val="0"/>
      <w:sz w:val="24"/>
      <w:szCs w:val="20"/>
    </w:rPr>
  </w:style>
  <w:style w:type="paragraph" w:styleId="24">
    <w:name w:val="Body Text Indent 3"/>
    <w:basedOn w:val="1"/>
    <w:semiHidden/>
    <w:unhideWhenUsed/>
    <w:qFormat/>
    <w:uiPriority w:val="99"/>
    <w:pPr>
      <w:spacing w:after="120"/>
      <w:ind w:left="420" w:leftChars="200"/>
    </w:pPr>
    <w:rPr>
      <w:sz w:val="16"/>
      <w:szCs w:val="16"/>
    </w:rPr>
  </w:style>
  <w:style w:type="paragraph" w:styleId="25">
    <w:name w:val="footnote text"/>
    <w:basedOn w:val="1"/>
    <w:qFormat/>
    <w:uiPriority w:val="0"/>
    <w:pPr>
      <w:widowControl/>
      <w:jc w:val="left"/>
    </w:pPr>
    <w:rPr>
      <w:kern w:val="0"/>
      <w:sz w:val="20"/>
      <w:szCs w:val="20"/>
      <w:lang w:val="de-DE"/>
    </w:rPr>
  </w:style>
  <w:style w:type="paragraph" w:styleId="26">
    <w:name w:val="toc 6"/>
    <w:basedOn w:val="1"/>
    <w:next w:val="1"/>
    <w:autoRedefine/>
    <w:unhideWhenUsed/>
    <w:qFormat/>
    <w:uiPriority w:val="39"/>
    <w:pPr>
      <w:ind w:left="1200"/>
    </w:pPr>
    <w:rPr>
      <w:rFonts w:asciiTheme="minorHAnsi" w:eastAsiaTheme="minorHAnsi"/>
      <w:sz w:val="18"/>
      <w:szCs w:val="18"/>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Normal (Web)"/>
    <w:basedOn w:val="1"/>
    <w:qFormat/>
    <w:uiPriority w:val="0"/>
    <w:pPr>
      <w:widowControl/>
      <w:spacing w:before="100" w:beforeAutospacing="1" w:after="100" w:afterAutospacing="1" w:line="240" w:lineRule="auto"/>
    </w:pPr>
    <w:rPr>
      <w:rFonts w:cs="宋体"/>
      <w:kern w:val="0"/>
      <w:szCs w:val="20"/>
    </w:rPr>
  </w:style>
  <w:style w:type="paragraph" w:styleId="30">
    <w:name w:val="Title"/>
    <w:basedOn w:val="1"/>
    <w:next w:val="1"/>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31">
    <w:name w:val="annotation subject"/>
    <w:basedOn w:val="11"/>
    <w:next w:val="11"/>
    <w:link w:val="56"/>
    <w:semiHidden/>
    <w:unhideWhenUsed/>
    <w:qFormat/>
    <w:uiPriority w:val="99"/>
    <w:pPr>
      <w:spacing w:line="360" w:lineRule="auto"/>
    </w:pPr>
    <w:rPr>
      <w:rFonts w:ascii="宋体" w:hAnsi="宋体" w:eastAsia="宋体"/>
      <w:b/>
      <w:bCs/>
      <w:sz w:val="24"/>
      <w:szCs w:val="22"/>
    </w:rPr>
  </w:style>
  <w:style w:type="paragraph" w:styleId="32">
    <w:name w:val="Body Text First Indent"/>
    <w:basedOn w:val="13"/>
    <w:semiHidden/>
    <w:unhideWhenUsed/>
    <w:qFormat/>
    <w:uiPriority w:val="99"/>
    <w:pPr>
      <w:ind w:firstLine="420" w:firstLineChars="100"/>
    </w:pPr>
  </w:style>
  <w:style w:type="table" w:styleId="34">
    <w:name w:val="Table Grid"/>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Hyperlink"/>
    <w:basedOn w:val="35"/>
    <w:unhideWhenUsed/>
    <w:qFormat/>
    <w:uiPriority w:val="99"/>
    <w:rPr>
      <w:color w:val="0563C1" w:themeColor="hyperlink"/>
      <w:u w:val="single"/>
      <w14:textFill>
        <w14:solidFill>
          <w14:schemeClr w14:val="hlink"/>
        </w14:solidFill>
      </w14:textFill>
    </w:rPr>
  </w:style>
  <w:style w:type="character" w:styleId="38">
    <w:name w:val="annotation reference"/>
    <w:basedOn w:val="35"/>
    <w:semiHidden/>
    <w:unhideWhenUsed/>
    <w:qFormat/>
    <w:uiPriority w:val="99"/>
    <w:rPr>
      <w:sz w:val="21"/>
      <w:szCs w:val="21"/>
    </w:rPr>
  </w:style>
  <w:style w:type="paragraph" w:customStyle="1" w:styleId="39">
    <w:name w:val="Default"/>
    <w:basedOn w:val="30"/>
    <w:next w:val="2"/>
    <w:link w:val="49"/>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paragraph" w:customStyle="1" w:styleId="40">
    <w:name w:val="正文缩进2"/>
    <w:basedOn w:val="1"/>
    <w:qFormat/>
    <w:uiPriority w:val="0"/>
    <w:pPr>
      <w:wordWrap w:val="0"/>
      <w:ind w:firstLine="200" w:firstLineChars="200"/>
    </w:pPr>
  </w:style>
  <w:style w:type="character" w:customStyle="1" w:styleId="41">
    <w:name w:val="页眉 字符"/>
    <w:basedOn w:val="35"/>
    <w:link w:val="20"/>
    <w:qFormat/>
    <w:uiPriority w:val="99"/>
    <w:rPr>
      <w:rFonts w:eastAsia="宋体"/>
      <w:sz w:val="18"/>
      <w:szCs w:val="18"/>
    </w:rPr>
  </w:style>
  <w:style w:type="character" w:customStyle="1" w:styleId="42">
    <w:name w:val="页脚 字符"/>
    <w:basedOn w:val="35"/>
    <w:link w:val="19"/>
    <w:qFormat/>
    <w:uiPriority w:val="99"/>
    <w:rPr>
      <w:rFonts w:eastAsia="宋体"/>
      <w:sz w:val="18"/>
      <w:szCs w:val="18"/>
    </w:rPr>
  </w:style>
  <w:style w:type="character" w:customStyle="1" w:styleId="43">
    <w:name w:val="标题 1 字符"/>
    <w:basedOn w:val="35"/>
    <w:link w:val="2"/>
    <w:qFormat/>
    <w:uiPriority w:val="9"/>
    <w:rPr>
      <w:rFonts w:ascii="宋体" w:hAnsi="宋体" w:eastAsia="黑体"/>
      <w:b/>
      <w:bCs/>
      <w:kern w:val="44"/>
      <w:sz w:val="44"/>
      <w:szCs w:val="44"/>
    </w:rPr>
  </w:style>
  <w:style w:type="paragraph" w:styleId="44">
    <w:name w:val="List Paragraph"/>
    <w:basedOn w:val="1"/>
    <w:link w:val="52"/>
    <w:qFormat/>
    <w:uiPriority w:val="34"/>
    <w:pPr>
      <w:ind w:firstLine="420" w:firstLineChars="200"/>
    </w:pPr>
  </w:style>
  <w:style w:type="character" w:customStyle="1" w:styleId="45">
    <w:name w:val="标题 2 字符"/>
    <w:basedOn w:val="35"/>
    <w:link w:val="3"/>
    <w:qFormat/>
    <w:uiPriority w:val="9"/>
    <w:rPr>
      <w:rFonts w:eastAsia="宋体" w:asciiTheme="majorHAnsi" w:hAnsiTheme="majorHAnsi" w:cstheme="majorBidi"/>
      <w:b/>
      <w:bCs/>
      <w:sz w:val="32"/>
      <w:szCs w:val="32"/>
    </w:rPr>
  </w:style>
  <w:style w:type="character" w:customStyle="1" w:styleId="46">
    <w:name w:val="未处理的提及1"/>
    <w:basedOn w:val="35"/>
    <w:semiHidden/>
    <w:unhideWhenUsed/>
    <w:qFormat/>
    <w:uiPriority w:val="99"/>
    <w:rPr>
      <w:color w:val="605E5C"/>
      <w:shd w:val="clear" w:color="auto" w:fill="E1DFDD"/>
    </w:rPr>
  </w:style>
  <w:style w:type="character" w:customStyle="1" w:styleId="47">
    <w:name w:val="正文文本 字符"/>
    <w:basedOn w:val="35"/>
    <w:link w:val="13"/>
    <w:qFormat/>
    <w:uiPriority w:val="99"/>
    <w:rPr>
      <w:rFonts w:ascii="Times New Roman" w:hAnsi="Times New Roman" w:eastAsia="宋体" w:cs="Times New Roman"/>
      <w:kern w:val="0"/>
      <w:sz w:val="20"/>
      <w:szCs w:val="20"/>
    </w:rPr>
  </w:style>
  <w:style w:type="character" w:customStyle="1" w:styleId="48">
    <w:name w:val="正文文本 3 字符"/>
    <w:basedOn w:val="35"/>
    <w:link w:val="12"/>
    <w:semiHidden/>
    <w:qFormat/>
    <w:uiPriority w:val="99"/>
    <w:rPr>
      <w:rFonts w:ascii="宋体" w:hAnsi="宋体" w:eastAsia="宋体"/>
      <w:sz w:val="16"/>
      <w:szCs w:val="16"/>
    </w:rPr>
  </w:style>
  <w:style w:type="character" w:customStyle="1" w:styleId="49">
    <w:name w:val="Default Char Char"/>
    <w:link w:val="39"/>
    <w:qFormat/>
    <w:uiPriority w:val="0"/>
    <w:rPr>
      <w:rFonts w:ascii=".." w:hAnsi="Times New Roman" w:eastAsia=".." w:cs="Times New Roman"/>
      <w:color w:val="000000"/>
      <w:kern w:val="0"/>
      <w:sz w:val="24"/>
      <w:szCs w:val="24"/>
    </w:rPr>
  </w:style>
  <w:style w:type="paragraph" w:styleId="50">
    <w:name w:val="No Spacing"/>
    <w:link w:val="55"/>
    <w:qFormat/>
    <w:uiPriority w:val="1"/>
    <w:pPr>
      <w:widowControl w:val="0"/>
    </w:pPr>
    <w:rPr>
      <w:rFonts w:ascii="宋体" w:hAnsi="宋体" w:eastAsia="宋体" w:cstheme="minorBidi"/>
      <w:kern w:val="2"/>
      <w:sz w:val="21"/>
      <w:szCs w:val="22"/>
      <w:lang w:val="en-US" w:eastAsia="zh-CN" w:bidi="ar-SA"/>
    </w:rPr>
  </w:style>
  <w:style w:type="character" w:customStyle="1" w:styleId="51">
    <w:name w:val="批注文字 字符"/>
    <w:basedOn w:val="35"/>
    <w:link w:val="11"/>
    <w:qFormat/>
    <w:uiPriority w:val="0"/>
    <w:rPr>
      <w:szCs w:val="24"/>
    </w:rPr>
  </w:style>
  <w:style w:type="character" w:customStyle="1" w:styleId="52">
    <w:name w:val="列表段落 字符"/>
    <w:link w:val="44"/>
    <w:qFormat/>
    <w:uiPriority w:val="34"/>
    <w:rPr>
      <w:rFonts w:ascii="宋体" w:hAnsi="宋体" w:eastAsia="宋体"/>
      <w:sz w:val="24"/>
    </w:rPr>
  </w:style>
  <w:style w:type="character" w:customStyle="1" w:styleId="53">
    <w:name w:val="标题 3 字符"/>
    <w:basedOn w:val="35"/>
    <w:link w:val="6"/>
    <w:autoRedefine/>
    <w:qFormat/>
    <w:uiPriority w:val="9"/>
    <w:rPr>
      <w:rFonts w:ascii="宋体" w:hAnsi="宋体" w:eastAsia="宋体"/>
      <w:b/>
      <w:bCs/>
      <w:sz w:val="32"/>
      <w:szCs w:val="32"/>
    </w:rPr>
  </w:style>
  <w:style w:type="character" w:customStyle="1" w:styleId="54">
    <w:name w:val="标题 4 字符"/>
    <w:basedOn w:val="35"/>
    <w:link w:val="7"/>
    <w:autoRedefine/>
    <w:qFormat/>
    <w:uiPriority w:val="9"/>
    <w:rPr>
      <w:rFonts w:eastAsia="宋体" w:asciiTheme="majorHAnsi" w:hAnsiTheme="majorHAnsi" w:cstheme="majorBidi"/>
      <w:b/>
      <w:bCs/>
      <w:sz w:val="28"/>
      <w:szCs w:val="28"/>
    </w:rPr>
  </w:style>
  <w:style w:type="character" w:customStyle="1" w:styleId="55">
    <w:name w:val="无间隔 字符"/>
    <w:link w:val="50"/>
    <w:qFormat/>
    <w:uiPriority w:val="1"/>
    <w:rPr>
      <w:rFonts w:ascii="宋体" w:hAnsi="宋体" w:eastAsia="宋体"/>
    </w:rPr>
  </w:style>
  <w:style w:type="character" w:customStyle="1" w:styleId="56">
    <w:name w:val="批注主题 字符"/>
    <w:basedOn w:val="51"/>
    <w:link w:val="31"/>
    <w:semiHidden/>
    <w:qFormat/>
    <w:uiPriority w:val="99"/>
    <w:rPr>
      <w:rFonts w:ascii="宋体" w:hAnsi="宋体" w:eastAsia="宋体"/>
      <w:b/>
      <w:bCs/>
      <w:kern w:val="2"/>
      <w:sz w:val="24"/>
      <w:szCs w:val="22"/>
    </w:rPr>
  </w:style>
  <w:style w:type="paragraph" w:customStyle="1" w:styleId="5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正文1"/>
    <w:autoRedefine/>
    <w:qFormat/>
    <w:uiPriority w:val="0"/>
    <w:pPr>
      <w:widowControl w:val="0"/>
      <w:jc w:val="both"/>
    </w:pPr>
    <w:rPr>
      <w:rFonts w:ascii="Calibri" w:hAnsi="Calibri" w:eastAsia="宋体" w:cs="Times New Roman"/>
      <w:lang w:val="en-US" w:eastAsia="zh-CN" w:bidi="ar-SA"/>
    </w:rPr>
  </w:style>
  <w:style w:type="paragraph" w:customStyle="1" w:styleId="60">
    <w:name w:val="正文_2"/>
    <w:autoRedefine/>
    <w:qFormat/>
    <w:uiPriority w:val="0"/>
    <w:pPr>
      <w:widowControl w:val="0"/>
      <w:jc w:val="both"/>
    </w:pPr>
    <w:rPr>
      <w:rFonts w:ascii="Calibri" w:hAnsi="Calibri" w:eastAsia="宋体" w:cs="Times New Roman"/>
      <w:lang w:val="en-US" w:eastAsia="zh-CN" w:bidi="ar-SA"/>
    </w:rPr>
  </w:style>
  <w:style w:type="paragraph" w:customStyle="1" w:styleId="61">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62">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64">
    <w:name w:val="列出段落1"/>
    <w:basedOn w:val="1"/>
    <w:autoRedefine/>
    <w:qFormat/>
    <w:uiPriority w:val="0"/>
    <w:pPr>
      <w:ind w:firstLine="420" w:firstLineChars="200"/>
    </w:pPr>
    <w:rPr>
      <w:szCs w:val="21"/>
    </w:rPr>
  </w:style>
  <w:style w:type="paragraph" w:customStyle="1" w:styleId="65">
    <w:name w:val="Normal_22"/>
    <w:autoRedefine/>
    <w:qFormat/>
    <w:uiPriority w:val="0"/>
    <w:rPr>
      <w:rFonts w:ascii="Times New Roman" w:hAnsi="Times New Roman" w:eastAsia="Times New Roman" w:cs="Times New Roman"/>
      <w:sz w:val="24"/>
      <w:szCs w:val="24"/>
      <w:lang w:bidi="ar-SA"/>
    </w:rPr>
  </w:style>
  <w:style w:type="paragraph" w:customStyle="1" w:styleId="66">
    <w:name w:val="Char Char Char Char Char Char Char1 Char"/>
    <w:basedOn w:val="1"/>
    <w:autoRedefine/>
    <w:qFormat/>
    <w:uiPriority w:val="0"/>
    <w:rPr>
      <w:rFonts w:ascii="Arial" w:hAnsi="Arial" w:eastAsia="宋体" w:cs="Arial"/>
      <w:sz w:val="24"/>
    </w:rPr>
  </w:style>
  <w:style w:type="paragraph" w:customStyle="1" w:styleId="67">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68">
    <w:name w:val="正"/>
    <w:basedOn w:val="62"/>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69">
    <w:name w:val="正文首行缩进 21"/>
    <w:basedOn w:val="14"/>
    <w:next w:val="17"/>
    <w:unhideWhenUsed/>
    <w:qFormat/>
    <w:uiPriority w:val="99"/>
    <w:pPr>
      <w:ind w:firstLine="420" w:firstLineChars="200"/>
    </w:pPr>
  </w:style>
  <w:style w:type="paragraph" w:customStyle="1" w:styleId="70">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71">
    <w:name w:val="_Style 8"/>
    <w:basedOn w:val="2"/>
    <w:next w:val="1"/>
    <w:qFormat/>
    <w:uiPriority w:val="0"/>
    <w:pPr>
      <w:outlineLvl w:val="9"/>
    </w:pPr>
  </w:style>
  <w:style w:type="table" w:customStyle="1" w:styleId="72">
    <w:name w:val="Table Normal"/>
    <w:semiHidden/>
    <w:unhideWhenUsed/>
    <w:qFormat/>
    <w:uiPriority w:val="0"/>
    <w:tblPr>
      <w:tblCellMar>
        <w:top w:w="0" w:type="dxa"/>
        <w:left w:w="0" w:type="dxa"/>
        <w:bottom w:w="0" w:type="dxa"/>
        <w:right w:w="0" w:type="dxa"/>
      </w:tblCellMar>
    </w:tblPr>
  </w:style>
  <w:style w:type="paragraph" w:customStyle="1" w:styleId="73">
    <w:name w:val="Table Text"/>
    <w:basedOn w:val="1"/>
    <w:semiHidden/>
    <w:qFormat/>
    <w:uiPriority w:val="0"/>
    <w:rPr>
      <w:rFonts w:ascii="宋体" w:hAnsi="宋体" w:eastAsia="宋体" w:cs="宋体"/>
      <w:sz w:val="21"/>
      <w:szCs w:val="21"/>
      <w:lang w:val="en-US" w:eastAsia="en-US" w:bidi="ar-SA"/>
    </w:rPr>
  </w:style>
  <w:style w:type="paragraph" w:customStyle="1" w:styleId="74">
    <w:name w:val="正文_0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76">
    <w:name w:val="Normal_3"/>
    <w:qFormat/>
    <w:uiPriority w:val="0"/>
    <w:rPr>
      <w:rFonts w:ascii="黑体" w:hAnsi="黑体" w:eastAsia="黑体" w:cs="Times New Roman"/>
      <w:b/>
      <w:sz w:val="32"/>
      <w:szCs w:val="24"/>
      <w:lang w:val="en-US" w:eastAsia="zh-CN" w:bidi="ar-SA"/>
    </w:rPr>
  </w:style>
  <w:style w:type="paragraph" w:customStyle="1" w:styleId="77">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79">
    <w:name w:val="Normal_4"/>
    <w:qFormat/>
    <w:uiPriority w:val="0"/>
    <w:rPr>
      <w:rFonts w:ascii="黑体" w:hAnsi="黑体" w:eastAsia="黑体" w:cs="Times New Roman"/>
      <w:b/>
      <w:sz w:val="32"/>
      <w:szCs w:val="24"/>
      <w:lang w:val="en-US" w:eastAsia="zh-CN" w:bidi="ar-SA"/>
    </w:rPr>
  </w:style>
  <w:style w:type="paragraph" w:customStyle="1" w:styleId="80">
    <w:name w:val="TOAHeading"/>
    <w:next w:val="1"/>
    <w:qFormat/>
    <w:uiPriority w:val="0"/>
    <w:pPr>
      <w:widowControl w:val="0"/>
      <w:spacing w:before="120"/>
      <w:jc w:val="both"/>
      <w:textAlignment w:val="baseline"/>
    </w:pPr>
    <w:rPr>
      <w:rFonts w:ascii="Arial" w:hAnsi="Arial" w:eastAsia="宋体" w:cs="Times New Roman"/>
      <w:kern w:val="2"/>
      <w:sz w:val="24"/>
      <w:szCs w:val="22"/>
      <w:lang w:val="en-US" w:eastAsia="zh-CN" w:bidi="ar-SA"/>
    </w:rPr>
  </w:style>
  <w:style w:type="character" w:customStyle="1" w:styleId="81">
    <w:name w:val="标题 2 Char"/>
    <w:link w:val="3"/>
    <w:qFormat/>
    <w:uiPriority w:val="0"/>
    <w:rPr>
      <w:rFonts w:ascii="微软雅黑" w:hAnsi="微软雅黑" w:eastAsia="微软雅黑" w:cs="微软雅黑"/>
      <w:b/>
      <w:bCs/>
      <w:sz w:val="32"/>
      <w:szCs w:val="3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222</Pages>
  <Words>3599</Words>
  <Characters>4119</Characters>
  <Lines>294</Lines>
  <Paragraphs>82</Paragraphs>
  <TotalTime>56</TotalTime>
  <ScaleCrop>false</ScaleCrop>
  <LinksUpToDate>false</LinksUpToDate>
  <CharactersWithSpaces>4284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admin</dc:creator>
  <cp:lastModifiedBy>徐中凤</cp:lastModifiedBy>
  <cp:lastPrinted>2024-12-28T09:36:00Z</cp:lastPrinted>
  <dcterms:modified xsi:type="dcterms:W3CDTF">2025-07-11T06:33:58Z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D342C28C460E4BEC942966937B3ED452_13</vt:lpwstr>
  </property>
  <property fmtid="{D5CDD505-2E9C-101B-9397-08002B2CF9AE}" pid="4" name="KSOTemplateDocerSaveRecord">
    <vt:lpwstr>eyJoZGlkIjoiY2VjMmZmNjBlZjg5MDljNDJlYjRmZmNlNGJkZTg4ZTIiLCJ1c2VySWQiOiIyOTY5MDU1MTYifQ==</vt:lpwstr>
  </property>
</Properties>
</file>