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color w:val="auto"/>
          <w:highlight w:val="none"/>
        </w:rPr>
      </w:pPr>
      <w:r>
        <w:rPr>
          <w:rFonts w:hint="eastAsia" w:ascii="仿宋" w:hAnsi="仿宋" w:eastAsia="仿宋" w:cs="仿宋"/>
          <w:color w:val="auto"/>
          <w:highlight w:val="none"/>
        </w:rPr>
        <w:drawing>
          <wp:inline distT="0" distB="0" distL="0" distR="0">
            <wp:extent cx="2324100" cy="933450"/>
            <wp:effectExtent l="0" t="0" r="0" b="0"/>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pic:cNvPicPr>
                      <a:picLocks noChangeAspect="1" noChangeArrowheads="1"/>
                    </pic:cNvPicPr>
                  </pic:nvPicPr>
                  <pic:blipFill>
                    <a:blip r:embed="rId14" cstate="print"/>
                    <a:srcRect/>
                    <a:stretch>
                      <a:fillRect/>
                    </a:stretch>
                  </pic:blipFill>
                  <pic:spPr>
                    <a:xfrm>
                      <a:off x="0" y="0"/>
                      <a:ext cx="2324100" cy="933450"/>
                    </a:xfrm>
                    <a:prstGeom prst="rect">
                      <a:avLst/>
                    </a:prstGeom>
                    <a:noFill/>
                    <a:ln w="9525">
                      <a:noFill/>
                      <a:miter lim="800000"/>
                      <a:headEnd/>
                      <a:tailEnd/>
                    </a:ln>
                  </pic:spPr>
                </pic:pic>
              </a:graphicData>
            </a:graphic>
          </wp:inline>
        </w:drawing>
      </w: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jc w:val="center"/>
        <w:rPr>
          <w:rFonts w:ascii="仿宋" w:hAnsi="仿宋" w:eastAsia="仿宋" w:cs="仿宋"/>
          <w:b/>
          <w:color w:val="auto"/>
          <w:sz w:val="52"/>
          <w:highlight w:val="none"/>
        </w:rPr>
      </w:pPr>
    </w:p>
    <w:p>
      <w:pPr>
        <w:jc w:val="center"/>
        <w:rPr>
          <w:rFonts w:ascii="仿宋" w:hAnsi="仿宋" w:eastAsia="仿宋" w:cs="仿宋"/>
          <w:b/>
          <w:color w:val="auto"/>
          <w:sz w:val="52"/>
          <w:highlight w:val="none"/>
        </w:rPr>
      </w:pPr>
    </w:p>
    <w:p>
      <w:pPr>
        <w:jc w:val="center"/>
        <w:rPr>
          <w:rFonts w:ascii="仿宋" w:hAnsi="仿宋" w:eastAsia="仿宋" w:cs="仿宋"/>
          <w:color w:val="auto"/>
          <w:sz w:val="48"/>
          <w:highlight w:val="none"/>
        </w:rPr>
      </w:pPr>
      <w:r>
        <w:rPr>
          <w:rFonts w:hint="eastAsia" w:ascii="仿宋" w:hAnsi="仿宋" w:eastAsia="仿宋" w:cs="仿宋"/>
          <w:color w:val="auto"/>
          <w:sz w:val="120"/>
          <w:szCs w:val="120"/>
          <w:highlight w:val="none"/>
        </w:rPr>
        <w:t>招 标 文 件</w:t>
      </w:r>
    </w:p>
    <w:p>
      <w:pPr>
        <w:rPr>
          <w:rFonts w:ascii="仿宋" w:hAnsi="仿宋" w:eastAsia="仿宋" w:cs="仿宋"/>
          <w:color w:val="auto"/>
          <w:sz w:val="48"/>
          <w:highlight w:val="none"/>
        </w:rPr>
      </w:pPr>
    </w:p>
    <w:p>
      <w:pPr>
        <w:rPr>
          <w:rFonts w:ascii="仿宋" w:hAnsi="仿宋" w:eastAsia="仿宋" w:cs="仿宋"/>
          <w:color w:val="auto"/>
          <w:sz w:val="48"/>
          <w:highlight w:val="none"/>
        </w:rPr>
      </w:pPr>
    </w:p>
    <w:p>
      <w:pPr>
        <w:pStyle w:val="27"/>
        <w:ind w:left="2337" w:leftChars="539" w:hanging="1206" w:hangingChars="335"/>
        <w:rPr>
          <w:rFonts w:ascii="仿宋" w:hAnsi="仿宋" w:eastAsia="仿宋" w:cs="仿宋"/>
          <w:color w:val="auto"/>
          <w:sz w:val="36"/>
          <w:szCs w:val="36"/>
          <w:highlight w:val="none"/>
        </w:rPr>
      </w:pPr>
      <w:r>
        <w:rPr>
          <w:rFonts w:hint="eastAsia" w:ascii="仿宋" w:hAnsi="仿宋" w:eastAsia="仿宋" w:cs="仿宋"/>
          <w:color w:val="auto"/>
          <w:sz w:val="36"/>
          <w:szCs w:val="36"/>
          <w:highlight w:val="none"/>
        </w:rPr>
        <w:t>项目编号：2241xzjk010</w:t>
      </w:r>
    </w:p>
    <w:p>
      <w:pPr>
        <w:pStyle w:val="27"/>
        <w:ind w:left="2950" w:leftChars="538" w:hanging="1821" w:hangingChars="506"/>
        <w:rPr>
          <w:rFonts w:ascii="仿宋" w:hAnsi="仿宋" w:eastAsia="仿宋" w:cs="仿宋"/>
          <w:color w:val="auto"/>
          <w:sz w:val="36"/>
          <w:szCs w:val="36"/>
          <w:highlight w:val="none"/>
        </w:rPr>
      </w:pPr>
      <w:r>
        <w:rPr>
          <w:rFonts w:hint="eastAsia" w:ascii="仿宋" w:hAnsi="仿宋" w:eastAsia="仿宋" w:cs="仿宋"/>
          <w:color w:val="auto"/>
          <w:sz w:val="36"/>
          <w:szCs w:val="36"/>
          <w:highlight w:val="none"/>
        </w:rPr>
        <w:t>项目名称：克拉玛依医学基地（中心医院改造迁建工程）紫外线消毒设施工程</w:t>
      </w:r>
    </w:p>
    <w:p>
      <w:pPr>
        <w:pStyle w:val="27"/>
        <w:ind w:left="2337" w:leftChars="539" w:hanging="1206" w:hangingChars="335"/>
        <w:rPr>
          <w:rFonts w:ascii="仿宋" w:hAnsi="仿宋" w:eastAsia="仿宋" w:cs="仿宋"/>
          <w:color w:val="auto"/>
          <w:sz w:val="36"/>
          <w:szCs w:val="36"/>
          <w:highlight w:val="none"/>
        </w:rPr>
      </w:pPr>
    </w:p>
    <w:p>
      <w:pPr>
        <w:jc w:val="right"/>
        <w:rPr>
          <w:rFonts w:ascii="仿宋" w:hAnsi="仿宋" w:eastAsia="仿宋" w:cs="仿宋"/>
          <w:color w:val="auto"/>
          <w:sz w:val="40"/>
          <w:highlight w:val="none"/>
        </w:rPr>
      </w:pPr>
    </w:p>
    <w:p>
      <w:pPr>
        <w:rPr>
          <w:rFonts w:ascii="仿宋" w:hAnsi="仿宋" w:eastAsia="仿宋" w:cs="仿宋"/>
          <w:color w:val="auto"/>
          <w:sz w:val="40"/>
          <w:highlight w:val="none"/>
        </w:rPr>
      </w:pPr>
    </w:p>
    <w:p>
      <w:pPr>
        <w:pStyle w:val="5"/>
        <w:rPr>
          <w:rFonts w:ascii="仿宋" w:hAnsi="仿宋" w:eastAsia="仿宋" w:cs="仿宋"/>
          <w:color w:val="auto"/>
          <w:highlight w:val="none"/>
        </w:rPr>
      </w:pPr>
    </w:p>
    <w:p>
      <w:pPr>
        <w:pStyle w:val="27"/>
        <w:ind w:left="2203" w:leftChars="539" w:hanging="1072" w:hangingChars="335"/>
        <w:rPr>
          <w:rFonts w:ascii="仿宋" w:hAnsi="仿宋" w:eastAsia="仿宋" w:cs="仿宋"/>
          <w:color w:val="auto"/>
          <w:sz w:val="32"/>
          <w:szCs w:val="32"/>
          <w:highlight w:val="none"/>
        </w:rPr>
      </w:pPr>
    </w:p>
    <w:p>
      <w:pPr>
        <w:jc w:val="center"/>
        <w:rPr>
          <w:rFonts w:ascii="仿宋" w:hAnsi="仿宋" w:eastAsia="仿宋" w:cs="仿宋"/>
          <w:color w:val="auto"/>
          <w:sz w:val="32"/>
          <w:szCs w:val="32"/>
          <w:highlight w:val="none"/>
        </w:rPr>
      </w:pPr>
    </w:p>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新疆新之建工程咨询有限公司</w:t>
      </w:r>
    </w:p>
    <w:p>
      <w:pPr>
        <w:jc w:val="center"/>
        <w:rPr>
          <w:rFonts w:ascii="仿宋" w:hAnsi="仿宋" w:eastAsia="仿宋" w:cs="仿宋"/>
          <w:b/>
          <w:color w:val="auto"/>
          <w:sz w:val="44"/>
          <w:szCs w:val="44"/>
          <w:highlight w:val="none"/>
        </w:rPr>
        <w:sectPr>
          <w:pgSz w:w="11906" w:h="16838"/>
          <w:pgMar w:top="1247" w:right="1134" w:bottom="1247" w:left="1134" w:header="851" w:footer="851" w:gutter="0"/>
          <w:cols w:space="720" w:num="1"/>
          <w:docGrid w:type="linesAndChars" w:linePitch="312" w:charSpace="0"/>
        </w:sectPr>
      </w:pPr>
      <w:r>
        <w:rPr>
          <w:rFonts w:hint="eastAsia" w:ascii="仿宋" w:hAnsi="仿宋" w:eastAsia="仿宋" w:cs="仿宋"/>
          <w:color w:val="auto"/>
          <w:sz w:val="32"/>
          <w:szCs w:val="32"/>
          <w:highlight w:val="none"/>
        </w:rPr>
        <w:t>2022年09月</w:t>
      </w:r>
    </w:p>
    <w:p>
      <w:pPr>
        <w:tabs>
          <w:tab w:val="left" w:pos="2700"/>
        </w:tabs>
        <w:spacing w:before="624" w:beforeLines="200" w:line="360" w:lineRule="atLeast"/>
        <w:rPr>
          <w:rFonts w:ascii="仿宋" w:hAnsi="仿宋" w:eastAsia="仿宋" w:cs="仿宋"/>
          <w:b/>
          <w:color w:val="auto"/>
          <w:sz w:val="44"/>
          <w:szCs w:val="44"/>
          <w:highlight w:val="none"/>
        </w:rPr>
        <w:sectPr>
          <w:headerReference r:id="rId4" w:type="default"/>
          <w:footerReference r:id="rId5" w:type="default"/>
          <w:type w:val="continuous"/>
          <w:pgSz w:w="11906" w:h="16838"/>
          <w:pgMar w:top="1247" w:right="1134" w:bottom="1247" w:left="1134" w:header="851" w:footer="851" w:gutter="0"/>
          <w:pgNumType w:start="0"/>
          <w:cols w:space="720" w:num="1"/>
          <w:titlePg/>
          <w:docGrid w:type="linesAndChars" w:linePitch="312" w:charSpace="0"/>
        </w:sectPr>
      </w:pPr>
    </w:p>
    <w:p>
      <w:pPr>
        <w:tabs>
          <w:tab w:val="left" w:pos="2700"/>
        </w:tabs>
        <w:spacing w:before="624" w:beforeLines="200" w:line="360" w:lineRule="atLeast"/>
        <w:jc w:val="center"/>
        <w:rPr>
          <w:rFonts w:ascii="仿宋" w:hAnsi="仿宋" w:eastAsia="仿宋" w:cs="仿宋"/>
          <w:color w:val="auto"/>
          <w:sz w:val="44"/>
          <w:szCs w:val="44"/>
          <w:highlight w:val="none"/>
        </w:rPr>
      </w:pPr>
      <w:r>
        <w:rPr>
          <w:rFonts w:hint="eastAsia" w:ascii="仿宋" w:hAnsi="仿宋" w:eastAsia="仿宋" w:cs="仿宋"/>
          <w:b/>
          <w:color w:val="auto"/>
          <w:sz w:val="44"/>
          <w:szCs w:val="44"/>
          <w:highlight w:val="none"/>
        </w:rPr>
        <w:t>目    录</w:t>
      </w:r>
    </w:p>
    <w:p>
      <w:pPr>
        <w:pStyle w:val="12"/>
        <w:tabs>
          <w:tab w:val="right" w:leader="dot" w:pos="9638"/>
        </w:tabs>
        <w:ind w:left="0" w:leftChars="0" w:firstLine="416" w:firstLineChars="139"/>
        <w:rPr>
          <w:rFonts w:ascii="仿宋" w:hAnsi="仿宋" w:eastAsia="仿宋" w:cs="仿宋"/>
          <w:b w:val="0"/>
          <w:bCs w:val="0"/>
          <w:color w:val="auto"/>
          <w:sz w:val="30"/>
          <w:szCs w:val="30"/>
          <w:highlight w:val="none"/>
        </w:rPr>
      </w:pPr>
      <w:r>
        <w:rPr>
          <w:rFonts w:hint="eastAsia" w:ascii="仿宋" w:hAnsi="仿宋" w:eastAsia="仿宋" w:cs="仿宋"/>
          <w:b w:val="0"/>
          <w:color w:val="auto"/>
          <w:sz w:val="30"/>
          <w:szCs w:val="30"/>
          <w:highlight w:val="none"/>
        </w:rPr>
        <w:fldChar w:fldCharType="begin"/>
      </w:r>
      <w:r>
        <w:rPr>
          <w:rFonts w:hint="eastAsia" w:ascii="仿宋" w:hAnsi="仿宋" w:eastAsia="仿宋" w:cs="仿宋"/>
          <w:b w:val="0"/>
          <w:color w:val="auto"/>
          <w:sz w:val="30"/>
          <w:szCs w:val="30"/>
          <w:highlight w:val="none"/>
        </w:rPr>
        <w:instrText xml:space="preserve"> TOC \o "1-3" \h \z \u </w:instrText>
      </w:r>
      <w:r>
        <w:rPr>
          <w:rFonts w:hint="eastAsia" w:ascii="仿宋" w:hAnsi="仿宋" w:eastAsia="仿宋" w:cs="仿宋"/>
          <w:b w:val="0"/>
          <w:color w:val="auto"/>
          <w:sz w:val="30"/>
          <w:szCs w:val="30"/>
          <w:highlight w:val="none"/>
        </w:rPr>
        <w:fldChar w:fldCharType="separate"/>
      </w:r>
      <w:r>
        <w:rPr>
          <w:color w:val="auto"/>
          <w:highlight w:val="none"/>
        </w:rPr>
        <w:fldChar w:fldCharType="begin"/>
      </w:r>
      <w:r>
        <w:rPr>
          <w:color w:val="auto"/>
          <w:highlight w:val="none"/>
        </w:rPr>
        <w:instrText xml:space="preserve"> HYPERLINK \l "_Toc5742" </w:instrText>
      </w:r>
      <w:r>
        <w:rPr>
          <w:color w:val="auto"/>
          <w:highlight w:val="none"/>
        </w:rPr>
        <w:fldChar w:fldCharType="separate"/>
      </w:r>
      <w:r>
        <w:rPr>
          <w:rFonts w:hint="eastAsia" w:ascii="仿宋" w:hAnsi="仿宋" w:eastAsia="仿宋" w:cs="仿宋"/>
          <w:b w:val="0"/>
          <w:bCs w:val="0"/>
          <w:color w:val="auto"/>
          <w:sz w:val="30"/>
          <w:szCs w:val="30"/>
          <w:highlight w:val="none"/>
        </w:rPr>
        <w:t>投标须知前附表</w:t>
      </w:r>
      <w:r>
        <w:rPr>
          <w:rFonts w:hint="eastAsia" w:ascii="仿宋" w:hAnsi="仿宋" w:eastAsia="仿宋" w:cs="仿宋"/>
          <w:b w:val="0"/>
          <w:bCs w:val="0"/>
          <w:color w:val="auto"/>
          <w:sz w:val="30"/>
          <w:szCs w:val="30"/>
          <w:highlight w:val="none"/>
        </w:rPr>
        <w:tab/>
      </w:r>
      <w:r>
        <w:rPr>
          <w:rFonts w:hint="eastAsia" w:ascii="仿宋" w:hAnsi="仿宋" w:eastAsia="仿宋" w:cs="仿宋"/>
          <w:b w:val="0"/>
          <w:bCs w:val="0"/>
          <w:color w:val="auto"/>
          <w:sz w:val="30"/>
          <w:szCs w:val="30"/>
          <w:highlight w:val="none"/>
        </w:rPr>
        <w:fldChar w:fldCharType="begin"/>
      </w:r>
      <w:r>
        <w:rPr>
          <w:rFonts w:hint="eastAsia" w:ascii="仿宋" w:hAnsi="仿宋" w:eastAsia="仿宋" w:cs="仿宋"/>
          <w:b w:val="0"/>
          <w:bCs w:val="0"/>
          <w:color w:val="auto"/>
          <w:sz w:val="30"/>
          <w:szCs w:val="30"/>
          <w:highlight w:val="none"/>
        </w:rPr>
        <w:instrText xml:space="preserve"> PAGEREF _Toc5742 \h </w:instrText>
      </w:r>
      <w:r>
        <w:rPr>
          <w:rFonts w:hint="eastAsia" w:ascii="仿宋" w:hAnsi="仿宋" w:eastAsia="仿宋" w:cs="仿宋"/>
          <w:b w:val="0"/>
          <w:bCs w:val="0"/>
          <w:color w:val="auto"/>
          <w:sz w:val="30"/>
          <w:szCs w:val="30"/>
          <w:highlight w:val="none"/>
        </w:rPr>
        <w:fldChar w:fldCharType="separate"/>
      </w:r>
      <w:r>
        <w:rPr>
          <w:rFonts w:hint="eastAsia" w:ascii="仿宋" w:hAnsi="仿宋" w:eastAsia="仿宋" w:cs="仿宋"/>
          <w:b w:val="0"/>
          <w:bCs w:val="0"/>
          <w:color w:val="auto"/>
          <w:sz w:val="30"/>
          <w:szCs w:val="30"/>
          <w:highlight w:val="none"/>
        </w:rPr>
        <w:t>1</w:t>
      </w:r>
      <w:r>
        <w:rPr>
          <w:rFonts w:hint="eastAsia" w:ascii="仿宋" w:hAnsi="仿宋" w:eastAsia="仿宋" w:cs="仿宋"/>
          <w:b w:val="0"/>
          <w:bCs w:val="0"/>
          <w:color w:val="auto"/>
          <w:sz w:val="30"/>
          <w:szCs w:val="30"/>
          <w:highlight w:val="none"/>
        </w:rPr>
        <w:fldChar w:fldCharType="end"/>
      </w:r>
      <w:r>
        <w:rPr>
          <w:rFonts w:hint="eastAsia" w:ascii="仿宋" w:hAnsi="仿宋" w:eastAsia="仿宋" w:cs="仿宋"/>
          <w:b w:val="0"/>
          <w:bCs w:val="0"/>
          <w:color w:val="auto"/>
          <w:sz w:val="30"/>
          <w:szCs w:val="30"/>
          <w:highlight w:val="none"/>
        </w:rPr>
        <w:fldChar w:fldCharType="end"/>
      </w:r>
    </w:p>
    <w:p>
      <w:pPr>
        <w:pStyle w:val="12"/>
        <w:tabs>
          <w:tab w:val="right" w:leader="dot" w:pos="9638"/>
        </w:tabs>
        <w:ind w:firstLine="600"/>
        <w:rPr>
          <w:rFonts w:ascii="仿宋" w:hAnsi="仿宋" w:eastAsia="仿宋" w:cs="仿宋"/>
          <w:b w:val="0"/>
          <w:bCs w:val="0"/>
          <w:color w:val="auto"/>
          <w:sz w:val="30"/>
          <w:szCs w:val="30"/>
          <w:highlight w:val="none"/>
        </w:rPr>
      </w:pPr>
      <w:r>
        <w:rPr>
          <w:color w:val="auto"/>
          <w:highlight w:val="none"/>
        </w:rPr>
        <w:fldChar w:fldCharType="begin"/>
      </w:r>
      <w:r>
        <w:rPr>
          <w:color w:val="auto"/>
          <w:highlight w:val="none"/>
        </w:rPr>
        <w:instrText xml:space="preserve"> HYPERLINK \l "_Toc7580" </w:instrText>
      </w:r>
      <w:r>
        <w:rPr>
          <w:color w:val="auto"/>
          <w:highlight w:val="none"/>
        </w:rPr>
        <w:fldChar w:fldCharType="separate"/>
      </w:r>
      <w:r>
        <w:rPr>
          <w:rFonts w:hint="eastAsia" w:ascii="仿宋" w:hAnsi="仿宋" w:eastAsia="仿宋" w:cs="仿宋"/>
          <w:b w:val="0"/>
          <w:bCs w:val="0"/>
          <w:color w:val="auto"/>
          <w:sz w:val="30"/>
          <w:szCs w:val="30"/>
          <w:highlight w:val="none"/>
        </w:rPr>
        <w:t>第一章 招标公告</w:t>
      </w:r>
      <w:r>
        <w:rPr>
          <w:rFonts w:hint="eastAsia" w:ascii="仿宋" w:hAnsi="仿宋" w:eastAsia="仿宋" w:cs="仿宋"/>
          <w:b w:val="0"/>
          <w:bCs w:val="0"/>
          <w:color w:val="auto"/>
          <w:sz w:val="30"/>
          <w:szCs w:val="30"/>
          <w:highlight w:val="none"/>
        </w:rPr>
        <w:tab/>
      </w:r>
      <w:r>
        <w:rPr>
          <w:rFonts w:hint="eastAsia" w:ascii="仿宋" w:hAnsi="仿宋" w:eastAsia="仿宋" w:cs="仿宋"/>
          <w:b w:val="0"/>
          <w:bCs w:val="0"/>
          <w:color w:val="auto"/>
          <w:sz w:val="30"/>
          <w:szCs w:val="30"/>
          <w:highlight w:val="none"/>
        </w:rPr>
        <w:t>5</w:t>
      </w:r>
      <w:r>
        <w:rPr>
          <w:rFonts w:hint="eastAsia" w:ascii="仿宋" w:hAnsi="仿宋" w:eastAsia="仿宋" w:cs="仿宋"/>
          <w:b w:val="0"/>
          <w:bCs w:val="0"/>
          <w:color w:val="auto"/>
          <w:sz w:val="30"/>
          <w:szCs w:val="30"/>
          <w:highlight w:val="none"/>
        </w:rPr>
        <w:fldChar w:fldCharType="end"/>
      </w:r>
    </w:p>
    <w:p>
      <w:pPr>
        <w:pStyle w:val="12"/>
        <w:tabs>
          <w:tab w:val="right" w:leader="dot" w:pos="9638"/>
        </w:tabs>
        <w:ind w:firstLine="600"/>
        <w:rPr>
          <w:rFonts w:ascii="仿宋" w:hAnsi="仿宋" w:eastAsia="仿宋" w:cs="仿宋"/>
          <w:b w:val="0"/>
          <w:bCs w:val="0"/>
          <w:color w:val="auto"/>
          <w:sz w:val="30"/>
          <w:szCs w:val="30"/>
          <w:highlight w:val="none"/>
        </w:rPr>
      </w:pPr>
      <w:r>
        <w:rPr>
          <w:color w:val="auto"/>
          <w:highlight w:val="none"/>
        </w:rPr>
        <w:fldChar w:fldCharType="begin"/>
      </w:r>
      <w:r>
        <w:rPr>
          <w:color w:val="auto"/>
          <w:highlight w:val="none"/>
        </w:rPr>
        <w:instrText xml:space="preserve"> HYPERLINK \l "_Toc24511" </w:instrText>
      </w:r>
      <w:r>
        <w:rPr>
          <w:color w:val="auto"/>
          <w:highlight w:val="none"/>
        </w:rPr>
        <w:fldChar w:fldCharType="separate"/>
      </w:r>
      <w:r>
        <w:rPr>
          <w:rFonts w:hint="eastAsia" w:ascii="仿宋" w:hAnsi="仿宋" w:eastAsia="仿宋" w:cs="仿宋"/>
          <w:b w:val="0"/>
          <w:bCs w:val="0"/>
          <w:color w:val="auto"/>
          <w:sz w:val="30"/>
          <w:szCs w:val="30"/>
          <w:highlight w:val="none"/>
        </w:rPr>
        <w:t>第二章 投标须知</w:t>
      </w:r>
      <w:r>
        <w:rPr>
          <w:rFonts w:hint="eastAsia" w:ascii="仿宋" w:hAnsi="仿宋" w:eastAsia="仿宋" w:cs="仿宋"/>
          <w:b w:val="0"/>
          <w:bCs w:val="0"/>
          <w:color w:val="auto"/>
          <w:sz w:val="30"/>
          <w:szCs w:val="30"/>
          <w:highlight w:val="none"/>
        </w:rPr>
        <w:tab/>
      </w:r>
      <w:r>
        <w:rPr>
          <w:rFonts w:hint="eastAsia" w:ascii="仿宋" w:hAnsi="仿宋" w:eastAsia="仿宋" w:cs="仿宋"/>
          <w:b w:val="0"/>
          <w:bCs w:val="0"/>
          <w:color w:val="auto"/>
          <w:sz w:val="30"/>
          <w:szCs w:val="30"/>
          <w:highlight w:val="none"/>
        </w:rPr>
        <w:t>1</w:t>
      </w:r>
      <w:r>
        <w:rPr>
          <w:rFonts w:hint="eastAsia" w:ascii="仿宋" w:hAnsi="仿宋" w:eastAsia="仿宋" w:cs="仿宋"/>
          <w:b w:val="0"/>
          <w:bCs w:val="0"/>
          <w:color w:val="auto"/>
          <w:sz w:val="30"/>
          <w:szCs w:val="30"/>
          <w:highlight w:val="none"/>
        </w:rPr>
        <w:fldChar w:fldCharType="end"/>
      </w:r>
      <w:r>
        <w:rPr>
          <w:rFonts w:hint="eastAsia" w:ascii="仿宋" w:hAnsi="仿宋" w:eastAsia="仿宋" w:cs="仿宋"/>
          <w:b w:val="0"/>
          <w:bCs w:val="0"/>
          <w:color w:val="auto"/>
          <w:sz w:val="30"/>
          <w:szCs w:val="30"/>
          <w:highlight w:val="none"/>
        </w:rPr>
        <w:t>0</w:t>
      </w:r>
    </w:p>
    <w:p>
      <w:pPr>
        <w:pStyle w:val="12"/>
        <w:tabs>
          <w:tab w:val="right" w:leader="dot" w:pos="9638"/>
        </w:tabs>
        <w:ind w:firstLine="600"/>
        <w:rPr>
          <w:rFonts w:ascii="仿宋" w:hAnsi="仿宋" w:eastAsia="仿宋" w:cs="仿宋"/>
          <w:b w:val="0"/>
          <w:bCs w:val="0"/>
          <w:color w:val="auto"/>
          <w:sz w:val="30"/>
          <w:szCs w:val="30"/>
          <w:highlight w:val="none"/>
        </w:rPr>
      </w:pPr>
      <w:r>
        <w:rPr>
          <w:color w:val="auto"/>
          <w:highlight w:val="none"/>
        </w:rPr>
        <w:fldChar w:fldCharType="begin"/>
      </w:r>
      <w:r>
        <w:rPr>
          <w:color w:val="auto"/>
          <w:highlight w:val="none"/>
        </w:rPr>
        <w:instrText xml:space="preserve"> HYPERLINK \l "_Toc19566" </w:instrText>
      </w:r>
      <w:r>
        <w:rPr>
          <w:color w:val="auto"/>
          <w:highlight w:val="none"/>
        </w:rPr>
        <w:fldChar w:fldCharType="separate"/>
      </w:r>
      <w:r>
        <w:rPr>
          <w:rFonts w:hint="eastAsia" w:ascii="仿宋" w:hAnsi="仿宋" w:eastAsia="仿宋" w:cs="仿宋"/>
          <w:b w:val="0"/>
          <w:bCs w:val="0"/>
          <w:color w:val="auto"/>
          <w:sz w:val="30"/>
          <w:szCs w:val="30"/>
          <w:highlight w:val="none"/>
        </w:rPr>
        <w:t>第三章 招标内容及技术要求</w:t>
      </w:r>
      <w:r>
        <w:rPr>
          <w:rFonts w:hint="eastAsia" w:ascii="仿宋" w:hAnsi="仿宋" w:eastAsia="仿宋" w:cs="仿宋"/>
          <w:b w:val="0"/>
          <w:bCs w:val="0"/>
          <w:color w:val="auto"/>
          <w:sz w:val="30"/>
          <w:szCs w:val="30"/>
          <w:highlight w:val="none"/>
        </w:rPr>
        <w:tab/>
      </w:r>
      <w:r>
        <w:rPr>
          <w:rFonts w:hint="eastAsia" w:ascii="仿宋" w:hAnsi="仿宋" w:eastAsia="仿宋" w:cs="仿宋"/>
          <w:b w:val="0"/>
          <w:bCs w:val="0"/>
          <w:color w:val="auto"/>
          <w:sz w:val="30"/>
          <w:szCs w:val="30"/>
          <w:highlight w:val="none"/>
        </w:rPr>
        <w:t>3</w:t>
      </w:r>
      <w:r>
        <w:rPr>
          <w:rFonts w:hint="eastAsia" w:ascii="仿宋" w:hAnsi="仿宋" w:eastAsia="仿宋" w:cs="仿宋"/>
          <w:b w:val="0"/>
          <w:bCs w:val="0"/>
          <w:color w:val="auto"/>
          <w:sz w:val="30"/>
          <w:szCs w:val="30"/>
          <w:highlight w:val="none"/>
        </w:rPr>
        <w:fldChar w:fldCharType="end"/>
      </w:r>
      <w:r>
        <w:rPr>
          <w:rFonts w:hint="eastAsia" w:ascii="仿宋" w:hAnsi="仿宋" w:eastAsia="仿宋" w:cs="仿宋"/>
          <w:b w:val="0"/>
          <w:bCs w:val="0"/>
          <w:color w:val="auto"/>
          <w:sz w:val="30"/>
          <w:szCs w:val="30"/>
          <w:highlight w:val="none"/>
        </w:rPr>
        <w:t>0</w:t>
      </w:r>
    </w:p>
    <w:p>
      <w:pPr>
        <w:pStyle w:val="12"/>
        <w:tabs>
          <w:tab w:val="right" w:leader="dot" w:pos="9638"/>
        </w:tabs>
        <w:ind w:firstLine="600"/>
        <w:rPr>
          <w:rFonts w:ascii="仿宋" w:hAnsi="仿宋" w:eastAsia="仿宋" w:cs="仿宋"/>
          <w:color w:val="auto"/>
          <w:highlight w:val="none"/>
        </w:rPr>
      </w:pPr>
      <w:r>
        <w:rPr>
          <w:color w:val="auto"/>
          <w:highlight w:val="none"/>
        </w:rPr>
        <w:fldChar w:fldCharType="begin"/>
      </w:r>
      <w:r>
        <w:rPr>
          <w:color w:val="auto"/>
          <w:highlight w:val="none"/>
        </w:rPr>
        <w:instrText xml:space="preserve"> HYPERLINK \l "_Toc20094" </w:instrText>
      </w:r>
      <w:r>
        <w:rPr>
          <w:color w:val="auto"/>
          <w:highlight w:val="none"/>
        </w:rPr>
        <w:fldChar w:fldCharType="separate"/>
      </w:r>
      <w:r>
        <w:rPr>
          <w:rFonts w:hint="eastAsia" w:ascii="仿宋" w:hAnsi="仿宋" w:eastAsia="仿宋" w:cs="仿宋"/>
          <w:b w:val="0"/>
          <w:bCs w:val="0"/>
          <w:color w:val="auto"/>
          <w:sz w:val="30"/>
          <w:szCs w:val="30"/>
          <w:highlight w:val="none"/>
        </w:rPr>
        <w:t>第四章 合同主要条款</w:t>
      </w:r>
      <w:r>
        <w:rPr>
          <w:rFonts w:hint="eastAsia" w:ascii="仿宋" w:hAnsi="仿宋" w:eastAsia="仿宋" w:cs="仿宋"/>
          <w:b w:val="0"/>
          <w:bCs w:val="0"/>
          <w:color w:val="auto"/>
          <w:sz w:val="30"/>
          <w:szCs w:val="30"/>
          <w:highlight w:val="none"/>
        </w:rPr>
        <w:tab/>
      </w:r>
      <w:r>
        <w:rPr>
          <w:rFonts w:hint="eastAsia" w:ascii="仿宋" w:hAnsi="仿宋" w:eastAsia="仿宋" w:cs="仿宋"/>
          <w:b w:val="0"/>
          <w:bCs w:val="0"/>
          <w:color w:val="auto"/>
          <w:sz w:val="30"/>
          <w:szCs w:val="30"/>
          <w:highlight w:val="none"/>
        </w:rPr>
        <w:t>5</w:t>
      </w:r>
      <w:r>
        <w:rPr>
          <w:rFonts w:hint="eastAsia" w:ascii="仿宋" w:hAnsi="仿宋" w:eastAsia="仿宋" w:cs="仿宋"/>
          <w:b w:val="0"/>
          <w:bCs w:val="0"/>
          <w:color w:val="auto"/>
          <w:sz w:val="30"/>
          <w:szCs w:val="30"/>
          <w:highlight w:val="none"/>
        </w:rPr>
        <w:fldChar w:fldCharType="end"/>
      </w:r>
      <w:r>
        <w:rPr>
          <w:rFonts w:hint="eastAsia" w:ascii="仿宋" w:hAnsi="仿宋" w:eastAsia="仿宋" w:cs="仿宋"/>
          <w:b w:val="0"/>
          <w:bCs w:val="0"/>
          <w:color w:val="auto"/>
          <w:sz w:val="30"/>
          <w:szCs w:val="30"/>
          <w:highlight w:val="none"/>
        </w:rPr>
        <w:t>7</w:t>
      </w:r>
    </w:p>
    <w:p>
      <w:pPr>
        <w:pStyle w:val="14"/>
        <w:tabs>
          <w:tab w:val="right" w:leader="dot" w:pos="9638"/>
        </w:tabs>
        <w:rPr>
          <w:rFonts w:ascii="仿宋" w:hAnsi="仿宋" w:eastAsia="仿宋" w:cs="仿宋"/>
          <w:color w:val="auto"/>
          <w:highlight w:val="none"/>
        </w:rPr>
      </w:pPr>
    </w:p>
    <w:p>
      <w:pPr>
        <w:pStyle w:val="28"/>
        <w:spacing w:line="540" w:lineRule="exact"/>
        <w:ind w:firstLine="560"/>
        <w:rPr>
          <w:rFonts w:ascii="仿宋" w:hAnsi="仿宋" w:eastAsia="仿宋" w:cs="仿宋"/>
          <w:color w:val="auto"/>
          <w:sz w:val="28"/>
          <w:highlight w:val="none"/>
        </w:rPr>
      </w:pPr>
      <w:r>
        <w:rPr>
          <w:rFonts w:hint="eastAsia" w:ascii="仿宋" w:hAnsi="仿宋" w:eastAsia="仿宋" w:cs="仿宋"/>
          <w:color w:val="auto"/>
          <w:szCs w:val="30"/>
          <w:highlight w:val="none"/>
        </w:rPr>
        <w:fldChar w:fldCharType="end"/>
      </w:r>
      <w:r>
        <w:rPr>
          <w:rFonts w:hint="eastAsia" w:ascii="仿宋" w:hAnsi="仿宋" w:eastAsia="仿宋" w:cs="仿宋"/>
          <w:color w:val="auto"/>
          <w:sz w:val="28"/>
          <w:highlight w:val="none"/>
        </w:rPr>
        <w:t>附件：（投标书格式）</w:t>
      </w:r>
    </w:p>
    <w:p>
      <w:pPr>
        <w:pStyle w:val="28"/>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附件一 投标书</w:t>
      </w:r>
    </w:p>
    <w:p>
      <w:pPr>
        <w:pStyle w:val="28"/>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附件二 法定代表人资格证明书（格式）/法定代表人授权委托书（格式）</w:t>
      </w:r>
    </w:p>
    <w:p>
      <w:pPr>
        <w:pStyle w:val="28"/>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附件三 供应商关于投标文件的声明函</w:t>
      </w:r>
    </w:p>
    <w:p>
      <w:pPr>
        <w:pStyle w:val="28"/>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附件四 供应商诚信投标承诺书</w:t>
      </w:r>
    </w:p>
    <w:p>
      <w:pPr>
        <w:pStyle w:val="28"/>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附件五 供应商反商业贿赂承诺书</w:t>
      </w:r>
    </w:p>
    <w:p>
      <w:pPr>
        <w:pStyle w:val="28"/>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附件六 开标一览表</w:t>
      </w:r>
    </w:p>
    <w:p>
      <w:pPr>
        <w:pStyle w:val="28"/>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 xml:space="preserve">附件七 </w:t>
      </w:r>
      <w:r>
        <w:rPr>
          <w:rFonts w:hint="eastAsia" w:ascii="仿宋" w:hAnsi="仿宋" w:eastAsia="仿宋" w:cs="仿宋"/>
          <w:color w:val="auto"/>
          <w:sz w:val="28"/>
          <w:highlight w:val="none"/>
          <w:lang w:val="en-US" w:eastAsia="zh-CN"/>
        </w:rPr>
        <w:t>核心设备</w:t>
      </w:r>
      <w:r>
        <w:rPr>
          <w:rFonts w:hint="eastAsia" w:ascii="仿宋" w:hAnsi="仿宋" w:eastAsia="仿宋" w:cs="仿宋"/>
          <w:color w:val="auto"/>
          <w:sz w:val="28"/>
          <w:highlight w:val="none"/>
        </w:rPr>
        <w:t>投标产品名称、数量、规格明细报价表</w:t>
      </w:r>
    </w:p>
    <w:p>
      <w:pPr>
        <w:pStyle w:val="28"/>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 xml:space="preserve">附件八 </w:t>
      </w:r>
      <w:r>
        <w:rPr>
          <w:rFonts w:hint="eastAsia" w:ascii="仿宋" w:hAnsi="仿宋" w:eastAsia="仿宋" w:cs="仿宋"/>
          <w:color w:val="auto"/>
          <w:sz w:val="28"/>
          <w:highlight w:val="none"/>
          <w:lang w:val="en-US" w:eastAsia="zh-CN"/>
        </w:rPr>
        <w:t>核心设备</w:t>
      </w:r>
      <w:r>
        <w:rPr>
          <w:rFonts w:hint="eastAsia" w:ascii="仿宋" w:hAnsi="仿宋" w:eastAsia="仿宋" w:cs="仿宋"/>
          <w:color w:val="auto"/>
          <w:sz w:val="28"/>
          <w:highlight w:val="none"/>
        </w:rPr>
        <w:t>技术规格偏离表</w:t>
      </w:r>
    </w:p>
    <w:p>
      <w:pPr>
        <w:pStyle w:val="28"/>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附件九 商务所有条款偏离表</w:t>
      </w:r>
    </w:p>
    <w:p>
      <w:pPr>
        <w:pStyle w:val="28"/>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 xml:space="preserve">附件十 </w:t>
      </w:r>
      <w:r>
        <w:rPr>
          <w:rFonts w:hint="eastAsia" w:ascii="仿宋" w:hAnsi="仿宋" w:eastAsia="仿宋" w:cs="仿宋"/>
          <w:color w:val="auto"/>
          <w:sz w:val="28"/>
          <w:highlight w:val="none"/>
          <w:lang w:val="en-US" w:eastAsia="zh-CN"/>
        </w:rPr>
        <w:t>核心设备</w:t>
      </w:r>
      <w:r>
        <w:rPr>
          <w:rFonts w:hint="eastAsia" w:ascii="仿宋" w:hAnsi="仿宋" w:eastAsia="仿宋" w:cs="仿宋"/>
          <w:color w:val="auto"/>
          <w:sz w:val="28"/>
          <w:highlight w:val="none"/>
        </w:rPr>
        <w:t>投标产品近三年相同产品销售业绩表</w:t>
      </w:r>
    </w:p>
    <w:p>
      <w:pPr>
        <w:pStyle w:val="28"/>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附件十一 中小企业声明函(货物)</w:t>
      </w:r>
    </w:p>
    <w:p>
      <w:pPr>
        <w:pStyle w:val="28"/>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附件十二 克拉玛依医学基地（中心医院改造迁建工程）紫外线消毒设施工程平面图纸及相关注意事项</w:t>
      </w:r>
    </w:p>
    <w:p>
      <w:pPr>
        <w:snapToGrid w:val="0"/>
        <w:spacing w:line="360" w:lineRule="auto"/>
        <w:ind w:firstLine="561"/>
        <w:rPr>
          <w:rFonts w:ascii="仿宋" w:hAnsi="仿宋" w:eastAsia="仿宋" w:cs="仿宋"/>
          <w:color w:val="auto"/>
          <w:sz w:val="28"/>
          <w:highlight w:val="none"/>
        </w:rPr>
      </w:pPr>
    </w:p>
    <w:p>
      <w:pPr>
        <w:pStyle w:val="16"/>
        <w:rPr>
          <w:rFonts w:ascii="仿宋" w:hAnsi="仿宋" w:cs="仿宋"/>
          <w:color w:val="auto"/>
          <w:kern w:val="0"/>
          <w:sz w:val="28"/>
          <w:szCs w:val="28"/>
          <w:highlight w:val="none"/>
        </w:rPr>
      </w:pPr>
    </w:p>
    <w:p>
      <w:pPr>
        <w:pStyle w:val="16"/>
        <w:ind w:left="0" w:firstLine="0"/>
        <w:rPr>
          <w:rFonts w:ascii="仿宋" w:hAnsi="仿宋" w:cs="仿宋"/>
          <w:color w:val="auto"/>
          <w:highlight w:val="none"/>
        </w:rPr>
        <w:sectPr>
          <w:footerReference r:id="rId7" w:type="first"/>
          <w:footerReference r:id="rId6" w:type="default"/>
          <w:pgSz w:w="11906" w:h="16838"/>
          <w:pgMar w:top="1247" w:right="1134" w:bottom="1247" w:left="1134" w:header="851" w:footer="851" w:gutter="0"/>
          <w:pgNumType w:start="0"/>
          <w:cols w:space="720" w:num="1"/>
          <w:titlePg/>
          <w:docGrid w:type="linesAndChars" w:linePitch="312" w:charSpace="0"/>
        </w:sectPr>
      </w:pPr>
    </w:p>
    <w:p>
      <w:pPr>
        <w:pStyle w:val="16"/>
        <w:rPr>
          <w:rFonts w:ascii="仿宋" w:hAnsi="仿宋" w:cs="仿宋"/>
          <w:color w:val="auto"/>
          <w:highlight w:val="none"/>
        </w:rPr>
      </w:pPr>
      <w:bookmarkStart w:id="0" w:name="_Toc5742"/>
      <w:r>
        <w:rPr>
          <w:rFonts w:hint="eastAsia" w:ascii="仿宋" w:hAnsi="仿宋" w:cs="仿宋"/>
          <w:color w:val="auto"/>
          <w:highlight w:val="none"/>
        </w:rPr>
        <w:t>投标须知前附表</w:t>
      </w:r>
      <w:bookmarkEnd w:id="0"/>
    </w:p>
    <w:tbl>
      <w:tblPr>
        <w:tblStyle w:val="17"/>
        <w:tblW w:w="9923" w:type="dxa"/>
        <w:tblInd w:w="-17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24"/>
        <w:gridCol w:w="909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6" w:hRule="atLeast"/>
          <w:tblHeader/>
        </w:trPr>
        <w:tc>
          <w:tcPr>
            <w:tcW w:w="824" w:type="dxa"/>
            <w:tcMar>
              <w:top w:w="57" w:type="dxa"/>
              <w:bottom w:w="57" w:type="dxa"/>
            </w:tcMar>
            <w:vAlign w:val="center"/>
          </w:tcPr>
          <w:p>
            <w:pPr>
              <w:pStyle w:val="27"/>
              <w:snapToGrid w:val="0"/>
              <w:spacing w:line="240" w:lineRule="auto"/>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099" w:type="dxa"/>
            <w:tcMar>
              <w:top w:w="57" w:type="dxa"/>
              <w:bottom w:w="57" w:type="dxa"/>
            </w:tcMar>
            <w:vAlign w:val="center"/>
          </w:tcPr>
          <w:p>
            <w:pPr>
              <w:pStyle w:val="27"/>
              <w:snapToGrid w:val="0"/>
              <w:spacing w:line="240" w:lineRule="auto"/>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内     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35" w:hRule="atLeast"/>
        </w:trPr>
        <w:tc>
          <w:tcPr>
            <w:tcW w:w="824" w:type="dxa"/>
            <w:tcMar>
              <w:top w:w="57" w:type="dxa"/>
              <w:bottom w:w="57" w:type="dxa"/>
            </w:tcMar>
            <w:vAlign w:val="center"/>
          </w:tcPr>
          <w:p>
            <w:pPr>
              <w:pStyle w:val="27"/>
              <w:spacing w:line="420" w:lineRule="exact"/>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099" w:type="dxa"/>
            <w:tcBorders>
              <w:bottom w:val="single" w:color="auto" w:sz="4" w:space="0"/>
            </w:tcBorders>
            <w:tcMar>
              <w:top w:w="57" w:type="dxa"/>
              <w:bottom w:w="57" w:type="dxa"/>
            </w:tcMar>
            <w:vAlign w:val="center"/>
          </w:tcPr>
          <w:p>
            <w:pPr>
              <w:pStyle w:val="27"/>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项目名称：克拉玛依医学基地（中心医院改造迁建工程）紫外线消毒设施工程</w:t>
            </w:r>
          </w:p>
          <w:p>
            <w:pPr>
              <w:pStyle w:val="27"/>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项目编号：2241xzjk010</w:t>
            </w:r>
          </w:p>
          <w:p>
            <w:pPr>
              <w:pStyle w:val="27"/>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招标内容：紫外线消毒设施1批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trPr>
        <w:tc>
          <w:tcPr>
            <w:tcW w:w="824" w:type="dxa"/>
            <w:tcMar>
              <w:top w:w="57" w:type="dxa"/>
              <w:bottom w:w="57" w:type="dxa"/>
            </w:tcMar>
            <w:vAlign w:val="center"/>
          </w:tcPr>
          <w:p>
            <w:pPr>
              <w:pStyle w:val="27"/>
              <w:spacing w:line="420" w:lineRule="exact"/>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099" w:type="dxa"/>
            <w:tcMar>
              <w:top w:w="57" w:type="dxa"/>
              <w:bottom w:w="57" w:type="dxa"/>
            </w:tcMar>
            <w:vAlign w:val="center"/>
          </w:tcPr>
          <w:p>
            <w:pPr>
              <w:pStyle w:val="27"/>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项目采购预算：总预算755.22万元。</w:t>
            </w:r>
          </w:p>
          <w:p>
            <w:pPr>
              <w:pStyle w:val="27"/>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投标人投标报价不得高于设备的预算单价及预算总价，否则其投标将被否决。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trPr>
        <w:tc>
          <w:tcPr>
            <w:tcW w:w="824" w:type="dxa"/>
            <w:tcMar>
              <w:top w:w="57" w:type="dxa"/>
              <w:bottom w:w="57" w:type="dxa"/>
            </w:tcMar>
            <w:vAlign w:val="center"/>
          </w:tcPr>
          <w:p>
            <w:pPr>
              <w:pStyle w:val="27"/>
              <w:spacing w:line="420" w:lineRule="exact"/>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9099" w:type="dxa"/>
            <w:tcMar>
              <w:top w:w="57" w:type="dxa"/>
              <w:bottom w:w="57" w:type="dxa"/>
            </w:tcMar>
            <w:vAlign w:val="center"/>
          </w:tcPr>
          <w:p>
            <w:pPr>
              <w:pStyle w:val="27"/>
              <w:spacing w:line="420" w:lineRule="exact"/>
              <w:ind w:firstLine="0" w:firstLineChars="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采购人：克拉玛依市卫生健康委员会</w:t>
            </w:r>
          </w:p>
          <w:p>
            <w:pPr>
              <w:pStyle w:val="27"/>
              <w:spacing w:line="420" w:lineRule="exact"/>
              <w:ind w:firstLine="0" w:firstLineChars="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联系人：宗金鹏</w:t>
            </w:r>
          </w:p>
          <w:p>
            <w:pPr>
              <w:pStyle w:val="27"/>
              <w:spacing w:line="420" w:lineRule="exact"/>
              <w:ind w:firstLine="0" w:firstLineChars="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联系电话：0990-6629677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4" w:hRule="atLeast"/>
        </w:trPr>
        <w:tc>
          <w:tcPr>
            <w:tcW w:w="824" w:type="dxa"/>
            <w:tcMar>
              <w:top w:w="57" w:type="dxa"/>
              <w:bottom w:w="57" w:type="dxa"/>
            </w:tcMar>
            <w:vAlign w:val="center"/>
          </w:tcPr>
          <w:p>
            <w:pPr>
              <w:pStyle w:val="27"/>
              <w:spacing w:line="420" w:lineRule="exact"/>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9099" w:type="dxa"/>
            <w:tcMar>
              <w:top w:w="57" w:type="dxa"/>
              <w:bottom w:w="57" w:type="dxa"/>
            </w:tcMar>
            <w:vAlign w:val="center"/>
          </w:tcPr>
          <w:p>
            <w:pPr>
              <w:pStyle w:val="27"/>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采购代理机构：新疆新之建工程咨询有限公司。</w:t>
            </w:r>
          </w:p>
          <w:p>
            <w:pPr>
              <w:pStyle w:val="27"/>
              <w:spacing w:line="420" w:lineRule="exact"/>
              <w:ind w:firstLine="0" w:firstLineChars="0"/>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地址：新疆乌鲁木齐市沙依巴克区公园北街162号文苑综合楼七楼。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7" w:hRule="atLeast"/>
        </w:trPr>
        <w:tc>
          <w:tcPr>
            <w:tcW w:w="824" w:type="dxa"/>
            <w:tcMar>
              <w:top w:w="57" w:type="dxa"/>
              <w:bottom w:w="57" w:type="dxa"/>
            </w:tcMar>
            <w:vAlign w:val="center"/>
          </w:tcPr>
          <w:p>
            <w:pPr>
              <w:pStyle w:val="27"/>
              <w:spacing w:line="420" w:lineRule="exact"/>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099" w:type="dxa"/>
            <w:tcMar>
              <w:top w:w="57" w:type="dxa"/>
              <w:bottom w:w="57" w:type="dxa"/>
            </w:tcMar>
            <w:vAlign w:val="center"/>
          </w:tcPr>
          <w:p>
            <w:pPr>
              <w:pStyle w:val="28"/>
              <w:snapToGrid w:val="0"/>
              <w:spacing w:line="288" w:lineRule="auto"/>
              <w:rPr>
                <w:rFonts w:ascii="仿宋" w:hAnsi="仿宋" w:eastAsia="仿宋" w:cs="仿宋"/>
                <w:color w:val="auto"/>
                <w:szCs w:val="24"/>
                <w:highlight w:val="none"/>
              </w:rPr>
            </w:pPr>
            <w:r>
              <w:rPr>
                <w:rFonts w:hint="eastAsia" w:ascii="仿宋" w:hAnsi="仿宋" w:eastAsia="仿宋" w:cs="仿宋"/>
                <w:color w:val="auto"/>
                <w:szCs w:val="24"/>
                <w:highlight w:val="none"/>
              </w:rPr>
              <w:t>资格要求：</w:t>
            </w:r>
          </w:p>
          <w:p>
            <w:pPr>
              <w:pStyle w:val="28"/>
              <w:snapToGrid w:val="0"/>
              <w:spacing w:line="288" w:lineRule="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1.满足《中华人民共和国政府采购法》第二十二条规定</w:t>
            </w:r>
            <w:r>
              <w:rPr>
                <w:rFonts w:hint="eastAsia" w:ascii="仿宋" w:hAnsi="仿宋" w:eastAsia="仿宋" w:cs="仿宋"/>
                <w:color w:val="auto"/>
                <w:szCs w:val="24"/>
                <w:highlight w:val="none"/>
                <w:lang w:eastAsia="zh-CN"/>
              </w:rPr>
              <w:t>。</w:t>
            </w:r>
          </w:p>
          <w:p>
            <w:pPr>
              <w:pStyle w:val="28"/>
              <w:snapToGrid w:val="0"/>
              <w:spacing w:line="288" w:lineRule="auto"/>
              <w:rPr>
                <w:rFonts w:ascii="仿宋" w:hAnsi="仿宋" w:eastAsia="仿宋" w:cs="仿宋"/>
                <w:color w:val="auto"/>
                <w:szCs w:val="24"/>
                <w:highlight w:val="none"/>
              </w:rPr>
            </w:pPr>
            <w:r>
              <w:rPr>
                <w:rFonts w:hint="eastAsia" w:ascii="仿宋" w:hAnsi="仿宋" w:eastAsia="仿宋" w:cs="仿宋"/>
                <w:color w:val="auto"/>
                <w:szCs w:val="24"/>
                <w:highlight w:val="none"/>
              </w:rPr>
              <w:t>2.落实政府采购政策需满足的资格要求：</w:t>
            </w:r>
          </w:p>
          <w:p>
            <w:pPr>
              <w:pStyle w:val="28"/>
              <w:snapToGrid w:val="0"/>
              <w:spacing w:line="288" w:lineRule="auto"/>
              <w:rPr>
                <w:rFonts w:ascii="仿宋" w:hAnsi="仿宋" w:eastAsia="仿宋" w:cs="仿宋"/>
                <w:color w:val="auto"/>
                <w:szCs w:val="24"/>
                <w:highlight w:val="none"/>
              </w:rPr>
            </w:pPr>
            <w:r>
              <w:rPr>
                <w:rFonts w:hint="eastAsia" w:ascii="仿宋" w:hAnsi="仿宋" w:eastAsia="仿宋" w:cs="仿宋"/>
                <w:color w:val="auto"/>
                <w:szCs w:val="24"/>
                <w:highlight w:val="none"/>
              </w:rPr>
              <w:t>2.1、所采购产品需符合国家节能环保要求。结合本项目具体情况，根据财政部的相关规定符合政府采购促进中小企业发展政策的供应商为小、微型企业，产品有环境标志认证证书或节能标志认证证书的依据规定给予评审优惠。</w:t>
            </w:r>
          </w:p>
          <w:p>
            <w:pPr>
              <w:pStyle w:val="28"/>
              <w:snapToGrid w:val="0"/>
              <w:spacing w:line="288" w:lineRule="auto"/>
              <w:rPr>
                <w:rFonts w:ascii="仿宋" w:hAnsi="仿宋" w:eastAsia="仿宋" w:cs="仿宋"/>
                <w:color w:val="auto"/>
                <w:szCs w:val="24"/>
                <w:highlight w:val="none"/>
              </w:rPr>
            </w:pPr>
            <w:r>
              <w:rPr>
                <w:rFonts w:hint="eastAsia" w:ascii="仿宋" w:hAnsi="仿宋" w:eastAsia="仿宋" w:cs="仿宋"/>
                <w:color w:val="auto"/>
                <w:szCs w:val="24"/>
                <w:highlight w:val="none"/>
              </w:rPr>
              <w:t>2.2、监狱企业及残疾人福利性单位视同小型、微型企业，享受预留份额、评审中价格扣除等政府采购促进中小企业发展的政府采购政策。</w:t>
            </w:r>
          </w:p>
          <w:p>
            <w:pPr>
              <w:pStyle w:val="28"/>
              <w:snapToGrid w:val="0"/>
              <w:spacing w:line="288" w:lineRule="auto"/>
              <w:rPr>
                <w:rFonts w:ascii="仿宋" w:hAnsi="仿宋" w:eastAsia="仿宋" w:cs="仿宋"/>
                <w:color w:val="auto"/>
                <w:szCs w:val="24"/>
                <w:highlight w:val="none"/>
              </w:rPr>
            </w:pPr>
            <w:r>
              <w:rPr>
                <w:rFonts w:hint="eastAsia" w:ascii="仿宋" w:hAnsi="仿宋" w:eastAsia="仿宋" w:cs="仿宋"/>
                <w:color w:val="auto"/>
                <w:szCs w:val="24"/>
                <w:highlight w:val="none"/>
              </w:rPr>
              <w:t>2.3、中华人民共和国财政部、中华人民共和国工业和信息化部《政府采购促进中小企业发展管理办法》（财库〔2020〕46号）文件、《关于落实好政府采购支持中小企业发展的通知》（新财购〔2022〕22号）文件的规定。</w:t>
            </w:r>
          </w:p>
          <w:p>
            <w:pPr>
              <w:pStyle w:val="28"/>
              <w:snapToGrid w:val="0"/>
              <w:spacing w:line="288" w:lineRule="auto"/>
              <w:rPr>
                <w:rFonts w:ascii="仿宋" w:hAnsi="仿宋" w:eastAsia="仿宋" w:cs="仿宋"/>
                <w:color w:val="auto"/>
                <w:szCs w:val="24"/>
                <w:highlight w:val="none"/>
              </w:rPr>
            </w:pPr>
            <w:r>
              <w:rPr>
                <w:rFonts w:hint="eastAsia" w:ascii="仿宋" w:hAnsi="仿宋" w:eastAsia="仿宋" w:cs="仿宋"/>
                <w:color w:val="auto"/>
                <w:szCs w:val="24"/>
                <w:highlight w:val="none"/>
              </w:rPr>
              <w:t>3、有效的工商营业执照副本、税务登记证副本、组织机构代码证副本或“三证合一”的营业执照副本。</w:t>
            </w:r>
          </w:p>
          <w:p>
            <w:pPr>
              <w:pStyle w:val="28"/>
              <w:snapToGrid w:val="0"/>
              <w:spacing w:line="288" w:lineRule="auto"/>
              <w:rPr>
                <w:rFonts w:ascii="仿宋" w:hAnsi="仿宋" w:eastAsia="仿宋" w:cs="仿宋"/>
                <w:color w:val="auto"/>
                <w:szCs w:val="24"/>
                <w:highlight w:val="none"/>
              </w:rPr>
            </w:pPr>
            <w:r>
              <w:rPr>
                <w:rFonts w:hint="eastAsia" w:ascii="仿宋" w:hAnsi="仿宋" w:eastAsia="仿宋" w:cs="仿宋"/>
                <w:color w:val="auto"/>
                <w:szCs w:val="24"/>
                <w:highlight w:val="none"/>
              </w:rPr>
              <w:t>4、法定代表人投标需提供法定代表人证明书（原件）及法定代表人身份证（原件），委托代理人投标需提供法定代表人授权委托书（原件）及委托代理人身份证（原件）。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8"/>
              <w:snapToGrid w:val="0"/>
              <w:spacing w:line="288" w:lineRule="auto"/>
              <w:rPr>
                <w:rFonts w:ascii="仿宋" w:hAnsi="仿宋" w:eastAsia="仿宋" w:cs="仿宋"/>
                <w:color w:val="auto"/>
                <w:szCs w:val="24"/>
                <w:highlight w:val="none"/>
              </w:rPr>
            </w:pPr>
            <w:r>
              <w:rPr>
                <w:rFonts w:hint="eastAsia" w:ascii="仿宋" w:hAnsi="仿宋" w:eastAsia="仿宋" w:cs="仿宋"/>
                <w:color w:val="auto"/>
                <w:szCs w:val="24"/>
                <w:highlight w:val="none"/>
              </w:rPr>
              <w:t>6、投标人不得为“信用中国”网站（www.creditchina.gov.cn ）中列入重大税收违法失信主体的供应商，不得为“中国执行信息公开网”（http://zxgk.court.gov.cn/）中列入失信被执行人，不得为中国政府采购网（www.ccgp.gov.cn ）政府采购严重违法失信行为记录名单中被财政部门禁止参加政府采购活动的供应商（处罚决定规定的时间和地域范围内）。信用信息截止时点为开标当日。</w:t>
            </w:r>
          </w:p>
          <w:p>
            <w:pPr>
              <w:pStyle w:val="28"/>
              <w:snapToGrid w:val="0"/>
              <w:spacing w:line="288" w:lineRule="auto"/>
              <w:rPr>
                <w:rFonts w:ascii="仿宋" w:hAnsi="仿宋" w:eastAsia="仿宋" w:cs="仿宋"/>
                <w:color w:val="auto"/>
                <w:szCs w:val="24"/>
                <w:highlight w:val="none"/>
              </w:rPr>
            </w:pPr>
            <w:r>
              <w:rPr>
                <w:rFonts w:hint="eastAsia" w:ascii="仿宋" w:hAnsi="仿宋" w:eastAsia="仿宋" w:cs="仿宋"/>
                <w:color w:val="auto"/>
                <w:szCs w:val="24"/>
                <w:highlight w:val="none"/>
              </w:rPr>
              <w:t>7、本项目不接受联合体投标。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trPr>
        <w:tc>
          <w:tcPr>
            <w:tcW w:w="824" w:type="dxa"/>
            <w:tcMar>
              <w:top w:w="57" w:type="dxa"/>
              <w:bottom w:w="57" w:type="dxa"/>
            </w:tcMar>
            <w:vAlign w:val="center"/>
          </w:tcPr>
          <w:p>
            <w:pPr>
              <w:pStyle w:val="28"/>
              <w:snapToGrid w:val="0"/>
              <w:spacing w:line="288" w:lineRule="auto"/>
              <w:jc w:val="center"/>
              <w:rPr>
                <w:rFonts w:ascii="仿宋" w:hAnsi="仿宋" w:eastAsia="仿宋" w:cs="仿宋"/>
                <w:color w:val="auto"/>
                <w:szCs w:val="24"/>
                <w:highlight w:val="none"/>
              </w:rPr>
            </w:pPr>
            <w:r>
              <w:rPr>
                <w:rFonts w:hint="eastAsia" w:ascii="仿宋" w:hAnsi="仿宋" w:eastAsia="仿宋" w:cs="仿宋"/>
                <w:color w:val="auto"/>
                <w:szCs w:val="24"/>
                <w:highlight w:val="none"/>
              </w:rPr>
              <w:t>6</w:t>
            </w:r>
          </w:p>
        </w:tc>
        <w:tc>
          <w:tcPr>
            <w:tcW w:w="9099" w:type="dxa"/>
            <w:tcMar>
              <w:top w:w="57" w:type="dxa"/>
              <w:bottom w:w="57" w:type="dxa"/>
            </w:tcMar>
            <w:vAlign w:val="center"/>
          </w:tcPr>
          <w:p>
            <w:pPr>
              <w:pStyle w:val="27"/>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投标文件有效期：供应商同意投标书在招标文件规定的投标截止日期届满后立即对供应商产生法律约束力，投标有效期截至开标日后90日历天。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4" w:hRule="atLeast"/>
        </w:trPr>
        <w:tc>
          <w:tcPr>
            <w:tcW w:w="824" w:type="dxa"/>
            <w:tcMar>
              <w:top w:w="57" w:type="dxa"/>
              <w:bottom w:w="57" w:type="dxa"/>
            </w:tcMar>
            <w:vAlign w:val="center"/>
          </w:tcPr>
          <w:p>
            <w:pPr>
              <w:pStyle w:val="28"/>
              <w:snapToGrid w:val="0"/>
              <w:spacing w:line="288" w:lineRule="auto"/>
              <w:jc w:val="center"/>
              <w:rPr>
                <w:rFonts w:ascii="仿宋" w:hAnsi="仿宋" w:eastAsia="仿宋" w:cs="仿宋"/>
                <w:color w:val="auto"/>
                <w:szCs w:val="24"/>
                <w:highlight w:val="none"/>
              </w:rPr>
            </w:pPr>
            <w:r>
              <w:rPr>
                <w:rFonts w:hint="eastAsia" w:ascii="仿宋" w:hAnsi="仿宋" w:eastAsia="仿宋" w:cs="仿宋"/>
                <w:color w:val="auto"/>
                <w:szCs w:val="24"/>
                <w:highlight w:val="none"/>
              </w:rPr>
              <w:t>7</w:t>
            </w:r>
          </w:p>
        </w:tc>
        <w:tc>
          <w:tcPr>
            <w:tcW w:w="9099" w:type="dxa"/>
            <w:tcMar>
              <w:top w:w="57" w:type="dxa"/>
              <w:bottom w:w="57" w:type="dxa"/>
            </w:tcMar>
            <w:vAlign w:val="center"/>
          </w:tcPr>
          <w:p>
            <w:pPr>
              <w:pStyle w:val="27"/>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投标报价：供应商应在开标一览表中标明其提供的所有货物及相关工作范围内所有费用的总价。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trPr>
        <w:tc>
          <w:tcPr>
            <w:tcW w:w="824" w:type="dxa"/>
            <w:tcMar>
              <w:top w:w="57" w:type="dxa"/>
              <w:bottom w:w="57" w:type="dxa"/>
            </w:tcMar>
            <w:vAlign w:val="center"/>
          </w:tcPr>
          <w:p>
            <w:pPr>
              <w:pStyle w:val="27"/>
              <w:spacing w:line="420" w:lineRule="exact"/>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099" w:type="dxa"/>
            <w:tcMar>
              <w:top w:w="57" w:type="dxa"/>
              <w:bottom w:w="57" w:type="dxa"/>
            </w:tcMar>
            <w:vAlign w:val="center"/>
          </w:tcPr>
          <w:p>
            <w:pPr>
              <w:pStyle w:val="27"/>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投标截止时间：2022年</w:t>
            </w:r>
            <w:r>
              <w:rPr>
                <w:rFonts w:hint="eastAsia" w:ascii="仿宋" w:hAnsi="仿宋" w:eastAsia="仿宋" w:cs="仿宋"/>
                <w:color w:val="auto"/>
                <w:sz w:val="24"/>
                <w:szCs w:val="24"/>
                <w:highlight w:val="none"/>
                <w:lang w:eastAsia="zh-CN"/>
              </w:rPr>
              <w:t>10月21日</w:t>
            </w:r>
            <w:r>
              <w:rPr>
                <w:rFonts w:hint="eastAsia" w:ascii="仿宋" w:hAnsi="仿宋" w:eastAsia="仿宋" w:cs="仿宋"/>
                <w:color w:val="auto"/>
                <w:sz w:val="24"/>
                <w:szCs w:val="24"/>
                <w:highlight w:val="none"/>
              </w:rPr>
              <w:t>11:00时（北京时间）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trPr>
        <w:tc>
          <w:tcPr>
            <w:tcW w:w="824" w:type="dxa"/>
            <w:tcMar>
              <w:top w:w="57" w:type="dxa"/>
              <w:bottom w:w="57" w:type="dxa"/>
            </w:tcMar>
            <w:vAlign w:val="center"/>
          </w:tcPr>
          <w:p>
            <w:pPr>
              <w:pStyle w:val="27"/>
              <w:spacing w:line="420" w:lineRule="exact"/>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9099" w:type="dxa"/>
            <w:tcMar>
              <w:top w:w="57" w:type="dxa"/>
              <w:bottom w:w="57" w:type="dxa"/>
            </w:tcMar>
            <w:vAlign w:val="center"/>
          </w:tcPr>
          <w:p>
            <w:pPr>
              <w:pStyle w:val="27"/>
              <w:spacing w:line="420" w:lineRule="exact"/>
              <w:ind w:firstLine="0" w:firstLineChars="0"/>
              <w:rPr>
                <w:rFonts w:ascii="仿宋" w:hAnsi="仿宋" w:cs="仿宋"/>
                <w:b/>
                <w:bCs/>
                <w:color w:val="auto"/>
                <w:sz w:val="24"/>
                <w:szCs w:val="24"/>
                <w:highlight w:val="none"/>
              </w:rPr>
            </w:pPr>
            <w:r>
              <w:rPr>
                <w:rFonts w:hint="eastAsia" w:ascii="仿宋" w:hAnsi="仿宋" w:eastAsia="仿宋" w:cs="仿宋"/>
                <w:b/>
                <w:bCs/>
                <w:color w:val="auto"/>
                <w:sz w:val="24"/>
                <w:szCs w:val="24"/>
                <w:highlight w:val="none"/>
              </w:rPr>
              <w:t>投标文件的数目：</w:t>
            </w:r>
            <w:r>
              <w:rPr>
                <w:rFonts w:hint="eastAsia" w:ascii="仿宋" w:hAnsi="仿宋" w:eastAsia="仿宋"/>
                <w:b/>
                <w:bCs/>
                <w:color w:val="auto"/>
                <w:sz w:val="24"/>
                <w:szCs w:val="24"/>
                <w:highlight w:val="none"/>
              </w:rPr>
              <w:t>电子版一套。</w:t>
            </w:r>
          </w:p>
          <w:p>
            <w:pPr>
              <w:pStyle w:val="27"/>
              <w:spacing w:line="420" w:lineRule="exact"/>
              <w:ind w:firstLine="0" w:firstLineChars="0"/>
              <w:rPr>
                <w:rFonts w:ascii="仿宋" w:hAnsi="仿宋" w:eastAsia="仿宋" w:cs="仿宋"/>
                <w:color w:val="auto"/>
                <w:sz w:val="24"/>
                <w:szCs w:val="24"/>
                <w:highlight w:val="none"/>
              </w:rPr>
            </w:pPr>
            <w:r>
              <w:rPr>
                <w:rFonts w:hint="eastAsia" w:ascii="仿宋" w:hAnsi="仿宋" w:eastAsia="仿宋"/>
                <w:b/>
                <w:bCs/>
                <w:color w:val="auto"/>
                <w:sz w:val="24"/>
                <w:szCs w:val="24"/>
                <w:highlight w:val="none"/>
              </w:rPr>
              <w:t>供应商开标时必须自行携带笔记本电脑以及CA，供应商可自主通过新疆CA申领渠道“新疆政务通”申请政采云平台可使用的CA设备，如原有兵团或公共资源使用的CA，可与新疆CA联系，申请增加电子证书即可，无需重复申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3" w:hRule="atLeast"/>
        </w:trPr>
        <w:tc>
          <w:tcPr>
            <w:tcW w:w="824" w:type="dxa"/>
            <w:tcMar>
              <w:top w:w="57" w:type="dxa"/>
              <w:bottom w:w="57" w:type="dxa"/>
            </w:tcMar>
            <w:vAlign w:val="center"/>
          </w:tcPr>
          <w:p>
            <w:pPr>
              <w:pStyle w:val="27"/>
              <w:spacing w:line="420" w:lineRule="exact"/>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9099" w:type="dxa"/>
            <w:tcMar>
              <w:top w:w="57" w:type="dxa"/>
              <w:bottom w:w="57" w:type="dxa"/>
            </w:tcMar>
            <w:vAlign w:val="center"/>
          </w:tcPr>
          <w:p>
            <w:pPr>
              <w:pStyle w:val="27"/>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投标文件递交至：线上响应文件上传至www.zcygov.cn，逾期上传的投标文件将被拒收。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1" w:hRule="atLeast"/>
        </w:trPr>
        <w:tc>
          <w:tcPr>
            <w:tcW w:w="824" w:type="dxa"/>
            <w:tcMar>
              <w:top w:w="57" w:type="dxa"/>
              <w:bottom w:w="57" w:type="dxa"/>
            </w:tcMar>
            <w:vAlign w:val="center"/>
          </w:tcPr>
          <w:p>
            <w:pPr>
              <w:pStyle w:val="27"/>
              <w:spacing w:line="420" w:lineRule="exact"/>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9099" w:type="dxa"/>
            <w:tcMar>
              <w:top w:w="57" w:type="dxa"/>
              <w:bottom w:w="57" w:type="dxa"/>
            </w:tcMar>
            <w:vAlign w:val="center"/>
          </w:tcPr>
          <w:p>
            <w:pPr>
              <w:pStyle w:val="27"/>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eastAsia="zh-CN"/>
              </w:rPr>
              <w:t>10月21日</w:t>
            </w:r>
            <w:r>
              <w:rPr>
                <w:rFonts w:hint="eastAsia" w:ascii="仿宋" w:hAnsi="仿宋" w:eastAsia="仿宋" w:cs="仿宋"/>
                <w:color w:val="auto"/>
                <w:sz w:val="24"/>
                <w:szCs w:val="24"/>
                <w:highlight w:val="none"/>
              </w:rPr>
              <w:t>11:00时（北京时间），逾期上传的投标文件将被拒收。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8" w:hRule="atLeast"/>
        </w:trPr>
        <w:tc>
          <w:tcPr>
            <w:tcW w:w="824" w:type="dxa"/>
            <w:tcMar>
              <w:top w:w="57" w:type="dxa"/>
              <w:bottom w:w="57" w:type="dxa"/>
            </w:tcMar>
            <w:vAlign w:val="center"/>
          </w:tcPr>
          <w:p>
            <w:pPr>
              <w:pStyle w:val="27"/>
              <w:spacing w:line="420" w:lineRule="exact"/>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9099" w:type="dxa"/>
            <w:tcMar>
              <w:top w:w="57" w:type="dxa"/>
              <w:bottom w:w="57" w:type="dxa"/>
            </w:tcMar>
            <w:vAlign w:val="center"/>
          </w:tcPr>
          <w:p>
            <w:pPr>
              <w:pStyle w:val="27"/>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开标地点：www.zcygov.cn。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5" w:hRule="atLeast"/>
        </w:trPr>
        <w:tc>
          <w:tcPr>
            <w:tcW w:w="824" w:type="dxa"/>
            <w:tcMar>
              <w:top w:w="57" w:type="dxa"/>
              <w:bottom w:w="57" w:type="dxa"/>
            </w:tcMar>
            <w:vAlign w:val="center"/>
          </w:tcPr>
          <w:p>
            <w:pPr>
              <w:pStyle w:val="27"/>
              <w:spacing w:line="420" w:lineRule="exact"/>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9099" w:type="dxa"/>
            <w:tcMar>
              <w:top w:w="57" w:type="dxa"/>
              <w:bottom w:w="57" w:type="dxa"/>
            </w:tcMar>
            <w:vAlign w:val="center"/>
          </w:tcPr>
          <w:p>
            <w:pPr>
              <w:pStyle w:val="27"/>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数量调整：投标总价的±10%，详见第二章投标须知第31条。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824" w:type="dxa"/>
            <w:tcMar>
              <w:top w:w="57" w:type="dxa"/>
              <w:bottom w:w="57" w:type="dxa"/>
            </w:tcMar>
            <w:vAlign w:val="center"/>
          </w:tcPr>
          <w:p>
            <w:pPr>
              <w:pStyle w:val="27"/>
              <w:spacing w:line="420" w:lineRule="exact"/>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9099" w:type="dxa"/>
            <w:tcMar>
              <w:top w:w="57" w:type="dxa"/>
              <w:bottom w:w="57" w:type="dxa"/>
            </w:tcMar>
            <w:vAlign w:val="center"/>
          </w:tcPr>
          <w:p>
            <w:pPr>
              <w:pStyle w:val="28"/>
              <w:spacing w:line="420" w:lineRule="exact"/>
              <w:jc w:val="both"/>
              <w:rPr>
                <w:rFonts w:ascii="仿宋" w:hAnsi="仿宋" w:eastAsia="仿宋" w:cs="仿宋"/>
                <w:color w:val="auto"/>
                <w:szCs w:val="24"/>
                <w:highlight w:val="none"/>
              </w:rPr>
            </w:pPr>
            <w:r>
              <w:rPr>
                <w:rFonts w:hint="eastAsia" w:ascii="仿宋" w:hAnsi="仿宋" w:eastAsia="仿宋" w:cs="仿宋"/>
                <w:color w:val="auto"/>
                <w:szCs w:val="24"/>
                <w:highlight w:val="none"/>
              </w:rPr>
              <w:t>项目工期：自合同签订完成后45天内。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2" w:hRule="atLeast"/>
        </w:trPr>
        <w:tc>
          <w:tcPr>
            <w:tcW w:w="824" w:type="dxa"/>
            <w:tcMar>
              <w:top w:w="57" w:type="dxa"/>
              <w:bottom w:w="57" w:type="dxa"/>
            </w:tcMar>
            <w:vAlign w:val="center"/>
          </w:tcPr>
          <w:p>
            <w:pPr>
              <w:pStyle w:val="27"/>
              <w:spacing w:line="420" w:lineRule="exact"/>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9099" w:type="dxa"/>
            <w:tcMar>
              <w:top w:w="57" w:type="dxa"/>
              <w:bottom w:w="57" w:type="dxa"/>
            </w:tcMar>
            <w:vAlign w:val="center"/>
          </w:tcPr>
          <w:p>
            <w:pPr>
              <w:pStyle w:val="28"/>
              <w:spacing w:line="420" w:lineRule="exact"/>
              <w:jc w:val="both"/>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付款方式：</w:t>
            </w:r>
            <w:r>
              <w:rPr>
                <w:rFonts w:hint="eastAsia" w:ascii="仿宋" w:hAnsi="仿宋" w:eastAsia="仿宋" w:cs="仿宋"/>
                <w:color w:val="auto"/>
                <w:szCs w:val="24"/>
                <w:highlight w:val="none"/>
                <w:lang w:eastAsia="zh-CN"/>
              </w:rPr>
              <w:t>合同签订后支付中标金额的30%，验收合格后支付中标金额的60%，剩余10%质保期满，无问题后支付。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2" w:hRule="atLeast"/>
        </w:trPr>
        <w:tc>
          <w:tcPr>
            <w:tcW w:w="824" w:type="dxa"/>
            <w:tcMar>
              <w:top w:w="57" w:type="dxa"/>
              <w:bottom w:w="57" w:type="dxa"/>
            </w:tcMar>
            <w:vAlign w:val="center"/>
          </w:tcPr>
          <w:p>
            <w:pPr>
              <w:pStyle w:val="27"/>
              <w:spacing w:line="420" w:lineRule="exact"/>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9099" w:type="dxa"/>
            <w:tcMar>
              <w:top w:w="57" w:type="dxa"/>
              <w:bottom w:w="57" w:type="dxa"/>
            </w:tcMar>
            <w:vAlign w:val="center"/>
          </w:tcPr>
          <w:p>
            <w:pPr>
              <w:pStyle w:val="28"/>
              <w:spacing w:line="420" w:lineRule="exact"/>
              <w:jc w:val="both"/>
              <w:rPr>
                <w:rFonts w:ascii="仿宋" w:hAnsi="仿宋" w:eastAsia="仿宋" w:cs="仿宋"/>
                <w:color w:val="auto"/>
                <w:szCs w:val="24"/>
                <w:highlight w:val="none"/>
              </w:rPr>
            </w:pPr>
            <w:r>
              <w:rPr>
                <w:rFonts w:hint="eastAsia" w:ascii="仿宋" w:hAnsi="仿宋" w:eastAsia="仿宋" w:cs="仿宋"/>
                <w:color w:val="auto"/>
                <w:szCs w:val="24"/>
                <w:highlight w:val="none"/>
              </w:rPr>
              <w:t>质保期：三年（验收合格之日起计算）。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2" w:hRule="atLeast"/>
        </w:trPr>
        <w:tc>
          <w:tcPr>
            <w:tcW w:w="824" w:type="dxa"/>
            <w:tcMar>
              <w:top w:w="57" w:type="dxa"/>
              <w:bottom w:w="57" w:type="dxa"/>
            </w:tcMar>
            <w:vAlign w:val="center"/>
          </w:tcPr>
          <w:p>
            <w:pPr>
              <w:pStyle w:val="27"/>
              <w:spacing w:line="420" w:lineRule="exact"/>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9099" w:type="dxa"/>
            <w:tcMar>
              <w:top w:w="57" w:type="dxa"/>
              <w:bottom w:w="57" w:type="dxa"/>
            </w:tcMar>
            <w:vAlign w:val="center"/>
          </w:tcPr>
          <w:p>
            <w:pPr>
              <w:pStyle w:val="28"/>
              <w:snapToGrid w:val="0"/>
              <w:spacing w:line="288" w:lineRule="auto"/>
              <w:jc w:val="both"/>
              <w:rPr>
                <w:rFonts w:ascii="仿宋" w:hAnsi="仿宋" w:eastAsia="仿宋" w:cs="仿宋"/>
                <w:color w:val="auto"/>
                <w:szCs w:val="24"/>
                <w:highlight w:val="none"/>
              </w:rPr>
            </w:pPr>
            <w:r>
              <w:rPr>
                <w:rFonts w:hint="eastAsia" w:ascii="仿宋" w:hAnsi="仿宋" w:eastAsia="仿宋" w:cs="仿宋"/>
                <w:b/>
                <w:color w:val="auto"/>
                <w:szCs w:val="24"/>
                <w:highlight w:val="none"/>
              </w:rPr>
              <w:t>政府采购强制采购：</w:t>
            </w:r>
            <w:r>
              <w:rPr>
                <w:rFonts w:hint="eastAsia" w:ascii="仿宋" w:hAnsi="仿宋" w:eastAsia="仿宋" w:cs="仿宋"/>
                <w:color w:val="auto"/>
                <w:szCs w:val="24"/>
                <w:highlight w:val="none"/>
              </w:rPr>
              <w:t>(1)标记符号的节能产品；(2)其他。</w:t>
            </w:r>
          </w:p>
          <w:p>
            <w:pPr>
              <w:pStyle w:val="28"/>
              <w:snapToGrid w:val="0"/>
              <w:spacing w:line="288" w:lineRule="auto"/>
              <w:jc w:val="both"/>
              <w:rPr>
                <w:rFonts w:ascii="仿宋" w:hAnsi="仿宋" w:eastAsia="仿宋" w:cs="仿宋"/>
                <w:color w:val="auto"/>
                <w:szCs w:val="24"/>
                <w:highlight w:val="none"/>
              </w:rPr>
            </w:pPr>
            <w:r>
              <w:rPr>
                <w:rFonts w:hint="eastAsia" w:ascii="仿宋" w:hAnsi="仿宋" w:eastAsia="仿宋" w:cs="仿宋"/>
                <w:color w:val="auto"/>
                <w:szCs w:val="24"/>
                <w:highlight w:val="none"/>
              </w:rPr>
              <w:t>采购最新一期《节能产品政府采购清单》的产品。</w:t>
            </w:r>
          </w:p>
          <w:p>
            <w:pPr>
              <w:pStyle w:val="28"/>
              <w:snapToGrid w:val="0"/>
              <w:spacing w:line="288" w:lineRule="auto"/>
              <w:rPr>
                <w:rFonts w:ascii="仿宋" w:hAnsi="仿宋" w:eastAsia="仿宋" w:cs="仿宋"/>
                <w:color w:val="auto"/>
                <w:szCs w:val="24"/>
                <w:highlight w:val="none"/>
              </w:rPr>
            </w:pPr>
            <w:r>
              <w:rPr>
                <w:rFonts w:hint="eastAsia" w:ascii="仿宋" w:hAnsi="仿宋" w:eastAsia="仿宋" w:cs="仿宋"/>
                <w:b/>
                <w:color w:val="auto"/>
                <w:szCs w:val="24"/>
                <w:highlight w:val="none"/>
              </w:rPr>
              <w:t>政府采购优先采购：</w:t>
            </w:r>
            <w:r>
              <w:rPr>
                <w:rFonts w:hint="eastAsia" w:ascii="仿宋" w:hAnsi="仿宋" w:eastAsia="仿宋" w:cs="仿宋"/>
                <w:color w:val="auto"/>
                <w:szCs w:val="24"/>
                <w:highlight w:val="none"/>
              </w:rPr>
              <w:t>(1)非标记符号的节能产品；(2)环境标志产品；</w:t>
            </w:r>
          </w:p>
          <w:p>
            <w:pPr>
              <w:pStyle w:val="28"/>
              <w:snapToGrid w:val="0"/>
              <w:spacing w:line="288" w:lineRule="auto"/>
              <w:rPr>
                <w:rFonts w:ascii="仿宋" w:hAnsi="仿宋" w:eastAsia="仿宋" w:cs="仿宋"/>
                <w:color w:val="auto"/>
                <w:szCs w:val="24"/>
                <w:highlight w:val="none"/>
              </w:rPr>
            </w:pPr>
            <w:r>
              <w:rPr>
                <w:rFonts w:hint="eastAsia" w:ascii="仿宋" w:hAnsi="仿宋" w:eastAsia="仿宋" w:cs="仿宋"/>
                <w:color w:val="auto"/>
                <w:szCs w:val="24"/>
                <w:highlight w:val="none"/>
              </w:rPr>
              <w:t>采购产品为《节能产品政府采购清单》(最新期)内非标记符号的节能产品及《环境标志产品政府采购清单》(最新期)内的产品：</w:t>
            </w:r>
          </w:p>
          <w:p>
            <w:pPr>
              <w:pStyle w:val="28"/>
              <w:snapToGrid w:val="0"/>
              <w:spacing w:line="288" w:lineRule="auto"/>
              <w:rPr>
                <w:rFonts w:ascii="仿宋" w:hAnsi="仿宋" w:eastAsia="仿宋" w:cs="仿宋"/>
                <w:color w:val="auto"/>
                <w:szCs w:val="24"/>
                <w:highlight w:val="none"/>
              </w:rPr>
            </w:pPr>
            <w:r>
              <w:rPr>
                <w:rFonts w:hint="eastAsia" w:ascii="仿宋" w:hAnsi="仿宋" w:eastAsia="仿宋" w:cs="仿宋"/>
                <w:color w:val="auto"/>
                <w:szCs w:val="24"/>
                <w:highlight w:val="none"/>
              </w:rPr>
              <w:t>投标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1" w:hRule="atLeast"/>
        </w:trPr>
        <w:tc>
          <w:tcPr>
            <w:tcW w:w="824" w:type="dxa"/>
            <w:tcMar>
              <w:top w:w="57" w:type="dxa"/>
              <w:bottom w:w="57" w:type="dxa"/>
            </w:tcMar>
            <w:vAlign w:val="center"/>
          </w:tcPr>
          <w:p>
            <w:pPr>
              <w:pStyle w:val="27"/>
              <w:spacing w:line="420" w:lineRule="exact"/>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9099" w:type="dxa"/>
            <w:tcMar>
              <w:top w:w="57" w:type="dxa"/>
              <w:bottom w:w="57" w:type="dxa"/>
            </w:tcMar>
            <w:vAlign w:val="center"/>
          </w:tcPr>
          <w:p>
            <w:pPr>
              <w:pStyle w:val="28"/>
              <w:snapToGrid w:val="0"/>
              <w:spacing w:line="288" w:lineRule="auto"/>
              <w:rPr>
                <w:rFonts w:ascii="仿宋" w:hAnsi="仿宋" w:eastAsia="仿宋" w:cs="仿宋"/>
                <w:color w:val="auto"/>
                <w:szCs w:val="24"/>
                <w:highlight w:val="none"/>
              </w:rPr>
            </w:pPr>
            <w:r>
              <w:rPr>
                <w:rFonts w:hint="eastAsia" w:ascii="仿宋" w:hAnsi="仿宋" w:eastAsia="仿宋" w:cs="仿宋"/>
                <w:color w:val="auto"/>
                <w:szCs w:val="24"/>
                <w:highlight w:val="none"/>
              </w:rPr>
              <w:t>支持中小企业发展：给予小型、微型企业的价格给予10%-20%的扣除，用扣除后的价格参与评审，本项目具体扣除比例为10%。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9" w:hRule="atLeast"/>
        </w:trPr>
        <w:tc>
          <w:tcPr>
            <w:tcW w:w="824" w:type="dxa"/>
            <w:tcMar>
              <w:top w:w="57" w:type="dxa"/>
              <w:bottom w:w="57" w:type="dxa"/>
            </w:tcMar>
            <w:vAlign w:val="center"/>
          </w:tcPr>
          <w:p>
            <w:pPr>
              <w:spacing w:line="420" w:lineRule="exact"/>
              <w:ind w:firstLine="120" w:firstLine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9099" w:type="dxa"/>
            <w:tcMar>
              <w:top w:w="57" w:type="dxa"/>
              <w:bottom w:w="57" w:type="dxa"/>
            </w:tcMar>
            <w:vAlign w:val="center"/>
          </w:tcPr>
          <w:p>
            <w:pPr>
              <w:pStyle w:val="28"/>
              <w:snapToGrid w:val="0"/>
              <w:spacing w:line="288" w:lineRule="auto"/>
              <w:rPr>
                <w:rFonts w:ascii="仿宋" w:hAnsi="仿宋" w:eastAsia="仿宋" w:cs="仿宋"/>
                <w:color w:val="auto"/>
                <w:szCs w:val="24"/>
                <w:highlight w:val="none"/>
              </w:rPr>
            </w:pPr>
            <w:r>
              <w:rPr>
                <w:rFonts w:hint="eastAsia" w:ascii="仿宋" w:hAnsi="仿宋" w:eastAsia="仿宋" w:cs="仿宋"/>
                <w:color w:val="auto"/>
                <w:szCs w:val="24"/>
                <w:highlight w:val="none"/>
              </w:rPr>
              <w:t>特别提示：</w:t>
            </w:r>
          </w:p>
          <w:p>
            <w:pPr>
              <w:pStyle w:val="28"/>
              <w:snapToGrid w:val="0"/>
              <w:spacing w:line="288" w:lineRule="auto"/>
              <w:rPr>
                <w:rFonts w:ascii="仿宋" w:hAnsi="仿宋" w:eastAsia="仿宋" w:cs="仿宋"/>
                <w:color w:val="auto"/>
                <w:szCs w:val="24"/>
                <w:highlight w:val="none"/>
              </w:rPr>
            </w:pPr>
            <w:r>
              <w:rPr>
                <w:rFonts w:hint="eastAsia" w:ascii="仿宋" w:hAnsi="仿宋" w:eastAsia="仿宋" w:cs="仿宋"/>
                <w:color w:val="auto"/>
                <w:szCs w:val="24"/>
                <w:highlight w:val="none"/>
              </w:rPr>
              <w:t>1、超过200万元的货物和服务采购项目、超过400万元的工程采购项目中适宜由中小企业提供的，预留该部分采购项目预算总额的40%以上专门面向中小企业采购，其中预留给小微企业的比例不低于60%。</w:t>
            </w:r>
          </w:p>
          <w:p>
            <w:pPr>
              <w:pStyle w:val="28"/>
              <w:snapToGrid w:val="0"/>
              <w:spacing w:line="288" w:lineRule="auto"/>
              <w:rPr>
                <w:rFonts w:ascii="仿宋" w:hAnsi="仿宋" w:eastAsia="仿宋" w:cs="仿宋"/>
                <w:color w:val="auto"/>
                <w:szCs w:val="24"/>
                <w:highlight w:val="none"/>
              </w:rPr>
            </w:pPr>
            <w:r>
              <w:rPr>
                <w:rFonts w:hint="eastAsia" w:ascii="仿宋" w:hAnsi="仿宋" w:eastAsia="仿宋" w:cs="仿宋"/>
                <w:color w:val="auto"/>
                <w:szCs w:val="24"/>
                <w:highlight w:val="none"/>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Style w:val="28"/>
              <w:snapToGrid w:val="0"/>
              <w:spacing w:line="288" w:lineRule="auto"/>
              <w:rPr>
                <w:rFonts w:ascii="仿宋" w:hAnsi="仿宋" w:eastAsia="仿宋" w:cs="仿宋"/>
                <w:color w:val="auto"/>
                <w:szCs w:val="24"/>
                <w:highlight w:val="none"/>
              </w:rPr>
            </w:pPr>
            <w:r>
              <w:rPr>
                <w:rFonts w:hint="eastAsia" w:ascii="仿宋" w:hAnsi="仿宋" w:eastAsia="仿宋" w:cs="仿宋"/>
                <w:color w:val="auto"/>
                <w:szCs w:val="24"/>
                <w:highlight w:val="none"/>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pStyle w:val="28"/>
              <w:snapToGrid w:val="0"/>
              <w:spacing w:line="288" w:lineRule="auto"/>
              <w:rPr>
                <w:rFonts w:ascii="仿宋" w:hAnsi="仿宋" w:eastAsia="仿宋" w:cs="仿宋"/>
                <w:color w:val="auto"/>
                <w:szCs w:val="24"/>
                <w:highlight w:val="none"/>
              </w:rPr>
            </w:pPr>
            <w:r>
              <w:rPr>
                <w:rFonts w:hint="eastAsia" w:ascii="仿宋" w:hAnsi="仿宋" w:eastAsia="仿宋" w:cs="仿宋"/>
                <w:color w:val="auto"/>
                <w:szCs w:val="24"/>
                <w:highlight w:val="none"/>
              </w:rPr>
              <w:t>4、本项目具体扣除比例为10%。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9" w:hRule="atLeast"/>
        </w:trPr>
        <w:tc>
          <w:tcPr>
            <w:tcW w:w="824" w:type="dxa"/>
            <w:tcMar>
              <w:top w:w="57" w:type="dxa"/>
              <w:bottom w:w="57" w:type="dxa"/>
            </w:tcMar>
            <w:vAlign w:val="center"/>
          </w:tcPr>
          <w:p>
            <w:pPr>
              <w:spacing w:line="420" w:lineRule="exact"/>
              <w:ind w:firstLine="120" w:firstLine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9099" w:type="dxa"/>
            <w:tcMar>
              <w:top w:w="57" w:type="dxa"/>
              <w:bottom w:w="57" w:type="dxa"/>
            </w:tcMar>
            <w:vAlign w:val="center"/>
          </w:tcPr>
          <w:p>
            <w:pPr>
              <w:pStyle w:val="28"/>
              <w:spacing w:line="420" w:lineRule="exact"/>
              <w:jc w:val="both"/>
              <w:rPr>
                <w:rFonts w:ascii="仿宋" w:hAnsi="仿宋" w:eastAsia="仿宋" w:cs="仿宋"/>
                <w:b/>
                <w:color w:val="auto"/>
                <w:szCs w:val="24"/>
                <w:highlight w:val="none"/>
              </w:rPr>
            </w:pPr>
            <w:r>
              <w:rPr>
                <w:rFonts w:hint="eastAsia" w:ascii="仿宋" w:hAnsi="仿宋" w:eastAsia="仿宋" w:cs="仿宋"/>
                <w:b/>
                <w:color w:val="auto"/>
                <w:szCs w:val="24"/>
                <w:highlight w:val="none"/>
              </w:rPr>
              <w:t>供应商须仔细阅读本招标文件的所有条款。如果在商务、技术等方面有偏离，供应商须在投标文件“商务所有条款偏离表”、“技术规格偏离表”中一一列出。另外，供应商应对字体置黑的条款、注有“投标无效”字样的条款、以及加注“*”号的条款引起重视，如不满足此类条款的规定，其后果由供应商自行承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9" w:hRule="atLeast"/>
        </w:trPr>
        <w:tc>
          <w:tcPr>
            <w:tcW w:w="824" w:type="dxa"/>
            <w:tcMar>
              <w:top w:w="57" w:type="dxa"/>
              <w:bottom w:w="57" w:type="dxa"/>
            </w:tcMar>
            <w:vAlign w:val="center"/>
          </w:tcPr>
          <w:p>
            <w:pPr>
              <w:spacing w:line="420" w:lineRule="exact"/>
              <w:ind w:firstLine="120" w:firstLine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9099" w:type="dxa"/>
            <w:tcMar>
              <w:top w:w="57" w:type="dxa"/>
              <w:bottom w:w="57" w:type="dxa"/>
            </w:tcMar>
            <w:vAlign w:val="center"/>
          </w:tcPr>
          <w:p>
            <w:pPr>
              <w:pStyle w:val="28"/>
              <w:spacing w:line="420" w:lineRule="exact"/>
              <w:jc w:val="both"/>
              <w:rPr>
                <w:rFonts w:ascii="仿宋" w:hAnsi="仿宋" w:eastAsia="仿宋" w:cs="仿宋"/>
                <w:color w:val="auto"/>
                <w:szCs w:val="24"/>
                <w:highlight w:val="none"/>
              </w:rPr>
            </w:pPr>
            <w:r>
              <w:rPr>
                <w:rFonts w:hint="eastAsia" w:ascii="仿宋" w:hAnsi="仿宋" w:eastAsia="仿宋" w:cs="仿宋"/>
                <w:color w:val="auto"/>
                <w:szCs w:val="24"/>
                <w:highlight w:val="none"/>
              </w:rPr>
              <w:t>在评标过程直至签订合同前的任何时间，如经证实发现供应商提供虚假投标资料或信息骗取中标的，或者未按本招标文件要求提交履约保证金的（如有要求），将取消其中标资格，并报主管部门备案。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24" w:type="dxa"/>
            <w:tcMar>
              <w:top w:w="57" w:type="dxa"/>
              <w:bottom w:w="57" w:type="dxa"/>
            </w:tcMar>
            <w:vAlign w:val="center"/>
          </w:tcPr>
          <w:p>
            <w:pPr>
              <w:spacing w:line="420" w:lineRule="exact"/>
              <w:ind w:firstLine="120" w:firstLine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9099" w:type="dxa"/>
            <w:tcMar>
              <w:top w:w="57" w:type="dxa"/>
              <w:bottom w:w="57" w:type="dxa"/>
            </w:tcMar>
            <w:vAlign w:val="center"/>
          </w:tcPr>
          <w:p>
            <w:pPr>
              <w:pStyle w:val="27"/>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注：供应商认为采购文件、采购过程、中标或者成交结果使自己的权益受到损害的，可以在知道或者应知其权益受到损害之日起7个工作日内，以书面形式向采购人、采购代理机构提出质疑。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9" w:hRule="atLeast"/>
        </w:trPr>
        <w:tc>
          <w:tcPr>
            <w:tcW w:w="824" w:type="dxa"/>
            <w:tcMar>
              <w:top w:w="57" w:type="dxa"/>
              <w:bottom w:w="57" w:type="dxa"/>
            </w:tcMar>
            <w:vAlign w:val="center"/>
          </w:tcPr>
          <w:p>
            <w:pPr>
              <w:spacing w:line="420" w:lineRule="exact"/>
              <w:ind w:firstLine="120" w:firstLine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9099" w:type="dxa"/>
            <w:tcMar>
              <w:top w:w="57" w:type="dxa"/>
              <w:bottom w:w="57" w:type="dxa"/>
            </w:tcMar>
            <w:vAlign w:val="center"/>
          </w:tcPr>
          <w:p>
            <w:pPr>
              <w:pStyle w:val="27"/>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银行信息：</w:t>
            </w:r>
          </w:p>
          <w:p>
            <w:pPr>
              <w:pStyle w:val="27"/>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账户名称：新疆新之建工程咨询有限公司</w:t>
            </w:r>
          </w:p>
          <w:p>
            <w:pPr>
              <w:pStyle w:val="27"/>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开户行名称：中国银行乌鲁木齐市青年路支行</w:t>
            </w:r>
          </w:p>
          <w:p>
            <w:pPr>
              <w:pStyle w:val="27"/>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账      号：107673584569</w:t>
            </w:r>
          </w:p>
          <w:p>
            <w:pPr>
              <w:pStyle w:val="27"/>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行      号：104881006022</w:t>
            </w:r>
          </w:p>
        </w:tc>
      </w:tr>
    </w:tbl>
    <w:p>
      <w:pPr>
        <w:pStyle w:val="28"/>
        <w:snapToGrid w:val="0"/>
        <w:spacing w:line="312" w:lineRule="auto"/>
        <w:ind w:firstLine="560"/>
        <w:jc w:val="center"/>
        <w:rPr>
          <w:rFonts w:ascii="仿宋" w:hAnsi="仿宋" w:eastAsia="仿宋" w:cs="仿宋"/>
          <w:b/>
          <w:color w:val="auto"/>
          <w:sz w:val="36"/>
          <w:szCs w:val="36"/>
          <w:highlight w:val="none"/>
        </w:rPr>
      </w:pPr>
      <w:r>
        <w:rPr>
          <w:rFonts w:hint="eastAsia" w:ascii="仿宋" w:hAnsi="仿宋" w:eastAsia="仿宋" w:cs="仿宋"/>
          <w:color w:val="auto"/>
          <w:sz w:val="31"/>
          <w:highlight w:val="none"/>
        </w:rPr>
        <w:br w:type="page"/>
      </w:r>
      <w:bookmarkStart w:id="1" w:name="_Toc7580"/>
      <w:bookmarkStart w:id="2" w:name="_Toc5896489"/>
      <w:bookmarkStart w:id="3" w:name="_Toc399523005"/>
      <w:r>
        <w:rPr>
          <w:rStyle w:val="34"/>
          <w:rFonts w:hint="eastAsia" w:ascii="仿宋" w:hAnsi="仿宋" w:cs="仿宋"/>
          <w:color w:val="auto"/>
          <w:highlight w:val="none"/>
        </w:rPr>
        <w:t>第一章 招标公告</w:t>
      </w:r>
      <w:bookmarkEnd w:id="1"/>
    </w:p>
    <w:p>
      <w:pPr>
        <w:pStyle w:val="15"/>
        <w:spacing w:before="75" w:beforeAutospacing="0" w:after="75" w:afterAutospacing="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pPr>
        <w:pStyle w:val="15"/>
        <w:spacing w:before="75" w:beforeAutospacing="0" w:after="75" w:afterAutospacing="0"/>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克拉玛依医学基地（中心医院改造迁建工程）紫外线消毒设施工程</w:t>
      </w:r>
      <w:r>
        <w:rPr>
          <w:rFonts w:hint="eastAsia" w:ascii="仿宋" w:hAnsi="仿宋" w:eastAsia="仿宋" w:cs="仿宋"/>
          <w:color w:val="auto"/>
          <w:sz w:val="28"/>
          <w:szCs w:val="28"/>
          <w:highlight w:val="none"/>
        </w:rPr>
        <w:t>的潜在投标人应在</w:t>
      </w:r>
      <w:r>
        <w:rPr>
          <w:rFonts w:hint="eastAsia" w:ascii="仿宋" w:hAnsi="仿宋" w:eastAsia="仿宋" w:cs="仿宋"/>
          <w:color w:val="auto"/>
          <w:sz w:val="28"/>
          <w:szCs w:val="28"/>
          <w:highlight w:val="none"/>
          <w:u w:val="single"/>
        </w:rPr>
        <w:t>政采云平台（https://www.zcygov.cn/）在线申请获取采购文件（进入“项目采购”应用，在获取采购文件菜单中选择项目，</w:t>
      </w:r>
      <w:r>
        <w:rPr>
          <w:rFonts w:hint="eastAsia" w:ascii="仿宋" w:hAnsi="仿宋" w:eastAsia="仿宋" w:cs="仿宋"/>
          <w:color w:val="auto"/>
          <w:sz w:val="28"/>
          <w:szCs w:val="28"/>
          <w:highlight w:val="none"/>
        </w:rPr>
        <w:t>获取（下载）招标文件，并于2022年</w:t>
      </w:r>
      <w:r>
        <w:rPr>
          <w:rFonts w:hint="eastAsia" w:ascii="仿宋" w:hAnsi="仿宋" w:eastAsia="仿宋" w:cs="仿宋"/>
          <w:color w:val="auto"/>
          <w:sz w:val="28"/>
          <w:szCs w:val="28"/>
          <w:highlight w:val="none"/>
          <w:lang w:eastAsia="zh-CN"/>
        </w:rPr>
        <w:t>10月21日</w:t>
      </w:r>
      <w:r>
        <w:rPr>
          <w:rFonts w:hint="eastAsia" w:ascii="仿宋" w:hAnsi="仿宋" w:eastAsia="仿宋" w:cs="仿宋"/>
          <w:color w:val="auto"/>
          <w:sz w:val="28"/>
          <w:szCs w:val="28"/>
          <w:highlight w:val="none"/>
        </w:rPr>
        <w:t>11:00时（北京时间）前上传投标文件。</w:t>
      </w:r>
    </w:p>
    <w:p>
      <w:pPr>
        <w:pStyle w:val="28"/>
        <w:spacing w:line="540" w:lineRule="exact"/>
        <w:ind w:firstLine="560"/>
        <w:jc w:val="both"/>
        <w:rPr>
          <w:rFonts w:ascii="仿宋" w:hAnsi="仿宋" w:eastAsia="仿宋" w:cs="仿宋"/>
          <w:b/>
          <w:color w:val="auto"/>
          <w:sz w:val="28"/>
          <w:highlight w:val="none"/>
        </w:rPr>
      </w:pPr>
      <w:r>
        <w:rPr>
          <w:rStyle w:val="20"/>
          <w:rFonts w:hint="eastAsia" w:ascii="仿宋" w:hAnsi="仿宋" w:eastAsia="仿宋" w:cs="仿宋"/>
          <w:color w:val="auto"/>
          <w:sz w:val="28"/>
          <w:szCs w:val="28"/>
          <w:highlight w:val="none"/>
        </w:rPr>
        <w:t>一、</w:t>
      </w:r>
      <w:r>
        <w:rPr>
          <w:rFonts w:hint="eastAsia" w:ascii="仿宋" w:hAnsi="仿宋" w:eastAsia="仿宋" w:cs="仿宋"/>
          <w:b/>
          <w:color w:val="auto"/>
          <w:sz w:val="28"/>
          <w:highlight w:val="none"/>
        </w:rPr>
        <w:t>项目基本情况</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项目编号：2241xzjk010</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项目名称：克拉玛依医学基地（中心医院改造迁建工程）紫外线消毒设施工程</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采购方式：公开招标</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预算金额（元）：7552200.00</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最高限价（元）：/</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采购需求：</w:t>
      </w:r>
    </w:p>
    <w:p>
      <w:pPr>
        <w:pStyle w:val="28"/>
        <w:spacing w:line="540" w:lineRule="exact"/>
        <w:ind w:firstLine="560"/>
        <w:jc w:val="both"/>
        <w:rPr>
          <w:rFonts w:ascii="仿宋" w:hAnsi="仿宋" w:eastAsia="仿宋" w:cs="仿宋"/>
          <w:color w:val="auto"/>
          <w:sz w:val="28"/>
          <w:highlight w:val="none"/>
        </w:rPr>
      </w:pP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标项一：</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标项名称：紫外线消毒设施</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数量：1批</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预算金额（元）：7552200.00</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简要规格描述：8栋单体内壁挂式紫外线空气消毒器1457台，预算金额为727.77元（含1565个高位插座从配电箱到安装位置的强电拉线和插座安装；老医院108台壁挂式紫外线空气消毒器拆卸、搬运到指定安装位置；1565台新旧壁挂式紫外线空气消毒器安装到位），移动式紫外线空气消毒器61台，预算金额为27.45元（含老院40台移动式紫外线空气消毒器拆卸、搬运、安装指定位置）。具体采购要求详见招标文件。</w:t>
      </w:r>
    </w:p>
    <w:p>
      <w:pPr>
        <w:pStyle w:val="28"/>
        <w:spacing w:line="540" w:lineRule="exact"/>
        <w:ind w:firstLine="560"/>
        <w:rPr>
          <w:rFonts w:hint="eastAsia" w:ascii="仿宋" w:hAnsi="仿宋" w:eastAsia="仿宋" w:cs="仿宋"/>
          <w:b/>
          <w:bCs/>
          <w:color w:val="auto"/>
          <w:sz w:val="28"/>
          <w:highlight w:val="none"/>
        </w:rPr>
      </w:pPr>
      <w:r>
        <w:rPr>
          <w:rFonts w:hint="eastAsia" w:ascii="仿宋" w:hAnsi="仿宋" w:eastAsia="仿宋" w:cs="仿宋"/>
          <w:color w:val="auto"/>
          <w:sz w:val="28"/>
          <w:highlight w:val="none"/>
        </w:rPr>
        <w:t>备注：</w:t>
      </w:r>
      <w:r>
        <w:rPr>
          <w:rFonts w:hint="eastAsia" w:ascii="仿宋" w:hAnsi="仿宋" w:eastAsia="仿宋" w:cs="仿宋"/>
          <w:b/>
          <w:bCs/>
          <w:color w:val="auto"/>
          <w:sz w:val="28"/>
          <w:highlight w:val="none"/>
        </w:rPr>
        <w:t>中标方负责强电拉线及插座安装的安全，且保证壁挂式紫外线空气消毒器吊挂在轻钢龙骨轻质隔墙上的牢固度。</w:t>
      </w:r>
    </w:p>
    <w:p>
      <w:pPr>
        <w:pStyle w:val="28"/>
        <w:spacing w:line="540" w:lineRule="exact"/>
        <w:ind w:firstLine="560"/>
        <w:jc w:val="both"/>
        <w:rPr>
          <w:rFonts w:ascii="仿宋" w:hAnsi="仿宋" w:eastAsia="仿宋" w:cs="仿宋"/>
          <w:color w:val="auto"/>
          <w:sz w:val="28"/>
          <w:highlight w:val="none"/>
        </w:rPr>
      </w:pPr>
    </w:p>
    <w:p>
      <w:pPr>
        <w:pStyle w:val="28"/>
        <w:spacing w:line="540" w:lineRule="exact"/>
        <w:ind w:firstLine="560"/>
        <w:jc w:val="both"/>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合同履约期限：自合同签订完成后</w:t>
      </w:r>
      <w:r>
        <w:rPr>
          <w:rFonts w:hint="eastAsia" w:ascii="仿宋" w:hAnsi="仿宋" w:eastAsia="仿宋" w:cs="仿宋"/>
          <w:color w:val="auto"/>
          <w:sz w:val="28"/>
          <w:highlight w:val="none"/>
          <w:lang w:val="en-US" w:eastAsia="zh-CN"/>
        </w:rPr>
        <w:t>45</w:t>
      </w:r>
      <w:r>
        <w:rPr>
          <w:rFonts w:hint="eastAsia" w:ascii="仿宋" w:hAnsi="仿宋" w:eastAsia="仿宋" w:cs="仿宋"/>
          <w:color w:val="auto"/>
          <w:sz w:val="28"/>
          <w:highlight w:val="none"/>
        </w:rPr>
        <w:t>天内</w:t>
      </w:r>
      <w:r>
        <w:rPr>
          <w:rFonts w:hint="eastAsia" w:ascii="仿宋" w:hAnsi="仿宋" w:eastAsia="仿宋" w:cs="仿宋"/>
          <w:color w:val="auto"/>
          <w:sz w:val="28"/>
          <w:highlight w:val="none"/>
          <w:lang w:eastAsia="zh-CN"/>
        </w:rPr>
        <w:t>。</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本项目不接受联合体投标。</w:t>
      </w:r>
    </w:p>
    <w:p>
      <w:pPr>
        <w:pStyle w:val="28"/>
        <w:spacing w:line="540" w:lineRule="exact"/>
        <w:ind w:firstLine="560"/>
        <w:jc w:val="both"/>
        <w:rPr>
          <w:rFonts w:ascii="仿宋" w:hAnsi="仿宋" w:eastAsia="仿宋" w:cs="仿宋"/>
          <w:b/>
          <w:bCs/>
          <w:color w:val="auto"/>
          <w:sz w:val="28"/>
          <w:highlight w:val="none"/>
        </w:rPr>
      </w:pPr>
      <w:r>
        <w:rPr>
          <w:rFonts w:hint="eastAsia" w:ascii="仿宋" w:hAnsi="仿宋" w:eastAsia="仿宋" w:cs="仿宋"/>
          <w:b/>
          <w:bCs/>
          <w:color w:val="auto"/>
          <w:sz w:val="28"/>
          <w:highlight w:val="none"/>
        </w:rPr>
        <w:t>二、申请人的资格要求：</w:t>
      </w:r>
    </w:p>
    <w:p>
      <w:pPr>
        <w:pStyle w:val="28"/>
        <w:spacing w:line="540" w:lineRule="exact"/>
        <w:ind w:firstLine="560"/>
        <w:jc w:val="both"/>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（1）满足《中华人民共和国政府采购法》第二十二条规定</w:t>
      </w:r>
      <w:r>
        <w:rPr>
          <w:rFonts w:hint="eastAsia" w:ascii="仿宋" w:hAnsi="仿宋" w:eastAsia="仿宋" w:cs="仿宋"/>
          <w:color w:val="auto"/>
          <w:sz w:val="28"/>
          <w:highlight w:val="none"/>
          <w:lang w:eastAsia="zh-CN"/>
        </w:rPr>
        <w:t>。</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（2）落实政府采购政策需满足的资格要求：</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①所采购产品需符合国家节能环保要求。结合本项目具体情况，根据财政部的相关规定符合政府采购促进中小企业发展政策的供应商为小、微型企业，产品有环境标志认证证书或节能标志认证证书的依据规定给予评审优惠。</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②监狱企业及残疾人福利性单位视同小型、微型企业，享受预留份额、评审中价格扣除等政府采购促进中小企业发展的政府采购政策。</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③中华人民共和国财政部、中华人民共和国工业和信息化部《政府采购促进中小企业发展管理办法》（财库〔2020〕46号）、《关于落实好政府采购支持中小企业发展的通知》（新财购〔2022〕22号）文件的规定。</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（3）有效的工商营业执照副本、税务登记证副本、组织机构代码证副本或“三证合一”的营业执照副本。</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（4）法定代表人投标需携带法定代表人证明书（原件）及法定代表人身份证（原件），委托代理人投标需携带法定代表人授权委托书（原件）及委托代理人身份证（原件）。</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8"/>
        <w:spacing w:line="540" w:lineRule="exact"/>
        <w:ind w:firstLine="560"/>
        <w:jc w:val="both"/>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（6）投标人不得为“信用中国”网站（www.creditchina.gov.cn ）中列入重大税收违法失信主体的供应商，不得为“中国执行信息公开网”（http://zxgk.court.gov.cn/）中列入失信被执行人，不得为中国政府采购网（www.ccgp.gov.cn ）政府采购严重违法失信行为记录名单中被财政部门禁止参加政府采购活动的供应商（处罚决定规定的时间和地域范围内）。信用信息截止时点为开标当日。</w:t>
      </w:r>
    </w:p>
    <w:p>
      <w:pPr>
        <w:pStyle w:val="28"/>
        <w:spacing w:line="540" w:lineRule="exact"/>
        <w:ind w:firstLine="560"/>
        <w:jc w:val="both"/>
        <w:rPr>
          <w:rFonts w:ascii="仿宋" w:hAnsi="仿宋" w:eastAsia="仿宋" w:cs="仿宋"/>
          <w:b/>
          <w:bCs/>
          <w:color w:val="auto"/>
          <w:sz w:val="28"/>
          <w:highlight w:val="none"/>
        </w:rPr>
      </w:pPr>
      <w:r>
        <w:rPr>
          <w:rFonts w:hint="eastAsia" w:ascii="仿宋" w:hAnsi="仿宋" w:eastAsia="仿宋" w:cs="仿宋"/>
          <w:b/>
          <w:bCs/>
          <w:color w:val="auto"/>
          <w:sz w:val="28"/>
          <w:highlight w:val="none"/>
        </w:rPr>
        <w:t>三、获取招标文件</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1、时间：2022年09月</w:t>
      </w:r>
      <w:r>
        <w:rPr>
          <w:rFonts w:hint="eastAsia" w:ascii="仿宋" w:hAnsi="仿宋" w:eastAsia="仿宋" w:cs="仿宋"/>
          <w:color w:val="auto"/>
          <w:sz w:val="28"/>
          <w:highlight w:val="none"/>
          <w:lang w:val="en-US" w:eastAsia="zh-CN"/>
        </w:rPr>
        <w:t>29</w:t>
      </w:r>
      <w:r>
        <w:rPr>
          <w:rFonts w:hint="eastAsia" w:ascii="仿宋" w:hAnsi="仿宋" w:eastAsia="仿宋" w:cs="仿宋"/>
          <w:color w:val="auto"/>
          <w:sz w:val="28"/>
          <w:highlight w:val="none"/>
        </w:rPr>
        <w:t>日至2022年</w:t>
      </w:r>
      <w:r>
        <w:rPr>
          <w:rFonts w:hint="eastAsia" w:ascii="仿宋" w:hAnsi="仿宋" w:eastAsia="仿宋" w:cs="仿宋"/>
          <w:color w:val="auto"/>
          <w:sz w:val="28"/>
          <w:highlight w:val="none"/>
          <w:lang w:val="en-US" w:eastAsia="zh-CN"/>
        </w:rPr>
        <w:t>10</w:t>
      </w:r>
      <w:r>
        <w:rPr>
          <w:rFonts w:hint="eastAsia" w:ascii="仿宋" w:hAnsi="仿宋" w:eastAsia="仿宋" w:cs="仿宋"/>
          <w:color w:val="auto"/>
          <w:sz w:val="28"/>
          <w:highlight w:val="none"/>
        </w:rPr>
        <w:t>月</w:t>
      </w:r>
      <w:r>
        <w:rPr>
          <w:rFonts w:hint="eastAsia" w:ascii="仿宋" w:hAnsi="仿宋" w:eastAsia="仿宋" w:cs="仿宋"/>
          <w:color w:val="auto"/>
          <w:sz w:val="28"/>
          <w:highlight w:val="none"/>
          <w:lang w:val="en-US" w:eastAsia="zh-CN"/>
        </w:rPr>
        <w:t>11</w:t>
      </w:r>
      <w:r>
        <w:rPr>
          <w:rFonts w:hint="eastAsia" w:ascii="仿宋" w:hAnsi="仿宋" w:eastAsia="仿宋" w:cs="仿宋"/>
          <w:color w:val="auto"/>
          <w:sz w:val="28"/>
          <w:highlight w:val="none"/>
        </w:rPr>
        <w:t>日，每天上午10:30至13:00，下午15:30至18:00（北京时间，法定节假日除外）</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2、地点：供应商登录政采云平台https://www.zcygov.cn/在线申请获取采购文件（进入“项目采购”应用，在获取采购文件菜单中选择项目，申请获取采购文件）</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3、方式：线上获取。</w:t>
      </w:r>
    </w:p>
    <w:p>
      <w:pPr>
        <w:pStyle w:val="28"/>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4、售价（元）：0元/份。</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5、投标人购买招标文件时须提交的文件资料（提供加盖公章的彩色扫描件）：</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（1）法人身份证明书及法人身份证原件或法人授权委托书及被授权人身份证原件；</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（2）营业执照复印件；</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3）网页查询截图。查询方法：①“信用中国”网站查询截图（“信用中国”网站查询方法：信用服务-重点领域严重失信主体名单查询-重大税收违法失信主体-搜索栏输入单位全称-查询；②“中国执行信息公开网”网站查询截图(首页-失信被执行人-搜索栏输入单位全称-查询);③“中国政府采购网”网站查询截图：首页-政府采购严重违法失信行为记录名单-搜索栏输入单位全称-查询）；</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kern w:val="0"/>
          <w:sz w:val="28"/>
          <w:szCs w:val="28"/>
          <w:highlight w:val="none"/>
        </w:rPr>
        <w:t>资料不齐及逾期报名的均视为无效。</w:t>
      </w:r>
    </w:p>
    <w:p>
      <w:pPr>
        <w:pStyle w:val="28"/>
        <w:spacing w:line="540" w:lineRule="exact"/>
        <w:ind w:firstLine="560"/>
        <w:jc w:val="both"/>
        <w:rPr>
          <w:rFonts w:ascii="仿宋" w:hAnsi="仿宋" w:eastAsia="仿宋" w:cs="仿宋"/>
          <w:b/>
          <w:bCs/>
          <w:color w:val="auto"/>
          <w:sz w:val="28"/>
          <w:highlight w:val="none"/>
        </w:rPr>
      </w:pPr>
      <w:r>
        <w:rPr>
          <w:rFonts w:hint="eastAsia" w:ascii="仿宋" w:hAnsi="仿宋" w:eastAsia="仿宋" w:cs="仿宋"/>
          <w:b/>
          <w:bCs/>
          <w:color w:val="auto"/>
          <w:sz w:val="28"/>
          <w:highlight w:val="none"/>
        </w:rPr>
        <w:t>四、提交投标文件截止时间、开标时间和地点</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提交投标文件截止时间：2022年</w:t>
      </w:r>
      <w:r>
        <w:rPr>
          <w:rFonts w:hint="eastAsia" w:ascii="仿宋" w:hAnsi="仿宋" w:eastAsia="仿宋" w:cs="仿宋"/>
          <w:color w:val="auto"/>
          <w:sz w:val="28"/>
          <w:highlight w:val="none"/>
          <w:lang w:eastAsia="zh-CN"/>
        </w:rPr>
        <w:t>10月21日</w:t>
      </w:r>
      <w:r>
        <w:rPr>
          <w:rFonts w:hint="eastAsia" w:ascii="仿宋" w:hAnsi="仿宋" w:eastAsia="仿宋" w:cs="仿宋"/>
          <w:color w:val="auto"/>
          <w:sz w:val="28"/>
          <w:highlight w:val="none"/>
        </w:rPr>
        <w:t>11:00（北京时间）</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投标地点：线上投标文件上传至www.zcygov.cn，逾期上传的响应文件将被拒收。</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开标时间：2022年</w:t>
      </w:r>
      <w:r>
        <w:rPr>
          <w:rFonts w:hint="eastAsia" w:ascii="仿宋" w:hAnsi="仿宋" w:eastAsia="仿宋" w:cs="仿宋"/>
          <w:color w:val="auto"/>
          <w:sz w:val="28"/>
          <w:highlight w:val="none"/>
          <w:lang w:eastAsia="zh-CN"/>
        </w:rPr>
        <w:t>10月21日</w:t>
      </w:r>
      <w:r>
        <w:rPr>
          <w:rFonts w:hint="eastAsia" w:ascii="仿宋" w:hAnsi="仿宋" w:eastAsia="仿宋" w:cs="仿宋"/>
          <w:color w:val="auto"/>
          <w:sz w:val="28"/>
          <w:highlight w:val="none"/>
        </w:rPr>
        <w:t>11:00（北京时间）</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开标地点：www.zcygov.cn</w:t>
      </w:r>
    </w:p>
    <w:p>
      <w:pPr>
        <w:pStyle w:val="28"/>
        <w:spacing w:line="540" w:lineRule="exact"/>
        <w:ind w:firstLine="560"/>
        <w:jc w:val="both"/>
        <w:rPr>
          <w:rFonts w:ascii="仿宋" w:hAnsi="仿宋" w:eastAsia="仿宋" w:cs="仿宋"/>
          <w:b/>
          <w:bCs/>
          <w:color w:val="auto"/>
          <w:sz w:val="28"/>
          <w:highlight w:val="none"/>
        </w:rPr>
      </w:pPr>
      <w:r>
        <w:rPr>
          <w:rFonts w:hint="eastAsia" w:ascii="仿宋" w:hAnsi="仿宋" w:eastAsia="仿宋" w:cs="仿宋"/>
          <w:b/>
          <w:bCs/>
          <w:color w:val="auto"/>
          <w:sz w:val="28"/>
          <w:highlight w:val="none"/>
        </w:rPr>
        <w:t>五、公告期限</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自本公告发布之日起5个工作日。</w:t>
      </w:r>
    </w:p>
    <w:p>
      <w:pPr>
        <w:pStyle w:val="28"/>
        <w:spacing w:line="540" w:lineRule="exact"/>
        <w:ind w:firstLine="560" w:firstLineChars="200"/>
        <w:jc w:val="both"/>
        <w:rPr>
          <w:rFonts w:ascii="仿宋" w:hAnsi="仿宋" w:eastAsia="仿宋" w:cs="仿宋"/>
          <w:b/>
          <w:bCs/>
          <w:color w:val="auto"/>
          <w:sz w:val="28"/>
          <w:highlight w:val="none"/>
        </w:rPr>
      </w:pPr>
      <w:r>
        <w:rPr>
          <w:rFonts w:hint="eastAsia" w:ascii="仿宋" w:hAnsi="仿宋" w:eastAsia="仿宋" w:cs="仿宋"/>
          <w:b/>
          <w:bCs/>
          <w:color w:val="auto"/>
          <w:sz w:val="28"/>
          <w:highlight w:val="none"/>
        </w:rPr>
        <w:t>六、其他补充事宜</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1、投标人购买招标文件时须提交的文件资料（提供加盖公章的彩色扫描件）：</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（1）法人身份证明书及法人身份证原件或法人授权委托书及被授权人身份证原件；</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（2）营业执照复印件；</w:t>
      </w:r>
    </w:p>
    <w:p>
      <w:pPr>
        <w:pStyle w:val="28"/>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3）网页查询截图。查询方法：①“信用中国”网站查询截图（“信用中国”网站查询方法：信用服务-重点领域严重失信主体名单查询-重大税收违法失信主体-搜索栏输入单位全称-查询；②“中国执行信息公开网”网站查询截图(首页-失信被执行人-搜索栏输入单位全称-查询);③“中国政府采购网”网站查询截图：首页-政府采购严重违法失信行为记录名单-搜索栏输入单位全称-查询）；</w:t>
      </w:r>
    </w:p>
    <w:p>
      <w:pPr>
        <w:pStyle w:val="28"/>
        <w:spacing w:line="540" w:lineRule="exact"/>
        <w:ind w:firstLine="560" w:firstLineChars="200"/>
        <w:jc w:val="both"/>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资料不齐及逾期报名的均视为无效。</w:t>
      </w:r>
    </w:p>
    <w:p>
      <w:pPr>
        <w:pStyle w:val="28"/>
        <w:spacing w:line="520" w:lineRule="exact"/>
        <w:ind w:firstLine="560" w:firstLineChars="200"/>
        <w:jc w:val="both"/>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2、其他注意事项：</w:t>
      </w:r>
    </w:p>
    <w:p>
      <w:pPr>
        <w:pStyle w:val="28"/>
        <w:spacing w:line="520" w:lineRule="exact"/>
        <w:ind w:firstLine="560" w:firstLineChars="200"/>
        <w:jc w:val="both"/>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2.1、本项目实行网上投标，采用电子投标文件；</w:t>
      </w:r>
    </w:p>
    <w:p>
      <w:pPr>
        <w:pStyle w:val="28"/>
        <w:spacing w:line="520" w:lineRule="exact"/>
        <w:ind w:firstLine="560" w:firstLineChars="200"/>
        <w:jc w:val="both"/>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2.2、各供应商应在开标前应确保成为政采云平台供应商，并完成CA数字证书（符合国密标准）申领。因未注册入库、未办理CA数字证书等原因造成无法投标或投标失败等后果由供应商自行承担。有意向参与的供应商，可访问新疆数字证书认证中心官方网站（https://www.xjca.com.cn/）或下载“新疆政务通”APP自行进行申领。如需咨询，请联系新疆CA服务热线0991-2819290；</w:t>
      </w:r>
    </w:p>
    <w:p>
      <w:pPr>
        <w:pStyle w:val="28"/>
        <w:spacing w:line="520" w:lineRule="exact"/>
        <w:ind w:firstLine="560" w:firstLineChars="200"/>
        <w:jc w:val="both"/>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2.3、供应商将政采云电子交易客户端下载、安装完成后，可通过账号密码或CA登录客户端进行投标文件的制作。在使用政采云投标客户端时，建议使用WIN7（64位）及以上操作系统。客户端请至新疆政府采购网（www.ccgp-xinjiang.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pPr>
        <w:pStyle w:val="28"/>
        <w:spacing w:line="520" w:lineRule="exact"/>
        <w:ind w:firstLine="560" w:firstLineChars="200"/>
        <w:jc w:val="both"/>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2.4、本项目采用不见面开标，供应商在开标前须提前配置好电脑浏览器，提前做好环境测试，开标时须使用制作加密电子投标文件的CA锁进行解密及报价确认。本项目投标文件解密时间为30分钟，如因自身原因导致无法正常解密，后果由供应商自行承担。</w:t>
      </w:r>
    </w:p>
    <w:p>
      <w:pPr>
        <w:pStyle w:val="28"/>
        <w:spacing w:line="520" w:lineRule="exact"/>
        <w:ind w:firstLine="560" w:firstLineChars="200"/>
        <w:jc w:val="both"/>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2.5、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pPr>
        <w:pStyle w:val="28"/>
        <w:spacing w:line="520" w:lineRule="exact"/>
        <w:ind w:firstLine="560" w:firstLineChars="200"/>
        <w:jc w:val="both"/>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特别提示：</w:t>
      </w:r>
    </w:p>
    <w:p>
      <w:pPr>
        <w:pStyle w:val="28"/>
        <w:spacing w:line="520" w:lineRule="exact"/>
        <w:ind w:firstLine="560" w:firstLineChars="200"/>
        <w:jc w:val="both"/>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1、超过200万元的货物和服务采购项目、超过400万元的工程采购项目中适宜由中小企业提供的，预留该部分采购项目预算总额的40%以上专门面向中小企业采购，其中预留给小微企业的比例不低于60%。</w:t>
      </w:r>
    </w:p>
    <w:p>
      <w:pPr>
        <w:pStyle w:val="28"/>
        <w:spacing w:line="520" w:lineRule="exact"/>
        <w:ind w:firstLine="560" w:firstLineChars="200"/>
        <w:jc w:val="both"/>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Style w:val="28"/>
        <w:spacing w:line="540" w:lineRule="exact"/>
        <w:ind w:firstLine="560" w:firstLineChars="200"/>
        <w:jc w:val="both"/>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pStyle w:val="28"/>
        <w:spacing w:line="540" w:lineRule="exact"/>
        <w:ind w:firstLine="560"/>
        <w:jc w:val="both"/>
        <w:rPr>
          <w:rFonts w:ascii="仿宋" w:hAnsi="仿宋" w:eastAsia="仿宋" w:cs="仿宋"/>
          <w:b/>
          <w:bCs/>
          <w:color w:val="auto"/>
          <w:sz w:val="28"/>
          <w:highlight w:val="none"/>
        </w:rPr>
      </w:pPr>
      <w:r>
        <w:rPr>
          <w:rFonts w:hint="eastAsia" w:ascii="仿宋" w:hAnsi="仿宋" w:eastAsia="仿宋" w:cs="仿宋"/>
          <w:b/>
          <w:bCs/>
          <w:color w:val="auto"/>
          <w:sz w:val="28"/>
          <w:highlight w:val="none"/>
        </w:rPr>
        <w:t>七、对本次采购提出询问，请按以下方式联系</w:t>
      </w:r>
    </w:p>
    <w:p>
      <w:pPr>
        <w:pStyle w:val="28"/>
        <w:spacing w:line="500" w:lineRule="exact"/>
        <w:ind w:firstLine="561"/>
        <w:jc w:val="both"/>
        <w:rPr>
          <w:rFonts w:ascii="仿宋" w:hAnsi="仿宋" w:eastAsia="仿宋" w:cs="仿宋"/>
          <w:color w:val="auto"/>
          <w:sz w:val="28"/>
          <w:highlight w:val="none"/>
        </w:rPr>
      </w:pPr>
      <w:r>
        <w:rPr>
          <w:rFonts w:hint="eastAsia" w:ascii="仿宋" w:hAnsi="仿宋" w:eastAsia="仿宋" w:cs="仿宋"/>
          <w:color w:val="auto"/>
          <w:sz w:val="28"/>
          <w:highlight w:val="none"/>
        </w:rPr>
        <w:t>1.采购人信息</w:t>
      </w:r>
    </w:p>
    <w:p>
      <w:pPr>
        <w:pStyle w:val="28"/>
        <w:spacing w:line="500" w:lineRule="exact"/>
        <w:ind w:firstLine="561"/>
        <w:jc w:val="both"/>
        <w:rPr>
          <w:rFonts w:ascii="仿宋" w:hAnsi="仿宋" w:eastAsia="仿宋" w:cs="仿宋"/>
          <w:color w:val="auto"/>
          <w:sz w:val="28"/>
          <w:highlight w:val="none"/>
        </w:rPr>
      </w:pPr>
      <w:r>
        <w:rPr>
          <w:rFonts w:hint="eastAsia" w:ascii="仿宋" w:hAnsi="仿宋" w:eastAsia="仿宋" w:cs="仿宋"/>
          <w:color w:val="auto"/>
          <w:sz w:val="28"/>
          <w:highlight w:val="none"/>
        </w:rPr>
        <w:t>名 称：克拉玛依市卫生健康委员会</w:t>
      </w:r>
    </w:p>
    <w:p>
      <w:pPr>
        <w:pStyle w:val="28"/>
        <w:spacing w:line="500" w:lineRule="exact"/>
        <w:ind w:firstLine="561"/>
        <w:jc w:val="both"/>
        <w:rPr>
          <w:rFonts w:ascii="仿宋" w:hAnsi="仿宋" w:eastAsia="仿宋" w:cs="仿宋"/>
          <w:color w:val="auto"/>
          <w:sz w:val="28"/>
          <w:highlight w:val="none"/>
        </w:rPr>
      </w:pPr>
      <w:r>
        <w:rPr>
          <w:rFonts w:hint="eastAsia" w:ascii="仿宋" w:hAnsi="仿宋" w:eastAsia="仿宋" w:cs="仿宋"/>
          <w:color w:val="auto"/>
          <w:sz w:val="28"/>
          <w:highlight w:val="none"/>
        </w:rPr>
        <w:t>地 址：克拉玛依市胜利路33号市委市政府2号楼1041办公室</w:t>
      </w:r>
    </w:p>
    <w:p>
      <w:pPr>
        <w:pStyle w:val="28"/>
        <w:spacing w:line="500" w:lineRule="exact"/>
        <w:ind w:firstLine="561"/>
        <w:jc w:val="both"/>
        <w:rPr>
          <w:rFonts w:ascii="仿宋" w:hAnsi="仿宋" w:eastAsia="仿宋" w:cs="仿宋"/>
          <w:color w:val="auto"/>
          <w:sz w:val="28"/>
          <w:highlight w:val="none"/>
        </w:rPr>
      </w:pPr>
      <w:r>
        <w:rPr>
          <w:rFonts w:hint="eastAsia" w:ascii="仿宋" w:hAnsi="仿宋" w:eastAsia="仿宋" w:cs="仿宋"/>
          <w:color w:val="auto"/>
          <w:sz w:val="28"/>
          <w:highlight w:val="none"/>
        </w:rPr>
        <w:t>联系人：宗金鹏</w:t>
      </w:r>
    </w:p>
    <w:p>
      <w:pPr>
        <w:pStyle w:val="28"/>
        <w:spacing w:line="500" w:lineRule="exact"/>
        <w:ind w:firstLine="561"/>
        <w:jc w:val="both"/>
        <w:rPr>
          <w:rFonts w:ascii="仿宋" w:hAnsi="仿宋" w:eastAsia="仿宋" w:cs="仿宋"/>
          <w:color w:val="auto"/>
          <w:sz w:val="28"/>
          <w:highlight w:val="none"/>
        </w:rPr>
      </w:pPr>
      <w:r>
        <w:rPr>
          <w:rFonts w:hint="eastAsia" w:ascii="仿宋" w:hAnsi="仿宋" w:eastAsia="仿宋" w:cs="仿宋"/>
          <w:color w:val="auto"/>
          <w:sz w:val="28"/>
          <w:highlight w:val="none"/>
        </w:rPr>
        <w:t>联系方式：0990-6629677</w:t>
      </w:r>
    </w:p>
    <w:p>
      <w:pPr>
        <w:pStyle w:val="28"/>
        <w:spacing w:line="500" w:lineRule="exact"/>
        <w:ind w:firstLine="561"/>
        <w:jc w:val="both"/>
        <w:rPr>
          <w:rFonts w:ascii="仿宋" w:hAnsi="仿宋" w:eastAsia="仿宋" w:cs="仿宋"/>
          <w:color w:val="auto"/>
          <w:sz w:val="28"/>
          <w:highlight w:val="none"/>
        </w:rPr>
      </w:pPr>
    </w:p>
    <w:p>
      <w:pPr>
        <w:pStyle w:val="28"/>
        <w:spacing w:line="500" w:lineRule="exact"/>
        <w:ind w:firstLine="561"/>
        <w:jc w:val="both"/>
        <w:rPr>
          <w:rFonts w:ascii="仿宋" w:hAnsi="仿宋" w:eastAsia="仿宋" w:cs="仿宋"/>
          <w:color w:val="auto"/>
          <w:sz w:val="28"/>
          <w:highlight w:val="none"/>
        </w:rPr>
      </w:pPr>
      <w:r>
        <w:rPr>
          <w:rFonts w:hint="eastAsia" w:ascii="仿宋" w:hAnsi="仿宋" w:eastAsia="仿宋" w:cs="仿宋"/>
          <w:color w:val="auto"/>
          <w:sz w:val="28"/>
          <w:highlight w:val="none"/>
        </w:rPr>
        <w:t>2.采购代理机构信息</w:t>
      </w:r>
    </w:p>
    <w:p>
      <w:pPr>
        <w:pStyle w:val="28"/>
        <w:spacing w:line="500" w:lineRule="exact"/>
        <w:ind w:firstLine="561"/>
        <w:jc w:val="both"/>
        <w:rPr>
          <w:rFonts w:ascii="仿宋" w:hAnsi="仿宋" w:eastAsia="仿宋" w:cs="仿宋"/>
          <w:color w:val="auto"/>
          <w:sz w:val="28"/>
          <w:highlight w:val="none"/>
        </w:rPr>
      </w:pPr>
      <w:r>
        <w:rPr>
          <w:rFonts w:hint="eastAsia" w:ascii="仿宋" w:hAnsi="仿宋" w:eastAsia="仿宋" w:cs="仿宋"/>
          <w:color w:val="auto"/>
          <w:sz w:val="28"/>
          <w:highlight w:val="none"/>
        </w:rPr>
        <w:t>名 称：新疆新之建工程咨询有限公司</w:t>
      </w:r>
    </w:p>
    <w:p>
      <w:pPr>
        <w:pStyle w:val="28"/>
        <w:spacing w:line="500" w:lineRule="exact"/>
        <w:ind w:firstLine="561"/>
        <w:jc w:val="both"/>
        <w:rPr>
          <w:rFonts w:ascii="仿宋" w:hAnsi="仿宋" w:eastAsia="仿宋" w:cs="仿宋"/>
          <w:color w:val="auto"/>
          <w:sz w:val="28"/>
          <w:highlight w:val="none"/>
        </w:rPr>
      </w:pPr>
      <w:r>
        <w:rPr>
          <w:rFonts w:hint="eastAsia" w:ascii="仿宋" w:hAnsi="仿宋" w:eastAsia="仿宋" w:cs="仿宋"/>
          <w:color w:val="auto"/>
          <w:sz w:val="28"/>
          <w:highlight w:val="none"/>
        </w:rPr>
        <w:t>地 址：新疆乌鲁木齐市沙依巴克区公园北街162号文苑综合楼七楼</w:t>
      </w:r>
    </w:p>
    <w:p>
      <w:pPr>
        <w:pStyle w:val="28"/>
        <w:spacing w:line="500" w:lineRule="exact"/>
        <w:ind w:firstLine="561"/>
        <w:jc w:val="both"/>
        <w:rPr>
          <w:rFonts w:ascii="仿宋" w:hAnsi="仿宋" w:eastAsia="仿宋" w:cs="仿宋"/>
          <w:color w:val="auto"/>
          <w:sz w:val="28"/>
          <w:highlight w:val="none"/>
        </w:rPr>
      </w:pPr>
      <w:r>
        <w:rPr>
          <w:rFonts w:hint="eastAsia" w:ascii="仿宋" w:hAnsi="仿宋" w:eastAsia="仿宋" w:cs="仿宋"/>
          <w:color w:val="auto"/>
          <w:sz w:val="28"/>
          <w:highlight w:val="none"/>
        </w:rPr>
        <w:t>项目联系人：吴坤 李雪 孙燕 杨戈</w:t>
      </w:r>
    </w:p>
    <w:p>
      <w:pPr>
        <w:pStyle w:val="28"/>
        <w:spacing w:line="500" w:lineRule="exact"/>
        <w:ind w:firstLine="561"/>
        <w:jc w:val="both"/>
        <w:rPr>
          <w:rFonts w:ascii="仿宋" w:hAnsi="仿宋" w:eastAsia="仿宋" w:cs="仿宋"/>
          <w:color w:val="auto"/>
          <w:highlight w:val="none"/>
        </w:rPr>
      </w:pPr>
      <w:r>
        <w:rPr>
          <w:rFonts w:hint="eastAsia" w:ascii="仿宋" w:hAnsi="仿宋" w:eastAsia="仿宋" w:cs="仿宋"/>
          <w:color w:val="auto"/>
          <w:sz w:val="28"/>
          <w:highlight w:val="none"/>
        </w:rPr>
        <w:t>联系方式：0991-8852519</w:t>
      </w:r>
    </w:p>
    <w:p>
      <w:pPr>
        <w:rPr>
          <w:rFonts w:ascii="仿宋" w:hAnsi="仿宋" w:eastAsia="仿宋" w:cs="仿宋"/>
          <w:b/>
          <w:bCs/>
          <w:color w:val="auto"/>
          <w:sz w:val="36"/>
          <w:highlight w:val="none"/>
        </w:rPr>
      </w:pPr>
      <w:r>
        <w:rPr>
          <w:rFonts w:hint="eastAsia" w:ascii="仿宋" w:hAnsi="仿宋" w:eastAsia="仿宋" w:cs="仿宋"/>
          <w:b/>
          <w:bCs/>
          <w:color w:val="auto"/>
          <w:sz w:val="36"/>
          <w:highlight w:val="none"/>
        </w:rPr>
        <w:br w:type="page"/>
      </w:r>
    </w:p>
    <w:p>
      <w:pPr>
        <w:pStyle w:val="16"/>
        <w:rPr>
          <w:rFonts w:ascii="仿宋" w:hAnsi="仿宋" w:cs="仿宋"/>
          <w:color w:val="auto"/>
          <w:highlight w:val="none"/>
        </w:rPr>
      </w:pPr>
      <w:bookmarkStart w:id="4" w:name="_Toc24511"/>
      <w:r>
        <w:rPr>
          <w:rFonts w:hint="eastAsia" w:ascii="仿宋" w:hAnsi="仿宋" w:cs="仿宋"/>
          <w:color w:val="auto"/>
          <w:highlight w:val="none"/>
        </w:rPr>
        <w:t>第二章  投 标 须 知</w:t>
      </w:r>
      <w:bookmarkEnd w:id="2"/>
      <w:bookmarkEnd w:id="4"/>
    </w:p>
    <w:p>
      <w:pPr>
        <w:pStyle w:val="29"/>
        <w:spacing w:beforeLines="0" w:afterLines="0" w:line="520" w:lineRule="exact"/>
        <w:rPr>
          <w:rFonts w:ascii="仿宋" w:hAnsi="仿宋" w:eastAsia="仿宋" w:cs="仿宋"/>
          <w:color w:val="auto"/>
          <w:kern w:val="0"/>
          <w:sz w:val="28"/>
          <w:szCs w:val="24"/>
          <w:highlight w:val="none"/>
        </w:rPr>
      </w:pPr>
      <w:bookmarkStart w:id="5" w:name="_Toc2946"/>
      <w:r>
        <w:rPr>
          <w:rFonts w:hint="eastAsia" w:ascii="仿宋" w:hAnsi="仿宋" w:eastAsia="仿宋" w:cs="仿宋"/>
          <w:color w:val="auto"/>
          <w:kern w:val="0"/>
          <w:sz w:val="28"/>
          <w:szCs w:val="24"/>
          <w:highlight w:val="none"/>
        </w:rPr>
        <w:t>一、总 则</w:t>
      </w:r>
      <w:bookmarkEnd w:id="5"/>
    </w:p>
    <w:p>
      <w:pPr>
        <w:pStyle w:val="28"/>
        <w:spacing w:line="540" w:lineRule="exact"/>
        <w:ind w:firstLine="562"/>
        <w:jc w:val="both"/>
        <w:rPr>
          <w:rFonts w:ascii="仿宋" w:hAnsi="仿宋" w:eastAsia="仿宋" w:cs="仿宋"/>
          <w:b/>
          <w:color w:val="auto"/>
          <w:sz w:val="28"/>
          <w:highlight w:val="none"/>
        </w:rPr>
      </w:pPr>
      <w:r>
        <w:rPr>
          <w:rFonts w:hint="eastAsia" w:ascii="仿宋" w:hAnsi="仿宋" w:eastAsia="仿宋" w:cs="仿宋"/>
          <w:b/>
          <w:color w:val="auto"/>
          <w:sz w:val="28"/>
          <w:highlight w:val="none"/>
        </w:rPr>
        <w:t>1. 合格的供应商</w:t>
      </w:r>
    </w:p>
    <w:p>
      <w:pPr>
        <w:pStyle w:val="28"/>
        <w:spacing w:line="540" w:lineRule="exact"/>
        <w:ind w:firstLine="562"/>
        <w:jc w:val="both"/>
        <w:rPr>
          <w:rFonts w:ascii="仿宋" w:hAnsi="仿宋" w:eastAsia="仿宋" w:cs="仿宋"/>
          <w:b/>
          <w:color w:val="auto"/>
          <w:sz w:val="28"/>
          <w:highlight w:val="none"/>
        </w:rPr>
      </w:pPr>
      <w:r>
        <w:rPr>
          <w:rFonts w:hint="eastAsia" w:ascii="仿宋" w:hAnsi="仿宋" w:eastAsia="仿宋" w:cs="仿宋"/>
          <w:b/>
          <w:color w:val="auto"/>
          <w:sz w:val="28"/>
          <w:highlight w:val="none"/>
        </w:rPr>
        <w:t>1.1 凡符合《中华人民共和国政府采购法》第二十二条款规定的、有提供招标货物和服务的资格和能力，技术规范，安装调试能力强，并具有有效的营业执照（实行生产许可证制度的产品须持有生产许可证）、相关资质证书的国内货物制造商、经销商，符合本项目招标公告资质要求的，承认和履行招标文件中的各项规定者，均可参加投标。</w:t>
      </w:r>
    </w:p>
    <w:p>
      <w:pPr>
        <w:pStyle w:val="28"/>
        <w:spacing w:line="540" w:lineRule="exact"/>
        <w:ind w:firstLine="562"/>
        <w:rPr>
          <w:rFonts w:ascii="仿宋" w:hAnsi="仿宋" w:eastAsia="仿宋" w:cs="仿宋"/>
          <w:b/>
          <w:color w:val="auto"/>
          <w:sz w:val="28"/>
          <w:highlight w:val="none"/>
        </w:rPr>
      </w:pPr>
      <w:r>
        <w:rPr>
          <w:rFonts w:hint="eastAsia" w:ascii="仿宋" w:hAnsi="仿宋" w:eastAsia="仿宋" w:cs="仿宋"/>
          <w:b/>
          <w:color w:val="auto"/>
          <w:sz w:val="28"/>
          <w:highlight w:val="none"/>
        </w:rPr>
        <w:t>1.2 凡参加投标的制造商必须具有国际或国内相应的招标货物制造资质等级，信誉可靠，且应具有履行本招标文件规定的有关义务的能力。</w:t>
      </w:r>
    </w:p>
    <w:p>
      <w:pPr>
        <w:pStyle w:val="28"/>
        <w:spacing w:line="540" w:lineRule="exact"/>
        <w:ind w:firstLine="562"/>
        <w:jc w:val="both"/>
        <w:rPr>
          <w:rFonts w:ascii="仿宋" w:hAnsi="仿宋" w:eastAsia="仿宋" w:cs="仿宋"/>
          <w:b/>
          <w:color w:val="auto"/>
          <w:sz w:val="28"/>
          <w:highlight w:val="none"/>
        </w:rPr>
      </w:pPr>
      <w:r>
        <w:rPr>
          <w:rFonts w:hint="eastAsia" w:ascii="仿宋" w:hAnsi="仿宋" w:eastAsia="仿宋" w:cs="仿宋"/>
          <w:b/>
          <w:color w:val="auto"/>
          <w:sz w:val="28"/>
          <w:highlight w:val="none"/>
        </w:rPr>
        <w:t>1.3 供应商在本次招标活动中，必须遵循《中华人民共和国政府采购法》及其实施条例（658号令）、《政府采购货物和服务招标投标管理办法》（财政部87号令）的规定。</w:t>
      </w:r>
    </w:p>
    <w:p>
      <w:pPr>
        <w:pStyle w:val="28"/>
        <w:spacing w:line="540" w:lineRule="exact"/>
        <w:ind w:firstLine="562"/>
        <w:jc w:val="both"/>
        <w:rPr>
          <w:rFonts w:ascii="仿宋" w:hAnsi="仿宋" w:eastAsia="仿宋" w:cs="仿宋"/>
          <w:b/>
          <w:color w:val="auto"/>
          <w:sz w:val="28"/>
          <w:highlight w:val="none"/>
        </w:rPr>
      </w:pPr>
      <w:r>
        <w:rPr>
          <w:rFonts w:hint="eastAsia" w:ascii="仿宋" w:hAnsi="仿宋" w:eastAsia="仿宋" w:cs="仿宋"/>
          <w:b/>
          <w:color w:val="auto"/>
          <w:sz w:val="28"/>
          <w:highlight w:val="none"/>
        </w:rPr>
        <w:t>1.4 本项目不接受联合体投标。</w:t>
      </w:r>
    </w:p>
    <w:p>
      <w:pPr>
        <w:pStyle w:val="28"/>
        <w:spacing w:line="540" w:lineRule="exact"/>
        <w:ind w:firstLine="562"/>
        <w:jc w:val="both"/>
        <w:rPr>
          <w:rFonts w:ascii="仿宋" w:hAnsi="仿宋" w:eastAsia="仿宋" w:cs="仿宋"/>
          <w:b/>
          <w:color w:val="auto"/>
          <w:sz w:val="28"/>
          <w:highlight w:val="none"/>
        </w:rPr>
      </w:pPr>
      <w:r>
        <w:rPr>
          <w:rFonts w:hint="eastAsia" w:ascii="仿宋" w:hAnsi="仿宋" w:eastAsia="仿宋" w:cs="仿宋"/>
          <w:b/>
          <w:color w:val="auto"/>
          <w:sz w:val="28"/>
          <w:highlight w:val="none"/>
        </w:rPr>
        <w:t>1.5 不符合1.1、1.2、1.3、1.4条款规定的供应商，其投标将被拒绝。</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 定义</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2.1“采购代理机构”系指新疆新之建工程咨询有限公司。</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2.2“供应商”系指向采购代理机构提交投标文件的货物制造商、经销商。</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2.3“货物”系指卖方按合同要求，须向买方提供的设计文件、货物、机械、材料、备品、手册及其他技术资料和材料。</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2.4“服务”系指按合同规定卖方须承担的运输、装卸、安装调试、技术协助、培训和交付使用后质保期内应履行的义务及售后服务等其他类似的义务。</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2.5“卖方”系指提供合同货物和服务的经济实体。本次招标指有关中标人。</w:t>
      </w:r>
    </w:p>
    <w:p>
      <w:pPr>
        <w:pStyle w:val="28"/>
        <w:spacing w:line="540" w:lineRule="exact"/>
        <w:ind w:firstLine="561"/>
        <w:jc w:val="both"/>
        <w:rPr>
          <w:rFonts w:ascii="仿宋" w:hAnsi="仿宋" w:eastAsia="仿宋" w:cs="仿宋"/>
          <w:color w:val="auto"/>
          <w:sz w:val="28"/>
          <w:highlight w:val="none"/>
        </w:rPr>
      </w:pPr>
      <w:r>
        <w:rPr>
          <w:rFonts w:hint="eastAsia" w:ascii="仿宋" w:hAnsi="仿宋" w:eastAsia="仿宋" w:cs="仿宋"/>
          <w:color w:val="auto"/>
          <w:sz w:val="28"/>
          <w:highlight w:val="none"/>
        </w:rPr>
        <w:t>2.6“买方”系指购买货物和服务的单位，即为本次招标的采购人。</w:t>
      </w:r>
    </w:p>
    <w:p>
      <w:pPr>
        <w:pStyle w:val="28"/>
        <w:spacing w:line="540" w:lineRule="exact"/>
        <w:ind w:firstLine="561"/>
        <w:jc w:val="both"/>
        <w:rPr>
          <w:rFonts w:ascii="仿宋" w:hAnsi="仿宋" w:eastAsia="仿宋" w:cs="仿宋"/>
          <w:color w:val="auto"/>
          <w:sz w:val="28"/>
          <w:highlight w:val="none"/>
        </w:rPr>
      </w:pPr>
      <w:r>
        <w:rPr>
          <w:rFonts w:hint="eastAsia" w:ascii="仿宋" w:hAnsi="仿宋" w:eastAsia="仿宋" w:cs="仿宋"/>
          <w:color w:val="auto"/>
          <w:sz w:val="28"/>
          <w:highlight w:val="none"/>
        </w:rPr>
        <w:t xml:space="preserve">2.7“节能产品”或者“环保产品”是指财政部发布的《节能产品政府采购清单》或者《环境标志产品政府采购清单》的产品。 </w:t>
      </w:r>
    </w:p>
    <w:p>
      <w:pPr>
        <w:pStyle w:val="28"/>
        <w:spacing w:line="540" w:lineRule="exact"/>
        <w:ind w:firstLine="561"/>
        <w:rPr>
          <w:rFonts w:ascii="仿宋" w:hAnsi="仿宋" w:eastAsia="仿宋" w:cs="仿宋"/>
          <w:color w:val="auto"/>
          <w:sz w:val="28"/>
          <w:highlight w:val="none"/>
        </w:rPr>
      </w:pPr>
      <w:r>
        <w:rPr>
          <w:rFonts w:hint="eastAsia" w:ascii="仿宋" w:hAnsi="仿宋" w:eastAsia="仿宋" w:cs="仿宋"/>
          <w:color w:val="auto"/>
          <w:sz w:val="28"/>
          <w:highlight w:val="none"/>
        </w:rPr>
        <w:t>2.8“进口产品”是指通过中国海关报关验放进入中国境内且产自关境外的产品，详见《关于政府采购进口产品管理有关问题的通知》(财库[2007]119号)、《关于政府采购进口产品管理有关问题的通知财办库》（财库[2008]﹞248号）。</w:t>
      </w:r>
    </w:p>
    <w:p>
      <w:pPr>
        <w:pStyle w:val="28"/>
        <w:spacing w:line="540" w:lineRule="exact"/>
        <w:ind w:firstLine="561"/>
        <w:rPr>
          <w:rFonts w:ascii="仿宋" w:hAnsi="仿宋" w:eastAsia="仿宋" w:cs="仿宋"/>
          <w:color w:val="auto"/>
          <w:sz w:val="28"/>
          <w:highlight w:val="none"/>
        </w:rPr>
      </w:pPr>
      <w:r>
        <w:rPr>
          <w:rFonts w:hint="eastAsia" w:ascii="仿宋" w:hAnsi="仿宋" w:eastAsia="仿宋" w:cs="仿宋"/>
          <w:color w:val="auto"/>
          <w:sz w:val="28"/>
          <w:highlight w:val="none"/>
        </w:rPr>
        <w:t>3. 其他要求</w:t>
      </w:r>
    </w:p>
    <w:p>
      <w:pPr>
        <w:pStyle w:val="28"/>
        <w:spacing w:line="540" w:lineRule="exact"/>
        <w:ind w:firstLine="561"/>
        <w:rPr>
          <w:rFonts w:ascii="仿宋" w:hAnsi="仿宋" w:eastAsia="仿宋" w:cs="仿宋"/>
          <w:color w:val="auto"/>
          <w:sz w:val="28"/>
          <w:highlight w:val="none"/>
        </w:rPr>
      </w:pPr>
      <w:r>
        <w:rPr>
          <w:rFonts w:hint="eastAsia" w:ascii="仿宋" w:hAnsi="仿宋" w:eastAsia="仿宋" w:cs="仿宋"/>
          <w:color w:val="auto"/>
          <w:sz w:val="28"/>
          <w:highlight w:val="none"/>
        </w:rPr>
        <w:t>3.1 供应商应自行承担所有与本次招标投标有关的费用，而不论投标的结果如何。</w:t>
      </w:r>
    </w:p>
    <w:p>
      <w:pPr>
        <w:pStyle w:val="28"/>
        <w:spacing w:line="540" w:lineRule="exact"/>
        <w:ind w:firstLine="561"/>
        <w:rPr>
          <w:rFonts w:ascii="仿宋" w:hAnsi="仿宋" w:eastAsia="仿宋" w:cs="仿宋"/>
          <w:color w:val="auto"/>
          <w:sz w:val="28"/>
          <w:highlight w:val="none"/>
        </w:rPr>
      </w:pPr>
      <w:r>
        <w:rPr>
          <w:rFonts w:hint="eastAsia" w:ascii="仿宋" w:hAnsi="仿宋" w:eastAsia="仿宋" w:cs="仿宋"/>
          <w:color w:val="auto"/>
          <w:sz w:val="28"/>
          <w:highlight w:val="none"/>
        </w:rPr>
        <w:t>3.2 政府采购政策支持</w:t>
      </w:r>
    </w:p>
    <w:p>
      <w:pPr>
        <w:pStyle w:val="28"/>
        <w:spacing w:line="540" w:lineRule="exact"/>
        <w:ind w:firstLine="561"/>
        <w:rPr>
          <w:rFonts w:ascii="仿宋" w:hAnsi="仿宋" w:eastAsia="仿宋" w:cs="仿宋"/>
          <w:color w:val="auto"/>
          <w:sz w:val="28"/>
          <w:highlight w:val="none"/>
        </w:rPr>
      </w:pPr>
      <w:r>
        <w:rPr>
          <w:rFonts w:hint="eastAsia" w:ascii="仿宋" w:hAnsi="仿宋" w:eastAsia="仿宋" w:cs="仿宋"/>
          <w:color w:val="auto"/>
          <w:sz w:val="28"/>
          <w:highlight w:val="none"/>
        </w:rPr>
        <w:t>3.2.1 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优惠累加优惠。财政部门关于政府采购强制采购、优先采购的政策规定可在中国政府采购网(www.ccgp.gov.cn)查询。本项目价格扣除比例见投标须知前附表。</w:t>
      </w:r>
    </w:p>
    <w:p>
      <w:pPr>
        <w:pStyle w:val="28"/>
        <w:spacing w:line="540" w:lineRule="exact"/>
        <w:ind w:firstLine="561"/>
        <w:rPr>
          <w:rFonts w:ascii="仿宋" w:hAnsi="仿宋" w:eastAsia="仿宋" w:cs="仿宋"/>
          <w:color w:val="auto"/>
          <w:sz w:val="28"/>
          <w:highlight w:val="none"/>
        </w:rPr>
      </w:pPr>
      <w:r>
        <w:rPr>
          <w:rFonts w:hint="eastAsia" w:ascii="仿宋" w:hAnsi="仿宋" w:eastAsia="仿宋" w:cs="仿宋"/>
          <w:color w:val="auto"/>
          <w:sz w:val="28"/>
          <w:highlight w:val="none"/>
        </w:rPr>
        <w:t>3.2.2 同一项目中部分产品属于优先采购政策的，评审时只对该部分产品的报价实行价格优惠。</w:t>
      </w:r>
    </w:p>
    <w:p>
      <w:pPr>
        <w:pStyle w:val="28"/>
        <w:spacing w:line="540" w:lineRule="exact"/>
        <w:ind w:firstLine="561"/>
        <w:rPr>
          <w:rFonts w:ascii="仿宋" w:hAnsi="仿宋" w:eastAsia="仿宋" w:cs="仿宋"/>
          <w:color w:val="auto"/>
          <w:sz w:val="28"/>
          <w:highlight w:val="none"/>
        </w:rPr>
      </w:pPr>
      <w:r>
        <w:rPr>
          <w:rFonts w:hint="eastAsia" w:ascii="仿宋" w:hAnsi="仿宋" w:eastAsia="仿宋" w:cs="仿宋"/>
          <w:color w:val="auto"/>
          <w:sz w:val="28"/>
          <w:highlight w:val="none"/>
        </w:rPr>
        <w:t>3.2.3 为推进政府采购诚信体系建设，供应商在签署相关承诺，提供相关信息前，应认真阅读财政部门相关政策规定。</w:t>
      </w:r>
    </w:p>
    <w:p>
      <w:pPr>
        <w:pStyle w:val="29"/>
        <w:spacing w:beforeLines="0" w:afterLines="0" w:line="520" w:lineRule="exact"/>
        <w:rPr>
          <w:rFonts w:ascii="仿宋" w:hAnsi="仿宋" w:eastAsia="仿宋" w:cs="仿宋"/>
          <w:color w:val="auto"/>
          <w:kern w:val="0"/>
          <w:sz w:val="28"/>
          <w:szCs w:val="24"/>
          <w:highlight w:val="none"/>
        </w:rPr>
      </w:pPr>
      <w:bookmarkStart w:id="6" w:name="_Toc1577"/>
      <w:r>
        <w:rPr>
          <w:rFonts w:hint="eastAsia" w:ascii="仿宋" w:hAnsi="仿宋" w:eastAsia="仿宋" w:cs="仿宋"/>
          <w:color w:val="auto"/>
          <w:kern w:val="0"/>
          <w:sz w:val="28"/>
          <w:szCs w:val="24"/>
          <w:highlight w:val="none"/>
        </w:rPr>
        <w:t>二、 招 标 文 件</w:t>
      </w:r>
      <w:bookmarkEnd w:id="6"/>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4. 招标文件</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4.1 招标文件用以阐明所需货物和服务、招标投标程序和合同条款。包括：</w:t>
      </w:r>
    </w:p>
    <w:p>
      <w:pPr>
        <w:pStyle w:val="28"/>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投标须知前附表</w:t>
      </w:r>
    </w:p>
    <w:p>
      <w:pPr>
        <w:pStyle w:val="28"/>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第一章  招标公告</w:t>
      </w:r>
    </w:p>
    <w:p>
      <w:pPr>
        <w:pStyle w:val="28"/>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第二章  投标须知</w:t>
      </w:r>
    </w:p>
    <w:p>
      <w:pPr>
        <w:pStyle w:val="28"/>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第三章  招标内容及技术要求</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第四章  合同主要条款</w:t>
      </w:r>
    </w:p>
    <w:p>
      <w:pPr>
        <w:pStyle w:val="28"/>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附件：（投标书格式）</w:t>
      </w:r>
    </w:p>
    <w:p>
      <w:pPr>
        <w:pStyle w:val="28"/>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附件一 投标书</w:t>
      </w:r>
    </w:p>
    <w:p>
      <w:pPr>
        <w:pStyle w:val="28"/>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附件二 法定代表人资格证明书（格式）/法定代表人授权委托书（格式）</w:t>
      </w:r>
    </w:p>
    <w:p>
      <w:pPr>
        <w:pStyle w:val="28"/>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附件三 供应商关于投标文件的声明函</w:t>
      </w:r>
    </w:p>
    <w:p>
      <w:pPr>
        <w:pStyle w:val="28"/>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附件四 供应商诚信投标承诺书</w:t>
      </w:r>
    </w:p>
    <w:p>
      <w:pPr>
        <w:pStyle w:val="28"/>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附件五 供应商反商业贿赂承诺书</w:t>
      </w:r>
    </w:p>
    <w:p>
      <w:pPr>
        <w:pStyle w:val="28"/>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附件六 开标一览表</w:t>
      </w:r>
    </w:p>
    <w:p>
      <w:pPr>
        <w:pStyle w:val="28"/>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 xml:space="preserve">附件七 </w:t>
      </w:r>
      <w:r>
        <w:rPr>
          <w:rFonts w:hint="eastAsia" w:ascii="仿宋" w:hAnsi="仿宋" w:eastAsia="仿宋" w:cs="仿宋"/>
          <w:color w:val="auto"/>
          <w:sz w:val="28"/>
          <w:highlight w:val="none"/>
          <w:lang w:val="en-US" w:eastAsia="zh-CN"/>
        </w:rPr>
        <w:t>核心设备</w:t>
      </w:r>
      <w:r>
        <w:rPr>
          <w:rFonts w:hint="eastAsia" w:ascii="仿宋" w:hAnsi="仿宋" w:eastAsia="仿宋" w:cs="仿宋"/>
          <w:color w:val="auto"/>
          <w:sz w:val="28"/>
          <w:highlight w:val="none"/>
        </w:rPr>
        <w:t>投标产品名称、数量、规格明细报价表</w:t>
      </w:r>
    </w:p>
    <w:p>
      <w:pPr>
        <w:pStyle w:val="28"/>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 xml:space="preserve">附件八 </w:t>
      </w:r>
      <w:r>
        <w:rPr>
          <w:rFonts w:hint="eastAsia" w:ascii="仿宋" w:hAnsi="仿宋" w:eastAsia="仿宋" w:cs="仿宋"/>
          <w:color w:val="auto"/>
          <w:sz w:val="28"/>
          <w:highlight w:val="none"/>
          <w:lang w:val="en-US" w:eastAsia="zh-CN"/>
        </w:rPr>
        <w:t>核心设备</w:t>
      </w:r>
      <w:r>
        <w:rPr>
          <w:rFonts w:hint="eastAsia" w:ascii="仿宋" w:hAnsi="仿宋" w:eastAsia="仿宋" w:cs="仿宋"/>
          <w:color w:val="auto"/>
          <w:sz w:val="28"/>
          <w:highlight w:val="none"/>
        </w:rPr>
        <w:t>技术规格偏离表</w:t>
      </w:r>
    </w:p>
    <w:p>
      <w:pPr>
        <w:pStyle w:val="28"/>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附件九 商务所有条款偏离表</w:t>
      </w:r>
    </w:p>
    <w:p>
      <w:pPr>
        <w:pStyle w:val="28"/>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 xml:space="preserve">附件十 </w:t>
      </w:r>
      <w:r>
        <w:rPr>
          <w:rFonts w:hint="eastAsia" w:ascii="仿宋" w:hAnsi="仿宋" w:eastAsia="仿宋" w:cs="仿宋"/>
          <w:color w:val="auto"/>
          <w:sz w:val="28"/>
          <w:highlight w:val="none"/>
          <w:lang w:val="en-US" w:eastAsia="zh-CN"/>
        </w:rPr>
        <w:t>核心设备</w:t>
      </w:r>
      <w:r>
        <w:rPr>
          <w:rFonts w:hint="eastAsia" w:ascii="仿宋" w:hAnsi="仿宋" w:eastAsia="仿宋" w:cs="仿宋"/>
          <w:color w:val="auto"/>
          <w:sz w:val="28"/>
          <w:highlight w:val="none"/>
        </w:rPr>
        <w:t>投标产品近三年相同产品销售业绩表</w:t>
      </w:r>
    </w:p>
    <w:p>
      <w:pPr>
        <w:pStyle w:val="28"/>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附件十一 中小企业声明函(货物)</w:t>
      </w:r>
    </w:p>
    <w:p>
      <w:pPr>
        <w:pStyle w:val="28"/>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附件十二 克拉玛依医学基地（中心医院改造迁建工程）紫外线消毒设施工程平面图纸及相关注意事项</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4.2  供应商应认真阅读招标文件中所有的事项、格式、条款和规范等要求。如果没有按照招标文件要求提交全部资料或者投标文件没有对招标文件做出实质性响应，其投标将被拒绝。</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5. 招标文件的澄清和修改</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5.1 采购人如需对已发出的招标文件进行必要澄清或者修改的，澄清或者修改的的内容可能影响到投标文件编制的，采购代理机构应当在投标文件截止时间十五日前，并以书面形式通知所有获取招标文件的潜在供应商。该澄清或者修改的内容为招标文件的组成部分。</w:t>
      </w:r>
    </w:p>
    <w:p>
      <w:pPr>
        <w:pStyle w:val="29"/>
        <w:spacing w:beforeLines="0" w:afterLines="0" w:line="520" w:lineRule="exact"/>
        <w:rPr>
          <w:rFonts w:ascii="仿宋" w:hAnsi="仿宋" w:eastAsia="仿宋" w:cs="仿宋"/>
          <w:color w:val="auto"/>
          <w:kern w:val="0"/>
          <w:sz w:val="28"/>
          <w:szCs w:val="24"/>
          <w:highlight w:val="none"/>
        </w:rPr>
      </w:pPr>
      <w:bookmarkStart w:id="7" w:name="_Toc24335"/>
      <w:r>
        <w:rPr>
          <w:rFonts w:hint="eastAsia" w:ascii="仿宋" w:hAnsi="仿宋" w:eastAsia="仿宋" w:cs="仿宋"/>
          <w:color w:val="auto"/>
          <w:kern w:val="0"/>
          <w:sz w:val="28"/>
          <w:szCs w:val="24"/>
          <w:highlight w:val="none"/>
        </w:rPr>
        <w:t>三、投标文件的编制</w:t>
      </w:r>
      <w:bookmarkEnd w:id="7"/>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6. 投标文件的编写</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6.1 供应商应仔细阅读招标文件，了解招标文件的要求，并在充分理解招标文件提出的货物技术规范、服务和商务条款后的基础上制作投标文件。</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7. 投标的语言及计量单位</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7.1 供应商的投标文件以及供应商与采购代理机构就有关招标活动的所有来往函电均应使用中文。如果投标文件或与投标有关的其它文件、信件及来往函电以其它语言书写的，供应商应将其译成中文。</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7.2 投标文件中所使用的计量单位除招标文件中有特殊规定外，一律使用法定计量单位。</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8. 投标文件构成</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8.1.1 资格证明文件(以下文件必须在有效期内)</w:t>
      </w:r>
    </w:p>
    <w:p>
      <w:pPr>
        <w:pStyle w:val="27"/>
        <w:spacing w:line="520" w:lineRule="exact"/>
        <w:ind w:firstLine="562"/>
        <w:rPr>
          <w:rFonts w:ascii="仿宋" w:hAnsi="仿宋" w:eastAsia="仿宋" w:cs="仿宋"/>
          <w:b/>
          <w:color w:val="auto"/>
          <w:highlight w:val="none"/>
        </w:rPr>
      </w:pPr>
      <w:r>
        <w:rPr>
          <w:rFonts w:hint="eastAsia" w:ascii="仿宋" w:hAnsi="仿宋" w:eastAsia="仿宋" w:cs="仿宋"/>
          <w:b/>
          <w:color w:val="auto"/>
          <w:highlight w:val="none"/>
        </w:rPr>
        <w:t>(1) 供应商须具有有效的工商营业执照副本、税务登记证副本、组织机构代码证副本或“三证合一”的营业执照副本（复印件加盖公章)。</w:t>
      </w:r>
    </w:p>
    <w:p>
      <w:pPr>
        <w:pStyle w:val="27"/>
        <w:spacing w:line="520" w:lineRule="exact"/>
        <w:ind w:firstLine="562"/>
        <w:rPr>
          <w:rFonts w:ascii="仿宋" w:hAnsi="仿宋" w:eastAsia="仿宋" w:cs="仿宋"/>
          <w:b/>
          <w:color w:val="auto"/>
          <w:highlight w:val="none"/>
        </w:rPr>
      </w:pPr>
      <w:r>
        <w:rPr>
          <w:rFonts w:hint="eastAsia" w:ascii="仿宋" w:hAnsi="仿宋" w:eastAsia="仿宋" w:cs="仿宋"/>
          <w:b/>
          <w:color w:val="auto"/>
          <w:highlight w:val="none"/>
        </w:rPr>
        <w:t>(2)投标代表的授权委托书或法人资格证明书及被授权人身份证复印件或法人身份证（复印件加盖公章)。授权委托书应由法定代表签名并加盖企业公章，</w:t>
      </w:r>
      <w:r>
        <w:rPr>
          <w:rFonts w:hint="eastAsia" w:ascii="仿宋" w:hAnsi="仿宋" w:eastAsia="仿宋" w:cs="仿宋"/>
          <w:b/>
          <w:color w:val="auto"/>
          <w:highlight w:val="none"/>
          <w:em w:val="dot"/>
        </w:rPr>
        <w:t>私章无效</w:t>
      </w:r>
      <w:r>
        <w:rPr>
          <w:rFonts w:hint="eastAsia" w:ascii="仿宋" w:hAnsi="仿宋" w:eastAsia="仿宋" w:cs="仿宋"/>
          <w:b/>
          <w:color w:val="auto"/>
          <w:highlight w:val="none"/>
        </w:rPr>
        <w:t>。</w:t>
      </w:r>
    </w:p>
    <w:p>
      <w:pPr>
        <w:pStyle w:val="27"/>
        <w:spacing w:line="520" w:lineRule="exact"/>
        <w:ind w:firstLine="562"/>
        <w:rPr>
          <w:rFonts w:ascii="仿宋" w:hAnsi="仿宋" w:eastAsia="仿宋" w:cs="仿宋"/>
          <w:b/>
          <w:color w:val="auto"/>
          <w:highlight w:val="none"/>
        </w:rPr>
      </w:pPr>
      <w:r>
        <w:rPr>
          <w:rFonts w:hint="eastAsia" w:ascii="仿宋" w:hAnsi="仿宋" w:eastAsia="仿宋" w:cs="仿宋"/>
          <w:b/>
          <w:color w:val="auto"/>
          <w:highlight w:val="none"/>
        </w:rPr>
        <w:t>(3)供应商“信用中国”网站(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仿宋" w:hAnsi="仿宋" w:eastAsia="仿宋" w:cs="仿宋"/>
          <w:b/>
          <w:color w:val="auto"/>
          <w:highlight w:val="none"/>
        </w:rPr>
        <w:t>www.creditchina.gov.cn</w:t>
      </w:r>
      <w:r>
        <w:rPr>
          <w:rFonts w:hint="eastAsia" w:ascii="仿宋" w:hAnsi="仿宋" w:eastAsia="仿宋" w:cs="仿宋"/>
          <w:b/>
          <w:color w:val="auto"/>
          <w:highlight w:val="none"/>
        </w:rPr>
        <w:fldChar w:fldCharType="end"/>
      </w:r>
      <w:r>
        <w:rPr>
          <w:rFonts w:hint="eastAsia" w:ascii="仿宋" w:hAnsi="仿宋" w:eastAsia="仿宋" w:cs="仿宋"/>
          <w:b/>
          <w:color w:val="auto"/>
          <w:highlight w:val="none"/>
        </w:rPr>
        <w:t>)未被列入重大税收违法失信主体、“中国执行信息公开网”（http://zxgk.court.gov.cn/）未被列入失信被执行人、“中国政府采购”网站（www.ccgp.gov.cn）未被列入政府采购严重违法失信行为记录名单查询网页截屏打印件并加盖供应商公章。</w:t>
      </w:r>
    </w:p>
    <w:p>
      <w:pPr>
        <w:pStyle w:val="27"/>
        <w:spacing w:line="520" w:lineRule="exact"/>
        <w:ind w:firstLine="560"/>
        <w:rPr>
          <w:rFonts w:ascii="仿宋" w:hAnsi="仿宋" w:eastAsia="仿宋" w:cs="仿宋"/>
          <w:bCs/>
          <w:color w:val="auto"/>
          <w:highlight w:val="none"/>
        </w:rPr>
      </w:pPr>
      <w:r>
        <w:rPr>
          <w:rFonts w:hint="eastAsia" w:ascii="仿宋" w:hAnsi="仿宋" w:eastAsia="仿宋" w:cs="仿宋"/>
          <w:bCs/>
          <w:color w:val="auto"/>
          <w:highlight w:val="none"/>
        </w:rPr>
        <w:t>(4)参加政府采购活动近三年内在经营活动中没有重大违法记录的书面声明。</w:t>
      </w:r>
    </w:p>
    <w:p>
      <w:pPr>
        <w:pStyle w:val="28"/>
        <w:spacing w:line="520" w:lineRule="exact"/>
        <w:ind w:firstLine="562"/>
        <w:jc w:val="both"/>
        <w:rPr>
          <w:rFonts w:ascii="仿宋" w:hAnsi="仿宋" w:eastAsia="仿宋" w:cs="仿宋"/>
          <w:color w:val="auto"/>
          <w:sz w:val="28"/>
          <w:highlight w:val="none"/>
        </w:rPr>
      </w:pPr>
      <w:r>
        <w:rPr>
          <w:rFonts w:hint="eastAsia" w:ascii="仿宋" w:hAnsi="仿宋" w:eastAsia="仿宋" w:cs="仿宋"/>
          <w:bCs/>
          <w:color w:val="auto"/>
          <w:sz w:val="28"/>
          <w:szCs w:val="21"/>
          <w:highlight w:val="none"/>
        </w:rPr>
        <w:t>(5)</w:t>
      </w:r>
      <w:r>
        <w:rPr>
          <w:rFonts w:hint="eastAsia" w:ascii="仿宋" w:hAnsi="仿宋" w:eastAsia="仿宋" w:cs="仿宋"/>
          <w:color w:val="auto"/>
          <w:sz w:val="28"/>
          <w:highlight w:val="none"/>
        </w:rPr>
        <w:t>供应商认为有必要提供的声明及文件资料。</w:t>
      </w:r>
    </w:p>
    <w:p>
      <w:pPr>
        <w:pStyle w:val="28"/>
        <w:spacing w:line="540" w:lineRule="exact"/>
        <w:ind w:firstLine="562"/>
        <w:jc w:val="both"/>
        <w:rPr>
          <w:rFonts w:ascii="仿宋" w:hAnsi="仿宋" w:eastAsia="仿宋" w:cs="仿宋"/>
          <w:b/>
          <w:color w:val="auto"/>
          <w:sz w:val="28"/>
          <w:highlight w:val="none"/>
        </w:rPr>
      </w:pPr>
      <w:r>
        <w:rPr>
          <w:rFonts w:hint="eastAsia" w:ascii="仿宋" w:hAnsi="仿宋" w:eastAsia="仿宋" w:cs="仿宋"/>
          <w:color w:val="auto"/>
          <w:sz w:val="28"/>
          <w:highlight w:val="none"/>
        </w:rPr>
        <w:t>8.1.2 商务投标书</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b/>
          <w:color w:val="auto"/>
          <w:sz w:val="28"/>
          <w:highlight w:val="none"/>
        </w:rPr>
        <w:t>(1) 投标书</w:t>
      </w:r>
    </w:p>
    <w:p>
      <w:pPr>
        <w:pStyle w:val="28"/>
        <w:spacing w:line="540" w:lineRule="exact"/>
        <w:ind w:firstLine="562"/>
        <w:jc w:val="both"/>
        <w:rPr>
          <w:rFonts w:ascii="仿宋" w:hAnsi="仿宋" w:eastAsia="仿宋" w:cs="仿宋"/>
          <w:b/>
          <w:color w:val="auto"/>
          <w:sz w:val="28"/>
          <w:highlight w:val="none"/>
        </w:rPr>
      </w:pPr>
      <w:r>
        <w:rPr>
          <w:rFonts w:hint="eastAsia" w:ascii="仿宋" w:hAnsi="仿宋" w:eastAsia="仿宋" w:cs="仿宋"/>
          <w:b/>
          <w:color w:val="auto"/>
          <w:sz w:val="28"/>
          <w:highlight w:val="none"/>
        </w:rPr>
        <w:t>(2) 开标一览表</w:t>
      </w:r>
    </w:p>
    <w:p>
      <w:pPr>
        <w:pStyle w:val="28"/>
        <w:spacing w:line="540" w:lineRule="exact"/>
        <w:ind w:firstLine="562" w:firstLineChars="201"/>
        <w:jc w:val="both"/>
        <w:rPr>
          <w:rFonts w:ascii="仿宋" w:hAnsi="仿宋" w:eastAsia="仿宋" w:cs="仿宋"/>
          <w:b/>
          <w:color w:val="auto"/>
          <w:sz w:val="28"/>
          <w:highlight w:val="none"/>
        </w:rPr>
      </w:pPr>
      <w:r>
        <w:rPr>
          <w:rFonts w:hint="eastAsia" w:ascii="仿宋" w:hAnsi="仿宋" w:eastAsia="仿宋" w:cs="仿宋"/>
          <w:b/>
          <w:color w:val="auto"/>
          <w:sz w:val="28"/>
          <w:highlight w:val="none"/>
        </w:rPr>
        <w:t xml:space="preserve">(3) </w:t>
      </w:r>
      <w:r>
        <w:rPr>
          <w:rFonts w:hint="eastAsia" w:ascii="仿宋" w:hAnsi="仿宋" w:eastAsia="仿宋" w:cs="仿宋"/>
          <w:b/>
          <w:color w:val="auto"/>
          <w:sz w:val="28"/>
          <w:highlight w:val="none"/>
          <w:lang w:val="en-US" w:eastAsia="zh-CN"/>
        </w:rPr>
        <w:t>核心设备</w:t>
      </w:r>
      <w:r>
        <w:rPr>
          <w:rFonts w:hint="eastAsia" w:ascii="仿宋" w:hAnsi="仿宋" w:eastAsia="仿宋" w:cs="仿宋"/>
          <w:b/>
          <w:color w:val="auto"/>
          <w:sz w:val="28"/>
          <w:highlight w:val="none"/>
        </w:rPr>
        <w:t>投标产品名称、数量、规格明细报价表</w:t>
      </w:r>
    </w:p>
    <w:p>
      <w:pPr>
        <w:pStyle w:val="28"/>
        <w:spacing w:line="540" w:lineRule="exact"/>
        <w:ind w:firstLine="548" w:firstLineChars="196"/>
        <w:jc w:val="both"/>
        <w:rPr>
          <w:rFonts w:ascii="仿宋" w:hAnsi="仿宋" w:eastAsia="仿宋" w:cs="仿宋"/>
          <w:b/>
          <w:color w:val="auto"/>
          <w:sz w:val="28"/>
          <w:highlight w:val="none"/>
        </w:rPr>
      </w:pPr>
      <w:r>
        <w:rPr>
          <w:rFonts w:hint="eastAsia" w:ascii="仿宋" w:hAnsi="仿宋" w:eastAsia="仿宋" w:cs="仿宋"/>
          <w:b/>
          <w:color w:val="auto"/>
          <w:sz w:val="28"/>
          <w:highlight w:val="none"/>
        </w:rPr>
        <w:t>(4) 商务所有条款偏离表</w:t>
      </w:r>
    </w:p>
    <w:p>
      <w:pPr>
        <w:pStyle w:val="28"/>
        <w:spacing w:line="540" w:lineRule="exact"/>
        <w:ind w:firstLine="548" w:firstLineChars="196"/>
        <w:jc w:val="both"/>
        <w:rPr>
          <w:rFonts w:ascii="仿宋" w:hAnsi="仿宋" w:eastAsia="仿宋" w:cs="仿宋"/>
          <w:color w:val="auto"/>
          <w:sz w:val="28"/>
          <w:highlight w:val="none"/>
        </w:rPr>
      </w:pPr>
      <w:r>
        <w:rPr>
          <w:rFonts w:hint="eastAsia" w:ascii="仿宋" w:hAnsi="仿宋" w:eastAsia="仿宋" w:cs="仿宋"/>
          <w:color w:val="auto"/>
          <w:sz w:val="28"/>
          <w:highlight w:val="none"/>
        </w:rPr>
        <w:t xml:space="preserve">(5) </w:t>
      </w:r>
      <w:r>
        <w:rPr>
          <w:rFonts w:hint="eastAsia" w:ascii="仿宋" w:hAnsi="仿宋" w:eastAsia="仿宋" w:cs="仿宋"/>
          <w:color w:val="auto"/>
          <w:sz w:val="28"/>
          <w:highlight w:val="none"/>
          <w:lang w:val="en-US" w:eastAsia="zh-CN"/>
        </w:rPr>
        <w:t>核心设备</w:t>
      </w:r>
      <w:r>
        <w:rPr>
          <w:rFonts w:hint="eastAsia" w:ascii="仿宋" w:hAnsi="仿宋" w:eastAsia="仿宋" w:cs="仿宋"/>
          <w:color w:val="auto"/>
          <w:sz w:val="28"/>
          <w:highlight w:val="none"/>
        </w:rPr>
        <w:t>投标产品近三年相同产品销售业绩表（须提供加盖企业公章的合同或者中标通知书复印件）</w:t>
      </w:r>
    </w:p>
    <w:p>
      <w:pPr>
        <w:pStyle w:val="28"/>
        <w:spacing w:line="540" w:lineRule="exact"/>
        <w:ind w:firstLine="548" w:firstLineChars="196"/>
        <w:jc w:val="both"/>
        <w:rPr>
          <w:rFonts w:ascii="仿宋" w:hAnsi="仿宋" w:eastAsia="仿宋" w:cs="仿宋"/>
          <w:b/>
          <w:color w:val="auto"/>
          <w:sz w:val="28"/>
          <w:highlight w:val="none"/>
        </w:rPr>
      </w:pPr>
      <w:r>
        <w:rPr>
          <w:rFonts w:hint="eastAsia" w:ascii="仿宋" w:hAnsi="仿宋" w:eastAsia="仿宋" w:cs="仿宋"/>
          <w:b/>
          <w:color w:val="auto"/>
          <w:sz w:val="28"/>
          <w:highlight w:val="none"/>
        </w:rPr>
        <w:t>(6) 售后服务承诺书及培训计划</w:t>
      </w:r>
    </w:p>
    <w:p>
      <w:pPr>
        <w:pStyle w:val="27"/>
        <w:spacing w:line="520" w:lineRule="exact"/>
        <w:ind w:firstLine="560"/>
        <w:rPr>
          <w:rFonts w:ascii="仿宋" w:hAnsi="仿宋" w:eastAsia="仿宋" w:cs="仿宋"/>
          <w:color w:val="auto"/>
          <w:highlight w:val="none"/>
        </w:rPr>
      </w:pPr>
      <w:r>
        <w:rPr>
          <w:rFonts w:hint="eastAsia" w:ascii="仿宋" w:hAnsi="仿宋" w:eastAsia="仿宋" w:cs="仿宋"/>
          <w:color w:val="auto"/>
          <w:highlight w:val="none"/>
        </w:rPr>
        <w:t>(7) 中小企业声明函(货物)</w:t>
      </w:r>
    </w:p>
    <w:p>
      <w:pPr>
        <w:pStyle w:val="27"/>
        <w:ind w:firstLine="560"/>
        <w:rPr>
          <w:rFonts w:ascii="仿宋" w:hAnsi="仿宋" w:eastAsia="仿宋" w:cs="仿宋"/>
          <w:color w:val="auto"/>
          <w:highlight w:val="none"/>
        </w:rPr>
      </w:pPr>
      <w:r>
        <w:rPr>
          <w:rFonts w:hint="eastAsia" w:ascii="仿宋" w:hAnsi="仿宋" w:eastAsia="仿宋" w:cs="仿宋"/>
          <w:color w:val="auto"/>
          <w:highlight w:val="none"/>
        </w:rPr>
        <w:t>(8) 供应商认为有必要提供的声明及文件资料。</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8.1.3 技术投标书</w:t>
      </w:r>
    </w:p>
    <w:p>
      <w:pPr>
        <w:pStyle w:val="28"/>
        <w:spacing w:line="52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(1) 产品的详细技术参数说明：</w:t>
      </w:r>
    </w:p>
    <w:p>
      <w:pPr>
        <w:pStyle w:val="28"/>
        <w:snapToGrid w:val="0"/>
        <w:spacing w:line="520" w:lineRule="exact"/>
        <w:ind w:firstLine="560" w:firstLineChars="200"/>
        <w:jc w:val="both"/>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所投产品必须提供国家权威部门出具的完整技术检验报告作为其技术指标的支持资料（国家无需检测的设备可以不提供检验报告）。对未提供技术支持资料、模糊不清及不全的视为未提供。参数与其提供的技术支持资料不一致的，均视为偏离。</w:t>
      </w:r>
    </w:p>
    <w:p>
      <w:pPr>
        <w:pStyle w:val="28"/>
        <w:snapToGrid w:val="0"/>
        <w:spacing w:line="540" w:lineRule="exact"/>
        <w:ind w:firstLine="560" w:firstLineChars="200"/>
        <w:rPr>
          <w:rFonts w:ascii="仿宋" w:hAnsi="仿宋" w:eastAsia="仿宋" w:cs="仿宋"/>
          <w:b/>
          <w:color w:val="auto"/>
          <w:sz w:val="28"/>
          <w:highlight w:val="none"/>
        </w:rPr>
      </w:pPr>
      <w:r>
        <w:rPr>
          <w:rFonts w:hint="eastAsia" w:ascii="仿宋" w:hAnsi="仿宋" w:eastAsia="仿宋" w:cs="仿宋"/>
          <w:b/>
          <w:color w:val="auto"/>
          <w:sz w:val="28"/>
          <w:highlight w:val="none"/>
        </w:rPr>
        <w:t xml:space="preserve">(2) </w:t>
      </w:r>
      <w:r>
        <w:rPr>
          <w:rFonts w:hint="eastAsia" w:ascii="仿宋" w:hAnsi="仿宋" w:eastAsia="仿宋" w:cs="仿宋"/>
          <w:b/>
          <w:color w:val="auto"/>
          <w:sz w:val="28"/>
          <w:highlight w:val="none"/>
          <w:lang w:val="en-US" w:eastAsia="zh-CN"/>
        </w:rPr>
        <w:t>核心设备</w:t>
      </w:r>
      <w:r>
        <w:rPr>
          <w:rFonts w:hint="eastAsia" w:ascii="仿宋" w:hAnsi="仿宋" w:eastAsia="仿宋" w:cs="仿宋"/>
          <w:b/>
          <w:color w:val="auto"/>
          <w:sz w:val="28"/>
          <w:highlight w:val="none"/>
        </w:rPr>
        <w:t>技术规格偏离表（供应商须对第三章所有技术参数条款逐条列明是否响应，如有偏离，须一一列明）。</w:t>
      </w:r>
    </w:p>
    <w:p>
      <w:pPr>
        <w:pStyle w:val="28"/>
        <w:snapToGrid w:val="0"/>
        <w:spacing w:line="52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(3) 备品备件及专用工具清单。</w:t>
      </w:r>
    </w:p>
    <w:p>
      <w:pPr>
        <w:pStyle w:val="28"/>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(4) 产品样册、说明书、图纸技术资料及产品质量获奖荣誉证书复印件。</w:t>
      </w:r>
    </w:p>
    <w:p>
      <w:pPr>
        <w:pStyle w:val="28"/>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(5) 供应商认为有必要提供的声明及完整文件或技术支持资料。</w:t>
      </w:r>
    </w:p>
    <w:p>
      <w:pPr>
        <w:pStyle w:val="27"/>
        <w:ind w:firstLine="550"/>
        <w:rPr>
          <w:rFonts w:ascii="仿宋" w:hAnsi="仿宋" w:eastAsia="仿宋" w:cs="仿宋"/>
          <w:color w:val="auto"/>
          <w:highlight w:val="none"/>
        </w:rPr>
      </w:pPr>
      <w:r>
        <w:rPr>
          <w:rFonts w:hint="eastAsia" w:ascii="仿宋" w:hAnsi="仿宋" w:eastAsia="仿宋" w:cs="仿宋"/>
          <w:b/>
          <w:color w:val="auto"/>
          <w:spacing w:val="-3"/>
          <w:highlight w:val="none"/>
        </w:rPr>
        <w:t>(6)投标人对招标文件必须做一一对应的响应。</w:t>
      </w:r>
    </w:p>
    <w:p>
      <w:pPr>
        <w:pStyle w:val="28"/>
        <w:snapToGrid w:val="0"/>
        <w:spacing w:line="540" w:lineRule="exact"/>
        <w:ind w:firstLine="560" w:firstLineChars="200"/>
        <w:jc w:val="both"/>
        <w:rPr>
          <w:rFonts w:ascii="仿宋" w:hAnsi="仿宋" w:eastAsia="仿宋" w:cs="仿宋"/>
          <w:b/>
          <w:color w:val="auto"/>
          <w:sz w:val="28"/>
          <w:highlight w:val="none"/>
        </w:rPr>
      </w:pPr>
      <w:r>
        <w:rPr>
          <w:rFonts w:hint="eastAsia" w:ascii="仿宋" w:hAnsi="仿宋" w:eastAsia="仿宋" w:cs="仿宋"/>
          <w:b/>
          <w:color w:val="auto"/>
          <w:sz w:val="28"/>
          <w:highlight w:val="none"/>
        </w:rPr>
        <w:t>8.2 第8.1.1条中第(1)(2)(3)项、第8.1.2条中第(1)(2)(3)(4)(6)项、第8.1.3条中第(2)(6)项为必备项，供应商在投标文件中必须提供有关材料，如果缺项，或不符合要求，将导致投标无效。</w:t>
      </w:r>
    </w:p>
    <w:p>
      <w:pPr>
        <w:pStyle w:val="28"/>
        <w:snapToGrid w:val="0"/>
        <w:spacing w:line="540" w:lineRule="exact"/>
        <w:ind w:firstLine="560" w:firstLineChars="200"/>
        <w:jc w:val="both"/>
        <w:rPr>
          <w:rFonts w:ascii="仿宋" w:hAnsi="仿宋" w:eastAsia="仿宋" w:cs="仿宋"/>
          <w:b/>
          <w:color w:val="auto"/>
          <w:sz w:val="28"/>
          <w:highlight w:val="none"/>
        </w:rPr>
      </w:pPr>
      <w:r>
        <w:rPr>
          <w:rFonts w:hint="eastAsia" w:ascii="仿宋" w:hAnsi="仿宋" w:eastAsia="仿宋" w:cs="仿宋"/>
          <w:b/>
          <w:color w:val="auto"/>
          <w:sz w:val="28"/>
          <w:highlight w:val="none"/>
        </w:rPr>
        <w:t>8.3 供应商在投标中违反国家有关法律法规的强制性规定的，其投标按未满足招标文件实质性要求处理。</w:t>
      </w:r>
    </w:p>
    <w:p>
      <w:pPr>
        <w:pStyle w:val="28"/>
        <w:snapToGrid w:val="0"/>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9. 投标书格式</w:t>
      </w:r>
    </w:p>
    <w:p>
      <w:pPr>
        <w:pStyle w:val="28"/>
        <w:snapToGrid w:val="0"/>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9.1 供应商应按招标文件提供的格式完整地填写所提供的货物、服务、数量及价格。</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10. 投标报价</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10.1 供应商应按招标文件所附的《开标一览表》和《投标产品名称、数量、规格明细报价表》中的项目，标明拟提供货物和服务的单价和总价。如单价和总价不符，以单价累计为准。</w:t>
      </w:r>
    </w:p>
    <w:p>
      <w:pPr>
        <w:pStyle w:val="28"/>
        <w:spacing w:line="540" w:lineRule="exact"/>
        <w:ind w:firstLine="567"/>
        <w:jc w:val="both"/>
        <w:rPr>
          <w:rFonts w:ascii="仿宋" w:hAnsi="仿宋" w:eastAsia="仿宋" w:cs="仿宋"/>
          <w:b/>
          <w:color w:val="auto"/>
          <w:sz w:val="28"/>
          <w:highlight w:val="none"/>
        </w:rPr>
      </w:pPr>
      <w:r>
        <w:rPr>
          <w:rFonts w:hint="eastAsia" w:ascii="仿宋" w:hAnsi="仿宋" w:eastAsia="仿宋" w:cs="仿宋"/>
          <w:b/>
          <w:color w:val="auto"/>
          <w:sz w:val="28"/>
          <w:highlight w:val="none"/>
        </w:rPr>
        <w:t>10.2 本标针对每种货物只接受一个报价，不接受备选方案，但不拒绝优惠声明，优惠声明需在《开标一览表》备注中填写。</w:t>
      </w:r>
    </w:p>
    <w:p>
      <w:pPr>
        <w:pStyle w:val="28"/>
        <w:spacing w:line="540" w:lineRule="exact"/>
        <w:ind w:firstLine="562"/>
        <w:rPr>
          <w:rFonts w:ascii="仿宋" w:hAnsi="仿宋" w:eastAsia="仿宋" w:cs="仿宋"/>
          <w:color w:val="auto"/>
          <w:sz w:val="28"/>
          <w:highlight w:val="none"/>
        </w:rPr>
      </w:pPr>
      <w:r>
        <w:rPr>
          <w:rFonts w:hint="eastAsia" w:ascii="仿宋" w:hAnsi="仿宋" w:eastAsia="仿宋" w:cs="仿宋"/>
          <w:color w:val="auto"/>
          <w:sz w:val="28"/>
          <w:highlight w:val="none"/>
        </w:rPr>
        <w:t>10.3 供应商应按招标文件的要求对有关设计、货物及其配套服务的全部内容进行报价。投标报价应包括：</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10.3.1 外购、外协、配套件、原材料及功能设计生产制造、检验、油漆、包装、保险、利税、管理、备品备件、专用工具、运杂、安装调试、人员培训等费用。</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10.3.2 招标文件中特别要求的零、备件费用。</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10.3.3 分项报价明细表中特别要求的安装、调试、运输及培训费用。</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10.3.4 所需的进口机电证（如需要），报关、商检、计量等相关事宜，由供应商负责办理，费用由供应商承担。</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11. 投标货币</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11.1 本次投标货币为人民币。</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12. 证明供应商合格和资格的文件</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12.1 按照第8条规定，供应商应提交证明其有资格参加投标和一旦其投标被接受则有能力履行合同的文件，并作为其投标文件的一部分。</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12.2 供应商应填写并提交招标文件所要求的资格证明类文件。</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13. 证明货物的合格性和符合招标文件规定的文件</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13.1 按照第8条规定，供应商应提交招标文件要求的货物及其服务的合格性及符合招标文件规定的证明文件。证明文件可以是手册、图纸和资料，并作为投标文件的一部分。</w:t>
      </w:r>
    </w:p>
    <w:p>
      <w:pPr>
        <w:pStyle w:val="28"/>
        <w:spacing w:line="540" w:lineRule="exact"/>
        <w:ind w:firstLine="560"/>
        <w:rPr>
          <w:rFonts w:ascii="仿宋" w:hAnsi="仿宋" w:eastAsia="仿宋" w:cs="仿宋"/>
          <w:b/>
          <w:color w:val="auto"/>
          <w:sz w:val="28"/>
          <w:highlight w:val="none"/>
        </w:rPr>
      </w:pPr>
      <w:r>
        <w:rPr>
          <w:rFonts w:hint="eastAsia" w:ascii="仿宋" w:hAnsi="仿宋" w:eastAsia="仿宋" w:cs="仿宋"/>
          <w:color w:val="auto"/>
          <w:sz w:val="28"/>
          <w:highlight w:val="none"/>
        </w:rPr>
        <w:t>13.2 供应商应逐条阅读招标文件要求的技术规格及商务条款要求，指出自己提供的货物和服务是否对招标文件做出响应，</w:t>
      </w:r>
      <w:r>
        <w:rPr>
          <w:rFonts w:hint="eastAsia" w:ascii="仿宋" w:hAnsi="仿宋" w:eastAsia="仿宋" w:cs="仿宋"/>
          <w:b/>
          <w:color w:val="auto"/>
          <w:sz w:val="28"/>
          <w:highlight w:val="none"/>
        </w:rPr>
        <w:t>并将不能响应之处在招标文件所附的“</w:t>
      </w:r>
      <w:r>
        <w:rPr>
          <w:rFonts w:hint="eastAsia" w:ascii="仿宋" w:hAnsi="仿宋" w:eastAsia="仿宋" w:cs="仿宋"/>
          <w:b/>
          <w:color w:val="auto"/>
          <w:sz w:val="28"/>
          <w:highlight w:val="none"/>
          <w:lang w:val="en-US" w:eastAsia="zh-CN"/>
        </w:rPr>
        <w:t>核心设备</w:t>
      </w:r>
      <w:r>
        <w:rPr>
          <w:rFonts w:hint="eastAsia" w:ascii="仿宋" w:hAnsi="仿宋" w:eastAsia="仿宋" w:cs="仿宋"/>
          <w:b/>
          <w:color w:val="auto"/>
          <w:sz w:val="28"/>
          <w:highlight w:val="none"/>
        </w:rPr>
        <w:t>技术规格偏离表”和“商务所有条款偏离表”中一一列出。</w:t>
      </w:r>
    </w:p>
    <w:p>
      <w:pPr>
        <w:pStyle w:val="28"/>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13.3 证明货物的合格性和符合招标文件规定的文件应包括下列内容：</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13.3.1 投标货物的试(检)验报告、鉴定证书（复印件）；</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13.3.2 执行的制造、验收标准；</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13.3.3 荣获产品质量、生产管理等方面的荣誉证书（复印件）；</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13.3.4 有关的产品样册、手册、图纸和资料；</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13.3.5 供应商认为有必要提供的其它证明文件；</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14. 投标文件的有效期</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14.1 投标文件从实际开标之日起</w:t>
      </w:r>
      <w:r>
        <w:rPr>
          <w:rFonts w:hint="eastAsia" w:ascii="仿宋" w:hAnsi="仿宋" w:eastAsia="仿宋" w:cs="仿宋"/>
          <w:color w:val="auto"/>
          <w:sz w:val="28"/>
          <w:highlight w:val="none"/>
          <w:u w:val="single"/>
        </w:rPr>
        <w:t xml:space="preserve"> 90 </w:t>
      </w:r>
      <w:r>
        <w:rPr>
          <w:rFonts w:hint="eastAsia" w:ascii="仿宋" w:hAnsi="仿宋" w:eastAsia="仿宋" w:cs="仿宋"/>
          <w:color w:val="auto"/>
          <w:sz w:val="28"/>
          <w:highlight w:val="none"/>
        </w:rPr>
        <w:t>天内有效。</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14.2 在特殊情况下，在原投标有效期届满之前，采购代理机构可与投标单位协商延长投标文件的有效期，并经投标方确认。</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15. 投标文件的书写要求、签署及份数。</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15.1 投标文件正本须用不褪色的墨水笔书写或打印。</w:t>
      </w:r>
    </w:p>
    <w:p>
      <w:pPr>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15.2 投标文件的书写应清楚工整，修改处应由供应商授权代表签字或盖章。</w:t>
      </w:r>
    </w:p>
    <w:p>
      <w:pPr>
        <w:pStyle w:val="28"/>
        <w:spacing w:line="540" w:lineRule="exact"/>
        <w:ind w:firstLine="560" w:firstLineChars="200"/>
        <w:jc w:val="both"/>
        <w:rPr>
          <w:rFonts w:ascii="仿宋" w:hAnsi="仿宋" w:eastAsia="仿宋" w:cs="仿宋"/>
          <w:b/>
          <w:color w:val="auto"/>
          <w:sz w:val="28"/>
          <w:highlight w:val="none"/>
        </w:rPr>
      </w:pPr>
      <w:r>
        <w:rPr>
          <w:rFonts w:hint="eastAsia" w:ascii="仿宋" w:hAnsi="仿宋" w:eastAsia="仿宋" w:cs="仿宋"/>
          <w:b/>
          <w:color w:val="auto"/>
          <w:sz w:val="28"/>
          <w:highlight w:val="none"/>
        </w:rPr>
        <w:t>15.3 未实质性对应响应招标文件、或者关键字迹潦草、关键内容表达不清、或者未按要求填写或可能导致非唯一理解的投标文件将不能通过符合性检查，按重大偏离处理。</w:t>
      </w:r>
    </w:p>
    <w:p>
      <w:pPr>
        <w:pStyle w:val="28"/>
        <w:spacing w:line="540" w:lineRule="exact"/>
        <w:ind w:firstLine="560" w:firstLineChars="200"/>
        <w:jc w:val="both"/>
        <w:rPr>
          <w:rFonts w:ascii="仿宋" w:hAnsi="仿宋" w:eastAsia="仿宋" w:cs="仿宋"/>
          <w:b/>
          <w:color w:val="auto"/>
          <w:sz w:val="28"/>
          <w:highlight w:val="none"/>
        </w:rPr>
      </w:pPr>
      <w:r>
        <w:rPr>
          <w:rFonts w:hint="eastAsia" w:ascii="仿宋" w:hAnsi="仿宋" w:eastAsia="仿宋" w:cs="仿宋"/>
          <w:b/>
          <w:color w:val="auto"/>
          <w:sz w:val="28"/>
          <w:highlight w:val="none"/>
        </w:rPr>
        <w:t>15.4 投标文件应由企业法人或法人授权代表在所有规定签章处逐一签署及加盖单位的公章。</w:t>
      </w:r>
    </w:p>
    <w:p>
      <w:pPr>
        <w:pStyle w:val="28"/>
        <w:spacing w:line="540" w:lineRule="exact"/>
        <w:ind w:firstLine="560" w:firstLineChars="200"/>
        <w:jc w:val="both"/>
        <w:rPr>
          <w:rFonts w:ascii="仿宋" w:hAnsi="仿宋" w:eastAsia="仿宋" w:cs="仿宋"/>
          <w:b/>
          <w:color w:val="auto"/>
          <w:sz w:val="28"/>
          <w:highlight w:val="none"/>
        </w:rPr>
      </w:pPr>
      <w:r>
        <w:rPr>
          <w:rFonts w:hint="eastAsia" w:ascii="仿宋" w:hAnsi="仿宋" w:eastAsia="仿宋" w:cs="仿宋"/>
          <w:color w:val="auto"/>
          <w:sz w:val="28"/>
          <w:highlight w:val="none"/>
        </w:rPr>
        <w:t>15.5 投标文件的份数：详见《投标须知前附表》。</w:t>
      </w:r>
    </w:p>
    <w:p>
      <w:pPr>
        <w:pStyle w:val="28"/>
        <w:spacing w:line="540" w:lineRule="exact"/>
        <w:ind w:firstLine="560" w:firstLineChars="200"/>
        <w:jc w:val="both"/>
        <w:rPr>
          <w:rFonts w:ascii="仿宋" w:hAnsi="仿宋" w:eastAsia="仿宋" w:cs="仿宋"/>
          <w:b/>
          <w:color w:val="auto"/>
          <w:sz w:val="28"/>
          <w:highlight w:val="none"/>
        </w:rPr>
      </w:pPr>
      <w:r>
        <w:rPr>
          <w:rFonts w:hint="eastAsia" w:ascii="仿宋" w:hAnsi="仿宋" w:eastAsia="仿宋" w:cs="仿宋"/>
          <w:b/>
          <w:color w:val="auto"/>
          <w:sz w:val="28"/>
          <w:highlight w:val="none"/>
        </w:rPr>
        <w:t>15.6 如果虚假应标将会导致废标，并将虚假应标投标公司及生产厂家上报政府采购部门并列入黑名单。</w:t>
      </w:r>
    </w:p>
    <w:p>
      <w:pPr>
        <w:pStyle w:val="27"/>
        <w:spacing w:line="540" w:lineRule="exact"/>
        <w:ind w:firstLine="560"/>
        <w:rPr>
          <w:rFonts w:ascii="仿宋" w:hAnsi="仿宋" w:eastAsia="仿宋" w:cs="仿宋"/>
          <w:color w:val="auto"/>
          <w:highlight w:val="none"/>
        </w:rPr>
      </w:pPr>
    </w:p>
    <w:p>
      <w:pPr>
        <w:pStyle w:val="29"/>
        <w:spacing w:beforeLines="0" w:afterLines="0" w:line="520" w:lineRule="exact"/>
        <w:rPr>
          <w:rFonts w:ascii="仿宋" w:hAnsi="仿宋" w:eastAsia="仿宋" w:cs="仿宋"/>
          <w:color w:val="auto"/>
          <w:kern w:val="0"/>
          <w:sz w:val="28"/>
          <w:szCs w:val="24"/>
          <w:highlight w:val="none"/>
        </w:rPr>
      </w:pPr>
      <w:bookmarkStart w:id="8" w:name="_Toc29110"/>
      <w:r>
        <w:rPr>
          <w:rFonts w:hint="eastAsia" w:ascii="仿宋" w:hAnsi="仿宋" w:eastAsia="仿宋" w:cs="仿宋"/>
          <w:color w:val="auto"/>
          <w:kern w:val="0"/>
          <w:sz w:val="28"/>
          <w:szCs w:val="24"/>
          <w:highlight w:val="none"/>
        </w:rPr>
        <w:t>四、投标文件的递交</w:t>
      </w:r>
      <w:bookmarkEnd w:id="8"/>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16. 投标文件的密封与标记</w:t>
      </w:r>
    </w:p>
    <w:p>
      <w:pPr>
        <w:pStyle w:val="28"/>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16.1 所有投标文件信袋封口处均应加贴封条，封条上应写明：</w:t>
      </w:r>
    </w:p>
    <w:p>
      <w:pPr>
        <w:pStyle w:val="28"/>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⑴采购代理机构单位：新疆新之建工程咨询有限公司</w:t>
      </w:r>
    </w:p>
    <w:p>
      <w:pPr>
        <w:pStyle w:val="28"/>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⑵项目名称：</w:t>
      </w:r>
    </w:p>
    <w:p>
      <w:pPr>
        <w:pStyle w:val="28"/>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⑶招标编号：</w:t>
      </w:r>
    </w:p>
    <w:p>
      <w:pPr>
        <w:pStyle w:val="28"/>
        <w:tabs>
          <w:tab w:val="center" w:pos="5099"/>
        </w:tabs>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⑷投标企业名称和地址：</w:t>
      </w:r>
    </w:p>
    <w:p>
      <w:pPr>
        <w:pStyle w:val="28"/>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16.2 未按本须知要求标记和上传的投标文件，采购代理机构不对其后果负责。</w:t>
      </w:r>
    </w:p>
    <w:p>
      <w:pPr>
        <w:pStyle w:val="28"/>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17. 投标文件上传的截止日期</w:t>
      </w:r>
    </w:p>
    <w:p>
      <w:pPr>
        <w:pStyle w:val="28"/>
        <w:spacing w:line="540" w:lineRule="exact"/>
        <w:ind w:firstLine="560" w:firstLineChars="200"/>
        <w:jc w:val="both"/>
        <w:rPr>
          <w:rFonts w:ascii="仿宋" w:hAnsi="仿宋" w:eastAsia="仿宋" w:cs="仿宋"/>
          <w:color w:val="auto"/>
          <w:sz w:val="28"/>
          <w:highlight w:val="none"/>
          <w:u w:val="single"/>
        </w:rPr>
      </w:pPr>
      <w:r>
        <w:rPr>
          <w:rFonts w:hint="eastAsia" w:ascii="仿宋" w:hAnsi="仿宋" w:eastAsia="仿宋" w:cs="仿宋"/>
          <w:color w:val="auto"/>
          <w:sz w:val="28"/>
          <w:highlight w:val="none"/>
        </w:rPr>
        <w:t>17.1 供应商必须在《投标须知前附表》中规定的时间之前将投标文件送达到规定的地点。</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17.2 超过招标文件规定的投标截止时间上传的投标文件将不予接受。</w:t>
      </w:r>
    </w:p>
    <w:p>
      <w:pPr>
        <w:pStyle w:val="28"/>
        <w:spacing w:line="520" w:lineRule="exact"/>
        <w:ind w:firstLine="562"/>
        <w:jc w:val="both"/>
        <w:rPr>
          <w:rFonts w:ascii="仿宋" w:hAnsi="仿宋" w:eastAsia="仿宋"/>
          <w:color w:val="auto"/>
          <w:sz w:val="28"/>
          <w:highlight w:val="none"/>
        </w:rPr>
      </w:pPr>
      <w:r>
        <w:rPr>
          <w:rFonts w:hint="eastAsia" w:ascii="仿宋" w:hAnsi="仿宋" w:eastAsia="仿宋"/>
          <w:color w:val="auto"/>
          <w:sz w:val="28"/>
          <w:highlight w:val="none"/>
        </w:rPr>
        <w:t xml:space="preserve">17.3 </w:t>
      </w:r>
      <w:r>
        <w:rPr>
          <w:rFonts w:hint="eastAsia" w:ascii="仿宋" w:hAnsi="仿宋" w:eastAsia="仿宋"/>
          <w:b/>
          <w:bCs/>
          <w:color w:val="auto"/>
          <w:sz w:val="28"/>
          <w:highlight w:val="none"/>
        </w:rPr>
        <w:t>供应商开标时无需到达现场，远程解密，开标（未办理CA的供应商可自主通过新疆CA申领渠道“新疆政务通”申请政采云平台可使用的CA设备，如原有兵团或公共资源使用的CA，可与新疆CA联系，申请增加电子证书即可，无需重复申领。）未按本须知要上传的投标文件，采购代理机构不对其后果负责。</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18. 投标文件的修改、撤回和撤销</w:t>
      </w:r>
    </w:p>
    <w:p>
      <w:pPr>
        <w:pStyle w:val="30"/>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18.1 供应商对其投标文件进行的修改或撤回应以书面形式并在招标文件规定的投标截止时间前送达或邮寄到采购代理机构手中。</w:t>
      </w:r>
    </w:p>
    <w:p>
      <w:pPr>
        <w:pStyle w:val="30"/>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18.2 供应商对投标文件的修改或撤回应按第16和17条规定进行准备、密封、标注和上传。</w:t>
      </w:r>
    </w:p>
    <w:p>
      <w:pPr>
        <w:pStyle w:val="30"/>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18.3 投标截止时间以后，不允许对投标文件进行修改。</w:t>
      </w:r>
    </w:p>
    <w:p>
      <w:pPr>
        <w:pStyle w:val="30"/>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18.4 供应商不得在投标截止时间起至投标文件有效期满前撤销投标文件。</w:t>
      </w:r>
    </w:p>
    <w:p>
      <w:pPr>
        <w:pStyle w:val="30"/>
        <w:spacing w:line="540" w:lineRule="exact"/>
        <w:ind w:firstLine="560"/>
        <w:jc w:val="both"/>
        <w:rPr>
          <w:rFonts w:ascii="仿宋" w:hAnsi="仿宋" w:eastAsia="仿宋" w:cs="仿宋"/>
          <w:b/>
          <w:color w:val="auto"/>
          <w:sz w:val="28"/>
          <w:highlight w:val="none"/>
        </w:rPr>
      </w:pPr>
      <w:r>
        <w:rPr>
          <w:rFonts w:hint="eastAsia" w:ascii="仿宋" w:hAnsi="仿宋" w:eastAsia="仿宋" w:cs="仿宋"/>
          <w:b/>
          <w:color w:val="auto"/>
          <w:sz w:val="28"/>
          <w:highlight w:val="none"/>
        </w:rPr>
        <w:t>19.有下列情形之一的，视为供应商串通投标，其投标无效：</w:t>
      </w:r>
    </w:p>
    <w:p>
      <w:pPr>
        <w:pStyle w:val="30"/>
        <w:spacing w:line="540" w:lineRule="exact"/>
        <w:ind w:firstLine="560"/>
        <w:jc w:val="both"/>
        <w:rPr>
          <w:rFonts w:ascii="仿宋" w:hAnsi="仿宋" w:eastAsia="仿宋" w:cs="仿宋"/>
          <w:b/>
          <w:color w:val="auto"/>
          <w:sz w:val="28"/>
          <w:highlight w:val="none"/>
        </w:rPr>
      </w:pPr>
      <w:r>
        <w:rPr>
          <w:rFonts w:hint="eastAsia" w:ascii="仿宋" w:hAnsi="仿宋" w:eastAsia="仿宋" w:cs="仿宋"/>
          <w:b/>
          <w:color w:val="auto"/>
          <w:sz w:val="28"/>
          <w:highlight w:val="none"/>
        </w:rPr>
        <w:t>⑴ 不同供应商的投标文件由同一单位或者个人编制;</w:t>
      </w:r>
    </w:p>
    <w:p>
      <w:pPr>
        <w:pStyle w:val="30"/>
        <w:spacing w:line="540" w:lineRule="exact"/>
        <w:ind w:firstLine="560"/>
        <w:jc w:val="both"/>
        <w:rPr>
          <w:rFonts w:ascii="仿宋" w:hAnsi="仿宋" w:eastAsia="仿宋" w:cs="仿宋"/>
          <w:b/>
          <w:color w:val="auto"/>
          <w:sz w:val="28"/>
          <w:highlight w:val="none"/>
        </w:rPr>
      </w:pPr>
      <w:r>
        <w:rPr>
          <w:rFonts w:hint="eastAsia" w:ascii="仿宋" w:hAnsi="仿宋" w:eastAsia="仿宋" w:cs="仿宋"/>
          <w:b/>
          <w:color w:val="auto"/>
          <w:sz w:val="28"/>
          <w:highlight w:val="none"/>
        </w:rPr>
        <w:t>⑵ 不同供应商委托同一单位或者个人办理投标事宜;</w:t>
      </w:r>
    </w:p>
    <w:p>
      <w:pPr>
        <w:pStyle w:val="30"/>
        <w:spacing w:line="540" w:lineRule="exact"/>
        <w:ind w:firstLine="560"/>
        <w:jc w:val="both"/>
        <w:rPr>
          <w:rFonts w:ascii="仿宋" w:hAnsi="仿宋" w:eastAsia="仿宋" w:cs="仿宋"/>
          <w:b/>
          <w:color w:val="auto"/>
          <w:sz w:val="28"/>
          <w:highlight w:val="none"/>
        </w:rPr>
      </w:pPr>
      <w:r>
        <w:rPr>
          <w:rFonts w:hint="eastAsia" w:ascii="仿宋" w:hAnsi="仿宋" w:eastAsia="仿宋" w:cs="仿宋"/>
          <w:b/>
          <w:color w:val="auto"/>
          <w:sz w:val="28"/>
          <w:highlight w:val="none"/>
        </w:rPr>
        <w:t>⑶ 不同供应商的投标文件载明的项目管理成员或者联系人员为同一人;</w:t>
      </w:r>
    </w:p>
    <w:p>
      <w:pPr>
        <w:pStyle w:val="30"/>
        <w:spacing w:line="540" w:lineRule="exact"/>
        <w:ind w:firstLine="560"/>
        <w:jc w:val="both"/>
        <w:rPr>
          <w:rFonts w:ascii="仿宋" w:hAnsi="仿宋" w:eastAsia="仿宋" w:cs="仿宋"/>
          <w:b/>
          <w:color w:val="auto"/>
          <w:sz w:val="28"/>
          <w:highlight w:val="none"/>
        </w:rPr>
      </w:pPr>
      <w:r>
        <w:rPr>
          <w:rFonts w:hint="eastAsia" w:ascii="仿宋" w:hAnsi="仿宋" w:eastAsia="仿宋" w:cs="仿宋"/>
          <w:b/>
          <w:color w:val="auto"/>
          <w:sz w:val="28"/>
          <w:highlight w:val="none"/>
        </w:rPr>
        <w:t>⑷ 不同供应商的投标文件异常一致或者投标报价呈规律性差异;</w:t>
      </w:r>
    </w:p>
    <w:p>
      <w:pPr>
        <w:pStyle w:val="30"/>
        <w:spacing w:line="540" w:lineRule="exact"/>
        <w:ind w:firstLine="560"/>
        <w:jc w:val="both"/>
        <w:rPr>
          <w:rFonts w:ascii="仿宋" w:hAnsi="仿宋" w:eastAsia="仿宋" w:cs="仿宋"/>
          <w:b/>
          <w:color w:val="auto"/>
          <w:sz w:val="28"/>
          <w:highlight w:val="none"/>
        </w:rPr>
      </w:pPr>
      <w:r>
        <w:rPr>
          <w:rFonts w:hint="eastAsia" w:ascii="仿宋" w:hAnsi="仿宋" w:eastAsia="仿宋" w:cs="仿宋"/>
          <w:b/>
          <w:color w:val="auto"/>
          <w:sz w:val="28"/>
          <w:highlight w:val="none"/>
        </w:rPr>
        <w:t>⑸ 不同供应商的投标文件相互混装;</w:t>
      </w:r>
    </w:p>
    <w:p>
      <w:pPr>
        <w:pStyle w:val="29"/>
        <w:spacing w:beforeLines="0" w:afterLines="0" w:line="520" w:lineRule="exact"/>
        <w:rPr>
          <w:rFonts w:ascii="仿宋" w:hAnsi="仿宋" w:eastAsia="仿宋" w:cs="仿宋"/>
          <w:color w:val="auto"/>
          <w:kern w:val="0"/>
          <w:sz w:val="28"/>
          <w:szCs w:val="24"/>
          <w:highlight w:val="none"/>
        </w:rPr>
      </w:pPr>
      <w:bookmarkStart w:id="9" w:name="_Toc14826"/>
      <w:r>
        <w:rPr>
          <w:rFonts w:hint="eastAsia" w:ascii="仿宋" w:hAnsi="仿宋" w:eastAsia="仿宋" w:cs="仿宋"/>
          <w:color w:val="auto"/>
          <w:kern w:val="0"/>
          <w:sz w:val="28"/>
          <w:szCs w:val="24"/>
          <w:highlight w:val="none"/>
        </w:rPr>
        <w:t>五、开标</w:t>
      </w:r>
      <w:bookmarkEnd w:id="9"/>
    </w:p>
    <w:p>
      <w:pPr>
        <w:pStyle w:val="30"/>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20. 开标</w:t>
      </w:r>
    </w:p>
    <w:p>
      <w:pPr>
        <w:pStyle w:val="28"/>
        <w:spacing w:line="540" w:lineRule="exact"/>
        <w:ind w:left="1" w:firstLine="562" w:firstLineChars="201"/>
        <w:jc w:val="both"/>
        <w:rPr>
          <w:rFonts w:ascii="仿宋" w:hAnsi="仿宋" w:eastAsia="仿宋" w:cs="仿宋"/>
          <w:color w:val="auto"/>
          <w:sz w:val="28"/>
          <w:highlight w:val="none"/>
          <w:u w:val="single"/>
        </w:rPr>
      </w:pPr>
      <w:r>
        <w:rPr>
          <w:rFonts w:hint="eastAsia" w:ascii="仿宋" w:hAnsi="仿宋" w:eastAsia="仿宋" w:cs="仿宋"/>
          <w:color w:val="auto"/>
          <w:sz w:val="28"/>
          <w:highlight w:val="none"/>
        </w:rPr>
        <w:t>20.1 除非采购代理机构另外书面通知，本项目将按本招标文件《投标须知前附表》中规定的时间和地点开标。</w:t>
      </w:r>
    </w:p>
    <w:p>
      <w:pPr>
        <w:pStyle w:val="28"/>
        <w:spacing w:line="540" w:lineRule="exact"/>
        <w:ind w:firstLine="560"/>
        <w:jc w:val="both"/>
        <w:rPr>
          <w:rFonts w:ascii="仿宋" w:hAnsi="仿宋" w:eastAsia="仿宋" w:cs="仿宋"/>
          <w:bCs/>
          <w:color w:val="auto"/>
          <w:sz w:val="28"/>
          <w:szCs w:val="28"/>
          <w:highlight w:val="none"/>
        </w:rPr>
      </w:pPr>
      <w:r>
        <w:rPr>
          <w:rFonts w:hint="eastAsia" w:ascii="仿宋" w:hAnsi="仿宋" w:eastAsia="仿宋" w:cs="仿宋"/>
          <w:b/>
          <w:bCs/>
          <w:color w:val="auto"/>
          <w:sz w:val="28"/>
          <w:highlight w:val="none"/>
        </w:rPr>
        <w:t>20.2 开标时，采购人对其资格进行审查。资格审查不合格的，其投标无效。</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w:t>
      </w:r>
      <w:r>
        <w:rPr>
          <w:rFonts w:hint="eastAsia" w:ascii="仿宋" w:hAnsi="仿宋" w:eastAsia="仿宋" w:cs="仿宋"/>
          <w:color w:val="auto"/>
          <w:sz w:val="28"/>
          <w:highlight w:val="none"/>
          <w:lang w:val="en-US" w:eastAsia="zh-CN"/>
        </w:rPr>
        <w:t>0</w:t>
      </w:r>
      <w:r>
        <w:rPr>
          <w:rFonts w:hint="eastAsia" w:ascii="仿宋" w:hAnsi="仿宋" w:eastAsia="仿宋" w:cs="仿宋"/>
          <w:color w:val="auto"/>
          <w:sz w:val="28"/>
          <w:highlight w:val="none"/>
        </w:rPr>
        <w:t>.3 开标时唱《开标一览表》的内容，供应商名称、数量和投标价格等在唱标时一并唱出。</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w:t>
      </w:r>
      <w:r>
        <w:rPr>
          <w:rFonts w:hint="eastAsia" w:ascii="仿宋" w:hAnsi="仿宋" w:eastAsia="仿宋" w:cs="仿宋"/>
          <w:color w:val="auto"/>
          <w:sz w:val="28"/>
          <w:highlight w:val="none"/>
          <w:lang w:val="en-US" w:eastAsia="zh-CN"/>
        </w:rPr>
        <w:t>0</w:t>
      </w:r>
      <w:r>
        <w:rPr>
          <w:rFonts w:hint="eastAsia" w:ascii="仿宋" w:hAnsi="仿宋" w:eastAsia="仿宋" w:cs="仿宋"/>
          <w:color w:val="auto"/>
          <w:sz w:val="28"/>
          <w:highlight w:val="none"/>
        </w:rPr>
        <w:t>.4 唱标完毕后，如果供应商对所唱《开标一览表》内容有异议，应当场立即提出。经现场监标人员确认，认为有必要重新唱标的，由唱标员重新唱标。</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w:t>
      </w:r>
      <w:r>
        <w:rPr>
          <w:rFonts w:hint="eastAsia" w:ascii="仿宋" w:hAnsi="仿宋" w:eastAsia="仿宋" w:cs="仿宋"/>
          <w:color w:val="auto"/>
          <w:sz w:val="28"/>
          <w:highlight w:val="none"/>
          <w:lang w:val="en-US" w:eastAsia="zh-CN"/>
        </w:rPr>
        <w:t>0</w:t>
      </w:r>
      <w:r>
        <w:rPr>
          <w:rFonts w:hint="eastAsia" w:ascii="仿宋" w:hAnsi="仿宋" w:eastAsia="仿宋" w:cs="仿宋"/>
          <w:color w:val="auto"/>
          <w:sz w:val="28"/>
          <w:highlight w:val="none"/>
        </w:rPr>
        <w:t>.5 所有唱标均记录在案，并经各供应商代表和监标人员签字，作为各供应商投标文件的组成部分。</w:t>
      </w:r>
    </w:p>
    <w:p>
      <w:pPr>
        <w:pStyle w:val="29"/>
        <w:spacing w:beforeLines="0" w:afterLines="0" w:line="520" w:lineRule="exact"/>
        <w:rPr>
          <w:rFonts w:ascii="仿宋" w:hAnsi="仿宋" w:eastAsia="仿宋" w:cs="仿宋"/>
          <w:color w:val="auto"/>
          <w:kern w:val="0"/>
          <w:sz w:val="28"/>
          <w:szCs w:val="24"/>
          <w:highlight w:val="none"/>
        </w:rPr>
      </w:pPr>
      <w:bookmarkStart w:id="10" w:name="_Toc6216"/>
      <w:r>
        <w:rPr>
          <w:rFonts w:hint="eastAsia" w:ascii="仿宋" w:hAnsi="仿宋" w:eastAsia="仿宋" w:cs="仿宋"/>
          <w:color w:val="auto"/>
          <w:kern w:val="0"/>
          <w:sz w:val="28"/>
          <w:szCs w:val="24"/>
          <w:highlight w:val="none"/>
        </w:rPr>
        <w:t>六、资格审查</w:t>
      </w:r>
      <w:bookmarkEnd w:id="10"/>
    </w:p>
    <w:p>
      <w:pPr>
        <w:pStyle w:val="28"/>
        <w:spacing w:line="540" w:lineRule="exact"/>
        <w:ind w:firstLine="561"/>
        <w:rPr>
          <w:rFonts w:ascii="仿宋" w:hAnsi="仿宋" w:eastAsia="仿宋" w:cs="仿宋"/>
          <w:color w:val="auto"/>
          <w:sz w:val="28"/>
          <w:highlight w:val="none"/>
        </w:rPr>
      </w:pPr>
      <w:r>
        <w:rPr>
          <w:rFonts w:hint="eastAsia" w:ascii="仿宋" w:hAnsi="仿宋" w:eastAsia="仿宋" w:cs="仿宋"/>
          <w:color w:val="auto"/>
          <w:sz w:val="28"/>
          <w:highlight w:val="none"/>
        </w:rPr>
        <w:t>21. 资格审查</w:t>
      </w:r>
    </w:p>
    <w:p>
      <w:pPr>
        <w:pStyle w:val="28"/>
        <w:spacing w:line="540" w:lineRule="exact"/>
        <w:ind w:firstLine="561"/>
        <w:rPr>
          <w:rFonts w:ascii="仿宋" w:hAnsi="仿宋" w:eastAsia="仿宋" w:cs="仿宋"/>
          <w:b/>
          <w:color w:val="auto"/>
          <w:sz w:val="28"/>
          <w:highlight w:val="none"/>
        </w:rPr>
      </w:pPr>
      <w:r>
        <w:rPr>
          <w:rFonts w:hint="eastAsia" w:ascii="仿宋" w:hAnsi="仿宋" w:eastAsia="仿宋" w:cs="仿宋"/>
          <w:b/>
          <w:color w:val="auto"/>
          <w:sz w:val="28"/>
          <w:highlight w:val="none"/>
        </w:rPr>
        <w:t>21.1 开标</w:t>
      </w:r>
      <w:r>
        <w:rPr>
          <w:rFonts w:hint="eastAsia" w:ascii="仿宋" w:hAnsi="仿宋" w:eastAsia="仿宋" w:cs="仿宋"/>
          <w:b/>
          <w:color w:val="auto"/>
          <w:sz w:val="28"/>
          <w:highlight w:val="none"/>
          <w:lang w:val="en-US" w:eastAsia="zh-CN"/>
        </w:rPr>
        <w:t>时</w:t>
      </w:r>
      <w:r>
        <w:rPr>
          <w:rFonts w:hint="eastAsia" w:ascii="仿宋" w:hAnsi="仿宋" w:eastAsia="仿宋" w:cs="仿宋"/>
          <w:b/>
          <w:color w:val="auto"/>
          <w:sz w:val="28"/>
          <w:highlight w:val="none"/>
        </w:rPr>
        <w:t>，采购人按照本章第8.1.1条中第1-3项规定的内容对各供应商的投标文件进行资格审查。资格审查不合格的，其投标无效。</w:t>
      </w:r>
    </w:p>
    <w:p>
      <w:pPr>
        <w:pStyle w:val="28"/>
        <w:spacing w:line="540" w:lineRule="exact"/>
        <w:ind w:firstLine="561"/>
        <w:rPr>
          <w:rFonts w:ascii="仿宋" w:hAnsi="仿宋" w:eastAsia="仿宋" w:cs="仿宋"/>
          <w:b/>
          <w:color w:val="auto"/>
          <w:sz w:val="28"/>
          <w:highlight w:val="none"/>
        </w:rPr>
      </w:pPr>
      <w:r>
        <w:rPr>
          <w:rFonts w:hint="eastAsia" w:ascii="仿宋" w:hAnsi="仿宋" w:eastAsia="仿宋" w:cs="仿宋"/>
          <w:color w:val="auto"/>
          <w:sz w:val="28"/>
          <w:highlight w:val="none"/>
        </w:rPr>
        <w:t>21.2 合格供应商不足三家的，不进行评标。</w:t>
      </w:r>
    </w:p>
    <w:p>
      <w:pPr>
        <w:pStyle w:val="29"/>
        <w:spacing w:beforeLines="0" w:afterLines="0" w:line="520" w:lineRule="exact"/>
        <w:rPr>
          <w:rFonts w:ascii="仿宋" w:hAnsi="仿宋" w:eastAsia="仿宋" w:cs="仿宋"/>
          <w:color w:val="auto"/>
          <w:kern w:val="0"/>
          <w:sz w:val="28"/>
          <w:szCs w:val="24"/>
          <w:highlight w:val="none"/>
        </w:rPr>
      </w:pPr>
      <w:bookmarkStart w:id="11" w:name="_Toc29166"/>
      <w:r>
        <w:rPr>
          <w:rFonts w:hint="eastAsia" w:ascii="仿宋" w:hAnsi="仿宋" w:eastAsia="仿宋" w:cs="仿宋"/>
          <w:color w:val="auto"/>
          <w:kern w:val="0"/>
          <w:sz w:val="28"/>
          <w:szCs w:val="24"/>
          <w:highlight w:val="none"/>
        </w:rPr>
        <w:t>七、评标和定标</w:t>
      </w:r>
      <w:bookmarkEnd w:id="11"/>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22. 评标原则</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22.1 本项目的评标遵循公平、公正、科学、择优的原则。</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22.2 评标委员会将严格按照《中华人民共和国政府采购法》及其实施条例（658号令）、《政府采购货物和服务招标投标管理办法》（财政部87号令等相关法律法规的规定依法评标，维护招标投标各方当事人的合法权益。</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22.3 不徇私情，不明招暗定。</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22.4 资格审查合格的供应商，均有同等机会参加竞争。</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22.5 评标人员不得私自泄露评标内容，不得进行旨在影响评标结果公正、公平的任何活动。</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23. 评标方法</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23.1 采购代理机构将根据有关法律法规的规定组建本次招标的评标委员会。评标委员会成员由本行业相关技术、经济等方面的专家组成。其中，技术、经济等方面的专家不少于成员总人数的三分之二。</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23.2 评标的依据为招标文件和投标文件。根据相关法律法规的规定，评标委员会不以任何外部证据作为其评标的依据或标准。</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23.3 评标过程将严格保密。开标后直到授予中标人合同止，凡是属于审查、澄清、评价和比较的有关评标资料以及授标建议等均不得向供应商或其他无关的人员透露。</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23.4 在评标的整个过程中，供应商所进行的旨在影响评标结果的活动，可能导致其投标被拒绝，或者被取消中标资格。</w:t>
      </w:r>
    </w:p>
    <w:p>
      <w:pPr>
        <w:pStyle w:val="28"/>
        <w:spacing w:line="540" w:lineRule="exact"/>
        <w:ind w:firstLine="562"/>
        <w:jc w:val="both"/>
        <w:rPr>
          <w:rFonts w:ascii="仿宋" w:hAnsi="仿宋" w:eastAsia="仿宋" w:cs="仿宋"/>
          <w:b/>
          <w:color w:val="auto"/>
          <w:sz w:val="28"/>
          <w:highlight w:val="none"/>
        </w:rPr>
      </w:pPr>
      <w:r>
        <w:rPr>
          <w:rFonts w:hint="eastAsia" w:ascii="仿宋" w:hAnsi="仿宋" w:eastAsia="仿宋" w:cs="仿宋"/>
          <w:b/>
          <w:color w:val="auto"/>
          <w:sz w:val="28"/>
          <w:highlight w:val="none"/>
        </w:rPr>
        <w:t>23.5 本次招标采用综合评分法进行评标。评标分符合性审查和详细评审两个阶段。</w:t>
      </w:r>
    </w:p>
    <w:p>
      <w:pPr>
        <w:pStyle w:val="44"/>
        <w:spacing w:line="540" w:lineRule="exact"/>
        <w:ind w:firstLine="562"/>
        <w:jc w:val="both"/>
        <w:rPr>
          <w:rStyle w:val="42"/>
          <w:rFonts w:ascii="仿宋" w:hAnsi="仿宋" w:eastAsia="仿宋" w:cs="仿宋"/>
          <w:b/>
          <w:color w:val="auto"/>
          <w:sz w:val="28"/>
          <w:highlight w:val="none"/>
        </w:rPr>
      </w:pPr>
      <w:r>
        <w:rPr>
          <w:rStyle w:val="42"/>
          <w:rFonts w:hint="eastAsia" w:ascii="仿宋" w:hAnsi="仿宋" w:eastAsia="仿宋" w:cs="仿宋"/>
          <w:b/>
          <w:color w:val="auto"/>
          <w:sz w:val="28"/>
          <w:highlight w:val="none"/>
        </w:rPr>
        <w:t>23.5.1 只有通过符合性审查的投标文件才可进入详细评审阶段。</w:t>
      </w:r>
    </w:p>
    <w:p>
      <w:pPr>
        <w:pStyle w:val="28"/>
        <w:spacing w:line="540" w:lineRule="exact"/>
        <w:ind w:firstLine="562"/>
        <w:jc w:val="both"/>
        <w:rPr>
          <w:rFonts w:ascii="仿宋" w:hAnsi="仿宋" w:eastAsia="仿宋" w:cs="仿宋"/>
          <w:color w:val="auto"/>
          <w:sz w:val="28"/>
          <w:highlight w:val="none"/>
        </w:rPr>
      </w:pPr>
      <w:r>
        <w:rPr>
          <w:rStyle w:val="42"/>
          <w:rFonts w:hint="eastAsia" w:ascii="仿宋" w:hAnsi="仿宋" w:eastAsia="仿宋" w:cs="仿宋"/>
          <w:b/>
          <w:color w:val="auto"/>
          <w:sz w:val="28"/>
          <w:highlight w:val="none"/>
        </w:rPr>
        <w:t>23.5.2 详细评审分为商务评审和技术评审两个部分。</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23.6 符合性审查</w:t>
      </w:r>
    </w:p>
    <w:p>
      <w:pPr>
        <w:pStyle w:val="28"/>
        <w:spacing w:line="540" w:lineRule="exact"/>
        <w:ind w:firstLine="560"/>
        <w:jc w:val="both"/>
        <w:rPr>
          <w:rFonts w:ascii="仿宋" w:hAnsi="仿宋" w:eastAsia="仿宋" w:cs="仿宋"/>
          <w:b/>
          <w:color w:val="auto"/>
          <w:sz w:val="28"/>
          <w:highlight w:val="none"/>
        </w:rPr>
      </w:pPr>
      <w:r>
        <w:rPr>
          <w:rFonts w:hint="eastAsia" w:ascii="仿宋" w:hAnsi="仿宋" w:eastAsia="仿宋" w:cs="仿宋"/>
          <w:color w:val="auto"/>
          <w:sz w:val="28"/>
          <w:highlight w:val="none"/>
        </w:rPr>
        <w:t>评标委员会对符合资格的供应商的投标文件进行符合性审查，以确定其是否满足招标文件的实质性要求，是否存在重大偏离。重大偏离系指投标文件的有效性、真实性、合同的供货范围、质量、性能和规格等内容在实质上与招标文件形成了重大的不一致，而这种不一致可能限制了买方的权力和供应商的义务，纠正或承认这些偏离将会对该供应商和其它供应商合理的竞争地位产生不公正的影响。</w:t>
      </w:r>
      <w:r>
        <w:rPr>
          <w:rFonts w:hint="eastAsia" w:ascii="仿宋" w:hAnsi="仿宋" w:eastAsia="仿宋" w:cs="仿宋"/>
          <w:b/>
          <w:color w:val="auto"/>
          <w:sz w:val="28"/>
          <w:highlight w:val="none"/>
        </w:rPr>
        <w:t>与招标文件有重大偏离的投标文件将被拒绝，投标无效。具体评审内容系指：</w:t>
      </w:r>
    </w:p>
    <w:p>
      <w:pPr>
        <w:pStyle w:val="44"/>
        <w:spacing w:line="540" w:lineRule="exact"/>
        <w:ind w:firstLine="560"/>
        <w:jc w:val="both"/>
        <w:rPr>
          <w:rStyle w:val="42"/>
          <w:rFonts w:ascii="仿宋" w:hAnsi="仿宋" w:eastAsia="仿宋" w:cs="仿宋"/>
          <w:b/>
          <w:color w:val="auto"/>
          <w:kern w:val="0"/>
          <w:sz w:val="28"/>
          <w:highlight w:val="none"/>
        </w:rPr>
      </w:pPr>
      <w:r>
        <w:rPr>
          <w:rStyle w:val="42"/>
          <w:rFonts w:hint="eastAsia" w:ascii="仿宋" w:hAnsi="仿宋" w:eastAsia="仿宋" w:cs="仿宋"/>
          <w:b/>
          <w:color w:val="auto"/>
          <w:kern w:val="0"/>
          <w:sz w:val="28"/>
          <w:highlight w:val="none"/>
        </w:rPr>
        <w:t>23.6.1 投标文件组成不完整，主要内容未能按招标文件规定的内容、格式填写、装订；</w:t>
      </w:r>
    </w:p>
    <w:p>
      <w:pPr>
        <w:pStyle w:val="44"/>
        <w:spacing w:line="540" w:lineRule="exact"/>
        <w:ind w:firstLine="560"/>
        <w:jc w:val="both"/>
        <w:rPr>
          <w:rStyle w:val="42"/>
          <w:rFonts w:ascii="仿宋" w:hAnsi="仿宋" w:eastAsia="仿宋" w:cs="仿宋"/>
          <w:b/>
          <w:color w:val="auto"/>
          <w:kern w:val="0"/>
          <w:sz w:val="28"/>
          <w:highlight w:val="none"/>
        </w:rPr>
      </w:pPr>
      <w:r>
        <w:rPr>
          <w:rStyle w:val="42"/>
          <w:rFonts w:hint="eastAsia" w:ascii="仿宋" w:hAnsi="仿宋" w:eastAsia="仿宋" w:cs="仿宋"/>
          <w:b/>
          <w:color w:val="auto"/>
          <w:kern w:val="0"/>
          <w:sz w:val="28"/>
          <w:highlight w:val="none"/>
        </w:rPr>
        <w:t>23.6.2 投标文件的有效期不满足招标文件的规定；</w:t>
      </w:r>
    </w:p>
    <w:p>
      <w:pPr>
        <w:pStyle w:val="44"/>
        <w:spacing w:line="540" w:lineRule="exact"/>
        <w:ind w:firstLine="560"/>
        <w:jc w:val="both"/>
        <w:rPr>
          <w:rStyle w:val="42"/>
          <w:rFonts w:ascii="仿宋" w:hAnsi="仿宋" w:eastAsia="仿宋" w:cs="仿宋"/>
          <w:b/>
          <w:color w:val="auto"/>
          <w:kern w:val="0"/>
          <w:sz w:val="28"/>
          <w:highlight w:val="none"/>
        </w:rPr>
      </w:pPr>
      <w:r>
        <w:rPr>
          <w:rStyle w:val="42"/>
          <w:rFonts w:hint="eastAsia" w:ascii="仿宋" w:hAnsi="仿宋" w:eastAsia="仿宋" w:cs="仿宋"/>
          <w:b/>
          <w:color w:val="auto"/>
          <w:kern w:val="0"/>
          <w:sz w:val="28"/>
          <w:highlight w:val="none"/>
        </w:rPr>
        <w:t>23.6.3 投标代表授权书未能由法定代表人签署</w:t>
      </w:r>
      <w:r>
        <w:rPr>
          <w:rStyle w:val="42"/>
          <w:rFonts w:hint="eastAsia" w:ascii="仿宋" w:hAnsi="仿宋" w:eastAsia="仿宋" w:cs="仿宋"/>
          <w:b/>
          <w:color w:val="auto"/>
          <w:kern w:val="0"/>
          <w:sz w:val="28"/>
          <w:highlight w:val="none"/>
          <w:lang w:val="zh-CN"/>
        </w:rPr>
        <w:t>并加盖公章</w:t>
      </w:r>
      <w:r>
        <w:rPr>
          <w:rStyle w:val="42"/>
          <w:rFonts w:hint="eastAsia" w:ascii="仿宋" w:hAnsi="仿宋" w:eastAsia="仿宋" w:cs="仿宋"/>
          <w:b/>
          <w:color w:val="auto"/>
          <w:kern w:val="0"/>
          <w:sz w:val="28"/>
          <w:highlight w:val="none"/>
        </w:rPr>
        <w:t>；</w:t>
      </w:r>
    </w:p>
    <w:p>
      <w:pPr>
        <w:pStyle w:val="44"/>
        <w:spacing w:line="540" w:lineRule="exact"/>
        <w:ind w:firstLine="560" w:firstLineChars="200"/>
        <w:jc w:val="both"/>
        <w:rPr>
          <w:rStyle w:val="42"/>
          <w:rFonts w:ascii="仿宋" w:hAnsi="仿宋" w:eastAsia="仿宋" w:cs="仿宋"/>
          <w:b/>
          <w:color w:val="auto"/>
          <w:sz w:val="28"/>
          <w:highlight w:val="none"/>
        </w:rPr>
      </w:pPr>
      <w:r>
        <w:rPr>
          <w:rStyle w:val="42"/>
          <w:rFonts w:hint="eastAsia" w:ascii="仿宋" w:hAnsi="仿宋" w:eastAsia="仿宋" w:cs="仿宋"/>
          <w:b/>
          <w:color w:val="auto"/>
          <w:sz w:val="28"/>
          <w:highlight w:val="none"/>
        </w:rPr>
        <w:t>23.6.4 投标文件没有按照规定在应由企业法人或法人授权代表在所有规定签章处逐一签署及加盖单位公章的；</w:t>
      </w:r>
    </w:p>
    <w:p>
      <w:pPr>
        <w:pStyle w:val="44"/>
        <w:spacing w:line="540" w:lineRule="exact"/>
        <w:ind w:firstLine="560" w:firstLineChars="200"/>
        <w:jc w:val="both"/>
        <w:rPr>
          <w:rStyle w:val="42"/>
          <w:rFonts w:ascii="仿宋" w:hAnsi="仿宋" w:eastAsia="仿宋" w:cs="仿宋"/>
          <w:b/>
          <w:color w:val="auto"/>
          <w:kern w:val="0"/>
          <w:sz w:val="28"/>
          <w:highlight w:val="none"/>
        </w:rPr>
      </w:pPr>
      <w:r>
        <w:rPr>
          <w:rStyle w:val="42"/>
          <w:rFonts w:hint="eastAsia" w:ascii="仿宋" w:hAnsi="仿宋" w:eastAsia="仿宋" w:cs="仿宋"/>
          <w:b/>
          <w:color w:val="auto"/>
          <w:kern w:val="0"/>
          <w:sz w:val="28"/>
          <w:highlight w:val="none"/>
        </w:rPr>
        <w:t>23.6.5 投标文件针对同一种货物出现了两个或两个以上的报价；</w:t>
      </w:r>
    </w:p>
    <w:p>
      <w:pPr>
        <w:pStyle w:val="44"/>
        <w:spacing w:line="540" w:lineRule="exact"/>
        <w:ind w:left="558" w:leftChars="266"/>
        <w:jc w:val="both"/>
        <w:rPr>
          <w:rStyle w:val="42"/>
          <w:rFonts w:ascii="仿宋" w:hAnsi="仿宋" w:eastAsia="仿宋" w:cs="仿宋"/>
          <w:b/>
          <w:color w:val="auto"/>
          <w:kern w:val="0"/>
          <w:sz w:val="28"/>
          <w:highlight w:val="none"/>
        </w:rPr>
      </w:pPr>
      <w:r>
        <w:rPr>
          <w:rStyle w:val="42"/>
          <w:rFonts w:hint="eastAsia" w:ascii="仿宋" w:hAnsi="仿宋" w:eastAsia="仿宋" w:cs="仿宋"/>
          <w:b/>
          <w:color w:val="auto"/>
          <w:kern w:val="0"/>
          <w:sz w:val="28"/>
          <w:highlight w:val="none"/>
        </w:rPr>
        <w:t>23.6.6 明显不符合招标文件关于对招标货物技术规格和标准的要求；23.6.7 投标文件载明的投标项目工期超过招标文件规定的期限；</w:t>
      </w:r>
    </w:p>
    <w:p>
      <w:pPr>
        <w:pStyle w:val="44"/>
        <w:spacing w:line="540" w:lineRule="exact"/>
        <w:ind w:firstLine="560" w:firstLineChars="200"/>
        <w:jc w:val="both"/>
        <w:rPr>
          <w:rStyle w:val="42"/>
          <w:rFonts w:ascii="仿宋" w:hAnsi="仿宋" w:eastAsia="仿宋" w:cs="仿宋"/>
          <w:b/>
          <w:color w:val="auto"/>
          <w:kern w:val="0"/>
          <w:sz w:val="28"/>
          <w:highlight w:val="none"/>
        </w:rPr>
      </w:pPr>
      <w:r>
        <w:rPr>
          <w:rStyle w:val="42"/>
          <w:rFonts w:hint="eastAsia" w:ascii="仿宋" w:hAnsi="仿宋" w:eastAsia="仿宋" w:cs="仿宋"/>
          <w:b/>
          <w:color w:val="auto"/>
          <w:kern w:val="0"/>
          <w:sz w:val="28"/>
          <w:highlight w:val="none"/>
        </w:rPr>
        <w:t>23.6.8 投标文件载明的供货范围、货物包装方式、检验标准和方法等不符合招标文件的要求；</w:t>
      </w:r>
    </w:p>
    <w:p>
      <w:pPr>
        <w:pStyle w:val="44"/>
        <w:spacing w:line="540" w:lineRule="exact"/>
        <w:ind w:firstLine="560"/>
        <w:jc w:val="both"/>
        <w:rPr>
          <w:rStyle w:val="42"/>
          <w:rFonts w:ascii="仿宋" w:hAnsi="仿宋" w:eastAsia="仿宋" w:cs="仿宋"/>
          <w:b/>
          <w:color w:val="auto"/>
          <w:sz w:val="28"/>
          <w:highlight w:val="none"/>
        </w:rPr>
      </w:pPr>
      <w:r>
        <w:rPr>
          <w:rStyle w:val="42"/>
          <w:rFonts w:hint="eastAsia" w:ascii="仿宋" w:hAnsi="仿宋" w:eastAsia="仿宋" w:cs="仿宋"/>
          <w:b/>
          <w:color w:val="auto"/>
          <w:sz w:val="28"/>
          <w:highlight w:val="none"/>
        </w:rPr>
        <w:t>23.6.9 供应商的报价超过预算价及最高限价；</w:t>
      </w:r>
    </w:p>
    <w:p>
      <w:pPr>
        <w:pStyle w:val="44"/>
        <w:spacing w:line="540" w:lineRule="exact"/>
        <w:ind w:firstLine="560"/>
        <w:jc w:val="both"/>
        <w:rPr>
          <w:rStyle w:val="42"/>
          <w:rFonts w:ascii="仿宋" w:hAnsi="仿宋" w:eastAsia="仿宋" w:cs="仿宋"/>
          <w:b/>
          <w:color w:val="auto"/>
          <w:kern w:val="0"/>
          <w:sz w:val="28"/>
          <w:highlight w:val="none"/>
        </w:rPr>
      </w:pPr>
      <w:r>
        <w:rPr>
          <w:rStyle w:val="42"/>
          <w:rFonts w:hint="eastAsia" w:ascii="仿宋" w:hAnsi="仿宋" w:eastAsia="仿宋" w:cs="仿宋"/>
          <w:b/>
          <w:color w:val="auto"/>
          <w:kern w:val="0"/>
          <w:sz w:val="28"/>
          <w:highlight w:val="none"/>
        </w:rPr>
        <w:t>23.6.10 投标文件含有采购人不能接受的附加条件；</w:t>
      </w:r>
    </w:p>
    <w:p>
      <w:pPr>
        <w:pStyle w:val="44"/>
        <w:spacing w:line="540" w:lineRule="exact"/>
        <w:ind w:firstLine="560"/>
        <w:jc w:val="both"/>
        <w:rPr>
          <w:rStyle w:val="42"/>
          <w:rFonts w:ascii="仿宋" w:hAnsi="仿宋" w:eastAsia="仿宋" w:cs="仿宋"/>
          <w:b/>
          <w:color w:val="auto"/>
          <w:kern w:val="0"/>
          <w:sz w:val="28"/>
          <w:highlight w:val="none"/>
        </w:rPr>
      </w:pPr>
      <w:r>
        <w:rPr>
          <w:rStyle w:val="42"/>
          <w:rFonts w:hint="eastAsia" w:ascii="仿宋" w:hAnsi="仿宋" w:eastAsia="仿宋" w:cs="仿宋"/>
          <w:b/>
          <w:color w:val="auto"/>
          <w:kern w:val="0"/>
          <w:sz w:val="28"/>
          <w:highlight w:val="none"/>
        </w:rPr>
        <w:t>23.6.11 没有实质性响应招标文件（商务条款）规定的；</w:t>
      </w:r>
    </w:p>
    <w:p>
      <w:pPr>
        <w:pStyle w:val="44"/>
        <w:spacing w:line="540" w:lineRule="exact"/>
        <w:ind w:firstLine="560"/>
        <w:jc w:val="both"/>
        <w:rPr>
          <w:rStyle w:val="42"/>
          <w:rFonts w:ascii="仿宋" w:hAnsi="仿宋" w:eastAsia="仿宋" w:cs="仿宋"/>
          <w:b/>
          <w:color w:val="auto"/>
          <w:kern w:val="0"/>
          <w:sz w:val="28"/>
          <w:highlight w:val="none"/>
        </w:rPr>
      </w:pPr>
      <w:r>
        <w:rPr>
          <w:rStyle w:val="42"/>
          <w:rFonts w:hint="eastAsia" w:ascii="仿宋" w:hAnsi="仿宋" w:eastAsia="仿宋" w:cs="仿宋"/>
          <w:b/>
          <w:color w:val="auto"/>
          <w:kern w:val="0"/>
          <w:sz w:val="28"/>
          <w:highlight w:val="none"/>
        </w:rPr>
        <w:t>23.6.12不符合法律、法规和招标文件中规定的其他实质性要求。</w:t>
      </w:r>
    </w:p>
    <w:p>
      <w:pPr>
        <w:pStyle w:val="27"/>
        <w:spacing w:line="540" w:lineRule="exact"/>
        <w:ind w:firstLine="560"/>
        <w:rPr>
          <w:rFonts w:ascii="仿宋" w:hAnsi="仿宋" w:eastAsia="仿宋" w:cs="仿宋"/>
          <w:color w:val="auto"/>
          <w:highlight w:val="none"/>
        </w:rPr>
      </w:pPr>
      <w:r>
        <w:rPr>
          <w:rFonts w:hint="eastAsia" w:ascii="仿宋" w:hAnsi="仿宋" w:eastAsia="仿宋" w:cs="仿宋"/>
          <w:color w:val="auto"/>
          <w:highlight w:val="none"/>
        </w:rPr>
        <w:t>23.7 对通过符合性审查的投标文件，评标委员会将对其进行算术性修正。算术性修正是指对投标文件报价出现前后不一致的进行校核，并对其算术上和运算上的差错给予修正。修正的原则如下：</w:t>
      </w:r>
    </w:p>
    <w:p>
      <w:pPr>
        <w:pStyle w:val="15"/>
        <w:spacing w:before="0" w:beforeAutospacing="0" w:after="0" w:afterAutospacing="0"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23.7.1 投标文件中开标一览表内容与投标文件中相应内容不一致的，以开标一览表为准；</w:t>
      </w:r>
    </w:p>
    <w:p>
      <w:pPr>
        <w:pStyle w:val="15"/>
        <w:spacing w:before="0" w:beforeAutospacing="0" w:after="0" w:afterAutospacing="0"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23.7.2 投标文件的大写金额和小写金额不一致的，以大写金额为准；</w:t>
      </w:r>
    </w:p>
    <w:p>
      <w:pPr>
        <w:pStyle w:val="15"/>
        <w:spacing w:before="0" w:beforeAutospacing="0" w:after="0" w:afterAutospacing="0"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23.7.3 单价金额小数点或者百分比有明显错位的，以开标一览表的总价为准，并修改单价；</w:t>
      </w:r>
    </w:p>
    <w:p>
      <w:pPr>
        <w:pStyle w:val="15"/>
        <w:spacing w:before="0" w:beforeAutospacing="0" w:after="0" w:afterAutospacing="0"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23.7.4 总价金额与按单价汇总金额不一致的，以单价金额计算结果为准。</w:t>
      </w:r>
    </w:p>
    <w:p>
      <w:pPr>
        <w:pStyle w:val="15"/>
        <w:spacing w:before="0" w:beforeAutospacing="0" w:after="0" w:afterAutospacing="0"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23.7.5 同时出现两种以上不一致的，按照上述规定的顺序修正。</w:t>
      </w:r>
      <w:r>
        <w:rPr>
          <w:rFonts w:hint="eastAsia" w:ascii="仿宋" w:hAnsi="仿宋" w:eastAsia="仿宋" w:cs="仿宋"/>
          <w:b/>
          <w:color w:val="auto"/>
          <w:sz w:val="28"/>
          <w:highlight w:val="none"/>
        </w:rPr>
        <w:t>修正后的报价须供应商确认，如果供应商拒绝确认，其投标无效。</w:t>
      </w:r>
    </w:p>
    <w:p>
      <w:pPr>
        <w:pStyle w:val="15"/>
        <w:spacing w:before="0" w:beforeAutospacing="0" w:after="0" w:afterAutospacing="0"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23.7.6 对不同文字文本投标文件的解释发生异议的，以中文文本为准。</w:t>
      </w:r>
    </w:p>
    <w:p>
      <w:pPr>
        <w:pStyle w:val="15"/>
        <w:spacing w:before="0" w:beforeAutospacing="0" w:after="0" w:afterAutospacing="0"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23.7.7 评标委员会将拒绝被定为实质上非响应性的投标，供应商不能通过修正或撤销不符之处而使其投标成为响应性投标。</w:t>
      </w:r>
    </w:p>
    <w:p>
      <w:pPr>
        <w:pStyle w:val="15"/>
        <w:spacing w:before="0" w:beforeAutospacing="0" w:after="0" w:afterAutospacing="0" w:line="540" w:lineRule="exact"/>
        <w:ind w:firstLine="560" w:firstLineChars="200"/>
        <w:rPr>
          <w:rFonts w:ascii="仿宋" w:hAnsi="仿宋" w:eastAsia="仿宋" w:cs="仿宋"/>
          <w:b/>
          <w:color w:val="auto"/>
          <w:sz w:val="28"/>
          <w:highlight w:val="none"/>
        </w:rPr>
      </w:pPr>
      <w:r>
        <w:rPr>
          <w:rFonts w:hint="eastAsia" w:ascii="仿宋" w:hAnsi="仿宋" w:eastAsia="仿宋" w:cs="仿宋"/>
          <w:color w:val="auto"/>
          <w:sz w:val="28"/>
          <w:highlight w:val="none"/>
        </w:rPr>
        <w:t>23.7.8 评标委员会将允许投标中有微小的不正规、不一致或不规则，而该微小之处不构成重大偏离。</w:t>
      </w:r>
    </w:p>
    <w:p>
      <w:pPr>
        <w:pStyle w:val="31"/>
        <w:spacing w:line="540" w:lineRule="exact"/>
        <w:ind w:firstLine="560"/>
        <w:jc w:val="both"/>
        <w:rPr>
          <w:rFonts w:ascii="仿宋" w:hAnsi="仿宋" w:eastAsia="仿宋" w:cs="仿宋"/>
          <w:b w:val="0"/>
          <w:color w:val="auto"/>
          <w:kern w:val="0"/>
          <w:sz w:val="28"/>
          <w:highlight w:val="none"/>
        </w:rPr>
      </w:pPr>
      <w:r>
        <w:rPr>
          <w:rFonts w:hint="eastAsia" w:ascii="仿宋" w:hAnsi="仿宋" w:eastAsia="仿宋" w:cs="仿宋"/>
          <w:b w:val="0"/>
          <w:color w:val="auto"/>
          <w:kern w:val="0"/>
          <w:sz w:val="28"/>
          <w:highlight w:val="none"/>
        </w:rPr>
        <w:t>23.8 详细评审</w:t>
      </w:r>
    </w:p>
    <w:p>
      <w:pPr>
        <w:pStyle w:val="31"/>
        <w:spacing w:line="540" w:lineRule="exact"/>
        <w:ind w:firstLine="560"/>
        <w:jc w:val="both"/>
        <w:rPr>
          <w:rFonts w:ascii="仿宋" w:hAnsi="仿宋" w:eastAsia="仿宋" w:cs="仿宋"/>
          <w:b w:val="0"/>
          <w:color w:val="auto"/>
          <w:kern w:val="0"/>
          <w:sz w:val="28"/>
          <w:highlight w:val="none"/>
        </w:rPr>
      </w:pPr>
      <w:r>
        <w:rPr>
          <w:rFonts w:hint="eastAsia" w:ascii="仿宋" w:hAnsi="仿宋" w:eastAsia="仿宋" w:cs="仿宋"/>
          <w:b w:val="0"/>
          <w:color w:val="auto"/>
          <w:kern w:val="0"/>
          <w:sz w:val="28"/>
          <w:highlight w:val="none"/>
        </w:rPr>
        <w:t>23.8.1 评标委员会对符合性审查合格的投标文件进行商务和技术评审，综合比较与评价。以投标文件能最大限度地满足招标文件中规定的各项评价标准为依据，独立地对各投标文件进行评审和打分。</w:t>
      </w:r>
    </w:p>
    <w:p>
      <w:pPr>
        <w:pStyle w:val="31"/>
        <w:spacing w:line="540" w:lineRule="exact"/>
        <w:ind w:firstLine="562"/>
        <w:jc w:val="left"/>
        <w:rPr>
          <w:rFonts w:ascii="仿宋" w:hAnsi="仿宋" w:eastAsia="仿宋" w:cs="仿宋"/>
          <w:color w:val="auto"/>
          <w:sz w:val="28"/>
          <w:highlight w:val="none"/>
        </w:rPr>
      </w:pPr>
      <w:r>
        <w:rPr>
          <w:rFonts w:hint="eastAsia" w:ascii="仿宋" w:hAnsi="仿宋" w:eastAsia="仿宋" w:cs="仿宋"/>
          <w:color w:val="auto"/>
          <w:sz w:val="28"/>
          <w:highlight w:val="none"/>
        </w:rPr>
        <w:t>23.8.2 评标委员会将对下述评审因素进行量化，并根据评委会每个成员对投标文件的评审和理解进行打分，满分为100分。商务部分权重占40%，其中价格满分为30分，商务条件满分为10分；技术部分权重占60%，满分为60分。供应商两部分的分值相加，即为该供应商的综合评估分。</w:t>
      </w:r>
    </w:p>
    <w:p>
      <w:pPr>
        <w:pStyle w:val="31"/>
        <w:spacing w:line="540" w:lineRule="exact"/>
        <w:ind w:firstLine="562"/>
        <w:jc w:val="both"/>
        <w:rPr>
          <w:rFonts w:ascii="仿宋" w:hAnsi="仿宋" w:eastAsia="仿宋" w:cs="仿宋"/>
          <w:color w:val="auto"/>
          <w:sz w:val="28"/>
          <w:highlight w:val="none"/>
        </w:rPr>
      </w:pPr>
      <w:r>
        <w:rPr>
          <w:rFonts w:hint="eastAsia" w:ascii="仿宋" w:hAnsi="仿宋" w:eastAsia="仿宋" w:cs="仿宋"/>
          <w:color w:val="auto"/>
          <w:sz w:val="28"/>
          <w:highlight w:val="none"/>
        </w:rPr>
        <w:t>具体分值见下表：</w:t>
      </w:r>
    </w:p>
    <w:p>
      <w:pPr>
        <w:pStyle w:val="45"/>
        <w:numPr>
          <w:ilvl w:val="0"/>
          <w:numId w:val="1"/>
        </w:numPr>
        <w:spacing w:after="156" w:line="540" w:lineRule="exact"/>
        <w:ind w:firstLineChars="0"/>
        <w:jc w:val="left"/>
        <w:rPr>
          <w:rStyle w:val="42"/>
          <w:rFonts w:ascii="仿宋" w:hAnsi="仿宋" w:eastAsia="仿宋" w:cs="仿宋"/>
          <w:b w:val="0"/>
          <w:color w:val="auto"/>
          <w:sz w:val="28"/>
          <w:highlight w:val="none"/>
        </w:rPr>
      </w:pPr>
      <w:r>
        <w:rPr>
          <w:rStyle w:val="42"/>
          <w:rFonts w:hint="eastAsia" w:ascii="仿宋" w:hAnsi="仿宋" w:eastAsia="仿宋" w:cs="仿宋"/>
          <w:b w:val="0"/>
          <w:color w:val="auto"/>
          <w:sz w:val="28"/>
          <w:highlight w:val="none"/>
        </w:rPr>
        <w:t>商务部分（</w:t>
      </w:r>
      <w:r>
        <w:rPr>
          <w:rStyle w:val="42"/>
          <w:rFonts w:hint="eastAsia" w:ascii="仿宋" w:hAnsi="仿宋" w:eastAsia="仿宋" w:cs="仿宋"/>
          <w:b w:val="0"/>
          <w:color w:val="auto"/>
          <w:sz w:val="24"/>
          <w:highlight w:val="none"/>
        </w:rPr>
        <w:t>40分</w:t>
      </w:r>
      <w:r>
        <w:rPr>
          <w:rStyle w:val="42"/>
          <w:rFonts w:hint="eastAsia" w:ascii="仿宋" w:hAnsi="仿宋" w:eastAsia="仿宋" w:cs="仿宋"/>
          <w:b w:val="0"/>
          <w:color w:val="auto"/>
          <w:sz w:val="28"/>
          <w:highlight w:val="none"/>
        </w:rPr>
        <w:t>）</w:t>
      </w:r>
    </w:p>
    <w:tbl>
      <w:tblPr>
        <w:tblStyle w:val="17"/>
        <w:tblW w:w="9300" w:type="dxa"/>
        <w:tblInd w:w="2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1"/>
        <w:gridCol w:w="1580"/>
        <w:gridCol w:w="964"/>
        <w:gridCol w:w="5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8" w:hRule="atLeast"/>
          <w:tblHeader/>
        </w:trPr>
        <w:tc>
          <w:tcPr>
            <w:tcW w:w="2601" w:type="dxa"/>
            <w:gridSpan w:val="2"/>
            <w:tcBorders>
              <w:top w:val="single" w:color="000000" w:sz="4" w:space="0"/>
              <w:left w:val="single" w:color="000000" w:sz="4" w:space="0"/>
              <w:bottom w:val="single" w:color="000000" w:sz="4" w:space="0"/>
              <w:right w:val="single" w:color="000000" w:sz="4" w:space="0"/>
            </w:tcBorders>
            <w:vAlign w:val="center"/>
          </w:tcPr>
          <w:p>
            <w:pPr>
              <w:pStyle w:val="46"/>
              <w:widowControl/>
              <w:spacing w:line="360" w:lineRule="exact"/>
              <w:rPr>
                <w:rStyle w:val="42"/>
                <w:rFonts w:ascii="仿宋" w:hAnsi="仿宋" w:eastAsia="仿宋" w:cs="仿宋"/>
                <w:b w:val="0"/>
                <w:color w:val="auto"/>
                <w:kern w:val="0"/>
                <w:sz w:val="24"/>
                <w:highlight w:val="none"/>
              </w:rPr>
            </w:pPr>
            <w:r>
              <w:rPr>
                <w:rStyle w:val="42"/>
                <w:rFonts w:hint="eastAsia" w:ascii="仿宋" w:hAnsi="仿宋" w:eastAsia="仿宋" w:cs="仿宋"/>
                <w:b w:val="0"/>
                <w:color w:val="auto"/>
                <w:kern w:val="0"/>
                <w:sz w:val="24"/>
                <w:highlight w:val="none"/>
              </w:rPr>
              <w:t>评审项目</w:t>
            </w:r>
          </w:p>
        </w:tc>
        <w:tc>
          <w:tcPr>
            <w:tcW w:w="964" w:type="dxa"/>
            <w:tcBorders>
              <w:top w:val="single" w:color="000000" w:sz="4" w:space="0"/>
              <w:left w:val="single" w:color="000000" w:sz="4" w:space="0"/>
              <w:bottom w:val="single" w:color="000000" w:sz="4" w:space="0"/>
              <w:right w:val="single" w:color="000000" w:sz="4" w:space="0"/>
            </w:tcBorders>
            <w:vAlign w:val="center"/>
          </w:tcPr>
          <w:p>
            <w:pPr>
              <w:pStyle w:val="46"/>
              <w:widowControl/>
              <w:spacing w:line="360" w:lineRule="exact"/>
              <w:rPr>
                <w:rStyle w:val="42"/>
                <w:rFonts w:ascii="仿宋" w:hAnsi="仿宋" w:eastAsia="仿宋" w:cs="仿宋"/>
                <w:b w:val="0"/>
                <w:color w:val="auto"/>
                <w:kern w:val="0"/>
                <w:sz w:val="24"/>
                <w:highlight w:val="none"/>
              </w:rPr>
            </w:pPr>
            <w:r>
              <w:rPr>
                <w:rStyle w:val="42"/>
                <w:rFonts w:hint="eastAsia" w:ascii="仿宋" w:hAnsi="仿宋" w:eastAsia="仿宋" w:cs="仿宋"/>
                <w:b w:val="0"/>
                <w:color w:val="auto"/>
                <w:kern w:val="0"/>
                <w:sz w:val="24"/>
                <w:highlight w:val="none"/>
              </w:rPr>
              <w:t>分值</w:t>
            </w:r>
          </w:p>
        </w:tc>
        <w:tc>
          <w:tcPr>
            <w:tcW w:w="5735" w:type="dxa"/>
            <w:tcBorders>
              <w:top w:val="single" w:color="000000" w:sz="4" w:space="0"/>
              <w:left w:val="single" w:color="000000" w:sz="4" w:space="0"/>
              <w:bottom w:val="single" w:color="000000" w:sz="4" w:space="0"/>
              <w:right w:val="single" w:color="000000" w:sz="4" w:space="0"/>
            </w:tcBorders>
            <w:vAlign w:val="center"/>
          </w:tcPr>
          <w:p>
            <w:pPr>
              <w:pStyle w:val="46"/>
              <w:widowControl/>
              <w:spacing w:line="360" w:lineRule="exact"/>
              <w:rPr>
                <w:rStyle w:val="42"/>
                <w:rFonts w:ascii="仿宋" w:hAnsi="仿宋" w:eastAsia="仿宋" w:cs="仿宋"/>
                <w:b w:val="0"/>
                <w:color w:val="auto"/>
                <w:kern w:val="0"/>
                <w:sz w:val="24"/>
                <w:highlight w:val="none"/>
              </w:rPr>
            </w:pPr>
            <w:r>
              <w:rPr>
                <w:rStyle w:val="42"/>
                <w:rFonts w:hint="eastAsia" w:ascii="仿宋" w:hAnsi="仿宋" w:eastAsia="仿宋" w:cs="仿宋"/>
                <w:b w:val="0"/>
                <w:color w:val="auto"/>
                <w:kern w:val="0"/>
                <w:sz w:val="24"/>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3" w:hRule="atLeast"/>
        </w:trPr>
        <w:tc>
          <w:tcPr>
            <w:tcW w:w="2601" w:type="dxa"/>
            <w:gridSpan w:val="2"/>
            <w:tcBorders>
              <w:top w:val="single" w:color="000000" w:sz="4" w:space="0"/>
              <w:left w:val="single" w:color="000000" w:sz="4" w:space="0"/>
              <w:bottom w:val="single" w:color="000000" w:sz="4" w:space="0"/>
              <w:right w:val="single" w:color="000000" w:sz="4" w:space="0"/>
            </w:tcBorders>
            <w:vAlign w:val="center"/>
          </w:tcPr>
          <w:p>
            <w:pPr>
              <w:pStyle w:val="46"/>
              <w:widowControl/>
              <w:spacing w:line="360" w:lineRule="exact"/>
              <w:rPr>
                <w:rStyle w:val="42"/>
                <w:rFonts w:ascii="仿宋" w:hAnsi="仿宋" w:eastAsia="仿宋" w:cs="仿宋"/>
                <w:b w:val="0"/>
                <w:color w:val="auto"/>
                <w:kern w:val="0"/>
                <w:sz w:val="24"/>
                <w:highlight w:val="none"/>
              </w:rPr>
            </w:pPr>
            <w:r>
              <w:rPr>
                <w:rStyle w:val="42"/>
                <w:rFonts w:hint="eastAsia" w:ascii="仿宋" w:hAnsi="仿宋" w:eastAsia="仿宋" w:cs="仿宋"/>
                <w:b w:val="0"/>
                <w:color w:val="auto"/>
                <w:kern w:val="0"/>
                <w:sz w:val="24"/>
                <w:highlight w:val="none"/>
              </w:rPr>
              <w:t>价格</w:t>
            </w:r>
          </w:p>
        </w:tc>
        <w:tc>
          <w:tcPr>
            <w:tcW w:w="964" w:type="dxa"/>
            <w:tcBorders>
              <w:top w:val="single" w:color="000000" w:sz="4" w:space="0"/>
              <w:left w:val="single" w:color="000000" w:sz="4" w:space="0"/>
              <w:bottom w:val="single" w:color="000000" w:sz="4" w:space="0"/>
              <w:right w:val="single" w:color="000000" w:sz="4" w:space="0"/>
            </w:tcBorders>
            <w:vAlign w:val="center"/>
          </w:tcPr>
          <w:p>
            <w:pPr>
              <w:pStyle w:val="46"/>
              <w:widowControl/>
              <w:spacing w:line="360" w:lineRule="exact"/>
              <w:rPr>
                <w:rStyle w:val="42"/>
                <w:rFonts w:ascii="仿宋" w:hAnsi="仿宋" w:eastAsia="仿宋" w:cs="仿宋"/>
                <w:b w:val="0"/>
                <w:color w:val="auto"/>
                <w:kern w:val="0"/>
                <w:sz w:val="24"/>
                <w:highlight w:val="none"/>
              </w:rPr>
            </w:pPr>
            <w:r>
              <w:rPr>
                <w:rStyle w:val="42"/>
                <w:rFonts w:hint="eastAsia" w:ascii="仿宋" w:hAnsi="仿宋" w:eastAsia="仿宋" w:cs="仿宋"/>
                <w:b w:val="0"/>
                <w:color w:val="auto"/>
                <w:kern w:val="0"/>
                <w:sz w:val="24"/>
                <w:highlight w:val="none"/>
              </w:rPr>
              <w:t>30分</w:t>
            </w:r>
          </w:p>
        </w:tc>
        <w:tc>
          <w:tcPr>
            <w:tcW w:w="57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baseline"/>
              <w:rPr>
                <w:rStyle w:val="42"/>
                <w:rFonts w:ascii="仿宋" w:hAnsi="仿宋" w:eastAsia="仿宋" w:cs="仿宋"/>
                <w:color w:val="auto"/>
                <w:kern w:val="0"/>
                <w:sz w:val="24"/>
                <w:highlight w:val="none"/>
              </w:rPr>
            </w:pPr>
            <w:r>
              <w:rPr>
                <w:rStyle w:val="42"/>
                <w:rFonts w:hint="eastAsia" w:ascii="仿宋" w:hAnsi="仿宋" w:eastAsia="仿宋" w:cs="仿宋"/>
                <w:color w:val="auto"/>
                <w:kern w:val="0"/>
                <w:sz w:val="24"/>
                <w:highlight w:val="none"/>
              </w:rPr>
              <w:t>投标报价得分=(评标基准价／投标报价)×30%×100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6" w:hRule="atLeast"/>
        </w:trPr>
        <w:tc>
          <w:tcPr>
            <w:tcW w:w="1021" w:type="dxa"/>
            <w:vMerge w:val="restart"/>
            <w:tcBorders>
              <w:top w:val="single" w:color="000000" w:sz="4" w:space="0"/>
              <w:left w:val="single" w:color="000000" w:sz="4" w:space="0"/>
              <w:bottom w:val="single" w:color="000000" w:sz="4" w:space="0"/>
              <w:right w:val="single" w:color="000000" w:sz="4" w:space="0"/>
            </w:tcBorders>
            <w:vAlign w:val="center"/>
          </w:tcPr>
          <w:p>
            <w:pPr>
              <w:pStyle w:val="46"/>
              <w:widowControl/>
              <w:spacing w:line="360" w:lineRule="exact"/>
              <w:rPr>
                <w:rStyle w:val="42"/>
                <w:rFonts w:ascii="仿宋" w:hAnsi="仿宋" w:eastAsia="仿宋" w:cs="仿宋"/>
                <w:b w:val="0"/>
                <w:color w:val="auto"/>
                <w:kern w:val="0"/>
                <w:sz w:val="24"/>
                <w:highlight w:val="none"/>
              </w:rPr>
            </w:pPr>
            <w:r>
              <w:rPr>
                <w:rStyle w:val="42"/>
                <w:rFonts w:hint="eastAsia" w:ascii="仿宋" w:hAnsi="仿宋" w:eastAsia="仿宋" w:cs="仿宋"/>
                <w:b w:val="0"/>
                <w:color w:val="auto"/>
                <w:kern w:val="0"/>
                <w:sz w:val="24"/>
                <w:highlight w:val="none"/>
              </w:rPr>
              <w:t>商务条件</w:t>
            </w:r>
          </w:p>
        </w:tc>
        <w:tc>
          <w:tcPr>
            <w:tcW w:w="1580" w:type="dxa"/>
            <w:tcBorders>
              <w:top w:val="single" w:color="000000" w:sz="4" w:space="0"/>
              <w:left w:val="single" w:color="000000" w:sz="4" w:space="0"/>
              <w:bottom w:val="single" w:color="000000" w:sz="4" w:space="0"/>
              <w:right w:val="single" w:color="000000" w:sz="4" w:space="0"/>
            </w:tcBorders>
            <w:vAlign w:val="center"/>
          </w:tcPr>
          <w:p>
            <w:pPr>
              <w:pStyle w:val="46"/>
              <w:widowControl/>
              <w:spacing w:line="420" w:lineRule="exact"/>
              <w:rPr>
                <w:rStyle w:val="42"/>
                <w:rFonts w:ascii="仿宋" w:hAnsi="仿宋" w:eastAsia="仿宋" w:cs="仿宋"/>
                <w:b w:val="0"/>
                <w:color w:val="auto"/>
                <w:kern w:val="0"/>
                <w:sz w:val="24"/>
                <w:highlight w:val="none"/>
              </w:rPr>
            </w:pPr>
            <w:r>
              <w:rPr>
                <w:rStyle w:val="42"/>
                <w:rFonts w:hint="eastAsia" w:ascii="仿宋" w:hAnsi="仿宋" w:eastAsia="仿宋" w:cs="仿宋"/>
                <w:b w:val="0"/>
                <w:color w:val="auto"/>
                <w:kern w:val="0"/>
                <w:sz w:val="24"/>
                <w:highlight w:val="none"/>
              </w:rPr>
              <w:t>付款方式</w:t>
            </w:r>
          </w:p>
        </w:tc>
        <w:tc>
          <w:tcPr>
            <w:tcW w:w="964" w:type="dxa"/>
            <w:tcBorders>
              <w:top w:val="single" w:color="000000" w:sz="4" w:space="0"/>
              <w:left w:val="single" w:color="000000" w:sz="4" w:space="0"/>
              <w:bottom w:val="single" w:color="000000" w:sz="4" w:space="0"/>
              <w:right w:val="single" w:color="000000" w:sz="4" w:space="0"/>
            </w:tcBorders>
            <w:vAlign w:val="center"/>
          </w:tcPr>
          <w:p>
            <w:pPr>
              <w:pStyle w:val="46"/>
              <w:widowControl/>
              <w:spacing w:line="420" w:lineRule="exact"/>
              <w:rPr>
                <w:rStyle w:val="42"/>
                <w:rFonts w:ascii="仿宋" w:hAnsi="仿宋" w:eastAsia="仿宋" w:cs="仿宋"/>
                <w:b w:val="0"/>
                <w:color w:val="auto"/>
                <w:kern w:val="0"/>
                <w:sz w:val="24"/>
                <w:highlight w:val="none"/>
              </w:rPr>
            </w:pPr>
            <w:r>
              <w:rPr>
                <w:rStyle w:val="42"/>
                <w:rFonts w:hint="eastAsia" w:ascii="仿宋" w:hAnsi="仿宋" w:eastAsia="仿宋" w:cs="仿宋"/>
                <w:b w:val="0"/>
                <w:color w:val="auto"/>
                <w:kern w:val="0"/>
                <w:sz w:val="24"/>
                <w:highlight w:val="none"/>
              </w:rPr>
              <w:t>1分</w:t>
            </w:r>
          </w:p>
        </w:tc>
        <w:tc>
          <w:tcPr>
            <w:tcW w:w="57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baseline"/>
              <w:rPr>
                <w:rStyle w:val="42"/>
                <w:rFonts w:ascii="仿宋" w:hAnsi="仿宋" w:eastAsia="仿宋" w:cs="仿宋"/>
                <w:color w:val="auto"/>
                <w:kern w:val="0"/>
                <w:sz w:val="24"/>
                <w:highlight w:val="none"/>
              </w:rPr>
            </w:pPr>
            <w:r>
              <w:rPr>
                <w:rStyle w:val="42"/>
                <w:rFonts w:hint="eastAsia" w:ascii="仿宋" w:hAnsi="仿宋" w:eastAsia="仿宋" w:cs="仿宋"/>
                <w:color w:val="auto"/>
                <w:kern w:val="0"/>
                <w:sz w:val="24"/>
                <w:highlight w:val="none"/>
              </w:rPr>
              <w:t>满足招标文件要求得0.5分，优于得1分。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1021" w:type="dxa"/>
            <w:vMerge w:val="continue"/>
            <w:tcBorders>
              <w:top w:val="single" w:color="000000" w:sz="4" w:space="0"/>
              <w:left w:val="single" w:color="000000" w:sz="4" w:space="0"/>
              <w:bottom w:val="single" w:color="000000" w:sz="4" w:space="0"/>
              <w:right w:val="single" w:color="000000" w:sz="4" w:space="0"/>
            </w:tcBorders>
            <w:vAlign w:val="center"/>
          </w:tcPr>
          <w:p>
            <w:pPr>
              <w:pStyle w:val="46"/>
              <w:widowControl/>
              <w:spacing w:line="360" w:lineRule="exact"/>
              <w:ind w:firstLine="480"/>
              <w:rPr>
                <w:rStyle w:val="42"/>
                <w:rFonts w:ascii="仿宋" w:hAnsi="仿宋" w:eastAsia="仿宋" w:cs="仿宋"/>
                <w:b w:val="0"/>
                <w:color w:val="auto"/>
                <w:kern w:val="0"/>
                <w:sz w:val="24"/>
                <w:highlight w:val="none"/>
              </w:rPr>
            </w:pPr>
          </w:p>
        </w:tc>
        <w:tc>
          <w:tcPr>
            <w:tcW w:w="1580" w:type="dxa"/>
            <w:tcBorders>
              <w:top w:val="single" w:color="000000" w:sz="4" w:space="0"/>
              <w:left w:val="single" w:color="000000" w:sz="4" w:space="0"/>
              <w:bottom w:val="single" w:color="000000" w:sz="4" w:space="0"/>
              <w:right w:val="single" w:color="000000" w:sz="4" w:space="0"/>
            </w:tcBorders>
            <w:vAlign w:val="center"/>
          </w:tcPr>
          <w:p>
            <w:pPr>
              <w:pStyle w:val="46"/>
              <w:widowControl/>
              <w:spacing w:line="420" w:lineRule="exact"/>
              <w:rPr>
                <w:rStyle w:val="42"/>
                <w:rFonts w:ascii="仿宋" w:hAnsi="仿宋" w:eastAsia="仿宋" w:cs="仿宋"/>
                <w:b w:val="0"/>
                <w:color w:val="auto"/>
                <w:kern w:val="0"/>
                <w:sz w:val="24"/>
                <w:highlight w:val="none"/>
              </w:rPr>
            </w:pPr>
            <w:r>
              <w:rPr>
                <w:rStyle w:val="42"/>
                <w:rFonts w:hint="eastAsia" w:ascii="仿宋" w:hAnsi="仿宋" w:eastAsia="仿宋" w:cs="仿宋"/>
                <w:b w:val="0"/>
                <w:color w:val="auto"/>
                <w:kern w:val="0"/>
                <w:sz w:val="24"/>
                <w:highlight w:val="none"/>
              </w:rPr>
              <w:t>项目工期</w:t>
            </w:r>
          </w:p>
        </w:tc>
        <w:tc>
          <w:tcPr>
            <w:tcW w:w="964" w:type="dxa"/>
            <w:tcBorders>
              <w:top w:val="single" w:color="000000" w:sz="4" w:space="0"/>
              <w:left w:val="single" w:color="000000" w:sz="4" w:space="0"/>
              <w:bottom w:val="single" w:color="000000" w:sz="4" w:space="0"/>
              <w:right w:val="single" w:color="000000" w:sz="4" w:space="0"/>
            </w:tcBorders>
            <w:vAlign w:val="center"/>
          </w:tcPr>
          <w:p>
            <w:pPr>
              <w:pStyle w:val="46"/>
              <w:widowControl/>
              <w:spacing w:line="420" w:lineRule="exact"/>
              <w:rPr>
                <w:rStyle w:val="42"/>
                <w:rFonts w:ascii="仿宋" w:hAnsi="仿宋" w:eastAsia="仿宋" w:cs="仿宋"/>
                <w:b w:val="0"/>
                <w:color w:val="auto"/>
                <w:kern w:val="0"/>
                <w:sz w:val="24"/>
                <w:highlight w:val="none"/>
              </w:rPr>
            </w:pPr>
            <w:r>
              <w:rPr>
                <w:rStyle w:val="42"/>
                <w:rFonts w:hint="eastAsia" w:ascii="仿宋" w:hAnsi="仿宋" w:eastAsia="仿宋" w:cs="仿宋"/>
                <w:b w:val="0"/>
                <w:color w:val="auto"/>
                <w:kern w:val="0"/>
                <w:sz w:val="24"/>
                <w:highlight w:val="none"/>
              </w:rPr>
              <w:t>1分</w:t>
            </w:r>
          </w:p>
        </w:tc>
        <w:tc>
          <w:tcPr>
            <w:tcW w:w="57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baseline"/>
              <w:rPr>
                <w:rStyle w:val="42"/>
                <w:rFonts w:ascii="仿宋" w:hAnsi="仿宋" w:eastAsia="仿宋" w:cs="仿宋"/>
                <w:color w:val="auto"/>
                <w:kern w:val="0"/>
                <w:sz w:val="24"/>
                <w:highlight w:val="none"/>
              </w:rPr>
            </w:pPr>
            <w:r>
              <w:rPr>
                <w:rStyle w:val="42"/>
                <w:rFonts w:hint="eastAsia" w:ascii="仿宋" w:hAnsi="仿宋" w:eastAsia="仿宋" w:cs="仿宋"/>
                <w:color w:val="auto"/>
                <w:kern w:val="0"/>
                <w:sz w:val="24"/>
                <w:highlight w:val="none"/>
              </w:rPr>
              <w:t>满足招标文件要求得0.5分，优于得1分。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81" w:hRule="atLeast"/>
        </w:trPr>
        <w:tc>
          <w:tcPr>
            <w:tcW w:w="1021" w:type="dxa"/>
            <w:vMerge w:val="continue"/>
            <w:tcBorders>
              <w:top w:val="single" w:color="000000" w:sz="4" w:space="0"/>
              <w:left w:val="single" w:color="000000" w:sz="4" w:space="0"/>
              <w:bottom w:val="single" w:color="000000" w:sz="4" w:space="0"/>
              <w:right w:val="single" w:color="000000" w:sz="4" w:space="0"/>
            </w:tcBorders>
            <w:vAlign w:val="center"/>
          </w:tcPr>
          <w:p>
            <w:pPr>
              <w:pStyle w:val="46"/>
              <w:widowControl/>
              <w:spacing w:line="360" w:lineRule="exact"/>
              <w:ind w:firstLine="480"/>
              <w:rPr>
                <w:rStyle w:val="42"/>
                <w:rFonts w:ascii="仿宋" w:hAnsi="仿宋" w:eastAsia="仿宋" w:cs="仿宋"/>
                <w:b w:val="0"/>
                <w:color w:val="auto"/>
                <w:kern w:val="0"/>
                <w:sz w:val="24"/>
                <w:highlight w:val="none"/>
              </w:rPr>
            </w:pPr>
          </w:p>
        </w:tc>
        <w:tc>
          <w:tcPr>
            <w:tcW w:w="1580" w:type="dxa"/>
            <w:tcBorders>
              <w:top w:val="single" w:color="000000" w:sz="4" w:space="0"/>
              <w:left w:val="single" w:color="000000" w:sz="4" w:space="0"/>
              <w:bottom w:val="single" w:color="000000" w:sz="4" w:space="0"/>
              <w:right w:val="single" w:color="000000" w:sz="4" w:space="0"/>
            </w:tcBorders>
            <w:vAlign w:val="center"/>
          </w:tcPr>
          <w:p>
            <w:pPr>
              <w:pStyle w:val="46"/>
              <w:widowControl/>
              <w:spacing w:line="460" w:lineRule="exact"/>
              <w:rPr>
                <w:rStyle w:val="42"/>
                <w:rFonts w:ascii="仿宋" w:hAnsi="仿宋" w:eastAsia="仿宋" w:cs="仿宋"/>
                <w:b w:val="0"/>
                <w:color w:val="auto"/>
                <w:kern w:val="0"/>
                <w:sz w:val="24"/>
                <w:highlight w:val="none"/>
              </w:rPr>
            </w:pPr>
            <w:r>
              <w:rPr>
                <w:rStyle w:val="42"/>
                <w:rFonts w:hint="eastAsia" w:ascii="仿宋" w:hAnsi="仿宋" w:eastAsia="仿宋" w:cs="仿宋"/>
                <w:b w:val="0"/>
                <w:color w:val="auto"/>
                <w:kern w:val="0"/>
                <w:sz w:val="24"/>
                <w:highlight w:val="none"/>
              </w:rPr>
              <w:t>业绩</w:t>
            </w:r>
          </w:p>
        </w:tc>
        <w:tc>
          <w:tcPr>
            <w:tcW w:w="964" w:type="dxa"/>
            <w:tcBorders>
              <w:top w:val="single" w:color="000000" w:sz="4" w:space="0"/>
              <w:left w:val="single" w:color="000000" w:sz="4" w:space="0"/>
              <w:bottom w:val="single" w:color="000000" w:sz="4" w:space="0"/>
              <w:right w:val="single" w:color="000000" w:sz="4" w:space="0"/>
            </w:tcBorders>
            <w:vAlign w:val="center"/>
          </w:tcPr>
          <w:p>
            <w:pPr>
              <w:pStyle w:val="46"/>
              <w:widowControl/>
              <w:spacing w:line="460" w:lineRule="exact"/>
              <w:rPr>
                <w:rStyle w:val="42"/>
                <w:rFonts w:ascii="仿宋" w:hAnsi="仿宋" w:eastAsia="仿宋" w:cs="仿宋"/>
                <w:b w:val="0"/>
                <w:color w:val="auto"/>
                <w:kern w:val="0"/>
                <w:sz w:val="24"/>
                <w:highlight w:val="none"/>
              </w:rPr>
            </w:pPr>
            <w:r>
              <w:rPr>
                <w:rStyle w:val="42"/>
                <w:rFonts w:hint="eastAsia" w:ascii="仿宋" w:hAnsi="仿宋" w:eastAsia="仿宋" w:cs="仿宋"/>
                <w:b w:val="0"/>
                <w:color w:val="auto"/>
                <w:kern w:val="0"/>
                <w:sz w:val="24"/>
                <w:highlight w:val="none"/>
              </w:rPr>
              <w:t>8分</w:t>
            </w:r>
          </w:p>
        </w:tc>
        <w:tc>
          <w:tcPr>
            <w:tcW w:w="57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baseline"/>
              <w:rPr>
                <w:rStyle w:val="42"/>
                <w:rFonts w:ascii="仿宋" w:hAnsi="仿宋" w:eastAsia="仿宋" w:cs="仿宋"/>
                <w:color w:val="auto"/>
                <w:kern w:val="0"/>
                <w:sz w:val="24"/>
                <w:highlight w:val="none"/>
              </w:rPr>
            </w:pPr>
            <w:r>
              <w:rPr>
                <w:rStyle w:val="42"/>
                <w:rFonts w:hint="eastAsia" w:ascii="仿宋" w:hAnsi="仿宋" w:eastAsia="仿宋" w:cs="仿宋"/>
                <w:color w:val="auto"/>
                <w:kern w:val="0"/>
                <w:sz w:val="24"/>
                <w:highlight w:val="none"/>
                <w:lang w:val="en-US"/>
              </w:rPr>
              <w:t>核心设备</w:t>
            </w:r>
            <w:r>
              <w:rPr>
                <w:rStyle w:val="42"/>
                <w:rFonts w:hint="eastAsia" w:ascii="仿宋" w:hAnsi="仿宋" w:eastAsia="仿宋" w:cs="仿宋"/>
                <w:color w:val="auto"/>
                <w:kern w:val="0"/>
                <w:sz w:val="24"/>
                <w:highlight w:val="none"/>
              </w:rPr>
              <w:t>每提供一份业绩得</w:t>
            </w:r>
            <w:r>
              <w:rPr>
                <w:rStyle w:val="42"/>
                <w:rFonts w:hint="eastAsia" w:ascii="仿宋" w:hAnsi="仿宋" w:eastAsia="仿宋" w:cs="仿宋"/>
                <w:color w:val="auto"/>
                <w:kern w:val="0"/>
                <w:sz w:val="24"/>
                <w:highlight w:val="none"/>
                <w:lang w:val="en-US"/>
              </w:rPr>
              <w:t>2</w:t>
            </w:r>
            <w:r>
              <w:rPr>
                <w:rStyle w:val="42"/>
                <w:rFonts w:hint="eastAsia" w:ascii="仿宋" w:hAnsi="仿宋" w:eastAsia="仿宋" w:cs="仿宋"/>
                <w:color w:val="auto"/>
                <w:kern w:val="0"/>
                <w:sz w:val="24"/>
                <w:highlight w:val="none"/>
              </w:rPr>
              <w:t>分，满分8分。提供业绩证明资料如合同或者中标通知书复印件为准，未提供证明资料或无效的，不计分。</w:t>
            </w:r>
          </w:p>
        </w:tc>
      </w:tr>
    </w:tbl>
    <w:p>
      <w:pPr>
        <w:pStyle w:val="45"/>
        <w:widowControl/>
        <w:spacing w:before="156" w:after="156" w:line="460" w:lineRule="exact"/>
        <w:ind w:firstLine="560"/>
        <w:jc w:val="left"/>
        <w:rPr>
          <w:rStyle w:val="42"/>
          <w:rFonts w:ascii="仿宋" w:hAnsi="仿宋" w:eastAsia="仿宋" w:cs="仿宋"/>
          <w:b w:val="0"/>
          <w:color w:val="auto"/>
          <w:sz w:val="28"/>
          <w:highlight w:val="none"/>
        </w:rPr>
      </w:pPr>
      <w:r>
        <w:rPr>
          <w:rStyle w:val="42"/>
          <w:rFonts w:hint="eastAsia" w:ascii="仿宋" w:hAnsi="仿宋" w:eastAsia="仿宋" w:cs="仿宋"/>
          <w:b w:val="0"/>
          <w:color w:val="auto"/>
          <w:sz w:val="28"/>
          <w:highlight w:val="none"/>
        </w:rPr>
        <w:t>B、技术部分（</w:t>
      </w:r>
      <w:r>
        <w:rPr>
          <w:rStyle w:val="42"/>
          <w:rFonts w:hint="eastAsia" w:ascii="仿宋" w:hAnsi="仿宋" w:eastAsia="仿宋" w:cs="仿宋"/>
          <w:b w:val="0"/>
          <w:color w:val="auto"/>
          <w:sz w:val="24"/>
          <w:highlight w:val="none"/>
        </w:rPr>
        <w:t>60分</w:t>
      </w:r>
      <w:r>
        <w:rPr>
          <w:rStyle w:val="42"/>
          <w:rFonts w:hint="eastAsia" w:ascii="仿宋" w:hAnsi="仿宋" w:eastAsia="仿宋" w:cs="仿宋"/>
          <w:b w:val="0"/>
          <w:color w:val="auto"/>
          <w:sz w:val="28"/>
          <w:highlight w:val="none"/>
        </w:rPr>
        <w:t>）</w:t>
      </w:r>
    </w:p>
    <w:tbl>
      <w:tblPr>
        <w:tblStyle w:val="17"/>
        <w:tblW w:w="92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61"/>
        <w:gridCol w:w="846"/>
        <w:gridCol w:w="5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blHeader/>
          <w:jc w:val="center"/>
        </w:trPr>
        <w:tc>
          <w:tcPr>
            <w:tcW w:w="2761" w:type="dxa"/>
            <w:tcBorders>
              <w:top w:val="single" w:color="000000" w:sz="4" w:space="0"/>
              <w:left w:val="single" w:color="000000" w:sz="4" w:space="0"/>
              <w:bottom w:val="single" w:color="000000" w:sz="4" w:space="0"/>
              <w:right w:val="single" w:color="000000" w:sz="4" w:space="0"/>
            </w:tcBorders>
            <w:vAlign w:val="center"/>
          </w:tcPr>
          <w:p>
            <w:pPr>
              <w:pStyle w:val="46"/>
              <w:widowControl/>
              <w:snapToGrid w:val="0"/>
              <w:rPr>
                <w:rStyle w:val="42"/>
                <w:rFonts w:ascii="仿宋" w:hAnsi="仿宋" w:eastAsia="仿宋" w:cs="仿宋"/>
                <w:b w:val="0"/>
                <w:color w:val="auto"/>
                <w:kern w:val="0"/>
                <w:sz w:val="24"/>
                <w:highlight w:val="none"/>
              </w:rPr>
            </w:pPr>
            <w:r>
              <w:rPr>
                <w:rStyle w:val="42"/>
                <w:rFonts w:hint="eastAsia" w:ascii="仿宋" w:hAnsi="仿宋" w:eastAsia="仿宋" w:cs="仿宋"/>
                <w:b w:val="0"/>
                <w:color w:val="auto"/>
                <w:kern w:val="0"/>
                <w:sz w:val="24"/>
                <w:highlight w:val="none"/>
              </w:rPr>
              <w:t>评审项目</w:t>
            </w:r>
          </w:p>
        </w:tc>
        <w:tc>
          <w:tcPr>
            <w:tcW w:w="846" w:type="dxa"/>
            <w:tcBorders>
              <w:top w:val="single" w:color="000000" w:sz="4" w:space="0"/>
              <w:left w:val="single" w:color="000000" w:sz="4" w:space="0"/>
              <w:bottom w:val="single" w:color="000000" w:sz="4" w:space="0"/>
              <w:right w:val="single" w:color="000000" w:sz="4" w:space="0"/>
            </w:tcBorders>
            <w:vAlign w:val="center"/>
          </w:tcPr>
          <w:p>
            <w:pPr>
              <w:pStyle w:val="46"/>
              <w:widowControl/>
              <w:snapToGrid w:val="0"/>
              <w:rPr>
                <w:rStyle w:val="42"/>
                <w:rFonts w:ascii="仿宋" w:hAnsi="仿宋" w:eastAsia="仿宋" w:cs="仿宋"/>
                <w:b w:val="0"/>
                <w:color w:val="auto"/>
                <w:kern w:val="0"/>
                <w:sz w:val="24"/>
                <w:highlight w:val="none"/>
              </w:rPr>
            </w:pPr>
            <w:r>
              <w:rPr>
                <w:rStyle w:val="42"/>
                <w:rFonts w:hint="eastAsia" w:ascii="仿宋" w:hAnsi="仿宋" w:eastAsia="仿宋" w:cs="仿宋"/>
                <w:b w:val="0"/>
                <w:color w:val="auto"/>
                <w:kern w:val="0"/>
                <w:sz w:val="24"/>
                <w:highlight w:val="none"/>
              </w:rPr>
              <w:t>分值</w:t>
            </w:r>
          </w:p>
        </w:tc>
        <w:tc>
          <w:tcPr>
            <w:tcW w:w="5657" w:type="dxa"/>
            <w:tcBorders>
              <w:top w:val="single" w:color="000000" w:sz="4" w:space="0"/>
              <w:left w:val="single" w:color="000000" w:sz="4" w:space="0"/>
              <w:bottom w:val="single" w:color="000000" w:sz="4" w:space="0"/>
              <w:right w:val="single" w:color="000000" w:sz="4" w:space="0"/>
            </w:tcBorders>
            <w:vAlign w:val="center"/>
          </w:tcPr>
          <w:p>
            <w:pPr>
              <w:pStyle w:val="46"/>
              <w:widowControl/>
              <w:snapToGrid w:val="0"/>
              <w:rPr>
                <w:rStyle w:val="42"/>
                <w:rFonts w:ascii="仿宋" w:hAnsi="仿宋" w:eastAsia="仿宋" w:cs="仿宋"/>
                <w:b w:val="0"/>
                <w:color w:val="auto"/>
                <w:kern w:val="0"/>
                <w:sz w:val="24"/>
                <w:highlight w:val="none"/>
              </w:rPr>
            </w:pPr>
            <w:r>
              <w:rPr>
                <w:rStyle w:val="42"/>
                <w:rFonts w:hint="eastAsia" w:ascii="仿宋" w:hAnsi="仿宋" w:eastAsia="仿宋" w:cs="仿宋"/>
                <w:b w:val="0"/>
                <w:color w:val="auto"/>
                <w:kern w:val="0"/>
                <w:sz w:val="24"/>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2761" w:type="dxa"/>
            <w:tcBorders>
              <w:top w:val="single" w:color="000000" w:sz="4" w:space="0"/>
              <w:left w:val="single" w:color="000000" w:sz="4" w:space="0"/>
              <w:bottom w:val="single" w:color="000000" w:sz="4" w:space="0"/>
              <w:right w:val="single" w:color="000000" w:sz="4" w:space="0"/>
            </w:tcBorders>
            <w:vAlign w:val="center"/>
          </w:tcPr>
          <w:p>
            <w:pPr>
              <w:pStyle w:val="46"/>
              <w:widowControl/>
              <w:snapToGrid w:val="0"/>
              <w:rPr>
                <w:rStyle w:val="42"/>
                <w:rFonts w:ascii="仿宋" w:hAnsi="仿宋" w:eastAsia="仿宋" w:cs="仿宋"/>
                <w:b w:val="0"/>
                <w:color w:val="auto"/>
                <w:kern w:val="0"/>
                <w:sz w:val="24"/>
                <w:highlight w:val="none"/>
              </w:rPr>
            </w:pPr>
            <w:r>
              <w:rPr>
                <w:rStyle w:val="42"/>
                <w:rFonts w:hint="eastAsia" w:ascii="仿宋" w:hAnsi="仿宋" w:eastAsia="仿宋" w:cs="仿宋"/>
                <w:b w:val="0"/>
                <w:color w:val="auto"/>
                <w:kern w:val="0"/>
                <w:sz w:val="24"/>
                <w:highlight w:val="none"/>
              </w:rPr>
              <w:t>技术参数响应</w:t>
            </w:r>
          </w:p>
        </w:tc>
        <w:tc>
          <w:tcPr>
            <w:tcW w:w="846" w:type="dxa"/>
            <w:tcBorders>
              <w:top w:val="single" w:color="000000" w:sz="4" w:space="0"/>
              <w:left w:val="single" w:color="000000" w:sz="4" w:space="0"/>
              <w:bottom w:val="single" w:color="000000" w:sz="4" w:space="0"/>
              <w:right w:val="single" w:color="000000" w:sz="4" w:space="0"/>
            </w:tcBorders>
            <w:vAlign w:val="center"/>
          </w:tcPr>
          <w:p>
            <w:pPr>
              <w:pStyle w:val="46"/>
              <w:widowControl/>
              <w:snapToGrid w:val="0"/>
              <w:rPr>
                <w:rStyle w:val="42"/>
                <w:rFonts w:ascii="仿宋" w:hAnsi="仿宋" w:eastAsia="仿宋" w:cs="仿宋"/>
                <w:b w:val="0"/>
                <w:color w:val="auto"/>
                <w:kern w:val="0"/>
                <w:sz w:val="24"/>
                <w:highlight w:val="none"/>
              </w:rPr>
            </w:pPr>
            <w:r>
              <w:rPr>
                <w:rStyle w:val="42"/>
                <w:rFonts w:hint="eastAsia" w:ascii="仿宋" w:hAnsi="仿宋" w:eastAsia="仿宋" w:cs="仿宋"/>
                <w:b w:val="0"/>
                <w:color w:val="auto"/>
                <w:kern w:val="0"/>
                <w:sz w:val="24"/>
                <w:highlight w:val="none"/>
              </w:rPr>
              <w:t>30分</w:t>
            </w:r>
          </w:p>
        </w:tc>
        <w:tc>
          <w:tcPr>
            <w:tcW w:w="565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baseline"/>
              <w:rPr>
                <w:rStyle w:val="42"/>
                <w:rFonts w:ascii="仿宋" w:hAnsi="仿宋" w:eastAsia="仿宋" w:cs="仿宋"/>
                <w:bCs/>
                <w:color w:val="auto"/>
                <w:kern w:val="0"/>
                <w:sz w:val="24"/>
                <w:highlight w:val="none"/>
              </w:rPr>
            </w:pPr>
            <w:r>
              <w:rPr>
                <w:rStyle w:val="42"/>
                <w:rFonts w:hint="eastAsia" w:ascii="仿宋" w:hAnsi="仿宋" w:eastAsia="仿宋" w:cs="仿宋"/>
                <w:color w:val="auto"/>
                <w:kern w:val="0"/>
                <w:sz w:val="24"/>
                <w:highlight w:val="none"/>
                <w:lang w:val="en-US"/>
              </w:rPr>
              <w:t>核心设备</w:t>
            </w:r>
            <w:r>
              <w:rPr>
                <w:rStyle w:val="42"/>
                <w:rFonts w:hint="eastAsia" w:ascii="仿宋" w:hAnsi="仿宋" w:eastAsia="仿宋" w:cs="仿宋"/>
                <w:bCs/>
                <w:color w:val="auto"/>
                <w:kern w:val="0"/>
                <w:sz w:val="24"/>
                <w:highlight w:val="none"/>
              </w:rPr>
              <w:t>技术参数满足招标文件要求的得30分；技术条款每偏离一条扣除2分，最低得0分，最高得30分。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2761" w:type="dxa"/>
            <w:tcBorders>
              <w:top w:val="single" w:color="000000" w:sz="4" w:space="0"/>
              <w:left w:val="single" w:color="000000" w:sz="4" w:space="0"/>
              <w:bottom w:val="single" w:color="000000" w:sz="4" w:space="0"/>
              <w:right w:val="single" w:color="000000" w:sz="4" w:space="0"/>
            </w:tcBorders>
            <w:vAlign w:val="center"/>
          </w:tcPr>
          <w:p>
            <w:pPr>
              <w:pStyle w:val="46"/>
              <w:widowControl/>
              <w:snapToGrid w:val="0"/>
              <w:rPr>
                <w:rStyle w:val="42"/>
                <w:rFonts w:ascii="仿宋" w:hAnsi="仿宋" w:eastAsia="仿宋" w:cs="仿宋"/>
                <w:b w:val="0"/>
                <w:color w:val="auto"/>
                <w:kern w:val="0"/>
                <w:sz w:val="24"/>
                <w:highlight w:val="none"/>
              </w:rPr>
            </w:pPr>
            <w:r>
              <w:rPr>
                <w:rStyle w:val="42"/>
                <w:rFonts w:hint="eastAsia" w:ascii="仿宋" w:hAnsi="仿宋" w:eastAsia="仿宋" w:cs="仿宋"/>
                <w:b w:val="0"/>
                <w:color w:val="auto"/>
                <w:kern w:val="0"/>
                <w:sz w:val="24"/>
                <w:highlight w:val="none"/>
              </w:rPr>
              <w:t>技术支持资料</w:t>
            </w:r>
          </w:p>
        </w:tc>
        <w:tc>
          <w:tcPr>
            <w:tcW w:w="846" w:type="dxa"/>
            <w:tcBorders>
              <w:top w:val="single" w:color="000000" w:sz="4" w:space="0"/>
              <w:left w:val="single" w:color="000000" w:sz="4" w:space="0"/>
              <w:bottom w:val="single" w:color="000000" w:sz="4" w:space="0"/>
              <w:right w:val="single" w:color="000000" w:sz="4" w:space="0"/>
            </w:tcBorders>
            <w:vAlign w:val="center"/>
          </w:tcPr>
          <w:p>
            <w:pPr>
              <w:pStyle w:val="46"/>
              <w:widowControl/>
              <w:snapToGrid w:val="0"/>
              <w:rPr>
                <w:rStyle w:val="42"/>
                <w:rFonts w:ascii="仿宋" w:hAnsi="仿宋" w:eastAsia="仿宋" w:cs="仿宋"/>
                <w:b w:val="0"/>
                <w:color w:val="auto"/>
                <w:kern w:val="0"/>
                <w:sz w:val="24"/>
                <w:highlight w:val="none"/>
              </w:rPr>
            </w:pPr>
            <w:r>
              <w:rPr>
                <w:rStyle w:val="42"/>
                <w:rFonts w:hint="eastAsia" w:ascii="仿宋" w:hAnsi="仿宋" w:eastAsia="仿宋" w:cs="仿宋"/>
                <w:b w:val="0"/>
                <w:color w:val="auto"/>
                <w:kern w:val="0"/>
                <w:sz w:val="24"/>
                <w:highlight w:val="none"/>
              </w:rPr>
              <w:t>12分</w:t>
            </w:r>
          </w:p>
        </w:tc>
        <w:tc>
          <w:tcPr>
            <w:tcW w:w="565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baseline"/>
              <w:rPr>
                <w:rStyle w:val="42"/>
                <w:rFonts w:ascii="仿宋" w:hAnsi="仿宋" w:eastAsia="仿宋" w:cs="仿宋"/>
                <w:bCs/>
                <w:color w:val="auto"/>
                <w:kern w:val="0"/>
                <w:sz w:val="24"/>
                <w:highlight w:val="none"/>
              </w:rPr>
            </w:pPr>
            <w:r>
              <w:rPr>
                <w:rStyle w:val="42"/>
                <w:rFonts w:hint="eastAsia" w:ascii="仿宋" w:hAnsi="仿宋" w:eastAsia="仿宋" w:cs="仿宋"/>
                <w:color w:val="auto"/>
                <w:kern w:val="0"/>
                <w:sz w:val="24"/>
                <w:highlight w:val="none"/>
                <w:lang w:val="en-US"/>
              </w:rPr>
              <w:t>核心设备</w:t>
            </w:r>
            <w:r>
              <w:rPr>
                <w:rStyle w:val="42"/>
                <w:rFonts w:hint="eastAsia" w:ascii="仿宋" w:hAnsi="仿宋" w:eastAsia="仿宋" w:cs="仿宋"/>
                <w:bCs/>
                <w:color w:val="auto"/>
                <w:kern w:val="0"/>
                <w:sz w:val="24"/>
                <w:highlight w:val="none"/>
              </w:rPr>
              <w:t>有技术支持资料的得12分，无技术支持资料的不得分。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276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baseline"/>
              <w:rPr>
                <w:rStyle w:val="42"/>
                <w:rFonts w:ascii="仿宋" w:hAnsi="仿宋" w:eastAsia="仿宋" w:cs="仿宋"/>
                <w:color w:val="auto"/>
                <w:kern w:val="0"/>
                <w:sz w:val="24"/>
                <w:highlight w:val="none"/>
              </w:rPr>
            </w:pPr>
            <w:r>
              <w:rPr>
                <w:rStyle w:val="42"/>
                <w:rFonts w:hint="eastAsia" w:ascii="仿宋" w:hAnsi="仿宋" w:eastAsia="仿宋" w:cs="仿宋"/>
                <w:color w:val="auto"/>
                <w:kern w:val="0"/>
                <w:sz w:val="24"/>
                <w:highlight w:val="none"/>
              </w:rPr>
              <w:t>授权文件</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baseline"/>
              <w:rPr>
                <w:rStyle w:val="42"/>
                <w:rFonts w:ascii="仿宋" w:hAnsi="仿宋" w:eastAsia="仿宋" w:cs="仿宋"/>
                <w:color w:val="auto"/>
                <w:kern w:val="0"/>
                <w:sz w:val="24"/>
                <w:highlight w:val="none"/>
              </w:rPr>
            </w:pPr>
            <w:r>
              <w:rPr>
                <w:rStyle w:val="42"/>
                <w:rFonts w:hint="eastAsia" w:ascii="仿宋" w:hAnsi="仿宋" w:eastAsia="仿宋" w:cs="仿宋"/>
                <w:color w:val="auto"/>
                <w:kern w:val="0"/>
                <w:sz w:val="24"/>
                <w:highlight w:val="none"/>
              </w:rPr>
              <w:t>6分</w:t>
            </w:r>
          </w:p>
        </w:tc>
        <w:tc>
          <w:tcPr>
            <w:tcW w:w="5657" w:type="dxa"/>
            <w:tcBorders>
              <w:top w:val="single" w:color="000000" w:sz="4" w:space="0"/>
              <w:left w:val="single" w:color="000000" w:sz="4" w:space="0"/>
              <w:bottom w:val="single" w:color="000000" w:sz="4" w:space="0"/>
              <w:right w:val="single" w:color="000000" w:sz="4" w:space="0"/>
            </w:tcBorders>
          </w:tcPr>
          <w:p>
            <w:pPr>
              <w:widowControl/>
              <w:spacing w:line="360" w:lineRule="exact"/>
              <w:jc w:val="left"/>
              <w:textAlignment w:val="baseline"/>
              <w:rPr>
                <w:rStyle w:val="42"/>
                <w:rFonts w:ascii="仿宋" w:hAnsi="仿宋" w:eastAsia="仿宋" w:cs="仿宋"/>
                <w:color w:val="auto"/>
                <w:kern w:val="0"/>
                <w:sz w:val="24"/>
                <w:highlight w:val="none"/>
              </w:rPr>
            </w:pPr>
            <w:r>
              <w:rPr>
                <w:rStyle w:val="42"/>
                <w:rFonts w:hint="eastAsia" w:ascii="仿宋" w:hAnsi="仿宋" w:eastAsia="仿宋" w:cs="仿宋"/>
                <w:color w:val="auto"/>
                <w:kern w:val="0"/>
                <w:sz w:val="24"/>
                <w:highlight w:val="none"/>
                <w:lang w:val="en-US"/>
              </w:rPr>
              <w:t>核心设备</w:t>
            </w:r>
            <w:r>
              <w:rPr>
                <w:rStyle w:val="42"/>
                <w:rFonts w:hint="eastAsia" w:ascii="仿宋" w:hAnsi="仿宋" w:eastAsia="仿宋" w:cs="仿宋"/>
                <w:color w:val="auto"/>
                <w:kern w:val="0"/>
                <w:sz w:val="24"/>
                <w:highlight w:val="none"/>
              </w:rPr>
              <w:t>有针对本项目的唯一授权文件的得6分，没有的不得分。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 w:hRule="atLeast"/>
          <w:jc w:val="center"/>
        </w:trPr>
        <w:tc>
          <w:tcPr>
            <w:tcW w:w="276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baseline"/>
              <w:rPr>
                <w:rStyle w:val="42"/>
                <w:rFonts w:ascii="仿宋" w:hAnsi="仿宋" w:eastAsia="仿宋" w:cs="仿宋"/>
                <w:color w:val="auto"/>
                <w:kern w:val="0"/>
                <w:sz w:val="24"/>
                <w:highlight w:val="none"/>
              </w:rPr>
            </w:pPr>
            <w:r>
              <w:rPr>
                <w:rStyle w:val="42"/>
                <w:rFonts w:hint="eastAsia" w:ascii="仿宋" w:hAnsi="仿宋" w:eastAsia="仿宋" w:cs="仿宋"/>
                <w:color w:val="auto"/>
                <w:kern w:val="0"/>
                <w:sz w:val="24"/>
                <w:highlight w:val="none"/>
              </w:rPr>
              <w:t>投标产品配置情况</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baseline"/>
              <w:rPr>
                <w:rStyle w:val="42"/>
                <w:rFonts w:ascii="仿宋" w:hAnsi="仿宋" w:eastAsia="仿宋" w:cs="仿宋"/>
                <w:color w:val="auto"/>
                <w:kern w:val="0"/>
                <w:sz w:val="24"/>
                <w:highlight w:val="none"/>
              </w:rPr>
            </w:pPr>
            <w:r>
              <w:rPr>
                <w:rStyle w:val="42"/>
                <w:rFonts w:hint="eastAsia" w:ascii="仿宋" w:hAnsi="仿宋" w:eastAsia="仿宋" w:cs="仿宋"/>
                <w:color w:val="auto"/>
                <w:kern w:val="0"/>
                <w:sz w:val="24"/>
                <w:highlight w:val="none"/>
              </w:rPr>
              <w:t>2分</w:t>
            </w:r>
          </w:p>
        </w:tc>
        <w:tc>
          <w:tcPr>
            <w:tcW w:w="5657" w:type="dxa"/>
            <w:tcBorders>
              <w:top w:val="single" w:color="000000" w:sz="4" w:space="0"/>
              <w:left w:val="single" w:color="000000" w:sz="4" w:space="0"/>
              <w:bottom w:val="single" w:color="000000" w:sz="4" w:space="0"/>
              <w:right w:val="single" w:color="000000" w:sz="4" w:space="0"/>
            </w:tcBorders>
          </w:tcPr>
          <w:p>
            <w:pPr>
              <w:widowControl/>
              <w:spacing w:line="360" w:lineRule="exact"/>
              <w:jc w:val="left"/>
              <w:textAlignment w:val="baseline"/>
              <w:rPr>
                <w:rStyle w:val="42"/>
                <w:rFonts w:ascii="仿宋" w:hAnsi="仿宋" w:eastAsia="仿宋" w:cs="仿宋"/>
                <w:color w:val="auto"/>
                <w:kern w:val="0"/>
                <w:sz w:val="24"/>
                <w:highlight w:val="none"/>
              </w:rPr>
            </w:pPr>
            <w:r>
              <w:rPr>
                <w:rStyle w:val="42"/>
                <w:rFonts w:hint="eastAsia" w:ascii="仿宋" w:hAnsi="仿宋" w:eastAsia="仿宋" w:cs="仿宋"/>
                <w:color w:val="auto"/>
                <w:kern w:val="0"/>
                <w:sz w:val="24"/>
                <w:highlight w:val="none"/>
                <w:lang w:val="en-US"/>
              </w:rPr>
              <w:t>核心设备</w:t>
            </w:r>
            <w:r>
              <w:rPr>
                <w:rStyle w:val="42"/>
                <w:rFonts w:hint="eastAsia" w:ascii="仿宋" w:hAnsi="仿宋" w:eastAsia="仿宋" w:cs="仿宋"/>
                <w:color w:val="auto"/>
                <w:kern w:val="0"/>
                <w:sz w:val="24"/>
                <w:highlight w:val="none"/>
              </w:rPr>
              <w:t>配置最匹配投标产品技术参数的得2分，一般的得1分，差的得0分。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 w:hRule="atLeast"/>
          <w:jc w:val="center"/>
        </w:trPr>
        <w:tc>
          <w:tcPr>
            <w:tcW w:w="2761"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baseline"/>
              <w:rPr>
                <w:rStyle w:val="42"/>
                <w:rFonts w:ascii="仿宋" w:hAnsi="仿宋" w:eastAsia="仿宋" w:cs="仿宋"/>
                <w:color w:val="auto"/>
                <w:kern w:val="0"/>
                <w:sz w:val="24"/>
                <w:highlight w:val="none"/>
              </w:rPr>
            </w:pPr>
            <w:r>
              <w:rPr>
                <w:rStyle w:val="42"/>
                <w:rFonts w:hint="eastAsia" w:ascii="仿宋" w:hAnsi="仿宋" w:eastAsia="仿宋" w:cs="仿宋"/>
                <w:color w:val="auto"/>
                <w:kern w:val="0"/>
                <w:sz w:val="24"/>
                <w:highlight w:val="none"/>
              </w:rPr>
              <w:t>投标产品、设备的可靠性、稳定性</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baseline"/>
              <w:rPr>
                <w:rStyle w:val="42"/>
                <w:rFonts w:ascii="仿宋" w:hAnsi="仿宋" w:eastAsia="仿宋" w:cs="仿宋"/>
                <w:color w:val="auto"/>
                <w:kern w:val="0"/>
                <w:sz w:val="24"/>
                <w:highlight w:val="none"/>
              </w:rPr>
            </w:pPr>
            <w:r>
              <w:rPr>
                <w:rStyle w:val="42"/>
                <w:rFonts w:hint="eastAsia" w:ascii="仿宋" w:hAnsi="仿宋" w:eastAsia="仿宋" w:cs="仿宋"/>
                <w:color w:val="auto"/>
                <w:kern w:val="0"/>
                <w:sz w:val="24"/>
                <w:highlight w:val="none"/>
              </w:rPr>
              <w:t>2分</w:t>
            </w:r>
          </w:p>
        </w:tc>
        <w:tc>
          <w:tcPr>
            <w:tcW w:w="565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both"/>
              <w:textAlignment w:val="baseline"/>
              <w:rPr>
                <w:rStyle w:val="42"/>
                <w:rFonts w:ascii="仿宋" w:hAnsi="仿宋" w:eastAsia="仿宋" w:cs="仿宋"/>
                <w:color w:val="auto"/>
                <w:kern w:val="0"/>
                <w:sz w:val="24"/>
                <w:highlight w:val="none"/>
              </w:rPr>
            </w:pPr>
            <w:r>
              <w:rPr>
                <w:rStyle w:val="42"/>
                <w:rFonts w:hint="eastAsia" w:ascii="仿宋" w:hAnsi="仿宋" w:eastAsia="仿宋" w:cs="仿宋"/>
                <w:color w:val="auto"/>
                <w:kern w:val="0"/>
                <w:sz w:val="24"/>
                <w:highlight w:val="none"/>
                <w:lang w:val="en-US"/>
              </w:rPr>
              <w:t>核心设备</w:t>
            </w:r>
            <w:r>
              <w:rPr>
                <w:rStyle w:val="42"/>
                <w:rFonts w:hint="eastAsia" w:ascii="仿宋" w:hAnsi="仿宋" w:eastAsia="仿宋" w:cs="仿宋"/>
                <w:color w:val="auto"/>
                <w:kern w:val="0"/>
                <w:sz w:val="24"/>
                <w:highlight w:val="none"/>
              </w:rPr>
              <w:t>可靠性、稳定性最匹配技术参数的投标产品得2分，一般的得1分，差的得0分。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 w:hRule="atLeast"/>
          <w:jc w:val="center"/>
        </w:trPr>
        <w:tc>
          <w:tcPr>
            <w:tcW w:w="2761"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baseline"/>
              <w:rPr>
                <w:rStyle w:val="42"/>
                <w:rFonts w:ascii="仿宋" w:hAnsi="仿宋" w:eastAsia="仿宋" w:cs="仿宋"/>
                <w:color w:val="auto"/>
                <w:kern w:val="0"/>
                <w:sz w:val="24"/>
                <w:highlight w:val="none"/>
              </w:rPr>
            </w:pPr>
            <w:r>
              <w:rPr>
                <w:rStyle w:val="42"/>
                <w:rFonts w:hint="eastAsia" w:ascii="仿宋" w:hAnsi="仿宋" w:eastAsia="仿宋" w:cs="仿宋"/>
                <w:color w:val="auto"/>
                <w:kern w:val="0"/>
                <w:sz w:val="24"/>
                <w:highlight w:val="none"/>
              </w:rPr>
              <w:t>施工平面图纸根据所投产品及现场实际情况进行二次合理施工深化设计</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baseline"/>
              <w:rPr>
                <w:rStyle w:val="42"/>
                <w:rFonts w:ascii="仿宋" w:hAnsi="仿宋" w:eastAsia="仿宋" w:cs="仿宋"/>
                <w:color w:val="auto"/>
                <w:kern w:val="0"/>
                <w:sz w:val="24"/>
                <w:highlight w:val="none"/>
              </w:rPr>
            </w:pPr>
            <w:r>
              <w:rPr>
                <w:rStyle w:val="42"/>
                <w:rFonts w:hint="eastAsia" w:ascii="仿宋" w:hAnsi="仿宋" w:eastAsia="仿宋" w:cs="仿宋"/>
                <w:color w:val="auto"/>
                <w:kern w:val="0"/>
                <w:sz w:val="24"/>
                <w:highlight w:val="none"/>
              </w:rPr>
              <w:t>6分</w:t>
            </w:r>
          </w:p>
        </w:tc>
        <w:tc>
          <w:tcPr>
            <w:tcW w:w="565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both"/>
              <w:textAlignment w:val="baseline"/>
              <w:rPr>
                <w:rStyle w:val="42"/>
                <w:rFonts w:ascii="仿宋" w:hAnsi="仿宋" w:eastAsia="仿宋" w:cs="仿宋"/>
                <w:color w:val="auto"/>
                <w:kern w:val="0"/>
                <w:sz w:val="24"/>
                <w:highlight w:val="none"/>
              </w:rPr>
            </w:pPr>
            <w:r>
              <w:rPr>
                <w:rStyle w:val="42"/>
                <w:rFonts w:hint="eastAsia" w:ascii="仿宋" w:hAnsi="仿宋" w:eastAsia="仿宋" w:cs="仿宋"/>
                <w:color w:val="auto"/>
                <w:kern w:val="0"/>
                <w:sz w:val="24"/>
                <w:highlight w:val="none"/>
              </w:rPr>
              <w:t>二次深化设计图纸合理、清晰，符合业主要求的得6分;一般得4分，差的不得分。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276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baseline"/>
              <w:rPr>
                <w:rStyle w:val="42"/>
                <w:rFonts w:ascii="仿宋" w:hAnsi="仿宋" w:eastAsia="仿宋" w:cs="仿宋"/>
                <w:color w:val="auto"/>
                <w:kern w:val="0"/>
                <w:sz w:val="24"/>
                <w:highlight w:val="none"/>
              </w:rPr>
            </w:pPr>
            <w:r>
              <w:rPr>
                <w:rStyle w:val="42"/>
                <w:rFonts w:hint="eastAsia" w:ascii="仿宋" w:hAnsi="仿宋" w:eastAsia="仿宋" w:cs="仿宋"/>
                <w:color w:val="auto"/>
                <w:kern w:val="0"/>
                <w:sz w:val="24"/>
                <w:highlight w:val="none"/>
              </w:rPr>
              <w:t>售后服务</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baseline"/>
              <w:rPr>
                <w:rStyle w:val="42"/>
                <w:rFonts w:ascii="仿宋" w:hAnsi="仿宋" w:eastAsia="仿宋" w:cs="仿宋"/>
                <w:color w:val="auto"/>
                <w:kern w:val="0"/>
                <w:sz w:val="24"/>
                <w:highlight w:val="none"/>
              </w:rPr>
            </w:pPr>
            <w:r>
              <w:rPr>
                <w:rStyle w:val="42"/>
                <w:rFonts w:hint="eastAsia" w:ascii="仿宋" w:hAnsi="仿宋" w:eastAsia="仿宋" w:cs="仿宋"/>
                <w:color w:val="auto"/>
                <w:kern w:val="0"/>
                <w:sz w:val="24"/>
                <w:highlight w:val="none"/>
              </w:rPr>
              <w:t>2分</w:t>
            </w:r>
          </w:p>
        </w:tc>
        <w:tc>
          <w:tcPr>
            <w:tcW w:w="565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baseline"/>
              <w:rPr>
                <w:rStyle w:val="42"/>
                <w:rFonts w:ascii="仿宋" w:hAnsi="仿宋" w:eastAsia="仿宋" w:cs="仿宋"/>
                <w:color w:val="auto"/>
                <w:kern w:val="0"/>
                <w:sz w:val="24"/>
                <w:highlight w:val="none"/>
              </w:rPr>
            </w:pPr>
            <w:r>
              <w:rPr>
                <w:rStyle w:val="42"/>
                <w:rFonts w:hint="eastAsia" w:ascii="仿宋" w:hAnsi="仿宋" w:eastAsia="仿宋" w:cs="仿宋"/>
                <w:color w:val="auto"/>
                <w:kern w:val="0"/>
                <w:sz w:val="24"/>
                <w:highlight w:val="none"/>
              </w:rPr>
              <w:t>生产厂家须有在中国设立经工商注册的售后服务机构，在投标文件中提供营业执照复印件并加盖投标企业公章的得2分，未提供的不得分。</w:t>
            </w:r>
          </w:p>
        </w:tc>
      </w:tr>
    </w:tbl>
    <w:p>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23.8.2.1  对于商务部分（投标报价）的评分，按以下方法进行：价格分统一采用低价优先法计算，即满足招标文件要求且评标价格最低的报价为评标基准价，其价格分为满分。其他供应商的价格分统一按照下列公式计算：</w:t>
      </w:r>
    </w:p>
    <w:p>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报价得分=(评标基准价／评标价格)×30%×100</w:t>
      </w:r>
    </w:p>
    <w:p>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评标价格=供应商的投标报价（经算数性修正的）-政府采购政策优惠价格扣除。</w:t>
      </w:r>
    </w:p>
    <w:p>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本项目将对小型和微型企业产品的价格给予10%的扣除，用扣除后的价格参与评审打分。</w:t>
      </w:r>
    </w:p>
    <w:p>
      <w:pPr>
        <w:adjustRightInd w:val="0"/>
        <w:snapToGrid w:val="0"/>
        <w:spacing w:line="54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若供应商和小微企业产品/服务制造商均符合小微企业条件，并且提供了《中小企业声明函》及加盖单位公章的声明函附件（须说明供应商和产品制造商的从业人员、营业收入、资产总额等相关情况）的，则其评标价格=供应商报价中属于小型和微型企业产品的价格部分×（100%-10%）+供应商报价中不属于小型和微型企业产品的价格部分；否则，其评标价=投标报价。</w:t>
      </w:r>
    </w:p>
    <w:p>
      <w:pPr>
        <w:adjustRightInd w:val="0"/>
        <w:snapToGrid w:val="0"/>
        <w:spacing w:line="54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highlight w:val="none"/>
        </w:rPr>
        <w:t>23.8.2.2  在价格评审中，</w:t>
      </w:r>
      <w:r>
        <w:rPr>
          <w:rFonts w:hint="eastAsia" w:ascii="仿宋" w:hAnsi="仿宋" w:eastAsia="仿宋" w:cs="仿宋"/>
          <w:b/>
          <w:color w:val="auto"/>
          <w:sz w:val="28"/>
          <w:szCs w:val="28"/>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pStyle w:val="28"/>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23.8.2.3 在技术评审中，应当考虑设备的技术参数响应情况、设备技术水平、工艺水平等因素，以及设备的功能性、整体配套性、经济性、先进性、稳定性等因素；设备故障率情况及故障响应时间等因素；售后服务应当考虑其服务的承诺内容、具体措施及其可行性等因素；业绩应当考虑</w:t>
      </w:r>
      <w:r>
        <w:rPr>
          <w:rFonts w:hint="eastAsia" w:ascii="仿宋" w:hAnsi="仿宋" w:eastAsia="仿宋" w:cs="仿宋"/>
          <w:bCs/>
          <w:color w:val="auto"/>
          <w:sz w:val="28"/>
          <w:highlight w:val="none"/>
        </w:rPr>
        <w:t>投标产品近三年相同产品销售业绩</w:t>
      </w:r>
      <w:r>
        <w:rPr>
          <w:rFonts w:hint="eastAsia" w:ascii="仿宋" w:hAnsi="仿宋" w:eastAsia="仿宋" w:cs="仿宋"/>
          <w:color w:val="auto"/>
          <w:sz w:val="28"/>
          <w:highlight w:val="none"/>
        </w:rPr>
        <w:t>，以确定供应商</w:t>
      </w:r>
      <w:r>
        <w:rPr>
          <w:rFonts w:hint="eastAsia" w:ascii="仿宋" w:hAnsi="仿宋" w:eastAsia="仿宋" w:cs="仿宋"/>
          <w:bCs/>
          <w:color w:val="auto"/>
          <w:sz w:val="28"/>
          <w:highlight w:val="none"/>
        </w:rPr>
        <w:t>相同</w:t>
      </w:r>
      <w:r>
        <w:rPr>
          <w:rFonts w:hint="eastAsia" w:ascii="仿宋" w:hAnsi="仿宋" w:eastAsia="仿宋" w:cs="仿宋"/>
          <w:color w:val="auto"/>
          <w:sz w:val="28"/>
          <w:highlight w:val="none"/>
        </w:rPr>
        <w:t>设备的供货经验及组织管理能力等。</w:t>
      </w:r>
    </w:p>
    <w:p>
      <w:pPr>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涉及政府采购政策优惠的，按投标须知前附表规定调整供应商的技术、价格得分或总得分。</w:t>
      </w:r>
    </w:p>
    <w:p>
      <w:pPr>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涉及多处获得政府采购政策优惠的，涉及调整得分的，按规定调整得分；涉及调整价格的，按规定调整价格。</w:t>
      </w:r>
    </w:p>
    <w:p>
      <w:pPr>
        <w:spacing w:line="520" w:lineRule="exact"/>
        <w:ind w:firstLine="560" w:firstLineChars="200"/>
        <w:rPr>
          <w:rFonts w:ascii="仿宋" w:hAnsi="仿宋" w:eastAsia="仿宋" w:cs="仿宋"/>
          <w:b/>
          <w:color w:val="auto"/>
          <w:sz w:val="28"/>
          <w:highlight w:val="none"/>
        </w:rPr>
      </w:pPr>
      <w:r>
        <w:rPr>
          <w:rFonts w:hint="eastAsia" w:ascii="仿宋" w:hAnsi="仿宋" w:eastAsia="仿宋" w:cs="仿宋"/>
          <w:b/>
          <w:color w:val="auto"/>
          <w:sz w:val="28"/>
          <w:highlight w:val="none"/>
        </w:rPr>
        <w:t>23.8.2.4  节能、环境标志产品评审优惠内容及加分幅度：</w:t>
      </w:r>
    </w:p>
    <w:p>
      <w:pPr>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根据《国务院办公厅关于建立政府强制采购节能产品制度的通知》（国办发[2007]51号）和财政部、发展改革委发布的《节能产品政府采购实施意见》（财库[2004]185号）的规定，本次采购货物中属政府强制采购节能产品的，供应商所投产品必须是《节能产品政府采购清单》内产品，并提供清单内证明材料，否则投标无效。其他产品若属于“节能产品政府采购清单”内产品，在同等条件下，优先采购清单中的产品。</w:t>
      </w:r>
    </w:p>
    <w:p>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w:t>
      </w:r>
    </w:p>
    <w:p>
      <w:pPr>
        <w:adjustRightInd w:val="0"/>
        <w:snapToGrid w:val="0"/>
        <w:spacing w:line="520" w:lineRule="exact"/>
        <w:ind w:firstLine="560" w:firstLineChars="200"/>
        <w:rPr>
          <w:rFonts w:ascii="仿宋" w:hAnsi="仿宋" w:eastAsia="仿宋" w:cs="仿宋"/>
          <w:b/>
          <w:color w:val="auto"/>
          <w:sz w:val="28"/>
          <w:highlight w:val="none"/>
        </w:rPr>
      </w:pPr>
      <w:r>
        <w:rPr>
          <w:rFonts w:hint="eastAsia" w:ascii="仿宋" w:hAnsi="仿宋" w:eastAsia="仿宋" w:cs="仿宋"/>
          <w:b/>
          <w:color w:val="auto"/>
          <w:sz w:val="28"/>
          <w:highlight w:val="none"/>
        </w:rPr>
        <w:t>价格项加分：</w:t>
      </w:r>
    </w:p>
    <w:p>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1、（节能清单部分产品的价格/投标报价）×3%×价格项满分值</w:t>
      </w:r>
    </w:p>
    <w:p>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2、（环境清单部分产品的价格/投标报价）×3%×价格项满分值</w:t>
      </w:r>
    </w:p>
    <w:p>
      <w:pPr>
        <w:adjustRightInd w:val="0"/>
        <w:snapToGrid w:val="0"/>
        <w:spacing w:line="540" w:lineRule="exact"/>
        <w:ind w:firstLine="560" w:firstLineChars="200"/>
        <w:rPr>
          <w:rFonts w:ascii="仿宋" w:hAnsi="仿宋" w:eastAsia="仿宋" w:cs="仿宋"/>
          <w:b/>
          <w:color w:val="auto"/>
          <w:sz w:val="28"/>
          <w:highlight w:val="none"/>
        </w:rPr>
      </w:pPr>
      <w:r>
        <w:rPr>
          <w:rFonts w:hint="eastAsia" w:ascii="仿宋" w:hAnsi="仿宋" w:eastAsia="仿宋" w:cs="仿宋"/>
          <w:b/>
          <w:color w:val="auto"/>
          <w:sz w:val="28"/>
          <w:highlight w:val="none"/>
        </w:rPr>
        <w:t>技术项加分：</w:t>
      </w:r>
    </w:p>
    <w:p>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1、（节能清单部分产品的价格/投标报价）×3%×技术项满分值</w:t>
      </w:r>
    </w:p>
    <w:p>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2、（环境清单部分产品的价格/投标报价）×3%×技术项满分值</w:t>
      </w:r>
    </w:p>
    <w:p>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注：1、供应商须提供23期《节能产品政府采购清单》关于投标产品当前页的打印件；</w:t>
      </w:r>
    </w:p>
    <w:p>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2、供应商提供21期《环境标志产品政府采购清单》关于投标产品当前页的打印件；</w:t>
      </w:r>
    </w:p>
    <w:p>
      <w:pPr>
        <w:adjustRightInd w:val="0"/>
        <w:snapToGrid w:val="0"/>
        <w:spacing w:line="540" w:lineRule="exact"/>
        <w:ind w:firstLine="560" w:firstLineChars="200"/>
        <w:rPr>
          <w:rFonts w:ascii="仿宋" w:hAnsi="仿宋" w:eastAsia="仿宋" w:cs="仿宋"/>
          <w:b/>
          <w:color w:val="auto"/>
          <w:sz w:val="28"/>
          <w:highlight w:val="none"/>
        </w:rPr>
      </w:pPr>
      <w:r>
        <w:rPr>
          <w:rFonts w:hint="eastAsia" w:ascii="仿宋" w:hAnsi="仿宋" w:eastAsia="仿宋" w:cs="仿宋"/>
          <w:b/>
          <w:color w:val="auto"/>
          <w:sz w:val="28"/>
          <w:highlight w:val="none"/>
        </w:rPr>
        <w:t>23.8.2.5属于中小企业评审优惠内容及价格扣除幅度：</w:t>
      </w:r>
    </w:p>
    <w:p>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根据中华人民共和国财政部、中华人民共和国工业和信息化部《政府采购促进中小企业发展管理办法》（财库〔2020〕46号）文件、《关于落实好政府采购支持中小企业发展的通知》（新财购〔2022〕22号）文件的规定，属于中小企业评审优惠内容及幅度如下：</w:t>
      </w:r>
    </w:p>
    <w:p>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（一）中小企业（含中型、小型、微型企业）应当同时符合以下条件：</w:t>
      </w:r>
    </w:p>
    <w:p>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①符合中小企业划分标准（按《关于印发中小企业划型标准规定的通知》（工信部联企业〔2011〕300号）执行）；</w:t>
      </w:r>
    </w:p>
    <w:p>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②提供本企业制造的货物、承担的项目或者服务，或者提供其他中小企业制造的货物。本项所称货物不包括使用大型企业注册商标的货物；</w:t>
      </w:r>
    </w:p>
    <w:p>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③小型、微型企业提供中型企业制造的货物的，视同为中型企业。</w:t>
      </w:r>
    </w:p>
    <w:p>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（二）价格扣除办法：</w:t>
      </w:r>
    </w:p>
    <w:p>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fldChar w:fldCharType="begin"/>
      </w:r>
      <w:r>
        <w:rPr>
          <w:rFonts w:hint="eastAsia" w:ascii="仿宋" w:hAnsi="仿宋" w:eastAsia="仿宋" w:cs="仿宋"/>
          <w:color w:val="auto"/>
          <w:sz w:val="28"/>
          <w:highlight w:val="none"/>
        </w:rPr>
        <w:instrText xml:space="preserve"> = 1 \* GB3 </w:instrText>
      </w:r>
      <w:r>
        <w:rPr>
          <w:rFonts w:hint="eastAsia" w:ascii="仿宋" w:hAnsi="仿宋" w:eastAsia="仿宋" w:cs="仿宋"/>
          <w:color w:val="auto"/>
          <w:sz w:val="28"/>
          <w:highlight w:val="none"/>
        </w:rPr>
        <w:fldChar w:fldCharType="separate"/>
      </w:r>
      <w:r>
        <w:rPr>
          <w:rFonts w:hint="eastAsia" w:ascii="仿宋" w:hAnsi="仿宋" w:eastAsia="仿宋" w:cs="仿宋"/>
          <w:color w:val="auto"/>
          <w:sz w:val="28"/>
          <w:highlight w:val="none"/>
        </w:rPr>
        <w:t>①</w:t>
      </w:r>
      <w:r>
        <w:rPr>
          <w:rFonts w:hint="eastAsia" w:ascii="仿宋" w:hAnsi="仿宋" w:eastAsia="仿宋" w:cs="仿宋"/>
          <w:color w:val="auto"/>
          <w:sz w:val="28"/>
          <w:highlight w:val="none"/>
        </w:rPr>
        <w:fldChar w:fldCharType="end"/>
      </w:r>
      <w:r>
        <w:rPr>
          <w:rFonts w:hint="eastAsia" w:ascii="仿宋" w:hAnsi="仿宋" w:eastAsia="仿宋" w:cs="仿宋"/>
          <w:color w:val="auto"/>
          <w:sz w:val="28"/>
          <w:highlight w:val="none"/>
        </w:rPr>
        <w:t>对于非专门面向中小企业的项目，对小型和微型企业（或联合体各方均为小型、微型企业的）产品的价格给予10%的扣除，用扣除后的价格参与价格分的评审。</w:t>
      </w:r>
    </w:p>
    <w:p>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（三）小型和微型企业适用价格扣除办法时应提供的相关资料：</w:t>
      </w:r>
    </w:p>
    <w:p>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fldChar w:fldCharType="begin"/>
      </w:r>
      <w:r>
        <w:rPr>
          <w:rFonts w:hint="eastAsia" w:ascii="仿宋" w:hAnsi="仿宋" w:eastAsia="仿宋" w:cs="仿宋"/>
          <w:color w:val="auto"/>
          <w:sz w:val="28"/>
          <w:highlight w:val="none"/>
        </w:rPr>
        <w:instrText xml:space="preserve"> = 1 \* GB3 </w:instrText>
      </w:r>
      <w:r>
        <w:rPr>
          <w:rFonts w:hint="eastAsia" w:ascii="仿宋" w:hAnsi="仿宋" w:eastAsia="仿宋" w:cs="仿宋"/>
          <w:color w:val="auto"/>
          <w:sz w:val="28"/>
          <w:highlight w:val="none"/>
        </w:rPr>
        <w:fldChar w:fldCharType="separate"/>
      </w:r>
      <w:r>
        <w:rPr>
          <w:rFonts w:hint="eastAsia" w:ascii="仿宋" w:hAnsi="仿宋" w:eastAsia="仿宋" w:cs="仿宋"/>
          <w:color w:val="auto"/>
          <w:sz w:val="28"/>
          <w:highlight w:val="none"/>
        </w:rPr>
        <w:t>①</w:t>
      </w:r>
      <w:r>
        <w:rPr>
          <w:rFonts w:hint="eastAsia" w:ascii="仿宋" w:hAnsi="仿宋" w:eastAsia="仿宋" w:cs="仿宋"/>
          <w:color w:val="auto"/>
          <w:sz w:val="28"/>
          <w:highlight w:val="none"/>
        </w:rPr>
        <w:fldChar w:fldCharType="end"/>
      </w:r>
      <w:r>
        <w:rPr>
          <w:rFonts w:hint="eastAsia" w:ascii="仿宋" w:hAnsi="仿宋" w:eastAsia="仿宋" w:cs="仿宋"/>
          <w:color w:val="auto"/>
          <w:sz w:val="28"/>
          <w:highlight w:val="none"/>
        </w:rPr>
        <w:t>、《中小企业声明函》。</w:t>
      </w:r>
    </w:p>
    <w:p>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②、供应商应提供所投标产品生产厂家的属地主管部门出具的证明函；</w:t>
      </w:r>
    </w:p>
    <w:p>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③、供应商应同时提供以上二个材料，否则将不给予价格扣除。</w:t>
      </w:r>
    </w:p>
    <w:p>
      <w:pPr>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④、供应商需在投标文件报价部分中“报价单项明细表（含投标试剂、耗材名称、数量、规格等）”中逐项注明所投产品的生产厂家具体名称并备注是否属于小型、微型企业。</w:t>
      </w:r>
    </w:p>
    <w:p>
      <w:pPr>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若所投标产品为进口产品的，不适用《政府采购促进中小企业发展暂行办法》。</w:t>
      </w:r>
    </w:p>
    <w:p>
      <w:pPr>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根据中华人民共和国财政部、中华人民共和国民政部、中国残疾人联合会《关于促进残疾人就业政府采购政策的通知》（财库[2017]141号）文件的规定：残疾人福利性单位视同小型、微型企业。</w:t>
      </w:r>
    </w:p>
    <w:p>
      <w:pPr>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供应商若为残疾人福利性单位，须在投标文件中提供《残疾人福利性单位声明函》，否则将不给予价格扣除。供应商须对其声明的真实性负责，若与事实不符的，将依照《政府采购法》第七十七条第一款的规定追究法律责任。</w:t>
      </w:r>
    </w:p>
    <w:p>
      <w:pPr>
        <w:spacing w:line="540" w:lineRule="exact"/>
        <w:ind w:firstLine="560" w:firstLineChars="200"/>
        <w:rPr>
          <w:rFonts w:ascii="仿宋" w:hAnsi="仿宋" w:eastAsia="仿宋" w:cs="仿宋"/>
          <w:b/>
          <w:color w:val="auto"/>
          <w:sz w:val="28"/>
          <w:highlight w:val="none"/>
        </w:rPr>
      </w:pPr>
      <w:r>
        <w:rPr>
          <w:rFonts w:hint="eastAsia" w:ascii="仿宋" w:hAnsi="仿宋" w:eastAsia="仿宋" w:cs="仿宋"/>
          <w:b/>
          <w:color w:val="auto"/>
          <w:sz w:val="28"/>
          <w:highlight w:val="none"/>
        </w:rPr>
        <w:t>23.8.3  各评标委员会成员对每个供应商的上述指标的打分（除报价外）的算术平均分，加上经计算的报价得分，即为该供应商的最终综合评审分。评标委员会将按供应商得分顺序由高到低依次排名，得分相同的，按投标报价由低到高顺序排列。得分及报价相同的，按技术指标优劣顺序排列。得分最高的前一至三名供应商将成为中标候选人。</w:t>
      </w:r>
    </w:p>
    <w:p>
      <w:pPr>
        <w:spacing w:line="540" w:lineRule="exact"/>
        <w:ind w:firstLine="560" w:firstLineChars="200"/>
        <w:rPr>
          <w:rFonts w:ascii="仿宋" w:hAnsi="仿宋" w:eastAsia="仿宋" w:cs="仿宋"/>
          <w:b/>
          <w:color w:val="auto"/>
          <w:sz w:val="28"/>
          <w:highlight w:val="none"/>
        </w:rPr>
      </w:pPr>
      <w:r>
        <w:rPr>
          <w:rFonts w:hint="eastAsia" w:ascii="仿宋" w:hAnsi="仿宋" w:eastAsia="仿宋" w:cs="仿宋"/>
          <w:b/>
          <w:color w:val="auto"/>
          <w:sz w:val="28"/>
          <w:highlight w:val="none"/>
        </w:rPr>
        <w:t>23.8.4  使用综合评分法的采购项目，提供相同品牌核心产品且通过资格审查、符合性审查的不同供应商参加同一合同项下投标的，按一家供应商计算，评审后得分最高的同品牌供应商获得中标人推荐资格，评审得分相同的，由评标委员会按照报价最低的供应商，推荐其作为中标候选人，其他同品牌供应商不作为中标候选人。</w:t>
      </w:r>
    </w:p>
    <w:p>
      <w:pPr>
        <w:spacing w:line="540" w:lineRule="exact"/>
        <w:ind w:firstLine="560" w:firstLineChars="200"/>
        <w:rPr>
          <w:rFonts w:ascii="仿宋" w:hAnsi="仿宋" w:eastAsia="仿宋" w:cs="仿宋"/>
          <w:b/>
          <w:color w:val="auto"/>
          <w:sz w:val="28"/>
          <w:highlight w:val="none"/>
        </w:rPr>
      </w:pPr>
      <w:r>
        <w:rPr>
          <w:rFonts w:hint="eastAsia" w:ascii="仿宋" w:hAnsi="仿宋" w:eastAsia="仿宋" w:cs="仿宋"/>
          <w:b/>
          <w:color w:val="auto"/>
          <w:sz w:val="28"/>
          <w:highlight w:val="none"/>
        </w:rPr>
        <w:t>23.8.5  最低报价不作为评标的唯一依据。采购人不承诺将合同授予报价最低的供应商。</w:t>
      </w:r>
    </w:p>
    <w:p>
      <w:pPr>
        <w:spacing w:line="540" w:lineRule="exact"/>
        <w:ind w:firstLine="560" w:firstLineChars="200"/>
        <w:rPr>
          <w:rFonts w:ascii="仿宋" w:hAnsi="仿宋" w:eastAsia="仿宋" w:cs="仿宋"/>
          <w:b/>
          <w:color w:val="auto"/>
          <w:sz w:val="28"/>
          <w:highlight w:val="none"/>
        </w:rPr>
      </w:pPr>
      <w:r>
        <w:rPr>
          <w:rFonts w:hint="eastAsia" w:ascii="仿宋" w:hAnsi="仿宋" w:eastAsia="仿宋" w:cs="仿宋"/>
          <w:b/>
          <w:color w:val="auto"/>
          <w:sz w:val="28"/>
          <w:highlight w:val="none"/>
        </w:rPr>
        <w:t>23.8.6  经评标委员会评议，认为投标报价过高、均超出采购人预算或最高限价的项目，可以不确立中标人，重新组织招标。</w:t>
      </w:r>
    </w:p>
    <w:p>
      <w:pPr>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24. 投标文件的澄清</w:t>
      </w:r>
    </w:p>
    <w:p>
      <w:pPr>
        <w:autoSpaceDE w:val="0"/>
        <w:autoSpaceDN w:val="0"/>
        <w:adjustRightIn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24.1 评标委员会在评标过程中有权随时请供应商就投标文件中含混之处加以澄清或答疑。</w:t>
      </w:r>
    </w:p>
    <w:p>
      <w:pPr>
        <w:autoSpaceDE w:val="0"/>
        <w:autoSpaceDN w:val="0"/>
        <w:adjustRightIn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24.2 供应商对要求澄清的问题应以书面形式明确答复，并应有法人授权代表的签署。</w:t>
      </w:r>
    </w:p>
    <w:p>
      <w:pPr>
        <w:autoSpaceDE w:val="0"/>
        <w:autoSpaceDN w:val="0"/>
        <w:adjustRightIn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24.3 供应商的澄清文件是投标文件的组成部分，并取代投标文件中被澄清的部分。</w:t>
      </w:r>
    </w:p>
    <w:p>
      <w:pPr>
        <w:autoSpaceDE w:val="0"/>
        <w:autoSpaceDN w:val="0"/>
        <w:adjustRightIn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24.4 投标文件的澄清不得改变投标的实质内容。</w:t>
      </w:r>
    </w:p>
    <w:p>
      <w:pPr>
        <w:autoSpaceDE w:val="0"/>
        <w:autoSpaceDN w:val="0"/>
        <w:adjustRightIn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25．中标人的确定</w:t>
      </w:r>
    </w:p>
    <w:p>
      <w:pPr>
        <w:autoSpaceDE w:val="0"/>
        <w:autoSpaceDN w:val="0"/>
        <w:adjustRightIn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25.1 评标委员会按照招标文件的评标办法负责向采购人推荐一家或一至三家供应商为中标候选人。</w:t>
      </w:r>
    </w:p>
    <w:p>
      <w:pPr>
        <w:autoSpaceDE w:val="0"/>
        <w:autoSpaceDN w:val="0"/>
        <w:adjustRightInd w:val="0"/>
        <w:spacing w:line="540" w:lineRule="exact"/>
        <w:ind w:firstLine="560" w:firstLineChars="200"/>
        <w:rPr>
          <w:rFonts w:ascii="仿宋" w:hAnsi="仿宋" w:eastAsia="仿宋" w:cs="仿宋"/>
          <w:b/>
          <w:color w:val="auto"/>
          <w:kern w:val="0"/>
          <w:sz w:val="28"/>
          <w:highlight w:val="none"/>
        </w:rPr>
      </w:pPr>
      <w:r>
        <w:rPr>
          <w:rFonts w:hint="eastAsia" w:ascii="仿宋" w:hAnsi="仿宋" w:eastAsia="仿宋" w:cs="仿宋"/>
          <w:b/>
          <w:color w:val="auto"/>
          <w:kern w:val="0"/>
          <w:sz w:val="28"/>
          <w:highlight w:val="none"/>
        </w:rPr>
        <w:t>25.2  中标供应商拒绝与采购人签订合同的，采购人可以按照评审报告推荐的中标人名单排序，确定下一候选人为中标人，也可以重新开展政府采购活动。</w:t>
      </w:r>
    </w:p>
    <w:p>
      <w:pPr>
        <w:pStyle w:val="28"/>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26. 中标通知</w:t>
      </w:r>
    </w:p>
    <w:p>
      <w:pPr>
        <w:pStyle w:val="28"/>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26.1 采购代理机构将在中标结果公示发布的同时，以书面形式向中标单位发出《中标通知书》。</w:t>
      </w:r>
    </w:p>
    <w:p>
      <w:pPr>
        <w:pStyle w:val="28"/>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27. 拒绝某些或所有投标的权力。</w:t>
      </w:r>
    </w:p>
    <w:p>
      <w:pPr>
        <w:pStyle w:val="28"/>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27.1 采购人或采购代理机构有权在《中标通知书》发放之前的任何时候拒绝任何有不正当行为或扰乱正常招标工作的供应商，由此对相关供应商造成的损失不负责任。</w:t>
      </w:r>
    </w:p>
    <w:p>
      <w:pPr>
        <w:pStyle w:val="29"/>
        <w:spacing w:beforeLines="0" w:afterLines="0" w:line="520" w:lineRule="exact"/>
        <w:rPr>
          <w:rFonts w:ascii="仿宋" w:hAnsi="仿宋" w:eastAsia="仿宋" w:cs="仿宋"/>
          <w:color w:val="auto"/>
          <w:kern w:val="0"/>
          <w:sz w:val="28"/>
          <w:szCs w:val="24"/>
          <w:highlight w:val="none"/>
        </w:rPr>
      </w:pPr>
      <w:bookmarkStart w:id="12" w:name="_Toc31147"/>
      <w:r>
        <w:rPr>
          <w:rFonts w:hint="eastAsia" w:ascii="仿宋" w:hAnsi="仿宋" w:eastAsia="仿宋" w:cs="仿宋"/>
          <w:color w:val="auto"/>
          <w:kern w:val="0"/>
          <w:sz w:val="28"/>
          <w:szCs w:val="24"/>
          <w:highlight w:val="none"/>
        </w:rPr>
        <w:t>八、授予合同</w:t>
      </w:r>
      <w:bookmarkEnd w:id="12"/>
    </w:p>
    <w:p>
      <w:pPr>
        <w:pStyle w:val="28"/>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28. 签订合同</w:t>
      </w:r>
    </w:p>
    <w:p>
      <w:pPr>
        <w:pStyle w:val="28"/>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28.1  中标人收到《中标通知书》后，须按有关规定与招标方签定经济合同。合同的签订一般在《中标通知书》发出后30天内进行，但采购人事先约定的情况除外。</w:t>
      </w:r>
    </w:p>
    <w:p>
      <w:pPr>
        <w:pStyle w:val="28"/>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28.2  合同签订后，卖方应按合同的规定履行合同，未按规定履约的，采购人有权取消合同。</w:t>
      </w:r>
    </w:p>
    <w:p>
      <w:pPr>
        <w:pStyle w:val="28"/>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28.3  中标合同不得转让或分包。如需对合同的非主体部分进行转让或分包，供应商必须在投标文件中予以说明，并需经采购人同意。否则，采购人有权取消中标人的中标资格。</w:t>
      </w:r>
    </w:p>
    <w:p>
      <w:pPr>
        <w:pStyle w:val="28"/>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28.4  如中标人未按有关规定与采购人签订合同的，采购人可以选择其他中标候选人为中标人，并组织中标人和采购人签订经济合同。</w:t>
      </w:r>
    </w:p>
    <w:p>
      <w:pPr>
        <w:pStyle w:val="28"/>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29. 合同的组成</w:t>
      </w:r>
    </w:p>
    <w:p>
      <w:pPr>
        <w:pStyle w:val="28"/>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29.1 下列文件均为经济合同不可分割的组成部分：</w:t>
      </w:r>
    </w:p>
    <w:p>
      <w:pPr>
        <w:pStyle w:val="28"/>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29.1.1 招标文件及其附件、补遗文件；</w:t>
      </w:r>
    </w:p>
    <w:p>
      <w:pPr>
        <w:pStyle w:val="28"/>
        <w:spacing w:line="52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 xml:space="preserve">29.1.2 中标的投标文件及其他附件； </w:t>
      </w:r>
    </w:p>
    <w:p>
      <w:pPr>
        <w:pStyle w:val="28"/>
        <w:spacing w:line="52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29.1.3 经确认的答疑记录；</w:t>
      </w:r>
    </w:p>
    <w:p>
      <w:pPr>
        <w:pStyle w:val="28"/>
        <w:spacing w:line="52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29.1.4 中标通知书。</w:t>
      </w:r>
    </w:p>
    <w:p>
      <w:pPr>
        <w:pStyle w:val="29"/>
        <w:spacing w:beforeLines="0" w:afterLines="0" w:line="520" w:lineRule="exact"/>
        <w:rPr>
          <w:rFonts w:ascii="仿宋" w:hAnsi="仿宋" w:eastAsia="仿宋" w:cs="仿宋"/>
          <w:color w:val="auto"/>
          <w:kern w:val="0"/>
          <w:sz w:val="28"/>
          <w:szCs w:val="24"/>
          <w:highlight w:val="none"/>
        </w:rPr>
      </w:pPr>
      <w:bookmarkStart w:id="13" w:name="_Toc2965"/>
      <w:r>
        <w:rPr>
          <w:rFonts w:hint="eastAsia" w:ascii="仿宋" w:hAnsi="仿宋" w:eastAsia="仿宋" w:cs="仿宋"/>
          <w:color w:val="auto"/>
          <w:kern w:val="0"/>
          <w:sz w:val="28"/>
          <w:szCs w:val="24"/>
          <w:highlight w:val="none"/>
        </w:rPr>
        <w:t>九、买方授标时更改采购货物数量的权利</w:t>
      </w:r>
      <w:bookmarkEnd w:id="13"/>
    </w:p>
    <w:p>
      <w:pPr>
        <w:pStyle w:val="27"/>
        <w:spacing w:before="100" w:after="50" w:line="520" w:lineRule="exact"/>
        <w:ind w:firstLine="560"/>
        <w:rPr>
          <w:rFonts w:ascii="仿宋" w:hAnsi="仿宋" w:eastAsia="仿宋" w:cs="仿宋"/>
          <w:color w:val="auto"/>
          <w:highlight w:val="none"/>
        </w:rPr>
      </w:pPr>
      <w:r>
        <w:rPr>
          <w:rFonts w:hint="eastAsia" w:ascii="仿宋" w:hAnsi="仿宋" w:eastAsia="仿宋" w:cs="仿宋"/>
          <w:color w:val="auto"/>
          <w:highlight w:val="none"/>
        </w:rPr>
        <w:t>30. 采购人在采购合同履行期间，有权按“投标须知前附表”第14项约定的内容对“货物需求表”中规定的货物数量和服务予以局部增加或减少，但不得对单价或其它实质性内容做任何改变，对增减的数量按同类型中标产品价结算货款。</w:t>
      </w:r>
    </w:p>
    <w:p>
      <w:pPr>
        <w:pStyle w:val="29"/>
        <w:spacing w:beforeLines="0" w:afterLines="0" w:line="520" w:lineRule="exact"/>
        <w:rPr>
          <w:rFonts w:ascii="仿宋" w:hAnsi="仿宋" w:eastAsia="仿宋" w:cs="仿宋"/>
          <w:color w:val="auto"/>
          <w:kern w:val="0"/>
          <w:sz w:val="28"/>
          <w:szCs w:val="24"/>
          <w:highlight w:val="none"/>
        </w:rPr>
      </w:pPr>
      <w:bookmarkStart w:id="14" w:name="_Toc25832"/>
      <w:r>
        <w:rPr>
          <w:rFonts w:hint="eastAsia" w:ascii="仿宋" w:hAnsi="仿宋" w:eastAsia="仿宋" w:cs="仿宋"/>
          <w:color w:val="auto"/>
          <w:kern w:val="0"/>
          <w:sz w:val="28"/>
          <w:szCs w:val="24"/>
          <w:highlight w:val="none"/>
        </w:rPr>
        <w:t>十、其他事项</w:t>
      </w:r>
      <w:bookmarkEnd w:id="14"/>
    </w:p>
    <w:p>
      <w:pPr>
        <w:pStyle w:val="28"/>
        <w:spacing w:line="52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31. 中标服务费</w:t>
      </w:r>
    </w:p>
    <w:p>
      <w:pPr>
        <w:pStyle w:val="28"/>
        <w:spacing w:line="52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31.1 中标人应按本招标文件的规定，在《中标通知书》核发时至核发后3天内，向采购代理机构支付中标服务费。计算标准和方法参照发500万元-1000万元收费标准，中标金额根据此标准下浮30%执行。</w:t>
      </w:r>
    </w:p>
    <w:p>
      <w:pPr>
        <w:pStyle w:val="28"/>
        <w:spacing w:line="520" w:lineRule="exact"/>
        <w:ind w:firstLine="560" w:firstLineChars="200"/>
        <w:jc w:val="both"/>
        <w:rPr>
          <w:rFonts w:ascii="仿宋" w:hAnsi="仿宋" w:eastAsia="仿宋" w:cs="仿宋"/>
          <w:b/>
          <w:color w:val="auto"/>
          <w:sz w:val="28"/>
          <w:highlight w:val="none"/>
        </w:rPr>
      </w:pPr>
      <w:r>
        <w:rPr>
          <w:rFonts w:hint="eastAsia" w:ascii="仿宋" w:hAnsi="仿宋" w:eastAsia="仿宋" w:cs="仿宋"/>
          <w:b/>
          <w:color w:val="auto"/>
          <w:sz w:val="28"/>
          <w:highlight w:val="none"/>
        </w:rPr>
        <w:t>31.2 中标服务费的计算基数是中标人投标报价的总金额，即中标通知书中载明的中标金额。</w:t>
      </w:r>
    </w:p>
    <w:p>
      <w:pPr>
        <w:pStyle w:val="28"/>
        <w:spacing w:line="520" w:lineRule="exact"/>
        <w:ind w:firstLine="560" w:firstLineChars="200"/>
        <w:jc w:val="both"/>
        <w:rPr>
          <w:rFonts w:ascii="仿宋" w:hAnsi="仿宋" w:eastAsia="仿宋" w:cs="仿宋"/>
          <w:b/>
          <w:color w:val="auto"/>
          <w:sz w:val="28"/>
          <w:highlight w:val="none"/>
        </w:rPr>
      </w:pPr>
      <w:r>
        <w:rPr>
          <w:rFonts w:hint="eastAsia" w:ascii="仿宋" w:hAnsi="仿宋" w:eastAsia="仿宋" w:cs="仿宋"/>
          <w:b/>
          <w:color w:val="auto"/>
          <w:sz w:val="28"/>
          <w:highlight w:val="none"/>
        </w:rPr>
        <w:t>需要开具增值税专用发票，供应商请提供增值税专用发票开票信息（需加盖财务专用章）；</w:t>
      </w:r>
      <w:bookmarkStart w:id="24" w:name="_GoBack"/>
      <w:bookmarkEnd w:id="24"/>
    </w:p>
    <w:p>
      <w:pPr>
        <w:pStyle w:val="28"/>
        <w:spacing w:line="52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32. 本招标文件是根据《中华人民共和国政府采购法》及其实施条例（658号令）及《政府采购货物和服务招标投标管理办法》（87号令）规定编制的，解释权属新疆新之建工程咨询有限公司。</w:t>
      </w:r>
    </w:p>
    <w:p>
      <w:pPr>
        <w:pStyle w:val="28"/>
        <w:spacing w:line="520" w:lineRule="exact"/>
        <w:ind w:firstLine="560" w:firstLineChars="200"/>
        <w:jc w:val="both"/>
        <w:rPr>
          <w:rFonts w:ascii="仿宋" w:hAnsi="仿宋" w:eastAsia="仿宋" w:cs="仿宋"/>
          <w:b/>
          <w:color w:val="auto"/>
          <w:sz w:val="28"/>
          <w:highlight w:val="none"/>
        </w:rPr>
      </w:pPr>
      <w:r>
        <w:rPr>
          <w:rFonts w:hint="eastAsia" w:ascii="仿宋" w:hAnsi="仿宋" w:eastAsia="仿宋" w:cs="仿宋"/>
          <w:b/>
          <w:color w:val="auto"/>
          <w:sz w:val="28"/>
          <w:highlight w:val="none"/>
        </w:rPr>
        <w:t>33. 为了做好投标工作，供应商应组织有关商务和技术人员，认真解答或澄清评标委员会在评标过程中提出的有关商务和技术问题。</w:t>
      </w:r>
    </w:p>
    <w:p>
      <w:pPr>
        <w:pStyle w:val="28"/>
        <w:spacing w:line="52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所有与本标书有关的函电请按下列通讯地址联系：</w:t>
      </w:r>
    </w:p>
    <w:p>
      <w:pPr>
        <w:pStyle w:val="28"/>
        <w:spacing w:line="52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采购代理机构：新疆新之建工程咨询有限公司</w:t>
      </w:r>
    </w:p>
    <w:p>
      <w:pPr>
        <w:pStyle w:val="28"/>
        <w:spacing w:line="52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通讯地址：新疆乌鲁木齐市沙依巴克区公园北街162号文苑综合楼七楼</w:t>
      </w:r>
    </w:p>
    <w:p>
      <w:pPr>
        <w:pStyle w:val="28"/>
        <w:spacing w:line="52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邮    编：830000</w:t>
      </w:r>
    </w:p>
    <w:p>
      <w:pPr>
        <w:pStyle w:val="28"/>
        <w:spacing w:line="52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联 系 人：吴坤</w:t>
      </w:r>
    </w:p>
    <w:p>
      <w:pPr>
        <w:pStyle w:val="28"/>
        <w:spacing w:line="52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电    话：0991-8852519</w:t>
      </w:r>
    </w:p>
    <w:bookmarkEnd w:id="3"/>
    <w:p>
      <w:pPr>
        <w:pStyle w:val="16"/>
        <w:numPr>
          <w:ilvl w:val="0"/>
          <w:numId w:val="2"/>
        </w:numPr>
        <w:ind w:left="0" w:firstLine="0"/>
        <w:rPr>
          <w:rStyle w:val="34"/>
          <w:rFonts w:ascii="仿宋" w:hAnsi="仿宋" w:cs="仿宋"/>
          <w:b/>
          <w:bCs/>
          <w:color w:val="auto"/>
          <w:highlight w:val="none"/>
        </w:rPr>
      </w:pPr>
      <w:r>
        <w:rPr>
          <w:rFonts w:hint="eastAsia" w:ascii="仿宋" w:hAnsi="仿宋" w:cs="仿宋"/>
          <w:b w:val="0"/>
          <w:color w:val="auto"/>
          <w:szCs w:val="20"/>
          <w:highlight w:val="none"/>
        </w:rPr>
        <w:br w:type="page"/>
      </w:r>
      <w:bookmarkStart w:id="15" w:name="_Toc19566"/>
      <w:r>
        <w:rPr>
          <w:rStyle w:val="34"/>
          <w:rFonts w:hint="eastAsia" w:ascii="仿宋" w:hAnsi="仿宋" w:cs="仿宋"/>
          <w:b/>
          <w:bCs/>
          <w:color w:val="auto"/>
          <w:highlight w:val="none"/>
        </w:rPr>
        <w:t>招标内容及技术要求</w:t>
      </w:r>
      <w:bookmarkEnd w:id="15"/>
    </w:p>
    <w:p>
      <w:pPr>
        <w:pStyle w:val="16"/>
        <w:ind w:left="0" w:firstLine="0"/>
        <w:rPr>
          <w:rFonts w:ascii="仿宋" w:hAnsi="仿宋" w:cs="仿宋"/>
          <w:color w:val="auto"/>
          <w:kern w:val="0"/>
          <w:highlight w:val="none"/>
        </w:rPr>
      </w:pPr>
      <w:r>
        <w:rPr>
          <w:rFonts w:hint="eastAsia" w:ascii="仿宋" w:hAnsi="仿宋" w:cs="仿宋"/>
          <w:color w:val="auto"/>
          <w:kern w:val="0"/>
          <w:highlight w:val="none"/>
        </w:rPr>
        <w:t>货物需求一览表</w:t>
      </w:r>
    </w:p>
    <w:tbl>
      <w:tblPr>
        <w:tblStyle w:val="17"/>
        <w:tblW w:w="9797" w:type="dxa"/>
        <w:tblInd w:w="0" w:type="dxa"/>
        <w:tblLayout w:type="fixed"/>
        <w:tblCellMar>
          <w:top w:w="0" w:type="dxa"/>
          <w:left w:w="108" w:type="dxa"/>
          <w:bottom w:w="0" w:type="dxa"/>
          <w:right w:w="108" w:type="dxa"/>
        </w:tblCellMar>
      </w:tblPr>
      <w:tblGrid>
        <w:gridCol w:w="915"/>
        <w:gridCol w:w="3586"/>
        <w:gridCol w:w="1283"/>
        <w:gridCol w:w="1911"/>
        <w:gridCol w:w="2102"/>
      </w:tblGrid>
      <w:tr>
        <w:tblPrEx>
          <w:tblCellMar>
            <w:top w:w="0" w:type="dxa"/>
            <w:left w:w="108" w:type="dxa"/>
            <w:bottom w:w="0" w:type="dxa"/>
            <w:right w:w="108" w:type="dxa"/>
          </w:tblCellMar>
        </w:tblPrEx>
        <w:trPr>
          <w:trHeight w:val="466"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szCs w:val="24"/>
                <w:highlight w:val="none"/>
              </w:rPr>
            </w:pPr>
            <w:bookmarkStart w:id="16" w:name="_Toc6480"/>
            <w:r>
              <w:rPr>
                <w:rFonts w:hint="eastAsia" w:ascii="仿宋" w:hAnsi="仿宋" w:eastAsia="仿宋" w:cs="仿宋"/>
                <w:color w:val="auto"/>
                <w:kern w:val="0"/>
                <w:sz w:val="24"/>
                <w:szCs w:val="24"/>
                <w:highlight w:val="none"/>
                <w:lang w:bidi="ar"/>
              </w:rPr>
              <w:t>序号</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设备名称</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数量</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预算金额（万元）</w:t>
            </w: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备注</w:t>
            </w:r>
          </w:p>
        </w:tc>
      </w:tr>
      <w:tr>
        <w:tblPrEx>
          <w:tblCellMar>
            <w:top w:w="0" w:type="dxa"/>
            <w:left w:w="108" w:type="dxa"/>
            <w:bottom w:w="0" w:type="dxa"/>
            <w:right w:w="108" w:type="dxa"/>
          </w:tblCellMar>
        </w:tblPrEx>
        <w:trPr>
          <w:trHeight w:val="648"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移动式紫外线空气消毒器</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61台</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27.45</w:t>
            </w: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auto"/>
                <w:kern w:val="0"/>
                <w:sz w:val="24"/>
                <w:szCs w:val="24"/>
                <w:highlight w:val="none"/>
                <w:lang w:bidi="ar"/>
              </w:rPr>
            </w:pPr>
            <w:r>
              <w:rPr>
                <w:rFonts w:hint="eastAsia" w:ascii="仿宋" w:hAnsi="仿宋" w:eastAsia="仿宋" w:cs="仿宋"/>
                <w:bCs/>
                <w:color w:val="auto"/>
                <w:sz w:val="24"/>
                <w:szCs w:val="24"/>
                <w:highlight w:val="none"/>
              </w:rPr>
              <w:t>含老院40台移动式紫外线空气消毒器拆卸、搬运、安装到指定位置。</w:t>
            </w:r>
          </w:p>
        </w:tc>
      </w:tr>
      <w:tr>
        <w:tblPrEx>
          <w:tblCellMar>
            <w:top w:w="0" w:type="dxa"/>
            <w:left w:w="108" w:type="dxa"/>
            <w:bottom w:w="0" w:type="dxa"/>
            <w:right w:w="108" w:type="dxa"/>
          </w:tblCellMar>
        </w:tblPrEx>
        <w:trPr>
          <w:trHeight w:val="466"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壁挂式紫外线空气消毒器</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1457台</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727.77</w:t>
            </w: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auto"/>
                <w:kern w:val="0"/>
                <w:sz w:val="24"/>
                <w:szCs w:val="24"/>
                <w:highlight w:val="none"/>
                <w:lang w:bidi="ar"/>
              </w:rPr>
            </w:pPr>
            <w:r>
              <w:rPr>
                <w:rFonts w:hint="eastAsia" w:ascii="仿宋" w:hAnsi="仿宋" w:eastAsia="仿宋" w:cs="仿宋"/>
                <w:bCs/>
                <w:color w:val="auto"/>
                <w:sz w:val="24"/>
                <w:szCs w:val="24"/>
                <w:highlight w:val="none"/>
              </w:rPr>
              <w:t>含1565个高位插座从配电箱到安装位置的强电拉线和插座安装；老医院108台壁挂式紫外线空气消毒器拆卸、搬运到指定安装位置；1565台新旧壁挂式紫外线空气消毒器安装到位。</w:t>
            </w:r>
          </w:p>
        </w:tc>
      </w:tr>
      <w:bookmarkEnd w:id="16"/>
    </w:tbl>
    <w:p>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仿宋" w:hAnsi="仿宋" w:eastAsia="仿宋" w:cs="仿宋"/>
          <w:b/>
          <w:bCs/>
          <w:color w:val="auto"/>
          <w:sz w:val="28"/>
          <w:szCs w:val="28"/>
          <w:highlight w:val="none"/>
        </w:rPr>
      </w:pPr>
      <w:bookmarkStart w:id="17" w:name="_Toc22654709"/>
      <w:r>
        <w:rPr>
          <w:rFonts w:hint="eastAsia" w:ascii="仿宋" w:hAnsi="仿宋" w:eastAsia="仿宋" w:cs="仿宋"/>
          <w:b/>
          <w:bCs/>
          <w:color w:val="auto"/>
          <w:sz w:val="28"/>
          <w:szCs w:val="28"/>
          <w:highlight w:val="none"/>
        </w:rPr>
        <w:t>注：</w:t>
      </w: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中标方负责强电拉线及插座安装的安全，且保证壁挂式紫外线空气消毒器吊挂在轻钢龙骨轻质隔墙上的牢固度。</w:t>
      </w:r>
    </w:p>
    <w:p>
      <w:pPr>
        <w:pStyle w:val="2"/>
        <w:keepNext w:val="0"/>
        <w:keepLines w:val="0"/>
        <w:pageBreakBefore w:val="0"/>
        <w:widowControl w:val="0"/>
        <w:kinsoku/>
        <w:wordWrap/>
        <w:overflowPunct/>
        <w:topLinePunct w:val="0"/>
        <w:autoSpaceDE/>
        <w:autoSpaceDN/>
        <w:bidi w:val="0"/>
        <w:adjustRightInd/>
        <w:spacing w:line="520" w:lineRule="exact"/>
        <w:textAlignment w:val="auto"/>
        <w:rPr>
          <w:rFonts w:hint="eastAsia" w:eastAsia="宋体"/>
          <w:color w:val="auto"/>
          <w:sz w:val="28"/>
          <w:szCs w:val="28"/>
          <w:highlight w:val="none"/>
          <w:lang w:val="en-US" w:eastAsia="zh-CN"/>
        </w:rPr>
      </w:pPr>
      <w:r>
        <w:rPr>
          <w:rFonts w:hint="eastAsia"/>
          <w:color w:val="auto"/>
          <w:sz w:val="28"/>
          <w:szCs w:val="28"/>
          <w:highlight w:val="none"/>
          <w:lang w:val="en-US" w:eastAsia="zh-CN"/>
        </w:rPr>
        <w:t>2、</w:t>
      </w:r>
      <w:r>
        <w:rPr>
          <w:rFonts w:hint="eastAsia" w:ascii="仿宋" w:hAnsi="仿宋" w:eastAsia="仿宋" w:cs="仿宋"/>
          <w:b/>
          <w:bCs/>
          <w:color w:val="auto"/>
          <w:sz w:val="28"/>
          <w:szCs w:val="28"/>
          <w:highlight w:val="none"/>
          <w:lang w:val="en-US" w:eastAsia="zh-CN"/>
        </w:rPr>
        <w:t>移动式紫外线空气消毒器和壁挂式紫外线空气消毒器为核心设备，所有设备不得分包、拆包，为一个整体。</w:t>
      </w:r>
    </w:p>
    <w:p>
      <w:pPr>
        <w:pStyle w:val="2"/>
        <w:rPr>
          <w:rFonts w:hint="eastAsia"/>
          <w:color w:val="auto"/>
          <w:highlight w:val="none"/>
        </w:rPr>
      </w:pPr>
    </w:p>
    <w:p>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pP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品目一：移动式紫外线空气消毒器</w:t>
      </w:r>
    </w:p>
    <w:p>
      <w:pPr>
        <w:rPr>
          <w:rFonts w:ascii="仿宋" w:hAnsi="仿宋" w:eastAsia="仿宋" w:cs="仿宋"/>
          <w:b/>
          <w:bCs/>
          <w:color w:val="auto"/>
          <w:sz w:val="28"/>
          <w:szCs w:val="28"/>
          <w:highlight w:val="none"/>
        </w:rPr>
      </w:pPr>
    </w:p>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技术参数：</w:t>
      </w:r>
    </w:p>
    <w:p>
      <w:pPr>
        <w:rPr>
          <w:rFonts w:ascii="仿宋" w:hAnsi="仿宋" w:eastAsia="仿宋" w:cs="仿宋"/>
          <w:color w:val="auto"/>
          <w:sz w:val="28"/>
          <w:highlight w:val="none"/>
        </w:rPr>
      </w:pPr>
      <w:r>
        <w:rPr>
          <w:rFonts w:hint="eastAsia" w:ascii="仿宋" w:hAnsi="仿宋" w:eastAsia="仿宋" w:cs="仿宋"/>
          <w:b/>
          <w:bCs/>
          <w:color w:val="auto"/>
          <w:sz w:val="28"/>
          <w:highlight w:val="none"/>
        </w:rPr>
        <w:t>一、产品名称：</w:t>
      </w:r>
      <w:r>
        <w:rPr>
          <w:rFonts w:hint="eastAsia" w:ascii="仿宋" w:hAnsi="仿宋" w:eastAsia="仿宋" w:cs="仿宋"/>
          <w:color w:val="auto"/>
          <w:sz w:val="28"/>
          <w:highlight w:val="none"/>
        </w:rPr>
        <w:t>紫外线空气消毒器</w:t>
      </w:r>
    </w:p>
    <w:p>
      <w:pPr>
        <w:rPr>
          <w:rFonts w:ascii="仿宋" w:hAnsi="仿宋" w:eastAsia="仿宋" w:cs="仿宋"/>
          <w:color w:val="auto"/>
          <w:sz w:val="28"/>
          <w:highlight w:val="none"/>
        </w:rPr>
      </w:pPr>
      <w:r>
        <w:rPr>
          <w:rFonts w:hint="eastAsia" w:ascii="仿宋" w:hAnsi="仿宋" w:eastAsia="仿宋" w:cs="仿宋"/>
          <w:b/>
          <w:bCs/>
          <w:color w:val="auto"/>
          <w:sz w:val="28"/>
          <w:highlight w:val="none"/>
        </w:rPr>
        <w:t>二、产品用途：</w:t>
      </w:r>
      <w:r>
        <w:rPr>
          <w:rFonts w:hint="eastAsia" w:ascii="仿宋" w:hAnsi="仿宋" w:eastAsia="仿宋" w:cs="仿宋"/>
          <w:color w:val="auto"/>
          <w:sz w:val="28"/>
          <w:highlight w:val="none"/>
        </w:rPr>
        <w:t>适用于普通手术室、产房、血液病区、烧伤病区、保护性隔离病区、重症监护病区的空气消毒；消毒供应中心检查包装灭菌区和无菌物品存放区、重症透析中心的空气消毒；检查室、治疗室、感染性疾病诊室等场所的空气消毒。</w:t>
      </w:r>
    </w:p>
    <w:p>
      <w:pPr>
        <w:rPr>
          <w:rFonts w:ascii="仿宋" w:hAnsi="仿宋" w:eastAsia="仿宋" w:cs="仿宋"/>
          <w:b/>
          <w:bCs/>
          <w:color w:val="auto"/>
          <w:sz w:val="28"/>
          <w:highlight w:val="none"/>
        </w:rPr>
      </w:pPr>
      <w:r>
        <w:rPr>
          <w:rFonts w:hint="eastAsia" w:ascii="仿宋" w:hAnsi="仿宋" w:eastAsia="仿宋" w:cs="仿宋"/>
          <w:b/>
          <w:bCs/>
          <w:color w:val="auto"/>
          <w:sz w:val="28"/>
          <w:highlight w:val="none"/>
        </w:rPr>
        <w:t>三、技术参数要求：</w:t>
      </w:r>
    </w:p>
    <w:p>
      <w:pPr>
        <w:rPr>
          <w:rFonts w:ascii="仿宋" w:hAnsi="仿宋" w:eastAsia="仿宋" w:cs="仿宋"/>
          <w:color w:val="auto"/>
          <w:sz w:val="28"/>
          <w:highlight w:val="none"/>
        </w:rPr>
      </w:pPr>
      <w:r>
        <w:rPr>
          <w:rFonts w:hint="eastAsia" w:ascii="仿宋" w:hAnsi="仿宋" w:eastAsia="仿宋" w:cs="仿宋"/>
          <w:color w:val="auto"/>
          <w:sz w:val="28"/>
          <w:highlight w:val="none"/>
        </w:rPr>
        <w:t xml:space="preserve">1、采用紫外线消毒，杀菌广谱、彻底；内含过滤器，可过滤毛发、粉尘等大尘埃颗粒，去除有机气体和医院药水等各种异味。 </w:t>
      </w:r>
    </w:p>
    <w:p>
      <w:pPr>
        <w:rPr>
          <w:rFonts w:ascii="仿宋" w:hAnsi="仿宋" w:eastAsia="仿宋" w:cs="仿宋"/>
          <w:color w:val="auto"/>
          <w:sz w:val="28"/>
          <w:highlight w:val="none"/>
        </w:rPr>
      </w:pPr>
      <w:r>
        <w:rPr>
          <w:rFonts w:hint="eastAsia" w:ascii="仿宋" w:hAnsi="仿宋" w:eastAsia="仿宋" w:cs="仿宋"/>
          <w:color w:val="auto"/>
          <w:sz w:val="28"/>
          <w:highlight w:val="none"/>
        </w:rPr>
        <w:t>*2、紫外线空气消毒器壳体采用优质钣金外壳加喷塑，结构强度高；移动方便、防尘效果好、使用寿命长、安全系数高。</w:t>
      </w:r>
    </w:p>
    <w:p>
      <w:pPr>
        <w:rPr>
          <w:rFonts w:ascii="仿宋" w:hAnsi="仿宋" w:eastAsia="仿宋" w:cs="仿宋"/>
          <w:color w:val="auto"/>
          <w:sz w:val="28"/>
          <w:highlight w:val="none"/>
        </w:rPr>
      </w:pPr>
      <w:r>
        <w:rPr>
          <w:rFonts w:hint="eastAsia" w:ascii="仿宋" w:hAnsi="仿宋" w:eastAsia="仿宋" w:cs="仿宋"/>
          <w:color w:val="auto"/>
          <w:sz w:val="28"/>
          <w:highlight w:val="none"/>
        </w:rPr>
        <w:t>3、外观尺寸≤500×290×860（mm³），4个万向脚轮，可任意移动。</w:t>
      </w:r>
    </w:p>
    <w:p>
      <w:pPr>
        <w:rPr>
          <w:rFonts w:ascii="仿宋" w:hAnsi="仿宋" w:eastAsia="仿宋" w:cs="仿宋"/>
          <w:color w:val="auto"/>
          <w:sz w:val="28"/>
          <w:highlight w:val="none"/>
        </w:rPr>
      </w:pPr>
      <w:r>
        <w:rPr>
          <w:rFonts w:hint="eastAsia" w:ascii="仿宋" w:hAnsi="仿宋" w:eastAsia="仿宋" w:cs="仿宋"/>
          <w:color w:val="auto"/>
          <w:sz w:val="28"/>
          <w:highlight w:val="none"/>
        </w:rPr>
        <w:t>4、人机共存，可在有人状态下进行连续动态消毒，对人及物品没有任何伤害。</w:t>
      </w:r>
    </w:p>
    <w:p>
      <w:pPr>
        <w:rPr>
          <w:rFonts w:ascii="仿宋" w:hAnsi="仿宋" w:eastAsia="仿宋" w:cs="仿宋"/>
          <w:color w:val="auto"/>
          <w:sz w:val="28"/>
          <w:highlight w:val="none"/>
        </w:rPr>
      </w:pPr>
      <w:r>
        <w:rPr>
          <w:rFonts w:hint="eastAsia" w:ascii="仿宋" w:hAnsi="仿宋" w:eastAsia="仿宋" w:cs="仿宋"/>
          <w:color w:val="auto"/>
          <w:sz w:val="28"/>
          <w:highlight w:val="none"/>
        </w:rPr>
        <w:t>5、整机重量≤23kg，额定循环风量≥1300m³/h，可适用130m³体积及以下的场所；</w:t>
      </w:r>
    </w:p>
    <w:p>
      <w:pPr>
        <w:rPr>
          <w:rFonts w:ascii="仿宋" w:hAnsi="仿宋" w:eastAsia="仿宋" w:cs="仿宋"/>
          <w:color w:val="auto"/>
          <w:sz w:val="28"/>
          <w:highlight w:val="none"/>
        </w:rPr>
      </w:pPr>
      <w:r>
        <w:rPr>
          <w:rFonts w:hint="eastAsia" w:ascii="仿宋" w:hAnsi="仿宋" w:eastAsia="仿宋" w:cs="仿宋"/>
          <w:color w:val="auto"/>
          <w:sz w:val="28"/>
          <w:highlight w:val="none"/>
        </w:rPr>
        <w:t>6、额定功率240W±24W；电源AC220V 50Hz。</w:t>
      </w:r>
    </w:p>
    <w:p>
      <w:pPr>
        <w:rPr>
          <w:rFonts w:ascii="仿宋" w:hAnsi="仿宋" w:eastAsia="仿宋" w:cs="仿宋"/>
          <w:color w:val="auto"/>
          <w:sz w:val="28"/>
          <w:highlight w:val="none"/>
        </w:rPr>
      </w:pPr>
      <w:r>
        <w:rPr>
          <w:rFonts w:hint="eastAsia" w:ascii="仿宋" w:hAnsi="仿宋" w:eastAsia="仿宋" w:cs="仿宋"/>
          <w:color w:val="auto"/>
          <w:sz w:val="28"/>
          <w:highlight w:val="none"/>
        </w:rPr>
        <w:t>*7、紫外线杀菌灯寿命≥8000h。</w:t>
      </w:r>
    </w:p>
    <w:p>
      <w:pPr>
        <w:rPr>
          <w:rFonts w:ascii="仿宋" w:hAnsi="仿宋" w:eastAsia="仿宋" w:cs="仿宋"/>
          <w:color w:val="auto"/>
          <w:sz w:val="28"/>
          <w:highlight w:val="none"/>
        </w:rPr>
      </w:pPr>
      <w:r>
        <w:rPr>
          <w:rFonts w:hint="eastAsia" w:ascii="仿宋" w:hAnsi="仿宋" w:eastAsia="仿宋" w:cs="仿宋"/>
          <w:color w:val="auto"/>
          <w:sz w:val="28"/>
          <w:highlight w:val="none"/>
        </w:rPr>
        <w:t>*8、配备负离子发生器，所产生负离子密度≥6×106个/cm3。</w:t>
      </w:r>
    </w:p>
    <w:p>
      <w:pPr>
        <w:rPr>
          <w:rFonts w:ascii="仿宋" w:hAnsi="仿宋" w:eastAsia="仿宋" w:cs="仿宋"/>
          <w:color w:val="auto"/>
          <w:sz w:val="28"/>
          <w:highlight w:val="none"/>
        </w:rPr>
      </w:pPr>
      <w:r>
        <w:rPr>
          <w:rFonts w:hint="eastAsia" w:ascii="仿宋" w:hAnsi="仿宋" w:eastAsia="仿宋" w:cs="仿宋"/>
          <w:color w:val="auto"/>
          <w:sz w:val="28"/>
          <w:highlight w:val="none"/>
        </w:rPr>
        <w:t>*9、光触媒抗菌除异味，采用电镜平均粒径≤10nm的锐钛型二氧化钛做光触媒，可有效的降解甲醛、苯、甲苯、二甲苯、TVOC等污染物，并具有高效广谱的消毒性能，能够杀灭和抑制细菌、真菌和病毒的存活。</w:t>
      </w:r>
    </w:p>
    <w:p>
      <w:pPr>
        <w:rPr>
          <w:rFonts w:ascii="仿宋" w:hAnsi="仿宋" w:eastAsia="仿宋" w:cs="仿宋"/>
          <w:b/>
          <w:bCs/>
          <w:color w:val="auto"/>
          <w:sz w:val="28"/>
          <w:highlight w:val="none"/>
        </w:rPr>
      </w:pPr>
      <w:r>
        <w:rPr>
          <w:rFonts w:hint="eastAsia" w:ascii="仿宋" w:hAnsi="仿宋" w:eastAsia="仿宋" w:cs="仿宋"/>
          <w:b/>
          <w:bCs/>
          <w:color w:val="auto"/>
          <w:sz w:val="28"/>
          <w:highlight w:val="none"/>
        </w:rPr>
        <w:t>四、消毒效果要求：</w:t>
      </w:r>
    </w:p>
    <w:p>
      <w:pPr>
        <w:rPr>
          <w:rFonts w:ascii="仿宋" w:hAnsi="仿宋" w:eastAsia="仿宋" w:cs="仿宋"/>
          <w:color w:val="auto"/>
          <w:sz w:val="28"/>
          <w:highlight w:val="none"/>
        </w:rPr>
      </w:pPr>
      <w:r>
        <w:rPr>
          <w:rFonts w:hint="eastAsia" w:ascii="仿宋" w:hAnsi="仿宋" w:eastAsia="仿宋" w:cs="仿宋"/>
          <w:color w:val="auto"/>
          <w:sz w:val="28"/>
          <w:highlight w:val="none"/>
        </w:rPr>
        <w:t>*1、消毒效果要求：（提供省级疾控中心或第三方检测机构检测报告）</w:t>
      </w:r>
    </w:p>
    <w:p>
      <w:pPr>
        <w:rPr>
          <w:rFonts w:ascii="仿宋" w:hAnsi="仿宋" w:eastAsia="仿宋" w:cs="仿宋"/>
          <w:color w:val="auto"/>
          <w:sz w:val="28"/>
          <w:highlight w:val="none"/>
        </w:rPr>
      </w:pPr>
      <w:r>
        <w:rPr>
          <w:rFonts w:hint="eastAsia" w:ascii="仿宋" w:hAnsi="仿宋" w:eastAsia="仿宋" w:cs="仿宋"/>
          <w:color w:val="auto"/>
          <w:sz w:val="28"/>
          <w:highlight w:val="none"/>
        </w:rPr>
        <w:t>1）设备持续工作30min，白色葡萄球菌的杀灭率≥99.90%。</w:t>
      </w:r>
    </w:p>
    <w:p>
      <w:pPr>
        <w:rPr>
          <w:rFonts w:ascii="仿宋" w:hAnsi="仿宋" w:eastAsia="仿宋" w:cs="仿宋"/>
          <w:color w:val="auto"/>
          <w:sz w:val="28"/>
          <w:highlight w:val="none"/>
        </w:rPr>
      </w:pPr>
      <w:r>
        <w:rPr>
          <w:rFonts w:hint="eastAsia" w:ascii="仿宋" w:hAnsi="仿宋" w:eastAsia="仿宋" w:cs="仿宋"/>
          <w:color w:val="auto"/>
          <w:sz w:val="28"/>
          <w:highlight w:val="none"/>
        </w:rPr>
        <w:t>2）设备持续运行30min，对铜绿假单胞菌杀灭率≥99.98%，对龟分枝杆菌杀灭率≥99.99%，对黑曲霉菌杀灭率≥99.95%。</w:t>
      </w:r>
    </w:p>
    <w:p>
      <w:pPr>
        <w:rPr>
          <w:rFonts w:ascii="仿宋" w:hAnsi="仿宋" w:eastAsia="仿宋" w:cs="仿宋"/>
          <w:color w:val="auto"/>
          <w:sz w:val="28"/>
          <w:highlight w:val="none"/>
        </w:rPr>
      </w:pPr>
      <w:r>
        <w:rPr>
          <w:rFonts w:hint="eastAsia" w:ascii="仿宋" w:hAnsi="仿宋" w:eastAsia="仿宋" w:cs="仿宋"/>
          <w:color w:val="auto"/>
          <w:sz w:val="28"/>
          <w:highlight w:val="none"/>
        </w:rPr>
        <w:t xml:space="preserve">3）设备持续运行60min，对枯草杆菌黑色变种芽孢杀灭率≥99.99%。 </w:t>
      </w:r>
    </w:p>
    <w:p>
      <w:pPr>
        <w:rPr>
          <w:rFonts w:ascii="仿宋" w:hAnsi="仿宋" w:eastAsia="仿宋" w:cs="仿宋"/>
          <w:color w:val="auto"/>
          <w:sz w:val="28"/>
          <w:highlight w:val="none"/>
        </w:rPr>
      </w:pPr>
      <w:r>
        <w:rPr>
          <w:rFonts w:hint="eastAsia" w:ascii="仿宋" w:hAnsi="仿宋" w:eastAsia="仿宋" w:cs="仿宋"/>
          <w:color w:val="auto"/>
          <w:sz w:val="28"/>
          <w:highlight w:val="none"/>
        </w:rPr>
        <w:t>4）设备持续工作60min，对体积为130m3室内空气中的自然菌消亡率≥90%。</w:t>
      </w:r>
    </w:p>
    <w:p>
      <w:pPr>
        <w:rPr>
          <w:rFonts w:ascii="仿宋" w:hAnsi="仿宋" w:eastAsia="仿宋" w:cs="仿宋"/>
          <w:color w:val="auto"/>
          <w:sz w:val="28"/>
          <w:highlight w:val="none"/>
        </w:rPr>
      </w:pPr>
      <w:r>
        <w:rPr>
          <w:rFonts w:hint="eastAsia" w:ascii="仿宋" w:hAnsi="仿宋" w:eastAsia="仿宋" w:cs="仿宋"/>
          <w:color w:val="auto"/>
          <w:sz w:val="28"/>
          <w:highlight w:val="none"/>
        </w:rPr>
        <w:t>5）设备持续工作60min，对金黄色葡萄球菌杀灭率＞99.99%，对肺炎克雷伯氏菌杀灭率＞99.99%，对大肠杆菌杀灭率＞99.99%。</w:t>
      </w:r>
    </w:p>
    <w:p>
      <w:pPr>
        <w:rPr>
          <w:rFonts w:ascii="仿宋" w:hAnsi="仿宋" w:eastAsia="仿宋" w:cs="仿宋"/>
          <w:color w:val="auto"/>
          <w:sz w:val="28"/>
          <w:highlight w:val="none"/>
        </w:rPr>
      </w:pPr>
      <w:r>
        <w:rPr>
          <w:rFonts w:hint="eastAsia" w:ascii="仿宋" w:hAnsi="仿宋" w:eastAsia="仿宋" w:cs="仿宋"/>
          <w:color w:val="auto"/>
          <w:sz w:val="28"/>
          <w:highlight w:val="none"/>
        </w:rPr>
        <w:t>6）设备持续工作60min，对冠状病毒HCoV-229E杀灭率＞99.99%，对甲型流感病毒H1N1杀灭率＞99.99%。</w:t>
      </w:r>
    </w:p>
    <w:p>
      <w:pPr>
        <w:rPr>
          <w:rFonts w:ascii="仿宋" w:hAnsi="仿宋" w:eastAsia="仿宋" w:cs="仿宋"/>
          <w:b/>
          <w:bCs/>
          <w:color w:val="auto"/>
          <w:sz w:val="28"/>
          <w:highlight w:val="none"/>
        </w:rPr>
      </w:pPr>
      <w:r>
        <w:rPr>
          <w:rFonts w:hint="eastAsia" w:ascii="仿宋" w:hAnsi="仿宋" w:eastAsia="仿宋" w:cs="仿宋"/>
          <w:b/>
          <w:bCs/>
          <w:color w:val="auto"/>
          <w:sz w:val="28"/>
          <w:highlight w:val="none"/>
        </w:rPr>
        <w:t>五、功能及技术先进性要求：</w:t>
      </w:r>
    </w:p>
    <w:p>
      <w:pPr>
        <w:rPr>
          <w:rFonts w:ascii="仿宋" w:hAnsi="仿宋" w:eastAsia="仿宋" w:cs="仿宋"/>
          <w:color w:val="auto"/>
          <w:sz w:val="28"/>
          <w:highlight w:val="none"/>
        </w:rPr>
      </w:pPr>
      <w:r>
        <w:rPr>
          <w:rFonts w:hint="eastAsia" w:ascii="仿宋" w:hAnsi="仿宋" w:eastAsia="仿宋" w:cs="仿宋"/>
          <w:color w:val="auto"/>
          <w:sz w:val="28"/>
          <w:highlight w:val="none"/>
        </w:rPr>
        <w:t>1、采用远程红外线遥控，可实时显示北京时间，故障报警，可查询显示累计时间等。</w:t>
      </w:r>
    </w:p>
    <w:p>
      <w:pPr>
        <w:rPr>
          <w:rFonts w:ascii="仿宋" w:hAnsi="仿宋" w:eastAsia="仿宋" w:cs="仿宋"/>
          <w:color w:val="auto"/>
          <w:sz w:val="28"/>
          <w:highlight w:val="none"/>
        </w:rPr>
      </w:pPr>
      <w:r>
        <w:rPr>
          <w:rFonts w:hint="eastAsia" w:ascii="仿宋" w:hAnsi="仿宋" w:eastAsia="仿宋" w:cs="仿宋"/>
          <w:color w:val="auto"/>
          <w:sz w:val="28"/>
          <w:highlight w:val="none"/>
        </w:rPr>
        <w:t xml:space="preserve">2、高、中、低三挡可调风速供用户选择；手控、遥控多种控制方式供用户选择；手动、定时、临时多种工作模式方便用户操作；控制器上设有一键锁定功能，防止误操作。 </w:t>
      </w:r>
    </w:p>
    <w:p>
      <w:pPr>
        <w:rPr>
          <w:rFonts w:ascii="仿宋" w:hAnsi="仿宋" w:eastAsia="仿宋" w:cs="仿宋"/>
          <w:color w:val="auto"/>
          <w:sz w:val="28"/>
          <w:highlight w:val="none"/>
        </w:rPr>
      </w:pPr>
      <w:r>
        <w:rPr>
          <w:rFonts w:hint="eastAsia" w:ascii="仿宋" w:hAnsi="仿宋" w:eastAsia="仿宋" w:cs="仿宋"/>
          <w:color w:val="auto"/>
          <w:sz w:val="28"/>
          <w:highlight w:val="none"/>
        </w:rPr>
        <w:t xml:space="preserve">3、程控数量（定时消毒）≥6组，具备工作时间自动累计功能，满足临床需求。 </w:t>
      </w:r>
    </w:p>
    <w:p>
      <w:pPr>
        <w:rPr>
          <w:rFonts w:ascii="仿宋" w:hAnsi="仿宋" w:eastAsia="仿宋" w:cs="仿宋"/>
          <w:color w:val="auto"/>
          <w:sz w:val="28"/>
          <w:highlight w:val="none"/>
        </w:rPr>
      </w:pPr>
      <w:r>
        <w:rPr>
          <w:rFonts w:hint="eastAsia" w:ascii="仿宋" w:hAnsi="仿宋" w:eastAsia="仿宋" w:cs="仿宋"/>
          <w:color w:val="auto"/>
          <w:sz w:val="28"/>
          <w:highlight w:val="none"/>
        </w:rPr>
        <w:t>4、产品具有报警功能，紫外线消毒模块故障报警、过滤器清洗维护报警、风机故障报警。</w:t>
      </w:r>
    </w:p>
    <w:p>
      <w:pPr>
        <w:rPr>
          <w:rFonts w:ascii="仿宋" w:hAnsi="仿宋" w:eastAsia="仿宋" w:cs="仿宋"/>
          <w:b/>
          <w:bCs/>
          <w:color w:val="auto"/>
          <w:sz w:val="28"/>
          <w:highlight w:val="none"/>
        </w:rPr>
      </w:pPr>
      <w:r>
        <w:rPr>
          <w:rFonts w:hint="eastAsia" w:ascii="仿宋" w:hAnsi="仿宋" w:eastAsia="仿宋" w:cs="仿宋"/>
          <w:b/>
          <w:bCs/>
          <w:color w:val="auto"/>
          <w:sz w:val="28"/>
          <w:highlight w:val="none"/>
        </w:rPr>
        <w:t>六、质量要求：</w:t>
      </w:r>
    </w:p>
    <w:p>
      <w:pPr>
        <w:rPr>
          <w:rFonts w:ascii="仿宋" w:hAnsi="仿宋" w:eastAsia="仿宋" w:cs="仿宋"/>
          <w:color w:val="auto"/>
          <w:sz w:val="28"/>
          <w:highlight w:val="none"/>
        </w:rPr>
      </w:pPr>
      <w:r>
        <w:rPr>
          <w:rFonts w:hint="eastAsia" w:ascii="仿宋" w:hAnsi="仿宋" w:eastAsia="仿宋" w:cs="仿宋"/>
          <w:color w:val="auto"/>
          <w:sz w:val="28"/>
          <w:highlight w:val="none"/>
        </w:rPr>
        <w:t>*1、 产品证件齐全，具有国家颁发的卫生许可证、生产许可证、经营许可证。</w:t>
      </w:r>
    </w:p>
    <w:p>
      <w:pPr>
        <w:rPr>
          <w:rFonts w:ascii="仿宋" w:hAnsi="仿宋" w:eastAsia="仿宋" w:cs="仿宋"/>
          <w:color w:val="auto"/>
          <w:sz w:val="28"/>
          <w:highlight w:val="none"/>
        </w:rPr>
      </w:pPr>
      <w:r>
        <w:rPr>
          <w:rFonts w:hint="eastAsia" w:ascii="仿宋" w:hAnsi="仿宋" w:eastAsia="仿宋" w:cs="仿宋"/>
          <w:color w:val="auto"/>
          <w:sz w:val="28"/>
          <w:highlight w:val="none"/>
        </w:rPr>
        <w:br w:type="page"/>
      </w:r>
    </w:p>
    <w:p>
      <w:pP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品目二：壁挂式紫外线空气消毒器</w:t>
      </w:r>
    </w:p>
    <w:p>
      <w:pPr>
        <w:rPr>
          <w:rFonts w:ascii="宋体" w:hAnsi="宋体"/>
          <w:b/>
          <w:bCs/>
          <w:color w:val="auto"/>
          <w:sz w:val="28"/>
          <w:szCs w:val="28"/>
          <w:highlight w:val="none"/>
        </w:rPr>
      </w:pPr>
    </w:p>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技术参数：</w:t>
      </w:r>
    </w:p>
    <w:p>
      <w:pPr>
        <w:rPr>
          <w:rFonts w:ascii="仿宋" w:hAnsi="仿宋" w:eastAsia="仿宋" w:cs="仿宋"/>
          <w:color w:val="auto"/>
          <w:sz w:val="28"/>
          <w:highlight w:val="none"/>
        </w:rPr>
      </w:pPr>
      <w:r>
        <w:rPr>
          <w:rFonts w:hint="eastAsia" w:ascii="仿宋" w:hAnsi="仿宋" w:eastAsia="仿宋" w:cs="仿宋"/>
          <w:b/>
          <w:bCs/>
          <w:color w:val="auto"/>
          <w:sz w:val="28"/>
          <w:highlight w:val="none"/>
        </w:rPr>
        <w:t>一、产品名称：</w:t>
      </w:r>
      <w:r>
        <w:rPr>
          <w:rFonts w:hint="eastAsia" w:ascii="仿宋" w:hAnsi="仿宋" w:eastAsia="仿宋" w:cs="仿宋"/>
          <w:color w:val="auto"/>
          <w:sz w:val="28"/>
          <w:highlight w:val="none"/>
        </w:rPr>
        <w:t>紫外线空气消毒器</w:t>
      </w:r>
    </w:p>
    <w:p>
      <w:pPr>
        <w:rPr>
          <w:rFonts w:ascii="仿宋" w:hAnsi="仿宋" w:eastAsia="仿宋" w:cs="仿宋"/>
          <w:color w:val="auto"/>
          <w:sz w:val="28"/>
          <w:highlight w:val="none"/>
        </w:rPr>
      </w:pPr>
      <w:r>
        <w:rPr>
          <w:rFonts w:hint="eastAsia" w:ascii="仿宋" w:hAnsi="仿宋" w:eastAsia="仿宋" w:cs="仿宋"/>
          <w:b/>
          <w:bCs/>
          <w:color w:val="auto"/>
          <w:sz w:val="28"/>
          <w:highlight w:val="none"/>
        </w:rPr>
        <w:t>二、产品用途：</w:t>
      </w:r>
      <w:r>
        <w:rPr>
          <w:rFonts w:hint="eastAsia" w:ascii="仿宋" w:hAnsi="仿宋" w:eastAsia="仿宋" w:cs="仿宋"/>
          <w:color w:val="auto"/>
          <w:sz w:val="28"/>
          <w:highlight w:val="none"/>
        </w:rPr>
        <w:t>适用于普通手术室、产房、血液病区、烧伤病区、保护性隔离病区、重症监护病区的空气消毒；消毒供应中心检查包装灭菌区和无菌物品存放区、重症透析中心的空气消毒；检查室、治疗室、感染性疾病诊室等场所的空气消毒。</w:t>
      </w:r>
    </w:p>
    <w:p>
      <w:pPr>
        <w:rPr>
          <w:rFonts w:ascii="仿宋" w:hAnsi="仿宋" w:eastAsia="仿宋" w:cs="仿宋"/>
          <w:b/>
          <w:bCs/>
          <w:color w:val="auto"/>
          <w:sz w:val="28"/>
          <w:highlight w:val="none"/>
        </w:rPr>
      </w:pPr>
      <w:r>
        <w:rPr>
          <w:rFonts w:hint="eastAsia" w:ascii="仿宋" w:hAnsi="仿宋" w:eastAsia="仿宋" w:cs="仿宋"/>
          <w:b/>
          <w:bCs/>
          <w:color w:val="auto"/>
          <w:sz w:val="28"/>
          <w:highlight w:val="none"/>
        </w:rPr>
        <w:t>三、技术参数要求：</w:t>
      </w:r>
    </w:p>
    <w:p>
      <w:pPr>
        <w:rPr>
          <w:rFonts w:ascii="仿宋" w:hAnsi="仿宋" w:eastAsia="仿宋" w:cs="仿宋"/>
          <w:color w:val="auto"/>
          <w:sz w:val="28"/>
          <w:highlight w:val="none"/>
        </w:rPr>
      </w:pPr>
      <w:r>
        <w:rPr>
          <w:rFonts w:hint="eastAsia" w:ascii="仿宋" w:hAnsi="仿宋" w:eastAsia="仿宋" w:cs="仿宋"/>
          <w:color w:val="auto"/>
          <w:sz w:val="28"/>
          <w:highlight w:val="none"/>
        </w:rPr>
        <w:t>1、采用紫外线消毒，杀菌广谱、彻底；内含过滤器，可有效过滤毛发、粉尘等大尘埃颗粒。</w:t>
      </w:r>
    </w:p>
    <w:p>
      <w:pPr>
        <w:rPr>
          <w:rFonts w:ascii="仿宋" w:hAnsi="仿宋" w:eastAsia="仿宋" w:cs="仿宋"/>
          <w:color w:val="auto"/>
          <w:sz w:val="28"/>
          <w:highlight w:val="none"/>
        </w:rPr>
      </w:pPr>
      <w:r>
        <w:rPr>
          <w:rFonts w:hint="eastAsia" w:ascii="仿宋" w:hAnsi="仿宋" w:eastAsia="仿宋" w:cs="仿宋"/>
          <w:color w:val="auto"/>
          <w:sz w:val="28"/>
          <w:highlight w:val="none"/>
        </w:rPr>
        <w:t>*2、紫外线空气消毒器壳体壳体采用优质冷轧钢板，结构强度高，完全阻燃；表面静电喷涂，防尘效果好、使用寿命长、安全系数高。</w:t>
      </w:r>
    </w:p>
    <w:p>
      <w:pPr>
        <w:rPr>
          <w:rFonts w:ascii="仿宋" w:hAnsi="仿宋" w:eastAsia="仿宋" w:cs="仿宋"/>
          <w:color w:val="auto"/>
          <w:sz w:val="28"/>
          <w:highlight w:val="none"/>
        </w:rPr>
      </w:pPr>
      <w:r>
        <w:rPr>
          <w:rFonts w:hint="eastAsia" w:ascii="仿宋" w:hAnsi="仿宋" w:eastAsia="仿宋" w:cs="仿宋"/>
          <w:color w:val="auto"/>
          <w:sz w:val="28"/>
          <w:highlight w:val="none"/>
        </w:rPr>
        <w:t>3、外观尺寸≤1050×340×170（mm3），采用壁挂式安装方式，不占用地面空间。</w:t>
      </w:r>
    </w:p>
    <w:p>
      <w:pPr>
        <w:rPr>
          <w:rFonts w:ascii="仿宋" w:hAnsi="仿宋" w:eastAsia="仿宋" w:cs="仿宋"/>
          <w:color w:val="auto"/>
          <w:sz w:val="28"/>
          <w:highlight w:val="none"/>
        </w:rPr>
      </w:pPr>
      <w:r>
        <w:rPr>
          <w:rFonts w:hint="eastAsia" w:ascii="仿宋" w:hAnsi="仿宋" w:eastAsia="仿宋" w:cs="仿宋"/>
          <w:color w:val="auto"/>
          <w:sz w:val="28"/>
          <w:highlight w:val="none"/>
        </w:rPr>
        <w:t xml:space="preserve">4、人机共存，可在有人状态下进行连续动态消毒，对人及物品没有任何伤害。 </w:t>
      </w:r>
    </w:p>
    <w:p>
      <w:pPr>
        <w:rPr>
          <w:rFonts w:ascii="仿宋" w:hAnsi="仿宋" w:eastAsia="仿宋" w:cs="仿宋"/>
          <w:color w:val="auto"/>
          <w:sz w:val="28"/>
          <w:highlight w:val="none"/>
        </w:rPr>
      </w:pPr>
      <w:r>
        <w:rPr>
          <w:rFonts w:hint="eastAsia" w:ascii="仿宋" w:hAnsi="仿宋" w:eastAsia="仿宋" w:cs="仿宋"/>
          <w:color w:val="auto"/>
          <w:sz w:val="28"/>
          <w:highlight w:val="none"/>
        </w:rPr>
        <w:t xml:space="preserve">5、整机重量≤16kg，额定循环风量≥1000m³/h，可适用100m³体积以下的场所。 </w:t>
      </w:r>
    </w:p>
    <w:p>
      <w:pPr>
        <w:rPr>
          <w:rFonts w:ascii="仿宋" w:hAnsi="仿宋" w:eastAsia="仿宋" w:cs="仿宋"/>
          <w:color w:val="auto"/>
          <w:sz w:val="28"/>
          <w:highlight w:val="none"/>
        </w:rPr>
      </w:pPr>
      <w:r>
        <w:rPr>
          <w:rFonts w:hint="eastAsia" w:ascii="仿宋" w:hAnsi="仿宋" w:eastAsia="仿宋" w:cs="仿宋"/>
          <w:color w:val="auto"/>
          <w:sz w:val="28"/>
          <w:highlight w:val="none"/>
        </w:rPr>
        <w:t>6、额定功率190W±19W；电源AC220V 50Hz。</w:t>
      </w:r>
    </w:p>
    <w:p>
      <w:pPr>
        <w:rPr>
          <w:rFonts w:ascii="仿宋" w:hAnsi="仿宋" w:eastAsia="仿宋" w:cs="仿宋"/>
          <w:color w:val="auto"/>
          <w:sz w:val="28"/>
          <w:highlight w:val="none"/>
        </w:rPr>
      </w:pPr>
      <w:r>
        <w:rPr>
          <w:rFonts w:hint="eastAsia" w:ascii="仿宋" w:hAnsi="仿宋" w:eastAsia="仿宋" w:cs="仿宋"/>
          <w:color w:val="auto"/>
          <w:sz w:val="28"/>
          <w:highlight w:val="none"/>
        </w:rPr>
        <w:t>*7、紫外线杀菌灯寿命≥8000h。（提供检测报告）</w:t>
      </w:r>
    </w:p>
    <w:p>
      <w:pPr>
        <w:rPr>
          <w:rFonts w:ascii="仿宋" w:hAnsi="仿宋" w:eastAsia="仿宋" w:cs="仿宋"/>
          <w:color w:val="auto"/>
          <w:sz w:val="28"/>
          <w:highlight w:val="none"/>
        </w:rPr>
      </w:pPr>
      <w:r>
        <w:rPr>
          <w:rFonts w:hint="eastAsia" w:ascii="仿宋" w:hAnsi="仿宋" w:eastAsia="仿宋" w:cs="仿宋"/>
          <w:color w:val="auto"/>
          <w:sz w:val="28"/>
          <w:highlight w:val="none"/>
        </w:rPr>
        <w:t>*8、配备负离子发生器，所产生负离子密度≥6×106个/cm3。（提供检测报告）</w:t>
      </w:r>
    </w:p>
    <w:p>
      <w:pPr>
        <w:rPr>
          <w:rFonts w:ascii="仿宋" w:hAnsi="仿宋" w:eastAsia="仿宋" w:cs="仿宋"/>
          <w:color w:val="auto"/>
          <w:sz w:val="28"/>
          <w:highlight w:val="none"/>
        </w:rPr>
      </w:pPr>
      <w:r>
        <w:rPr>
          <w:rFonts w:hint="eastAsia" w:ascii="仿宋" w:hAnsi="仿宋" w:eastAsia="仿宋" w:cs="仿宋"/>
          <w:color w:val="auto"/>
          <w:sz w:val="28"/>
          <w:highlight w:val="none"/>
        </w:rPr>
        <w:t>*9、光触媒抗菌除异味，采用电镜平均粒径≤10nm的锐钛型二氧化钛做光触媒，可有效的降解甲醛、苯、甲苯、二甲苯、TVOC等污染物，并具有高效广谱的消毒性能，能够杀灭和抑制细菌、真菌和病毒的存活。</w:t>
      </w:r>
    </w:p>
    <w:p>
      <w:pPr>
        <w:rPr>
          <w:rFonts w:ascii="仿宋" w:hAnsi="仿宋" w:eastAsia="仿宋" w:cs="仿宋"/>
          <w:color w:val="auto"/>
          <w:sz w:val="28"/>
          <w:highlight w:val="none"/>
        </w:rPr>
      </w:pPr>
      <w:r>
        <w:rPr>
          <w:rFonts w:hint="eastAsia" w:ascii="仿宋" w:hAnsi="仿宋" w:eastAsia="仿宋" w:cs="仿宋"/>
          <w:color w:val="auto"/>
          <w:sz w:val="28"/>
          <w:highlight w:val="none"/>
        </w:rPr>
        <w:t>*10、设备持续工作1h，臭氧残留量＜0.0003mg/m³。（提供检测报告）</w:t>
      </w:r>
    </w:p>
    <w:p>
      <w:pPr>
        <w:rPr>
          <w:rFonts w:ascii="仿宋" w:hAnsi="仿宋" w:eastAsia="仿宋" w:cs="仿宋"/>
          <w:color w:val="auto"/>
          <w:sz w:val="28"/>
          <w:highlight w:val="none"/>
        </w:rPr>
      </w:pPr>
      <w:r>
        <w:rPr>
          <w:rFonts w:hint="eastAsia" w:ascii="仿宋" w:hAnsi="仿宋" w:eastAsia="仿宋" w:cs="仿宋"/>
          <w:color w:val="auto"/>
          <w:sz w:val="28"/>
          <w:highlight w:val="none"/>
        </w:rPr>
        <w:t>11、紫外线泄漏量≤5μW/cm2。（提供检测报告）</w:t>
      </w:r>
    </w:p>
    <w:p>
      <w:pPr>
        <w:rPr>
          <w:rFonts w:ascii="仿宋" w:hAnsi="仿宋" w:eastAsia="仿宋" w:cs="仿宋"/>
          <w:color w:val="auto"/>
          <w:sz w:val="28"/>
          <w:highlight w:val="none"/>
        </w:rPr>
      </w:pPr>
      <w:r>
        <w:rPr>
          <w:rFonts w:hint="eastAsia" w:ascii="仿宋" w:hAnsi="仿宋" w:eastAsia="仿宋" w:cs="仿宋"/>
          <w:color w:val="auto"/>
          <w:sz w:val="28"/>
          <w:highlight w:val="none"/>
        </w:rPr>
        <w:t>12、机内紫外线辐射照度：≥25000uw/cm2。（提供省级疾控中心或第三方检测机构检测报告）。</w:t>
      </w:r>
    </w:p>
    <w:p>
      <w:pPr>
        <w:rPr>
          <w:rFonts w:ascii="仿宋" w:hAnsi="仿宋" w:eastAsia="仿宋" w:cs="仿宋"/>
          <w:b/>
          <w:bCs/>
          <w:color w:val="auto"/>
          <w:sz w:val="28"/>
          <w:highlight w:val="none"/>
        </w:rPr>
      </w:pPr>
      <w:r>
        <w:rPr>
          <w:rFonts w:hint="eastAsia" w:ascii="仿宋" w:hAnsi="仿宋" w:eastAsia="仿宋" w:cs="仿宋"/>
          <w:b/>
          <w:bCs/>
          <w:color w:val="auto"/>
          <w:sz w:val="28"/>
          <w:highlight w:val="none"/>
        </w:rPr>
        <w:t>四、净化消毒效果要求：</w:t>
      </w:r>
    </w:p>
    <w:p>
      <w:pPr>
        <w:rPr>
          <w:rFonts w:ascii="仿宋" w:hAnsi="仿宋" w:eastAsia="仿宋" w:cs="仿宋"/>
          <w:color w:val="auto"/>
          <w:sz w:val="28"/>
          <w:highlight w:val="none"/>
        </w:rPr>
      </w:pPr>
      <w:r>
        <w:rPr>
          <w:rFonts w:hint="eastAsia" w:ascii="仿宋" w:hAnsi="仿宋" w:eastAsia="仿宋" w:cs="仿宋"/>
          <w:color w:val="auto"/>
          <w:sz w:val="28"/>
          <w:highlight w:val="none"/>
        </w:rPr>
        <w:t>*1、净化消毒效果要求：（提供省级疾控中心或第三方检测机构检测报告）</w:t>
      </w:r>
    </w:p>
    <w:p>
      <w:pPr>
        <w:rPr>
          <w:rFonts w:ascii="仿宋" w:hAnsi="仿宋" w:eastAsia="仿宋" w:cs="仿宋"/>
          <w:color w:val="auto"/>
          <w:sz w:val="28"/>
          <w:highlight w:val="none"/>
        </w:rPr>
      </w:pPr>
      <w:r>
        <w:rPr>
          <w:rFonts w:hint="eastAsia" w:ascii="仿宋" w:hAnsi="仿宋" w:eastAsia="仿宋" w:cs="仿宋"/>
          <w:color w:val="auto"/>
          <w:sz w:val="28"/>
          <w:highlight w:val="none"/>
        </w:rPr>
        <w:t>1）对白色葡萄球菌的杀灭率＞99.9%。</w:t>
      </w:r>
    </w:p>
    <w:p>
      <w:pPr>
        <w:rPr>
          <w:rFonts w:ascii="仿宋" w:hAnsi="仿宋" w:eastAsia="仿宋" w:cs="仿宋"/>
          <w:color w:val="auto"/>
          <w:sz w:val="28"/>
          <w:highlight w:val="none"/>
        </w:rPr>
      </w:pPr>
      <w:r>
        <w:rPr>
          <w:rFonts w:hint="eastAsia" w:ascii="仿宋" w:hAnsi="仿宋" w:eastAsia="仿宋" w:cs="仿宋"/>
          <w:color w:val="auto"/>
          <w:sz w:val="28"/>
          <w:highlight w:val="none"/>
        </w:rPr>
        <w:t>2）设备持续运行30min，对铜绿假单胞菌杀灭率≥99.98%，对龟分枝杆菌杀灭率≥99.99%，对黑曲霉菌杀灭率≥99.95%。</w:t>
      </w:r>
    </w:p>
    <w:p>
      <w:pPr>
        <w:rPr>
          <w:rFonts w:ascii="仿宋" w:hAnsi="仿宋" w:eastAsia="仿宋" w:cs="仿宋"/>
          <w:color w:val="auto"/>
          <w:sz w:val="28"/>
          <w:highlight w:val="none"/>
        </w:rPr>
      </w:pPr>
      <w:r>
        <w:rPr>
          <w:rFonts w:hint="eastAsia" w:ascii="仿宋" w:hAnsi="仿宋" w:eastAsia="仿宋" w:cs="仿宋"/>
          <w:color w:val="auto"/>
          <w:sz w:val="28"/>
          <w:highlight w:val="none"/>
        </w:rPr>
        <w:t>3）设备持续运行60min，对枯草杆菌黑色变种芽孢杀灭率≥99.99%。</w:t>
      </w:r>
    </w:p>
    <w:p>
      <w:pPr>
        <w:rPr>
          <w:rFonts w:ascii="仿宋" w:hAnsi="仿宋" w:eastAsia="仿宋" w:cs="仿宋"/>
          <w:color w:val="auto"/>
          <w:sz w:val="28"/>
          <w:highlight w:val="none"/>
        </w:rPr>
      </w:pPr>
      <w:r>
        <w:rPr>
          <w:rFonts w:hint="eastAsia" w:ascii="仿宋" w:hAnsi="仿宋" w:eastAsia="仿宋" w:cs="仿宋"/>
          <w:color w:val="auto"/>
          <w:sz w:val="28"/>
          <w:highlight w:val="none"/>
        </w:rPr>
        <w:t>4）设备持续工作1h，对体积为100 m3室内空气中的自然菌消亡率均＞90%。</w:t>
      </w:r>
    </w:p>
    <w:p>
      <w:pPr>
        <w:rPr>
          <w:rFonts w:ascii="仿宋" w:hAnsi="仿宋" w:eastAsia="仿宋" w:cs="仿宋"/>
          <w:color w:val="auto"/>
          <w:sz w:val="28"/>
          <w:highlight w:val="none"/>
        </w:rPr>
      </w:pPr>
      <w:r>
        <w:rPr>
          <w:rFonts w:hint="eastAsia" w:ascii="仿宋" w:hAnsi="仿宋" w:eastAsia="仿宋" w:cs="仿宋"/>
          <w:color w:val="auto"/>
          <w:sz w:val="28"/>
          <w:highlight w:val="none"/>
        </w:rPr>
        <w:t>5）设备持续工作60min，对金黄色葡萄球菌杀灭率＞99.99%，对肺炎克雷伯氏菌杀灭率＞99.99%，对大肠杆菌杀灭率＞99.99%。</w:t>
      </w:r>
    </w:p>
    <w:p>
      <w:pPr>
        <w:rPr>
          <w:rFonts w:ascii="仿宋" w:hAnsi="仿宋" w:eastAsia="仿宋" w:cs="仿宋"/>
          <w:color w:val="auto"/>
          <w:sz w:val="28"/>
          <w:highlight w:val="none"/>
        </w:rPr>
      </w:pPr>
      <w:r>
        <w:rPr>
          <w:rFonts w:hint="eastAsia" w:ascii="仿宋" w:hAnsi="仿宋" w:eastAsia="仿宋" w:cs="仿宋"/>
          <w:color w:val="auto"/>
          <w:sz w:val="28"/>
          <w:highlight w:val="none"/>
        </w:rPr>
        <w:t>6）设备持续工作60min，对冠状病毒HCoV-229E杀灭率＞99.99%，对甲型流感病毒H1N1杀灭率＞99.99%。</w:t>
      </w:r>
    </w:p>
    <w:p>
      <w:pPr>
        <w:rPr>
          <w:rFonts w:ascii="仿宋" w:hAnsi="仿宋" w:eastAsia="仿宋" w:cs="仿宋"/>
          <w:b/>
          <w:bCs/>
          <w:color w:val="auto"/>
          <w:sz w:val="28"/>
          <w:highlight w:val="none"/>
        </w:rPr>
      </w:pPr>
      <w:r>
        <w:rPr>
          <w:rFonts w:hint="eastAsia" w:ascii="仿宋" w:hAnsi="仿宋" w:eastAsia="仿宋" w:cs="仿宋"/>
          <w:b/>
          <w:bCs/>
          <w:color w:val="auto"/>
          <w:sz w:val="28"/>
          <w:highlight w:val="none"/>
        </w:rPr>
        <w:t>五、功能及技术先进性要求：</w:t>
      </w:r>
    </w:p>
    <w:p>
      <w:pPr>
        <w:rPr>
          <w:rFonts w:ascii="仿宋" w:hAnsi="仿宋" w:eastAsia="仿宋" w:cs="仿宋"/>
          <w:color w:val="auto"/>
          <w:sz w:val="28"/>
          <w:highlight w:val="none"/>
        </w:rPr>
      </w:pPr>
      <w:r>
        <w:rPr>
          <w:rFonts w:hint="eastAsia" w:ascii="仿宋" w:hAnsi="仿宋" w:eastAsia="仿宋" w:cs="仿宋"/>
          <w:color w:val="auto"/>
          <w:sz w:val="28"/>
          <w:highlight w:val="none"/>
        </w:rPr>
        <w:t>1、采用远程红外线遥控，可显示北京时间，故障报警，可查询显示累计时间等。</w:t>
      </w:r>
    </w:p>
    <w:p>
      <w:pPr>
        <w:rPr>
          <w:rFonts w:ascii="仿宋" w:hAnsi="仿宋" w:eastAsia="仿宋" w:cs="仿宋"/>
          <w:color w:val="auto"/>
          <w:sz w:val="28"/>
          <w:highlight w:val="none"/>
        </w:rPr>
      </w:pPr>
      <w:r>
        <w:rPr>
          <w:rFonts w:hint="eastAsia" w:ascii="仿宋" w:hAnsi="仿宋" w:eastAsia="仿宋" w:cs="仿宋"/>
          <w:color w:val="auto"/>
          <w:sz w:val="28"/>
          <w:highlight w:val="none"/>
        </w:rPr>
        <w:t xml:space="preserve">2、高、中、低三挡可调风速供用户选择；手控、遥控多种控制方式供用户选择。手动、定时、临时多种工作模式方便用户操作；控制器上设有一键锁定功能，防止误操作。 </w:t>
      </w:r>
    </w:p>
    <w:p>
      <w:pPr>
        <w:rPr>
          <w:rFonts w:ascii="仿宋" w:hAnsi="仿宋" w:eastAsia="仿宋" w:cs="仿宋"/>
          <w:color w:val="auto"/>
          <w:sz w:val="28"/>
          <w:highlight w:val="none"/>
        </w:rPr>
      </w:pPr>
      <w:r>
        <w:rPr>
          <w:rFonts w:hint="eastAsia" w:ascii="仿宋" w:hAnsi="仿宋" w:eastAsia="仿宋" w:cs="仿宋"/>
          <w:color w:val="auto"/>
          <w:sz w:val="28"/>
          <w:highlight w:val="none"/>
        </w:rPr>
        <w:t xml:space="preserve">3、程控数量（定时消毒）≥6组，具备工作时间自动累计功能，满足临床需求。 </w:t>
      </w:r>
    </w:p>
    <w:p>
      <w:pPr>
        <w:rPr>
          <w:rFonts w:ascii="仿宋" w:hAnsi="仿宋" w:eastAsia="仿宋" w:cs="仿宋"/>
          <w:color w:val="auto"/>
          <w:sz w:val="28"/>
          <w:highlight w:val="none"/>
        </w:rPr>
      </w:pPr>
      <w:r>
        <w:rPr>
          <w:rFonts w:hint="eastAsia" w:ascii="仿宋" w:hAnsi="仿宋" w:eastAsia="仿宋" w:cs="仿宋"/>
          <w:color w:val="auto"/>
          <w:sz w:val="28"/>
          <w:highlight w:val="none"/>
        </w:rPr>
        <w:t>4、产品具有报警功能，紫外灯消毒模块故障报警、过滤器清洗维护报警、风机故障报警。</w:t>
      </w:r>
    </w:p>
    <w:p>
      <w:pPr>
        <w:rPr>
          <w:rFonts w:ascii="仿宋" w:hAnsi="仿宋" w:eastAsia="仿宋" w:cs="仿宋"/>
          <w:b/>
          <w:bCs/>
          <w:color w:val="auto"/>
          <w:sz w:val="28"/>
          <w:highlight w:val="none"/>
        </w:rPr>
      </w:pPr>
      <w:r>
        <w:rPr>
          <w:rFonts w:hint="eastAsia" w:ascii="仿宋" w:hAnsi="仿宋" w:eastAsia="仿宋" w:cs="仿宋"/>
          <w:b/>
          <w:bCs/>
          <w:color w:val="auto"/>
          <w:sz w:val="28"/>
          <w:highlight w:val="none"/>
        </w:rPr>
        <w:t>六、质量要求：</w:t>
      </w:r>
    </w:p>
    <w:p>
      <w:pPr>
        <w:rPr>
          <w:rFonts w:ascii="仿宋" w:hAnsi="仿宋" w:eastAsia="仿宋" w:cs="仿宋"/>
          <w:color w:val="auto"/>
          <w:sz w:val="28"/>
          <w:highlight w:val="none"/>
        </w:rPr>
      </w:pPr>
      <w:r>
        <w:rPr>
          <w:rFonts w:hint="eastAsia" w:ascii="仿宋" w:hAnsi="仿宋" w:eastAsia="仿宋" w:cs="仿宋"/>
          <w:color w:val="auto"/>
          <w:sz w:val="28"/>
          <w:highlight w:val="none"/>
        </w:rPr>
        <w:t>*1、 产品证件齐全，具有国家颁发的卫生许可证、生产许可证、经营许可证。</w:t>
      </w:r>
    </w:p>
    <w:p>
      <w:pPr>
        <w:rPr>
          <w:rFonts w:ascii="仿宋" w:hAnsi="仿宋" w:eastAsia="仿宋" w:cs="仿宋"/>
          <w:color w:val="auto"/>
          <w:sz w:val="28"/>
          <w:highlight w:val="none"/>
        </w:rPr>
      </w:pPr>
      <w:r>
        <w:rPr>
          <w:rFonts w:hint="eastAsia" w:ascii="仿宋" w:hAnsi="仿宋" w:eastAsia="仿宋" w:cs="仿宋"/>
          <w:color w:val="auto"/>
          <w:sz w:val="28"/>
          <w:highlight w:val="none"/>
        </w:rPr>
        <w:br w:type="page"/>
      </w:r>
    </w:p>
    <w:bookmarkEnd w:id="17"/>
    <w:p>
      <w:pPr>
        <w:pStyle w:val="16"/>
        <w:rPr>
          <w:rFonts w:ascii="仿宋" w:hAnsi="仿宋" w:cs="仿宋"/>
          <w:color w:val="auto"/>
          <w:highlight w:val="none"/>
        </w:rPr>
      </w:pPr>
      <w:bookmarkStart w:id="18" w:name="_Toc20094"/>
      <w:r>
        <w:rPr>
          <w:rFonts w:hint="eastAsia" w:ascii="仿宋" w:hAnsi="仿宋" w:cs="仿宋"/>
          <w:color w:val="auto"/>
          <w:highlight w:val="none"/>
        </w:rPr>
        <w:t>第四章 合同主要条款</w:t>
      </w:r>
      <w:bookmarkEnd w:id="18"/>
    </w:p>
    <w:p>
      <w:pPr>
        <w:pStyle w:val="27"/>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1. 质量要求、技术标准及卖方对质量负责的条件期限。</w:t>
      </w:r>
    </w:p>
    <w:p>
      <w:pPr>
        <w:pStyle w:val="27"/>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1.1 卖方应严格按照系统制造国家标准和行业标准进行制造。出厂前卖方的质量检验部门应按照产品原产地国家制定的各项规定进行产品质量检验，检验合格后出具质量证明书后，方能出厂。</w:t>
      </w:r>
    </w:p>
    <w:p>
      <w:pPr>
        <w:pStyle w:val="27"/>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1.2 卖方对系统制造质量负责，在买方按照使用维护说明书的规定正确的安装维护及存放的情况下，卖方应保证所供系统自正式投入运行之日起24个月内无故障，如确因设计和制造质量不良而发生损坏或并非因维护操作不当导致不能正常使用，卖方应按国务院发布的《工业产品质量责任条例》在接到买方通知之日起1日内派人抵达系统使用现场处理，并承担相应的经济责任。</w:t>
      </w:r>
    </w:p>
    <w:p>
      <w:pPr>
        <w:pStyle w:val="27"/>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1.3卖方应对所供应系统的外协、外购件质量负责，其负责期限和责任范围等同于1.2条款的约定。卖方在交货时应提供外购件的使用维护说明书及证明文件。</w:t>
      </w:r>
    </w:p>
    <w:p>
      <w:pPr>
        <w:pStyle w:val="27"/>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1.4 卖方单位所提供产品的技术应是最新的,并且已有运行3年以上的成功经验,并附有证明文件。</w:t>
      </w:r>
    </w:p>
    <w:p>
      <w:pPr>
        <w:pStyle w:val="27"/>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2. 运输方式、交货地点及到达项目现场费用负担</w:t>
      </w:r>
    </w:p>
    <w:p>
      <w:pPr>
        <w:pStyle w:val="27"/>
        <w:spacing w:line="520" w:lineRule="exact"/>
        <w:ind w:firstLine="560"/>
        <w:rPr>
          <w:rFonts w:ascii="仿宋" w:hAnsi="仿宋" w:eastAsia="仿宋" w:cs="仿宋"/>
          <w:color w:val="auto"/>
          <w:highlight w:val="none"/>
        </w:rPr>
      </w:pPr>
      <w:r>
        <w:rPr>
          <w:rFonts w:hint="eastAsia" w:ascii="仿宋" w:hAnsi="仿宋" w:eastAsia="仿宋" w:cs="仿宋"/>
          <w:color w:val="auto"/>
          <w:highlight w:val="none"/>
        </w:rPr>
        <w:t>2.1 运输方式由卖方决定、由卖方办理，运杂费用由卖方承担，产品包装应符合国家有关要求。</w:t>
      </w:r>
    </w:p>
    <w:p>
      <w:pPr>
        <w:pStyle w:val="27"/>
        <w:spacing w:line="520" w:lineRule="exact"/>
        <w:ind w:firstLine="562"/>
        <w:rPr>
          <w:rFonts w:ascii="仿宋" w:hAnsi="仿宋" w:eastAsia="仿宋" w:cs="仿宋"/>
          <w:color w:val="auto"/>
          <w:szCs w:val="22"/>
          <w:highlight w:val="none"/>
        </w:rPr>
      </w:pPr>
      <w:r>
        <w:rPr>
          <w:rFonts w:hint="eastAsia" w:ascii="仿宋" w:hAnsi="仿宋" w:eastAsia="仿宋" w:cs="仿宋"/>
          <w:b/>
          <w:bCs/>
          <w:color w:val="auto"/>
          <w:highlight w:val="none"/>
        </w:rPr>
        <w:t>交货地点</w:t>
      </w:r>
      <w:r>
        <w:rPr>
          <w:rFonts w:hint="eastAsia" w:ascii="仿宋" w:hAnsi="仿宋" w:eastAsia="仿宋" w:cs="仿宋"/>
          <w:b/>
          <w:bCs/>
          <w:color w:val="auto"/>
          <w:szCs w:val="22"/>
          <w:highlight w:val="none"/>
        </w:rPr>
        <w:t>：克拉玛依市卫生健康委员会指定地点。</w:t>
      </w:r>
    </w:p>
    <w:p>
      <w:pPr>
        <w:pStyle w:val="27"/>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2.2 买方负责接收货物。卖方应将领货凭证及时交寄给收货人。因卖方未能及时准确地将领货凭证递交收货人而给买方造成的损失由卖方按实际数额赔偿。</w:t>
      </w:r>
    </w:p>
    <w:p>
      <w:pPr>
        <w:pStyle w:val="27"/>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3. 安装及验收</w:t>
      </w:r>
    </w:p>
    <w:p>
      <w:pPr>
        <w:pStyle w:val="27"/>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3.1 卖方须按标书规定的技术需要提供产品，产品必须是按相应的国际标准和中国政府国家标准以及有关政府部门的规范完成制造和安装的全新产品。投标文件是合同书不可分割的组成部分，其内容相互补充。</w:t>
      </w:r>
    </w:p>
    <w:p>
      <w:pPr>
        <w:pStyle w:val="27"/>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3.2 到货后由卖方免费负责安装，由买方、卖方和商检、质检部门联合验收，达到招标文件采购产品的各项技术指标，并满足国际或国家标准的方可验收合格。全部费用由卖方负责。货物需国家有关部门强制验收的，供需双方不得私自处理验收。</w:t>
      </w:r>
    </w:p>
    <w:p>
      <w:pPr>
        <w:pStyle w:val="27"/>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3.3 安装验收合格后，卖方应向买方提供以下技术资料：</w:t>
      </w:r>
    </w:p>
    <w:p>
      <w:pPr>
        <w:pStyle w:val="27"/>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（1）系统安装图；</w:t>
      </w:r>
    </w:p>
    <w:p>
      <w:pPr>
        <w:pStyle w:val="27"/>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（2）系统及系统原理图；</w:t>
      </w:r>
    </w:p>
    <w:p>
      <w:pPr>
        <w:pStyle w:val="27"/>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（3）电气系统及系统安装图；</w:t>
      </w:r>
    </w:p>
    <w:p>
      <w:pPr>
        <w:pStyle w:val="27"/>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（4）构件、机械安装图；</w:t>
      </w:r>
    </w:p>
    <w:p>
      <w:pPr>
        <w:pStyle w:val="27"/>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（5）安装手册；</w:t>
      </w:r>
    </w:p>
    <w:p>
      <w:pPr>
        <w:pStyle w:val="27"/>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（6）操作手册；</w:t>
      </w:r>
    </w:p>
    <w:p>
      <w:pPr>
        <w:pStyle w:val="27"/>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（7）维修保养手册；</w:t>
      </w:r>
    </w:p>
    <w:p>
      <w:pPr>
        <w:pStyle w:val="27"/>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（8）制造、安装标准和技术规范；</w:t>
      </w:r>
    </w:p>
    <w:p>
      <w:pPr>
        <w:pStyle w:val="27"/>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（9）安装及验收报告</w:t>
      </w:r>
    </w:p>
    <w:p>
      <w:pPr>
        <w:pStyle w:val="27"/>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（10）产品出厂合格证</w:t>
      </w:r>
    </w:p>
    <w:p>
      <w:pPr>
        <w:pStyle w:val="27"/>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4. 结算方式</w:t>
      </w:r>
    </w:p>
    <w:p>
      <w:pPr>
        <w:pStyle w:val="27"/>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4.1 本合同使用的货币种类为：人民币。</w:t>
      </w:r>
    </w:p>
    <w:p>
      <w:pPr>
        <w:pStyle w:val="27"/>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4.2 本合同的付款方式采用：支票、电汇或汇票。</w:t>
      </w:r>
    </w:p>
    <w:p>
      <w:pPr>
        <w:pStyle w:val="27"/>
        <w:spacing w:line="520" w:lineRule="exact"/>
        <w:ind w:firstLine="560"/>
        <w:rPr>
          <w:rFonts w:ascii="仿宋" w:hAnsi="仿宋" w:eastAsia="仿宋" w:cs="仿宋"/>
          <w:color w:val="auto"/>
          <w:highlight w:val="none"/>
        </w:rPr>
      </w:pPr>
      <w:r>
        <w:rPr>
          <w:rFonts w:hint="eastAsia" w:ascii="仿宋" w:hAnsi="仿宋" w:eastAsia="仿宋" w:cs="仿宋"/>
          <w:color w:val="auto"/>
          <w:highlight w:val="none"/>
        </w:rPr>
        <w:t>4.3 货款的支付</w:t>
      </w:r>
    </w:p>
    <w:p>
      <w:pPr>
        <w:pStyle w:val="27"/>
        <w:spacing w:line="520" w:lineRule="exact"/>
        <w:ind w:firstLine="562"/>
        <w:rPr>
          <w:rFonts w:hint="eastAsia" w:ascii="仿宋" w:hAnsi="仿宋" w:eastAsia="仿宋" w:cs="仿宋"/>
          <w:b/>
          <w:bCs/>
          <w:color w:val="auto"/>
          <w:szCs w:val="24"/>
          <w:highlight w:val="none"/>
          <w:lang w:eastAsia="zh-CN"/>
        </w:rPr>
      </w:pPr>
      <w:r>
        <w:rPr>
          <w:rFonts w:hint="eastAsia" w:ascii="仿宋" w:hAnsi="仿宋" w:eastAsia="仿宋" w:cs="仿宋"/>
          <w:b/>
          <w:bCs/>
          <w:color w:val="auto"/>
          <w:highlight w:val="none"/>
        </w:rPr>
        <w:t>4.3.1付款方式：</w:t>
      </w:r>
      <w:r>
        <w:rPr>
          <w:rFonts w:hint="eastAsia" w:ascii="仿宋" w:hAnsi="仿宋" w:eastAsia="仿宋" w:cs="仿宋"/>
          <w:b/>
          <w:bCs/>
          <w:color w:val="auto"/>
          <w:szCs w:val="24"/>
          <w:highlight w:val="none"/>
          <w:lang w:eastAsia="zh-CN"/>
        </w:rPr>
        <w:t>合同签订后支付中标金额的30%，验收合格后支付中标金额的60%，剩余10%质保期满，无问题后支付。</w:t>
      </w:r>
    </w:p>
    <w:p>
      <w:pPr>
        <w:pStyle w:val="27"/>
        <w:spacing w:line="520" w:lineRule="exact"/>
        <w:ind w:firstLine="560"/>
        <w:rPr>
          <w:rFonts w:hint="eastAsia" w:ascii="仿宋" w:hAnsi="仿宋" w:eastAsia="仿宋" w:cs="仿宋"/>
          <w:bCs/>
          <w:color w:val="auto"/>
          <w:highlight w:val="none"/>
        </w:rPr>
      </w:pPr>
      <w:r>
        <w:rPr>
          <w:rFonts w:hint="eastAsia" w:ascii="仿宋" w:hAnsi="仿宋" w:eastAsia="仿宋" w:cs="仿宋"/>
          <w:bCs/>
          <w:color w:val="auto"/>
          <w:highlight w:val="none"/>
        </w:rPr>
        <w:t>4.3.2 买方将鼓励供应商提出更有利于买方的结算方式。</w:t>
      </w:r>
    </w:p>
    <w:p>
      <w:pPr>
        <w:pStyle w:val="27"/>
        <w:spacing w:line="520" w:lineRule="exact"/>
        <w:ind w:firstLine="560"/>
        <w:rPr>
          <w:rFonts w:hint="eastAsia" w:ascii="仿宋" w:hAnsi="仿宋" w:eastAsia="仿宋" w:cs="仿宋"/>
          <w:bCs/>
          <w:color w:val="auto"/>
          <w:highlight w:val="none"/>
        </w:rPr>
      </w:pPr>
      <w:r>
        <w:rPr>
          <w:rFonts w:hint="eastAsia" w:ascii="仿宋" w:hAnsi="仿宋" w:eastAsia="仿宋" w:cs="仿宋"/>
          <w:bCs/>
          <w:color w:val="auto"/>
          <w:highlight w:val="none"/>
        </w:rPr>
        <w:t>4.3.3 卖方应把下列单据提交给买方，买方审核后付款：</w:t>
      </w:r>
    </w:p>
    <w:p>
      <w:pPr>
        <w:pStyle w:val="27"/>
        <w:spacing w:line="520" w:lineRule="exact"/>
        <w:ind w:firstLine="560"/>
        <w:rPr>
          <w:rFonts w:hint="eastAsia" w:ascii="仿宋" w:hAnsi="仿宋" w:eastAsia="仿宋" w:cs="仿宋"/>
          <w:bCs/>
          <w:color w:val="auto"/>
          <w:highlight w:val="none"/>
        </w:rPr>
      </w:pPr>
      <w:r>
        <w:rPr>
          <w:rFonts w:hint="eastAsia" w:ascii="仿宋" w:hAnsi="仿宋" w:eastAsia="仿宋" w:cs="仿宋"/>
          <w:bCs/>
          <w:color w:val="auto"/>
          <w:highlight w:val="none"/>
        </w:rPr>
        <w:t>（1）全额发票；</w:t>
      </w:r>
    </w:p>
    <w:p>
      <w:pPr>
        <w:pStyle w:val="27"/>
        <w:spacing w:line="520" w:lineRule="exact"/>
        <w:ind w:firstLine="560"/>
        <w:rPr>
          <w:rFonts w:hint="eastAsia" w:ascii="仿宋" w:hAnsi="仿宋" w:eastAsia="仿宋" w:cs="仿宋"/>
          <w:bCs/>
          <w:color w:val="auto"/>
          <w:highlight w:val="none"/>
        </w:rPr>
      </w:pPr>
      <w:r>
        <w:rPr>
          <w:rFonts w:hint="eastAsia" w:ascii="仿宋" w:hAnsi="仿宋" w:eastAsia="仿宋" w:cs="仿宋"/>
          <w:bCs/>
          <w:color w:val="auto"/>
          <w:highlight w:val="none"/>
        </w:rPr>
        <w:t>（2）验收文件。</w:t>
      </w:r>
    </w:p>
    <w:p>
      <w:pPr>
        <w:pStyle w:val="27"/>
        <w:spacing w:line="520" w:lineRule="exact"/>
        <w:ind w:firstLine="560"/>
        <w:rPr>
          <w:rFonts w:hint="eastAsia" w:ascii="仿宋" w:hAnsi="仿宋" w:eastAsia="仿宋" w:cs="仿宋"/>
          <w:bCs/>
          <w:color w:val="auto"/>
          <w:highlight w:val="none"/>
        </w:rPr>
      </w:pPr>
      <w:r>
        <w:rPr>
          <w:rFonts w:hint="eastAsia" w:ascii="仿宋" w:hAnsi="仿宋" w:eastAsia="仿宋" w:cs="仿宋"/>
          <w:bCs/>
          <w:color w:val="auto"/>
          <w:highlight w:val="none"/>
        </w:rPr>
        <w:t>5. 合同的生效</w:t>
      </w:r>
    </w:p>
    <w:p>
      <w:pPr>
        <w:pStyle w:val="27"/>
        <w:spacing w:line="520" w:lineRule="exact"/>
        <w:ind w:firstLine="560"/>
        <w:rPr>
          <w:rFonts w:hint="eastAsia" w:ascii="仿宋" w:hAnsi="仿宋" w:eastAsia="仿宋" w:cs="仿宋"/>
          <w:bCs/>
          <w:color w:val="auto"/>
          <w:highlight w:val="none"/>
        </w:rPr>
      </w:pPr>
      <w:r>
        <w:rPr>
          <w:rFonts w:hint="eastAsia" w:ascii="仿宋" w:hAnsi="仿宋" w:eastAsia="仿宋" w:cs="仿宋"/>
          <w:bCs/>
          <w:color w:val="auto"/>
          <w:highlight w:val="none"/>
        </w:rPr>
        <w:t>5.1 合同经签字盖章生效，并按第4条款的付款方式履行合同。</w:t>
      </w:r>
    </w:p>
    <w:p>
      <w:pPr>
        <w:pStyle w:val="27"/>
        <w:spacing w:line="520" w:lineRule="exact"/>
        <w:ind w:firstLine="560"/>
        <w:rPr>
          <w:rFonts w:ascii="仿宋" w:hAnsi="仿宋" w:eastAsia="仿宋" w:cs="仿宋"/>
          <w:color w:val="auto"/>
          <w:highlight w:val="none"/>
        </w:rPr>
      </w:pPr>
      <w:r>
        <w:rPr>
          <w:rFonts w:hint="eastAsia" w:ascii="仿宋" w:hAnsi="仿宋" w:eastAsia="仿宋" w:cs="仿宋"/>
          <w:bCs/>
          <w:color w:val="auto"/>
          <w:highlight w:val="none"/>
        </w:rPr>
        <w:t>5.2 若买卖双方发生纠纷，应首先友好协商解决，如不能达成一致意见，任何一方可将争端提交给合同履约地的法院提出诉讼。</w:t>
      </w:r>
    </w:p>
    <w:p>
      <w:pPr>
        <w:pStyle w:val="27"/>
        <w:spacing w:line="520" w:lineRule="exact"/>
        <w:ind w:firstLine="562"/>
        <w:rPr>
          <w:rFonts w:ascii="仿宋" w:hAnsi="仿宋" w:eastAsia="仿宋" w:cs="仿宋"/>
          <w:b/>
          <w:color w:val="auto"/>
          <w:szCs w:val="22"/>
          <w:highlight w:val="none"/>
        </w:rPr>
      </w:pPr>
      <w:r>
        <w:rPr>
          <w:rFonts w:hint="eastAsia" w:ascii="仿宋" w:hAnsi="仿宋" w:eastAsia="仿宋" w:cs="仿宋"/>
          <w:b/>
          <w:color w:val="auto"/>
          <w:highlight w:val="none"/>
        </w:rPr>
        <w:t>6. 项目工期</w:t>
      </w:r>
      <w:r>
        <w:rPr>
          <w:rFonts w:hint="eastAsia" w:ascii="仿宋" w:hAnsi="仿宋" w:eastAsia="仿宋" w:cs="仿宋"/>
          <w:b/>
          <w:color w:val="auto"/>
          <w:szCs w:val="22"/>
          <w:highlight w:val="none"/>
        </w:rPr>
        <w:t>：自合同签订完成后45天内</w:t>
      </w:r>
    </w:p>
    <w:p>
      <w:pPr>
        <w:pStyle w:val="27"/>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7. 变更指示及合同修改</w:t>
      </w:r>
    </w:p>
    <w:p>
      <w:pPr>
        <w:pStyle w:val="27"/>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7.1 买方在任何时候都可以向卖方发出书面指示，在合同总体范围内提出变更，如变更导致了卖方履行合同项下任何部分义务的费用或所需时间的增减，卖方应在到买方变更指示的3日内提出书面调整要求。</w:t>
      </w:r>
    </w:p>
    <w:p>
      <w:pPr>
        <w:pStyle w:val="27"/>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7.2 无论何方欲对合同条款做出任何改动或偏离,均须合同双方签署书面的合同修改书。</w:t>
      </w:r>
    </w:p>
    <w:p>
      <w:pPr>
        <w:pStyle w:val="27"/>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8．技术培训要求</w:t>
      </w:r>
    </w:p>
    <w:p>
      <w:pPr>
        <w:pStyle w:val="27"/>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8.1 卖方负责对买方的操作、维护人员进行系统安装、操作、维护和保养的技术培训，实践操作在本地区的安装现场。培训标准应达到能维护系统的常规运行、检测并排除小型故障. 须提供技术培训，包括系统管理维护培训和系统使用培训。系统正常使用后，在半年内派专人维护保证系统正常运行。</w:t>
      </w:r>
    </w:p>
    <w:p>
      <w:pPr>
        <w:pStyle w:val="27"/>
        <w:spacing w:line="520" w:lineRule="exact"/>
        <w:ind w:firstLine="560"/>
        <w:rPr>
          <w:rFonts w:ascii="仿宋" w:hAnsi="仿宋" w:eastAsia="仿宋" w:cs="仿宋"/>
          <w:color w:val="auto"/>
          <w:highlight w:val="none"/>
        </w:rPr>
      </w:pPr>
      <w:r>
        <w:rPr>
          <w:rFonts w:hint="eastAsia" w:ascii="仿宋" w:hAnsi="仿宋" w:eastAsia="仿宋" w:cs="仿宋"/>
          <w:color w:val="auto"/>
          <w:highlight w:val="none"/>
        </w:rPr>
        <w:t>9. 售后服务</w:t>
      </w:r>
    </w:p>
    <w:p>
      <w:pPr>
        <w:pStyle w:val="27"/>
        <w:spacing w:line="520" w:lineRule="exact"/>
        <w:ind w:firstLine="560"/>
        <w:rPr>
          <w:rFonts w:ascii="仿宋" w:hAnsi="仿宋" w:eastAsia="仿宋" w:cs="仿宋"/>
          <w:color w:val="auto"/>
          <w:szCs w:val="22"/>
          <w:highlight w:val="none"/>
        </w:rPr>
      </w:pPr>
      <w:r>
        <w:rPr>
          <w:rFonts w:hint="eastAsia" w:ascii="仿宋" w:hAnsi="仿宋" w:eastAsia="仿宋" w:cs="仿宋"/>
          <w:color w:val="auto"/>
          <w:highlight w:val="none"/>
        </w:rPr>
        <w:t>9</w:t>
      </w:r>
      <w:r>
        <w:rPr>
          <w:rFonts w:hint="eastAsia" w:ascii="仿宋" w:hAnsi="仿宋" w:eastAsia="仿宋" w:cs="仿宋"/>
          <w:b/>
          <w:bCs/>
          <w:color w:val="auto"/>
          <w:highlight w:val="none"/>
        </w:rPr>
        <w:t>.1质保</w:t>
      </w:r>
      <w:r>
        <w:rPr>
          <w:rFonts w:hint="eastAsia" w:ascii="仿宋" w:hAnsi="仿宋" w:eastAsia="仿宋" w:cs="仿宋"/>
          <w:b/>
          <w:bCs/>
          <w:color w:val="auto"/>
          <w:szCs w:val="22"/>
          <w:highlight w:val="none"/>
        </w:rPr>
        <w:t>期：三年（验收合格之日起计算）。</w:t>
      </w:r>
    </w:p>
    <w:p>
      <w:pPr>
        <w:pStyle w:val="27"/>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9.2 产品安装后双方按国际和国家标准及本章第3条款的要求进行质量验收。卖方应向买方提供详细的验收标准、验收手册，免费提供验收所需的仪器，买方在验收合格后将仪器归还卖方。</w:t>
      </w:r>
    </w:p>
    <w:p>
      <w:pPr>
        <w:pStyle w:val="27"/>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9.3 自产品验收合格之日起2年内提供所涉软件的免费升级服务，如“第三章招标内容及技术要求”中技术参数中有特别要求的请根据文件要求。</w:t>
      </w:r>
    </w:p>
    <w:p>
      <w:pPr>
        <w:pStyle w:val="27"/>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9.4 在产品交付使用后，卖方应对保修期及其以后终身服务作出承诺，并具有切实可行的服务措施。卖方在疆应有常设或指派的法定售后服务机构，备品备件库，安装维修人员应是卖方派出的具有一定专业技术水平的人员。</w:t>
      </w:r>
    </w:p>
    <w:p>
      <w:pPr>
        <w:pStyle w:val="27"/>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10. 备品备件</w:t>
      </w:r>
    </w:p>
    <w:p>
      <w:pPr>
        <w:pStyle w:val="27"/>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10.1 应保证终身提供该系统的所有维修零备件。</w:t>
      </w:r>
    </w:p>
    <w:p>
      <w:pPr>
        <w:pStyle w:val="27"/>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10.2 卖方须提供备件的名称、价格及有效期，保证供货期等。</w:t>
      </w:r>
    </w:p>
    <w:p>
      <w:pPr>
        <w:pStyle w:val="27"/>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11．质保</w:t>
      </w:r>
    </w:p>
    <w:p>
      <w:pPr>
        <w:pStyle w:val="27"/>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11.1质保期即自全部工程验收合格正式运行之日算起，详细质保时间参照相应要求。如出现质量问题，卖方在质保期内免费更换部件及维修。如果由于卖方责任致使系统不能验收，此质保期顺延。</w:t>
      </w:r>
    </w:p>
    <w:p>
      <w:pPr>
        <w:pStyle w:val="27"/>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12. 其它事项</w:t>
      </w:r>
    </w:p>
    <w:p>
      <w:pPr>
        <w:pStyle w:val="27"/>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12.1 本合同所确定的价格为最终价格,已包含包装费、运杂费、保险费、卖方的现场验收、安装调试费、现场服务费等各项费用。</w:t>
      </w:r>
    </w:p>
    <w:p>
      <w:pPr>
        <w:pStyle w:val="27"/>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12.2 在系统明显位置装有固定金属铭牌，铭牌至少应载明以下内容：</w:t>
      </w:r>
    </w:p>
    <w:p>
      <w:pPr>
        <w:pStyle w:val="27"/>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A、制造厂名称</w:t>
      </w:r>
    </w:p>
    <w:p>
      <w:pPr>
        <w:pStyle w:val="27"/>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B、系统名称和型号规格</w:t>
      </w:r>
    </w:p>
    <w:p>
      <w:pPr>
        <w:pStyle w:val="27"/>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C、制造厂产品编号</w:t>
      </w:r>
    </w:p>
    <w:p>
      <w:pPr>
        <w:pStyle w:val="27"/>
        <w:spacing w:line="520" w:lineRule="exact"/>
        <w:ind w:firstLine="560"/>
        <w:rPr>
          <w:rFonts w:ascii="仿宋" w:hAnsi="仿宋" w:eastAsia="仿宋" w:cs="仿宋"/>
          <w:color w:val="auto"/>
          <w:highlight w:val="none"/>
        </w:rPr>
      </w:pPr>
      <w:r>
        <w:rPr>
          <w:rFonts w:hint="eastAsia" w:ascii="仿宋" w:hAnsi="仿宋" w:eastAsia="仿宋" w:cs="仿宋"/>
          <w:color w:val="auto"/>
          <w:highlight w:val="none"/>
        </w:rPr>
        <w:t>D、出厂日期</w:t>
      </w:r>
    </w:p>
    <w:p>
      <w:pPr>
        <w:pStyle w:val="27"/>
        <w:spacing w:line="520" w:lineRule="exact"/>
        <w:ind w:firstLine="560"/>
        <w:rPr>
          <w:rFonts w:ascii="仿宋" w:hAnsi="仿宋" w:eastAsia="仿宋" w:cs="仿宋"/>
          <w:b/>
          <w:color w:val="auto"/>
          <w:sz w:val="36"/>
          <w:highlight w:val="none"/>
        </w:rPr>
      </w:pPr>
      <w:r>
        <w:rPr>
          <w:rFonts w:hint="eastAsia" w:ascii="仿宋" w:hAnsi="仿宋" w:eastAsia="仿宋" w:cs="仿宋"/>
          <w:color w:val="auto"/>
          <w:highlight w:val="none"/>
        </w:rPr>
        <w:t>备注：合同以采购单位提供的合同为主</w:t>
      </w:r>
      <w:r>
        <w:rPr>
          <w:rFonts w:hint="eastAsia" w:ascii="仿宋" w:hAnsi="仿宋" w:eastAsia="仿宋" w:cs="仿宋"/>
          <w:b/>
          <w:color w:val="auto"/>
          <w:sz w:val="36"/>
          <w:highlight w:val="none"/>
        </w:rPr>
        <w:br w:type="page"/>
      </w:r>
    </w:p>
    <w:p>
      <w:pPr>
        <w:jc w:val="center"/>
        <w:rPr>
          <w:rFonts w:ascii="仿宋" w:hAnsi="仿宋" w:eastAsia="仿宋" w:cs="仿宋"/>
          <w:b/>
          <w:color w:val="auto"/>
          <w:highlight w:val="none"/>
        </w:rPr>
      </w:pPr>
      <w:r>
        <w:rPr>
          <w:rFonts w:hint="eastAsia" w:ascii="仿宋" w:hAnsi="仿宋" w:eastAsia="仿宋" w:cs="仿宋"/>
          <w:b/>
          <w:color w:val="auto"/>
          <w:sz w:val="36"/>
          <w:highlight w:val="none"/>
        </w:rPr>
        <w:t>附件：投标书格式</w:t>
      </w:r>
    </w:p>
    <w:p>
      <w:pPr>
        <w:pStyle w:val="30"/>
        <w:spacing w:line="360" w:lineRule="auto"/>
        <w:ind w:firstLine="1400" w:firstLineChars="200"/>
        <w:jc w:val="both"/>
        <w:rPr>
          <w:rFonts w:ascii="仿宋" w:hAnsi="仿宋" w:eastAsia="仿宋" w:cs="仿宋"/>
          <w:color w:val="auto"/>
          <w:sz w:val="70"/>
          <w:highlight w:val="none"/>
        </w:rPr>
      </w:pPr>
    </w:p>
    <w:p>
      <w:pPr>
        <w:spacing w:line="360" w:lineRule="atLeast"/>
        <w:jc w:val="right"/>
        <w:rPr>
          <w:rFonts w:ascii="仿宋" w:hAnsi="仿宋" w:eastAsia="仿宋" w:cs="仿宋"/>
          <w:b/>
          <w:color w:val="auto"/>
          <w:sz w:val="72"/>
          <w:highlight w:val="none"/>
        </w:rPr>
      </w:pPr>
      <w:r>
        <w:rPr>
          <w:rFonts w:hint="eastAsia" w:ascii="仿宋" w:hAnsi="仿宋" w:eastAsia="仿宋" w:cs="仿宋"/>
          <w:b/>
          <w:color w:val="auto"/>
          <w:sz w:val="72"/>
          <w:highlight w:val="none"/>
        </w:rPr>
        <w:t>项目</w:t>
      </w:r>
    </w:p>
    <w:p>
      <w:pPr>
        <w:spacing w:line="360" w:lineRule="atLeast"/>
        <w:jc w:val="center"/>
        <w:rPr>
          <w:rFonts w:ascii="仿宋" w:hAnsi="仿宋" w:eastAsia="仿宋" w:cs="仿宋"/>
          <w:color w:val="auto"/>
          <w:highlight w:val="none"/>
        </w:rPr>
      </w:pPr>
      <w:r>
        <w:rPr>
          <w:rFonts w:hint="eastAsia" w:ascii="仿宋" w:hAnsi="仿宋" w:eastAsia="仿宋" w:cs="仿宋"/>
          <w:b/>
          <w:color w:val="auto"/>
          <w:sz w:val="72"/>
          <w:highlight w:val="none"/>
        </w:rPr>
        <w:t>投标书</w:t>
      </w:r>
    </w:p>
    <w:p>
      <w:pPr>
        <w:spacing w:line="360" w:lineRule="atLeast"/>
        <w:rPr>
          <w:rFonts w:ascii="仿宋" w:hAnsi="仿宋" w:eastAsia="仿宋" w:cs="仿宋"/>
          <w:color w:val="auto"/>
          <w:highlight w:val="none"/>
        </w:rPr>
      </w:pPr>
    </w:p>
    <w:p>
      <w:pPr>
        <w:spacing w:line="360" w:lineRule="atLeast"/>
        <w:ind w:firstLine="420"/>
        <w:rPr>
          <w:rFonts w:ascii="仿宋" w:hAnsi="仿宋" w:eastAsia="仿宋" w:cs="仿宋"/>
          <w:color w:val="auto"/>
          <w:highlight w:val="none"/>
        </w:rPr>
      </w:pPr>
    </w:p>
    <w:p>
      <w:pPr>
        <w:spacing w:line="360" w:lineRule="atLeast"/>
        <w:ind w:firstLine="880" w:firstLineChars="200"/>
        <w:rPr>
          <w:rFonts w:ascii="仿宋" w:hAnsi="仿宋" w:eastAsia="仿宋" w:cs="仿宋"/>
          <w:color w:val="auto"/>
          <w:sz w:val="44"/>
          <w:highlight w:val="none"/>
        </w:rPr>
      </w:pPr>
      <w:r>
        <w:rPr>
          <w:rFonts w:hint="eastAsia" w:ascii="仿宋" w:hAnsi="仿宋" w:eastAsia="仿宋" w:cs="仿宋"/>
          <w:color w:val="auto"/>
          <w:sz w:val="44"/>
          <w:highlight w:val="none"/>
        </w:rPr>
        <w:t>项目名称：</w:t>
      </w:r>
    </w:p>
    <w:p>
      <w:pPr>
        <w:spacing w:line="360" w:lineRule="atLeast"/>
        <w:ind w:firstLine="880"/>
        <w:rPr>
          <w:rFonts w:ascii="仿宋" w:hAnsi="仿宋" w:eastAsia="仿宋" w:cs="仿宋"/>
          <w:color w:val="auto"/>
          <w:sz w:val="44"/>
          <w:highlight w:val="none"/>
        </w:rPr>
      </w:pPr>
    </w:p>
    <w:p>
      <w:pPr>
        <w:spacing w:line="360" w:lineRule="atLeast"/>
        <w:ind w:firstLine="880"/>
        <w:rPr>
          <w:rFonts w:ascii="仿宋" w:hAnsi="仿宋" w:eastAsia="仿宋" w:cs="仿宋"/>
          <w:color w:val="auto"/>
          <w:sz w:val="44"/>
          <w:highlight w:val="none"/>
        </w:rPr>
      </w:pPr>
      <w:r>
        <w:rPr>
          <w:rFonts w:hint="eastAsia" w:ascii="仿宋" w:hAnsi="仿宋" w:eastAsia="仿宋" w:cs="仿宋"/>
          <w:color w:val="auto"/>
          <w:sz w:val="44"/>
          <w:highlight w:val="none"/>
        </w:rPr>
        <w:t>供应商名称：</w:t>
      </w:r>
    </w:p>
    <w:p>
      <w:pPr>
        <w:spacing w:line="360" w:lineRule="atLeast"/>
        <w:ind w:firstLine="880"/>
        <w:rPr>
          <w:rFonts w:ascii="仿宋" w:hAnsi="仿宋" w:eastAsia="仿宋" w:cs="仿宋"/>
          <w:color w:val="auto"/>
          <w:sz w:val="44"/>
          <w:highlight w:val="none"/>
        </w:rPr>
      </w:pPr>
    </w:p>
    <w:p>
      <w:pPr>
        <w:spacing w:line="360" w:lineRule="atLeast"/>
        <w:ind w:firstLine="880"/>
        <w:rPr>
          <w:rFonts w:ascii="仿宋" w:hAnsi="仿宋" w:eastAsia="仿宋" w:cs="仿宋"/>
          <w:color w:val="auto"/>
          <w:highlight w:val="none"/>
        </w:rPr>
      </w:pPr>
      <w:r>
        <w:rPr>
          <w:rFonts w:hint="eastAsia" w:ascii="仿宋" w:hAnsi="仿宋" w:eastAsia="仿宋" w:cs="仿宋"/>
          <w:color w:val="auto"/>
          <w:sz w:val="44"/>
          <w:highlight w:val="none"/>
        </w:rPr>
        <w:t>供应商全权代表：</w:t>
      </w:r>
    </w:p>
    <w:p>
      <w:pPr>
        <w:spacing w:line="360" w:lineRule="atLeast"/>
        <w:ind w:firstLine="640"/>
        <w:rPr>
          <w:rFonts w:ascii="仿宋" w:hAnsi="仿宋" w:eastAsia="仿宋" w:cs="仿宋"/>
          <w:color w:val="auto"/>
          <w:sz w:val="32"/>
          <w:highlight w:val="none"/>
        </w:rPr>
      </w:pPr>
    </w:p>
    <w:p>
      <w:pPr>
        <w:spacing w:line="360" w:lineRule="atLeast"/>
        <w:ind w:firstLine="640"/>
        <w:rPr>
          <w:rFonts w:ascii="仿宋" w:hAnsi="仿宋" w:eastAsia="仿宋" w:cs="仿宋"/>
          <w:color w:val="auto"/>
          <w:sz w:val="32"/>
          <w:highlight w:val="none"/>
        </w:rPr>
      </w:pPr>
    </w:p>
    <w:p>
      <w:pPr>
        <w:spacing w:line="360" w:lineRule="atLeast"/>
        <w:ind w:firstLine="720"/>
        <w:jc w:val="center"/>
        <w:rPr>
          <w:rFonts w:ascii="仿宋" w:hAnsi="仿宋" w:eastAsia="仿宋" w:cs="仿宋"/>
          <w:color w:val="auto"/>
          <w:sz w:val="36"/>
          <w:highlight w:val="none"/>
        </w:rPr>
      </w:pPr>
      <w:r>
        <w:rPr>
          <w:rFonts w:hint="eastAsia" w:ascii="仿宋" w:hAnsi="仿宋" w:eastAsia="仿宋" w:cs="仿宋"/>
          <w:color w:val="auto"/>
          <w:sz w:val="36"/>
          <w:highlight w:val="none"/>
        </w:rPr>
        <w:t>年      月      日</w:t>
      </w:r>
    </w:p>
    <w:p>
      <w:pPr>
        <w:spacing w:line="360" w:lineRule="atLeast"/>
        <w:ind w:firstLine="720"/>
        <w:jc w:val="right"/>
        <w:rPr>
          <w:rFonts w:ascii="仿宋" w:hAnsi="仿宋" w:eastAsia="仿宋" w:cs="仿宋"/>
          <w:color w:val="auto"/>
          <w:sz w:val="28"/>
          <w:highlight w:val="none"/>
        </w:rPr>
      </w:pPr>
      <w:r>
        <w:rPr>
          <w:rFonts w:hint="eastAsia" w:ascii="仿宋" w:hAnsi="仿宋" w:eastAsia="仿宋" w:cs="仿宋"/>
          <w:color w:val="auto"/>
          <w:sz w:val="36"/>
          <w:highlight w:val="none"/>
        </w:rPr>
        <w:br w:type="page"/>
      </w:r>
      <w:r>
        <w:rPr>
          <w:rFonts w:hint="eastAsia" w:ascii="仿宋" w:hAnsi="仿宋" w:eastAsia="仿宋" w:cs="仿宋"/>
          <w:color w:val="auto"/>
          <w:sz w:val="28"/>
          <w:highlight w:val="none"/>
        </w:rPr>
        <w:t>附件一</w:t>
      </w:r>
    </w:p>
    <w:p>
      <w:pPr>
        <w:pStyle w:val="3"/>
        <w:keepNext w:val="0"/>
        <w:keepLines w:val="0"/>
        <w:tabs>
          <w:tab w:val="clear" w:pos="576"/>
          <w:tab w:val="clear" w:pos="1296"/>
        </w:tabs>
        <w:adjustRightInd/>
        <w:spacing w:before="312" w:beforeLines="100" w:after="156" w:afterLines="50" w:line="500" w:lineRule="exact"/>
        <w:jc w:val="center"/>
        <w:textAlignment w:val="auto"/>
        <w:rPr>
          <w:rFonts w:ascii="仿宋" w:hAnsi="仿宋" w:eastAsia="仿宋" w:cs="仿宋"/>
          <w:bCs/>
          <w:color w:val="auto"/>
          <w:sz w:val="44"/>
          <w:szCs w:val="44"/>
          <w:highlight w:val="none"/>
        </w:rPr>
      </w:pPr>
      <w:bookmarkStart w:id="19" w:name="_Toc10471"/>
      <w:r>
        <w:rPr>
          <w:rFonts w:hint="eastAsia" w:ascii="仿宋" w:hAnsi="仿宋" w:eastAsia="仿宋" w:cs="仿宋"/>
          <w:bCs/>
          <w:color w:val="auto"/>
          <w:sz w:val="44"/>
          <w:szCs w:val="44"/>
          <w:highlight w:val="none"/>
        </w:rPr>
        <w:t>投  标  书</w:t>
      </w:r>
      <w:bookmarkEnd w:id="19"/>
    </w:p>
    <w:p>
      <w:pPr>
        <w:pStyle w:val="31"/>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新疆新之建工程咨询有限公司：</w:t>
      </w:r>
    </w:p>
    <w:p>
      <w:pPr>
        <w:spacing w:line="360" w:lineRule="atLeast"/>
        <w:ind w:firstLine="420"/>
        <w:rPr>
          <w:rFonts w:ascii="仿宋" w:hAnsi="仿宋" w:eastAsia="仿宋" w:cs="仿宋"/>
          <w:color w:val="auto"/>
          <w:highlight w:val="none"/>
        </w:rPr>
      </w:pPr>
    </w:p>
    <w:p>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我们收到你们</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rPr>
        <w:t>号招标文件，经认真研究，我们决定参加投标。</w:t>
      </w:r>
    </w:p>
    <w:p>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⒈按照招标文件中的一切要求，提供招标货物、安装及技术服务，投标总价    万元（人民币大写）￥：   万元（用阿拉伯数字书写）人民币，明细见投标产品名称数量报价表。</w:t>
      </w:r>
    </w:p>
    <w:p>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⒉如果我们的投标书被接受，我们将履行招标文件中规定的每一项要求，按期、按质、按量完成交货和完工任务。</w:t>
      </w:r>
    </w:p>
    <w:p>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⒊我们同意投标书在招标文件规定的投标截止日期届满后立即对供应商产生法律约束力，投标有效期截至开标日后</w:t>
      </w:r>
      <w:r>
        <w:rPr>
          <w:rFonts w:hint="eastAsia" w:ascii="仿宋" w:hAnsi="仿宋" w:eastAsia="仿宋" w:cs="仿宋"/>
          <w:color w:val="auto"/>
          <w:sz w:val="28"/>
          <w:highlight w:val="none"/>
          <w:u w:val="single"/>
        </w:rPr>
        <w:t>90</w:t>
      </w:r>
      <w:r>
        <w:rPr>
          <w:rFonts w:hint="eastAsia" w:ascii="仿宋" w:hAnsi="仿宋" w:eastAsia="仿宋" w:cs="仿宋"/>
          <w:color w:val="auto"/>
          <w:sz w:val="28"/>
          <w:highlight w:val="none"/>
        </w:rPr>
        <w:t>日历天。</w:t>
      </w:r>
    </w:p>
    <w:p>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⒋我们愿意提供采购人在招标文件中要求的所有资料。</w:t>
      </w:r>
    </w:p>
    <w:p>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⒌我们认为你们有选择或拒绝任何投标者中标的权力。我们理解，最低报价不是中标的唯一条件。</w:t>
      </w:r>
    </w:p>
    <w:p>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⒍我们愿按合同法履行自己的全部责任。</w:t>
      </w:r>
    </w:p>
    <w:p>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⒎我方愿意遵守国家有关规定及招标文件中规定的收费标准，承付中标服务费。</w:t>
      </w:r>
    </w:p>
    <w:p>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⒏该项投标在开标后的全过程中保持有效，不作任何更改和变动。</w:t>
      </w:r>
    </w:p>
    <w:p>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9.综合说明：</w:t>
      </w:r>
    </w:p>
    <w:p>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（1）材料的详细技术参数、技术条件、技术标准、拟达到的质量标准和保险期限。</w:t>
      </w:r>
    </w:p>
    <w:p>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（2）易损件、配件及供应方式。</w:t>
      </w:r>
    </w:p>
    <w:p>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（3）工程安装计划、组织机构及人员安排。</w:t>
      </w:r>
    </w:p>
    <w:p>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（4）技术服务。</w:t>
      </w:r>
    </w:p>
    <w:p>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（5）运输方式。</w:t>
      </w:r>
    </w:p>
    <w:p>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（6）要求项目单位提供的配合。</w:t>
      </w:r>
    </w:p>
    <w:p>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（7）对招标文件内容有不同意见的偏离说明。</w:t>
      </w:r>
    </w:p>
    <w:p>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（8）其它。</w:t>
      </w:r>
    </w:p>
    <w:p>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11.所有有关本标书的函电，请按下列地址联系：</w:t>
      </w:r>
    </w:p>
    <w:p>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单       位：</w:t>
      </w:r>
    </w:p>
    <w:p>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地       址：</w:t>
      </w:r>
    </w:p>
    <w:p>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电       话：</w:t>
      </w:r>
    </w:p>
    <w:p>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传       真：</w:t>
      </w:r>
    </w:p>
    <w:p>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邮 政 编 码：</w:t>
      </w:r>
    </w:p>
    <w:p>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联  系  人：</w:t>
      </w:r>
    </w:p>
    <w:p>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 xml:space="preserve">投标单位：   （公章）   </w:t>
      </w:r>
    </w:p>
    <w:p>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授权代表签字：</w:t>
      </w:r>
    </w:p>
    <w:p>
      <w:pPr>
        <w:spacing w:line="360" w:lineRule="atLeast"/>
        <w:ind w:firstLine="560"/>
        <w:rPr>
          <w:rFonts w:ascii="仿宋" w:hAnsi="仿宋" w:eastAsia="仿宋" w:cs="仿宋"/>
          <w:color w:val="auto"/>
          <w:sz w:val="28"/>
          <w:highlight w:val="none"/>
        </w:rPr>
      </w:pPr>
    </w:p>
    <w:p>
      <w:pPr>
        <w:spacing w:line="360" w:lineRule="atLeast"/>
        <w:ind w:firstLine="4877" w:firstLineChars="1742"/>
        <w:jc w:val="right"/>
        <w:rPr>
          <w:rFonts w:ascii="仿宋" w:hAnsi="仿宋" w:eastAsia="仿宋" w:cs="仿宋"/>
          <w:b/>
          <w:color w:val="auto"/>
          <w:sz w:val="28"/>
          <w:highlight w:val="none"/>
        </w:rPr>
      </w:pPr>
      <w:r>
        <w:rPr>
          <w:rFonts w:hint="eastAsia" w:ascii="仿宋" w:hAnsi="仿宋" w:eastAsia="仿宋" w:cs="仿宋"/>
          <w:color w:val="auto"/>
          <w:sz w:val="28"/>
          <w:highlight w:val="none"/>
        </w:rPr>
        <w:t>年   月    日</w:t>
      </w:r>
      <w:r>
        <w:rPr>
          <w:rFonts w:hint="eastAsia" w:ascii="仿宋" w:hAnsi="仿宋" w:eastAsia="仿宋" w:cs="仿宋"/>
          <w:b/>
          <w:color w:val="auto"/>
          <w:sz w:val="28"/>
          <w:highlight w:val="none"/>
        </w:rPr>
        <w:br w:type="page"/>
      </w:r>
      <w:r>
        <w:rPr>
          <w:rFonts w:hint="eastAsia" w:ascii="仿宋" w:hAnsi="仿宋" w:eastAsia="仿宋" w:cs="仿宋"/>
          <w:color w:val="auto"/>
          <w:sz w:val="28"/>
          <w:highlight w:val="none"/>
        </w:rPr>
        <w:t>附件二</w:t>
      </w:r>
    </w:p>
    <w:p>
      <w:pPr>
        <w:pStyle w:val="3"/>
        <w:spacing w:line="500" w:lineRule="exact"/>
        <w:jc w:val="center"/>
        <w:rPr>
          <w:rFonts w:ascii="仿宋" w:hAnsi="仿宋" w:eastAsia="仿宋" w:cs="仿宋"/>
          <w:color w:val="auto"/>
          <w:sz w:val="32"/>
          <w:highlight w:val="none"/>
        </w:rPr>
      </w:pPr>
      <w:bookmarkStart w:id="20" w:name="_Toc900"/>
      <w:r>
        <w:rPr>
          <w:rFonts w:hint="eastAsia" w:ascii="仿宋" w:hAnsi="仿宋" w:eastAsia="仿宋" w:cs="仿宋"/>
          <w:color w:val="auto"/>
          <w:sz w:val="32"/>
          <w:highlight w:val="none"/>
        </w:rPr>
        <w:t>法定代表人资格证明书（格式）</w:t>
      </w:r>
      <w:bookmarkEnd w:id="20"/>
    </w:p>
    <w:p>
      <w:pPr>
        <w:spacing w:line="500" w:lineRule="exact"/>
        <w:rPr>
          <w:rFonts w:ascii="仿宋" w:hAnsi="仿宋" w:eastAsia="仿宋" w:cs="仿宋"/>
          <w:color w:val="auto"/>
          <w:szCs w:val="21"/>
          <w:highlight w:val="none"/>
        </w:rPr>
      </w:pPr>
    </w:p>
    <w:p>
      <w:pPr>
        <w:pStyle w:val="27"/>
        <w:spacing w:line="580" w:lineRule="exact"/>
        <w:ind w:firstLine="560"/>
        <w:rPr>
          <w:rFonts w:ascii="仿宋" w:hAnsi="仿宋" w:eastAsia="仿宋" w:cs="仿宋"/>
          <w:color w:val="auto"/>
          <w:highlight w:val="none"/>
          <w:u w:val="single"/>
        </w:rPr>
      </w:pPr>
      <w:r>
        <w:rPr>
          <w:rFonts w:hint="eastAsia" w:ascii="仿宋" w:hAnsi="仿宋" w:eastAsia="仿宋" w:cs="仿宋"/>
          <w:color w:val="auto"/>
          <w:highlight w:val="none"/>
        </w:rPr>
        <w:t>单位名称：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27"/>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地    址：</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27"/>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姓    名：</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性别：</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职务：</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27"/>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该同志系</w:t>
      </w:r>
      <w:r>
        <w:rPr>
          <w:rFonts w:hint="eastAsia" w:ascii="仿宋" w:hAnsi="仿宋" w:eastAsia="仿宋" w:cs="仿宋"/>
          <w:color w:val="auto"/>
          <w:highlight w:val="none"/>
          <w:u w:val="single"/>
        </w:rPr>
        <w:t>公司</w:t>
      </w:r>
      <w:r>
        <w:rPr>
          <w:rFonts w:hint="eastAsia" w:ascii="仿宋" w:hAnsi="仿宋" w:eastAsia="仿宋" w:cs="仿宋"/>
          <w:color w:val="auto"/>
          <w:highlight w:val="none"/>
        </w:rPr>
        <w:t>的法定代表人。为参加本项目，签署上述的投标文件、进行合同谈判、签署合同和处理与之有关的一切事务。</w:t>
      </w:r>
    </w:p>
    <w:p>
      <w:pPr>
        <w:pStyle w:val="27"/>
        <w:spacing w:line="580" w:lineRule="exact"/>
        <w:ind w:firstLine="560"/>
        <w:rPr>
          <w:rFonts w:ascii="仿宋" w:hAnsi="仿宋" w:eastAsia="仿宋" w:cs="仿宋"/>
          <w:color w:val="auto"/>
          <w:highlight w:val="none"/>
        </w:rPr>
      </w:pPr>
    </w:p>
    <w:p>
      <w:pPr>
        <w:pStyle w:val="27"/>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特此证明</w:t>
      </w:r>
    </w:p>
    <w:p>
      <w:pPr>
        <w:pStyle w:val="27"/>
        <w:ind w:firstLine="560"/>
        <w:rPr>
          <w:rFonts w:ascii="仿宋" w:hAnsi="仿宋" w:eastAsia="仿宋" w:cs="仿宋"/>
          <w:color w:val="auto"/>
          <w:highlight w:val="none"/>
        </w:rPr>
      </w:pPr>
    </w:p>
    <w:p>
      <w:pPr>
        <w:pStyle w:val="27"/>
        <w:ind w:firstLine="560"/>
        <w:rPr>
          <w:rFonts w:ascii="仿宋" w:hAnsi="仿宋" w:eastAsia="仿宋" w:cs="仿宋"/>
          <w:color w:val="auto"/>
          <w:highlight w:val="none"/>
        </w:rPr>
      </w:pPr>
    </w:p>
    <w:p>
      <w:pPr>
        <w:pStyle w:val="27"/>
        <w:ind w:firstLine="4200" w:firstLineChars="1500"/>
        <w:rPr>
          <w:rFonts w:ascii="仿宋" w:hAnsi="仿宋" w:eastAsia="仿宋" w:cs="仿宋"/>
          <w:color w:val="auto"/>
          <w:highlight w:val="none"/>
        </w:rPr>
      </w:pPr>
      <w:r>
        <w:rPr>
          <w:rFonts w:hint="eastAsia" w:ascii="仿宋" w:hAnsi="仿宋" w:eastAsia="仿宋" w:cs="仿宋"/>
          <w:color w:val="auto"/>
          <w:highlight w:val="none"/>
        </w:rPr>
        <w:t xml:space="preserve">供应商：    （公章）   </w:t>
      </w:r>
    </w:p>
    <w:p>
      <w:pPr>
        <w:pStyle w:val="27"/>
        <w:ind w:firstLine="4200" w:firstLineChars="1500"/>
        <w:rPr>
          <w:rFonts w:ascii="仿宋" w:hAnsi="仿宋" w:eastAsia="仿宋" w:cs="仿宋"/>
          <w:color w:val="auto"/>
          <w:highlight w:val="none"/>
        </w:rPr>
      </w:pPr>
    </w:p>
    <w:p>
      <w:pPr>
        <w:pStyle w:val="27"/>
        <w:ind w:firstLine="4200" w:firstLineChars="1500"/>
        <w:rPr>
          <w:rFonts w:ascii="仿宋" w:hAnsi="仿宋" w:eastAsia="仿宋" w:cs="仿宋"/>
          <w:color w:val="auto"/>
          <w:highlight w:val="none"/>
        </w:rPr>
      </w:pPr>
      <w:r>
        <w:rPr>
          <w:rFonts w:hint="eastAsia" w:ascii="仿宋" w:hAnsi="仿宋" w:eastAsia="仿宋" w:cs="仿宋"/>
          <w:color w:val="auto"/>
          <w:highlight w:val="none"/>
        </w:rPr>
        <w:t>法定代表人签名：</w:t>
      </w:r>
    </w:p>
    <w:p>
      <w:pPr>
        <w:pStyle w:val="27"/>
        <w:ind w:firstLine="4200" w:firstLineChars="1500"/>
        <w:rPr>
          <w:rFonts w:ascii="仿宋" w:hAnsi="仿宋" w:eastAsia="仿宋" w:cs="仿宋"/>
          <w:color w:val="auto"/>
          <w:highlight w:val="none"/>
        </w:rPr>
      </w:pPr>
    </w:p>
    <w:p>
      <w:pPr>
        <w:pStyle w:val="27"/>
        <w:ind w:firstLine="4200" w:firstLineChars="1500"/>
        <w:rPr>
          <w:rFonts w:ascii="仿宋" w:hAnsi="仿宋" w:eastAsia="仿宋" w:cs="仿宋"/>
          <w:color w:val="auto"/>
          <w:highlight w:val="none"/>
        </w:rPr>
      </w:pPr>
      <w:r>
        <w:rPr>
          <w:rFonts w:hint="eastAsia" w:ascii="仿宋" w:hAnsi="仿宋" w:eastAsia="仿宋" w:cs="仿宋"/>
          <w:color w:val="auto"/>
          <w:highlight w:val="none"/>
        </w:rPr>
        <w:t>日  期：   年   月   日</w:t>
      </w:r>
    </w:p>
    <w:p>
      <w:pPr>
        <w:ind w:firstLine="562"/>
        <w:jc w:val="right"/>
        <w:rPr>
          <w:rFonts w:ascii="仿宋" w:hAnsi="仿宋" w:eastAsia="仿宋" w:cs="仿宋"/>
          <w:color w:val="auto"/>
          <w:highlight w:val="none"/>
        </w:rPr>
      </w:pPr>
      <w:r>
        <w:rPr>
          <w:rFonts w:hint="eastAsia" w:ascii="仿宋" w:hAnsi="仿宋" w:eastAsia="仿宋" w:cs="仿宋"/>
          <w:b/>
          <w:bCs/>
          <w:color w:val="auto"/>
          <w:sz w:val="24"/>
          <w:szCs w:val="21"/>
          <w:highlight w:val="none"/>
        </w:rPr>
        <w:br w:type="page"/>
      </w:r>
    </w:p>
    <w:p>
      <w:pPr>
        <w:rPr>
          <w:rFonts w:ascii="仿宋" w:hAnsi="仿宋" w:eastAsia="仿宋" w:cs="仿宋"/>
          <w:color w:val="auto"/>
          <w:highlight w:val="none"/>
        </w:rPr>
      </w:pPr>
    </w:p>
    <w:p>
      <w:pPr>
        <w:pStyle w:val="3"/>
        <w:spacing w:line="500" w:lineRule="exact"/>
        <w:jc w:val="center"/>
        <w:rPr>
          <w:rFonts w:ascii="仿宋" w:hAnsi="仿宋" w:eastAsia="仿宋" w:cs="仿宋"/>
          <w:color w:val="auto"/>
          <w:sz w:val="32"/>
          <w:highlight w:val="none"/>
        </w:rPr>
      </w:pPr>
      <w:bookmarkStart w:id="21" w:name="_Toc28431"/>
      <w:r>
        <w:rPr>
          <w:rFonts w:hint="eastAsia" w:ascii="仿宋" w:hAnsi="仿宋" w:eastAsia="仿宋" w:cs="仿宋"/>
          <w:color w:val="auto"/>
          <w:sz w:val="32"/>
          <w:highlight w:val="none"/>
        </w:rPr>
        <w:t>法定代表人授权委托书（格式）</w:t>
      </w:r>
      <w:bookmarkEnd w:id="21"/>
    </w:p>
    <w:p>
      <w:pPr>
        <w:spacing w:line="500" w:lineRule="exact"/>
        <w:rPr>
          <w:rFonts w:ascii="仿宋" w:hAnsi="仿宋" w:eastAsia="仿宋" w:cs="仿宋"/>
          <w:color w:val="auto"/>
          <w:szCs w:val="21"/>
          <w:highlight w:val="none"/>
        </w:rPr>
      </w:pPr>
    </w:p>
    <w:p>
      <w:pPr>
        <w:pStyle w:val="27"/>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本授权委托书声明：我</w:t>
      </w:r>
      <w:r>
        <w:rPr>
          <w:rFonts w:hint="eastAsia" w:ascii="仿宋" w:hAnsi="仿宋" w:eastAsia="仿宋" w:cs="仿宋"/>
          <w:color w:val="auto"/>
          <w:highlight w:val="none"/>
          <w:u w:val="single"/>
        </w:rPr>
        <w:t>（姓名）</w:t>
      </w:r>
      <w:r>
        <w:rPr>
          <w:rFonts w:hint="eastAsia" w:ascii="仿宋" w:hAnsi="仿宋" w:eastAsia="仿宋" w:cs="仿宋"/>
          <w:color w:val="auto"/>
          <w:highlight w:val="none"/>
        </w:rPr>
        <w:t>系</w:t>
      </w:r>
      <w:r>
        <w:rPr>
          <w:rFonts w:hint="eastAsia" w:ascii="仿宋" w:hAnsi="仿宋" w:eastAsia="仿宋" w:cs="仿宋"/>
          <w:color w:val="auto"/>
          <w:highlight w:val="none"/>
          <w:u w:val="single"/>
        </w:rPr>
        <w:t>（供应商名称）</w:t>
      </w:r>
      <w:r>
        <w:rPr>
          <w:rFonts w:hint="eastAsia" w:ascii="仿宋" w:hAnsi="仿宋" w:eastAsia="仿宋" w:cs="仿宋"/>
          <w:color w:val="auto"/>
          <w:highlight w:val="none"/>
        </w:rPr>
        <w:t>的法定代表人，现授权委托</w:t>
      </w:r>
      <w:r>
        <w:rPr>
          <w:rFonts w:hint="eastAsia" w:ascii="仿宋" w:hAnsi="仿宋" w:eastAsia="仿宋" w:cs="仿宋"/>
          <w:color w:val="auto"/>
          <w:highlight w:val="none"/>
          <w:u w:val="single"/>
        </w:rPr>
        <w:t>（单位名称）</w:t>
      </w:r>
      <w:r>
        <w:rPr>
          <w:rFonts w:hint="eastAsia" w:ascii="仿宋" w:hAnsi="仿宋" w:eastAsia="仿宋" w:cs="仿宋"/>
          <w:color w:val="auto"/>
          <w:highlight w:val="none"/>
        </w:rPr>
        <w:t>的</w:t>
      </w:r>
      <w:r>
        <w:rPr>
          <w:rFonts w:hint="eastAsia" w:ascii="仿宋" w:hAnsi="仿宋" w:eastAsia="仿宋" w:cs="仿宋"/>
          <w:color w:val="auto"/>
          <w:highlight w:val="none"/>
          <w:u w:val="single"/>
        </w:rPr>
        <w:t>（姓名）</w:t>
      </w:r>
      <w:r>
        <w:rPr>
          <w:rFonts w:hint="eastAsia" w:ascii="仿宋" w:hAnsi="仿宋" w:eastAsia="仿宋" w:cs="仿宋"/>
          <w:color w:val="auto"/>
          <w:highlight w:val="none"/>
        </w:rPr>
        <w:t>为我公司签署本项目投标文件的法定代表人授权委托代理人，全权代表我单位处理本次谈判的有关事宜。代理人所签署的一切有关文件，我单位均予承认。</w:t>
      </w:r>
    </w:p>
    <w:p>
      <w:pPr>
        <w:pStyle w:val="27"/>
        <w:spacing w:line="580" w:lineRule="exact"/>
        <w:ind w:firstLine="560"/>
        <w:rPr>
          <w:rFonts w:ascii="仿宋" w:hAnsi="仿宋" w:eastAsia="仿宋" w:cs="仿宋"/>
          <w:color w:val="auto"/>
          <w:highlight w:val="none"/>
        </w:rPr>
      </w:pPr>
    </w:p>
    <w:p>
      <w:pPr>
        <w:pStyle w:val="27"/>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代理人无转委托权，特此声明！</w:t>
      </w:r>
    </w:p>
    <w:p>
      <w:pPr>
        <w:pStyle w:val="27"/>
        <w:spacing w:line="580" w:lineRule="exact"/>
        <w:ind w:firstLine="560"/>
        <w:rPr>
          <w:rFonts w:ascii="仿宋" w:hAnsi="仿宋" w:eastAsia="仿宋" w:cs="仿宋"/>
          <w:color w:val="auto"/>
          <w:highlight w:val="none"/>
        </w:rPr>
      </w:pPr>
    </w:p>
    <w:p>
      <w:pPr>
        <w:pStyle w:val="27"/>
        <w:spacing w:line="580" w:lineRule="exact"/>
        <w:ind w:firstLine="560"/>
        <w:rPr>
          <w:rFonts w:ascii="仿宋" w:hAnsi="仿宋" w:eastAsia="仿宋" w:cs="仿宋"/>
          <w:color w:val="auto"/>
          <w:highlight w:val="none"/>
        </w:rPr>
      </w:pPr>
    </w:p>
    <w:p>
      <w:pPr>
        <w:pStyle w:val="27"/>
        <w:spacing w:line="580" w:lineRule="exact"/>
        <w:ind w:firstLine="560"/>
        <w:rPr>
          <w:rFonts w:ascii="仿宋" w:hAnsi="仿宋" w:eastAsia="仿宋" w:cs="仿宋"/>
          <w:color w:val="auto"/>
          <w:highlight w:val="none"/>
        </w:rPr>
      </w:pPr>
    </w:p>
    <w:p>
      <w:pPr>
        <w:pStyle w:val="27"/>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代理人：           姓名：            性别：            年龄：</w:t>
      </w:r>
    </w:p>
    <w:p>
      <w:pPr>
        <w:pStyle w:val="27"/>
        <w:spacing w:line="580" w:lineRule="exact"/>
        <w:ind w:firstLine="560"/>
        <w:rPr>
          <w:rFonts w:ascii="仿宋" w:hAnsi="仿宋" w:eastAsia="仿宋" w:cs="仿宋"/>
          <w:color w:val="auto"/>
          <w:highlight w:val="none"/>
        </w:rPr>
      </w:pPr>
    </w:p>
    <w:p>
      <w:pPr>
        <w:pStyle w:val="27"/>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身份证号码：                         职务：</w:t>
      </w:r>
    </w:p>
    <w:p>
      <w:pPr>
        <w:pStyle w:val="27"/>
        <w:spacing w:line="580" w:lineRule="exact"/>
        <w:ind w:firstLine="560"/>
        <w:rPr>
          <w:rFonts w:ascii="仿宋" w:hAnsi="仿宋" w:eastAsia="仿宋" w:cs="仿宋"/>
          <w:color w:val="auto"/>
          <w:highlight w:val="none"/>
        </w:rPr>
      </w:pPr>
    </w:p>
    <w:p>
      <w:pPr>
        <w:pStyle w:val="27"/>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 xml:space="preserve">供应商：    （盖章）  </w:t>
      </w:r>
    </w:p>
    <w:p>
      <w:pPr>
        <w:pStyle w:val="27"/>
        <w:spacing w:line="580" w:lineRule="exact"/>
        <w:ind w:firstLine="560"/>
        <w:rPr>
          <w:rFonts w:ascii="仿宋" w:hAnsi="仿宋" w:eastAsia="仿宋" w:cs="仿宋"/>
          <w:color w:val="auto"/>
          <w:highlight w:val="none"/>
        </w:rPr>
      </w:pPr>
    </w:p>
    <w:p>
      <w:pPr>
        <w:pStyle w:val="27"/>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 xml:space="preserve">法定代表人：      （签字）    </w:t>
      </w:r>
    </w:p>
    <w:p>
      <w:pPr>
        <w:pStyle w:val="27"/>
        <w:spacing w:line="580" w:lineRule="exact"/>
        <w:ind w:firstLine="560"/>
        <w:rPr>
          <w:rFonts w:ascii="仿宋" w:hAnsi="仿宋" w:eastAsia="仿宋" w:cs="仿宋"/>
          <w:color w:val="auto"/>
          <w:highlight w:val="none"/>
        </w:rPr>
      </w:pPr>
    </w:p>
    <w:p>
      <w:pPr>
        <w:pStyle w:val="27"/>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授权委托日期：   年   月   日</w:t>
      </w:r>
    </w:p>
    <w:p>
      <w:pPr>
        <w:pStyle w:val="27"/>
        <w:spacing w:line="580" w:lineRule="exact"/>
        <w:ind w:firstLine="560"/>
        <w:rPr>
          <w:rFonts w:ascii="仿宋" w:hAnsi="仿宋" w:eastAsia="仿宋" w:cs="仿宋"/>
          <w:color w:val="auto"/>
          <w:highlight w:val="none"/>
        </w:rPr>
      </w:pPr>
    </w:p>
    <w:p>
      <w:pPr>
        <w:ind w:firstLine="562"/>
        <w:jc w:val="right"/>
        <w:rPr>
          <w:rFonts w:ascii="仿宋" w:hAnsi="仿宋" w:eastAsia="仿宋" w:cs="仿宋"/>
          <w:color w:val="auto"/>
          <w:sz w:val="28"/>
          <w:highlight w:val="none"/>
        </w:rPr>
      </w:pPr>
      <w:r>
        <w:rPr>
          <w:rFonts w:hint="eastAsia" w:ascii="仿宋" w:hAnsi="仿宋" w:eastAsia="仿宋" w:cs="仿宋"/>
          <w:color w:val="auto"/>
          <w:sz w:val="28"/>
          <w:highlight w:val="none"/>
        </w:rPr>
        <w:br w:type="page"/>
      </w:r>
      <w:r>
        <w:rPr>
          <w:rFonts w:hint="eastAsia" w:ascii="仿宋" w:hAnsi="仿宋" w:eastAsia="仿宋" w:cs="仿宋"/>
          <w:color w:val="auto"/>
          <w:sz w:val="28"/>
          <w:highlight w:val="none"/>
        </w:rPr>
        <w:t>附件三</w:t>
      </w:r>
    </w:p>
    <w:p>
      <w:pPr>
        <w:rPr>
          <w:rFonts w:ascii="仿宋" w:hAnsi="仿宋" w:eastAsia="仿宋" w:cs="仿宋"/>
          <w:color w:val="auto"/>
          <w:highlight w:val="none"/>
        </w:rPr>
      </w:pPr>
    </w:p>
    <w:p>
      <w:pPr>
        <w:jc w:val="center"/>
        <w:rPr>
          <w:rFonts w:ascii="仿宋" w:hAnsi="仿宋" w:eastAsia="仿宋" w:cs="仿宋"/>
          <w:color w:val="auto"/>
          <w:highlight w:val="none"/>
        </w:rPr>
      </w:pPr>
    </w:p>
    <w:p>
      <w:pPr>
        <w:pStyle w:val="3"/>
        <w:spacing w:line="500" w:lineRule="exact"/>
        <w:jc w:val="center"/>
        <w:rPr>
          <w:rFonts w:ascii="仿宋" w:hAnsi="仿宋" w:eastAsia="仿宋" w:cs="仿宋"/>
          <w:color w:val="auto"/>
          <w:sz w:val="36"/>
          <w:szCs w:val="36"/>
          <w:highlight w:val="none"/>
        </w:rPr>
      </w:pPr>
      <w:bookmarkStart w:id="22" w:name="_Toc20340"/>
      <w:r>
        <w:rPr>
          <w:rFonts w:hint="eastAsia" w:ascii="仿宋" w:hAnsi="仿宋" w:eastAsia="仿宋" w:cs="仿宋"/>
          <w:color w:val="auto"/>
          <w:sz w:val="36"/>
          <w:szCs w:val="36"/>
          <w:highlight w:val="none"/>
        </w:rPr>
        <w:t>供应商关于投标文件的声明函</w:t>
      </w:r>
      <w:bookmarkEnd w:id="22"/>
    </w:p>
    <w:p>
      <w:pPr>
        <w:adjustRightInd w:val="0"/>
        <w:snapToGrid w:val="0"/>
        <w:spacing w:line="360" w:lineRule="auto"/>
        <w:ind w:firstLine="560" w:firstLineChars="200"/>
        <w:rPr>
          <w:rFonts w:ascii="仿宋" w:hAnsi="仿宋" w:eastAsia="仿宋" w:cs="仿宋"/>
          <w:color w:val="auto"/>
          <w:sz w:val="28"/>
          <w:szCs w:val="28"/>
          <w:highlight w:val="none"/>
        </w:rPr>
      </w:pPr>
    </w:p>
    <w:p>
      <w:pPr>
        <w:pStyle w:val="27"/>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致：新疆新之建工程咨询有限公司：</w:t>
      </w:r>
    </w:p>
    <w:p>
      <w:pPr>
        <w:pStyle w:val="27"/>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为响应你方    年    月   日的           投标邀请，下述签字人自愿参与投标，提供招标文件技术需求书中规定的         项目，提交下述文件并声明全部说明是真实的和正确的。下述签字人将就下述文件中存在的虚假或不真实内容对招标代理机构和招标人承担法律责任。</w:t>
      </w:r>
    </w:p>
    <w:p>
      <w:pPr>
        <w:pStyle w:val="27"/>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1）我方的资格声明，各有份正本，份副本。</w:t>
      </w:r>
    </w:p>
    <w:p>
      <w:pPr>
        <w:pStyle w:val="27"/>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2）下述签字人证明本资格文件中的内容是真实的和正确的，同时附上我公司近二年的财务报表。</w:t>
      </w:r>
    </w:p>
    <w:p>
      <w:pPr>
        <w:pStyle w:val="27"/>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下述签字人知道，招标人可能要求其提供进一步的资格材料并同意按招标人的要求提交。</w:t>
      </w:r>
    </w:p>
    <w:p>
      <w:pPr>
        <w:pStyle w:val="27"/>
        <w:spacing w:line="580" w:lineRule="exact"/>
        <w:ind w:firstLine="560"/>
        <w:rPr>
          <w:rFonts w:ascii="仿宋" w:hAnsi="仿宋" w:eastAsia="仿宋" w:cs="仿宋"/>
          <w:color w:val="auto"/>
          <w:highlight w:val="none"/>
        </w:rPr>
      </w:pPr>
    </w:p>
    <w:p>
      <w:pPr>
        <w:pStyle w:val="27"/>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 xml:space="preserve">供应商：    （公章）  </w:t>
      </w:r>
    </w:p>
    <w:p>
      <w:pPr>
        <w:pStyle w:val="27"/>
        <w:spacing w:line="580" w:lineRule="exact"/>
        <w:ind w:firstLine="560"/>
        <w:rPr>
          <w:rFonts w:ascii="仿宋" w:hAnsi="仿宋" w:eastAsia="仿宋" w:cs="仿宋"/>
          <w:color w:val="auto"/>
          <w:highlight w:val="none"/>
        </w:rPr>
      </w:pPr>
    </w:p>
    <w:p>
      <w:pPr>
        <w:pStyle w:val="27"/>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 xml:space="preserve">法人代表或其被授权人：      （签字或盖章）    </w:t>
      </w:r>
    </w:p>
    <w:p>
      <w:pPr>
        <w:pStyle w:val="27"/>
        <w:spacing w:line="580" w:lineRule="exact"/>
        <w:ind w:firstLine="560"/>
        <w:rPr>
          <w:rFonts w:ascii="仿宋" w:hAnsi="仿宋" w:eastAsia="仿宋" w:cs="仿宋"/>
          <w:color w:val="auto"/>
          <w:highlight w:val="none"/>
        </w:rPr>
      </w:pPr>
    </w:p>
    <w:p>
      <w:pPr>
        <w:pStyle w:val="27"/>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日期：   年   月   日</w:t>
      </w:r>
    </w:p>
    <w:p>
      <w:pPr>
        <w:ind w:firstLine="562"/>
        <w:jc w:val="right"/>
        <w:rPr>
          <w:rFonts w:ascii="仿宋" w:hAnsi="仿宋" w:eastAsia="仿宋" w:cs="仿宋"/>
          <w:color w:val="auto"/>
          <w:sz w:val="28"/>
          <w:highlight w:val="none"/>
        </w:rPr>
      </w:pPr>
      <w:r>
        <w:rPr>
          <w:rFonts w:hint="eastAsia" w:ascii="仿宋" w:hAnsi="仿宋" w:eastAsia="仿宋" w:cs="仿宋"/>
          <w:color w:val="auto"/>
          <w:highlight w:val="none"/>
        </w:rPr>
        <w:br w:type="page"/>
      </w:r>
      <w:r>
        <w:rPr>
          <w:rFonts w:hint="eastAsia" w:ascii="仿宋" w:hAnsi="仿宋" w:eastAsia="仿宋" w:cs="仿宋"/>
          <w:color w:val="auto"/>
          <w:sz w:val="28"/>
          <w:highlight w:val="none"/>
        </w:rPr>
        <w:t>附件四</w:t>
      </w:r>
    </w:p>
    <w:p>
      <w:pPr>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供应商诚信投标承诺书</w:t>
      </w:r>
    </w:p>
    <w:p>
      <w:pPr>
        <w:jc w:val="center"/>
        <w:rPr>
          <w:rFonts w:ascii="仿宋" w:hAnsi="仿宋" w:eastAsia="仿宋" w:cs="仿宋"/>
          <w:b/>
          <w:color w:val="auto"/>
          <w:sz w:val="10"/>
          <w:szCs w:val="10"/>
          <w:highlight w:val="none"/>
        </w:rPr>
      </w:pPr>
    </w:p>
    <w:p>
      <w:pPr>
        <w:pStyle w:val="27"/>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本人以企业法定代表人的身份郑重承诺：</w:t>
      </w:r>
    </w:p>
    <w:p>
      <w:pPr>
        <w:pStyle w:val="27"/>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一、投标文件中所提供的一切材料都是真实、有效、合法的；</w:t>
      </w:r>
    </w:p>
    <w:p>
      <w:pPr>
        <w:pStyle w:val="27"/>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二、不以他人名义投标或者以其他方式弄虚作假，骗取中标；</w:t>
      </w:r>
    </w:p>
    <w:p>
      <w:pPr>
        <w:pStyle w:val="27"/>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三、不与其他供应商互相串通投标，不排挤其他供应商的公平竞争，不损害招标人的合法权益；</w:t>
      </w:r>
    </w:p>
    <w:p>
      <w:pPr>
        <w:pStyle w:val="27"/>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四、不与招标人或者招标代理机构串通投标，损害国家利益、社会公共利益或者他人的合法权益；</w:t>
      </w:r>
    </w:p>
    <w:p>
      <w:pPr>
        <w:pStyle w:val="27"/>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五、不向招标人或者评标委员会成员行贿以牟取中标；</w:t>
      </w:r>
    </w:p>
    <w:p>
      <w:pPr>
        <w:pStyle w:val="27"/>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六、如在投标过程和公示期间需要投诉，则保证按照《中华人民共和国招标投标法》的要求进行。投诉的内容和程序符合法律法规的规定，投诉材料加盖企业公章或由法定代表人或授权委托人签字，并附有相关身份证明复印件；</w:t>
      </w:r>
    </w:p>
    <w:p>
      <w:pPr>
        <w:pStyle w:val="27"/>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七、遵守《中华人民共和国政府采购法》、《政府采购货物和服务招标投标管理办法》（财政部87号令）、《政府采购非招标采购方式管理办法》（财政部74号令）的规定，保证不进行恶意投诉。</w:t>
      </w:r>
    </w:p>
    <w:p>
      <w:pPr>
        <w:pStyle w:val="27"/>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以上内容我已仔细阅读。如若违反上述承诺或形成恶意投诉，我们自愿接受以下一种或几种处罚：自动放弃中标资格、限制以后投标、记入不良信用档案，并愿意承担由此引起的其他法律责任。</w:t>
      </w:r>
    </w:p>
    <w:p>
      <w:pPr>
        <w:pStyle w:val="27"/>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供应商：（公章）</w:t>
      </w:r>
    </w:p>
    <w:p>
      <w:pPr>
        <w:pStyle w:val="27"/>
        <w:spacing w:line="580" w:lineRule="exact"/>
        <w:ind w:firstLine="560"/>
        <w:rPr>
          <w:rFonts w:ascii="仿宋" w:hAnsi="仿宋" w:eastAsia="仿宋" w:cs="仿宋"/>
          <w:color w:val="auto"/>
          <w:highlight w:val="none"/>
        </w:rPr>
      </w:pPr>
    </w:p>
    <w:p>
      <w:pPr>
        <w:pStyle w:val="27"/>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法定代表人：（签字）       法定代表授权委托人：（签字）</w:t>
      </w:r>
    </w:p>
    <w:p>
      <w:pPr>
        <w:ind w:firstLine="562"/>
        <w:jc w:val="right"/>
        <w:rPr>
          <w:rFonts w:ascii="仿宋" w:hAnsi="仿宋" w:eastAsia="仿宋" w:cs="仿宋"/>
          <w:color w:val="auto"/>
          <w:sz w:val="28"/>
          <w:highlight w:val="none"/>
        </w:rPr>
      </w:pPr>
      <w:r>
        <w:rPr>
          <w:rFonts w:hint="eastAsia" w:ascii="仿宋" w:hAnsi="仿宋" w:eastAsia="仿宋" w:cs="仿宋"/>
          <w:color w:val="auto"/>
          <w:sz w:val="28"/>
          <w:szCs w:val="28"/>
          <w:highlight w:val="none"/>
        </w:rPr>
        <w:br w:type="page"/>
      </w:r>
      <w:bookmarkStart w:id="23" w:name="_Toc435087575"/>
      <w:r>
        <w:rPr>
          <w:rFonts w:hint="eastAsia" w:ascii="仿宋" w:hAnsi="仿宋" w:eastAsia="仿宋" w:cs="仿宋"/>
          <w:color w:val="auto"/>
          <w:sz w:val="28"/>
          <w:highlight w:val="none"/>
        </w:rPr>
        <w:t>附件</w:t>
      </w:r>
      <w:bookmarkEnd w:id="23"/>
      <w:r>
        <w:rPr>
          <w:rFonts w:hint="eastAsia" w:ascii="仿宋" w:hAnsi="仿宋" w:eastAsia="仿宋" w:cs="仿宋"/>
          <w:color w:val="auto"/>
          <w:sz w:val="28"/>
          <w:highlight w:val="none"/>
        </w:rPr>
        <w:t>五</w:t>
      </w:r>
    </w:p>
    <w:p>
      <w:pPr>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供应商反商业贿赂承诺书</w:t>
      </w:r>
    </w:p>
    <w:p>
      <w:pPr>
        <w:autoSpaceDE w:val="0"/>
        <w:autoSpaceDN w:val="0"/>
        <w:adjustRightInd w:val="0"/>
        <w:snapToGrid w:val="0"/>
        <w:spacing w:line="360" w:lineRule="auto"/>
        <w:ind w:firstLine="560" w:firstLineChars="200"/>
        <w:jc w:val="left"/>
        <w:rPr>
          <w:rFonts w:ascii="仿宋" w:hAnsi="仿宋" w:eastAsia="仿宋" w:cs="仿宋"/>
          <w:color w:val="auto"/>
          <w:kern w:val="0"/>
          <w:sz w:val="28"/>
          <w:szCs w:val="28"/>
          <w:highlight w:val="none"/>
          <w:lang w:val="zh-CN"/>
        </w:rPr>
      </w:pPr>
    </w:p>
    <w:p>
      <w:pPr>
        <w:autoSpaceDE w:val="0"/>
        <w:autoSpaceDN w:val="0"/>
        <w:adjustRightInd w:val="0"/>
        <w:snapToGrid w:val="0"/>
        <w:spacing w:line="360" w:lineRule="auto"/>
        <w:ind w:firstLine="560" w:firstLineChars="20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在</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号（项目）招标活动中，我公司承诺如下 ：</w:t>
      </w:r>
    </w:p>
    <w:p>
      <w:pPr>
        <w:autoSpaceDE w:val="0"/>
        <w:autoSpaceDN w:val="0"/>
        <w:adjustRightInd w:val="0"/>
        <w:snapToGrid w:val="0"/>
        <w:spacing w:line="360" w:lineRule="auto"/>
        <w:ind w:firstLine="560" w:firstLineChars="20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1、不给予国家工作人员及其亲属各种形式的商业贿赂（包括送礼金礼品、有价证券、购物券、回扣、佣金、咨询费、劳务费、赞助费、宣传费、支付旅游费用、报销各种消费凭证、宴请、娱乐等）；</w:t>
      </w:r>
    </w:p>
    <w:p>
      <w:pPr>
        <w:autoSpaceDE w:val="0"/>
        <w:autoSpaceDN w:val="0"/>
        <w:adjustRightInd w:val="0"/>
        <w:snapToGrid w:val="0"/>
        <w:spacing w:line="360" w:lineRule="auto"/>
        <w:ind w:firstLine="560" w:firstLineChars="20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2、不与投标人相互勾结私下协议，弄虚作假，搞假招标、陪标、串通投标，明招暗定，暗箱操作。</w:t>
      </w:r>
    </w:p>
    <w:p>
      <w:pPr>
        <w:snapToGrid w:val="0"/>
        <w:spacing w:line="360" w:lineRule="auto"/>
        <w:ind w:firstLine="560" w:firstLineChars="20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3、我公司法人及项目参与人员有亲戚担任业主方副科级以上领导职务时，自愿放弃此次投标权。</w:t>
      </w:r>
    </w:p>
    <w:p>
      <w:pPr>
        <w:autoSpaceDE w:val="0"/>
        <w:autoSpaceDN w:val="0"/>
        <w:adjustRightInd w:val="0"/>
        <w:snapToGrid w:val="0"/>
        <w:spacing w:line="360" w:lineRule="auto"/>
        <w:ind w:firstLine="560" w:firstLineChars="20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如有上述行为，一经发现，我公司及项目参与人员愿意按照《政府采购法》、《招投标法》、《反不正当竞争法》的有关规定接受处罚。</w:t>
      </w:r>
    </w:p>
    <w:p>
      <w:pPr>
        <w:autoSpaceDE w:val="0"/>
        <w:autoSpaceDN w:val="0"/>
        <w:adjustRightInd w:val="0"/>
        <w:snapToGrid w:val="0"/>
        <w:spacing w:line="360" w:lineRule="auto"/>
        <w:ind w:firstLine="560" w:firstLineChars="200"/>
        <w:jc w:val="left"/>
        <w:rPr>
          <w:rFonts w:ascii="仿宋" w:hAnsi="仿宋" w:eastAsia="仿宋" w:cs="仿宋"/>
          <w:color w:val="auto"/>
          <w:kern w:val="0"/>
          <w:sz w:val="28"/>
          <w:szCs w:val="28"/>
          <w:highlight w:val="none"/>
        </w:rPr>
      </w:pPr>
    </w:p>
    <w:p>
      <w:pPr>
        <w:autoSpaceDE w:val="0"/>
        <w:autoSpaceDN w:val="0"/>
        <w:adjustRightInd w:val="0"/>
        <w:spacing w:line="360" w:lineRule="auto"/>
        <w:ind w:left="221"/>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公司法人代表：</w:t>
      </w:r>
      <w:r>
        <w:rPr>
          <w:rFonts w:hint="eastAsia" w:ascii="仿宋" w:hAnsi="仿宋" w:eastAsia="仿宋" w:cs="仿宋"/>
          <w:color w:val="auto"/>
          <w:kern w:val="0"/>
          <w:sz w:val="24"/>
          <w:szCs w:val="24"/>
          <w:highlight w:val="none"/>
          <w:u w:val="single"/>
        </w:rPr>
        <w:t xml:space="preserve">   （签字）   .</w:t>
      </w:r>
    </w:p>
    <w:p>
      <w:pPr>
        <w:autoSpaceDE w:val="0"/>
        <w:autoSpaceDN w:val="0"/>
        <w:adjustRightInd w:val="0"/>
        <w:spacing w:line="360" w:lineRule="auto"/>
        <w:ind w:left="221"/>
        <w:rPr>
          <w:rFonts w:ascii="仿宋" w:hAnsi="仿宋" w:eastAsia="仿宋" w:cs="仿宋"/>
          <w:color w:val="auto"/>
          <w:kern w:val="0"/>
          <w:sz w:val="24"/>
          <w:szCs w:val="24"/>
          <w:highlight w:val="none"/>
        </w:rPr>
      </w:pPr>
    </w:p>
    <w:p>
      <w:pPr>
        <w:autoSpaceDE w:val="0"/>
        <w:autoSpaceDN w:val="0"/>
        <w:adjustRightInd w:val="0"/>
        <w:spacing w:line="360" w:lineRule="auto"/>
        <w:ind w:left="221"/>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法人授权代表：</w:t>
      </w:r>
      <w:r>
        <w:rPr>
          <w:rFonts w:hint="eastAsia" w:ascii="仿宋" w:hAnsi="仿宋" w:eastAsia="仿宋" w:cs="仿宋"/>
          <w:color w:val="auto"/>
          <w:kern w:val="0"/>
          <w:sz w:val="24"/>
          <w:szCs w:val="24"/>
          <w:highlight w:val="none"/>
          <w:u w:val="single"/>
        </w:rPr>
        <w:t xml:space="preserve">   （签字）   .</w:t>
      </w:r>
    </w:p>
    <w:p>
      <w:pPr>
        <w:autoSpaceDE w:val="0"/>
        <w:autoSpaceDN w:val="0"/>
        <w:adjustRightInd w:val="0"/>
        <w:spacing w:line="360" w:lineRule="auto"/>
        <w:ind w:left="221"/>
        <w:rPr>
          <w:rFonts w:ascii="仿宋" w:hAnsi="仿宋" w:eastAsia="仿宋" w:cs="仿宋"/>
          <w:color w:val="auto"/>
          <w:kern w:val="0"/>
          <w:sz w:val="24"/>
          <w:szCs w:val="24"/>
          <w:highlight w:val="none"/>
        </w:rPr>
      </w:pPr>
    </w:p>
    <w:p>
      <w:pPr>
        <w:autoSpaceDE w:val="0"/>
        <w:autoSpaceDN w:val="0"/>
        <w:adjustRightInd w:val="0"/>
        <w:spacing w:line="360" w:lineRule="auto"/>
        <w:ind w:left="221"/>
        <w:rPr>
          <w:rFonts w:ascii="仿宋" w:hAnsi="仿宋" w:eastAsia="仿宋" w:cs="仿宋"/>
          <w:color w:val="auto"/>
          <w:kern w:val="0"/>
          <w:sz w:val="28"/>
          <w:szCs w:val="28"/>
          <w:highlight w:val="none"/>
          <w:u w:val="single"/>
        </w:rPr>
      </w:pPr>
      <w:r>
        <w:rPr>
          <w:rFonts w:hint="eastAsia" w:ascii="仿宋" w:hAnsi="仿宋" w:eastAsia="仿宋" w:cs="仿宋"/>
          <w:color w:val="auto"/>
          <w:kern w:val="0"/>
          <w:sz w:val="24"/>
          <w:szCs w:val="24"/>
          <w:highlight w:val="none"/>
        </w:rPr>
        <w:t>项 目 经 理：</w:t>
      </w:r>
      <w:r>
        <w:rPr>
          <w:rFonts w:hint="eastAsia" w:ascii="仿宋" w:hAnsi="仿宋" w:eastAsia="仿宋" w:cs="仿宋"/>
          <w:color w:val="auto"/>
          <w:kern w:val="0"/>
          <w:sz w:val="24"/>
          <w:szCs w:val="24"/>
          <w:highlight w:val="none"/>
          <w:u w:val="single"/>
        </w:rPr>
        <w:t xml:space="preserve">   （签字）   </w:t>
      </w:r>
      <w:r>
        <w:rPr>
          <w:rFonts w:hint="eastAsia" w:ascii="仿宋" w:hAnsi="仿宋" w:eastAsia="仿宋" w:cs="仿宋"/>
          <w:color w:val="auto"/>
          <w:kern w:val="0"/>
          <w:sz w:val="28"/>
          <w:szCs w:val="28"/>
          <w:highlight w:val="none"/>
          <w:u w:val="single"/>
        </w:rPr>
        <w:t>.</w:t>
      </w:r>
    </w:p>
    <w:p>
      <w:pPr>
        <w:autoSpaceDE w:val="0"/>
        <w:autoSpaceDN w:val="0"/>
        <w:adjustRightInd w:val="0"/>
        <w:spacing w:line="360" w:lineRule="auto"/>
        <w:ind w:left="221"/>
        <w:rPr>
          <w:rFonts w:ascii="仿宋" w:hAnsi="仿宋" w:eastAsia="仿宋" w:cs="仿宋"/>
          <w:color w:val="auto"/>
          <w:kern w:val="0"/>
          <w:sz w:val="28"/>
          <w:szCs w:val="28"/>
          <w:highlight w:val="none"/>
        </w:rPr>
      </w:pPr>
    </w:p>
    <w:p>
      <w:pPr>
        <w:autoSpaceDE w:val="0"/>
        <w:autoSpaceDN w:val="0"/>
        <w:adjustRightInd w:val="0"/>
        <w:spacing w:line="360" w:lineRule="auto"/>
        <w:jc w:val="right"/>
        <w:rPr>
          <w:rFonts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u w:val="single"/>
        </w:rPr>
        <w:t xml:space="preserve">       公司签章       .</w:t>
      </w:r>
    </w:p>
    <w:p>
      <w:pPr>
        <w:pStyle w:val="27"/>
        <w:spacing w:line="580" w:lineRule="exact"/>
        <w:ind w:firstLine="560"/>
        <w:jc w:val="right"/>
        <w:rPr>
          <w:rFonts w:ascii="仿宋" w:hAnsi="仿宋" w:eastAsia="仿宋" w:cs="仿宋"/>
          <w:color w:val="auto"/>
          <w:kern w:val="0"/>
          <w:szCs w:val="28"/>
          <w:highlight w:val="none"/>
        </w:rPr>
      </w:pPr>
      <w:r>
        <w:rPr>
          <w:rFonts w:hint="eastAsia" w:ascii="仿宋" w:hAnsi="仿宋" w:eastAsia="仿宋" w:cs="仿宋"/>
          <w:color w:val="auto"/>
          <w:kern w:val="0"/>
          <w:szCs w:val="28"/>
          <w:highlight w:val="none"/>
        </w:rPr>
        <w:t>年      月     日</w:t>
      </w:r>
    </w:p>
    <w:p>
      <w:pPr>
        <w:pStyle w:val="27"/>
        <w:spacing w:line="580" w:lineRule="exact"/>
        <w:ind w:firstLine="560"/>
        <w:rPr>
          <w:rFonts w:ascii="仿宋" w:hAnsi="仿宋" w:eastAsia="仿宋" w:cs="仿宋"/>
          <w:color w:val="auto"/>
          <w:highlight w:val="none"/>
        </w:rPr>
      </w:pPr>
    </w:p>
    <w:p>
      <w:pPr>
        <w:ind w:firstLine="622"/>
        <w:rPr>
          <w:rFonts w:ascii="仿宋" w:hAnsi="仿宋" w:eastAsia="仿宋" w:cs="仿宋"/>
          <w:b/>
          <w:color w:val="auto"/>
          <w:sz w:val="31"/>
          <w:highlight w:val="none"/>
        </w:rPr>
        <w:sectPr>
          <w:footerReference r:id="rId9" w:type="first"/>
          <w:footerReference r:id="rId8" w:type="default"/>
          <w:pgSz w:w="11906" w:h="16838"/>
          <w:pgMar w:top="1247" w:right="1134" w:bottom="1247" w:left="1134" w:header="851" w:footer="851" w:gutter="0"/>
          <w:pgNumType w:start="1"/>
          <w:cols w:space="720" w:num="1"/>
          <w:docGrid w:type="linesAndChars" w:linePitch="312" w:charSpace="0"/>
        </w:sectPr>
      </w:pPr>
    </w:p>
    <w:p>
      <w:pPr>
        <w:ind w:firstLine="560"/>
        <w:jc w:val="right"/>
        <w:rPr>
          <w:rFonts w:ascii="仿宋" w:hAnsi="仿宋" w:eastAsia="仿宋" w:cs="仿宋"/>
          <w:b/>
          <w:color w:val="auto"/>
          <w:sz w:val="28"/>
          <w:highlight w:val="none"/>
        </w:rPr>
      </w:pPr>
      <w:r>
        <w:rPr>
          <w:rFonts w:hint="eastAsia" w:ascii="仿宋" w:hAnsi="仿宋" w:eastAsia="仿宋" w:cs="仿宋"/>
          <w:color w:val="auto"/>
          <w:sz w:val="28"/>
          <w:highlight w:val="none"/>
        </w:rPr>
        <w:t>附件六</w:t>
      </w:r>
    </w:p>
    <w:p>
      <w:pPr>
        <w:tabs>
          <w:tab w:val="center" w:pos="7115"/>
          <w:tab w:val="right" w:pos="14230"/>
        </w:tabs>
        <w:ind w:firstLine="723"/>
        <w:jc w:val="center"/>
        <w:rPr>
          <w:rFonts w:ascii="仿宋" w:hAnsi="仿宋" w:eastAsia="仿宋" w:cs="仿宋"/>
          <w:b/>
          <w:color w:val="auto"/>
          <w:sz w:val="36"/>
          <w:highlight w:val="none"/>
        </w:rPr>
      </w:pPr>
      <w:r>
        <w:rPr>
          <w:rFonts w:hint="eastAsia" w:ascii="仿宋" w:hAnsi="仿宋" w:eastAsia="仿宋" w:cs="仿宋"/>
          <w:b/>
          <w:color w:val="auto"/>
          <w:sz w:val="36"/>
          <w:highlight w:val="none"/>
        </w:rPr>
        <w:t>开   标   一   览   表</w:t>
      </w:r>
    </w:p>
    <w:p>
      <w:pPr>
        <w:tabs>
          <w:tab w:val="center" w:pos="7115"/>
          <w:tab w:val="right" w:pos="14230"/>
        </w:tabs>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                                                                      单位：元</w:t>
      </w:r>
    </w:p>
    <w:p>
      <w:pPr>
        <w:tabs>
          <w:tab w:val="center" w:pos="7115"/>
          <w:tab w:val="right" w:pos="14230"/>
        </w:tabs>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                                                                        编号/包号：</w:t>
      </w:r>
    </w:p>
    <w:tbl>
      <w:tblPr>
        <w:tblStyle w:val="17"/>
        <w:tblW w:w="15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9"/>
        <w:gridCol w:w="3252"/>
        <w:gridCol w:w="1740"/>
        <w:gridCol w:w="5265"/>
        <w:gridCol w:w="2845"/>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2" w:hRule="exact"/>
          <w:jc w:val="center"/>
        </w:trPr>
        <w:tc>
          <w:tcPr>
            <w:tcW w:w="779"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3252"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投标内容</w:t>
            </w:r>
          </w:p>
        </w:tc>
        <w:tc>
          <w:tcPr>
            <w:tcW w:w="174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数量</w:t>
            </w:r>
          </w:p>
        </w:tc>
        <w:tc>
          <w:tcPr>
            <w:tcW w:w="52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总价（元）</w:t>
            </w:r>
          </w:p>
        </w:tc>
        <w:tc>
          <w:tcPr>
            <w:tcW w:w="284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项目工期</w:t>
            </w:r>
          </w:p>
        </w:tc>
        <w:tc>
          <w:tcPr>
            <w:tcW w:w="112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08" w:hRule="atLeast"/>
          <w:jc w:val="center"/>
        </w:trPr>
        <w:tc>
          <w:tcPr>
            <w:tcW w:w="779" w:type="dxa"/>
            <w:vAlign w:val="center"/>
          </w:tcPr>
          <w:p>
            <w:pPr>
              <w:snapToGrid w:val="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3252" w:type="dxa"/>
            <w:vAlign w:val="center"/>
          </w:tcPr>
          <w:p>
            <w:pPr>
              <w:snapToGrid w:val="0"/>
              <w:jc w:val="center"/>
              <w:rPr>
                <w:rFonts w:ascii="仿宋" w:hAnsi="仿宋" w:eastAsia="仿宋" w:cs="仿宋"/>
                <w:color w:val="auto"/>
                <w:sz w:val="28"/>
                <w:szCs w:val="28"/>
                <w:highlight w:val="none"/>
              </w:rPr>
            </w:pPr>
          </w:p>
        </w:tc>
        <w:tc>
          <w:tcPr>
            <w:tcW w:w="1740" w:type="dxa"/>
            <w:vAlign w:val="center"/>
          </w:tcPr>
          <w:p>
            <w:pPr>
              <w:snapToGrid w:val="0"/>
              <w:jc w:val="center"/>
              <w:rPr>
                <w:rFonts w:ascii="仿宋" w:hAnsi="仿宋" w:eastAsia="仿宋" w:cs="仿宋"/>
                <w:color w:val="auto"/>
                <w:sz w:val="28"/>
                <w:szCs w:val="28"/>
                <w:highlight w:val="none"/>
              </w:rPr>
            </w:pPr>
          </w:p>
        </w:tc>
        <w:tc>
          <w:tcPr>
            <w:tcW w:w="5265" w:type="dxa"/>
            <w:vAlign w:val="center"/>
          </w:tcPr>
          <w:p>
            <w:pPr>
              <w:snapToGrid w:val="0"/>
              <w:jc w:val="center"/>
              <w:rPr>
                <w:rFonts w:ascii="仿宋" w:hAnsi="仿宋" w:eastAsia="仿宋" w:cs="仿宋"/>
                <w:color w:val="auto"/>
                <w:sz w:val="28"/>
                <w:szCs w:val="28"/>
                <w:highlight w:val="none"/>
              </w:rPr>
            </w:pPr>
          </w:p>
        </w:tc>
        <w:tc>
          <w:tcPr>
            <w:tcW w:w="2845" w:type="dxa"/>
            <w:vAlign w:val="center"/>
          </w:tcPr>
          <w:p>
            <w:pPr>
              <w:snapToGrid w:val="0"/>
              <w:jc w:val="center"/>
              <w:rPr>
                <w:rFonts w:ascii="仿宋" w:hAnsi="仿宋" w:eastAsia="仿宋" w:cs="仿宋"/>
                <w:color w:val="auto"/>
                <w:sz w:val="28"/>
                <w:szCs w:val="28"/>
                <w:highlight w:val="none"/>
              </w:rPr>
            </w:pPr>
          </w:p>
        </w:tc>
        <w:tc>
          <w:tcPr>
            <w:tcW w:w="1125" w:type="dxa"/>
            <w:vAlign w:val="center"/>
          </w:tcPr>
          <w:p>
            <w:pPr>
              <w:snapToGrid w:val="0"/>
              <w:jc w:val="cente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83" w:hRule="atLeast"/>
          <w:jc w:val="center"/>
        </w:trPr>
        <w:tc>
          <w:tcPr>
            <w:tcW w:w="4031" w:type="dxa"/>
            <w:gridSpan w:val="2"/>
            <w:vAlign w:val="center"/>
          </w:tcPr>
          <w:p>
            <w:pPr>
              <w:snapToGrid w:val="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投标总报价（元）</w:t>
            </w:r>
          </w:p>
        </w:tc>
        <w:tc>
          <w:tcPr>
            <w:tcW w:w="10975" w:type="dxa"/>
            <w:gridSpan w:val="4"/>
            <w:vAlign w:val="center"/>
          </w:tcPr>
          <w:p>
            <w:pPr>
              <w:snapToGrid w:val="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小写：                             大写：</w:t>
            </w:r>
          </w:p>
        </w:tc>
      </w:tr>
    </w:tbl>
    <w:p>
      <w:pPr>
        <w:ind w:firstLine="480"/>
        <w:rPr>
          <w:rFonts w:ascii="仿宋" w:hAnsi="仿宋" w:eastAsia="仿宋" w:cs="仿宋"/>
          <w:color w:val="auto"/>
          <w:sz w:val="24"/>
          <w:szCs w:val="24"/>
          <w:highlight w:val="none"/>
        </w:rPr>
      </w:pPr>
    </w:p>
    <w:p>
      <w:pPr>
        <w:spacing w:line="400" w:lineRule="exact"/>
        <w:ind w:firstLine="551" w:firstLineChars="196"/>
        <w:rPr>
          <w:rFonts w:ascii="仿宋" w:hAnsi="仿宋" w:eastAsia="仿宋" w:cs="仿宋"/>
          <w:b/>
          <w:color w:val="auto"/>
          <w:sz w:val="28"/>
          <w:highlight w:val="none"/>
        </w:rPr>
      </w:pPr>
      <w:r>
        <w:rPr>
          <w:rFonts w:hint="eastAsia" w:ascii="仿宋" w:hAnsi="仿宋" w:eastAsia="仿宋" w:cs="仿宋"/>
          <w:b/>
          <w:bCs/>
          <w:color w:val="auto"/>
          <w:sz w:val="28"/>
          <w:highlight w:val="none"/>
        </w:rPr>
        <w:t>注：1、</w:t>
      </w:r>
      <w:r>
        <w:rPr>
          <w:rFonts w:hint="eastAsia" w:ascii="仿宋" w:hAnsi="仿宋" w:eastAsia="仿宋" w:cs="仿宋"/>
          <w:b/>
          <w:color w:val="auto"/>
          <w:sz w:val="28"/>
          <w:highlight w:val="none"/>
        </w:rPr>
        <w:t>在开标一览表中，按第二章投标须知10.2条款的规定不允许出现两种报价，否则其投标将被拒绝。</w:t>
      </w:r>
    </w:p>
    <w:p>
      <w:pPr>
        <w:spacing w:line="400" w:lineRule="exact"/>
        <w:ind w:firstLine="562"/>
        <w:rPr>
          <w:rFonts w:ascii="仿宋" w:hAnsi="仿宋" w:eastAsia="仿宋" w:cs="仿宋"/>
          <w:b/>
          <w:color w:val="auto"/>
          <w:sz w:val="28"/>
          <w:highlight w:val="none"/>
        </w:rPr>
      </w:pPr>
      <w:r>
        <w:rPr>
          <w:rFonts w:hint="eastAsia" w:ascii="仿宋" w:hAnsi="仿宋" w:eastAsia="仿宋" w:cs="仿宋"/>
          <w:b/>
          <w:color w:val="auto"/>
          <w:sz w:val="28"/>
          <w:highlight w:val="none"/>
        </w:rPr>
        <w:t xml:space="preserve">    2、详细清单参照附件七自制。</w:t>
      </w:r>
    </w:p>
    <w:p>
      <w:pPr>
        <w:spacing w:line="400" w:lineRule="exact"/>
        <w:ind w:firstLine="562"/>
        <w:rPr>
          <w:rFonts w:ascii="仿宋" w:hAnsi="仿宋" w:eastAsia="仿宋" w:cs="仿宋"/>
          <w:b/>
          <w:color w:val="auto"/>
          <w:sz w:val="28"/>
          <w:highlight w:val="none"/>
        </w:rPr>
      </w:pPr>
    </w:p>
    <w:p>
      <w:pPr>
        <w:ind w:firstLine="537" w:firstLineChars="192"/>
        <w:rPr>
          <w:rFonts w:ascii="仿宋" w:hAnsi="仿宋" w:eastAsia="仿宋" w:cs="仿宋"/>
          <w:color w:val="auto"/>
          <w:sz w:val="28"/>
          <w:highlight w:val="none"/>
        </w:rPr>
      </w:pPr>
      <w:r>
        <w:rPr>
          <w:rFonts w:hint="eastAsia" w:ascii="仿宋" w:hAnsi="仿宋" w:eastAsia="仿宋" w:cs="仿宋"/>
          <w:color w:val="auto"/>
          <w:sz w:val="28"/>
          <w:szCs w:val="28"/>
          <w:highlight w:val="none"/>
        </w:rPr>
        <w:t>投标单位授权代表签字：                                             投标单位公章：</w:t>
      </w:r>
      <w:r>
        <w:rPr>
          <w:rFonts w:hint="eastAsia" w:ascii="仿宋" w:hAnsi="仿宋" w:eastAsia="仿宋" w:cs="仿宋"/>
          <w:color w:val="auto"/>
          <w:sz w:val="28"/>
          <w:highlight w:val="none"/>
        </w:rPr>
        <w:br w:type="page"/>
      </w:r>
    </w:p>
    <w:p>
      <w:pPr>
        <w:spacing w:line="400" w:lineRule="exact"/>
        <w:ind w:right="560"/>
        <w:jc w:val="right"/>
        <w:rPr>
          <w:rFonts w:ascii="仿宋" w:hAnsi="仿宋" w:eastAsia="仿宋" w:cs="仿宋"/>
          <w:color w:val="auto"/>
          <w:sz w:val="28"/>
          <w:highlight w:val="none"/>
        </w:rPr>
      </w:pPr>
      <w:r>
        <w:rPr>
          <w:rFonts w:hint="eastAsia" w:ascii="仿宋" w:hAnsi="仿宋" w:eastAsia="仿宋" w:cs="仿宋"/>
          <w:color w:val="auto"/>
          <w:sz w:val="28"/>
          <w:highlight w:val="none"/>
        </w:rPr>
        <w:t>附件七</w:t>
      </w:r>
    </w:p>
    <w:p>
      <w:pPr>
        <w:tabs>
          <w:tab w:val="center" w:pos="7115"/>
          <w:tab w:val="right" w:pos="14230"/>
        </w:tabs>
        <w:ind w:firstLine="723"/>
        <w:jc w:val="center"/>
        <w:rPr>
          <w:rFonts w:ascii="仿宋" w:hAnsi="仿宋" w:eastAsia="仿宋" w:cs="仿宋"/>
          <w:b/>
          <w:color w:val="auto"/>
          <w:sz w:val="36"/>
          <w:highlight w:val="none"/>
        </w:rPr>
      </w:pPr>
      <w:r>
        <w:rPr>
          <w:rFonts w:hint="eastAsia" w:ascii="仿宋" w:hAnsi="仿宋" w:eastAsia="仿宋" w:cs="仿宋"/>
          <w:b/>
          <w:color w:val="auto"/>
          <w:sz w:val="36"/>
          <w:highlight w:val="none"/>
          <w:lang w:val="en-US" w:eastAsia="zh-CN"/>
        </w:rPr>
        <w:t>核心设备</w:t>
      </w:r>
      <w:r>
        <w:rPr>
          <w:rFonts w:hint="eastAsia" w:ascii="仿宋" w:hAnsi="仿宋" w:eastAsia="仿宋" w:cs="仿宋"/>
          <w:b/>
          <w:color w:val="auto"/>
          <w:sz w:val="36"/>
          <w:highlight w:val="none"/>
        </w:rPr>
        <w:t>投标产品名称、数量、规格明细报价表</w:t>
      </w:r>
    </w:p>
    <w:p>
      <w:pPr>
        <w:pStyle w:val="27"/>
        <w:spacing w:after="156" w:afterLines="50"/>
        <w:ind w:firstLine="560"/>
        <w:rPr>
          <w:rFonts w:ascii="仿宋" w:hAnsi="仿宋" w:eastAsia="仿宋" w:cs="仿宋"/>
          <w:color w:val="auto"/>
          <w:sz w:val="44"/>
          <w:highlight w:val="none"/>
        </w:rPr>
      </w:pPr>
      <w:r>
        <w:rPr>
          <w:rFonts w:hint="eastAsia" w:ascii="仿宋" w:hAnsi="仿宋" w:eastAsia="仿宋" w:cs="仿宋"/>
          <w:color w:val="auto"/>
          <w:highlight w:val="none"/>
        </w:rPr>
        <w:t xml:space="preserve">（此表参照下表由各供应商按照招标货物内容、顺序编制填写，包括详细的产品配置清单、价格、供货范围、名称、规格、技术参数、主要配件的品牌及供货厂家等。）                              </w:t>
      </w:r>
      <w:r>
        <w:rPr>
          <w:rFonts w:hint="eastAsia" w:ascii="仿宋" w:hAnsi="仿宋" w:eastAsia="仿宋" w:cs="仿宋"/>
          <w:color w:val="auto"/>
          <w:szCs w:val="28"/>
          <w:highlight w:val="none"/>
        </w:rPr>
        <w:t>编号/包号：</w:t>
      </w:r>
    </w:p>
    <w:tbl>
      <w:tblPr>
        <w:tblStyle w:val="17"/>
        <w:tblW w:w="14127"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3190"/>
        <w:gridCol w:w="1417"/>
        <w:gridCol w:w="1985"/>
        <w:gridCol w:w="1403"/>
        <w:gridCol w:w="1635"/>
        <w:gridCol w:w="2160"/>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exact"/>
        </w:trPr>
        <w:tc>
          <w:tcPr>
            <w:tcW w:w="883" w:type="dxa"/>
            <w:vAlign w:val="center"/>
          </w:tcPr>
          <w:p>
            <w:pPr>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190" w:type="dxa"/>
            <w:vAlign w:val="center"/>
          </w:tcPr>
          <w:p>
            <w:pPr>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名 称</w:t>
            </w:r>
          </w:p>
        </w:tc>
        <w:tc>
          <w:tcPr>
            <w:tcW w:w="1417" w:type="dxa"/>
            <w:vAlign w:val="center"/>
          </w:tcPr>
          <w:p>
            <w:pPr>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1985" w:type="dxa"/>
            <w:vAlign w:val="center"/>
          </w:tcPr>
          <w:p>
            <w:pPr>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数量（标明单位）</w:t>
            </w:r>
          </w:p>
        </w:tc>
        <w:tc>
          <w:tcPr>
            <w:tcW w:w="1403" w:type="dxa"/>
            <w:vAlign w:val="center"/>
          </w:tcPr>
          <w:p>
            <w:pPr>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单价（元）</w:t>
            </w:r>
          </w:p>
        </w:tc>
        <w:tc>
          <w:tcPr>
            <w:tcW w:w="1635" w:type="dxa"/>
            <w:vAlign w:val="center"/>
          </w:tcPr>
          <w:p>
            <w:pPr>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总价（元）</w:t>
            </w:r>
          </w:p>
        </w:tc>
        <w:tc>
          <w:tcPr>
            <w:tcW w:w="2160" w:type="dxa"/>
            <w:vAlign w:val="center"/>
          </w:tcPr>
          <w:p>
            <w:pPr>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生产厂家及品牌</w:t>
            </w:r>
          </w:p>
        </w:tc>
        <w:tc>
          <w:tcPr>
            <w:tcW w:w="1454" w:type="dxa"/>
            <w:vAlign w:val="center"/>
          </w:tcPr>
          <w:p>
            <w:pPr>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exact"/>
        </w:trPr>
        <w:tc>
          <w:tcPr>
            <w:tcW w:w="883" w:type="dxa"/>
            <w:vAlign w:val="center"/>
          </w:tcPr>
          <w:p>
            <w:pPr>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3190" w:type="dxa"/>
            <w:vAlign w:val="center"/>
          </w:tcPr>
          <w:p>
            <w:pPr>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（所投的全部货物内容）</w:t>
            </w:r>
          </w:p>
        </w:tc>
        <w:tc>
          <w:tcPr>
            <w:tcW w:w="1417" w:type="dxa"/>
            <w:vAlign w:val="center"/>
          </w:tcPr>
          <w:p>
            <w:pPr>
              <w:spacing w:line="420" w:lineRule="exact"/>
              <w:jc w:val="center"/>
              <w:rPr>
                <w:rFonts w:ascii="仿宋" w:hAnsi="仿宋" w:eastAsia="仿宋" w:cs="仿宋"/>
                <w:color w:val="auto"/>
                <w:sz w:val="24"/>
                <w:highlight w:val="none"/>
              </w:rPr>
            </w:pPr>
          </w:p>
        </w:tc>
        <w:tc>
          <w:tcPr>
            <w:tcW w:w="1985" w:type="dxa"/>
            <w:vAlign w:val="center"/>
          </w:tcPr>
          <w:p>
            <w:pPr>
              <w:spacing w:line="420" w:lineRule="exact"/>
              <w:jc w:val="center"/>
              <w:rPr>
                <w:rFonts w:ascii="仿宋" w:hAnsi="仿宋" w:eastAsia="仿宋" w:cs="仿宋"/>
                <w:color w:val="auto"/>
                <w:sz w:val="24"/>
                <w:highlight w:val="none"/>
              </w:rPr>
            </w:pPr>
          </w:p>
        </w:tc>
        <w:tc>
          <w:tcPr>
            <w:tcW w:w="1403" w:type="dxa"/>
            <w:vAlign w:val="center"/>
          </w:tcPr>
          <w:p>
            <w:pPr>
              <w:spacing w:line="420" w:lineRule="exact"/>
              <w:jc w:val="center"/>
              <w:rPr>
                <w:rFonts w:ascii="仿宋" w:hAnsi="仿宋" w:eastAsia="仿宋" w:cs="仿宋"/>
                <w:color w:val="auto"/>
                <w:sz w:val="24"/>
                <w:highlight w:val="none"/>
              </w:rPr>
            </w:pPr>
          </w:p>
        </w:tc>
        <w:tc>
          <w:tcPr>
            <w:tcW w:w="1635" w:type="dxa"/>
            <w:vAlign w:val="center"/>
          </w:tcPr>
          <w:p>
            <w:pPr>
              <w:spacing w:line="420" w:lineRule="exact"/>
              <w:jc w:val="center"/>
              <w:rPr>
                <w:rFonts w:ascii="仿宋" w:hAnsi="仿宋" w:eastAsia="仿宋" w:cs="仿宋"/>
                <w:color w:val="auto"/>
                <w:sz w:val="24"/>
                <w:highlight w:val="none"/>
              </w:rPr>
            </w:pPr>
          </w:p>
        </w:tc>
        <w:tc>
          <w:tcPr>
            <w:tcW w:w="2160" w:type="dxa"/>
            <w:vAlign w:val="center"/>
          </w:tcPr>
          <w:p>
            <w:pPr>
              <w:spacing w:line="420" w:lineRule="exact"/>
              <w:jc w:val="center"/>
              <w:rPr>
                <w:rFonts w:ascii="仿宋" w:hAnsi="仿宋" w:eastAsia="仿宋" w:cs="仿宋"/>
                <w:color w:val="auto"/>
                <w:sz w:val="24"/>
                <w:highlight w:val="none"/>
              </w:rPr>
            </w:pPr>
          </w:p>
        </w:tc>
        <w:tc>
          <w:tcPr>
            <w:tcW w:w="1454" w:type="dxa"/>
            <w:vAlign w:val="center"/>
          </w:tcPr>
          <w:p>
            <w:pPr>
              <w:spacing w:line="420" w:lineRule="exac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exact"/>
        </w:trPr>
        <w:tc>
          <w:tcPr>
            <w:tcW w:w="883" w:type="dxa"/>
            <w:vAlign w:val="center"/>
          </w:tcPr>
          <w:p>
            <w:pPr>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3190" w:type="dxa"/>
            <w:vAlign w:val="center"/>
          </w:tcPr>
          <w:p>
            <w:pPr>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pPr>
              <w:spacing w:line="420" w:lineRule="exact"/>
              <w:jc w:val="center"/>
              <w:rPr>
                <w:rFonts w:ascii="仿宋" w:hAnsi="仿宋" w:eastAsia="仿宋" w:cs="仿宋"/>
                <w:color w:val="auto"/>
                <w:sz w:val="24"/>
                <w:highlight w:val="none"/>
              </w:rPr>
            </w:pPr>
          </w:p>
        </w:tc>
        <w:tc>
          <w:tcPr>
            <w:tcW w:w="1985" w:type="dxa"/>
            <w:vAlign w:val="center"/>
          </w:tcPr>
          <w:p>
            <w:pPr>
              <w:spacing w:line="420" w:lineRule="exact"/>
              <w:jc w:val="center"/>
              <w:rPr>
                <w:rFonts w:ascii="仿宋" w:hAnsi="仿宋" w:eastAsia="仿宋" w:cs="仿宋"/>
                <w:color w:val="auto"/>
                <w:sz w:val="24"/>
                <w:highlight w:val="none"/>
              </w:rPr>
            </w:pPr>
          </w:p>
        </w:tc>
        <w:tc>
          <w:tcPr>
            <w:tcW w:w="1403" w:type="dxa"/>
            <w:vAlign w:val="center"/>
          </w:tcPr>
          <w:p>
            <w:pPr>
              <w:spacing w:line="420" w:lineRule="exact"/>
              <w:jc w:val="center"/>
              <w:rPr>
                <w:rFonts w:ascii="仿宋" w:hAnsi="仿宋" w:eastAsia="仿宋" w:cs="仿宋"/>
                <w:color w:val="auto"/>
                <w:sz w:val="24"/>
                <w:highlight w:val="none"/>
              </w:rPr>
            </w:pPr>
          </w:p>
        </w:tc>
        <w:tc>
          <w:tcPr>
            <w:tcW w:w="1635" w:type="dxa"/>
            <w:vAlign w:val="center"/>
          </w:tcPr>
          <w:p>
            <w:pPr>
              <w:spacing w:line="420" w:lineRule="exact"/>
              <w:jc w:val="center"/>
              <w:rPr>
                <w:rFonts w:ascii="仿宋" w:hAnsi="仿宋" w:eastAsia="仿宋" w:cs="仿宋"/>
                <w:color w:val="auto"/>
                <w:sz w:val="24"/>
                <w:highlight w:val="none"/>
              </w:rPr>
            </w:pPr>
          </w:p>
        </w:tc>
        <w:tc>
          <w:tcPr>
            <w:tcW w:w="2160" w:type="dxa"/>
            <w:vAlign w:val="center"/>
          </w:tcPr>
          <w:p>
            <w:pPr>
              <w:spacing w:line="420" w:lineRule="exact"/>
              <w:jc w:val="center"/>
              <w:rPr>
                <w:rFonts w:ascii="仿宋" w:hAnsi="仿宋" w:eastAsia="仿宋" w:cs="仿宋"/>
                <w:color w:val="auto"/>
                <w:sz w:val="24"/>
                <w:highlight w:val="none"/>
              </w:rPr>
            </w:pPr>
          </w:p>
        </w:tc>
        <w:tc>
          <w:tcPr>
            <w:tcW w:w="1454" w:type="dxa"/>
            <w:vAlign w:val="center"/>
          </w:tcPr>
          <w:p>
            <w:pPr>
              <w:spacing w:line="420" w:lineRule="exac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exact"/>
        </w:trPr>
        <w:tc>
          <w:tcPr>
            <w:tcW w:w="883" w:type="dxa"/>
            <w:vAlign w:val="center"/>
          </w:tcPr>
          <w:p>
            <w:pPr>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3190" w:type="dxa"/>
            <w:vAlign w:val="center"/>
          </w:tcPr>
          <w:p>
            <w:pPr>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pPr>
              <w:spacing w:line="420" w:lineRule="exact"/>
              <w:jc w:val="center"/>
              <w:rPr>
                <w:rFonts w:ascii="仿宋" w:hAnsi="仿宋" w:eastAsia="仿宋" w:cs="仿宋"/>
                <w:color w:val="auto"/>
                <w:sz w:val="24"/>
                <w:highlight w:val="none"/>
              </w:rPr>
            </w:pPr>
          </w:p>
        </w:tc>
        <w:tc>
          <w:tcPr>
            <w:tcW w:w="1985" w:type="dxa"/>
            <w:vAlign w:val="center"/>
          </w:tcPr>
          <w:p>
            <w:pPr>
              <w:spacing w:line="420" w:lineRule="exact"/>
              <w:jc w:val="center"/>
              <w:rPr>
                <w:rFonts w:ascii="仿宋" w:hAnsi="仿宋" w:eastAsia="仿宋" w:cs="仿宋"/>
                <w:color w:val="auto"/>
                <w:sz w:val="24"/>
                <w:highlight w:val="none"/>
              </w:rPr>
            </w:pPr>
          </w:p>
        </w:tc>
        <w:tc>
          <w:tcPr>
            <w:tcW w:w="1403" w:type="dxa"/>
            <w:vAlign w:val="center"/>
          </w:tcPr>
          <w:p>
            <w:pPr>
              <w:spacing w:line="420" w:lineRule="exact"/>
              <w:jc w:val="center"/>
              <w:rPr>
                <w:rFonts w:ascii="仿宋" w:hAnsi="仿宋" w:eastAsia="仿宋" w:cs="仿宋"/>
                <w:color w:val="auto"/>
                <w:sz w:val="24"/>
                <w:highlight w:val="none"/>
              </w:rPr>
            </w:pPr>
          </w:p>
        </w:tc>
        <w:tc>
          <w:tcPr>
            <w:tcW w:w="1635" w:type="dxa"/>
            <w:vAlign w:val="center"/>
          </w:tcPr>
          <w:p>
            <w:pPr>
              <w:spacing w:line="420" w:lineRule="exact"/>
              <w:jc w:val="center"/>
              <w:rPr>
                <w:rFonts w:ascii="仿宋" w:hAnsi="仿宋" w:eastAsia="仿宋" w:cs="仿宋"/>
                <w:color w:val="auto"/>
                <w:sz w:val="24"/>
                <w:highlight w:val="none"/>
              </w:rPr>
            </w:pPr>
          </w:p>
        </w:tc>
        <w:tc>
          <w:tcPr>
            <w:tcW w:w="2160" w:type="dxa"/>
            <w:vAlign w:val="center"/>
          </w:tcPr>
          <w:p>
            <w:pPr>
              <w:spacing w:line="420" w:lineRule="exact"/>
              <w:jc w:val="center"/>
              <w:rPr>
                <w:rFonts w:ascii="仿宋" w:hAnsi="仿宋" w:eastAsia="仿宋" w:cs="仿宋"/>
                <w:color w:val="auto"/>
                <w:sz w:val="24"/>
                <w:highlight w:val="none"/>
              </w:rPr>
            </w:pPr>
          </w:p>
        </w:tc>
        <w:tc>
          <w:tcPr>
            <w:tcW w:w="1454" w:type="dxa"/>
            <w:vAlign w:val="center"/>
          </w:tcPr>
          <w:p>
            <w:pPr>
              <w:spacing w:line="420" w:lineRule="exac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83" w:type="dxa"/>
            <w:vAlign w:val="center"/>
          </w:tcPr>
          <w:p>
            <w:pPr>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3190" w:type="dxa"/>
            <w:vAlign w:val="center"/>
          </w:tcPr>
          <w:p>
            <w:pPr>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备品备件</w:t>
            </w:r>
          </w:p>
        </w:tc>
        <w:tc>
          <w:tcPr>
            <w:tcW w:w="10054" w:type="dxa"/>
            <w:gridSpan w:val="6"/>
            <w:vAlign w:val="center"/>
          </w:tcPr>
          <w:p>
            <w:pPr>
              <w:spacing w:line="420" w:lineRule="exac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83" w:type="dxa"/>
            <w:vAlign w:val="center"/>
          </w:tcPr>
          <w:p>
            <w:pPr>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3190" w:type="dxa"/>
            <w:vAlign w:val="center"/>
          </w:tcPr>
          <w:p>
            <w:pPr>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专用工具</w:t>
            </w:r>
          </w:p>
        </w:tc>
        <w:tc>
          <w:tcPr>
            <w:tcW w:w="10054" w:type="dxa"/>
            <w:gridSpan w:val="6"/>
            <w:vAlign w:val="center"/>
          </w:tcPr>
          <w:p>
            <w:pPr>
              <w:spacing w:line="420" w:lineRule="exac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exact"/>
        </w:trPr>
        <w:tc>
          <w:tcPr>
            <w:tcW w:w="883" w:type="dxa"/>
            <w:vAlign w:val="center"/>
          </w:tcPr>
          <w:p>
            <w:pPr>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3190" w:type="dxa"/>
            <w:vAlign w:val="center"/>
          </w:tcPr>
          <w:p>
            <w:pPr>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安装调试费</w:t>
            </w:r>
          </w:p>
        </w:tc>
        <w:tc>
          <w:tcPr>
            <w:tcW w:w="10054" w:type="dxa"/>
            <w:gridSpan w:val="6"/>
            <w:vAlign w:val="center"/>
          </w:tcPr>
          <w:p>
            <w:pPr>
              <w:spacing w:line="420" w:lineRule="exac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trPr>
        <w:tc>
          <w:tcPr>
            <w:tcW w:w="883" w:type="dxa"/>
            <w:vAlign w:val="center"/>
          </w:tcPr>
          <w:p>
            <w:pPr>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3190" w:type="dxa"/>
            <w:vAlign w:val="center"/>
          </w:tcPr>
          <w:p>
            <w:pPr>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运杂费</w:t>
            </w:r>
          </w:p>
        </w:tc>
        <w:tc>
          <w:tcPr>
            <w:tcW w:w="10054" w:type="dxa"/>
            <w:gridSpan w:val="6"/>
            <w:vAlign w:val="center"/>
          </w:tcPr>
          <w:p>
            <w:pPr>
              <w:spacing w:line="420" w:lineRule="exac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trPr>
        <w:tc>
          <w:tcPr>
            <w:tcW w:w="883" w:type="dxa"/>
            <w:vAlign w:val="center"/>
          </w:tcPr>
          <w:p>
            <w:pPr>
              <w:spacing w:line="420" w:lineRule="exact"/>
              <w:jc w:val="center"/>
              <w:rPr>
                <w:rFonts w:ascii="仿宋" w:hAnsi="仿宋" w:eastAsia="仿宋" w:cs="仿宋"/>
                <w:color w:val="auto"/>
                <w:sz w:val="24"/>
                <w:highlight w:val="none"/>
              </w:rPr>
            </w:pPr>
          </w:p>
        </w:tc>
        <w:tc>
          <w:tcPr>
            <w:tcW w:w="3190" w:type="dxa"/>
            <w:vAlign w:val="center"/>
          </w:tcPr>
          <w:p>
            <w:pPr>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0054" w:type="dxa"/>
            <w:gridSpan w:val="6"/>
            <w:vAlign w:val="center"/>
          </w:tcPr>
          <w:p>
            <w:pPr>
              <w:spacing w:line="420" w:lineRule="exac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exact"/>
        </w:trPr>
        <w:tc>
          <w:tcPr>
            <w:tcW w:w="4073" w:type="dxa"/>
            <w:gridSpan w:val="2"/>
            <w:vAlign w:val="center"/>
          </w:tcPr>
          <w:p>
            <w:pPr>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合计总价（元）</w:t>
            </w:r>
          </w:p>
        </w:tc>
        <w:tc>
          <w:tcPr>
            <w:tcW w:w="10054" w:type="dxa"/>
            <w:gridSpan w:val="6"/>
            <w:vAlign w:val="center"/>
          </w:tcPr>
          <w:p>
            <w:pPr>
              <w:spacing w:line="420" w:lineRule="exact"/>
              <w:jc w:val="center"/>
              <w:rPr>
                <w:rFonts w:ascii="仿宋" w:hAnsi="仿宋" w:eastAsia="仿宋" w:cs="仿宋"/>
                <w:color w:val="auto"/>
                <w:sz w:val="24"/>
                <w:highlight w:val="none"/>
              </w:rPr>
            </w:pPr>
          </w:p>
        </w:tc>
      </w:tr>
    </w:tbl>
    <w:p>
      <w:pPr>
        <w:spacing w:before="156" w:beforeLines="50" w:line="460" w:lineRule="exact"/>
        <w:rPr>
          <w:rFonts w:ascii="仿宋" w:hAnsi="仿宋" w:eastAsia="仿宋" w:cs="仿宋"/>
          <w:color w:val="auto"/>
          <w:sz w:val="28"/>
          <w:highlight w:val="none"/>
        </w:rPr>
      </w:pPr>
      <w:r>
        <w:rPr>
          <w:rFonts w:hint="eastAsia" w:ascii="仿宋" w:hAnsi="仿宋" w:eastAsia="仿宋" w:cs="仿宋"/>
          <w:b/>
          <w:color w:val="auto"/>
          <w:sz w:val="28"/>
          <w:highlight w:val="none"/>
        </w:rPr>
        <w:t>注</w:t>
      </w:r>
      <w:r>
        <w:rPr>
          <w:rFonts w:hint="eastAsia" w:ascii="仿宋" w:hAnsi="仿宋" w:eastAsia="仿宋" w:cs="仿宋"/>
          <w:color w:val="auto"/>
          <w:sz w:val="28"/>
          <w:highlight w:val="none"/>
        </w:rPr>
        <w:t>：1、如果按单价计算的结果与总价不一致，以单价为准修正总价。</w:t>
      </w:r>
    </w:p>
    <w:p>
      <w:pPr>
        <w:pStyle w:val="7"/>
        <w:spacing w:line="460" w:lineRule="exact"/>
        <w:ind w:right="-15" w:firstLine="562" w:firstLineChars="200"/>
        <w:rPr>
          <w:rFonts w:ascii="仿宋" w:hAnsi="仿宋" w:eastAsia="仿宋" w:cs="仿宋"/>
          <w:b/>
          <w:color w:val="auto"/>
          <w:sz w:val="28"/>
          <w:highlight w:val="none"/>
        </w:rPr>
      </w:pPr>
      <w:r>
        <w:rPr>
          <w:rFonts w:hint="eastAsia" w:ascii="仿宋" w:hAnsi="仿宋" w:eastAsia="仿宋" w:cs="仿宋"/>
          <w:b/>
          <w:color w:val="auto"/>
          <w:sz w:val="28"/>
          <w:highlight w:val="none"/>
        </w:rPr>
        <w:t>2、供应商须参照第三章各包所列明的内容全部报价。如果不提供详细分项报价视为未实质性响应招标文件。</w:t>
      </w:r>
    </w:p>
    <w:p>
      <w:pPr>
        <w:pStyle w:val="7"/>
        <w:spacing w:line="460" w:lineRule="exact"/>
        <w:ind w:right="-15" w:firstLine="562" w:firstLineChars="200"/>
        <w:rPr>
          <w:rFonts w:ascii="仿宋" w:hAnsi="仿宋" w:eastAsia="仿宋" w:cs="仿宋"/>
          <w:b/>
          <w:color w:val="auto"/>
          <w:sz w:val="28"/>
          <w:highlight w:val="none"/>
        </w:rPr>
      </w:pPr>
    </w:p>
    <w:p>
      <w:pPr>
        <w:rPr>
          <w:rFonts w:ascii="仿宋" w:hAnsi="仿宋" w:eastAsia="仿宋" w:cs="仿宋"/>
          <w:color w:val="auto"/>
          <w:sz w:val="28"/>
          <w:highlight w:val="none"/>
        </w:rPr>
      </w:pPr>
      <w:r>
        <w:rPr>
          <w:rFonts w:hint="eastAsia" w:ascii="仿宋" w:hAnsi="仿宋" w:eastAsia="仿宋" w:cs="仿宋"/>
          <w:color w:val="auto"/>
          <w:sz w:val="28"/>
          <w:highlight w:val="none"/>
        </w:rPr>
        <w:t xml:space="preserve">投标单位授权代表人签字：                                            投标单位公章：            </w:t>
      </w:r>
    </w:p>
    <w:p>
      <w:pPr>
        <w:pStyle w:val="7"/>
        <w:spacing w:line="460" w:lineRule="exact"/>
        <w:ind w:right="-15" w:firstLine="1120" w:firstLineChars="400"/>
        <w:jc w:val="right"/>
        <w:rPr>
          <w:rFonts w:ascii="仿宋" w:hAnsi="仿宋" w:eastAsia="仿宋" w:cs="仿宋"/>
          <w:color w:val="auto"/>
          <w:highlight w:val="none"/>
        </w:rPr>
      </w:pPr>
      <w:r>
        <w:rPr>
          <w:rFonts w:hint="eastAsia" w:ascii="仿宋" w:hAnsi="仿宋" w:eastAsia="仿宋" w:cs="仿宋"/>
          <w:color w:val="auto"/>
          <w:sz w:val="28"/>
          <w:highlight w:val="none"/>
        </w:rPr>
        <w:t>附件八</w:t>
      </w:r>
    </w:p>
    <w:p>
      <w:pPr>
        <w:spacing w:line="360" w:lineRule="atLeast"/>
        <w:ind w:firstLine="723"/>
        <w:jc w:val="center"/>
        <w:rPr>
          <w:rFonts w:ascii="仿宋" w:hAnsi="仿宋" w:eastAsia="仿宋" w:cs="仿宋"/>
          <w:color w:val="auto"/>
          <w:sz w:val="36"/>
          <w:highlight w:val="none"/>
        </w:rPr>
      </w:pPr>
      <w:r>
        <w:rPr>
          <w:rFonts w:hint="eastAsia" w:ascii="仿宋" w:hAnsi="仿宋" w:eastAsia="仿宋" w:cs="仿宋"/>
          <w:b/>
          <w:color w:val="auto"/>
          <w:sz w:val="36"/>
          <w:highlight w:val="none"/>
          <w:lang w:val="en-US" w:eastAsia="zh-CN"/>
        </w:rPr>
        <w:t xml:space="preserve">核 心 设 备 </w:t>
      </w:r>
      <w:r>
        <w:rPr>
          <w:rFonts w:hint="eastAsia" w:ascii="仿宋" w:hAnsi="仿宋" w:eastAsia="仿宋" w:cs="仿宋"/>
          <w:b/>
          <w:color w:val="auto"/>
          <w:sz w:val="36"/>
          <w:highlight w:val="none"/>
        </w:rPr>
        <w:t>技 术 规 格 偏 离 表</w:t>
      </w:r>
    </w:p>
    <w:p>
      <w:pPr>
        <w:spacing w:line="360" w:lineRule="atLeast"/>
        <w:jc w:val="distribute"/>
        <w:rPr>
          <w:rFonts w:ascii="仿宋" w:hAnsi="仿宋" w:eastAsia="仿宋" w:cs="仿宋"/>
          <w:color w:val="auto"/>
          <w:sz w:val="28"/>
          <w:highlight w:val="none"/>
        </w:rPr>
      </w:pPr>
      <w:r>
        <w:rPr>
          <w:rFonts w:hint="eastAsia" w:ascii="仿宋" w:hAnsi="仿宋" w:eastAsia="仿宋" w:cs="仿宋"/>
          <w:color w:val="auto"/>
          <w:sz w:val="28"/>
          <w:highlight w:val="none"/>
        </w:rPr>
        <w:t>编号/包号：                                                     年    月    日</w:t>
      </w:r>
    </w:p>
    <w:tbl>
      <w:tblPr>
        <w:tblStyle w:val="17"/>
        <w:tblW w:w="14040" w:type="dxa"/>
        <w:jc w:val="center"/>
        <w:tblLayout w:type="fixed"/>
        <w:tblCellMar>
          <w:top w:w="0" w:type="dxa"/>
          <w:left w:w="108" w:type="dxa"/>
          <w:bottom w:w="0" w:type="dxa"/>
          <w:right w:w="108" w:type="dxa"/>
        </w:tblCellMar>
      </w:tblPr>
      <w:tblGrid>
        <w:gridCol w:w="918"/>
        <w:gridCol w:w="3762"/>
        <w:gridCol w:w="3865"/>
        <w:gridCol w:w="3060"/>
        <w:gridCol w:w="2435"/>
      </w:tblGrid>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color w:val="auto"/>
                <w:sz w:val="28"/>
                <w:highlight w:val="none"/>
              </w:rPr>
            </w:pPr>
            <w:r>
              <w:rPr>
                <w:rFonts w:hint="eastAsia" w:ascii="仿宋" w:hAnsi="仿宋" w:eastAsia="仿宋" w:cs="仿宋"/>
                <w:color w:val="auto"/>
                <w:sz w:val="28"/>
                <w:highlight w:val="none"/>
              </w:rPr>
              <w:t>序号</w:t>
            </w:r>
          </w:p>
        </w:tc>
        <w:tc>
          <w:tcPr>
            <w:tcW w:w="376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highlight w:val="none"/>
              </w:rPr>
            </w:pPr>
            <w:r>
              <w:rPr>
                <w:rFonts w:hint="eastAsia" w:ascii="仿宋" w:hAnsi="仿宋" w:eastAsia="仿宋" w:cs="仿宋"/>
                <w:color w:val="auto"/>
                <w:sz w:val="28"/>
                <w:highlight w:val="none"/>
              </w:rPr>
              <w:t>招标规格</w:t>
            </w:r>
          </w:p>
        </w:tc>
        <w:tc>
          <w:tcPr>
            <w:tcW w:w="386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highlight w:val="none"/>
              </w:rPr>
            </w:pPr>
            <w:r>
              <w:rPr>
                <w:rFonts w:hint="eastAsia" w:ascii="仿宋" w:hAnsi="仿宋" w:eastAsia="仿宋" w:cs="仿宋"/>
                <w:color w:val="auto"/>
                <w:sz w:val="28"/>
                <w:highlight w:val="none"/>
              </w:rPr>
              <w:t>投标规格</w:t>
            </w:r>
          </w:p>
        </w:tc>
        <w:tc>
          <w:tcPr>
            <w:tcW w:w="3060" w:type="dxa"/>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cs="仿宋"/>
                <w:color w:val="auto"/>
                <w:sz w:val="28"/>
                <w:highlight w:val="none"/>
              </w:rPr>
            </w:pPr>
            <w:r>
              <w:rPr>
                <w:rFonts w:hint="eastAsia" w:ascii="仿宋" w:hAnsi="仿宋" w:eastAsia="仿宋" w:cs="仿宋"/>
                <w:color w:val="auto"/>
                <w:sz w:val="28"/>
                <w:highlight w:val="none"/>
              </w:rPr>
              <w:t>响应/偏离</w:t>
            </w:r>
          </w:p>
        </w:tc>
        <w:tc>
          <w:tcPr>
            <w:tcW w:w="2435" w:type="dxa"/>
            <w:tcBorders>
              <w:top w:val="single" w:color="auto" w:sz="6" w:space="0"/>
              <w:left w:val="single" w:color="auto" w:sz="4" w:space="0"/>
              <w:bottom w:val="single" w:color="auto" w:sz="6" w:space="0"/>
              <w:right w:val="single" w:color="auto" w:sz="6" w:space="0"/>
            </w:tcBorders>
            <w:vAlign w:val="center"/>
          </w:tcPr>
          <w:p>
            <w:pPr>
              <w:jc w:val="center"/>
              <w:rPr>
                <w:rFonts w:ascii="仿宋" w:hAnsi="仿宋" w:eastAsia="仿宋" w:cs="仿宋"/>
                <w:color w:val="auto"/>
                <w:sz w:val="28"/>
                <w:highlight w:val="none"/>
              </w:rPr>
            </w:pPr>
            <w:r>
              <w:rPr>
                <w:rFonts w:hint="eastAsia" w:ascii="仿宋" w:hAnsi="仿宋" w:eastAsia="仿宋" w:cs="仿宋"/>
                <w:color w:val="auto"/>
                <w:sz w:val="28"/>
                <w:highlight w:val="none"/>
              </w:rPr>
              <w:t>说明</w:t>
            </w: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s="仿宋"/>
                <w:color w:val="auto"/>
                <w:highlight w:val="none"/>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s="仿宋"/>
                <w:color w:val="auto"/>
                <w:highlight w:val="none"/>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s="仿宋"/>
                <w:color w:val="auto"/>
                <w:highlight w:val="none"/>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s="仿宋"/>
                <w:color w:val="auto"/>
                <w:highlight w:val="none"/>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s="仿宋"/>
                <w:color w:val="auto"/>
                <w:highlight w:val="none"/>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s="仿宋"/>
                <w:color w:val="auto"/>
                <w:highlight w:val="none"/>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s="仿宋"/>
                <w:color w:val="auto"/>
                <w:highlight w:val="none"/>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s="仿宋"/>
                <w:color w:val="auto"/>
                <w:highlight w:val="none"/>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r>
    </w:tbl>
    <w:p>
      <w:pPr>
        <w:ind w:firstLine="562"/>
        <w:rPr>
          <w:rFonts w:ascii="仿宋" w:hAnsi="仿宋" w:eastAsia="仿宋" w:cs="仿宋"/>
          <w:color w:val="auto"/>
          <w:kern w:val="0"/>
          <w:sz w:val="24"/>
          <w:highlight w:val="none"/>
        </w:rPr>
      </w:pPr>
      <w:r>
        <w:rPr>
          <w:rFonts w:hint="eastAsia" w:ascii="仿宋" w:hAnsi="仿宋" w:eastAsia="仿宋" w:cs="仿宋"/>
          <w:b/>
          <w:color w:val="auto"/>
          <w:sz w:val="28"/>
          <w:highlight w:val="none"/>
        </w:rPr>
        <w:t>（供应商须对第三章所有技术参数条款逐条列明是否响应，如有偏离，须一一列明）</w:t>
      </w:r>
    </w:p>
    <w:p>
      <w:pPr>
        <w:ind w:right="848"/>
        <w:jc w:val="right"/>
        <w:rPr>
          <w:rFonts w:ascii="仿宋" w:hAnsi="仿宋" w:eastAsia="仿宋" w:cs="仿宋"/>
          <w:color w:val="auto"/>
          <w:sz w:val="28"/>
          <w:highlight w:val="none"/>
        </w:rPr>
      </w:pPr>
      <w:r>
        <w:rPr>
          <w:rFonts w:hint="eastAsia" w:ascii="仿宋" w:hAnsi="仿宋" w:eastAsia="仿宋" w:cs="仿宋"/>
          <w:color w:val="auto"/>
          <w:sz w:val="28"/>
          <w:highlight w:val="none"/>
        </w:rPr>
        <w:t>投标单位授权代表人签字：                                                  投标单位公章：</w:t>
      </w:r>
      <w:r>
        <w:rPr>
          <w:rFonts w:hint="eastAsia" w:ascii="仿宋" w:hAnsi="仿宋" w:eastAsia="仿宋" w:cs="仿宋"/>
          <w:b/>
          <w:color w:val="auto"/>
          <w:sz w:val="42"/>
          <w:highlight w:val="none"/>
        </w:rPr>
        <w:br w:type="page"/>
      </w:r>
      <w:r>
        <w:rPr>
          <w:rFonts w:hint="eastAsia" w:ascii="仿宋" w:hAnsi="仿宋" w:eastAsia="仿宋" w:cs="仿宋"/>
          <w:color w:val="auto"/>
          <w:sz w:val="28"/>
          <w:highlight w:val="none"/>
        </w:rPr>
        <w:t>附件九</w:t>
      </w:r>
    </w:p>
    <w:p>
      <w:pPr>
        <w:spacing w:line="360" w:lineRule="atLeast"/>
        <w:ind w:firstLine="723"/>
        <w:jc w:val="center"/>
        <w:rPr>
          <w:rFonts w:ascii="仿宋" w:hAnsi="仿宋" w:eastAsia="仿宋" w:cs="仿宋"/>
          <w:color w:val="auto"/>
          <w:sz w:val="36"/>
          <w:highlight w:val="none"/>
        </w:rPr>
      </w:pPr>
      <w:r>
        <w:rPr>
          <w:rFonts w:hint="eastAsia" w:ascii="仿宋" w:hAnsi="仿宋" w:eastAsia="仿宋" w:cs="仿宋"/>
          <w:b/>
          <w:color w:val="auto"/>
          <w:sz w:val="36"/>
          <w:highlight w:val="none"/>
        </w:rPr>
        <w:t>商 务 所 有 条 款 偏 离 表</w:t>
      </w:r>
    </w:p>
    <w:p>
      <w:pPr>
        <w:spacing w:line="360" w:lineRule="atLeast"/>
        <w:ind w:right="352"/>
        <w:jc w:val="distribute"/>
        <w:rPr>
          <w:rFonts w:ascii="仿宋" w:hAnsi="仿宋" w:eastAsia="仿宋" w:cs="仿宋"/>
          <w:color w:val="auto"/>
          <w:sz w:val="28"/>
          <w:highlight w:val="none"/>
        </w:rPr>
      </w:pPr>
      <w:r>
        <w:rPr>
          <w:rFonts w:hint="eastAsia" w:ascii="仿宋" w:hAnsi="仿宋" w:eastAsia="仿宋" w:cs="仿宋"/>
          <w:color w:val="auto"/>
          <w:sz w:val="28"/>
          <w:highlight w:val="none"/>
        </w:rPr>
        <w:t>编号/包号：                                                   年    月    日</w:t>
      </w:r>
    </w:p>
    <w:tbl>
      <w:tblPr>
        <w:tblStyle w:val="17"/>
        <w:tblW w:w="14287" w:type="dxa"/>
        <w:jc w:val="center"/>
        <w:tblLayout w:type="fixed"/>
        <w:tblCellMar>
          <w:top w:w="0" w:type="dxa"/>
          <w:left w:w="108" w:type="dxa"/>
          <w:bottom w:w="0" w:type="dxa"/>
          <w:right w:w="108" w:type="dxa"/>
        </w:tblCellMar>
      </w:tblPr>
      <w:tblGrid>
        <w:gridCol w:w="1165"/>
        <w:gridCol w:w="1806"/>
        <w:gridCol w:w="3576"/>
        <w:gridCol w:w="4320"/>
        <w:gridCol w:w="3420"/>
      </w:tblGrid>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140" w:firstLineChars="50"/>
              <w:rPr>
                <w:rFonts w:ascii="仿宋" w:hAnsi="仿宋" w:eastAsia="仿宋" w:cs="仿宋"/>
                <w:color w:val="auto"/>
                <w:sz w:val="28"/>
                <w:highlight w:val="none"/>
              </w:rPr>
            </w:pPr>
            <w:r>
              <w:rPr>
                <w:rFonts w:hint="eastAsia" w:ascii="仿宋" w:hAnsi="仿宋" w:eastAsia="仿宋" w:cs="仿宋"/>
                <w:color w:val="auto"/>
                <w:sz w:val="28"/>
                <w:highlight w:val="none"/>
              </w:rPr>
              <w:t>序号</w:t>
            </w:r>
          </w:p>
        </w:tc>
        <w:tc>
          <w:tcPr>
            <w:tcW w:w="1806" w:type="dxa"/>
            <w:tcBorders>
              <w:top w:val="single" w:color="auto" w:sz="6" w:space="0"/>
              <w:left w:val="single" w:color="auto" w:sz="6" w:space="0"/>
              <w:bottom w:val="single" w:color="auto" w:sz="6" w:space="0"/>
              <w:right w:val="single" w:color="auto" w:sz="6" w:space="0"/>
            </w:tcBorders>
            <w:vAlign w:val="center"/>
          </w:tcPr>
          <w:p>
            <w:pPr>
              <w:ind w:firstLine="280" w:firstLineChars="100"/>
              <w:rPr>
                <w:rFonts w:ascii="仿宋" w:hAnsi="仿宋" w:eastAsia="仿宋" w:cs="仿宋"/>
                <w:color w:val="auto"/>
                <w:sz w:val="28"/>
                <w:highlight w:val="none"/>
              </w:rPr>
            </w:pPr>
            <w:r>
              <w:rPr>
                <w:rFonts w:hint="eastAsia" w:ascii="仿宋" w:hAnsi="仿宋" w:eastAsia="仿宋" w:cs="仿宋"/>
                <w:color w:val="auto"/>
                <w:sz w:val="28"/>
                <w:highlight w:val="none"/>
              </w:rPr>
              <w:t>条款序号</w:t>
            </w:r>
          </w:p>
        </w:tc>
        <w:tc>
          <w:tcPr>
            <w:tcW w:w="3576" w:type="dxa"/>
            <w:tcBorders>
              <w:top w:val="single" w:color="auto" w:sz="6" w:space="0"/>
              <w:left w:val="single" w:color="auto" w:sz="6" w:space="0"/>
              <w:bottom w:val="single" w:color="auto" w:sz="6" w:space="0"/>
              <w:right w:val="single" w:color="auto" w:sz="6" w:space="0"/>
            </w:tcBorders>
            <w:vAlign w:val="center"/>
          </w:tcPr>
          <w:p>
            <w:pPr>
              <w:ind w:firstLine="560"/>
              <w:jc w:val="center"/>
              <w:rPr>
                <w:rFonts w:ascii="仿宋" w:hAnsi="仿宋" w:eastAsia="仿宋" w:cs="仿宋"/>
                <w:color w:val="auto"/>
                <w:sz w:val="28"/>
                <w:highlight w:val="none"/>
              </w:rPr>
            </w:pPr>
            <w:r>
              <w:rPr>
                <w:rFonts w:hint="eastAsia" w:ascii="仿宋" w:hAnsi="仿宋" w:eastAsia="仿宋" w:cs="仿宋"/>
                <w:color w:val="auto"/>
                <w:sz w:val="28"/>
                <w:highlight w:val="none"/>
              </w:rPr>
              <w:t>招标条款</w:t>
            </w:r>
          </w:p>
        </w:tc>
        <w:tc>
          <w:tcPr>
            <w:tcW w:w="4320" w:type="dxa"/>
            <w:tcBorders>
              <w:top w:val="single" w:color="auto" w:sz="6" w:space="0"/>
              <w:left w:val="single" w:color="auto" w:sz="6" w:space="0"/>
              <w:bottom w:val="single" w:color="auto" w:sz="6" w:space="0"/>
              <w:right w:val="single" w:color="auto" w:sz="6" w:space="0"/>
            </w:tcBorders>
            <w:vAlign w:val="center"/>
          </w:tcPr>
          <w:p>
            <w:pPr>
              <w:ind w:firstLine="560"/>
              <w:jc w:val="center"/>
              <w:rPr>
                <w:rFonts w:ascii="仿宋" w:hAnsi="仿宋" w:eastAsia="仿宋" w:cs="仿宋"/>
                <w:color w:val="auto"/>
                <w:sz w:val="28"/>
                <w:highlight w:val="none"/>
              </w:rPr>
            </w:pPr>
            <w:r>
              <w:rPr>
                <w:rFonts w:hint="eastAsia" w:ascii="仿宋" w:hAnsi="仿宋" w:eastAsia="仿宋" w:cs="仿宋"/>
                <w:color w:val="auto"/>
                <w:sz w:val="28"/>
                <w:highlight w:val="none"/>
              </w:rPr>
              <w:t>投标条款</w:t>
            </w:r>
          </w:p>
        </w:tc>
        <w:tc>
          <w:tcPr>
            <w:tcW w:w="3420" w:type="dxa"/>
            <w:tcBorders>
              <w:top w:val="single" w:color="auto" w:sz="6" w:space="0"/>
              <w:left w:val="single" w:color="auto" w:sz="6" w:space="0"/>
              <w:bottom w:val="single" w:color="auto" w:sz="6" w:space="0"/>
              <w:right w:val="single" w:color="auto" w:sz="6" w:space="0"/>
            </w:tcBorders>
            <w:vAlign w:val="center"/>
          </w:tcPr>
          <w:p>
            <w:pPr>
              <w:ind w:firstLine="560"/>
              <w:jc w:val="center"/>
              <w:rPr>
                <w:rFonts w:ascii="仿宋" w:hAnsi="仿宋" w:eastAsia="仿宋" w:cs="仿宋"/>
                <w:color w:val="auto"/>
                <w:sz w:val="28"/>
                <w:highlight w:val="none"/>
              </w:rPr>
            </w:pPr>
            <w:r>
              <w:rPr>
                <w:rFonts w:hint="eastAsia" w:ascii="仿宋" w:hAnsi="仿宋" w:eastAsia="仿宋" w:cs="仿宋"/>
                <w:color w:val="auto"/>
                <w:sz w:val="28"/>
                <w:highlight w:val="none"/>
              </w:rPr>
              <w:t>响应/偏离</w:t>
            </w: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76"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r>
    </w:tbl>
    <w:p>
      <w:pPr>
        <w:ind w:firstLine="620"/>
        <w:rPr>
          <w:rFonts w:ascii="仿宋" w:hAnsi="仿宋" w:eastAsia="仿宋" w:cs="仿宋"/>
          <w:color w:val="auto"/>
          <w:sz w:val="31"/>
          <w:highlight w:val="none"/>
        </w:rPr>
      </w:pPr>
      <w:r>
        <w:rPr>
          <w:rFonts w:hint="eastAsia" w:ascii="仿宋" w:hAnsi="仿宋" w:eastAsia="仿宋" w:cs="仿宋"/>
          <w:b/>
          <w:color w:val="auto"/>
          <w:sz w:val="28"/>
          <w:highlight w:val="none"/>
        </w:rPr>
        <w:t>（供应商须对招标文件中所有商务条款逐条列明是否响应，如有偏离，须一一列明）</w:t>
      </w:r>
    </w:p>
    <w:p>
      <w:pPr>
        <w:ind w:right="10" w:firstLine="560"/>
        <w:rPr>
          <w:rFonts w:ascii="仿宋" w:hAnsi="仿宋" w:eastAsia="仿宋" w:cs="仿宋"/>
          <w:color w:val="auto"/>
          <w:sz w:val="28"/>
          <w:highlight w:val="none"/>
        </w:rPr>
      </w:pPr>
      <w:r>
        <w:rPr>
          <w:rFonts w:hint="eastAsia" w:ascii="仿宋" w:hAnsi="仿宋" w:eastAsia="仿宋" w:cs="仿宋"/>
          <w:color w:val="auto"/>
          <w:sz w:val="28"/>
          <w:highlight w:val="none"/>
        </w:rPr>
        <w:t>投标单位授权代表人签字：                                                  投标单位公章：</w:t>
      </w:r>
    </w:p>
    <w:p>
      <w:pPr>
        <w:ind w:right="10" w:firstLine="560"/>
        <w:jc w:val="right"/>
        <w:rPr>
          <w:rFonts w:ascii="仿宋" w:hAnsi="仿宋" w:eastAsia="仿宋" w:cs="仿宋"/>
          <w:color w:val="auto"/>
          <w:sz w:val="24"/>
          <w:highlight w:val="none"/>
        </w:rPr>
      </w:pPr>
      <w:r>
        <w:rPr>
          <w:rFonts w:hint="eastAsia" w:ascii="仿宋" w:hAnsi="仿宋" w:eastAsia="仿宋" w:cs="仿宋"/>
          <w:color w:val="auto"/>
          <w:sz w:val="28"/>
          <w:highlight w:val="none"/>
        </w:rPr>
        <w:br w:type="page"/>
      </w:r>
      <w:r>
        <w:rPr>
          <w:rFonts w:hint="eastAsia" w:ascii="仿宋" w:hAnsi="仿宋" w:eastAsia="仿宋" w:cs="仿宋"/>
          <w:color w:val="auto"/>
          <w:sz w:val="28"/>
          <w:highlight w:val="none"/>
        </w:rPr>
        <w:t>附件十</w:t>
      </w:r>
    </w:p>
    <w:p>
      <w:pPr>
        <w:spacing w:line="360" w:lineRule="atLeast"/>
        <w:ind w:firstLine="723"/>
        <w:jc w:val="center"/>
        <w:rPr>
          <w:rFonts w:ascii="仿宋" w:hAnsi="仿宋" w:eastAsia="仿宋" w:cs="仿宋"/>
          <w:b/>
          <w:color w:val="auto"/>
          <w:sz w:val="36"/>
          <w:highlight w:val="none"/>
        </w:rPr>
      </w:pPr>
      <w:r>
        <w:rPr>
          <w:rFonts w:hint="eastAsia" w:ascii="仿宋" w:hAnsi="仿宋" w:eastAsia="仿宋" w:cs="仿宋"/>
          <w:b/>
          <w:color w:val="auto"/>
          <w:sz w:val="36"/>
          <w:highlight w:val="none"/>
          <w:lang w:val="en-US" w:eastAsia="zh-CN"/>
        </w:rPr>
        <w:t>核心设备</w:t>
      </w:r>
      <w:r>
        <w:rPr>
          <w:rFonts w:hint="eastAsia" w:ascii="仿宋" w:hAnsi="仿宋" w:eastAsia="仿宋" w:cs="仿宋"/>
          <w:b/>
          <w:color w:val="auto"/>
          <w:sz w:val="36"/>
          <w:highlight w:val="none"/>
        </w:rPr>
        <w:t>投标产品近三年相同产品销售业绩表</w:t>
      </w:r>
    </w:p>
    <w:p>
      <w:pPr>
        <w:spacing w:line="360" w:lineRule="atLeast"/>
        <w:rPr>
          <w:rFonts w:ascii="仿宋" w:hAnsi="仿宋" w:eastAsia="仿宋" w:cs="仿宋"/>
          <w:color w:val="auto"/>
          <w:sz w:val="28"/>
          <w:highlight w:val="none"/>
        </w:rPr>
      </w:pPr>
      <w:r>
        <w:rPr>
          <w:rFonts w:hint="eastAsia" w:ascii="仿宋" w:hAnsi="仿宋" w:eastAsia="仿宋" w:cs="仿宋"/>
          <w:color w:val="auto"/>
          <w:sz w:val="28"/>
          <w:highlight w:val="none"/>
        </w:rPr>
        <w:t>编号/包号：                                                                        年    月    日</w:t>
      </w:r>
    </w:p>
    <w:tbl>
      <w:tblPr>
        <w:tblStyle w:val="17"/>
        <w:tblW w:w="14040" w:type="dxa"/>
        <w:jc w:val="center"/>
        <w:tblLayout w:type="fixed"/>
        <w:tblCellMar>
          <w:top w:w="0" w:type="dxa"/>
          <w:left w:w="108" w:type="dxa"/>
          <w:bottom w:w="0" w:type="dxa"/>
          <w:right w:w="108" w:type="dxa"/>
        </w:tblCellMar>
      </w:tblPr>
      <w:tblGrid>
        <w:gridCol w:w="2838"/>
        <w:gridCol w:w="3510"/>
        <w:gridCol w:w="3495"/>
        <w:gridCol w:w="1497"/>
        <w:gridCol w:w="2700"/>
      </w:tblGrid>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highlight w:val="none"/>
              </w:rPr>
            </w:pPr>
            <w:r>
              <w:rPr>
                <w:rFonts w:hint="eastAsia" w:ascii="仿宋" w:hAnsi="仿宋" w:eastAsia="仿宋" w:cs="仿宋"/>
                <w:color w:val="auto"/>
                <w:sz w:val="28"/>
                <w:highlight w:val="none"/>
              </w:rPr>
              <w:t>地区</w:t>
            </w:r>
          </w:p>
        </w:tc>
        <w:tc>
          <w:tcPr>
            <w:tcW w:w="351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highlight w:val="none"/>
              </w:rPr>
            </w:pPr>
            <w:r>
              <w:rPr>
                <w:rFonts w:hint="eastAsia" w:ascii="仿宋" w:hAnsi="仿宋" w:eastAsia="仿宋" w:cs="仿宋"/>
                <w:color w:val="auto"/>
                <w:sz w:val="28"/>
                <w:highlight w:val="none"/>
              </w:rPr>
              <w:t>项目名称</w:t>
            </w:r>
          </w:p>
        </w:tc>
        <w:tc>
          <w:tcPr>
            <w:tcW w:w="349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highlight w:val="none"/>
              </w:rPr>
            </w:pPr>
            <w:r>
              <w:rPr>
                <w:rFonts w:hint="eastAsia" w:ascii="仿宋" w:hAnsi="仿宋" w:eastAsia="仿宋" w:cs="仿宋"/>
                <w:color w:val="auto"/>
                <w:sz w:val="28"/>
                <w:highlight w:val="none"/>
              </w:rPr>
              <w:t>中标内容</w:t>
            </w:r>
          </w:p>
        </w:tc>
        <w:tc>
          <w:tcPr>
            <w:tcW w:w="149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highlight w:val="none"/>
              </w:rPr>
            </w:pPr>
            <w:r>
              <w:rPr>
                <w:rFonts w:hint="eastAsia" w:ascii="仿宋" w:hAnsi="仿宋" w:eastAsia="仿宋" w:cs="仿宋"/>
                <w:color w:val="auto"/>
                <w:sz w:val="28"/>
                <w:highlight w:val="none"/>
              </w:rPr>
              <w:t>数量</w:t>
            </w:r>
          </w:p>
        </w:tc>
        <w:tc>
          <w:tcPr>
            <w:tcW w:w="270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highlight w:val="none"/>
              </w:rPr>
            </w:pPr>
            <w:r>
              <w:rPr>
                <w:rFonts w:hint="eastAsia" w:ascii="仿宋" w:hAnsi="仿宋" w:eastAsia="仿宋" w:cs="仿宋"/>
                <w:color w:val="auto"/>
                <w:sz w:val="28"/>
                <w:highlight w:val="none"/>
              </w:rPr>
              <w:t>备 注</w:t>
            </w: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highlight w:val="none"/>
              </w:rPr>
            </w:pPr>
          </w:p>
        </w:tc>
      </w:tr>
    </w:tbl>
    <w:p>
      <w:pPr>
        <w:spacing w:line="520" w:lineRule="exact"/>
        <w:ind w:firstLine="138" w:firstLineChars="49"/>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注：供应商应随此表附上相关的业绩证明（如中标通知书、合同、顾客意见反馈表等的复印件）。</w:t>
      </w:r>
    </w:p>
    <w:p>
      <w:pPr>
        <w:spacing w:line="520" w:lineRule="exact"/>
        <w:ind w:firstLine="138" w:firstLineChars="49"/>
        <w:rPr>
          <w:rFonts w:ascii="仿宋" w:hAnsi="仿宋" w:eastAsia="仿宋" w:cs="仿宋"/>
          <w:b/>
          <w:color w:val="auto"/>
          <w:sz w:val="28"/>
          <w:szCs w:val="28"/>
          <w:highlight w:val="none"/>
        </w:rPr>
      </w:pPr>
    </w:p>
    <w:p>
      <w:pPr>
        <w:ind w:firstLine="560"/>
        <w:rPr>
          <w:rFonts w:ascii="仿宋" w:hAnsi="仿宋" w:eastAsia="仿宋" w:cs="仿宋"/>
          <w:color w:val="auto"/>
          <w:sz w:val="28"/>
          <w:highlight w:val="none"/>
        </w:rPr>
        <w:sectPr>
          <w:headerReference r:id="rId10" w:type="default"/>
          <w:footerReference r:id="rId11" w:type="default"/>
          <w:pgSz w:w="16838" w:h="11906" w:orient="landscape"/>
          <w:pgMar w:top="1077" w:right="1440" w:bottom="1077" w:left="1440" w:header="851" w:footer="992" w:gutter="0"/>
          <w:cols w:space="720" w:num="1"/>
          <w:docGrid w:type="lines" w:linePitch="312" w:charSpace="0"/>
        </w:sectPr>
      </w:pPr>
      <w:r>
        <w:rPr>
          <w:rFonts w:hint="eastAsia" w:ascii="仿宋" w:hAnsi="仿宋" w:eastAsia="仿宋" w:cs="仿宋"/>
          <w:color w:val="auto"/>
          <w:sz w:val="28"/>
          <w:highlight w:val="none"/>
        </w:rPr>
        <w:t>投标单位授权代表人签字：                                                  投标单位公章：</w:t>
      </w:r>
    </w:p>
    <w:p>
      <w:pPr>
        <w:spacing w:line="360" w:lineRule="atLeast"/>
        <w:ind w:firstLine="723"/>
        <w:jc w:val="right"/>
        <w:rPr>
          <w:rFonts w:ascii="仿宋" w:hAnsi="仿宋" w:eastAsia="仿宋"/>
          <w:b/>
          <w:color w:val="auto"/>
          <w:sz w:val="36"/>
          <w:highlight w:val="none"/>
        </w:rPr>
      </w:pPr>
      <w:r>
        <w:rPr>
          <w:rFonts w:hint="eastAsia" w:ascii="仿宋" w:hAnsi="仿宋" w:eastAsia="仿宋"/>
          <w:color w:val="auto"/>
          <w:sz w:val="28"/>
          <w:highlight w:val="none"/>
        </w:rPr>
        <w:t>附件十一</w:t>
      </w:r>
    </w:p>
    <w:p>
      <w:pPr>
        <w:spacing w:line="360" w:lineRule="atLeast"/>
        <w:ind w:firstLine="723"/>
        <w:jc w:val="center"/>
        <w:rPr>
          <w:rFonts w:ascii="仿宋" w:hAnsi="仿宋" w:eastAsia="仿宋"/>
          <w:b/>
          <w:color w:val="auto"/>
          <w:sz w:val="36"/>
          <w:highlight w:val="none"/>
        </w:rPr>
      </w:pPr>
      <w:r>
        <w:rPr>
          <w:rFonts w:hint="eastAsia" w:ascii="仿宋" w:hAnsi="仿宋" w:eastAsia="仿宋"/>
          <w:b/>
          <w:color w:val="auto"/>
          <w:sz w:val="36"/>
          <w:highlight w:val="none"/>
        </w:rPr>
        <w:t>中小企业声明函(货物)</w:t>
      </w:r>
    </w:p>
    <w:p>
      <w:pPr>
        <w:snapToGrid w:val="0"/>
        <w:spacing w:line="336" w:lineRule="auto"/>
        <w:ind w:firstLine="640" w:firstLineChars="200"/>
        <w:rPr>
          <w:rFonts w:ascii="仿宋" w:hAnsi="仿宋" w:eastAsia="仿宋"/>
          <w:color w:val="auto"/>
          <w:sz w:val="32"/>
          <w:szCs w:val="32"/>
          <w:highlight w:val="none"/>
        </w:rPr>
      </w:pPr>
    </w:p>
    <w:p>
      <w:pPr>
        <w:snapToGrid w:val="0"/>
        <w:spacing w:line="336" w:lineRule="auto"/>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本公司（联合体）郑重声明，根据《政府采购促进中小企业发展管理办法》（财库[2020]46号）的规定，本公司（联合体）参加</w:t>
      </w:r>
      <w:r>
        <w:rPr>
          <w:rFonts w:hint="eastAsia" w:ascii="仿宋" w:hAnsi="仿宋" w:eastAsia="仿宋"/>
          <w:i/>
          <w:color w:val="auto"/>
          <w:sz w:val="32"/>
          <w:szCs w:val="32"/>
          <w:highlight w:val="none"/>
          <w:u w:val="single"/>
        </w:rPr>
        <w:t>（单位名称）</w:t>
      </w:r>
      <w:r>
        <w:rPr>
          <w:rFonts w:hint="eastAsia" w:ascii="仿宋" w:hAnsi="仿宋" w:eastAsia="仿宋"/>
          <w:color w:val="auto"/>
          <w:sz w:val="32"/>
          <w:szCs w:val="32"/>
          <w:highlight w:val="none"/>
        </w:rPr>
        <w:t>的</w:t>
      </w:r>
      <w:r>
        <w:rPr>
          <w:rFonts w:hint="eastAsia" w:ascii="仿宋" w:hAnsi="仿宋" w:eastAsia="仿宋"/>
          <w:i/>
          <w:color w:val="auto"/>
          <w:sz w:val="32"/>
          <w:szCs w:val="32"/>
          <w:highlight w:val="none"/>
          <w:u w:val="single"/>
        </w:rPr>
        <w:t>（项目名称）</w:t>
      </w:r>
      <w:r>
        <w:rPr>
          <w:rFonts w:hint="eastAsia" w:ascii="仿宋" w:hAnsi="仿宋" w:eastAsia="仿宋"/>
          <w:color w:val="auto"/>
          <w:sz w:val="32"/>
          <w:szCs w:val="32"/>
          <w:highlight w:val="none"/>
        </w:rPr>
        <w:t>采购活动，提供的货物全部由符合政策要求的中小企业制造。相关企业（含联合体中的中小企业、签订分包意向协议的中小企业）的具体情况如下：</w:t>
      </w:r>
    </w:p>
    <w:p>
      <w:pPr>
        <w:snapToGrid w:val="0"/>
        <w:spacing w:line="336" w:lineRule="auto"/>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w:t>
      </w:r>
      <w:r>
        <w:rPr>
          <w:rFonts w:hint="eastAsia" w:ascii="仿宋" w:hAnsi="仿宋" w:eastAsia="仿宋"/>
          <w:i/>
          <w:color w:val="auto"/>
          <w:sz w:val="32"/>
          <w:szCs w:val="32"/>
          <w:highlight w:val="none"/>
          <w:u w:val="single"/>
        </w:rPr>
        <w:t>（标的名称）</w:t>
      </w:r>
      <w:r>
        <w:rPr>
          <w:rFonts w:hint="eastAsia" w:ascii="仿宋" w:hAnsi="仿宋" w:eastAsia="仿宋"/>
          <w:color w:val="auto"/>
          <w:sz w:val="32"/>
          <w:szCs w:val="32"/>
          <w:highlight w:val="none"/>
        </w:rPr>
        <w:t>，属于</w:t>
      </w:r>
      <w:r>
        <w:rPr>
          <w:rFonts w:hint="eastAsia" w:ascii="仿宋" w:hAnsi="仿宋" w:eastAsia="仿宋"/>
          <w:i/>
          <w:color w:val="auto"/>
          <w:sz w:val="32"/>
          <w:szCs w:val="32"/>
          <w:highlight w:val="none"/>
          <w:u w:val="single"/>
        </w:rPr>
        <w:t>（采购文件中明确的所属行业）</w:t>
      </w:r>
      <w:r>
        <w:rPr>
          <w:rFonts w:hint="eastAsia" w:ascii="仿宋" w:hAnsi="仿宋" w:eastAsia="仿宋"/>
          <w:color w:val="auto"/>
          <w:sz w:val="32"/>
          <w:szCs w:val="32"/>
          <w:highlight w:val="none"/>
        </w:rPr>
        <w:t>；制造商为</w:t>
      </w:r>
      <w:r>
        <w:rPr>
          <w:rFonts w:hint="eastAsia" w:ascii="仿宋" w:hAnsi="仿宋" w:eastAsia="仿宋"/>
          <w:i/>
          <w:color w:val="auto"/>
          <w:sz w:val="32"/>
          <w:szCs w:val="32"/>
          <w:highlight w:val="none"/>
          <w:u w:val="single"/>
        </w:rPr>
        <w:t>（企业名称）</w:t>
      </w:r>
      <w:r>
        <w:rPr>
          <w:rFonts w:hint="eastAsia" w:ascii="仿宋" w:hAnsi="仿宋" w:eastAsia="仿宋"/>
          <w:color w:val="auto"/>
          <w:sz w:val="32"/>
          <w:szCs w:val="32"/>
          <w:highlight w:val="none"/>
        </w:rPr>
        <w:t>，从业人员</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人，营业收入为</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万元，资产总额为</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万元</w:t>
      </w:r>
      <w:r>
        <w:rPr>
          <w:rStyle w:val="23"/>
          <w:rFonts w:ascii="仿宋" w:hAnsi="仿宋" w:eastAsia="仿宋"/>
          <w:color w:val="auto"/>
          <w:sz w:val="32"/>
          <w:szCs w:val="32"/>
          <w:highlight w:val="none"/>
        </w:rPr>
        <w:footnoteReference w:id="0"/>
      </w:r>
      <w:r>
        <w:rPr>
          <w:rFonts w:hint="eastAsia" w:ascii="仿宋" w:hAnsi="仿宋" w:eastAsia="仿宋"/>
          <w:color w:val="auto"/>
          <w:sz w:val="32"/>
          <w:szCs w:val="32"/>
          <w:highlight w:val="none"/>
        </w:rPr>
        <w:t>，属于</w:t>
      </w:r>
      <w:r>
        <w:rPr>
          <w:rFonts w:hint="eastAsia" w:ascii="仿宋" w:hAnsi="仿宋" w:eastAsia="仿宋"/>
          <w:i/>
          <w:color w:val="auto"/>
          <w:sz w:val="32"/>
          <w:szCs w:val="32"/>
          <w:highlight w:val="none"/>
          <w:u w:val="single"/>
        </w:rPr>
        <w:t>（中型企业、小型企业、微型企业）</w:t>
      </w:r>
      <w:r>
        <w:rPr>
          <w:rFonts w:hint="eastAsia" w:ascii="仿宋" w:hAnsi="仿宋" w:eastAsia="仿宋"/>
          <w:color w:val="auto"/>
          <w:sz w:val="32"/>
          <w:szCs w:val="32"/>
          <w:highlight w:val="none"/>
        </w:rPr>
        <w:t>；</w:t>
      </w:r>
    </w:p>
    <w:p>
      <w:pPr>
        <w:snapToGrid w:val="0"/>
        <w:spacing w:line="336" w:lineRule="auto"/>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2. </w:t>
      </w:r>
      <w:r>
        <w:rPr>
          <w:rFonts w:hint="eastAsia" w:ascii="仿宋" w:hAnsi="仿宋" w:eastAsia="仿宋"/>
          <w:i/>
          <w:color w:val="auto"/>
          <w:sz w:val="32"/>
          <w:szCs w:val="32"/>
          <w:highlight w:val="none"/>
          <w:u w:val="single"/>
        </w:rPr>
        <w:t>（标的名称）</w:t>
      </w:r>
      <w:r>
        <w:rPr>
          <w:rFonts w:hint="eastAsia" w:ascii="仿宋" w:hAnsi="仿宋" w:eastAsia="仿宋"/>
          <w:color w:val="auto"/>
          <w:sz w:val="32"/>
          <w:szCs w:val="32"/>
          <w:highlight w:val="none"/>
        </w:rPr>
        <w:t>，属于</w:t>
      </w:r>
      <w:r>
        <w:rPr>
          <w:rFonts w:hint="eastAsia" w:ascii="仿宋" w:hAnsi="仿宋" w:eastAsia="仿宋"/>
          <w:i/>
          <w:color w:val="auto"/>
          <w:sz w:val="32"/>
          <w:szCs w:val="32"/>
          <w:highlight w:val="none"/>
          <w:u w:val="single"/>
        </w:rPr>
        <w:t>（采购文件中明确的所属行业）</w:t>
      </w:r>
      <w:r>
        <w:rPr>
          <w:rFonts w:hint="eastAsia" w:ascii="仿宋" w:hAnsi="仿宋" w:eastAsia="仿宋"/>
          <w:color w:val="auto"/>
          <w:sz w:val="32"/>
          <w:szCs w:val="32"/>
          <w:highlight w:val="none"/>
        </w:rPr>
        <w:t>；制造商为</w:t>
      </w:r>
      <w:r>
        <w:rPr>
          <w:rFonts w:hint="eastAsia" w:ascii="仿宋" w:hAnsi="仿宋" w:eastAsia="仿宋"/>
          <w:i/>
          <w:color w:val="auto"/>
          <w:sz w:val="32"/>
          <w:szCs w:val="32"/>
          <w:highlight w:val="none"/>
          <w:u w:val="single"/>
        </w:rPr>
        <w:t>（企业名称）</w:t>
      </w:r>
      <w:r>
        <w:rPr>
          <w:rFonts w:hint="eastAsia" w:ascii="仿宋" w:hAnsi="仿宋" w:eastAsia="仿宋"/>
          <w:color w:val="auto"/>
          <w:sz w:val="32"/>
          <w:szCs w:val="32"/>
          <w:highlight w:val="none"/>
        </w:rPr>
        <w:t>，从业人员</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人，营业收入为</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万元，资产总额为</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万元，属于</w:t>
      </w:r>
      <w:r>
        <w:rPr>
          <w:rFonts w:hint="eastAsia" w:ascii="仿宋" w:hAnsi="仿宋" w:eastAsia="仿宋"/>
          <w:i/>
          <w:color w:val="auto"/>
          <w:sz w:val="32"/>
          <w:szCs w:val="32"/>
          <w:highlight w:val="none"/>
          <w:u w:val="single"/>
        </w:rPr>
        <w:t>（中型企业、小型企业、微型企业）</w:t>
      </w:r>
      <w:r>
        <w:rPr>
          <w:rFonts w:hint="eastAsia" w:ascii="仿宋" w:hAnsi="仿宋" w:eastAsia="仿宋"/>
          <w:color w:val="auto"/>
          <w:sz w:val="32"/>
          <w:szCs w:val="32"/>
          <w:highlight w:val="none"/>
        </w:rPr>
        <w:t>；</w:t>
      </w:r>
    </w:p>
    <w:p>
      <w:pPr>
        <w:snapToGrid w:val="0"/>
        <w:spacing w:line="336" w:lineRule="auto"/>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w:t>
      </w:r>
    </w:p>
    <w:p>
      <w:pPr>
        <w:snapToGrid w:val="0"/>
        <w:spacing w:line="336" w:lineRule="auto"/>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以上企业，不属于大企业的分支机构，不存在控股股东为大企业的情形，也不存在与大企业的负责人为同一人的情形。</w:t>
      </w:r>
    </w:p>
    <w:p>
      <w:pPr>
        <w:snapToGrid w:val="0"/>
        <w:spacing w:line="336" w:lineRule="auto"/>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本企业对上述声明内容的真实性负责。如有虚假，将依法承担相应责任。</w:t>
      </w:r>
    </w:p>
    <w:p>
      <w:pPr>
        <w:snapToGrid w:val="0"/>
        <w:spacing w:line="336" w:lineRule="auto"/>
        <w:ind w:firstLine="3840" w:firstLineChars="1200"/>
        <w:rPr>
          <w:rFonts w:ascii="仿宋" w:hAnsi="仿宋" w:eastAsia="仿宋"/>
          <w:color w:val="auto"/>
          <w:sz w:val="32"/>
          <w:szCs w:val="32"/>
          <w:highlight w:val="none"/>
        </w:rPr>
      </w:pPr>
      <w:r>
        <w:rPr>
          <w:rFonts w:hint="eastAsia" w:ascii="仿宋" w:hAnsi="仿宋" w:eastAsia="仿宋"/>
          <w:color w:val="auto"/>
          <w:sz w:val="32"/>
          <w:szCs w:val="32"/>
          <w:highlight w:val="none"/>
        </w:rPr>
        <w:t>企业名称（盖章）：</w:t>
      </w:r>
    </w:p>
    <w:p>
      <w:pPr>
        <w:pStyle w:val="5"/>
        <w:ind w:left="750" w:leftChars="357" w:firstLine="2963" w:firstLineChars="926"/>
        <w:rPr>
          <w:rFonts w:ascii="仿宋" w:hAnsi="仿宋" w:eastAsia="仿宋"/>
          <w:color w:val="auto"/>
          <w:sz w:val="32"/>
          <w:szCs w:val="32"/>
          <w:highlight w:val="none"/>
        </w:rPr>
      </w:pPr>
      <w:r>
        <w:rPr>
          <w:rFonts w:hint="eastAsia" w:ascii="仿宋" w:hAnsi="仿宋" w:eastAsia="仿宋"/>
          <w:color w:val="auto"/>
          <w:sz w:val="32"/>
          <w:szCs w:val="32"/>
          <w:highlight w:val="none"/>
        </w:rPr>
        <w:t>日期：</w:t>
      </w:r>
    </w:p>
    <w:p>
      <w:pPr>
        <w:rPr>
          <w:rFonts w:ascii="仿宋" w:hAnsi="仿宋" w:eastAsia="仿宋"/>
          <w:color w:val="auto"/>
          <w:sz w:val="32"/>
          <w:szCs w:val="32"/>
          <w:highlight w:val="none"/>
        </w:rPr>
      </w:pPr>
      <w:r>
        <w:rPr>
          <w:rFonts w:hint="eastAsia" w:ascii="仿宋" w:hAnsi="仿宋" w:eastAsia="仿宋"/>
          <w:color w:val="auto"/>
          <w:sz w:val="32"/>
          <w:szCs w:val="32"/>
          <w:highlight w:val="none"/>
        </w:rPr>
        <w:br w:type="page"/>
      </w:r>
    </w:p>
    <w:p>
      <w:pPr>
        <w:pStyle w:val="5"/>
        <w:ind w:left="750" w:leftChars="357" w:firstLine="2592" w:firstLineChars="926"/>
        <w:jc w:val="right"/>
        <w:rPr>
          <w:rFonts w:ascii="仿宋" w:hAnsi="仿宋" w:eastAsia="仿宋"/>
          <w:color w:val="auto"/>
          <w:sz w:val="32"/>
          <w:szCs w:val="32"/>
          <w:highlight w:val="none"/>
        </w:rPr>
      </w:pPr>
      <w:r>
        <w:rPr>
          <w:rFonts w:hint="eastAsia" w:ascii="仿宋" w:hAnsi="仿宋" w:eastAsia="仿宋" w:cs="Times New Roman"/>
          <w:color w:val="auto"/>
          <w:sz w:val="28"/>
          <w:highlight w:val="none"/>
          <w:lang w:val="en-US" w:bidi="ar-SA"/>
        </w:rPr>
        <w:t>附件十二</w:t>
      </w:r>
    </w:p>
    <w:p>
      <w:pPr>
        <w:pStyle w:val="5"/>
        <w:jc w:val="center"/>
        <w:rPr>
          <w:rFonts w:ascii="仿宋" w:hAnsi="仿宋" w:eastAsia="仿宋"/>
          <w:b/>
          <w:bCs/>
          <w:color w:val="auto"/>
          <w:sz w:val="36"/>
          <w:szCs w:val="36"/>
          <w:highlight w:val="none"/>
          <w:lang w:val="en-US"/>
        </w:rPr>
      </w:pPr>
      <w:r>
        <w:rPr>
          <w:rFonts w:hint="eastAsia" w:ascii="仿宋" w:hAnsi="仿宋" w:eastAsia="仿宋" w:cs="仿宋"/>
          <w:color w:val="auto"/>
          <w:sz w:val="32"/>
          <w:szCs w:val="21"/>
          <w:highlight w:val="none"/>
          <w:lang w:val="en-US"/>
        </w:rPr>
        <w:t>克拉玛依医学基地（中心医院改造迁建工程）紫外线消毒设施工程平面图纸及相关注意事项</w:t>
      </w:r>
    </w:p>
    <w:p>
      <w:pPr>
        <w:pStyle w:val="5"/>
        <w:rPr>
          <w:rFonts w:ascii="仿宋" w:hAnsi="仿宋" w:eastAsia="仿宋"/>
          <w:color w:val="auto"/>
          <w:sz w:val="32"/>
          <w:szCs w:val="32"/>
          <w:highlight w:val="none"/>
        </w:rPr>
      </w:pPr>
      <w:r>
        <w:rPr>
          <w:rFonts w:hint="eastAsia" w:ascii="仿宋" w:hAnsi="仿宋" w:eastAsia="仿宋"/>
          <w:b/>
          <w:bCs/>
          <w:color w:val="auto"/>
          <w:sz w:val="32"/>
          <w:szCs w:val="32"/>
          <w:highlight w:val="none"/>
          <w:lang w:val="en-US"/>
        </w:rPr>
        <w:t>*</w:t>
      </w:r>
      <w:r>
        <w:rPr>
          <w:rFonts w:hint="eastAsia" w:ascii="仿宋" w:hAnsi="仿宋" w:eastAsia="仿宋"/>
          <w:b/>
          <w:bCs/>
          <w:color w:val="auto"/>
          <w:sz w:val="32"/>
          <w:szCs w:val="32"/>
          <w:highlight w:val="none"/>
        </w:rPr>
        <w:t>注：</w:t>
      </w:r>
    </w:p>
    <w:p>
      <w:pPr>
        <w:pStyle w:val="5"/>
        <w:numPr>
          <w:ilvl w:val="0"/>
          <w:numId w:val="3"/>
        </w:numPr>
        <w:rPr>
          <w:rFonts w:ascii="仿宋" w:hAnsi="仿宋" w:eastAsia="仿宋" w:cs="仿宋"/>
          <w:b/>
          <w:bCs/>
          <w:color w:val="auto"/>
          <w:sz w:val="28"/>
          <w:szCs w:val="21"/>
          <w:highlight w:val="none"/>
        </w:rPr>
      </w:pPr>
      <w:r>
        <w:rPr>
          <w:rFonts w:hint="eastAsia" w:ascii="仿宋" w:hAnsi="仿宋" w:eastAsia="仿宋" w:cs="仿宋"/>
          <w:b/>
          <w:bCs/>
          <w:color w:val="auto"/>
          <w:sz w:val="28"/>
          <w:szCs w:val="21"/>
          <w:highlight w:val="none"/>
          <w:lang w:val="en-US"/>
        </w:rPr>
        <w:t>电源线为：国产优质</w:t>
      </w:r>
      <w:r>
        <w:rPr>
          <w:rFonts w:hint="eastAsia" w:ascii="仿宋" w:hAnsi="仿宋" w:eastAsia="仿宋" w:cs="仿宋"/>
          <w:b/>
          <w:bCs/>
          <w:color w:val="auto"/>
          <w:sz w:val="28"/>
          <w:szCs w:val="21"/>
          <w:highlight w:val="none"/>
        </w:rPr>
        <w:t>4平方、多芯、阻燃电源线。</w:t>
      </w:r>
    </w:p>
    <w:p>
      <w:pPr>
        <w:pStyle w:val="5"/>
        <w:ind w:left="0" w:firstLine="843" w:firstLineChars="300"/>
        <w:rPr>
          <w:rFonts w:ascii="仿宋" w:hAnsi="仿宋" w:eastAsia="仿宋" w:cs="仿宋"/>
          <w:b/>
          <w:bCs/>
          <w:color w:val="auto"/>
          <w:sz w:val="28"/>
          <w:szCs w:val="21"/>
          <w:highlight w:val="none"/>
        </w:rPr>
      </w:pPr>
      <w:r>
        <w:rPr>
          <w:rFonts w:hint="eastAsia" w:ascii="仿宋" w:hAnsi="仿宋" w:eastAsia="仿宋" w:cs="仿宋"/>
          <w:b/>
          <w:bCs/>
          <w:color w:val="auto"/>
          <w:sz w:val="28"/>
          <w:szCs w:val="21"/>
          <w:highlight w:val="none"/>
        </w:rPr>
        <w:t>报价：对一米电源线进行报价，根据二次深化施工图纸核定需要用量，报出电源线合计总价。</w:t>
      </w:r>
    </w:p>
    <w:p>
      <w:pPr>
        <w:pStyle w:val="5"/>
        <w:numPr>
          <w:ilvl w:val="0"/>
          <w:numId w:val="3"/>
        </w:numPr>
        <w:rPr>
          <w:rFonts w:ascii="仿宋" w:hAnsi="仿宋" w:eastAsia="仿宋" w:cs="仿宋"/>
          <w:b/>
          <w:bCs/>
          <w:color w:val="auto"/>
          <w:sz w:val="28"/>
          <w:szCs w:val="21"/>
          <w:highlight w:val="none"/>
        </w:rPr>
      </w:pPr>
      <w:r>
        <w:rPr>
          <w:rFonts w:hint="eastAsia" w:ascii="仿宋" w:hAnsi="仿宋" w:eastAsia="仿宋" w:cs="仿宋"/>
          <w:b/>
          <w:bCs/>
          <w:color w:val="auto"/>
          <w:sz w:val="28"/>
          <w:szCs w:val="21"/>
          <w:highlight w:val="none"/>
          <w:lang w:val="en-US"/>
        </w:rPr>
        <w:t>配套插座为：国产优质</w:t>
      </w:r>
      <w:r>
        <w:rPr>
          <w:rFonts w:hint="eastAsia" w:ascii="仿宋" w:hAnsi="仿宋" w:eastAsia="仿宋" w:cs="仿宋"/>
          <w:b/>
          <w:bCs/>
          <w:color w:val="auto"/>
          <w:sz w:val="28"/>
          <w:szCs w:val="21"/>
          <w:highlight w:val="none"/>
        </w:rPr>
        <w:t>三孔万向插座</w:t>
      </w:r>
    </w:p>
    <w:p>
      <w:pPr>
        <w:pStyle w:val="5"/>
        <w:ind w:left="0" w:firstLine="843" w:firstLineChars="300"/>
        <w:rPr>
          <w:rFonts w:ascii="仿宋" w:hAnsi="仿宋" w:eastAsia="仿宋" w:cs="仿宋"/>
          <w:b/>
          <w:bCs/>
          <w:color w:val="auto"/>
          <w:sz w:val="28"/>
          <w:szCs w:val="21"/>
          <w:highlight w:val="none"/>
        </w:rPr>
      </w:pPr>
      <w:r>
        <w:rPr>
          <w:rFonts w:hint="eastAsia" w:ascii="仿宋" w:hAnsi="仿宋" w:eastAsia="仿宋" w:cs="仿宋"/>
          <w:b/>
          <w:bCs/>
          <w:color w:val="auto"/>
          <w:sz w:val="28"/>
          <w:szCs w:val="21"/>
          <w:highlight w:val="none"/>
        </w:rPr>
        <w:t>报价：对单个三孔万向插座进行报价，根据招标文件要求数量，报出三孔万向插座总价。</w:t>
      </w:r>
    </w:p>
    <w:p>
      <w:pPr>
        <w:pStyle w:val="5"/>
        <w:numPr>
          <w:ilvl w:val="0"/>
          <w:numId w:val="3"/>
        </w:numPr>
        <w:rPr>
          <w:rFonts w:ascii="仿宋" w:hAnsi="仿宋" w:eastAsia="仿宋" w:cs="仿宋"/>
          <w:b/>
          <w:bCs/>
          <w:color w:val="auto"/>
          <w:sz w:val="28"/>
          <w:szCs w:val="21"/>
          <w:highlight w:val="none"/>
        </w:rPr>
      </w:pPr>
      <w:r>
        <w:rPr>
          <w:rFonts w:hint="eastAsia" w:ascii="仿宋" w:hAnsi="仿宋" w:eastAsia="仿宋" w:cs="仿宋"/>
          <w:b/>
          <w:bCs/>
          <w:color w:val="auto"/>
          <w:sz w:val="28"/>
          <w:szCs w:val="21"/>
          <w:highlight w:val="none"/>
          <w:lang w:val="en-US"/>
        </w:rPr>
        <w:t>护套管</w:t>
      </w:r>
      <w:r>
        <w:rPr>
          <w:rFonts w:hint="eastAsia" w:ascii="仿宋" w:hAnsi="仿宋" w:eastAsia="仿宋" w:cs="仿宋"/>
          <w:b/>
          <w:bCs/>
          <w:color w:val="auto"/>
          <w:sz w:val="28"/>
          <w:szCs w:val="21"/>
          <w:highlight w:val="none"/>
        </w:rPr>
        <w:t>报价：对一米</w:t>
      </w:r>
      <w:r>
        <w:rPr>
          <w:rFonts w:hint="eastAsia" w:ascii="仿宋" w:hAnsi="仿宋" w:eastAsia="仿宋" w:cs="仿宋"/>
          <w:b/>
          <w:bCs/>
          <w:color w:val="auto"/>
          <w:sz w:val="28"/>
          <w:szCs w:val="21"/>
          <w:highlight w:val="none"/>
          <w:lang w:val="en-US"/>
        </w:rPr>
        <w:t>护套管</w:t>
      </w:r>
      <w:r>
        <w:rPr>
          <w:rFonts w:hint="eastAsia" w:ascii="仿宋" w:hAnsi="仿宋" w:eastAsia="仿宋" w:cs="仿宋"/>
          <w:b/>
          <w:bCs/>
          <w:color w:val="auto"/>
          <w:sz w:val="28"/>
          <w:szCs w:val="21"/>
          <w:highlight w:val="none"/>
        </w:rPr>
        <w:t>进行报价，根据二次深化施工图纸核定需要用量，报出</w:t>
      </w:r>
      <w:r>
        <w:rPr>
          <w:rFonts w:hint="eastAsia" w:ascii="仿宋" w:hAnsi="仿宋" w:eastAsia="仿宋" w:cs="仿宋"/>
          <w:b/>
          <w:bCs/>
          <w:color w:val="auto"/>
          <w:sz w:val="28"/>
          <w:szCs w:val="21"/>
          <w:highlight w:val="none"/>
          <w:lang w:val="en-US"/>
        </w:rPr>
        <w:t>护套管</w:t>
      </w:r>
      <w:r>
        <w:rPr>
          <w:rFonts w:hint="eastAsia" w:ascii="仿宋" w:hAnsi="仿宋" w:eastAsia="仿宋" w:cs="仿宋"/>
          <w:b/>
          <w:bCs/>
          <w:color w:val="auto"/>
          <w:sz w:val="28"/>
          <w:szCs w:val="21"/>
          <w:highlight w:val="none"/>
        </w:rPr>
        <w:t>合计总价。</w:t>
      </w:r>
    </w:p>
    <w:p>
      <w:pPr>
        <w:pStyle w:val="5"/>
        <w:numPr>
          <w:ilvl w:val="0"/>
          <w:numId w:val="3"/>
        </w:numPr>
        <w:rPr>
          <w:rFonts w:ascii="仿宋" w:hAnsi="仿宋" w:eastAsia="仿宋" w:cs="仿宋"/>
          <w:b/>
          <w:bCs/>
          <w:color w:val="auto"/>
          <w:sz w:val="28"/>
          <w:szCs w:val="21"/>
          <w:highlight w:val="none"/>
        </w:rPr>
      </w:pPr>
      <w:r>
        <w:rPr>
          <w:rFonts w:hint="eastAsia" w:ascii="仿宋" w:hAnsi="仿宋" w:eastAsia="仿宋" w:cs="仿宋"/>
          <w:b/>
          <w:bCs/>
          <w:color w:val="auto"/>
          <w:sz w:val="28"/>
          <w:szCs w:val="21"/>
          <w:highlight w:val="none"/>
        </w:rPr>
        <w:t>其它辅材报价：根据用到的其余辅材先进行单个或一米报价，再根据二次深化施工图纸核定需要用量，报出合计总价。</w:t>
      </w:r>
    </w:p>
    <w:p>
      <w:pPr>
        <w:pStyle w:val="5"/>
        <w:numPr>
          <w:ilvl w:val="0"/>
          <w:numId w:val="3"/>
        </w:numPr>
        <w:rPr>
          <w:rFonts w:ascii="仿宋" w:hAnsi="仿宋" w:eastAsia="仿宋" w:cs="仿宋"/>
          <w:color w:val="auto"/>
          <w:sz w:val="28"/>
          <w:szCs w:val="21"/>
          <w:highlight w:val="none"/>
          <w:lang w:val="en-US"/>
        </w:rPr>
      </w:pPr>
      <w:r>
        <w:rPr>
          <w:rFonts w:hint="eastAsia" w:ascii="仿宋" w:hAnsi="仿宋" w:eastAsia="仿宋" w:cs="仿宋"/>
          <w:b/>
          <w:bCs/>
          <w:color w:val="auto"/>
          <w:sz w:val="28"/>
          <w:szCs w:val="21"/>
          <w:highlight w:val="none"/>
          <w:lang w:val="en-US"/>
        </w:rPr>
        <w:t>招标文件</w:t>
      </w:r>
      <w:r>
        <w:rPr>
          <w:rFonts w:hint="eastAsia" w:ascii="仿宋" w:hAnsi="仿宋" w:eastAsia="仿宋" w:cs="仿宋"/>
          <w:b/>
          <w:bCs/>
          <w:color w:val="auto"/>
          <w:sz w:val="28"/>
          <w:szCs w:val="21"/>
          <w:highlight w:val="none"/>
        </w:rPr>
        <w:t>提供的施工平面图纸，需要各投标商按照所投产品及现场实际情况进行二次合理施工深化设计。</w:t>
      </w:r>
      <w:r>
        <w:rPr>
          <w:rFonts w:hint="eastAsia" w:ascii="仿宋" w:hAnsi="仿宋" w:eastAsia="仿宋" w:cs="仿宋"/>
          <w:color w:val="auto"/>
          <w:sz w:val="28"/>
          <w:szCs w:val="21"/>
          <w:highlight w:val="none"/>
        </w:rPr>
        <w:t>（各投标商自行进行现场场地勘察）</w:t>
      </w:r>
    </w:p>
    <w:p>
      <w:pPr>
        <w:pStyle w:val="5"/>
        <w:numPr>
          <w:ilvl w:val="0"/>
          <w:numId w:val="3"/>
        </w:numPr>
        <w:rPr>
          <w:rFonts w:ascii="仿宋" w:hAnsi="仿宋" w:eastAsia="仿宋" w:cs="仿宋"/>
          <w:b/>
          <w:bCs/>
          <w:color w:val="auto"/>
          <w:sz w:val="28"/>
          <w:szCs w:val="21"/>
          <w:highlight w:val="none"/>
          <w:lang w:val="en-US"/>
        </w:rPr>
      </w:pPr>
      <w:r>
        <w:rPr>
          <w:rFonts w:hint="eastAsia" w:ascii="仿宋" w:hAnsi="仿宋" w:eastAsia="仿宋" w:cs="仿宋"/>
          <w:b/>
          <w:bCs/>
          <w:color w:val="auto"/>
          <w:sz w:val="28"/>
          <w:szCs w:val="21"/>
          <w:highlight w:val="none"/>
          <w:lang w:val="en-US"/>
        </w:rPr>
        <w:t>各投标商还需对相关安装、施工费用进行报价。</w:t>
      </w:r>
    </w:p>
    <w:p>
      <w:pPr>
        <w:pStyle w:val="5"/>
        <w:ind w:left="359" w:firstLine="480"/>
        <w:rPr>
          <w:rFonts w:ascii="仿宋" w:hAnsi="仿宋" w:eastAsia="仿宋" w:cs="仿宋"/>
          <w:b/>
          <w:bCs/>
          <w:color w:val="auto"/>
          <w:sz w:val="28"/>
          <w:szCs w:val="21"/>
          <w:highlight w:val="none"/>
          <w:lang w:val="en-US"/>
        </w:rPr>
      </w:pPr>
      <w:r>
        <w:rPr>
          <w:rFonts w:hint="eastAsia" w:ascii="仿宋" w:hAnsi="仿宋" w:eastAsia="仿宋" w:cs="仿宋"/>
          <w:b/>
          <w:bCs/>
          <w:color w:val="auto"/>
          <w:sz w:val="28"/>
          <w:szCs w:val="21"/>
          <w:highlight w:val="none"/>
          <w:lang w:val="en-US"/>
        </w:rPr>
        <w:t>如未实质性响应上述条款的要求，将导致投标无效。</w:t>
      </w:r>
    </w:p>
    <w:sectPr>
      <w:footerReference r:id="rId12" w:type="default"/>
      <w:pgSz w:w="11906" w:h="16838"/>
      <w:pgMar w:top="1440" w:right="1077" w:bottom="1440"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FZZD Extra JW">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ashDotStroked" w:color="auto" w:sz="24" w:space="3"/>
      </w:pBdr>
      <w:ind w:right="70"/>
      <w:jc w:val="center"/>
      <w:rPr>
        <w:rStyle w:val="35"/>
      </w:rPr>
    </w:pPr>
    <w:r>
      <w:rPr>
        <w:rStyle w:val="35"/>
        <w:rFonts w:hint="eastAsia"/>
      </w:rPr>
      <w:t>电话：0991-8852519    传真：0991-8852</w:t>
    </w:r>
    <w:r>
      <w:rPr>
        <w:rStyle w:val="35"/>
      </w:rPr>
      <w:t>5</w:t>
    </w:r>
    <w:r>
      <w:rPr>
        <w:rStyle w:val="35"/>
        <w:rFonts w:hint="eastAsia"/>
      </w:rPr>
      <w:t>30               -</w:t>
    </w:r>
    <w:r>
      <w:rPr>
        <w:rFonts w:hint="eastAsia" w:ascii="仿宋_GB2312" w:eastAsia="仿宋_GB2312"/>
        <w:b/>
        <w:i/>
        <w:sz w:val="18"/>
      </w:rPr>
      <w:fldChar w:fldCharType="begin"/>
    </w:r>
    <w:r>
      <w:rPr>
        <w:rStyle w:val="21"/>
        <w:rFonts w:hint="eastAsia" w:ascii="仿宋_GB2312" w:eastAsia="仿宋_GB2312"/>
        <w:b/>
        <w:i/>
        <w:sz w:val="18"/>
      </w:rPr>
      <w:instrText xml:space="preserve"> PAGE </w:instrText>
    </w:r>
    <w:r>
      <w:rPr>
        <w:rFonts w:hint="eastAsia" w:ascii="仿宋_GB2312" w:eastAsia="仿宋_GB2312"/>
        <w:b/>
        <w:i/>
        <w:sz w:val="18"/>
      </w:rPr>
      <w:fldChar w:fldCharType="separate"/>
    </w:r>
    <w:r>
      <w:rPr>
        <w:rStyle w:val="21"/>
        <w:rFonts w:ascii="仿宋_GB2312" w:eastAsia="仿宋_GB2312"/>
        <w:b/>
        <w:i/>
        <w:sz w:val="18"/>
      </w:rPr>
      <w:t>3</w:t>
    </w:r>
    <w:r>
      <w:rPr>
        <w:rFonts w:hint="eastAsia" w:ascii="仿宋_GB2312" w:eastAsia="仿宋_GB2312"/>
        <w:b/>
        <w:i/>
        <w:sz w:val="18"/>
      </w:rPr>
      <w:fldChar w:fldCharType="end"/>
    </w:r>
    <w:r>
      <w:rPr>
        <w:rStyle w:val="35"/>
        <w:rFonts w:hint="eastAsia"/>
      </w:rPr>
      <w:t>-            新疆新之建工程咨询有限公司编制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ashDotStroked" w:color="auto" w:sz="24" w:space="3"/>
      </w:pBdr>
      <w:ind w:right="70"/>
      <w:rPr>
        <w:rStyle w:val="3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ashDotStroked" w:color="auto" w:sz="24" w:space="3"/>
      </w:pBdr>
      <w:ind w:right="70"/>
      <w:jc w:val="center"/>
      <w:rPr>
        <w:rStyle w:val="35"/>
      </w:rPr>
    </w:pPr>
    <w:r>
      <w:rPr>
        <w:rStyle w:val="35"/>
        <w:rFonts w:hint="eastAsia"/>
      </w:rPr>
      <w:t>电话：0991-8852519                                     -</w:t>
    </w:r>
    <w:r>
      <w:rPr>
        <w:rFonts w:hint="eastAsia" w:ascii="仿宋_GB2312" w:eastAsia="仿宋_GB2312"/>
        <w:b/>
        <w:i/>
        <w:sz w:val="18"/>
      </w:rPr>
      <w:fldChar w:fldCharType="begin"/>
    </w:r>
    <w:r>
      <w:rPr>
        <w:rStyle w:val="21"/>
        <w:rFonts w:hint="eastAsia" w:ascii="仿宋_GB2312" w:eastAsia="仿宋_GB2312"/>
        <w:b/>
        <w:i/>
        <w:sz w:val="18"/>
      </w:rPr>
      <w:instrText xml:space="preserve"> PAGE </w:instrText>
    </w:r>
    <w:r>
      <w:rPr>
        <w:rFonts w:hint="eastAsia" w:ascii="仿宋_GB2312" w:eastAsia="仿宋_GB2312"/>
        <w:b/>
        <w:i/>
        <w:sz w:val="18"/>
      </w:rPr>
      <w:fldChar w:fldCharType="separate"/>
    </w:r>
    <w:r>
      <w:rPr>
        <w:rStyle w:val="21"/>
        <w:rFonts w:ascii="仿宋_GB2312" w:eastAsia="仿宋_GB2312"/>
        <w:b/>
        <w:i/>
        <w:sz w:val="18"/>
      </w:rPr>
      <w:t>30</w:t>
    </w:r>
    <w:r>
      <w:rPr>
        <w:rFonts w:hint="eastAsia" w:ascii="仿宋_GB2312" w:eastAsia="仿宋_GB2312"/>
        <w:b/>
        <w:i/>
        <w:sz w:val="18"/>
      </w:rPr>
      <w:fldChar w:fldCharType="end"/>
    </w:r>
    <w:r>
      <w:rPr>
        <w:rStyle w:val="35"/>
        <w:rFonts w:hint="eastAsia"/>
      </w:rPr>
      <w:t>-               新疆新之建工程咨询有限公司编制</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ashDotStroked" w:color="auto" w:sz="24" w:space="3"/>
      </w:pBdr>
      <w:ind w:right="70"/>
      <w:rPr>
        <w:rStyle w:val="35"/>
      </w:rPr>
    </w:pPr>
    <w:r>
      <w:rPr>
        <w:rStyle w:val="35"/>
        <w:rFonts w:hint="eastAsia"/>
      </w:rPr>
      <w:t>电话：0991-8852519                                                 -</w:t>
    </w:r>
    <w:r>
      <w:fldChar w:fldCharType="begin"/>
    </w:r>
    <w:r>
      <w:rPr>
        <w:rStyle w:val="35"/>
      </w:rPr>
      <w:instrText xml:space="preserve"> PAGE </w:instrText>
    </w:r>
    <w:r>
      <w:fldChar w:fldCharType="separate"/>
    </w:r>
    <w:r>
      <w:rPr>
        <w:rStyle w:val="35"/>
      </w:rPr>
      <w:t>53</w:t>
    </w:r>
    <w:r>
      <w:fldChar w:fldCharType="end"/>
    </w:r>
    <w:r>
      <w:rPr>
        <w:rStyle w:val="35"/>
        <w:rFonts w:hint="eastAsia"/>
      </w:rPr>
      <w:t>-                                                新疆新之建工程咨询有限公司编制</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ashDotStroked" w:color="auto" w:sz="24" w:space="3"/>
      </w:pBdr>
      <w:ind w:right="70"/>
      <w:rPr>
        <w:rStyle w:val="35"/>
      </w:rPr>
    </w:pPr>
    <w:r>
      <w:rPr>
        <w:rStyle w:val="35"/>
        <w:rFonts w:hint="eastAsia"/>
      </w:rPr>
      <w:t>电话：0991-8852519                          -</w:t>
    </w:r>
    <w:r>
      <w:fldChar w:fldCharType="begin"/>
    </w:r>
    <w:r>
      <w:rPr>
        <w:rStyle w:val="35"/>
      </w:rPr>
      <w:instrText xml:space="preserve"> PAGE </w:instrText>
    </w:r>
    <w:r>
      <w:fldChar w:fldCharType="separate"/>
    </w:r>
    <w:r>
      <w:rPr>
        <w:rStyle w:val="35"/>
      </w:rPr>
      <w:t>55</w:t>
    </w:r>
    <w:r>
      <w:fldChar w:fldCharType="end"/>
    </w:r>
    <w:r>
      <w:rPr>
        <w:rStyle w:val="35"/>
        <w:rFonts w:hint="eastAsia"/>
      </w:rPr>
      <w:t>-                            新疆新之建工程咨询有限公司编制</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3"/>
        <w:rPr>
          <w:rFonts w:ascii="仿宋" w:hAnsi="仿宋" w:eastAsia="仿宋" w:cs="仿宋"/>
          <w:sz w:val="21"/>
          <w:szCs w:val="21"/>
        </w:rPr>
      </w:pPr>
      <w:r>
        <w:rPr>
          <w:rStyle w:val="23"/>
          <w:rFonts w:hint="eastAsia" w:ascii="仿宋" w:hAnsi="仿宋" w:eastAsia="仿宋" w:cs="仿宋"/>
        </w:rPr>
        <w:footnoteRef/>
      </w:r>
      <w:r>
        <w:rPr>
          <w:rFonts w:hint="eastAsia" w:ascii="仿宋" w:hAnsi="仿宋" w:eastAsia="仿宋" w:cs="仿宋"/>
          <w:sz w:val="21"/>
          <w:szCs w:val="21"/>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ashDotStroked" w:color="auto" w:sz="24" w:space="1"/>
      </w:pBdr>
      <w:jc w:val="center"/>
      <w:rPr>
        <w:rStyle w:val="35"/>
        <w:rFonts w:ascii="仿宋" w:hAnsi="仿宋" w:eastAsia="仿宋" w:cs="仿宋"/>
        <w:b w:val="0"/>
        <w:i w:val="0"/>
        <w:sz w:val="15"/>
        <w:szCs w:val="16"/>
      </w:rPr>
    </w:pPr>
    <w:r>
      <w:rPr>
        <w:rFonts w:hint="eastAsia" w:ascii="仿宋" w:hAnsi="仿宋" w:eastAsia="仿宋" w:cs="仿宋"/>
        <w:b/>
        <w:i/>
        <w:szCs w:val="21"/>
      </w:rPr>
      <w:t>新疆新之建工程咨询有限公司招标文件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ashDotStroked" w:color="auto" w:sz="24" w:space="1"/>
      </w:pBdr>
      <w:jc w:val="center"/>
      <w:rPr>
        <w:rStyle w:val="35"/>
        <w:sz w:val="16"/>
        <w:szCs w:val="16"/>
      </w:rPr>
    </w:pPr>
    <w:r>
      <w:rPr>
        <w:rFonts w:hint="eastAsia" w:ascii="仿宋_GB2312" w:eastAsia="仿宋_GB2312"/>
        <w:b/>
        <w:i/>
        <w:sz w:val="24"/>
        <w:szCs w:val="24"/>
      </w:rPr>
      <w:t>新疆新之建工程咨询有限公司招标文件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BDFF0"/>
    <w:multiLevelType w:val="singleLevel"/>
    <w:tmpl w:val="827BDFF0"/>
    <w:lvl w:ilvl="0" w:tentative="0">
      <w:start w:val="1"/>
      <w:numFmt w:val="decimal"/>
      <w:suff w:val="nothing"/>
      <w:lvlText w:val="%1、"/>
      <w:lvlJc w:val="left"/>
    </w:lvl>
  </w:abstractNum>
  <w:abstractNum w:abstractNumId="1">
    <w:nsid w:val="00000005"/>
    <w:multiLevelType w:val="singleLevel"/>
    <w:tmpl w:val="00000005"/>
    <w:lvl w:ilvl="0" w:tentative="0">
      <w:start w:val="1"/>
      <w:numFmt w:val="upperLetter"/>
      <w:suff w:val="nothing"/>
      <w:lvlText w:val="%1、"/>
      <w:lvlJc w:val="left"/>
      <w:pPr>
        <w:textAlignment w:val="baseline"/>
      </w:pPr>
    </w:lvl>
  </w:abstractNum>
  <w:abstractNum w:abstractNumId="2">
    <w:nsid w:val="513E97DD"/>
    <w:multiLevelType w:val="singleLevel"/>
    <w:tmpl w:val="513E97DD"/>
    <w:lvl w:ilvl="0" w:tentative="0">
      <w:start w:val="3"/>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hideSpellingErrors/>
  <w:documentProtection w:enforcement="0"/>
  <w:defaultTabStop w:val="420"/>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4MjBiN2FkYjBlNTY4NjAxMTc5NmQ1YTI5MjU2MmIifQ=="/>
  </w:docVars>
  <w:rsids>
    <w:rsidRoot w:val="6FE95F5B"/>
    <w:rsid w:val="0005678C"/>
    <w:rsid w:val="000628C2"/>
    <w:rsid w:val="000719FA"/>
    <w:rsid w:val="00072F4A"/>
    <w:rsid w:val="00076A29"/>
    <w:rsid w:val="000A168C"/>
    <w:rsid w:val="000A3B81"/>
    <w:rsid w:val="000B40A8"/>
    <w:rsid w:val="000C28C6"/>
    <w:rsid w:val="000E0358"/>
    <w:rsid w:val="000F33D6"/>
    <w:rsid w:val="0012684C"/>
    <w:rsid w:val="00134255"/>
    <w:rsid w:val="001A489E"/>
    <w:rsid w:val="0020050D"/>
    <w:rsid w:val="00211A96"/>
    <w:rsid w:val="00214D09"/>
    <w:rsid w:val="00216DB8"/>
    <w:rsid w:val="00230380"/>
    <w:rsid w:val="00286295"/>
    <w:rsid w:val="002911FA"/>
    <w:rsid w:val="00292CC6"/>
    <w:rsid w:val="002B59D4"/>
    <w:rsid w:val="002C1145"/>
    <w:rsid w:val="002D7566"/>
    <w:rsid w:val="002E0F5F"/>
    <w:rsid w:val="002E5305"/>
    <w:rsid w:val="00312F96"/>
    <w:rsid w:val="00340A38"/>
    <w:rsid w:val="00347169"/>
    <w:rsid w:val="00351B3D"/>
    <w:rsid w:val="00353E2A"/>
    <w:rsid w:val="00370A4A"/>
    <w:rsid w:val="00394EC8"/>
    <w:rsid w:val="003A5C50"/>
    <w:rsid w:val="003A73F5"/>
    <w:rsid w:val="003B27F4"/>
    <w:rsid w:val="003C2D18"/>
    <w:rsid w:val="003D229E"/>
    <w:rsid w:val="00401ED0"/>
    <w:rsid w:val="00410755"/>
    <w:rsid w:val="00417D37"/>
    <w:rsid w:val="00423D28"/>
    <w:rsid w:val="0042422B"/>
    <w:rsid w:val="00454E30"/>
    <w:rsid w:val="00461923"/>
    <w:rsid w:val="0047594C"/>
    <w:rsid w:val="004F6AF9"/>
    <w:rsid w:val="005A5221"/>
    <w:rsid w:val="005A5376"/>
    <w:rsid w:val="005B6FF5"/>
    <w:rsid w:val="005E4E07"/>
    <w:rsid w:val="00612B14"/>
    <w:rsid w:val="00632DD9"/>
    <w:rsid w:val="00652939"/>
    <w:rsid w:val="006B5323"/>
    <w:rsid w:val="006C18C6"/>
    <w:rsid w:val="006D06C4"/>
    <w:rsid w:val="006D6C59"/>
    <w:rsid w:val="006E28A4"/>
    <w:rsid w:val="00717DF4"/>
    <w:rsid w:val="00751565"/>
    <w:rsid w:val="007902C4"/>
    <w:rsid w:val="007A3162"/>
    <w:rsid w:val="007F52F3"/>
    <w:rsid w:val="00813920"/>
    <w:rsid w:val="008304FE"/>
    <w:rsid w:val="00832E6F"/>
    <w:rsid w:val="00836854"/>
    <w:rsid w:val="00841DEC"/>
    <w:rsid w:val="00882B0B"/>
    <w:rsid w:val="008A0C86"/>
    <w:rsid w:val="008E5AA2"/>
    <w:rsid w:val="008F5079"/>
    <w:rsid w:val="00901261"/>
    <w:rsid w:val="009607F0"/>
    <w:rsid w:val="009A1F57"/>
    <w:rsid w:val="009E7A24"/>
    <w:rsid w:val="00A161EC"/>
    <w:rsid w:val="00A33991"/>
    <w:rsid w:val="00A874B5"/>
    <w:rsid w:val="00B06B07"/>
    <w:rsid w:val="00B63374"/>
    <w:rsid w:val="00B72B33"/>
    <w:rsid w:val="00B8645B"/>
    <w:rsid w:val="00BA48B6"/>
    <w:rsid w:val="00BA657A"/>
    <w:rsid w:val="00BB435E"/>
    <w:rsid w:val="00BE485B"/>
    <w:rsid w:val="00C0782A"/>
    <w:rsid w:val="00C222D1"/>
    <w:rsid w:val="00C31A79"/>
    <w:rsid w:val="00C52E2F"/>
    <w:rsid w:val="00C720B2"/>
    <w:rsid w:val="00CA0E26"/>
    <w:rsid w:val="00CC6FD3"/>
    <w:rsid w:val="00CD3F45"/>
    <w:rsid w:val="00CD4193"/>
    <w:rsid w:val="00CF0997"/>
    <w:rsid w:val="00D14316"/>
    <w:rsid w:val="00D25CC5"/>
    <w:rsid w:val="00D505C6"/>
    <w:rsid w:val="00DC2AFA"/>
    <w:rsid w:val="00E00FEE"/>
    <w:rsid w:val="00E0321E"/>
    <w:rsid w:val="00E03B4C"/>
    <w:rsid w:val="00E346CE"/>
    <w:rsid w:val="00E417CB"/>
    <w:rsid w:val="00E5149B"/>
    <w:rsid w:val="00E913FC"/>
    <w:rsid w:val="00E91D3A"/>
    <w:rsid w:val="00EB3426"/>
    <w:rsid w:val="00ED65C8"/>
    <w:rsid w:val="00F05CB6"/>
    <w:rsid w:val="00F25072"/>
    <w:rsid w:val="00F41F7C"/>
    <w:rsid w:val="00F601A2"/>
    <w:rsid w:val="00F61BED"/>
    <w:rsid w:val="00F63912"/>
    <w:rsid w:val="00F7311E"/>
    <w:rsid w:val="00F83669"/>
    <w:rsid w:val="00F8543C"/>
    <w:rsid w:val="00F90E63"/>
    <w:rsid w:val="00F96776"/>
    <w:rsid w:val="00FD0E0A"/>
    <w:rsid w:val="00FE146C"/>
    <w:rsid w:val="00FF4BFD"/>
    <w:rsid w:val="00FF5B0A"/>
    <w:rsid w:val="01061C0C"/>
    <w:rsid w:val="019F6D9F"/>
    <w:rsid w:val="01CF72FA"/>
    <w:rsid w:val="01E43876"/>
    <w:rsid w:val="01F831E8"/>
    <w:rsid w:val="0288699A"/>
    <w:rsid w:val="029344EA"/>
    <w:rsid w:val="03072C83"/>
    <w:rsid w:val="03243BEE"/>
    <w:rsid w:val="03C43971"/>
    <w:rsid w:val="03D46603"/>
    <w:rsid w:val="04067DD0"/>
    <w:rsid w:val="04231503"/>
    <w:rsid w:val="042D5B84"/>
    <w:rsid w:val="05303DFE"/>
    <w:rsid w:val="05424315"/>
    <w:rsid w:val="0542684F"/>
    <w:rsid w:val="058150EA"/>
    <w:rsid w:val="05A77896"/>
    <w:rsid w:val="064F67D3"/>
    <w:rsid w:val="06782196"/>
    <w:rsid w:val="07000E6E"/>
    <w:rsid w:val="07156772"/>
    <w:rsid w:val="07524795"/>
    <w:rsid w:val="07960107"/>
    <w:rsid w:val="08490AF3"/>
    <w:rsid w:val="08D6179C"/>
    <w:rsid w:val="09461CD3"/>
    <w:rsid w:val="09561FCD"/>
    <w:rsid w:val="0A0008AA"/>
    <w:rsid w:val="0A075C70"/>
    <w:rsid w:val="0A15612A"/>
    <w:rsid w:val="0A372F4E"/>
    <w:rsid w:val="0A4518A6"/>
    <w:rsid w:val="0B095AB3"/>
    <w:rsid w:val="0B0F117D"/>
    <w:rsid w:val="0B3D4278"/>
    <w:rsid w:val="0B575FF7"/>
    <w:rsid w:val="0B9D37CB"/>
    <w:rsid w:val="0BC60E3D"/>
    <w:rsid w:val="0BD7170D"/>
    <w:rsid w:val="0BFF42FC"/>
    <w:rsid w:val="0C156BD4"/>
    <w:rsid w:val="0C23550B"/>
    <w:rsid w:val="0C250E1C"/>
    <w:rsid w:val="0C7665FA"/>
    <w:rsid w:val="0C9F0100"/>
    <w:rsid w:val="0CAD62C4"/>
    <w:rsid w:val="0CC81C89"/>
    <w:rsid w:val="0CE75AAF"/>
    <w:rsid w:val="0D47367B"/>
    <w:rsid w:val="0D7A0EAE"/>
    <w:rsid w:val="0D957844"/>
    <w:rsid w:val="0DC43F13"/>
    <w:rsid w:val="0DD8478D"/>
    <w:rsid w:val="0E5A2165"/>
    <w:rsid w:val="0E7C3E91"/>
    <w:rsid w:val="0EAA4404"/>
    <w:rsid w:val="0EB62D40"/>
    <w:rsid w:val="0EE859DF"/>
    <w:rsid w:val="0F722BEA"/>
    <w:rsid w:val="0FAE4E5F"/>
    <w:rsid w:val="101F2400"/>
    <w:rsid w:val="109127D2"/>
    <w:rsid w:val="115555F0"/>
    <w:rsid w:val="11B21D8F"/>
    <w:rsid w:val="11D22BC7"/>
    <w:rsid w:val="11F7143C"/>
    <w:rsid w:val="124D6FE7"/>
    <w:rsid w:val="12DD6AC6"/>
    <w:rsid w:val="13517FF7"/>
    <w:rsid w:val="13694616"/>
    <w:rsid w:val="13784EEC"/>
    <w:rsid w:val="1393198B"/>
    <w:rsid w:val="13B336BF"/>
    <w:rsid w:val="140008F8"/>
    <w:rsid w:val="141E6154"/>
    <w:rsid w:val="144637F4"/>
    <w:rsid w:val="146A0901"/>
    <w:rsid w:val="15347F3D"/>
    <w:rsid w:val="15866059"/>
    <w:rsid w:val="158C5979"/>
    <w:rsid w:val="15915121"/>
    <w:rsid w:val="15A028A9"/>
    <w:rsid w:val="15E4675F"/>
    <w:rsid w:val="16054E5D"/>
    <w:rsid w:val="16147408"/>
    <w:rsid w:val="16986BD2"/>
    <w:rsid w:val="16AF6ECA"/>
    <w:rsid w:val="16DB250A"/>
    <w:rsid w:val="17601B3C"/>
    <w:rsid w:val="1766157D"/>
    <w:rsid w:val="176D6F79"/>
    <w:rsid w:val="1777246B"/>
    <w:rsid w:val="17DA3CDD"/>
    <w:rsid w:val="187A1D9E"/>
    <w:rsid w:val="189015C1"/>
    <w:rsid w:val="18EB65DA"/>
    <w:rsid w:val="19B83701"/>
    <w:rsid w:val="19C342B3"/>
    <w:rsid w:val="19FA5C86"/>
    <w:rsid w:val="1A1966DC"/>
    <w:rsid w:val="1A351993"/>
    <w:rsid w:val="1A534A87"/>
    <w:rsid w:val="1A890064"/>
    <w:rsid w:val="1AB3346E"/>
    <w:rsid w:val="1AE96E91"/>
    <w:rsid w:val="1B1D26B5"/>
    <w:rsid w:val="1BCD1DFB"/>
    <w:rsid w:val="1C054790"/>
    <w:rsid w:val="1C274B4F"/>
    <w:rsid w:val="1C3023B3"/>
    <w:rsid w:val="1C530D57"/>
    <w:rsid w:val="1CA02734"/>
    <w:rsid w:val="1CA35874"/>
    <w:rsid w:val="1CAC2A24"/>
    <w:rsid w:val="1CCE05A0"/>
    <w:rsid w:val="1D1C1676"/>
    <w:rsid w:val="1D616919"/>
    <w:rsid w:val="1D9D190F"/>
    <w:rsid w:val="1E0B5432"/>
    <w:rsid w:val="1E1E2279"/>
    <w:rsid w:val="1E7D3CEE"/>
    <w:rsid w:val="1E8F582D"/>
    <w:rsid w:val="1EEC5078"/>
    <w:rsid w:val="1F285A82"/>
    <w:rsid w:val="1FE0385F"/>
    <w:rsid w:val="1FF52394"/>
    <w:rsid w:val="205B3F4A"/>
    <w:rsid w:val="216A233C"/>
    <w:rsid w:val="21D55D49"/>
    <w:rsid w:val="21F232D3"/>
    <w:rsid w:val="22284201"/>
    <w:rsid w:val="22BD71A2"/>
    <w:rsid w:val="22BF196F"/>
    <w:rsid w:val="231121FD"/>
    <w:rsid w:val="236E35A1"/>
    <w:rsid w:val="23766976"/>
    <w:rsid w:val="23782E33"/>
    <w:rsid w:val="24740A7D"/>
    <w:rsid w:val="24D44FD3"/>
    <w:rsid w:val="254A5265"/>
    <w:rsid w:val="255572BB"/>
    <w:rsid w:val="26123389"/>
    <w:rsid w:val="262B6B7C"/>
    <w:rsid w:val="26447CB4"/>
    <w:rsid w:val="265E6CAC"/>
    <w:rsid w:val="26642797"/>
    <w:rsid w:val="26897B0F"/>
    <w:rsid w:val="26D72803"/>
    <w:rsid w:val="27495BBE"/>
    <w:rsid w:val="283C15F6"/>
    <w:rsid w:val="28947F0C"/>
    <w:rsid w:val="289C17B8"/>
    <w:rsid w:val="29197A7E"/>
    <w:rsid w:val="29217B42"/>
    <w:rsid w:val="294A7C23"/>
    <w:rsid w:val="298176C7"/>
    <w:rsid w:val="299B5B9F"/>
    <w:rsid w:val="29A97319"/>
    <w:rsid w:val="29F54205"/>
    <w:rsid w:val="2A0F0766"/>
    <w:rsid w:val="2A500837"/>
    <w:rsid w:val="2B5078AC"/>
    <w:rsid w:val="2B706456"/>
    <w:rsid w:val="2B917718"/>
    <w:rsid w:val="2C1E6A67"/>
    <w:rsid w:val="2D0500D7"/>
    <w:rsid w:val="2D2751A3"/>
    <w:rsid w:val="2DD75637"/>
    <w:rsid w:val="2DDC7C6C"/>
    <w:rsid w:val="2E105CFC"/>
    <w:rsid w:val="2E1F4014"/>
    <w:rsid w:val="2E365FA7"/>
    <w:rsid w:val="2E93123A"/>
    <w:rsid w:val="2EE17DF5"/>
    <w:rsid w:val="2EF72753"/>
    <w:rsid w:val="2EFE1F2E"/>
    <w:rsid w:val="2F963C02"/>
    <w:rsid w:val="2F98604D"/>
    <w:rsid w:val="2FA5591F"/>
    <w:rsid w:val="2FFC795C"/>
    <w:rsid w:val="304556D5"/>
    <w:rsid w:val="30ED05B5"/>
    <w:rsid w:val="30F27788"/>
    <w:rsid w:val="31033D7C"/>
    <w:rsid w:val="316B62D0"/>
    <w:rsid w:val="31AC30F6"/>
    <w:rsid w:val="32062029"/>
    <w:rsid w:val="321C2A5E"/>
    <w:rsid w:val="32320A9D"/>
    <w:rsid w:val="32492F60"/>
    <w:rsid w:val="327727B3"/>
    <w:rsid w:val="32C71353"/>
    <w:rsid w:val="32FA0AA1"/>
    <w:rsid w:val="330D14F2"/>
    <w:rsid w:val="331E511B"/>
    <w:rsid w:val="332C7C9F"/>
    <w:rsid w:val="332E54B8"/>
    <w:rsid w:val="338E73F8"/>
    <w:rsid w:val="344C3CA5"/>
    <w:rsid w:val="34A6487E"/>
    <w:rsid w:val="34C13259"/>
    <w:rsid w:val="3511007B"/>
    <w:rsid w:val="357B2A2D"/>
    <w:rsid w:val="362F484F"/>
    <w:rsid w:val="3693372F"/>
    <w:rsid w:val="36A57E05"/>
    <w:rsid w:val="36C8795A"/>
    <w:rsid w:val="36EC1C61"/>
    <w:rsid w:val="37500442"/>
    <w:rsid w:val="37836459"/>
    <w:rsid w:val="38082816"/>
    <w:rsid w:val="385F2F28"/>
    <w:rsid w:val="38BC2174"/>
    <w:rsid w:val="38C62416"/>
    <w:rsid w:val="39280E84"/>
    <w:rsid w:val="392C2962"/>
    <w:rsid w:val="394D35F9"/>
    <w:rsid w:val="3959005D"/>
    <w:rsid w:val="398E2F47"/>
    <w:rsid w:val="3A15288E"/>
    <w:rsid w:val="3A4122C4"/>
    <w:rsid w:val="3AB72319"/>
    <w:rsid w:val="3B0F28FC"/>
    <w:rsid w:val="3B331EFF"/>
    <w:rsid w:val="3B575321"/>
    <w:rsid w:val="3B5B2E9B"/>
    <w:rsid w:val="3BDD513F"/>
    <w:rsid w:val="3C0373B7"/>
    <w:rsid w:val="3C18275B"/>
    <w:rsid w:val="3D6860A5"/>
    <w:rsid w:val="3D9D4ADF"/>
    <w:rsid w:val="3DB513CC"/>
    <w:rsid w:val="3DDF544F"/>
    <w:rsid w:val="3E3D0232"/>
    <w:rsid w:val="3EA937C7"/>
    <w:rsid w:val="3F0011CD"/>
    <w:rsid w:val="3F281CA4"/>
    <w:rsid w:val="3F3B7EFD"/>
    <w:rsid w:val="3FE536F1"/>
    <w:rsid w:val="40013A50"/>
    <w:rsid w:val="407F1933"/>
    <w:rsid w:val="408804E2"/>
    <w:rsid w:val="40C00457"/>
    <w:rsid w:val="40D95C88"/>
    <w:rsid w:val="415C28EC"/>
    <w:rsid w:val="417B52A4"/>
    <w:rsid w:val="41CD0CA4"/>
    <w:rsid w:val="42C22121"/>
    <w:rsid w:val="42F413CF"/>
    <w:rsid w:val="42F943E6"/>
    <w:rsid w:val="431267B6"/>
    <w:rsid w:val="43C8022C"/>
    <w:rsid w:val="43DB1D54"/>
    <w:rsid w:val="445F2173"/>
    <w:rsid w:val="4465204A"/>
    <w:rsid w:val="447A1950"/>
    <w:rsid w:val="448B1388"/>
    <w:rsid w:val="44B26298"/>
    <w:rsid w:val="44E32C79"/>
    <w:rsid w:val="452A51D6"/>
    <w:rsid w:val="45772680"/>
    <w:rsid w:val="45C4785B"/>
    <w:rsid w:val="45D545C8"/>
    <w:rsid w:val="45E55750"/>
    <w:rsid w:val="461D282F"/>
    <w:rsid w:val="470D4AFE"/>
    <w:rsid w:val="475A699A"/>
    <w:rsid w:val="476D570A"/>
    <w:rsid w:val="47714024"/>
    <w:rsid w:val="47A06DF6"/>
    <w:rsid w:val="47A55B81"/>
    <w:rsid w:val="485A6CB7"/>
    <w:rsid w:val="48D253C7"/>
    <w:rsid w:val="48DD32E1"/>
    <w:rsid w:val="493B2840"/>
    <w:rsid w:val="499822EE"/>
    <w:rsid w:val="49C1766A"/>
    <w:rsid w:val="49C64593"/>
    <w:rsid w:val="49E4031D"/>
    <w:rsid w:val="4A155359"/>
    <w:rsid w:val="4A1556AA"/>
    <w:rsid w:val="4A534ED7"/>
    <w:rsid w:val="4A5C0031"/>
    <w:rsid w:val="4A8D4698"/>
    <w:rsid w:val="4AB77801"/>
    <w:rsid w:val="4AF16B84"/>
    <w:rsid w:val="4AF521CA"/>
    <w:rsid w:val="4B8C67BE"/>
    <w:rsid w:val="4BC41256"/>
    <w:rsid w:val="4C170A0B"/>
    <w:rsid w:val="4C666461"/>
    <w:rsid w:val="4C6C31D0"/>
    <w:rsid w:val="4D181058"/>
    <w:rsid w:val="4D21659F"/>
    <w:rsid w:val="4D667D5C"/>
    <w:rsid w:val="4D7D3F15"/>
    <w:rsid w:val="4D8D30B8"/>
    <w:rsid w:val="4DB9141C"/>
    <w:rsid w:val="4E2D1BC0"/>
    <w:rsid w:val="4E6169E0"/>
    <w:rsid w:val="4EB52D1B"/>
    <w:rsid w:val="4F144A63"/>
    <w:rsid w:val="4F184326"/>
    <w:rsid w:val="4F457671"/>
    <w:rsid w:val="50320661"/>
    <w:rsid w:val="504C38B5"/>
    <w:rsid w:val="506B1160"/>
    <w:rsid w:val="50FA0EA6"/>
    <w:rsid w:val="513B77C9"/>
    <w:rsid w:val="51883EAB"/>
    <w:rsid w:val="51966E7D"/>
    <w:rsid w:val="51D33A2F"/>
    <w:rsid w:val="51D77C12"/>
    <w:rsid w:val="523C0E31"/>
    <w:rsid w:val="528B596D"/>
    <w:rsid w:val="53377679"/>
    <w:rsid w:val="5342729E"/>
    <w:rsid w:val="536D7AB6"/>
    <w:rsid w:val="53EE6BC1"/>
    <w:rsid w:val="54157E89"/>
    <w:rsid w:val="547A7E1F"/>
    <w:rsid w:val="549650AC"/>
    <w:rsid w:val="54B44191"/>
    <w:rsid w:val="54DE2A32"/>
    <w:rsid w:val="54F544AB"/>
    <w:rsid w:val="5501462D"/>
    <w:rsid w:val="550D3283"/>
    <w:rsid w:val="55125B22"/>
    <w:rsid w:val="55213F71"/>
    <w:rsid w:val="56126830"/>
    <w:rsid w:val="561B7A15"/>
    <w:rsid w:val="5642770C"/>
    <w:rsid w:val="56801F55"/>
    <w:rsid w:val="56BB7FD0"/>
    <w:rsid w:val="56EB34B7"/>
    <w:rsid w:val="57192EC2"/>
    <w:rsid w:val="5765746A"/>
    <w:rsid w:val="57C16F73"/>
    <w:rsid w:val="57E24C8E"/>
    <w:rsid w:val="58303308"/>
    <w:rsid w:val="589F62C7"/>
    <w:rsid w:val="58A3615A"/>
    <w:rsid w:val="58BA4904"/>
    <w:rsid w:val="58DF4A53"/>
    <w:rsid w:val="592F065C"/>
    <w:rsid w:val="59464DA9"/>
    <w:rsid w:val="597B5A48"/>
    <w:rsid w:val="59E222D4"/>
    <w:rsid w:val="59F059EB"/>
    <w:rsid w:val="59FD5CE3"/>
    <w:rsid w:val="5A4602EE"/>
    <w:rsid w:val="5A66437A"/>
    <w:rsid w:val="5A9A35FE"/>
    <w:rsid w:val="5B082F15"/>
    <w:rsid w:val="5B0A2639"/>
    <w:rsid w:val="5B1160AF"/>
    <w:rsid w:val="5B487FCC"/>
    <w:rsid w:val="5B6A5F64"/>
    <w:rsid w:val="5BA303C3"/>
    <w:rsid w:val="5C496ACB"/>
    <w:rsid w:val="5D0B6F6D"/>
    <w:rsid w:val="5D647EF4"/>
    <w:rsid w:val="5D8F2EC7"/>
    <w:rsid w:val="5DAB6759"/>
    <w:rsid w:val="5DDF6040"/>
    <w:rsid w:val="5DE9141E"/>
    <w:rsid w:val="5E232766"/>
    <w:rsid w:val="5EC61942"/>
    <w:rsid w:val="5EE450D1"/>
    <w:rsid w:val="5F4C0ED4"/>
    <w:rsid w:val="5F4F240C"/>
    <w:rsid w:val="5F8D5E20"/>
    <w:rsid w:val="5FA2685C"/>
    <w:rsid w:val="5FA639FC"/>
    <w:rsid w:val="5FDA0230"/>
    <w:rsid w:val="5FE642DE"/>
    <w:rsid w:val="606766A3"/>
    <w:rsid w:val="609D37CF"/>
    <w:rsid w:val="60A53E80"/>
    <w:rsid w:val="60B374E0"/>
    <w:rsid w:val="60C217C8"/>
    <w:rsid w:val="611C22FF"/>
    <w:rsid w:val="619D5078"/>
    <w:rsid w:val="61A07EAA"/>
    <w:rsid w:val="61FA239C"/>
    <w:rsid w:val="62307FF0"/>
    <w:rsid w:val="62606BB5"/>
    <w:rsid w:val="627829D2"/>
    <w:rsid w:val="62DF5D12"/>
    <w:rsid w:val="63184B5B"/>
    <w:rsid w:val="6345388C"/>
    <w:rsid w:val="641877BA"/>
    <w:rsid w:val="64405216"/>
    <w:rsid w:val="64E53364"/>
    <w:rsid w:val="64EC710A"/>
    <w:rsid w:val="64FB113D"/>
    <w:rsid w:val="653F6CEE"/>
    <w:rsid w:val="663B0604"/>
    <w:rsid w:val="66CF623B"/>
    <w:rsid w:val="67442F4B"/>
    <w:rsid w:val="674E13A0"/>
    <w:rsid w:val="67C043CD"/>
    <w:rsid w:val="67E2064D"/>
    <w:rsid w:val="68031F62"/>
    <w:rsid w:val="68A41BCD"/>
    <w:rsid w:val="68A6079A"/>
    <w:rsid w:val="6937728C"/>
    <w:rsid w:val="694D6296"/>
    <w:rsid w:val="698D6309"/>
    <w:rsid w:val="69AF650A"/>
    <w:rsid w:val="69D1617D"/>
    <w:rsid w:val="69FB2C2E"/>
    <w:rsid w:val="6AD83ABE"/>
    <w:rsid w:val="6AE10DD5"/>
    <w:rsid w:val="6B412693"/>
    <w:rsid w:val="6C912018"/>
    <w:rsid w:val="6CBD649F"/>
    <w:rsid w:val="6D1578C1"/>
    <w:rsid w:val="6EC15DBF"/>
    <w:rsid w:val="6F0545DD"/>
    <w:rsid w:val="6F067523"/>
    <w:rsid w:val="6F454FEE"/>
    <w:rsid w:val="6F4C6CB0"/>
    <w:rsid w:val="6F6278BD"/>
    <w:rsid w:val="6F924E62"/>
    <w:rsid w:val="6F9D6EF4"/>
    <w:rsid w:val="6FDF6D35"/>
    <w:rsid w:val="6FE95F5B"/>
    <w:rsid w:val="70394425"/>
    <w:rsid w:val="703D7E7D"/>
    <w:rsid w:val="70997BE9"/>
    <w:rsid w:val="70FF107C"/>
    <w:rsid w:val="710220D3"/>
    <w:rsid w:val="71090F67"/>
    <w:rsid w:val="715D3AF0"/>
    <w:rsid w:val="71A24191"/>
    <w:rsid w:val="71A81E54"/>
    <w:rsid w:val="71AC03A3"/>
    <w:rsid w:val="71C474A4"/>
    <w:rsid w:val="71E63810"/>
    <w:rsid w:val="7248337C"/>
    <w:rsid w:val="72694B5A"/>
    <w:rsid w:val="72CF01DF"/>
    <w:rsid w:val="735E1C42"/>
    <w:rsid w:val="736A20BA"/>
    <w:rsid w:val="739829F6"/>
    <w:rsid w:val="73A50F54"/>
    <w:rsid w:val="73C9344F"/>
    <w:rsid w:val="73EC6624"/>
    <w:rsid w:val="740D32B5"/>
    <w:rsid w:val="742C73A7"/>
    <w:rsid w:val="744046C8"/>
    <w:rsid w:val="74612B66"/>
    <w:rsid w:val="746C4DC6"/>
    <w:rsid w:val="751D5853"/>
    <w:rsid w:val="751E6016"/>
    <w:rsid w:val="75666269"/>
    <w:rsid w:val="75810A35"/>
    <w:rsid w:val="758D6EB1"/>
    <w:rsid w:val="76106584"/>
    <w:rsid w:val="76811E83"/>
    <w:rsid w:val="76A16A32"/>
    <w:rsid w:val="76A53D3A"/>
    <w:rsid w:val="76D518CE"/>
    <w:rsid w:val="770B5AA6"/>
    <w:rsid w:val="773959F8"/>
    <w:rsid w:val="777F548B"/>
    <w:rsid w:val="779A6C51"/>
    <w:rsid w:val="77AA22F9"/>
    <w:rsid w:val="78165246"/>
    <w:rsid w:val="78452765"/>
    <w:rsid w:val="787663E2"/>
    <w:rsid w:val="787E5528"/>
    <w:rsid w:val="78A4684A"/>
    <w:rsid w:val="78E97583"/>
    <w:rsid w:val="79387329"/>
    <w:rsid w:val="798E57EB"/>
    <w:rsid w:val="79E01C10"/>
    <w:rsid w:val="79E761CF"/>
    <w:rsid w:val="7A52091D"/>
    <w:rsid w:val="7A5B6727"/>
    <w:rsid w:val="7AC073CB"/>
    <w:rsid w:val="7D404DF9"/>
    <w:rsid w:val="7D576DC2"/>
    <w:rsid w:val="7DAD6C0D"/>
    <w:rsid w:val="7DFC1D56"/>
    <w:rsid w:val="7E0D38A0"/>
    <w:rsid w:val="7F750AD5"/>
    <w:rsid w:val="7F904007"/>
    <w:rsid w:val="7F9969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99" w:name="footnote text"/>
    <w:lsdException w:uiPriority="0" w:name="annotation text"/>
    <w:lsdException w:qFormat="1"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name="footnote reference"/>
    <w:lsdException w:uiPriority="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tabs>
        <w:tab w:val="left" w:pos="576"/>
        <w:tab w:val="left" w:pos="1296"/>
      </w:tabs>
      <w:adjustRightInd w:val="0"/>
      <w:spacing w:before="120" w:after="120" w:line="416" w:lineRule="atLeast"/>
      <w:jc w:val="left"/>
      <w:textAlignment w:val="baseline"/>
      <w:outlineLvl w:val="1"/>
    </w:pPr>
    <w:rPr>
      <w:rFonts w:ascii="宋体" w:hAnsi="Arial" w:eastAsia="黑体"/>
      <w:b/>
      <w:kern w:val="0"/>
      <w:sz w:val="28"/>
    </w:rPr>
  </w:style>
  <w:style w:type="paragraph" w:styleId="4">
    <w:name w:val="heading 3"/>
    <w:basedOn w:val="1"/>
    <w:next w:val="1"/>
    <w:unhideWhenUsed/>
    <w:qFormat/>
    <w:uiPriority w:val="9"/>
    <w:pPr>
      <w:keepNext/>
      <w:keepLines/>
      <w:spacing w:before="260" w:after="260" w:line="416" w:lineRule="auto"/>
      <w:outlineLvl w:val="2"/>
    </w:pPr>
    <w:rPr>
      <w:b/>
      <w:bCs/>
      <w:sz w:val="28"/>
      <w:szCs w:val="32"/>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endnote text"/>
    <w:basedOn w:val="1"/>
    <w:qFormat/>
    <w:uiPriority w:val="0"/>
    <w:pPr>
      <w:snapToGrid w:val="0"/>
      <w:jc w:val="left"/>
    </w:pPr>
  </w:style>
  <w:style w:type="paragraph" w:styleId="5">
    <w:name w:val="Body Text"/>
    <w:basedOn w:val="1"/>
    <w:qFormat/>
    <w:uiPriority w:val="1"/>
    <w:pPr>
      <w:spacing w:before="182"/>
      <w:ind w:left="720" w:hanging="361"/>
    </w:pPr>
    <w:rPr>
      <w:rFonts w:ascii="微软雅黑" w:hAnsi="微软雅黑" w:eastAsia="微软雅黑" w:cs="微软雅黑"/>
      <w:sz w:val="24"/>
      <w:lang w:val="zh-CN" w:bidi="zh-CN"/>
    </w:rPr>
  </w:style>
  <w:style w:type="paragraph" w:styleId="6">
    <w:name w:val="toc 3"/>
    <w:basedOn w:val="1"/>
    <w:next w:val="1"/>
    <w:qFormat/>
    <w:uiPriority w:val="0"/>
    <w:pPr>
      <w:ind w:left="840" w:leftChars="400"/>
    </w:pPr>
  </w:style>
  <w:style w:type="paragraph" w:styleId="7">
    <w:name w:val="Plain Text"/>
    <w:basedOn w:val="1"/>
    <w:qFormat/>
    <w:uiPriority w:val="0"/>
    <w:rPr>
      <w:rFonts w:ascii="宋体" w:hAnsi="Courier New" w:cstheme="minorBidi"/>
      <w:sz w:val="11"/>
      <w:szCs w:val="22"/>
    </w:rPr>
  </w:style>
  <w:style w:type="paragraph" w:styleId="8">
    <w:name w:val="Date"/>
    <w:basedOn w:val="1"/>
    <w:next w:val="1"/>
    <w:qFormat/>
    <w:uiPriority w:val="0"/>
    <w:pPr>
      <w:adjustRightInd w:val="0"/>
      <w:spacing w:line="312" w:lineRule="atLeast"/>
    </w:pPr>
    <w:rPr>
      <w:kern w:val="0"/>
    </w:rPr>
  </w:style>
  <w:style w:type="paragraph" w:styleId="9">
    <w:name w:val="Balloon Text"/>
    <w:basedOn w:val="1"/>
    <w:link w:val="50"/>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line="360" w:lineRule="auto"/>
      <w:ind w:firstLine="200" w:firstLineChars="200"/>
      <w:jc w:val="left"/>
    </w:pPr>
    <w:rPr>
      <w:b/>
      <w:bCs/>
      <w:caps/>
      <w:sz w:val="20"/>
    </w:rPr>
  </w:style>
  <w:style w:type="paragraph" w:styleId="13">
    <w:name w:val="footnote text"/>
    <w:basedOn w:val="1"/>
    <w:semiHidden/>
    <w:unhideWhenUsed/>
    <w:qFormat/>
    <w:uiPriority w:val="99"/>
    <w:pPr>
      <w:snapToGrid w:val="0"/>
      <w:jc w:val="left"/>
    </w:pPr>
    <w:rPr>
      <w:sz w:val="18"/>
      <w:szCs w:val="18"/>
    </w:rPr>
  </w:style>
  <w:style w:type="paragraph" w:styleId="14">
    <w:name w:val="toc 2"/>
    <w:basedOn w:val="1"/>
    <w:next w:val="1"/>
    <w:semiHidden/>
    <w:unhideWhenUsed/>
    <w:qFormat/>
    <w:uiPriority w:val="0"/>
    <w:pPr>
      <w:ind w:left="420" w:leftChars="200"/>
    </w:pPr>
  </w:style>
  <w:style w:type="paragraph" w:styleId="15">
    <w:name w:val="Normal (Web)"/>
    <w:basedOn w:val="1"/>
    <w:qFormat/>
    <w:uiPriority w:val="99"/>
    <w:pPr>
      <w:widowControl/>
      <w:spacing w:before="100" w:beforeAutospacing="1" w:after="100" w:afterAutospacing="1"/>
      <w:jc w:val="left"/>
    </w:pPr>
    <w:rPr>
      <w:rFonts w:ascii="宋体" w:hAnsi="宋体"/>
      <w:kern w:val="0"/>
      <w:sz w:val="24"/>
    </w:rPr>
  </w:style>
  <w:style w:type="paragraph" w:styleId="16">
    <w:name w:val="Title"/>
    <w:basedOn w:val="1"/>
    <w:link w:val="34"/>
    <w:qFormat/>
    <w:uiPriority w:val="0"/>
    <w:pPr>
      <w:spacing w:before="240" w:after="60"/>
      <w:ind w:left="425" w:hanging="425"/>
      <w:jc w:val="center"/>
      <w:outlineLvl w:val="0"/>
    </w:pPr>
    <w:rPr>
      <w:rFonts w:ascii="Arial" w:hAnsi="Arial" w:eastAsia="仿宋" w:cs="Arial"/>
      <w:b/>
      <w:bCs/>
      <w:sz w:val="36"/>
      <w:szCs w:val="32"/>
    </w:rPr>
  </w:style>
  <w:style w:type="table" w:styleId="18">
    <w:name w:val="Table Grid"/>
    <w:basedOn w:val="17"/>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rPr>
  </w:style>
  <w:style w:type="character" w:styleId="21">
    <w:name w:val="page number"/>
    <w:basedOn w:val="19"/>
    <w:qFormat/>
    <w:uiPriority w:val="0"/>
  </w:style>
  <w:style w:type="character" w:styleId="22">
    <w:name w:val="Hyperlink"/>
    <w:qFormat/>
    <w:uiPriority w:val="99"/>
    <w:rPr>
      <w:color w:val="0000FF"/>
      <w:u w:val="single"/>
    </w:rPr>
  </w:style>
  <w:style w:type="character" w:styleId="23">
    <w:name w:val="footnote reference"/>
    <w:basedOn w:val="19"/>
    <w:semiHidden/>
    <w:unhideWhenUsed/>
    <w:qFormat/>
    <w:uiPriority w:val="99"/>
    <w:rPr>
      <w:vertAlign w:val="superscript"/>
    </w:rPr>
  </w:style>
  <w:style w:type="character" w:styleId="24">
    <w:name w:val="HTML Sample"/>
    <w:basedOn w:val="19"/>
    <w:qFormat/>
    <w:uiPriority w:val="0"/>
    <w:rPr>
      <w:rFonts w:ascii="Courier New" w:hAnsi="Courier New"/>
    </w:rPr>
  </w:style>
  <w:style w:type="paragraph" w:customStyle="1" w:styleId="25">
    <w:name w:val="BodyText"/>
    <w:basedOn w:val="1"/>
    <w:qFormat/>
    <w:uiPriority w:val="0"/>
    <w:pPr>
      <w:textAlignment w:val="baseline"/>
    </w:pPr>
    <w:rPr>
      <w:rFonts w:ascii="宋体" w:hAnsi="宋体"/>
      <w:color w:val="0000FF"/>
      <w:sz w:val="24"/>
      <w:szCs w:val="24"/>
    </w:rPr>
  </w:style>
  <w:style w:type="paragraph" w:customStyle="1" w:styleId="26">
    <w:name w:val="Heading2"/>
    <w:basedOn w:val="1"/>
    <w:next w:val="1"/>
    <w:qFormat/>
    <w:uiPriority w:val="0"/>
    <w:pPr>
      <w:keepNext/>
      <w:keepLines/>
      <w:tabs>
        <w:tab w:val="left" w:pos="576"/>
        <w:tab w:val="left" w:pos="1296"/>
      </w:tabs>
      <w:spacing w:before="120" w:after="120" w:line="416" w:lineRule="atLeast"/>
      <w:jc w:val="left"/>
      <w:textAlignment w:val="baseline"/>
    </w:pPr>
    <w:rPr>
      <w:rFonts w:ascii="宋体" w:hAnsi="Arial" w:eastAsia="黑体"/>
      <w:b/>
      <w:kern w:val="0"/>
      <w:sz w:val="28"/>
    </w:rPr>
  </w:style>
  <w:style w:type="paragraph" w:customStyle="1" w:styleId="27">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28">
    <w:name w:val="Default Text"/>
    <w:link w:val="37"/>
    <w:qFormat/>
    <w:uiPriority w:val="0"/>
    <w:pPr>
      <w:widowControl w:val="0"/>
      <w:autoSpaceDE w:val="0"/>
      <w:autoSpaceDN w:val="0"/>
      <w:adjustRightInd w:val="0"/>
    </w:pPr>
    <w:rPr>
      <w:rFonts w:asciiTheme="minorHAnsi" w:hAnsiTheme="minorHAnsi" w:eastAsiaTheme="minorEastAsia" w:cstheme="minorBidi"/>
      <w:color w:val="000000"/>
      <w:kern w:val="2"/>
      <w:sz w:val="24"/>
      <w:szCs w:val="22"/>
      <w:lang w:val="en-US" w:eastAsia="zh-CN" w:bidi="ar-SA"/>
    </w:rPr>
  </w:style>
  <w:style w:type="paragraph" w:customStyle="1" w:styleId="29">
    <w:name w:val="3）三级标题 与下段同页"/>
    <w:basedOn w:val="1"/>
    <w:qFormat/>
    <w:uiPriority w:val="0"/>
    <w:pPr>
      <w:keepNext/>
      <w:spacing w:beforeLines="50" w:afterLines="50"/>
      <w:jc w:val="center"/>
      <w:outlineLvl w:val="2"/>
    </w:pPr>
    <w:rPr>
      <w:rFonts w:ascii="仿宋_GB2312" w:eastAsia="仿宋_GB2312"/>
      <w:b/>
      <w:sz w:val="32"/>
    </w:rPr>
  </w:style>
  <w:style w:type="paragraph" w:customStyle="1" w:styleId="30">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31">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32">
    <w:name w:val="答复表头"/>
    <w:basedOn w:val="33"/>
    <w:next w:val="1"/>
    <w:qFormat/>
    <w:uiPriority w:val="0"/>
    <w:pPr>
      <w:tabs>
        <w:tab w:val="left" w:pos="480"/>
      </w:tabs>
    </w:pPr>
  </w:style>
  <w:style w:type="paragraph" w:customStyle="1" w:styleId="33">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34">
    <w:name w:val="标题 Char"/>
    <w:basedOn w:val="19"/>
    <w:link w:val="16"/>
    <w:qFormat/>
    <w:uiPriority w:val="0"/>
    <w:rPr>
      <w:rFonts w:ascii="Arial" w:hAnsi="Arial" w:eastAsia="仿宋" w:cs="Arial"/>
      <w:b/>
      <w:bCs/>
      <w:sz w:val="36"/>
      <w:szCs w:val="32"/>
    </w:rPr>
  </w:style>
  <w:style w:type="character" w:customStyle="1" w:styleId="35">
    <w:name w:val="7）页眉页脚"/>
    <w:qFormat/>
    <w:uiPriority w:val="0"/>
    <w:rPr>
      <w:rFonts w:ascii="仿宋_GB2312" w:eastAsia="仿宋_GB2312"/>
      <w:b/>
      <w:i/>
      <w:sz w:val="18"/>
      <w:vertAlign w:val="baseline"/>
    </w:rPr>
  </w:style>
  <w:style w:type="paragraph" w:customStyle="1" w:styleId="36">
    <w:name w:val="Char"/>
    <w:basedOn w:val="1"/>
    <w:qFormat/>
    <w:uiPriority w:val="0"/>
    <w:rPr>
      <w:rFonts w:ascii="Tahoma" w:hAnsi="Tahoma" w:cs="仿宋_GB2312"/>
      <w:sz w:val="24"/>
      <w:szCs w:val="28"/>
    </w:rPr>
  </w:style>
  <w:style w:type="character" w:customStyle="1" w:styleId="37">
    <w:name w:val="Default Text Char"/>
    <w:link w:val="28"/>
    <w:qFormat/>
    <w:uiPriority w:val="0"/>
    <w:rPr>
      <w:rFonts w:asciiTheme="minorHAnsi" w:hAnsiTheme="minorHAnsi" w:eastAsiaTheme="minorEastAsia" w:cstheme="minorBidi"/>
      <w:color w:val="000000"/>
      <w:kern w:val="2"/>
      <w:sz w:val="24"/>
      <w:szCs w:val="22"/>
    </w:rPr>
  </w:style>
  <w:style w:type="paragraph" w:styleId="38">
    <w:name w:val="List Paragraph"/>
    <w:basedOn w:val="1"/>
    <w:qFormat/>
    <w:uiPriority w:val="34"/>
    <w:pPr>
      <w:ind w:firstLine="420" w:firstLineChars="200"/>
    </w:pPr>
    <w:rPr>
      <w:szCs w:val="24"/>
    </w:rPr>
  </w:style>
  <w:style w:type="paragraph" w:customStyle="1" w:styleId="39">
    <w:name w:val="列出段落1"/>
    <w:basedOn w:val="1"/>
    <w:qFormat/>
    <w:uiPriority w:val="34"/>
    <w:pPr>
      <w:ind w:firstLine="420" w:firstLineChars="200"/>
    </w:pPr>
    <w:rPr>
      <w:szCs w:val="24"/>
    </w:rPr>
  </w:style>
  <w:style w:type="paragraph" w:customStyle="1" w:styleId="40">
    <w:name w:val="普通(网站)1"/>
    <w:basedOn w:val="1"/>
    <w:qFormat/>
    <w:uiPriority w:val="0"/>
    <w:pPr>
      <w:spacing w:before="100" w:beforeAutospacing="1" w:after="100" w:afterAutospacing="1"/>
      <w:jc w:val="left"/>
    </w:pPr>
    <w:rPr>
      <w:kern w:val="0"/>
      <w:sz w:val="24"/>
    </w:rPr>
  </w:style>
  <w:style w:type="paragraph" w:customStyle="1" w:styleId="41">
    <w:name w:val="UserStyle_3"/>
    <w:basedOn w:val="1"/>
    <w:qFormat/>
    <w:uiPriority w:val="0"/>
    <w:pPr>
      <w:spacing w:line="480" w:lineRule="exact"/>
      <w:ind w:firstLine="200" w:firstLineChars="200"/>
      <w:textAlignment w:val="baseline"/>
    </w:pPr>
    <w:rPr>
      <w:rFonts w:ascii="仿宋_GB2312" w:eastAsia="仿宋_GB2312"/>
      <w:sz w:val="28"/>
    </w:rPr>
  </w:style>
  <w:style w:type="character" w:customStyle="1" w:styleId="42">
    <w:name w:val="NormalCharacter"/>
    <w:link w:val="43"/>
    <w:qFormat/>
    <w:uiPriority w:val="0"/>
    <w:rPr>
      <w:rFonts w:ascii="Times New Roman" w:hAnsi="Times New Roman" w:eastAsia="宋体"/>
      <w:kern w:val="2"/>
      <w:sz w:val="21"/>
      <w:szCs w:val="24"/>
      <w:lang w:val="en-US" w:eastAsia="zh-CN" w:bidi="ar-SA"/>
    </w:rPr>
  </w:style>
  <w:style w:type="paragraph" w:customStyle="1" w:styleId="43">
    <w:name w:val="UserStyle_2"/>
    <w:basedOn w:val="1"/>
    <w:link w:val="42"/>
    <w:qFormat/>
    <w:uiPriority w:val="0"/>
    <w:pPr>
      <w:textAlignment w:val="baseline"/>
    </w:pPr>
    <w:rPr>
      <w:szCs w:val="24"/>
    </w:rPr>
  </w:style>
  <w:style w:type="paragraph" w:customStyle="1" w:styleId="44">
    <w:name w:val="UserStyle_5"/>
    <w:qFormat/>
    <w:uiPriority w:val="0"/>
    <w:pPr>
      <w:textAlignment w:val="baseline"/>
    </w:pPr>
    <w:rPr>
      <w:rFonts w:ascii="Times New Roman" w:hAnsi="Times New Roman" w:eastAsia="宋体" w:cs="Times New Roman"/>
      <w:color w:val="000000"/>
      <w:sz w:val="24"/>
      <w:lang w:val="en-US" w:eastAsia="zh-CN" w:bidi="ar-SA"/>
    </w:rPr>
  </w:style>
  <w:style w:type="paragraph" w:customStyle="1" w:styleId="45">
    <w:name w:val="UserStyle_9"/>
    <w:basedOn w:val="1"/>
    <w:qFormat/>
    <w:uiPriority w:val="0"/>
    <w:pPr>
      <w:spacing w:line="560" w:lineRule="exact"/>
      <w:ind w:firstLine="723" w:firstLineChars="200"/>
      <w:jc w:val="center"/>
      <w:textAlignment w:val="baseline"/>
    </w:pPr>
    <w:rPr>
      <w:rFonts w:ascii="仿宋_GB2312" w:eastAsia="仿宋_GB2312"/>
      <w:b/>
      <w:sz w:val="36"/>
    </w:rPr>
  </w:style>
  <w:style w:type="paragraph" w:customStyle="1" w:styleId="46">
    <w:name w:val="UserStyle_11"/>
    <w:basedOn w:val="47"/>
    <w:next w:val="1"/>
    <w:qFormat/>
    <w:uiPriority w:val="0"/>
    <w:pPr>
      <w:tabs>
        <w:tab w:val="left" w:pos="480"/>
      </w:tabs>
    </w:pPr>
    <w:rPr>
      <w:rFonts w:ascii="Times New Roman" w:hAnsi="Times New Roman"/>
      <w:b/>
    </w:rPr>
  </w:style>
  <w:style w:type="paragraph" w:customStyle="1" w:styleId="47">
    <w:name w:val="UserStyle_10"/>
    <w:basedOn w:val="1"/>
    <w:qFormat/>
    <w:uiPriority w:val="0"/>
    <w:pPr>
      <w:tabs>
        <w:tab w:val="left" w:pos="480"/>
      </w:tabs>
      <w:jc w:val="center"/>
      <w:textAlignment w:val="baseline"/>
    </w:pPr>
    <w:rPr>
      <w:rFonts w:ascii="宋体" w:hAnsi="Tms Rmn"/>
      <w:color w:val="000000"/>
      <w:kern w:val="0"/>
    </w:rPr>
  </w:style>
  <w:style w:type="paragraph" w:customStyle="1" w:styleId="48">
    <w:name w:val="_Style 3"/>
    <w:basedOn w:val="1"/>
    <w:qFormat/>
    <w:uiPriority w:val="0"/>
    <w:pPr>
      <w:ind w:firstLine="420" w:firstLineChars="200"/>
    </w:pPr>
    <w:rPr>
      <w:rFonts w:ascii="Calibri" w:hAnsi="Calibri"/>
      <w:szCs w:val="22"/>
    </w:rPr>
  </w:style>
  <w:style w:type="paragraph" w:customStyle="1" w:styleId="49">
    <w:name w:val="Default"/>
    <w:qFormat/>
    <w:uiPriority w:val="0"/>
    <w:pPr>
      <w:widowControl w:val="0"/>
      <w:autoSpaceDE w:val="0"/>
      <w:autoSpaceDN w:val="0"/>
      <w:adjustRightInd w:val="0"/>
    </w:pPr>
    <w:rPr>
      <w:rFonts w:ascii="FZZD Extra JW" w:hAnsi="Times New Roman" w:eastAsia="FZZD Extra JW" w:cs="FZZD Extra JW"/>
      <w:color w:val="000000"/>
      <w:sz w:val="24"/>
      <w:szCs w:val="24"/>
      <w:lang w:val="en-US" w:eastAsia="zh-CN" w:bidi="ar-SA"/>
    </w:rPr>
  </w:style>
  <w:style w:type="character" w:customStyle="1" w:styleId="50">
    <w:name w:val="批注框文本 Char"/>
    <w:basedOn w:val="19"/>
    <w:link w:val="9"/>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B7E6A-AE97-47CD-84ED-C663B277B0D6}">
  <ds:schemaRefs/>
</ds:datastoreItem>
</file>

<file path=docProps/app.xml><?xml version="1.0" encoding="utf-8"?>
<Properties xmlns="http://schemas.openxmlformats.org/officeDocument/2006/extended-properties" xmlns:vt="http://schemas.openxmlformats.org/officeDocument/2006/docPropsVTypes">
  <Template>Normal</Template>
  <Pages>56</Pages>
  <Words>24643</Words>
  <Characters>26701</Characters>
  <Lines>211</Lines>
  <Paragraphs>59</Paragraphs>
  <TotalTime>20</TotalTime>
  <ScaleCrop>false</ScaleCrop>
  <LinksUpToDate>false</LinksUpToDate>
  <CharactersWithSpaces>28189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2020-05-22T07:39:00Z</dcterms:created>
  <dc:creator>Administrator</dc:creator>
  <cp:lastModifiedBy>WPS_1558753072</cp:lastModifiedBy>
  <cp:lastPrinted>2020-10-12T03:36:00Z</cp:lastPrinted>
  <dcterms:modified xsi:type="dcterms:W3CDTF">2022-09-29T13:09:11Z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96111798495C4BF99E0A8D973606133B</vt:lpwstr>
  </property>
</Properties>
</file>