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5E3330">
      <w:pPr>
        <w:pStyle w:val="30"/>
        <w:keepNext w:val="0"/>
        <w:keepLines w:val="0"/>
        <w:pageBreakBefore w:val="0"/>
        <w:widowControl/>
        <w:suppressLineNumbers w:val="0"/>
        <w:kinsoku/>
        <w:wordWrap/>
        <w:overflowPunct/>
        <w:topLinePunct w:val="0"/>
        <w:autoSpaceDE/>
        <w:autoSpaceDN/>
        <w:bidi w:val="0"/>
        <w:adjustRightInd/>
        <w:snapToGrid/>
        <w:spacing w:line="360" w:lineRule="exact"/>
        <w:ind w:firstLine="1044" w:firstLineChars="200"/>
        <w:jc w:val="right"/>
        <w:textAlignment w:val="auto"/>
        <w:rPr>
          <w:rFonts w:hint="default" w:eastAsia="宋体" w:cs="宋体"/>
          <w:b/>
          <w:color w:val="auto"/>
          <w:sz w:val="24"/>
          <w:szCs w:val="24"/>
          <w:highlight w:val="none"/>
          <w:lang w:val="en-US" w:eastAsia="zh-CN"/>
        </w:rPr>
      </w:pPr>
      <w:r>
        <w:rPr>
          <w:rFonts w:hint="eastAsia" w:ascii="宋体" w:hAnsi="宋体" w:cs="方正小标宋简体"/>
          <w:b/>
          <w:color w:val="auto"/>
          <w:kern w:val="0"/>
          <w:sz w:val="52"/>
          <w:szCs w:val="52"/>
          <w:highlight w:val="none"/>
          <w:lang w:val="en-US" w:eastAsia="zh-CN" w:bidi="ar"/>
        </w:rPr>
        <w:t xml:space="preserve"> </w:t>
      </w:r>
      <w:r>
        <w:rPr>
          <w:rFonts w:hint="eastAsia" w:ascii="宋体" w:hAnsi="宋体" w:cs="宋体"/>
          <w:b/>
          <w:color w:val="auto"/>
          <w:sz w:val="24"/>
          <w:szCs w:val="24"/>
          <w:highlight w:val="none"/>
        </w:rPr>
        <w:t>项目编码：</w:t>
      </w:r>
      <w:r>
        <w:rPr>
          <w:rFonts w:hint="eastAsia" w:cs="宋体"/>
          <w:b/>
          <w:color w:val="auto"/>
          <w:sz w:val="24"/>
          <w:szCs w:val="24"/>
          <w:highlight w:val="none"/>
          <w:lang w:eastAsia="zh-CN"/>
        </w:rPr>
        <w:t>HYYL-2025-032</w:t>
      </w:r>
      <w:r>
        <w:rPr>
          <w:rFonts w:hint="eastAsia" w:cs="宋体"/>
          <w:b/>
          <w:color w:val="auto"/>
          <w:sz w:val="24"/>
          <w:szCs w:val="24"/>
          <w:highlight w:val="none"/>
          <w:lang w:val="en-US" w:eastAsia="zh-CN"/>
        </w:rPr>
        <w:t>-1</w:t>
      </w:r>
    </w:p>
    <w:p w14:paraId="0E1CDF36">
      <w:pPr>
        <w:pStyle w:val="41"/>
        <w:spacing w:line="360" w:lineRule="auto"/>
        <w:ind w:left="0" w:leftChars="0" w:firstLine="0" w:firstLineChars="0"/>
        <w:rPr>
          <w:rFonts w:hint="eastAsia" w:ascii="宋体" w:hAnsi="宋体" w:cs="宋体"/>
          <w:b/>
          <w:color w:val="auto"/>
          <w:sz w:val="44"/>
          <w:szCs w:val="44"/>
          <w:highlight w:val="none"/>
          <w:lang w:val="en-US" w:eastAsia="zh-CN"/>
        </w:rPr>
      </w:pPr>
    </w:p>
    <w:p w14:paraId="6CE18D8B">
      <w:pPr>
        <w:pStyle w:val="41"/>
        <w:spacing w:line="360" w:lineRule="auto"/>
        <w:ind w:left="0" w:leftChars="0" w:firstLine="0" w:firstLineChars="0"/>
        <w:rPr>
          <w:rFonts w:hint="eastAsia" w:ascii="宋体" w:hAnsi="宋体" w:cs="宋体"/>
          <w:b/>
          <w:color w:val="auto"/>
          <w:sz w:val="44"/>
          <w:szCs w:val="44"/>
          <w:highlight w:val="none"/>
          <w:lang w:val="en-US" w:eastAsia="zh-CN"/>
        </w:rPr>
      </w:pPr>
    </w:p>
    <w:p w14:paraId="35FE421D">
      <w:pPr>
        <w:pStyle w:val="41"/>
        <w:spacing w:line="360" w:lineRule="auto"/>
        <w:ind w:left="0" w:leftChars="0" w:firstLine="0" w:firstLineChars="0"/>
        <w:jc w:val="center"/>
        <w:rPr>
          <w:rFonts w:hint="eastAsia" w:ascii="宋体" w:hAnsi="宋体" w:cs="宋体"/>
          <w:b/>
          <w:color w:val="auto"/>
          <w:sz w:val="44"/>
          <w:szCs w:val="44"/>
          <w:highlight w:val="none"/>
          <w:lang w:val="en-US" w:eastAsia="zh-CN"/>
        </w:rPr>
      </w:pPr>
      <w:r>
        <w:rPr>
          <w:rFonts w:hint="eastAsia" w:ascii="宋体" w:hAnsi="宋体" w:cs="宋体"/>
          <w:b/>
          <w:color w:val="auto"/>
          <w:sz w:val="44"/>
          <w:szCs w:val="44"/>
          <w:highlight w:val="none"/>
          <w:lang w:val="en-US" w:eastAsia="zh-CN"/>
        </w:rPr>
        <w:t>特克斯县人民医院2025年度文化建设项目</w:t>
      </w:r>
    </w:p>
    <w:p w14:paraId="0B8BBAF4">
      <w:pPr>
        <w:pStyle w:val="41"/>
        <w:spacing w:line="360" w:lineRule="auto"/>
        <w:ind w:left="0" w:leftChars="0" w:firstLine="0" w:firstLineChars="0"/>
        <w:jc w:val="center"/>
        <w:rPr>
          <w:rFonts w:hint="eastAsia" w:ascii="宋体" w:hAnsi="宋体" w:cs="宋体"/>
          <w:b/>
          <w:color w:val="auto"/>
          <w:sz w:val="44"/>
          <w:szCs w:val="44"/>
          <w:highlight w:val="none"/>
          <w:lang w:val="en-US" w:eastAsia="zh-CN"/>
        </w:rPr>
      </w:pPr>
      <w:r>
        <w:rPr>
          <w:rFonts w:hint="eastAsia" w:ascii="宋体" w:hAnsi="宋体" w:cs="宋体"/>
          <w:b/>
          <w:color w:val="auto"/>
          <w:sz w:val="44"/>
          <w:szCs w:val="44"/>
          <w:highlight w:val="none"/>
          <w:lang w:val="en-US" w:eastAsia="zh-CN"/>
        </w:rPr>
        <w:t>（二次）（标项一）</w:t>
      </w:r>
    </w:p>
    <w:p w14:paraId="4FA16E34">
      <w:pPr>
        <w:pStyle w:val="41"/>
        <w:spacing w:line="360" w:lineRule="auto"/>
        <w:ind w:left="0" w:leftChars="0" w:firstLine="0" w:firstLineChars="0"/>
        <w:jc w:val="center"/>
        <w:rPr>
          <w:rFonts w:hint="eastAsia" w:ascii="宋体" w:hAnsi="宋体" w:cs="宋体"/>
          <w:b/>
          <w:color w:val="auto"/>
          <w:sz w:val="44"/>
          <w:szCs w:val="44"/>
          <w:highlight w:val="none"/>
          <w:lang w:val="en-US" w:eastAsia="zh-CN"/>
        </w:rPr>
      </w:pPr>
    </w:p>
    <w:p w14:paraId="739CAA6C">
      <w:pPr>
        <w:autoSpaceDE w:val="0"/>
        <w:autoSpaceDN w:val="0"/>
        <w:adjustRightInd w:val="0"/>
        <w:spacing w:line="360" w:lineRule="auto"/>
        <w:jc w:val="center"/>
        <w:rPr>
          <w:rFonts w:hint="eastAsia" w:ascii="宋体" w:hAnsi="宋体" w:cs="宋体"/>
          <w:b/>
          <w:color w:val="auto"/>
          <w:sz w:val="84"/>
          <w:szCs w:val="84"/>
          <w:highlight w:val="none"/>
        </w:rPr>
      </w:pPr>
      <w:r>
        <w:rPr>
          <w:rFonts w:ascii="宋体" w:hAnsi="宋体" w:cs="宋体"/>
          <w:b/>
          <w:color w:val="auto"/>
          <w:sz w:val="84"/>
          <w:szCs w:val="84"/>
          <w:highlight w:val="none"/>
        </w:rPr>
        <w:t xml:space="preserve"> </w:t>
      </w:r>
      <w:r>
        <w:rPr>
          <w:rFonts w:hint="eastAsia" w:ascii="宋体" w:hAnsi="宋体" w:cs="宋体"/>
          <w:b/>
          <w:color w:val="auto"/>
          <w:sz w:val="84"/>
          <w:szCs w:val="84"/>
          <w:highlight w:val="none"/>
        </w:rPr>
        <w:t>招</w:t>
      </w:r>
      <w:r>
        <w:rPr>
          <w:rFonts w:ascii="宋体" w:hAnsi="宋体" w:cs="宋体"/>
          <w:b/>
          <w:color w:val="auto"/>
          <w:sz w:val="84"/>
          <w:szCs w:val="84"/>
          <w:highlight w:val="none"/>
        </w:rPr>
        <w:t xml:space="preserve"> </w:t>
      </w:r>
      <w:r>
        <w:rPr>
          <w:rFonts w:hint="eastAsia" w:ascii="宋体" w:hAnsi="宋体" w:cs="宋体"/>
          <w:b/>
          <w:color w:val="auto"/>
          <w:sz w:val="84"/>
          <w:szCs w:val="84"/>
          <w:highlight w:val="none"/>
        </w:rPr>
        <w:t>标</w:t>
      </w:r>
      <w:r>
        <w:rPr>
          <w:rFonts w:ascii="宋体" w:hAnsi="宋体" w:cs="宋体"/>
          <w:b/>
          <w:color w:val="auto"/>
          <w:sz w:val="84"/>
          <w:szCs w:val="84"/>
          <w:highlight w:val="none"/>
        </w:rPr>
        <w:t xml:space="preserve"> </w:t>
      </w:r>
      <w:r>
        <w:rPr>
          <w:rFonts w:hint="eastAsia" w:ascii="宋体" w:hAnsi="宋体" w:cs="宋体"/>
          <w:b/>
          <w:color w:val="auto"/>
          <w:sz w:val="84"/>
          <w:szCs w:val="84"/>
          <w:highlight w:val="none"/>
        </w:rPr>
        <w:t>文</w:t>
      </w:r>
      <w:r>
        <w:rPr>
          <w:rFonts w:ascii="宋体" w:hAnsi="宋体" w:cs="宋体"/>
          <w:b/>
          <w:color w:val="auto"/>
          <w:sz w:val="84"/>
          <w:szCs w:val="84"/>
          <w:highlight w:val="none"/>
        </w:rPr>
        <w:t xml:space="preserve"> </w:t>
      </w:r>
      <w:r>
        <w:rPr>
          <w:rFonts w:hint="eastAsia" w:ascii="宋体" w:hAnsi="宋体" w:cs="宋体"/>
          <w:b/>
          <w:color w:val="auto"/>
          <w:sz w:val="84"/>
          <w:szCs w:val="84"/>
          <w:highlight w:val="none"/>
        </w:rPr>
        <w:t>件</w:t>
      </w:r>
    </w:p>
    <w:p w14:paraId="3A814FA7">
      <w:pPr>
        <w:pStyle w:val="5"/>
        <w:rPr>
          <w:rFonts w:hint="eastAsia"/>
          <w:highlight w:val="none"/>
        </w:rPr>
      </w:pPr>
    </w:p>
    <w:p w14:paraId="16AE7B16">
      <w:pPr>
        <w:pStyle w:val="16"/>
        <w:rPr>
          <w:rFonts w:hint="eastAsia" w:ascii="宋体" w:hAnsi="宋体" w:cs="宋体"/>
          <w:b/>
          <w:color w:val="auto"/>
          <w:sz w:val="84"/>
          <w:szCs w:val="84"/>
          <w:highlight w:val="none"/>
        </w:rPr>
      </w:pPr>
    </w:p>
    <w:p w14:paraId="399619F7">
      <w:pPr>
        <w:autoSpaceDN w:val="0"/>
        <w:spacing w:before="100" w:beforeLines="0" w:beforeAutospacing="1" w:after="100" w:afterLines="0" w:afterAutospacing="1" w:line="360" w:lineRule="auto"/>
        <w:ind w:firstLine="562" w:firstLineChars="200"/>
        <w:rPr>
          <w:rFonts w:hint="eastAsia" w:ascii="宋体" w:hAnsi="宋体"/>
          <w:b/>
          <w:sz w:val="28"/>
          <w:szCs w:val="28"/>
          <w:highlight w:val="none"/>
          <w:u w:val="single"/>
        </w:rPr>
      </w:pPr>
      <w:r>
        <w:rPr>
          <w:rFonts w:hint="eastAsia"/>
          <w:b/>
          <w:sz w:val="28"/>
          <w:szCs w:val="28"/>
          <w:highlight w:val="none"/>
        </w:rPr>
        <w:t>采购</w:t>
      </w:r>
      <w:r>
        <w:rPr>
          <w:rFonts w:hint="eastAsia" w:ascii="宋体" w:hAnsi="宋体"/>
          <w:b/>
          <w:sz w:val="28"/>
          <w:szCs w:val="28"/>
          <w:highlight w:val="none"/>
        </w:rPr>
        <w:t>人:</w:t>
      </w:r>
      <w:r>
        <w:rPr>
          <w:rFonts w:hint="eastAsia" w:ascii="宋体" w:hAnsi="宋体" w:eastAsia="宋体" w:cs="Times New Roman"/>
          <w:b/>
          <w:sz w:val="28"/>
          <w:szCs w:val="28"/>
          <w:highlight w:val="none"/>
          <w:u w:val="single"/>
          <w:lang w:val="en-US" w:eastAsia="zh-CN"/>
        </w:rPr>
        <w:t xml:space="preserve">  </w:t>
      </w:r>
      <w:r>
        <w:rPr>
          <w:rFonts w:hint="eastAsia" w:ascii="宋体" w:hAnsi="宋体" w:cs="Times New Roman"/>
          <w:b/>
          <w:sz w:val="28"/>
          <w:szCs w:val="28"/>
          <w:highlight w:val="none"/>
          <w:u w:val="single"/>
          <w:lang w:val="en-US" w:eastAsia="zh-CN"/>
        </w:rPr>
        <w:t>特克斯县人民医院</w:t>
      </w:r>
      <w:r>
        <w:rPr>
          <w:rFonts w:hint="eastAsia" w:ascii="宋体" w:hAnsi="宋体" w:eastAsia="宋体" w:cs="Times New Roman"/>
          <w:b/>
          <w:sz w:val="28"/>
          <w:szCs w:val="28"/>
          <w:highlight w:val="none"/>
          <w:u w:val="single"/>
          <w:lang w:val="en-US" w:eastAsia="zh-CN"/>
        </w:rPr>
        <w:t xml:space="preserve">    </w:t>
      </w:r>
      <w:r>
        <w:rPr>
          <w:rFonts w:hint="eastAsia" w:ascii="宋体" w:hAnsi="宋体" w:cs="Times New Roman"/>
          <w:b/>
          <w:sz w:val="28"/>
          <w:szCs w:val="28"/>
          <w:highlight w:val="none"/>
          <w:u w:val="single"/>
          <w:lang w:val="en-US" w:eastAsia="zh-CN"/>
        </w:rPr>
        <w:t xml:space="preserve">       </w:t>
      </w:r>
      <w:r>
        <w:rPr>
          <w:rFonts w:hint="eastAsia" w:ascii="宋体" w:hAnsi="宋体" w:eastAsia="宋体" w:cs="Times New Roman"/>
          <w:b/>
          <w:sz w:val="28"/>
          <w:szCs w:val="28"/>
          <w:highlight w:val="none"/>
          <w:u w:val="single"/>
          <w:lang w:val="en-US" w:eastAsia="zh-CN"/>
        </w:rPr>
        <w:t xml:space="preserve">     </w:t>
      </w:r>
      <w:r>
        <w:rPr>
          <w:rFonts w:hint="eastAsia" w:ascii="宋体" w:hAnsi="宋体"/>
          <w:b/>
          <w:sz w:val="28"/>
          <w:szCs w:val="28"/>
          <w:highlight w:val="none"/>
        </w:rPr>
        <w:t>（盖章）</w:t>
      </w:r>
    </w:p>
    <w:p w14:paraId="43F911C3">
      <w:pPr>
        <w:autoSpaceDN w:val="0"/>
        <w:spacing w:before="100" w:beforeLines="0" w:beforeAutospacing="1" w:after="100" w:afterLines="0" w:afterAutospacing="1" w:line="360" w:lineRule="auto"/>
        <w:ind w:firstLine="562" w:firstLineChars="200"/>
        <w:rPr>
          <w:rFonts w:hint="eastAsia" w:ascii="宋体" w:hAnsi="宋体"/>
          <w:b/>
          <w:sz w:val="28"/>
          <w:szCs w:val="28"/>
          <w:highlight w:val="none"/>
          <w:u w:val="single" w:color="auto"/>
        </w:rPr>
      </w:pPr>
      <w:r>
        <w:rPr>
          <w:rFonts w:hint="eastAsia" w:ascii="宋体" w:hAnsi="宋体"/>
          <w:b/>
          <w:sz w:val="28"/>
          <w:szCs w:val="28"/>
          <w:highlight w:val="none"/>
        </w:rPr>
        <w:t>联系人：</w:t>
      </w:r>
      <w:r>
        <w:rPr>
          <w:rFonts w:hint="eastAsia" w:ascii="宋体" w:hAnsi="宋体" w:eastAsia="宋体" w:cs="Times New Roman"/>
          <w:b/>
          <w:sz w:val="28"/>
          <w:szCs w:val="28"/>
          <w:highlight w:val="none"/>
          <w:u w:val="single"/>
          <w:lang w:val="en-US" w:eastAsia="zh-CN"/>
        </w:rPr>
        <w:t xml:space="preserve"> </w:t>
      </w:r>
      <w:r>
        <w:rPr>
          <w:rFonts w:hint="eastAsia" w:ascii="宋体" w:hAnsi="宋体" w:cs="Times New Roman"/>
          <w:b/>
          <w:sz w:val="28"/>
          <w:szCs w:val="28"/>
          <w:highlight w:val="none"/>
          <w:u w:val="single"/>
          <w:lang w:val="en-US" w:eastAsia="zh-CN"/>
        </w:rPr>
        <w:t>庞主任</w:t>
      </w:r>
      <w:r>
        <w:rPr>
          <w:rFonts w:hint="eastAsia" w:ascii="宋体" w:hAnsi="宋体" w:eastAsia="宋体" w:cs="Times New Roman"/>
          <w:b/>
          <w:sz w:val="28"/>
          <w:szCs w:val="28"/>
          <w:highlight w:val="none"/>
          <w:u w:val="single"/>
          <w:lang w:val="en-US" w:eastAsia="zh-CN"/>
        </w:rPr>
        <w:t xml:space="preserve"> </w:t>
      </w:r>
      <w:r>
        <w:rPr>
          <w:rFonts w:hint="eastAsia" w:ascii="宋体" w:hAnsi="宋体"/>
          <w:b/>
          <w:sz w:val="28"/>
          <w:szCs w:val="28"/>
          <w:highlight w:val="none"/>
        </w:rPr>
        <w:t xml:space="preserve"> </w:t>
      </w:r>
      <w:r>
        <w:rPr>
          <w:rFonts w:hint="eastAsia"/>
          <w:b/>
          <w:sz w:val="28"/>
          <w:szCs w:val="28"/>
          <w:highlight w:val="none"/>
        </w:rPr>
        <w:t xml:space="preserve"> </w:t>
      </w:r>
      <w:r>
        <w:rPr>
          <w:rFonts w:hint="eastAsia"/>
          <w:b/>
          <w:sz w:val="28"/>
          <w:szCs w:val="28"/>
          <w:highlight w:val="none"/>
          <w:lang w:val="en-US" w:eastAsia="zh-CN"/>
        </w:rPr>
        <w:t xml:space="preserve">      </w:t>
      </w:r>
      <w:r>
        <w:rPr>
          <w:rFonts w:hint="eastAsia" w:ascii="宋体" w:hAnsi="宋体"/>
          <w:b/>
          <w:sz w:val="28"/>
          <w:szCs w:val="28"/>
          <w:highlight w:val="none"/>
        </w:rPr>
        <w:t>联系电话：</w:t>
      </w:r>
      <w:r>
        <w:rPr>
          <w:rFonts w:hint="eastAsia" w:ascii="宋体" w:hAnsi="宋体" w:cs="Times New Roman"/>
          <w:b/>
          <w:sz w:val="28"/>
          <w:szCs w:val="28"/>
          <w:highlight w:val="none"/>
          <w:u w:val="single"/>
          <w:lang w:val="en-US" w:eastAsia="zh-CN"/>
        </w:rPr>
        <w:t>0999-6626455</w:t>
      </w:r>
    </w:p>
    <w:p w14:paraId="78155683">
      <w:pPr>
        <w:autoSpaceDN w:val="0"/>
        <w:spacing w:before="100" w:beforeLines="0" w:beforeAutospacing="1" w:after="100" w:afterLines="0" w:afterAutospacing="1" w:line="360" w:lineRule="auto"/>
        <w:ind w:firstLine="562" w:firstLineChars="200"/>
        <w:rPr>
          <w:rFonts w:hint="eastAsia" w:ascii="宋体" w:hAnsi="宋体"/>
          <w:b/>
          <w:sz w:val="28"/>
          <w:szCs w:val="28"/>
          <w:highlight w:val="none"/>
          <w:u w:val="thick"/>
        </w:rPr>
      </w:pPr>
      <w:r>
        <w:rPr>
          <w:rFonts w:hint="eastAsia"/>
          <w:b/>
          <w:sz w:val="28"/>
          <w:szCs w:val="28"/>
          <w:highlight w:val="none"/>
        </w:rPr>
        <w:t>采购</w:t>
      </w:r>
      <w:r>
        <w:rPr>
          <w:rFonts w:hint="eastAsia" w:ascii="宋体" w:hAnsi="宋体"/>
          <w:b/>
          <w:sz w:val="28"/>
          <w:szCs w:val="28"/>
          <w:highlight w:val="none"/>
        </w:rPr>
        <w:t>代理机构:</w:t>
      </w:r>
      <w:r>
        <w:rPr>
          <w:rFonts w:hint="eastAsia" w:ascii="宋体" w:hAnsi="宋体" w:cs="Times New Roman"/>
          <w:b/>
          <w:sz w:val="28"/>
          <w:szCs w:val="28"/>
          <w:highlight w:val="none"/>
          <w:u w:val="single"/>
          <w:lang w:val="en-US" w:eastAsia="zh-CN"/>
        </w:rPr>
        <w:t>新疆华域建设工程项目管理咨询有限公司</w:t>
      </w:r>
      <w:r>
        <w:rPr>
          <w:rFonts w:hint="eastAsia" w:ascii="宋体" w:hAnsi="宋体" w:eastAsia="宋体" w:cs="Times New Roman"/>
          <w:b/>
          <w:sz w:val="28"/>
          <w:szCs w:val="28"/>
          <w:highlight w:val="none"/>
          <w:u w:val="single"/>
          <w:lang w:val="en-US" w:eastAsia="zh-CN"/>
        </w:rPr>
        <w:t>（</w:t>
      </w:r>
      <w:r>
        <w:rPr>
          <w:rFonts w:hint="eastAsia" w:ascii="宋体" w:hAnsi="宋体"/>
          <w:b/>
          <w:sz w:val="28"/>
          <w:szCs w:val="28"/>
          <w:highlight w:val="none"/>
        </w:rPr>
        <w:t>盖章）</w:t>
      </w:r>
    </w:p>
    <w:p w14:paraId="333B3C07">
      <w:pPr>
        <w:pStyle w:val="18"/>
        <w:ind w:firstLine="562" w:firstLineChars="200"/>
        <w:jc w:val="both"/>
        <w:rPr>
          <w:rFonts w:hint="eastAsia"/>
          <w:b/>
          <w:sz w:val="28"/>
          <w:szCs w:val="28"/>
          <w:highlight w:val="none"/>
          <w:u w:val="single" w:color="auto"/>
        </w:rPr>
      </w:pPr>
      <w:r>
        <w:rPr>
          <w:rFonts w:hint="eastAsia"/>
          <w:b/>
          <w:sz w:val="28"/>
          <w:szCs w:val="28"/>
          <w:highlight w:val="none"/>
        </w:rPr>
        <w:t>联系人</w:t>
      </w:r>
      <w:r>
        <w:rPr>
          <w:rFonts w:hint="eastAsia" w:ascii="宋体" w:hAnsi="宋体"/>
          <w:b/>
          <w:sz w:val="28"/>
          <w:szCs w:val="28"/>
          <w:highlight w:val="none"/>
        </w:rPr>
        <w:t>：</w:t>
      </w:r>
      <w:r>
        <w:rPr>
          <w:rFonts w:hint="eastAsia" w:hAnsi="宋体"/>
          <w:b/>
          <w:sz w:val="28"/>
          <w:szCs w:val="28"/>
          <w:highlight w:val="none"/>
          <w:u w:val="single"/>
          <w:lang w:eastAsia="zh-CN"/>
        </w:rPr>
        <w:t>薛迎</w:t>
      </w:r>
      <w:r>
        <w:rPr>
          <w:rFonts w:hint="eastAsia" w:ascii="宋体" w:hAnsi="宋体"/>
          <w:b/>
          <w:sz w:val="28"/>
          <w:szCs w:val="28"/>
          <w:highlight w:val="none"/>
          <w:u w:val="single"/>
        </w:rPr>
        <w:t xml:space="preserve">   </w:t>
      </w:r>
      <w:r>
        <w:rPr>
          <w:rFonts w:hint="eastAsia" w:ascii="宋体" w:hAnsi="宋体"/>
          <w:b/>
          <w:sz w:val="28"/>
          <w:szCs w:val="28"/>
          <w:highlight w:val="none"/>
        </w:rPr>
        <w:t xml:space="preserve"> </w:t>
      </w:r>
      <w:r>
        <w:rPr>
          <w:rFonts w:hint="eastAsia" w:ascii="宋体" w:hAnsi="宋体"/>
          <w:b/>
          <w:sz w:val="28"/>
          <w:szCs w:val="28"/>
          <w:highlight w:val="none"/>
          <w:lang w:val="en-US" w:eastAsia="zh-CN"/>
        </w:rPr>
        <w:t xml:space="preserve">     </w:t>
      </w:r>
      <w:r>
        <w:rPr>
          <w:rFonts w:hint="eastAsia"/>
          <w:b/>
          <w:sz w:val="28"/>
          <w:szCs w:val="28"/>
          <w:highlight w:val="none"/>
        </w:rPr>
        <w:t xml:space="preserve"> </w:t>
      </w:r>
      <w:r>
        <w:rPr>
          <w:rFonts w:hint="eastAsia" w:ascii="宋体" w:hAnsi="宋体"/>
          <w:b/>
          <w:sz w:val="28"/>
          <w:szCs w:val="28"/>
          <w:highlight w:val="none"/>
        </w:rPr>
        <w:t>联系电话：</w:t>
      </w:r>
      <w:r>
        <w:rPr>
          <w:rFonts w:hint="eastAsia" w:hAnsi="宋体"/>
          <w:b/>
          <w:sz w:val="28"/>
          <w:szCs w:val="28"/>
          <w:highlight w:val="none"/>
          <w:u w:val="single" w:color="auto"/>
          <w:lang w:eastAsia="zh-CN"/>
        </w:rPr>
        <w:t>18699973005</w:t>
      </w:r>
    </w:p>
    <w:p w14:paraId="7D38613E">
      <w:pPr>
        <w:pStyle w:val="18"/>
        <w:jc w:val="center"/>
        <w:rPr>
          <w:rFonts w:hint="eastAsia"/>
          <w:b/>
          <w:sz w:val="36"/>
          <w:szCs w:val="36"/>
          <w:highlight w:val="none"/>
          <w:lang w:val="en-US" w:eastAsia="zh-CN"/>
        </w:rPr>
      </w:pPr>
    </w:p>
    <w:p w14:paraId="74B7B6FB">
      <w:pPr>
        <w:pStyle w:val="18"/>
        <w:jc w:val="center"/>
        <w:rPr>
          <w:b/>
          <w:color w:val="auto"/>
          <w:sz w:val="20"/>
          <w:szCs w:val="18"/>
          <w:highlight w:val="none"/>
          <w:lang w:val="zh-CN"/>
        </w:rPr>
      </w:pPr>
      <w:r>
        <w:rPr>
          <w:rFonts w:hint="eastAsia"/>
          <w:b/>
          <w:sz w:val="32"/>
          <w:szCs w:val="32"/>
          <w:highlight w:val="none"/>
          <w:lang w:val="en-US" w:eastAsia="zh-CN"/>
        </w:rPr>
        <w:t>2025</w:t>
      </w:r>
      <w:r>
        <w:rPr>
          <w:rFonts w:hint="eastAsia"/>
          <w:b/>
          <w:sz w:val="32"/>
          <w:szCs w:val="32"/>
          <w:highlight w:val="none"/>
          <w:lang w:eastAsia="zh-CN"/>
        </w:rPr>
        <w:t>年</w:t>
      </w:r>
      <w:r>
        <w:rPr>
          <w:rFonts w:hint="eastAsia"/>
          <w:b/>
          <w:sz w:val="32"/>
          <w:szCs w:val="32"/>
          <w:highlight w:val="none"/>
          <w:lang w:val="en-US" w:eastAsia="zh-CN"/>
        </w:rPr>
        <w:t>07</w:t>
      </w:r>
      <w:r>
        <w:rPr>
          <w:rFonts w:hint="eastAsia"/>
          <w:b/>
          <w:sz w:val="32"/>
          <w:szCs w:val="32"/>
          <w:highlight w:val="none"/>
          <w:lang w:eastAsia="zh-CN"/>
        </w:rPr>
        <w:t>月</w:t>
      </w:r>
    </w:p>
    <w:p w14:paraId="111BB909">
      <w:pPr>
        <w:pStyle w:val="66"/>
        <w:adjustRightInd w:val="0"/>
        <w:snapToGrid w:val="0"/>
        <w:jc w:val="center"/>
        <w:rPr>
          <w:b/>
          <w:color w:val="auto"/>
          <w:highlight w:val="none"/>
        </w:rPr>
      </w:pPr>
      <w:r>
        <w:rPr>
          <w:b/>
          <w:color w:val="auto"/>
          <w:highlight w:val="none"/>
          <w:lang w:val="zh-CN"/>
        </w:rPr>
        <w:t>目</w:t>
      </w:r>
      <w:r>
        <w:rPr>
          <w:rFonts w:hint="eastAsia"/>
          <w:b/>
          <w:color w:val="auto"/>
          <w:highlight w:val="none"/>
          <w:lang w:val="zh-CN"/>
        </w:rPr>
        <w:t xml:space="preserve">  </w:t>
      </w:r>
      <w:r>
        <w:rPr>
          <w:b/>
          <w:color w:val="auto"/>
          <w:highlight w:val="none"/>
          <w:lang w:val="zh-CN"/>
        </w:rPr>
        <w:t>录</w:t>
      </w:r>
    </w:p>
    <w:p w14:paraId="1B704827">
      <w:pPr>
        <w:pStyle w:val="41"/>
        <w:spacing w:line="360" w:lineRule="auto"/>
        <w:ind w:left="0" w:leftChars="0" w:firstLine="0" w:firstLineChars="0"/>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TOC \o "1-3" \h \z \u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_Toc20454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 xml:space="preserve">第一章 </w:t>
      </w:r>
      <w:r>
        <w:rPr>
          <w:rFonts w:hint="eastAsia" w:ascii="宋体" w:hAnsi="宋体" w:eastAsia="宋体" w:cs="宋体"/>
          <w:kern w:val="2"/>
          <w:sz w:val="21"/>
          <w:szCs w:val="21"/>
          <w:highlight w:val="none"/>
          <w:lang w:val="en-US" w:eastAsia="zh-CN" w:bidi="ar-SA"/>
        </w:rPr>
        <w:t>招标公告.</w:t>
      </w:r>
      <w:r>
        <w:rPr>
          <w:rFonts w:hint="eastAsia" w:ascii="宋体" w:hAnsi="宋体" w:eastAsia="宋体" w:cs="宋体"/>
          <w:sz w:val="21"/>
          <w:szCs w:val="21"/>
          <w:highlight w:val="none"/>
          <w:lang w:val="en-US" w:eastAsia="zh-CN"/>
        </w:rPr>
        <w:t>.......</w:t>
      </w:r>
      <w:r>
        <w:rPr>
          <w:rFonts w:hint="eastAsia"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lang w:val="en-US" w:eastAsia="zh-CN"/>
        </w:rPr>
        <w:t>...</w:t>
      </w:r>
      <w:r>
        <w:rPr>
          <w:rFonts w:hint="eastAsia"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lang w:val="en-US" w:eastAsia="zh-CN"/>
        </w:rPr>
        <w:t>.............</w:t>
      </w:r>
      <w:r>
        <w:rPr>
          <w:rFonts w:hint="eastAsia"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lang w:val="en-US" w:eastAsia="zh-CN"/>
        </w:rPr>
        <w:t>...</w:t>
      </w:r>
      <w:r>
        <w:rPr>
          <w:rFonts w:hint="eastAsia"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lang w:val="en-US" w:eastAsia="zh-CN"/>
        </w:rPr>
        <w:t>.......</w:t>
      </w:r>
      <w:r>
        <w:rPr>
          <w:rFonts w:hint="eastAsia"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lang w:val="en-US" w:eastAsia="zh-CN"/>
        </w:rPr>
        <w:t>...</w:t>
      </w:r>
      <w:r>
        <w:rPr>
          <w:rFonts w:hint="eastAsia"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lang w:val="en-US" w:eastAsia="zh-CN"/>
        </w:rPr>
        <w:t>.......</w:t>
      </w:r>
      <w:r>
        <w:rPr>
          <w:rFonts w:hint="eastAsia"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lang w:val="en-US" w:eastAsia="zh-CN"/>
        </w:rPr>
        <w:t>...</w:t>
      </w:r>
      <w:r>
        <w:rPr>
          <w:rFonts w:hint="eastAsia"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lang w:val="en-US" w:eastAsia="zh-CN"/>
        </w:rPr>
        <w:t>.......</w:t>
      </w:r>
      <w:r>
        <w:rPr>
          <w:rFonts w:hint="eastAsia"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lang w:val="en-US" w:eastAsia="zh-CN"/>
        </w:rPr>
        <w:t>5</w:t>
      </w:r>
      <w:r>
        <w:rPr>
          <w:rFonts w:hint="eastAsia" w:ascii="宋体" w:hAnsi="宋体" w:eastAsia="宋体" w:cs="宋体"/>
          <w:color w:val="auto"/>
          <w:sz w:val="21"/>
          <w:szCs w:val="21"/>
          <w:highlight w:val="none"/>
        </w:rPr>
        <w:fldChar w:fldCharType="end"/>
      </w:r>
    </w:p>
    <w:p w14:paraId="127770E5">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_Toc22786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第二章 投标须知前附表</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_Toc22786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6</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31A21AB9">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_Toc3096 </w:instrText>
      </w:r>
      <w:r>
        <w:rPr>
          <w:rFonts w:hint="eastAsia" w:ascii="宋体" w:hAnsi="宋体" w:eastAsia="宋体" w:cs="宋体"/>
          <w:sz w:val="21"/>
          <w:szCs w:val="21"/>
          <w:highlight w:val="none"/>
        </w:rPr>
        <w:fldChar w:fldCharType="separate"/>
      </w:r>
      <w:r>
        <w:rPr>
          <w:rFonts w:hint="eastAsia" w:ascii="宋体" w:hAnsi="宋体" w:eastAsia="宋体" w:cs="宋体"/>
          <w:kern w:val="44"/>
          <w:sz w:val="21"/>
          <w:szCs w:val="21"/>
          <w:highlight w:val="none"/>
        </w:rPr>
        <w:t>第三章　投标人须知</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_Toc3096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6</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5852DD2A">
      <w:pPr>
        <w:pStyle w:val="27"/>
        <w:tabs>
          <w:tab w:val="right" w:leader="dot" w:pos="8306"/>
        </w:tabs>
        <w:spacing w:line="360" w:lineRule="auto"/>
        <w:ind w:left="0" w:leftChars="0" w:firstLine="0" w:firstLineChars="0"/>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_Toc26890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一、说明</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_Toc26890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11</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565E9BB0">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_Toc2890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1. 说明：本</w:t>
      </w:r>
      <w:r>
        <w:rPr>
          <w:rFonts w:hint="eastAsia" w:ascii="宋体" w:hAnsi="宋体" w:eastAsia="宋体" w:cs="宋体"/>
          <w:bCs/>
          <w:kern w:val="44"/>
          <w:sz w:val="21"/>
          <w:szCs w:val="21"/>
          <w:highlight w:val="none"/>
          <w:lang w:eastAsia="zh-CN"/>
        </w:rPr>
        <w:t>招标文件</w:t>
      </w:r>
      <w:r>
        <w:rPr>
          <w:rFonts w:hint="eastAsia" w:ascii="宋体" w:hAnsi="宋体" w:eastAsia="宋体" w:cs="宋体"/>
          <w:bCs/>
          <w:kern w:val="44"/>
          <w:sz w:val="21"/>
          <w:szCs w:val="21"/>
          <w:highlight w:val="none"/>
        </w:rPr>
        <w:t>使用的词语有如下定义</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_Toc2890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11</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198778F2">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_Toc26165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2. 合格的投标人</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_Toc26165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12</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4256E0A4">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_Toc2463 </w:instrText>
      </w:r>
      <w:r>
        <w:rPr>
          <w:rFonts w:hint="eastAsia" w:ascii="宋体" w:hAnsi="宋体" w:eastAsia="宋体" w:cs="宋体"/>
          <w:sz w:val="21"/>
          <w:szCs w:val="21"/>
          <w:highlight w:val="none"/>
        </w:rPr>
        <w:fldChar w:fldCharType="separate"/>
      </w:r>
      <w:r>
        <w:rPr>
          <w:rFonts w:hint="eastAsia" w:ascii="宋体" w:hAnsi="宋体" w:eastAsia="宋体" w:cs="宋体"/>
          <w:bCs/>
          <w:sz w:val="21"/>
          <w:szCs w:val="21"/>
          <w:highlight w:val="none"/>
        </w:rPr>
        <w:t>3. 投标费用</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_Toc2463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12</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0B3FAB3B">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_Toc22355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 xml:space="preserve">4. </w:t>
      </w:r>
      <w:r>
        <w:rPr>
          <w:rFonts w:hint="eastAsia" w:ascii="宋体" w:hAnsi="宋体" w:eastAsia="宋体" w:cs="宋体"/>
          <w:bCs w:val="0"/>
          <w:sz w:val="21"/>
          <w:szCs w:val="21"/>
          <w:highlight w:val="none"/>
        </w:rPr>
        <w:t>现场考察或者召开开标前答疑会</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_Toc22355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12</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63BD090C">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_Toc2323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5. 开标的资质要求、时间及地点</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_Toc2323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12</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4FB8C9BB">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_Toc6954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6. 纪律与保密事项</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_Toc6954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13</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24105D4F">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_Toc18189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7. 保证</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_Toc18189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13</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78C15DCA">
      <w:pPr>
        <w:pStyle w:val="27"/>
        <w:tabs>
          <w:tab w:val="right" w:leader="dot" w:pos="8306"/>
        </w:tabs>
        <w:spacing w:line="360" w:lineRule="auto"/>
        <w:ind w:left="0" w:leftChars="0" w:firstLine="0" w:firstLineChars="0"/>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_Toc21599 </w:instrText>
      </w:r>
      <w:r>
        <w:rPr>
          <w:rFonts w:hint="eastAsia" w:ascii="宋体" w:hAnsi="宋体" w:eastAsia="宋体" w:cs="宋体"/>
          <w:sz w:val="21"/>
          <w:szCs w:val="21"/>
          <w:highlight w:val="none"/>
        </w:rPr>
        <w:fldChar w:fldCharType="separate"/>
      </w:r>
      <w:r>
        <w:rPr>
          <w:rFonts w:hint="eastAsia" w:ascii="宋体" w:hAnsi="宋体" w:eastAsia="宋体" w:cs="宋体"/>
          <w:bCs/>
          <w:sz w:val="21"/>
          <w:szCs w:val="21"/>
          <w:highlight w:val="none"/>
        </w:rPr>
        <w:t>二、招标文件</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_Toc21599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13</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1531B6A7">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_Toc4904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8. 招标文件的编制依据与构成</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_Toc4904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13</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132B8ACF">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_Toc5501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 xml:space="preserve">9. </w:t>
      </w:r>
      <w:r>
        <w:rPr>
          <w:rFonts w:hint="eastAsia" w:ascii="宋体" w:hAnsi="宋体" w:eastAsia="宋体" w:cs="宋体"/>
          <w:kern w:val="44"/>
          <w:sz w:val="21"/>
          <w:szCs w:val="21"/>
          <w:highlight w:val="none"/>
        </w:rPr>
        <w:t>招标文件的澄清或修改</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_Toc5501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14</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0E5F65CA">
      <w:pPr>
        <w:pStyle w:val="27"/>
        <w:tabs>
          <w:tab w:val="right" w:leader="dot" w:pos="8306"/>
        </w:tabs>
        <w:spacing w:line="360" w:lineRule="auto"/>
        <w:ind w:left="0" w:leftChars="0" w:firstLine="0" w:firstLineChars="0"/>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_Toc14750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三、投标文件的编制</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_Toc14750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14</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4888413F">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_Toc22093 </w:instrText>
      </w:r>
      <w:r>
        <w:rPr>
          <w:rFonts w:hint="eastAsia" w:ascii="宋体" w:hAnsi="宋体" w:eastAsia="宋体" w:cs="宋体"/>
          <w:sz w:val="21"/>
          <w:szCs w:val="21"/>
          <w:highlight w:val="none"/>
        </w:rPr>
        <w:fldChar w:fldCharType="separate"/>
      </w:r>
      <w:r>
        <w:rPr>
          <w:rFonts w:hint="eastAsia" w:ascii="宋体" w:hAnsi="宋体" w:eastAsia="宋体" w:cs="宋体"/>
          <w:bCs/>
          <w:sz w:val="21"/>
          <w:szCs w:val="21"/>
          <w:highlight w:val="none"/>
        </w:rPr>
        <w:t>10. 投标的语言</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_Toc22093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14</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57948743">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_Toc1469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11. 投标文件的构成</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_Toc1469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15</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1685E6C8">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_Toc17632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12. 投标文件电子文档</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_Toc17632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15</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2A535239">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_Toc17740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13. 投标文件的编写</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_Toc17740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15</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65005BB8">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_Toc22522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14. 投标报价</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_Toc22522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16</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58FEBE4F">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_Toc15306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15. 投标保证金</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_Toc15306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16</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6CF45A81">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_Toc30142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16. 投标有效期</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_Toc30142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17</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7C07AAD0">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_Toc11497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17. 投标文件的式样和签署、密封</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_Toc11497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18</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22EE7FFC">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_Toc22727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四、投标文件的递交</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_Toc22727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18</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3A9CC873">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_Toc8124 </w:instrText>
      </w:r>
      <w:r>
        <w:rPr>
          <w:rFonts w:hint="eastAsia" w:ascii="宋体" w:hAnsi="宋体" w:eastAsia="宋体" w:cs="宋体"/>
          <w:sz w:val="21"/>
          <w:szCs w:val="21"/>
          <w:highlight w:val="none"/>
        </w:rPr>
        <w:fldChar w:fldCharType="separate"/>
      </w:r>
      <w:r>
        <w:rPr>
          <w:rFonts w:hint="eastAsia" w:ascii="宋体" w:hAnsi="宋体" w:eastAsia="宋体" w:cs="宋体"/>
          <w:kern w:val="44"/>
          <w:sz w:val="21"/>
          <w:szCs w:val="21"/>
          <w:highlight w:val="none"/>
        </w:rPr>
        <w:t>18. 投标文件递交</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_Toc8124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18</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580FC131">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_Toc28446 </w:instrText>
      </w:r>
      <w:r>
        <w:rPr>
          <w:rFonts w:hint="eastAsia" w:ascii="宋体" w:hAnsi="宋体" w:eastAsia="宋体" w:cs="宋体"/>
          <w:sz w:val="21"/>
          <w:szCs w:val="21"/>
          <w:highlight w:val="none"/>
        </w:rPr>
        <w:fldChar w:fldCharType="separate"/>
      </w:r>
      <w:r>
        <w:rPr>
          <w:rFonts w:hint="eastAsia" w:ascii="宋体" w:hAnsi="宋体" w:eastAsia="宋体" w:cs="宋体"/>
          <w:kern w:val="44"/>
          <w:sz w:val="21"/>
          <w:szCs w:val="21"/>
          <w:highlight w:val="none"/>
        </w:rPr>
        <w:t>19. 投标截止时间</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_Toc28446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18</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1687178F">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_Toc2461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 xml:space="preserve">20. </w:t>
      </w:r>
      <w:r>
        <w:rPr>
          <w:rFonts w:hint="eastAsia" w:ascii="宋体" w:hAnsi="宋体" w:eastAsia="宋体" w:cs="宋体"/>
          <w:kern w:val="44"/>
          <w:sz w:val="21"/>
          <w:szCs w:val="21"/>
          <w:highlight w:val="none"/>
        </w:rPr>
        <w:t>迟交的投标文件</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_Toc2461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18</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703FD566">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_Toc10185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21. 投标文件的修改和撤回、撤销</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_Toc10185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18</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33538692">
      <w:pPr>
        <w:pStyle w:val="27"/>
        <w:tabs>
          <w:tab w:val="right" w:leader="dot" w:pos="8306"/>
        </w:tabs>
        <w:spacing w:line="360" w:lineRule="auto"/>
        <w:ind w:left="0" w:leftChars="0" w:firstLine="0" w:firstLineChars="0"/>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_Toc30087 </w:instrText>
      </w:r>
      <w:r>
        <w:rPr>
          <w:rFonts w:hint="eastAsia" w:ascii="宋体" w:hAnsi="宋体" w:eastAsia="宋体" w:cs="宋体"/>
          <w:sz w:val="21"/>
          <w:szCs w:val="21"/>
          <w:highlight w:val="none"/>
        </w:rPr>
        <w:fldChar w:fldCharType="separate"/>
      </w:r>
      <w:r>
        <w:rPr>
          <w:rFonts w:hint="eastAsia" w:ascii="宋体" w:hAnsi="宋体" w:eastAsia="宋体" w:cs="宋体"/>
          <w:bCs/>
          <w:sz w:val="21"/>
          <w:szCs w:val="21"/>
          <w:highlight w:val="none"/>
        </w:rPr>
        <w:t>五、开标与评标</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_Toc30087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19</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4F3FEF35">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_Toc19246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22. 开标</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_Toc19246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19</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77EE44F5">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_Toc10826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 xml:space="preserve">23. </w:t>
      </w:r>
      <w:r>
        <w:rPr>
          <w:rFonts w:hint="eastAsia" w:ascii="宋体" w:hAnsi="宋体" w:eastAsia="宋体" w:cs="宋体"/>
          <w:kern w:val="44"/>
          <w:sz w:val="21"/>
          <w:szCs w:val="21"/>
          <w:highlight w:val="none"/>
        </w:rPr>
        <w:t>公开招标失败后的处理</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_Toc10826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19</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32530CCD">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_Toc22191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24. 评标小组</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_Toc22191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19</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05E43322">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_Toc30337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 xml:space="preserve">25. </w:t>
      </w:r>
      <w:r>
        <w:rPr>
          <w:rFonts w:hint="eastAsia" w:ascii="宋体" w:hAnsi="宋体" w:eastAsia="宋体" w:cs="宋体"/>
          <w:kern w:val="44"/>
          <w:sz w:val="21"/>
          <w:szCs w:val="21"/>
          <w:highlight w:val="none"/>
        </w:rPr>
        <w:t>评标原则及评标方法</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_Toc30337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20</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367AF1DD">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_Toc24957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 xml:space="preserve">26. </w:t>
      </w:r>
      <w:r>
        <w:rPr>
          <w:rFonts w:hint="eastAsia" w:ascii="宋体" w:hAnsi="宋体" w:eastAsia="宋体" w:cs="宋体"/>
          <w:kern w:val="44"/>
          <w:sz w:val="21"/>
          <w:szCs w:val="21"/>
          <w:highlight w:val="none"/>
        </w:rPr>
        <w:t>初步评审</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_Toc24957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21</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24394617">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_Toc21733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27. 详细评审</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_Toc21733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21</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15CDB72E">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_Toc25223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 xml:space="preserve">28. </w:t>
      </w:r>
      <w:r>
        <w:rPr>
          <w:rFonts w:hint="eastAsia" w:ascii="宋体" w:hAnsi="宋体" w:eastAsia="宋体" w:cs="宋体"/>
          <w:kern w:val="44"/>
          <w:sz w:val="21"/>
          <w:szCs w:val="21"/>
          <w:highlight w:val="none"/>
        </w:rPr>
        <w:t>投标文件的修正和澄清</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_Toc25223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24</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34497076">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_Toc13122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29. 评标总得分统计及推荐</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_Toc13122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24</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0DCFDB6D">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_Toc160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 xml:space="preserve">30. </w:t>
      </w:r>
      <w:r>
        <w:rPr>
          <w:rFonts w:hint="eastAsia" w:ascii="宋体" w:hAnsi="宋体" w:eastAsia="宋体" w:cs="宋体"/>
          <w:kern w:val="44"/>
          <w:sz w:val="21"/>
          <w:szCs w:val="21"/>
          <w:highlight w:val="none"/>
        </w:rPr>
        <w:t>定标</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_Toc160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24</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69F08102">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_Toc5256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31. 特别说明</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_Toc5256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25</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0CA6C027">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_Toc29878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32. 与采购代理机构和采购人的接触</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_Toc29878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25</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7C131C02">
      <w:pPr>
        <w:pStyle w:val="27"/>
        <w:tabs>
          <w:tab w:val="right" w:leader="dot" w:pos="8306"/>
        </w:tabs>
        <w:spacing w:line="360" w:lineRule="auto"/>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_Toc4267 </w:instrText>
      </w:r>
      <w:r>
        <w:rPr>
          <w:rFonts w:hint="eastAsia" w:ascii="宋体" w:hAnsi="宋体" w:eastAsia="宋体" w:cs="宋体"/>
          <w:sz w:val="21"/>
          <w:szCs w:val="21"/>
          <w:highlight w:val="none"/>
        </w:rPr>
        <w:fldChar w:fldCharType="separate"/>
      </w:r>
      <w:r>
        <w:rPr>
          <w:rFonts w:hint="eastAsia" w:ascii="宋体" w:hAnsi="宋体" w:eastAsia="宋体" w:cs="宋体"/>
          <w:bCs/>
          <w:sz w:val="21"/>
          <w:szCs w:val="21"/>
          <w:highlight w:val="none"/>
        </w:rPr>
        <w:t>六、质疑与投诉</w:t>
      </w:r>
      <w:r>
        <w:rPr>
          <w:rFonts w:hint="eastAsia" w:ascii="宋体" w:hAnsi="宋体" w:eastAsia="宋体" w:cs="宋体"/>
          <w:sz w:val="21"/>
          <w:szCs w:val="21"/>
          <w:highlight w:val="none"/>
        </w:rPr>
        <w:tab/>
      </w:r>
      <w:r>
        <w:rPr>
          <w:rFonts w:hint="eastAsia" w:ascii="宋体" w:hAnsi="宋体" w:eastAsia="宋体" w:cs="宋体"/>
          <w:sz w:val="21"/>
          <w:szCs w:val="21"/>
          <w:highlight w:val="none"/>
          <w:lang w:val="en-US" w:eastAsia="zh-CN"/>
        </w:rPr>
        <w:t>2</w:t>
      </w:r>
      <w:r>
        <w:rPr>
          <w:rFonts w:hint="eastAsia" w:ascii="宋体" w:hAnsi="宋体" w:eastAsia="宋体" w:cs="宋体"/>
          <w:color w:val="auto"/>
          <w:sz w:val="21"/>
          <w:szCs w:val="21"/>
          <w:highlight w:val="none"/>
        </w:rPr>
        <w:fldChar w:fldCharType="end"/>
      </w:r>
      <w:r>
        <w:rPr>
          <w:rFonts w:hint="eastAsia" w:ascii="宋体" w:hAnsi="宋体" w:eastAsia="宋体" w:cs="宋体"/>
          <w:smallCaps w:val="0"/>
          <w:kern w:val="2"/>
          <w:sz w:val="21"/>
          <w:szCs w:val="21"/>
          <w:highlight w:val="none"/>
          <w:lang w:val="en-US" w:eastAsia="zh-CN" w:bidi="ar-SA"/>
        </w:rPr>
        <w:t>7</w:t>
      </w:r>
    </w:p>
    <w:p w14:paraId="66A24BB9">
      <w:pPr>
        <w:pStyle w:val="23"/>
        <w:tabs>
          <w:tab w:val="right" w:leader="dot" w:pos="8306"/>
          <w:tab w:val="clear" w:pos="9628"/>
        </w:tabs>
        <w:spacing w:line="360" w:lineRule="auto"/>
        <w:rPr>
          <w:rFonts w:hint="eastAsia" w:ascii="宋体" w:hAnsi="宋体" w:eastAsia="宋体" w:cs="宋体"/>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_Toc5828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33. 询问</w:t>
      </w:r>
      <w:r>
        <w:rPr>
          <w:rFonts w:hint="eastAsia" w:ascii="宋体" w:hAnsi="宋体" w:eastAsia="宋体" w:cs="宋体"/>
          <w:sz w:val="21"/>
          <w:szCs w:val="21"/>
          <w:highlight w:val="none"/>
        </w:rPr>
        <w:tab/>
      </w:r>
      <w:r>
        <w:rPr>
          <w:rFonts w:hint="eastAsia" w:ascii="宋体" w:hAnsi="宋体" w:eastAsia="宋体" w:cs="宋体"/>
          <w:sz w:val="21"/>
          <w:szCs w:val="21"/>
          <w:highlight w:val="none"/>
          <w:lang w:val="en-US" w:eastAsia="zh-CN"/>
        </w:rPr>
        <w:t>2</w:t>
      </w:r>
      <w:r>
        <w:rPr>
          <w:rFonts w:hint="eastAsia" w:ascii="宋体" w:hAnsi="宋体" w:eastAsia="宋体" w:cs="宋体"/>
          <w:color w:val="auto"/>
          <w:sz w:val="21"/>
          <w:szCs w:val="21"/>
          <w:highlight w:val="none"/>
        </w:rPr>
        <w:fldChar w:fldCharType="end"/>
      </w:r>
      <w:r>
        <w:rPr>
          <w:rFonts w:hint="eastAsia" w:ascii="宋体" w:hAnsi="宋体" w:eastAsia="宋体" w:cs="宋体"/>
          <w:sz w:val="21"/>
          <w:szCs w:val="21"/>
          <w:highlight w:val="none"/>
          <w:lang w:val="en-US" w:eastAsia="zh-CN"/>
        </w:rPr>
        <w:t>7</w:t>
      </w:r>
    </w:p>
    <w:p w14:paraId="0036844A">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_Toc2109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34. 质疑</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_Toc2109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26</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6132F840">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_Toc13170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35. 投诉</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_Toc13170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27</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432D1580">
      <w:pPr>
        <w:pStyle w:val="27"/>
        <w:tabs>
          <w:tab w:val="right" w:leader="dot" w:pos="8306"/>
        </w:tabs>
        <w:spacing w:line="360" w:lineRule="auto"/>
        <w:ind w:left="0" w:leftChars="0" w:firstLine="0" w:firstLineChars="0"/>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_Toc21033 </w:instrText>
      </w:r>
      <w:r>
        <w:rPr>
          <w:rFonts w:hint="eastAsia" w:ascii="宋体" w:hAnsi="宋体" w:eastAsia="宋体" w:cs="宋体"/>
          <w:sz w:val="21"/>
          <w:szCs w:val="21"/>
          <w:highlight w:val="none"/>
        </w:rPr>
        <w:fldChar w:fldCharType="separate"/>
      </w:r>
      <w:r>
        <w:rPr>
          <w:rFonts w:hint="eastAsia" w:ascii="宋体" w:hAnsi="宋体" w:eastAsia="宋体" w:cs="宋体"/>
          <w:bCs/>
          <w:sz w:val="21"/>
          <w:szCs w:val="21"/>
          <w:highlight w:val="none"/>
        </w:rPr>
        <w:t>七、授予合同</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_Toc21033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27</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1D9816BF">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_Toc30579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36. 确定中标人</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_Toc30579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27</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22C95136">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_Toc7161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37. 接受和拒绝任何或所有投标的权力</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_Toc7161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28</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12F4CBEA">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_Toc26407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38. 中标通知书</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_Toc26407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28</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33439BB3">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_Toc14729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39. 合同的订立</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_Toc14729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28</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2730ECBA">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_Toc19474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40. 合同的履行</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_Toc19474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28</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540FB0AA">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_Toc18199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41. 采购代理服务费</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_Toc18199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28</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1DB2170B">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_Toc3865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42. 适用法律</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_Toc3865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29</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6BB104E5">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_Toc22798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43. 政府采购政策</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_Toc22798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29</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30870DF6">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_Toc28078 </w:instrText>
      </w:r>
      <w:r>
        <w:rPr>
          <w:rFonts w:hint="eastAsia" w:ascii="宋体" w:hAnsi="宋体" w:eastAsia="宋体" w:cs="宋体"/>
          <w:sz w:val="21"/>
          <w:szCs w:val="21"/>
          <w:highlight w:val="none"/>
        </w:rPr>
        <w:fldChar w:fldCharType="separate"/>
      </w:r>
      <w:r>
        <w:rPr>
          <w:rFonts w:hint="eastAsia" w:ascii="宋体" w:hAnsi="宋体" w:eastAsia="宋体" w:cs="宋体"/>
          <w:bCs/>
          <w:kern w:val="44"/>
          <w:sz w:val="21"/>
          <w:szCs w:val="21"/>
          <w:highlight w:val="none"/>
        </w:rPr>
        <w:t>第四章 合同格式</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_Toc28078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31</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4CFF0509">
      <w:pPr>
        <w:pStyle w:val="23"/>
        <w:tabs>
          <w:tab w:val="right" w:leader="dot" w:pos="8306"/>
          <w:tab w:val="clear" w:pos="9628"/>
        </w:tabs>
        <w:spacing w:line="360" w:lineRule="auto"/>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_Toc3845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第五章 采购需求</w:t>
      </w:r>
      <w:r>
        <w:rPr>
          <w:rFonts w:hint="eastAsia" w:ascii="宋体" w:hAnsi="宋体" w:eastAsia="宋体" w:cs="宋体"/>
          <w:sz w:val="21"/>
          <w:szCs w:val="21"/>
          <w:highlight w:val="none"/>
        </w:rPr>
        <w:tab/>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PAGEREF _Toc3845 \h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42</w:t>
      </w:r>
      <w:r>
        <w:rPr>
          <w:rFonts w:hint="eastAsia" w:ascii="宋体" w:hAnsi="宋体" w:eastAsia="宋体" w:cs="宋体"/>
          <w:sz w:val="21"/>
          <w:szCs w:val="21"/>
          <w:highlight w:val="none"/>
        </w:rPr>
        <w:fldChar w:fldCharType="end"/>
      </w:r>
      <w:r>
        <w:rPr>
          <w:rFonts w:hint="eastAsia" w:ascii="宋体" w:hAnsi="宋体" w:eastAsia="宋体" w:cs="宋体"/>
          <w:color w:val="auto"/>
          <w:sz w:val="21"/>
          <w:szCs w:val="21"/>
          <w:highlight w:val="none"/>
        </w:rPr>
        <w:fldChar w:fldCharType="end"/>
      </w:r>
    </w:p>
    <w:p w14:paraId="3157D21B">
      <w:pPr>
        <w:pStyle w:val="23"/>
        <w:tabs>
          <w:tab w:val="right" w:leader="dot" w:pos="8306"/>
          <w:tab w:val="clear" w:pos="9628"/>
        </w:tabs>
        <w:spacing w:line="360" w:lineRule="auto"/>
        <w:rPr>
          <w:rFonts w:hint="eastAsia" w:ascii="宋体" w:hAnsi="宋体" w:eastAsia="宋体" w:cs="宋体"/>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_Toc10572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第六章   投标文件部分格式</w:t>
      </w:r>
      <w:r>
        <w:rPr>
          <w:rFonts w:hint="eastAsia" w:ascii="宋体" w:hAnsi="宋体" w:eastAsia="宋体" w:cs="宋体"/>
          <w:sz w:val="21"/>
          <w:szCs w:val="21"/>
          <w:highlight w:val="none"/>
        </w:rPr>
        <w:tab/>
      </w:r>
      <w:r>
        <w:rPr>
          <w:rFonts w:hint="eastAsia" w:ascii="宋体" w:hAnsi="宋体" w:cs="宋体"/>
          <w:sz w:val="21"/>
          <w:szCs w:val="21"/>
          <w:highlight w:val="none"/>
          <w:lang w:val="en-US" w:eastAsia="zh-CN"/>
        </w:rPr>
        <w:t>4</w:t>
      </w:r>
      <w:r>
        <w:rPr>
          <w:rFonts w:hint="eastAsia" w:ascii="宋体" w:hAnsi="宋体" w:eastAsia="宋体" w:cs="宋体"/>
          <w:color w:val="auto"/>
          <w:sz w:val="21"/>
          <w:szCs w:val="21"/>
          <w:highlight w:val="none"/>
        </w:rPr>
        <w:fldChar w:fldCharType="end"/>
      </w:r>
      <w:r>
        <w:rPr>
          <w:rFonts w:hint="eastAsia" w:ascii="宋体" w:hAnsi="宋体" w:cs="宋体"/>
          <w:color w:val="auto"/>
          <w:sz w:val="21"/>
          <w:szCs w:val="21"/>
          <w:highlight w:val="none"/>
          <w:lang w:val="en-US" w:eastAsia="zh-CN"/>
        </w:rPr>
        <w:t>8</w:t>
      </w:r>
    </w:p>
    <w:p w14:paraId="2A9D734A">
      <w:pPr>
        <w:pStyle w:val="23"/>
        <w:tabs>
          <w:tab w:val="right" w:leader="dot" w:pos="8306"/>
          <w:tab w:val="clear" w:pos="9628"/>
        </w:tabs>
        <w:spacing w:line="360" w:lineRule="auto"/>
        <w:rPr>
          <w:rFonts w:hint="eastAsia" w:ascii="宋体" w:hAnsi="宋体" w:eastAsia="宋体" w:cs="宋体"/>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_Toc24440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附表1</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初步评审标准表</w:t>
      </w:r>
      <w:r>
        <w:rPr>
          <w:rFonts w:hint="eastAsia" w:ascii="宋体" w:hAnsi="宋体" w:eastAsia="宋体" w:cs="宋体"/>
          <w:sz w:val="21"/>
          <w:szCs w:val="21"/>
          <w:highlight w:val="none"/>
        </w:rPr>
        <w:tab/>
      </w:r>
      <w:r>
        <w:rPr>
          <w:rFonts w:hint="eastAsia" w:ascii="宋体" w:hAnsi="宋体" w:cs="宋体"/>
          <w:sz w:val="21"/>
          <w:szCs w:val="21"/>
          <w:highlight w:val="none"/>
          <w:lang w:val="en-US" w:eastAsia="zh-CN"/>
        </w:rPr>
        <w:t>6</w:t>
      </w:r>
      <w:r>
        <w:rPr>
          <w:rFonts w:hint="eastAsia" w:ascii="宋体" w:hAnsi="宋体" w:eastAsia="宋体" w:cs="宋体"/>
          <w:color w:val="auto"/>
          <w:sz w:val="21"/>
          <w:szCs w:val="21"/>
          <w:highlight w:val="none"/>
        </w:rPr>
        <w:fldChar w:fldCharType="end"/>
      </w:r>
      <w:r>
        <w:rPr>
          <w:rFonts w:hint="eastAsia" w:ascii="宋体" w:hAnsi="宋体" w:cs="宋体"/>
          <w:color w:val="auto"/>
          <w:sz w:val="21"/>
          <w:szCs w:val="21"/>
          <w:highlight w:val="none"/>
          <w:lang w:val="en-US" w:eastAsia="zh-CN"/>
        </w:rPr>
        <w:t>8</w:t>
      </w:r>
    </w:p>
    <w:p w14:paraId="0D8AD6E4">
      <w:pPr>
        <w:pStyle w:val="23"/>
        <w:tabs>
          <w:tab w:val="right" w:leader="dot" w:pos="8306"/>
          <w:tab w:val="clear" w:pos="9628"/>
        </w:tabs>
        <w:spacing w:line="360" w:lineRule="auto"/>
        <w:rPr>
          <w:rFonts w:hint="eastAsia" w:ascii="宋体" w:hAnsi="宋体" w:eastAsia="宋体" w:cs="宋体"/>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_Toc9700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 xml:space="preserve">附表2 </w:t>
      </w:r>
      <w:r>
        <w:rPr>
          <w:rFonts w:hint="eastAsia" w:ascii="宋体" w:hAnsi="宋体" w:eastAsia="宋体" w:cs="宋体"/>
          <w:bCs w:val="0"/>
          <w:sz w:val="21"/>
          <w:szCs w:val="21"/>
          <w:highlight w:val="none"/>
        </w:rPr>
        <w:t>评 分 细 则</w:t>
      </w:r>
      <w:r>
        <w:rPr>
          <w:rFonts w:hint="eastAsia" w:ascii="宋体" w:hAnsi="宋体" w:eastAsia="宋体" w:cs="宋体"/>
          <w:sz w:val="21"/>
          <w:szCs w:val="21"/>
          <w:highlight w:val="none"/>
        </w:rPr>
        <w:tab/>
      </w:r>
      <w:r>
        <w:rPr>
          <w:rFonts w:hint="eastAsia" w:ascii="宋体" w:hAnsi="宋体" w:cs="宋体"/>
          <w:sz w:val="21"/>
          <w:szCs w:val="21"/>
          <w:highlight w:val="none"/>
          <w:lang w:val="en-US" w:eastAsia="zh-CN"/>
        </w:rPr>
        <w:t>7</w:t>
      </w:r>
      <w:r>
        <w:rPr>
          <w:rFonts w:hint="eastAsia" w:ascii="宋体" w:hAnsi="宋体" w:eastAsia="宋体" w:cs="宋体"/>
          <w:color w:val="auto"/>
          <w:sz w:val="21"/>
          <w:szCs w:val="21"/>
          <w:highlight w:val="none"/>
        </w:rPr>
        <w:fldChar w:fldCharType="end"/>
      </w:r>
      <w:r>
        <w:rPr>
          <w:rFonts w:hint="eastAsia" w:ascii="宋体" w:hAnsi="宋体" w:cs="宋体"/>
          <w:color w:val="auto"/>
          <w:sz w:val="21"/>
          <w:szCs w:val="21"/>
          <w:highlight w:val="none"/>
          <w:lang w:val="en-US" w:eastAsia="zh-CN"/>
        </w:rPr>
        <w:t>0</w:t>
      </w:r>
    </w:p>
    <w:p w14:paraId="570AF2EC">
      <w:pPr>
        <w:rPr>
          <w:rFonts w:hint="eastAsia" w:ascii="宋体" w:hAnsi="宋体" w:eastAsia="宋体" w:cs="宋体"/>
          <w:sz w:val="21"/>
          <w:szCs w:val="21"/>
          <w:highlight w:val="none"/>
        </w:rPr>
      </w:pPr>
      <w:r>
        <w:rPr>
          <w:rFonts w:hint="eastAsia" w:ascii="宋体" w:hAnsi="宋体" w:eastAsia="宋体" w:cs="宋体"/>
          <w:color w:val="auto"/>
          <w:sz w:val="21"/>
          <w:szCs w:val="21"/>
          <w:highlight w:val="none"/>
        </w:rPr>
        <w:fldChar w:fldCharType="end"/>
      </w:r>
    </w:p>
    <w:p w14:paraId="57E388D2">
      <w:pPr>
        <w:pStyle w:val="25"/>
        <w:rPr>
          <w:rFonts w:hint="eastAsia" w:ascii="宋体" w:hAnsi="宋体" w:eastAsia="宋体" w:cs="宋体"/>
          <w:color w:val="auto"/>
          <w:sz w:val="21"/>
          <w:szCs w:val="21"/>
          <w:highlight w:val="none"/>
        </w:rPr>
      </w:pPr>
    </w:p>
    <w:p w14:paraId="75AB0E89">
      <w:pPr>
        <w:pStyle w:val="31"/>
        <w:spacing w:line="276" w:lineRule="auto"/>
        <w:rPr>
          <w:rFonts w:hint="eastAsia" w:ascii="宋体" w:hAnsi="宋体" w:eastAsia="宋体" w:cs="宋体"/>
          <w:color w:val="auto"/>
          <w:sz w:val="21"/>
          <w:szCs w:val="21"/>
          <w:highlight w:val="none"/>
        </w:rPr>
      </w:pPr>
    </w:p>
    <w:p w14:paraId="0C6DC026">
      <w:pPr>
        <w:rPr>
          <w:color w:val="auto"/>
          <w:highlight w:val="none"/>
        </w:rPr>
      </w:pPr>
    </w:p>
    <w:p w14:paraId="05A1BAAD">
      <w:pPr>
        <w:pStyle w:val="31"/>
        <w:spacing w:line="276" w:lineRule="auto"/>
        <w:rPr>
          <w:rFonts w:asciiTheme="minorEastAsia" w:hAnsiTheme="minorEastAsia" w:cstheme="minorEastAsia"/>
          <w:color w:val="auto"/>
          <w:sz w:val="28"/>
          <w:szCs w:val="28"/>
          <w:highlight w:val="none"/>
        </w:rPr>
      </w:pPr>
    </w:p>
    <w:p w14:paraId="14601B21">
      <w:pPr>
        <w:rPr>
          <w:rFonts w:asciiTheme="minorEastAsia" w:hAnsiTheme="minorEastAsia" w:cstheme="minorEastAsia"/>
          <w:color w:val="auto"/>
          <w:sz w:val="28"/>
          <w:szCs w:val="28"/>
          <w:highlight w:val="none"/>
        </w:rPr>
      </w:pPr>
    </w:p>
    <w:p w14:paraId="7BDC0040">
      <w:pPr>
        <w:pStyle w:val="41"/>
        <w:ind w:left="0" w:leftChars="0" w:firstLine="0" w:firstLineChars="0"/>
        <w:rPr>
          <w:rFonts w:hint="eastAsia"/>
          <w:color w:val="auto"/>
          <w:szCs w:val="44"/>
          <w:highlight w:val="none"/>
        </w:rPr>
      </w:pPr>
      <w:bookmarkStart w:id="0" w:name="_Toc20454"/>
    </w:p>
    <w:p w14:paraId="285F1726">
      <w:pPr>
        <w:widowControl w:val="0"/>
        <w:numPr>
          <w:ilvl w:val="0"/>
          <w:numId w:val="3"/>
        </w:numPr>
        <w:snapToGrid w:val="0"/>
        <w:spacing w:beforeLines="100" w:afterLines="50" w:line="240" w:lineRule="auto"/>
        <w:jc w:val="center"/>
        <w:textAlignment w:val="baseline"/>
        <w:outlineLvl w:val="0"/>
        <w:rPr>
          <w:rFonts w:hint="eastAsia" w:ascii="仿宋" w:hAnsi="仿宋" w:eastAsia="仿宋" w:cs="仿宋"/>
          <w:b/>
          <w:bCs/>
          <w:color w:val="auto"/>
          <w:kern w:val="0"/>
          <w:sz w:val="32"/>
          <w:szCs w:val="32"/>
          <w:highlight w:val="none"/>
          <w:u w:color="000000"/>
        </w:rPr>
      </w:pPr>
      <w:r>
        <w:rPr>
          <w:rFonts w:hint="eastAsia" w:ascii="仿宋" w:hAnsi="仿宋" w:eastAsia="仿宋" w:cs="仿宋"/>
          <w:b/>
          <w:bCs/>
          <w:color w:val="auto"/>
          <w:kern w:val="0"/>
          <w:sz w:val="32"/>
          <w:szCs w:val="32"/>
          <w:highlight w:val="none"/>
          <w:u w:color="000000"/>
          <w:lang w:eastAsia="zh-CN"/>
        </w:rPr>
        <w:t>招标公告</w:t>
      </w:r>
      <w:r>
        <w:rPr>
          <w:rFonts w:hint="eastAsia" w:ascii="仿宋" w:hAnsi="仿宋" w:eastAsia="仿宋" w:cs="仿宋"/>
          <w:b/>
          <w:bCs/>
          <w:color w:val="auto"/>
          <w:kern w:val="0"/>
          <w:sz w:val="32"/>
          <w:szCs w:val="32"/>
          <w:highlight w:val="none"/>
          <w:u w:color="000000"/>
        </w:rPr>
        <w:t xml:space="preserve"> </w:t>
      </w:r>
    </w:p>
    <w:bookmarkEnd w:id="0"/>
    <w:p w14:paraId="347CDBE5">
      <w:pPr>
        <w:spacing w:line="360" w:lineRule="auto"/>
        <w:jc w:val="center"/>
        <w:rPr>
          <w:rFonts w:hint="eastAsia" w:cs="Times New Roman"/>
          <w:b/>
          <w:bCs/>
          <w:sz w:val="24"/>
          <w:szCs w:val="32"/>
          <w:highlight w:val="none"/>
          <w:lang w:val="en-US" w:eastAsia="zh-CN"/>
        </w:rPr>
      </w:pPr>
      <w:bookmarkStart w:id="1" w:name="_Toc22786"/>
      <w:bookmarkStart w:id="2" w:name="_Toc3096"/>
      <w:r>
        <w:rPr>
          <w:rFonts w:hint="eastAsia" w:cs="Times New Roman"/>
          <w:b/>
          <w:bCs/>
          <w:sz w:val="24"/>
          <w:szCs w:val="32"/>
          <w:highlight w:val="none"/>
          <w:lang w:val="en-US" w:eastAsia="zh-CN"/>
        </w:rPr>
        <w:t>特克斯县人民医院2025年度文化建设项目（二次）</w:t>
      </w:r>
    </w:p>
    <w:p w14:paraId="3E1AE7AA">
      <w:pPr>
        <w:spacing w:line="360" w:lineRule="auto"/>
        <w:jc w:val="center"/>
        <w:rPr>
          <w:rFonts w:hint="eastAsia" w:ascii="Times New Roman" w:hAnsi="Times New Roman" w:eastAsia="宋体" w:cs="Times New Roman"/>
          <w:b/>
          <w:bCs/>
          <w:sz w:val="24"/>
          <w:szCs w:val="32"/>
          <w:highlight w:val="none"/>
          <w:lang w:eastAsia="zh-CN"/>
        </w:rPr>
      </w:pPr>
      <w:r>
        <w:rPr>
          <w:rFonts w:ascii="Times New Roman" w:hAnsi="Times New Roman" w:eastAsia="宋体" w:cs="Times New Roman"/>
          <w:b/>
          <w:bCs/>
          <w:sz w:val="24"/>
          <w:szCs w:val="32"/>
          <w:highlight w:val="none"/>
        </w:rPr>
        <mc:AlternateContent>
          <mc:Choice Requires="wps">
            <w:drawing>
              <wp:anchor distT="0" distB="0" distL="114300" distR="114300" simplePos="0" relativeHeight="251663360" behindDoc="0" locked="0" layoutInCell="1" allowOverlap="1">
                <wp:simplePos x="0" y="0"/>
                <wp:positionH relativeFrom="column">
                  <wp:posOffset>-45085</wp:posOffset>
                </wp:positionH>
                <wp:positionV relativeFrom="paragraph">
                  <wp:posOffset>273685</wp:posOffset>
                </wp:positionV>
                <wp:extent cx="5837555" cy="1038225"/>
                <wp:effectExtent l="12700" t="12700" r="17145" b="15875"/>
                <wp:wrapNone/>
                <wp:docPr id="5" name="矩形 5"/>
                <wp:cNvGraphicFramePr/>
                <a:graphic xmlns:a="http://schemas.openxmlformats.org/drawingml/2006/main">
                  <a:graphicData uri="http://schemas.microsoft.com/office/word/2010/wordprocessingShape">
                    <wps:wsp>
                      <wps:cNvSpPr/>
                      <wps:spPr>
                        <a:xfrm>
                          <a:off x="1048385" y="2022475"/>
                          <a:ext cx="5837555" cy="1038225"/>
                        </a:xfrm>
                        <a:prstGeom prst="rect">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5pt;margin-top:21.55pt;height:81.75pt;width:459.65pt;z-index:251663360;v-text-anchor:middle;mso-width-relative:page;mso-height-relative:page;" filled="f" stroked="t" coordsize="21600,21600" o:gfxdata="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57vfXZAAAACQEAAA8AAAAAAAAAAQAgAAAAIgAAAGRycy9kb3du&#10;cmV2LnhtbFBLAQIUABQAAAAIAIdO4kBXieYhcAIAAM8EAAAOAAAAAAAAAAEAIAAAACgBAABkcnMv&#10;ZTJvRG9jLnhtbFBLBQYAAAAABgAGAFkBAAAKBgAAAAA=&#10;">
                <v:fill on="f" focussize="0,0"/>
                <v:stroke weight="2pt" color="#000000" joinstyle="round"/>
                <v:imagedata o:title=""/>
                <o:lock v:ext="edit" aspectratio="f"/>
              </v:rect>
            </w:pict>
          </mc:Fallback>
        </mc:AlternateContent>
      </w:r>
      <w:r>
        <w:rPr>
          <w:rFonts w:ascii="Times New Roman" w:hAnsi="Times New Roman" w:eastAsia="宋体" w:cs="Times New Roman"/>
          <w:b/>
          <w:bCs/>
          <w:sz w:val="24"/>
          <w:szCs w:val="32"/>
          <w:highlight w:val="none"/>
        </w:rPr>
        <w:t>公开招标公告</w:t>
      </w:r>
    </w:p>
    <w:p w14:paraId="3BB5387D">
      <w:pPr>
        <w:spacing w:line="360" w:lineRule="auto"/>
        <w:rPr>
          <w:rFonts w:hint="eastAsia"/>
          <w:highlight w:val="none"/>
          <w:lang w:eastAsia="zh-CN"/>
        </w:rPr>
      </w:pPr>
      <w:r>
        <w:rPr>
          <w:rFonts w:hint="eastAsia"/>
          <w:highlight w:val="none"/>
        </w:rPr>
        <w:t>项目概况</w:t>
      </w:r>
    </w:p>
    <w:p w14:paraId="7D2F21E2">
      <w:pPr>
        <w:spacing w:line="360" w:lineRule="auto"/>
        <w:ind w:firstLine="420" w:firstLineChars="200"/>
        <w:rPr>
          <w:rFonts w:hint="eastAsia"/>
          <w:highlight w:val="none"/>
          <w:lang w:eastAsia="zh-CN"/>
        </w:rPr>
      </w:pPr>
      <w:r>
        <w:rPr>
          <w:rFonts w:hint="eastAsia"/>
          <w:highlight w:val="none"/>
          <w:lang w:eastAsia="zh-CN"/>
        </w:rPr>
        <w:t>特克斯县人民医院2025年度文化建设项目（二次）招标项目的潜在投标人应在政采云系统平台（https://www.zcygov.cn/）获取招标文件，并于2025年</w:t>
      </w:r>
      <w:r>
        <w:rPr>
          <w:rFonts w:hint="eastAsia"/>
          <w:highlight w:val="none"/>
          <w:lang w:val="en-US" w:eastAsia="zh-CN"/>
        </w:rPr>
        <w:t>07</w:t>
      </w:r>
      <w:r>
        <w:rPr>
          <w:rFonts w:hint="eastAsia"/>
          <w:highlight w:val="none"/>
          <w:lang w:eastAsia="zh-CN"/>
        </w:rPr>
        <w:t>月</w:t>
      </w:r>
      <w:r>
        <w:rPr>
          <w:rFonts w:hint="eastAsia"/>
          <w:highlight w:val="none"/>
          <w:lang w:val="en-US" w:eastAsia="zh-CN"/>
        </w:rPr>
        <w:t>29</w:t>
      </w:r>
      <w:r>
        <w:rPr>
          <w:rFonts w:hint="eastAsia"/>
          <w:highlight w:val="none"/>
          <w:lang w:eastAsia="zh-CN"/>
        </w:rPr>
        <w:t xml:space="preserve">日 </w:t>
      </w:r>
      <w:r>
        <w:rPr>
          <w:rFonts w:hint="eastAsia"/>
          <w:highlight w:val="none"/>
          <w:lang w:val="en-US" w:eastAsia="zh-CN"/>
        </w:rPr>
        <w:t>12</w:t>
      </w:r>
      <w:r>
        <w:rPr>
          <w:rFonts w:hint="eastAsia"/>
          <w:highlight w:val="none"/>
          <w:lang w:eastAsia="zh-CN"/>
        </w:rPr>
        <w:t>:</w:t>
      </w:r>
      <w:r>
        <w:rPr>
          <w:rFonts w:hint="eastAsia"/>
          <w:highlight w:val="none"/>
          <w:lang w:val="en-US" w:eastAsia="zh-CN"/>
        </w:rPr>
        <w:t>00</w:t>
      </w:r>
      <w:r>
        <w:rPr>
          <w:rFonts w:hint="eastAsia"/>
          <w:highlight w:val="none"/>
          <w:lang w:eastAsia="zh-CN"/>
        </w:rPr>
        <w:t>（北京时间）前递交投标文件。</w:t>
      </w:r>
    </w:p>
    <w:p w14:paraId="5742B670">
      <w:pPr>
        <w:spacing w:line="360" w:lineRule="auto"/>
        <w:rPr>
          <w:b/>
          <w:bCs/>
          <w:highlight w:val="none"/>
        </w:rPr>
      </w:pPr>
    </w:p>
    <w:p w14:paraId="1092DE3C">
      <w:pPr>
        <w:spacing w:line="360" w:lineRule="auto"/>
        <w:rPr>
          <w:b/>
          <w:bCs/>
          <w:highlight w:val="none"/>
        </w:rPr>
      </w:pPr>
      <w:r>
        <w:rPr>
          <w:b/>
          <w:bCs/>
          <w:highlight w:val="none"/>
        </w:rPr>
        <w:t>一、项目基本情况</w:t>
      </w:r>
    </w:p>
    <w:p w14:paraId="6C2E2B00">
      <w:pPr>
        <w:spacing w:line="360" w:lineRule="auto"/>
        <w:rPr>
          <w:rFonts w:hint="default" w:eastAsia="宋体"/>
          <w:highlight w:val="none"/>
          <w:lang w:val="en-US" w:eastAsia="zh-CN"/>
        </w:rPr>
      </w:pPr>
      <w:r>
        <w:rPr>
          <w:rFonts w:hint="eastAsia"/>
          <w:highlight w:val="none"/>
        </w:rPr>
        <w:t>项目编号：</w:t>
      </w:r>
      <w:r>
        <w:rPr>
          <w:rFonts w:hint="eastAsia"/>
          <w:highlight w:val="none"/>
          <w:lang w:eastAsia="zh-CN"/>
        </w:rPr>
        <w:t>HYYL-2025-0</w:t>
      </w:r>
      <w:r>
        <w:rPr>
          <w:rFonts w:hint="eastAsia"/>
          <w:highlight w:val="none"/>
          <w:lang w:val="en-US" w:eastAsia="zh-CN"/>
        </w:rPr>
        <w:t>32</w:t>
      </w:r>
    </w:p>
    <w:p w14:paraId="358A44F8">
      <w:pPr>
        <w:spacing w:line="360" w:lineRule="auto"/>
        <w:rPr>
          <w:rFonts w:hint="eastAsia"/>
          <w:highlight w:val="none"/>
        </w:rPr>
      </w:pPr>
      <w:r>
        <w:rPr>
          <w:rFonts w:hint="eastAsia"/>
          <w:highlight w:val="none"/>
        </w:rPr>
        <w:t>项目名称：</w:t>
      </w:r>
      <w:r>
        <w:rPr>
          <w:rFonts w:hint="eastAsia"/>
          <w:highlight w:val="none"/>
          <w:lang w:eastAsia="zh-CN"/>
        </w:rPr>
        <w:t>特克斯县人民医院2025年度文化建设项目（二次）</w:t>
      </w:r>
    </w:p>
    <w:p w14:paraId="3A6A0F10">
      <w:pPr>
        <w:spacing w:line="360" w:lineRule="auto"/>
        <w:rPr>
          <w:highlight w:val="none"/>
        </w:rPr>
      </w:pPr>
      <w:r>
        <w:rPr>
          <w:rFonts w:hint="eastAsia"/>
          <w:highlight w:val="none"/>
        </w:rPr>
        <w:t>采购方式：公开招标</w:t>
      </w:r>
    </w:p>
    <w:p w14:paraId="626492F2">
      <w:pPr>
        <w:spacing w:line="360" w:lineRule="auto"/>
        <w:rPr>
          <w:rFonts w:hint="default" w:eastAsia="宋体"/>
          <w:highlight w:val="none"/>
          <w:lang w:val="en-US" w:eastAsia="zh-CN"/>
        </w:rPr>
      </w:pPr>
      <w:r>
        <w:rPr>
          <w:rFonts w:hint="eastAsia"/>
          <w:highlight w:val="none"/>
        </w:rPr>
        <w:t>预算金额（元）：</w:t>
      </w:r>
      <w:r>
        <w:rPr>
          <w:rFonts w:hint="eastAsia"/>
          <w:highlight w:val="none"/>
          <w:lang w:val="en-US" w:eastAsia="zh-CN"/>
        </w:rPr>
        <w:t>3900000.00</w:t>
      </w:r>
    </w:p>
    <w:p w14:paraId="18934F28">
      <w:pPr>
        <w:spacing w:line="360" w:lineRule="auto"/>
        <w:rPr>
          <w:rFonts w:hint="eastAsia" w:ascii="仿宋" w:hAnsi="仿宋" w:eastAsia="宋体" w:cs="仿宋"/>
          <w:i w:val="0"/>
          <w:iCs w:val="0"/>
          <w:caps w:val="0"/>
          <w:color w:val="000000"/>
          <w:spacing w:val="0"/>
          <w:sz w:val="27"/>
          <w:szCs w:val="27"/>
          <w:highlight w:val="none"/>
          <w:lang w:val="en-US" w:eastAsia="zh-CN"/>
        </w:rPr>
      </w:pPr>
      <w:r>
        <w:rPr>
          <w:rFonts w:hint="eastAsia"/>
          <w:highlight w:val="none"/>
        </w:rPr>
        <w:t>最高限价（元）：</w:t>
      </w:r>
      <w:r>
        <w:rPr>
          <w:rFonts w:hint="eastAsia"/>
          <w:highlight w:val="none"/>
          <w:lang w:val="en-US" w:eastAsia="zh-CN"/>
        </w:rPr>
        <w:t>60</w:t>
      </w:r>
      <w:r>
        <w:rPr>
          <w:rFonts w:hint="eastAsia"/>
          <w:highlight w:val="none"/>
        </w:rPr>
        <w:t>0000,</w:t>
      </w:r>
      <w:r>
        <w:rPr>
          <w:rFonts w:hint="eastAsia"/>
          <w:highlight w:val="none"/>
          <w:lang w:val="en-US" w:eastAsia="zh-CN"/>
        </w:rPr>
        <w:t>3300</w:t>
      </w:r>
      <w:r>
        <w:rPr>
          <w:rFonts w:hint="eastAsia"/>
          <w:highlight w:val="none"/>
        </w:rPr>
        <w:t>000</w:t>
      </w:r>
    </w:p>
    <w:p w14:paraId="7A57919C">
      <w:pPr>
        <w:spacing w:line="360" w:lineRule="auto"/>
        <w:rPr>
          <w:highlight w:val="none"/>
        </w:rPr>
      </w:pPr>
      <w:r>
        <w:rPr>
          <w:rFonts w:hint="eastAsia"/>
          <w:highlight w:val="none"/>
        </w:rPr>
        <w:t>采购需求：</w:t>
      </w:r>
    </w:p>
    <w:p w14:paraId="5C6FF997">
      <w:pPr>
        <w:spacing w:line="360" w:lineRule="auto"/>
        <w:rPr>
          <w:rFonts w:hint="eastAsia"/>
          <w:highlight w:val="none"/>
          <w:lang w:eastAsia="zh-CN"/>
        </w:rPr>
      </w:pPr>
      <w:r>
        <w:rPr>
          <w:rFonts w:hint="eastAsia"/>
          <w:highlight w:val="none"/>
          <w:lang w:eastAsia="zh-CN"/>
        </w:rPr>
        <w:t>标项一</w:t>
      </w:r>
    </w:p>
    <w:p w14:paraId="4367186E">
      <w:pPr>
        <w:spacing w:line="360" w:lineRule="auto"/>
        <w:rPr>
          <w:rFonts w:hint="eastAsia" w:eastAsia="宋体"/>
          <w:highlight w:val="none"/>
          <w:lang w:eastAsia="zh-CN"/>
        </w:rPr>
      </w:pPr>
      <w:r>
        <w:rPr>
          <w:rFonts w:hint="eastAsia"/>
          <w:highlight w:val="none"/>
        </w:rPr>
        <w:t>标项名称</w:t>
      </w:r>
      <w:r>
        <w:rPr>
          <w:rFonts w:hint="eastAsia"/>
          <w:highlight w:val="none"/>
          <w:lang w:eastAsia="zh-CN"/>
        </w:rPr>
        <w:t>：特克斯县人民医院2025年度文化建设项目（二次）（标项一）</w:t>
      </w:r>
    </w:p>
    <w:p w14:paraId="538E3CCC">
      <w:pPr>
        <w:spacing w:line="360" w:lineRule="auto"/>
        <w:rPr>
          <w:rFonts w:hint="default" w:eastAsia="宋体"/>
          <w:highlight w:val="none"/>
          <w:lang w:val="en-US" w:eastAsia="zh-CN"/>
        </w:rPr>
      </w:pPr>
      <w:r>
        <w:rPr>
          <w:rFonts w:hint="eastAsia"/>
          <w:highlight w:val="none"/>
        </w:rPr>
        <w:t>数量</w:t>
      </w:r>
      <w:r>
        <w:rPr>
          <w:rFonts w:hint="eastAsia"/>
          <w:highlight w:val="none"/>
          <w:lang w:eastAsia="zh-CN"/>
        </w:rPr>
        <w:t>：</w:t>
      </w:r>
      <w:r>
        <w:rPr>
          <w:rFonts w:hint="eastAsia"/>
          <w:highlight w:val="none"/>
          <w:lang w:val="en-US" w:eastAsia="zh-CN"/>
        </w:rPr>
        <w:t>1</w:t>
      </w:r>
    </w:p>
    <w:p w14:paraId="09DD5B17">
      <w:pPr>
        <w:spacing w:line="360" w:lineRule="auto"/>
        <w:rPr>
          <w:rFonts w:hint="default" w:eastAsia="宋体"/>
          <w:highlight w:val="none"/>
          <w:lang w:val="en-US" w:eastAsia="zh-CN"/>
        </w:rPr>
      </w:pPr>
      <w:r>
        <w:rPr>
          <w:rFonts w:hint="eastAsia"/>
          <w:highlight w:val="none"/>
        </w:rPr>
        <w:t>预算金额（元）</w:t>
      </w:r>
      <w:r>
        <w:rPr>
          <w:rFonts w:hint="eastAsia"/>
          <w:highlight w:val="none"/>
          <w:lang w:eastAsia="zh-CN"/>
        </w:rPr>
        <w:t>：</w:t>
      </w:r>
      <w:r>
        <w:rPr>
          <w:rFonts w:hint="eastAsia"/>
          <w:highlight w:val="none"/>
          <w:lang w:val="en-US" w:eastAsia="zh-CN"/>
        </w:rPr>
        <w:t>600000.00</w:t>
      </w:r>
    </w:p>
    <w:p w14:paraId="52530790">
      <w:pPr>
        <w:spacing w:line="360" w:lineRule="auto"/>
        <w:rPr>
          <w:rFonts w:hint="eastAsia"/>
          <w:highlight w:val="none"/>
        </w:rPr>
      </w:pPr>
      <w:r>
        <w:rPr>
          <w:rFonts w:hint="eastAsia"/>
          <w:highlight w:val="none"/>
        </w:rPr>
        <w:t>单位：</w:t>
      </w:r>
      <w:r>
        <w:rPr>
          <w:rFonts w:hint="eastAsia"/>
          <w:highlight w:val="none"/>
          <w:lang w:val="en-US" w:eastAsia="zh-CN"/>
        </w:rPr>
        <w:t>项</w:t>
      </w:r>
      <w:r>
        <w:rPr>
          <w:rFonts w:hint="eastAsia"/>
          <w:highlight w:val="none"/>
        </w:rPr>
        <w:t xml:space="preserve"> </w:t>
      </w:r>
    </w:p>
    <w:p w14:paraId="1E2FAEAC">
      <w:pPr>
        <w:spacing w:line="360" w:lineRule="auto"/>
        <w:rPr>
          <w:rFonts w:hint="default" w:eastAsia="宋体"/>
          <w:highlight w:val="none"/>
          <w:lang w:val="en-US" w:eastAsia="zh-CN"/>
        </w:rPr>
      </w:pPr>
      <w:r>
        <w:rPr>
          <w:rFonts w:hint="eastAsia"/>
          <w:highlight w:val="none"/>
        </w:rPr>
        <w:t>简要规格描述或项目基本概况介绍、用途：</w:t>
      </w:r>
      <w:r>
        <w:rPr>
          <w:rFonts w:hint="eastAsia"/>
          <w:highlight w:val="none"/>
          <w:lang w:val="en-US" w:eastAsia="zh-CN"/>
        </w:rPr>
        <w:t>特克斯县人民医院广告宣传服务，具体内容详见招标文件。</w:t>
      </w:r>
    </w:p>
    <w:p w14:paraId="16C2CE3C">
      <w:pPr>
        <w:spacing w:line="360" w:lineRule="auto"/>
        <w:rPr>
          <w:rFonts w:hint="eastAsia"/>
          <w:highlight w:val="none"/>
        </w:rPr>
      </w:pPr>
      <w:r>
        <w:rPr>
          <w:rFonts w:hint="eastAsia"/>
          <w:highlight w:val="none"/>
        </w:rPr>
        <w:t>备注：</w:t>
      </w:r>
    </w:p>
    <w:p w14:paraId="7FAB2097">
      <w:pPr>
        <w:spacing w:line="360" w:lineRule="auto"/>
        <w:rPr>
          <w:rFonts w:hint="eastAsia"/>
          <w:highlight w:val="none"/>
          <w:lang w:eastAsia="zh-CN"/>
        </w:rPr>
      </w:pPr>
      <w:r>
        <w:rPr>
          <w:rFonts w:hint="eastAsia"/>
          <w:highlight w:val="none"/>
          <w:lang w:eastAsia="zh-CN"/>
        </w:rPr>
        <w:t>标项</w:t>
      </w:r>
      <w:r>
        <w:rPr>
          <w:rFonts w:hint="eastAsia"/>
          <w:highlight w:val="none"/>
          <w:lang w:val="en-US" w:eastAsia="zh-CN"/>
        </w:rPr>
        <w:t>二</w:t>
      </w:r>
    </w:p>
    <w:p w14:paraId="7CA2ADD9">
      <w:pPr>
        <w:spacing w:line="360" w:lineRule="auto"/>
        <w:rPr>
          <w:rFonts w:hint="eastAsia" w:eastAsia="宋体"/>
          <w:highlight w:val="none"/>
          <w:lang w:eastAsia="zh-CN"/>
        </w:rPr>
      </w:pPr>
      <w:r>
        <w:rPr>
          <w:rFonts w:hint="eastAsia"/>
          <w:highlight w:val="none"/>
        </w:rPr>
        <w:t>标项名称</w:t>
      </w:r>
      <w:r>
        <w:rPr>
          <w:rFonts w:hint="eastAsia"/>
          <w:highlight w:val="none"/>
          <w:lang w:eastAsia="zh-CN"/>
        </w:rPr>
        <w:t>：特克斯县人民医院2025年度文化建设项目（二次）（标项</w:t>
      </w:r>
      <w:r>
        <w:rPr>
          <w:rFonts w:hint="eastAsia"/>
          <w:highlight w:val="none"/>
          <w:lang w:val="en-US" w:eastAsia="zh-CN"/>
        </w:rPr>
        <w:t>二</w:t>
      </w:r>
      <w:r>
        <w:rPr>
          <w:rFonts w:hint="eastAsia"/>
          <w:highlight w:val="none"/>
          <w:lang w:eastAsia="zh-CN"/>
        </w:rPr>
        <w:t>）</w:t>
      </w:r>
    </w:p>
    <w:p w14:paraId="72782C5E">
      <w:pPr>
        <w:spacing w:line="360" w:lineRule="auto"/>
        <w:rPr>
          <w:rFonts w:hint="default" w:eastAsia="宋体"/>
          <w:highlight w:val="none"/>
          <w:lang w:val="en-US" w:eastAsia="zh-CN"/>
        </w:rPr>
      </w:pPr>
      <w:r>
        <w:rPr>
          <w:rFonts w:hint="eastAsia"/>
          <w:highlight w:val="none"/>
        </w:rPr>
        <w:t>数量</w:t>
      </w:r>
      <w:r>
        <w:rPr>
          <w:rFonts w:hint="eastAsia"/>
          <w:highlight w:val="none"/>
          <w:lang w:eastAsia="zh-CN"/>
        </w:rPr>
        <w:t>：</w:t>
      </w:r>
      <w:r>
        <w:rPr>
          <w:rFonts w:hint="eastAsia"/>
          <w:highlight w:val="none"/>
          <w:lang w:val="en-US" w:eastAsia="zh-CN"/>
        </w:rPr>
        <w:t>1</w:t>
      </w:r>
    </w:p>
    <w:p w14:paraId="0D9F4FDE">
      <w:pPr>
        <w:spacing w:line="360" w:lineRule="auto"/>
        <w:rPr>
          <w:rFonts w:hint="default" w:eastAsia="宋体"/>
          <w:highlight w:val="none"/>
          <w:lang w:val="en-US" w:eastAsia="zh-CN"/>
        </w:rPr>
      </w:pPr>
      <w:r>
        <w:rPr>
          <w:rFonts w:hint="eastAsia"/>
          <w:highlight w:val="none"/>
        </w:rPr>
        <w:t>预算金额（元）</w:t>
      </w:r>
      <w:r>
        <w:rPr>
          <w:rFonts w:hint="eastAsia"/>
          <w:highlight w:val="none"/>
          <w:lang w:eastAsia="zh-CN"/>
        </w:rPr>
        <w:t>：</w:t>
      </w:r>
      <w:r>
        <w:rPr>
          <w:rFonts w:hint="eastAsia"/>
          <w:highlight w:val="none"/>
          <w:lang w:val="en-US" w:eastAsia="zh-CN"/>
        </w:rPr>
        <w:t>3300</w:t>
      </w:r>
      <w:r>
        <w:rPr>
          <w:rFonts w:hint="eastAsia"/>
          <w:highlight w:val="none"/>
        </w:rPr>
        <w:t>000</w:t>
      </w:r>
      <w:r>
        <w:rPr>
          <w:rFonts w:hint="eastAsia"/>
          <w:highlight w:val="none"/>
          <w:lang w:val="en-US" w:eastAsia="zh-CN"/>
        </w:rPr>
        <w:t>.00</w:t>
      </w:r>
    </w:p>
    <w:p w14:paraId="0A9CF34F">
      <w:pPr>
        <w:spacing w:line="360" w:lineRule="auto"/>
        <w:rPr>
          <w:rFonts w:hint="eastAsia"/>
          <w:highlight w:val="none"/>
        </w:rPr>
      </w:pPr>
      <w:r>
        <w:rPr>
          <w:rFonts w:hint="eastAsia"/>
          <w:highlight w:val="none"/>
        </w:rPr>
        <w:t>单位：</w:t>
      </w:r>
      <w:r>
        <w:rPr>
          <w:rFonts w:hint="eastAsia"/>
          <w:highlight w:val="none"/>
          <w:lang w:val="en-US" w:eastAsia="zh-CN"/>
        </w:rPr>
        <w:t>项</w:t>
      </w:r>
      <w:r>
        <w:rPr>
          <w:rFonts w:hint="eastAsia"/>
          <w:highlight w:val="none"/>
        </w:rPr>
        <w:t xml:space="preserve"> </w:t>
      </w:r>
    </w:p>
    <w:p w14:paraId="6E66789C">
      <w:pPr>
        <w:spacing w:line="360" w:lineRule="auto"/>
        <w:rPr>
          <w:rFonts w:hint="default"/>
          <w:highlight w:val="none"/>
          <w:lang w:val="en-US" w:eastAsia="zh-CN"/>
        </w:rPr>
      </w:pPr>
      <w:r>
        <w:rPr>
          <w:rFonts w:hint="eastAsia"/>
          <w:highlight w:val="none"/>
        </w:rPr>
        <w:t>简要规格描述或项目基本概况介绍、用途：特克斯县人民医院酸化水二期建设</w:t>
      </w:r>
      <w:r>
        <w:rPr>
          <w:rFonts w:hint="eastAsia"/>
          <w:highlight w:val="none"/>
          <w:lang w:val="en-US" w:eastAsia="zh-CN"/>
        </w:rPr>
        <w:t>，具体内容详见招标文件。</w:t>
      </w:r>
    </w:p>
    <w:p w14:paraId="52B62B31">
      <w:pPr>
        <w:spacing w:line="360" w:lineRule="auto"/>
        <w:rPr>
          <w:rFonts w:hint="eastAsia"/>
          <w:highlight w:val="none"/>
        </w:rPr>
      </w:pPr>
      <w:r>
        <w:rPr>
          <w:rFonts w:hint="eastAsia"/>
          <w:highlight w:val="none"/>
        </w:rPr>
        <w:t>备注：</w:t>
      </w:r>
    </w:p>
    <w:p w14:paraId="0C667B09">
      <w:pPr>
        <w:spacing w:line="360" w:lineRule="auto"/>
        <w:rPr>
          <w:rFonts w:hint="default"/>
          <w:highlight w:val="none"/>
          <w:lang w:val="en-US" w:eastAsia="zh-CN"/>
        </w:rPr>
      </w:pPr>
      <w:r>
        <w:rPr>
          <w:rFonts w:hint="eastAsia"/>
          <w:highlight w:val="none"/>
          <w:lang w:val="en-US" w:eastAsia="zh-CN"/>
        </w:rPr>
        <w:t>合同履约期限：标项1、合同签订之日起30个日历日；标项2，合同签订之日起60个日历日；</w:t>
      </w:r>
    </w:p>
    <w:p w14:paraId="53D07E9E">
      <w:pPr>
        <w:spacing w:line="360" w:lineRule="auto"/>
        <w:rPr>
          <w:rFonts w:hint="eastAsia"/>
          <w:highlight w:val="none"/>
        </w:rPr>
      </w:pPr>
      <w:r>
        <w:rPr>
          <w:rFonts w:hint="eastAsia"/>
          <w:highlight w:val="none"/>
        </w:rPr>
        <w:t>本项目（否）接受联合体投标。</w:t>
      </w:r>
    </w:p>
    <w:p w14:paraId="3EF64862">
      <w:pPr>
        <w:spacing w:line="360" w:lineRule="auto"/>
        <w:rPr>
          <w:b/>
          <w:bCs/>
          <w:highlight w:val="none"/>
        </w:rPr>
      </w:pPr>
      <w:r>
        <w:rPr>
          <w:rFonts w:hint="eastAsia"/>
          <w:b/>
          <w:bCs/>
          <w:highlight w:val="none"/>
          <w:lang w:val="en-US" w:eastAsia="zh-CN"/>
        </w:rPr>
        <w:t>二、</w:t>
      </w:r>
      <w:r>
        <w:rPr>
          <w:b/>
          <w:bCs/>
          <w:highlight w:val="none"/>
        </w:rPr>
        <w:t>申请人的资格要求：</w:t>
      </w:r>
    </w:p>
    <w:p w14:paraId="138B97F9">
      <w:pPr>
        <w:spacing w:line="360" w:lineRule="auto"/>
        <w:rPr>
          <w:rFonts w:hint="eastAsia"/>
          <w:highlight w:val="none"/>
          <w:lang w:val="en-US" w:eastAsia="zh-CN"/>
        </w:rPr>
      </w:pPr>
      <w:r>
        <w:rPr>
          <w:rFonts w:hint="eastAsia"/>
          <w:highlight w:val="none"/>
          <w:lang w:val="en-US" w:eastAsia="zh-CN"/>
        </w:rPr>
        <w:t>1.满足《中华人民共和国政府采购法》第二十二条规定；</w:t>
      </w:r>
    </w:p>
    <w:p w14:paraId="4EA7E46D">
      <w:pPr>
        <w:spacing w:line="360" w:lineRule="auto"/>
        <w:rPr>
          <w:rFonts w:hint="eastAsia"/>
          <w:highlight w:val="none"/>
          <w:lang w:val="en-US" w:eastAsia="zh-CN"/>
        </w:rPr>
      </w:pPr>
      <w:r>
        <w:rPr>
          <w:rFonts w:hint="eastAsia"/>
          <w:highlight w:val="none"/>
          <w:lang w:val="en-US" w:eastAsia="zh-CN"/>
        </w:rPr>
        <w:t>2.落实政府采购政策需满足的资格要求：标项1、2：专门面向中小企业采购</w:t>
      </w:r>
    </w:p>
    <w:p w14:paraId="006E2C4F">
      <w:pPr>
        <w:spacing w:line="360" w:lineRule="auto"/>
        <w:rPr>
          <w:rFonts w:hint="eastAsia"/>
          <w:highlight w:val="none"/>
          <w:lang w:val="en-US" w:eastAsia="zh-CN"/>
        </w:rPr>
      </w:pPr>
      <w:r>
        <w:rPr>
          <w:rFonts w:hint="eastAsia"/>
          <w:highlight w:val="none"/>
          <w:lang w:val="en-US" w:eastAsia="zh-CN"/>
        </w:rPr>
        <w:t>3.本项目的特定资格要求：</w:t>
      </w:r>
    </w:p>
    <w:p w14:paraId="782DC2BB">
      <w:pPr>
        <w:spacing w:line="360" w:lineRule="auto"/>
        <w:rPr>
          <w:rFonts w:hint="eastAsia"/>
          <w:highlight w:val="none"/>
          <w:lang w:val="en-US" w:eastAsia="zh-CN"/>
        </w:rPr>
      </w:pPr>
      <w:r>
        <w:rPr>
          <w:rFonts w:hint="eastAsia"/>
          <w:highlight w:val="none"/>
          <w:lang w:val="en-US" w:eastAsia="zh-CN"/>
        </w:rPr>
        <w:t>【标项2】</w:t>
      </w:r>
    </w:p>
    <w:p w14:paraId="55830D69">
      <w:pPr>
        <w:numPr>
          <w:ilvl w:val="0"/>
          <w:numId w:val="0"/>
        </w:numPr>
        <w:spacing w:line="360" w:lineRule="auto"/>
        <w:rPr>
          <w:highlight w:val="none"/>
        </w:rPr>
      </w:pPr>
      <w:r>
        <w:rPr>
          <w:rFonts w:hint="eastAsia"/>
          <w:highlight w:val="none"/>
          <w:lang w:val="en-US" w:eastAsia="zh-CN"/>
        </w:rPr>
        <w:t>投标人为经销商的，须提供医疗器械经营许可证或二类医疗器械经营备案证（投标产品须在其经营范围内）、投标产品属于医疗器械管理的提供医疗器械注册证；投标人为制造厂家须提供医疗器械生产许可证或医疗器械生产备案证、投标产品属于医疗器械管理的提供医疗器械注册证；</w:t>
      </w:r>
    </w:p>
    <w:p w14:paraId="7732B0F7">
      <w:pPr>
        <w:numPr>
          <w:ilvl w:val="0"/>
          <w:numId w:val="0"/>
        </w:numPr>
        <w:spacing w:line="360" w:lineRule="auto"/>
        <w:rPr>
          <w:b/>
          <w:bCs/>
          <w:highlight w:val="none"/>
        </w:rPr>
      </w:pPr>
      <w:r>
        <w:rPr>
          <w:b/>
          <w:bCs/>
          <w:highlight w:val="none"/>
        </w:rPr>
        <w:t>三、获取招标文件</w:t>
      </w:r>
    </w:p>
    <w:p w14:paraId="61A9AFE2">
      <w:pPr>
        <w:spacing w:line="360" w:lineRule="auto"/>
        <w:rPr>
          <w:rFonts w:hint="eastAsia"/>
          <w:highlight w:val="none"/>
          <w:lang w:val="en-US" w:eastAsia="zh-CN"/>
        </w:rPr>
      </w:pPr>
      <w:r>
        <w:rPr>
          <w:rFonts w:hint="eastAsia"/>
          <w:highlight w:val="none"/>
          <w:lang w:val="en-US" w:eastAsia="zh-CN"/>
        </w:rPr>
        <w:t>时间：2025年07月08日至2025年07月15日，每天上午10:00至14:00，下午16:00至20:00（北京时间，法定节假日除外）；</w:t>
      </w:r>
    </w:p>
    <w:p w14:paraId="4E09EEFA">
      <w:pPr>
        <w:spacing w:line="360" w:lineRule="auto"/>
        <w:rPr>
          <w:rFonts w:hint="eastAsia"/>
          <w:highlight w:val="none"/>
          <w:lang w:val="en-US" w:eastAsia="zh-CN"/>
        </w:rPr>
      </w:pPr>
      <w:r>
        <w:rPr>
          <w:rFonts w:hint="eastAsia"/>
          <w:highlight w:val="none"/>
          <w:lang w:val="en-US" w:eastAsia="zh-CN"/>
        </w:rPr>
        <w:t>地点：政采云系统平台（https://www.zcygov.cn/）；</w:t>
      </w:r>
    </w:p>
    <w:p w14:paraId="5B0A413F">
      <w:pPr>
        <w:spacing w:line="360" w:lineRule="auto"/>
        <w:rPr>
          <w:rFonts w:hint="eastAsia"/>
          <w:highlight w:val="none"/>
          <w:lang w:val="en-US" w:eastAsia="zh-CN"/>
        </w:rPr>
      </w:pPr>
      <w:r>
        <w:rPr>
          <w:rFonts w:hint="eastAsia"/>
          <w:highlight w:val="none"/>
          <w:lang w:val="en-US" w:eastAsia="zh-CN"/>
        </w:rPr>
        <w:t xml:space="preserve">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 </w:t>
      </w:r>
    </w:p>
    <w:p w14:paraId="15DBEC20">
      <w:pPr>
        <w:spacing w:line="360" w:lineRule="auto"/>
        <w:rPr>
          <w:rFonts w:hint="eastAsia"/>
          <w:highlight w:val="none"/>
          <w:lang w:val="en-US" w:eastAsia="zh-CN"/>
        </w:rPr>
      </w:pPr>
      <w:r>
        <w:rPr>
          <w:rFonts w:hint="eastAsia"/>
          <w:highlight w:val="none"/>
          <w:lang w:val="en-US" w:eastAsia="zh-CN"/>
        </w:rPr>
        <w:t>售价（元）：0</w:t>
      </w:r>
    </w:p>
    <w:p w14:paraId="27757D54">
      <w:pPr>
        <w:spacing w:line="360" w:lineRule="auto"/>
        <w:rPr>
          <w:b/>
          <w:bCs/>
          <w:highlight w:val="none"/>
        </w:rPr>
      </w:pPr>
      <w:r>
        <w:rPr>
          <w:b/>
          <w:bCs/>
          <w:highlight w:val="none"/>
        </w:rPr>
        <w:t>四、提交投标文件截止时间、开标时间和地点</w:t>
      </w:r>
    </w:p>
    <w:p w14:paraId="22549CB2">
      <w:pPr>
        <w:spacing w:line="360" w:lineRule="auto"/>
        <w:rPr>
          <w:rFonts w:hint="eastAsia"/>
          <w:highlight w:val="none"/>
          <w:lang w:val="en-US" w:eastAsia="zh-CN"/>
        </w:rPr>
      </w:pPr>
      <w:r>
        <w:rPr>
          <w:rFonts w:hint="eastAsia"/>
          <w:highlight w:val="none"/>
          <w:lang w:val="en-US" w:eastAsia="zh-CN"/>
        </w:rPr>
        <w:t>提交投标文件截止时间：</w:t>
      </w:r>
      <w:r>
        <w:rPr>
          <w:rFonts w:hint="eastAsia"/>
          <w:highlight w:val="none"/>
          <w:lang w:eastAsia="zh-CN"/>
        </w:rPr>
        <w:t>2025年</w:t>
      </w:r>
      <w:r>
        <w:rPr>
          <w:rFonts w:hint="eastAsia"/>
          <w:highlight w:val="none"/>
          <w:lang w:val="en-US" w:eastAsia="zh-CN"/>
        </w:rPr>
        <w:t>07</w:t>
      </w:r>
      <w:r>
        <w:rPr>
          <w:rFonts w:hint="eastAsia"/>
          <w:highlight w:val="none"/>
          <w:lang w:eastAsia="zh-CN"/>
        </w:rPr>
        <w:t>月</w:t>
      </w:r>
      <w:r>
        <w:rPr>
          <w:rFonts w:hint="eastAsia"/>
          <w:highlight w:val="none"/>
          <w:lang w:val="en-US" w:eastAsia="zh-CN"/>
        </w:rPr>
        <w:t>29</w:t>
      </w:r>
      <w:r>
        <w:rPr>
          <w:rFonts w:hint="eastAsia"/>
          <w:highlight w:val="none"/>
          <w:lang w:eastAsia="zh-CN"/>
        </w:rPr>
        <w:t>日</w:t>
      </w:r>
      <w:r>
        <w:rPr>
          <w:rFonts w:hint="eastAsia"/>
          <w:highlight w:val="none"/>
          <w:lang w:val="en-US" w:eastAsia="zh-CN"/>
        </w:rPr>
        <w:t>12：00</w:t>
      </w:r>
      <w:r>
        <w:rPr>
          <w:rFonts w:hint="eastAsia"/>
          <w:highlight w:val="none"/>
          <w:lang w:eastAsia="zh-CN"/>
        </w:rPr>
        <w:t>（北京时间）</w:t>
      </w:r>
    </w:p>
    <w:p w14:paraId="4F4CF951">
      <w:pPr>
        <w:spacing w:line="360" w:lineRule="auto"/>
        <w:rPr>
          <w:rFonts w:hint="eastAsia"/>
          <w:highlight w:val="none"/>
          <w:lang w:val="en-US" w:eastAsia="zh-CN"/>
        </w:rPr>
      </w:pPr>
      <w:r>
        <w:rPr>
          <w:rFonts w:hint="eastAsia"/>
          <w:highlight w:val="none"/>
          <w:lang w:val="en-US" w:eastAsia="zh-CN"/>
        </w:rPr>
        <w:t>地点：政采云平台客户端投标（逾期上传或者未上传指定地点的投标文件，采购人不予受理）。</w:t>
      </w:r>
    </w:p>
    <w:p w14:paraId="5AC1E78C">
      <w:pPr>
        <w:spacing w:line="360" w:lineRule="auto"/>
        <w:rPr>
          <w:rFonts w:hint="eastAsia"/>
          <w:highlight w:val="none"/>
          <w:lang w:val="en-US" w:eastAsia="zh-CN"/>
        </w:rPr>
      </w:pPr>
      <w:r>
        <w:rPr>
          <w:rFonts w:hint="eastAsia"/>
          <w:highlight w:val="none"/>
          <w:lang w:val="en-US" w:eastAsia="zh-CN"/>
        </w:rPr>
        <w:t>开标时间：</w:t>
      </w:r>
      <w:r>
        <w:rPr>
          <w:rFonts w:hint="eastAsia"/>
          <w:highlight w:val="none"/>
          <w:lang w:eastAsia="zh-CN"/>
        </w:rPr>
        <w:t>2025年</w:t>
      </w:r>
      <w:r>
        <w:rPr>
          <w:rFonts w:hint="eastAsia"/>
          <w:highlight w:val="none"/>
          <w:lang w:val="en-US" w:eastAsia="zh-CN"/>
        </w:rPr>
        <w:t>07</w:t>
      </w:r>
      <w:r>
        <w:rPr>
          <w:rFonts w:hint="eastAsia"/>
          <w:highlight w:val="none"/>
          <w:lang w:eastAsia="zh-CN"/>
        </w:rPr>
        <w:t>月</w:t>
      </w:r>
      <w:r>
        <w:rPr>
          <w:rFonts w:hint="eastAsia"/>
          <w:highlight w:val="none"/>
          <w:lang w:val="en-US" w:eastAsia="zh-CN"/>
        </w:rPr>
        <w:t>29</w:t>
      </w:r>
      <w:r>
        <w:rPr>
          <w:rFonts w:hint="eastAsia"/>
          <w:highlight w:val="none"/>
          <w:lang w:eastAsia="zh-CN"/>
        </w:rPr>
        <w:t>日</w:t>
      </w:r>
      <w:r>
        <w:rPr>
          <w:rFonts w:hint="eastAsia"/>
          <w:highlight w:val="none"/>
          <w:lang w:val="en-US" w:eastAsia="zh-CN"/>
        </w:rPr>
        <w:t>12：00</w:t>
      </w:r>
      <w:r>
        <w:rPr>
          <w:rFonts w:hint="eastAsia"/>
          <w:highlight w:val="none"/>
          <w:lang w:eastAsia="zh-CN"/>
        </w:rPr>
        <w:t>（北京时间）</w:t>
      </w:r>
    </w:p>
    <w:p w14:paraId="1D4F6936">
      <w:pPr>
        <w:spacing w:line="360" w:lineRule="auto"/>
        <w:rPr>
          <w:rFonts w:hint="eastAsia"/>
          <w:highlight w:val="none"/>
          <w:lang w:val="en-US" w:eastAsia="zh-CN"/>
        </w:rPr>
      </w:pPr>
      <w:r>
        <w:rPr>
          <w:rFonts w:hint="eastAsia"/>
          <w:highlight w:val="none"/>
          <w:lang w:val="en-US" w:eastAsia="zh-CN"/>
        </w:rPr>
        <w:t>开标地点：投标人登录政采云平台https://www.zcygov.cn/，进入“项目采购-开标评标-右边选择对应项目点击“进入项目”进入开标大厅。</w:t>
      </w:r>
    </w:p>
    <w:p w14:paraId="271ADF09">
      <w:pPr>
        <w:spacing w:line="360" w:lineRule="auto"/>
        <w:rPr>
          <w:b/>
          <w:bCs/>
          <w:highlight w:val="none"/>
        </w:rPr>
      </w:pPr>
      <w:r>
        <w:rPr>
          <w:b/>
          <w:bCs/>
          <w:highlight w:val="none"/>
        </w:rPr>
        <w:t>五、公告期限</w:t>
      </w:r>
    </w:p>
    <w:p w14:paraId="52192A10">
      <w:pPr>
        <w:spacing w:line="360" w:lineRule="auto"/>
        <w:rPr>
          <w:highlight w:val="none"/>
        </w:rPr>
      </w:pPr>
      <w:r>
        <w:rPr>
          <w:rFonts w:hint="eastAsia"/>
          <w:highlight w:val="none"/>
        </w:rPr>
        <w:t>自本公告发布之日起5个工作日。</w:t>
      </w:r>
    </w:p>
    <w:p w14:paraId="6005AD57">
      <w:pPr>
        <w:numPr>
          <w:ilvl w:val="0"/>
          <w:numId w:val="4"/>
        </w:numPr>
        <w:spacing w:line="360" w:lineRule="auto"/>
        <w:rPr>
          <w:b/>
          <w:bCs/>
          <w:highlight w:val="none"/>
        </w:rPr>
      </w:pPr>
      <w:r>
        <w:rPr>
          <w:b/>
          <w:bCs/>
          <w:highlight w:val="none"/>
        </w:rPr>
        <w:t>其他补充事宜</w:t>
      </w:r>
    </w:p>
    <w:p w14:paraId="6E2091C7">
      <w:pPr>
        <w:numPr>
          <w:ilvl w:val="0"/>
          <w:numId w:val="5"/>
        </w:numPr>
        <w:spacing w:line="360" w:lineRule="auto"/>
        <w:rPr>
          <w:rFonts w:hint="eastAsia"/>
          <w:highlight w:val="none"/>
          <w:lang w:val="en-US" w:eastAsia="zh-CN"/>
        </w:rPr>
      </w:pPr>
      <w:r>
        <w:rPr>
          <w:rFonts w:hint="eastAsia"/>
          <w:highlight w:val="none"/>
          <w:lang w:val="en-US" w:eastAsia="zh-CN"/>
        </w:rPr>
        <w:t>本项目实行网上投标，采用电子投标文件。</w:t>
      </w:r>
    </w:p>
    <w:p w14:paraId="6EA53775">
      <w:pPr>
        <w:numPr>
          <w:ilvl w:val="0"/>
          <w:numId w:val="5"/>
        </w:numPr>
        <w:spacing w:line="360" w:lineRule="auto"/>
        <w:ind w:left="0" w:leftChars="0" w:firstLine="0" w:firstLineChars="0"/>
        <w:rPr>
          <w:rFonts w:hint="eastAsia"/>
          <w:highlight w:val="none"/>
          <w:lang w:val="en-US" w:eastAsia="zh-CN"/>
        </w:rPr>
      </w:pPr>
      <w:r>
        <w:rPr>
          <w:rFonts w:hint="eastAsia"/>
          <w:highlight w:val="none"/>
          <w:lang w:val="en-US" w:eastAsia="zh-CN"/>
        </w:rPr>
        <w:t>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2D60152F">
      <w:pPr>
        <w:numPr>
          <w:ilvl w:val="0"/>
          <w:numId w:val="0"/>
        </w:numPr>
        <w:spacing w:line="360" w:lineRule="auto"/>
        <w:ind w:leftChars="0"/>
        <w:rPr>
          <w:rFonts w:hint="eastAsia" w:ascii="Times New Roman" w:hAnsi="Times New Roman" w:eastAsia="宋体" w:cs="Times New Roman"/>
          <w:kern w:val="2"/>
          <w:sz w:val="21"/>
          <w:highlight w:val="none"/>
          <w:lang w:val="en-US" w:eastAsia="zh-CN" w:bidi="ar-SA"/>
        </w:rPr>
      </w:pPr>
      <w:r>
        <w:rPr>
          <w:rFonts w:hint="eastAsia" w:ascii="Times New Roman" w:hAnsi="Times New Roman" w:eastAsia="宋体" w:cs="Times New Roman"/>
          <w:kern w:val="2"/>
          <w:sz w:val="21"/>
          <w:highlight w:val="none"/>
          <w:lang w:val="en-US" w:eastAsia="zh-CN" w:bidi="ar-SA"/>
        </w:rPr>
        <w:t>3、供应商将政采云电子交易客户端下载、安装完成后，可通过账号密码或CA登录客户端进行投标文件的制作。在使用政采云投标客户端时，建议使用WIN7及以上操作系统。</w:t>
      </w:r>
    </w:p>
    <w:p w14:paraId="5DA1121A">
      <w:pPr>
        <w:spacing w:line="360" w:lineRule="auto"/>
        <w:rPr>
          <w:b/>
          <w:bCs/>
          <w:highlight w:val="none"/>
        </w:rPr>
      </w:pPr>
      <w:r>
        <w:rPr>
          <w:b/>
          <w:bCs/>
          <w:highlight w:val="none"/>
        </w:rPr>
        <w:t>七、对本次采购提出询问，请按以下方式联系</w:t>
      </w:r>
    </w:p>
    <w:p w14:paraId="28BE833D">
      <w:pPr>
        <w:pageBreakBefore w:val="0"/>
        <w:widowControl w:val="0"/>
        <w:kinsoku/>
        <w:wordWrap/>
        <w:overflowPunct/>
        <w:topLinePunct w:val="0"/>
        <w:autoSpaceDE/>
        <w:autoSpaceDN/>
        <w:bidi w:val="0"/>
        <w:adjustRightInd/>
        <w:snapToGrid w:val="0"/>
        <w:spacing w:beforeAutospacing="0" w:afterAutospacing="0" w:line="560" w:lineRule="exact"/>
        <w:ind w:left="0" w:leftChars="0" w:firstLine="420" w:firstLineChars="200"/>
        <w:jc w:val="left"/>
        <w:textAlignment w:val="auto"/>
        <w:rPr>
          <w:rFonts w:hint="eastAsia" w:ascii="宋体" w:hAnsi="宋体" w:eastAsia="宋体" w:cs="宋体"/>
          <w:i w:val="0"/>
          <w:iCs w:val="0"/>
          <w:sz w:val="21"/>
          <w:szCs w:val="21"/>
          <w:highlight w:val="none"/>
          <w:u w:val="none"/>
        </w:rPr>
      </w:pPr>
      <w:r>
        <w:rPr>
          <w:rFonts w:hint="eastAsia" w:ascii="宋体" w:hAnsi="宋体" w:eastAsia="宋体" w:cs="宋体"/>
          <w:i w:val="0"/>
          <w:iCs w:val="0"/>
          <w:sz w:val="21"/>
          <w:szCs w:val="21"/>
          <w:highlight w:val="none"/>
          <w:u w:val="none"/>
        </w:rPr>
        <w:t>1.采购人信息</w:t>
      </w:r>
    </w:p>
    <w:p w14:paraId="404951CD">
      <w:pPr>
        <w:pageBreakBefore w:val="0"/>
        <w:widowControl w:val="0"/>
        <w:kinsoku/>
        <w:wordWrap/>
        <w:overflowPunct/>
        <w:topLinePunct w:val="0"/>
        <w:autoSpaceDE/>
        <w:autoSpaceDN/>
        <w:bidi w:val="0"/>
        <w:adjustRightInd/>
        <w:snapToGrid w:val="0"/>
        <w:spacing w:beforeAutospacing="0" w:afterAutospacing="0" w:line="560" w:lineRule="exact"/>
        <w:ind w:left="0" w:leftChars="0" w:firstLine="420" w:firstLineChars="200"/>
        <w:jc w:val="left"/>
        <w:textAlignment w:val="auto"/>
        <w:rPr>
          <w:rFonts w:hint="eastAsia" w:ascii="宋体" w:hAnsi="宋体" w:eastAsia="宋体" w:cs="宋体"/>
          <w:i w:val="0"/>
          <w:iCs w:val="0"/>
          <w:sz w:val="21"/>
          <w:szCs w:val="21"/>
          <w:highlight w:val="none"/>
          <w:u w:val="none"/>
        </w:rPr>
      </w:pPr>
      <w:r>
        <w:rPr>
          <w:rFonts w:hint="eastAsia" w:ascii="宋体" w:hAnsi="宋体" w:eastAsia="宋体" w:cs="宋体"/>
          <w:i w:val="0"/>
          <w:iCs w:val="0"/>
          <w:sz w:val="21"/>
          <w:szCs w:val="21"/>
          <w:highlight w:val="none"/>
          <w:u w:val="none"/>
        </w:rPr>
        <w:t>名 称：特克斯县人民医院</w:t>
      </w:r>
    </w:p>
    <w:p w14:paraId="21FC5DDA">
      <w:pPr>
        <w:pageBreakBefore w:val="0"/>
        <w:widowControl w:val="0"/>
        <w:kinsoku/>
        <w:wordWrap/>
        <w:overflowPunct/>
        <w:topLinePunct w:val="0"/>
        <w:autoSpaceDE/>
        <w:autoSpaceDN/>
        <w:bidi w:val="0"/>
        <w:adjustRightInd/>
        <w:snapToGrid w:val="0"/>
        <w:spacing w:beforeAutospacing="0" w:afterAutospacing="0" w:line="560" w:lineRule="exact"/>
        <w:ind w:left="0" w:leftChars="0" w:firstLine="420" w:firstLineChars="200"/>
        <w:jc w:val="left"/>
        <w:textAlignment w:val="auto"/>
        <w:rPr>
          <w:rFonts w:hint="eastAsia" w:ascii="宋体" w:hAnsi="宋体" w:eastAsia="宋体" w:cs="宋体"/>
          <w:i w:val="0"/>
          <w:iCs w:val="0"/>
          <w:sz w:val="21"/>
          <w:szCs w:val="21"/>
          <w:highlight w:val="none"/>
          <w:u w:val="none"/>
        </w:rPr>
      </w:pPr>
      <w:r>
        <w:rPr>
          <w:rFonts w:hint="eastAsia" w:ascii="宋体" w:hAnsi="宋体" w:eastAsia="宋体" w:cs="宋体"/>
          <w:i w:val="0"/>
          <w:iCs w:val="0"/>
          <w:sz w:val="21"/>
          <w:szCs w:val="21"/>
          <w:highlight w:val="none"/>
          <w:u w:val="none"/>
        </w:rPr>
        <w:t>地 址：特克斯县</w:t>
      </w:r>
    </w:p>
    <w:p w14:paraId="3187E213">
      <w:pPr>
        <w:pageBreakBefore w:val="0"/>
        <w:widowControl w:val="0"/>
        <w:kinsoku/>
        <w:wordWrap/>
        <w:overflowPunct/>
        <w:topLinePunct w:val="0"/>
        <w:autoSpaceDE/>
        <w:autoSpaceDN/>
        <w:bidi w:val="0"/>
        <w:adjustRightInd/>
        <w:snapToGrid w:val="0"/>
        <w:spacing w:beforeAutospacing="0" w:afterAutospacing="0" w:line="560" w:lineRule="exact"/>
        <w:ind w:left="0" w:leftChars="0" w:firstLine="420" w:firstLineChars="200"/>
        <w:jc w:val="left"/>
        <w:textAlignment w:val="auto"/>
        <w:rPr>
          <w:rFonts w:hint="eastAsia" w:ascii="宋体" w:hAnsi="宋体" w:eastAsia="宋体" w:cs="宋体"/>
          <w:i w:val="0"/>
          <w:iCs w:val="0"/>
          <w:sz w:val="21"/>
          <w:szCs w:val="21"/>
          <w:highlight w:val="none"/>
          <w:u w:val="none"/>
        </w:rPr>
      </w:pPr>
      <w:r>
        <w:rPr>
          <w:rFonts w:hint="eastAsia" w:ascii="宋体" w:hAnsi="宋体" w:eastAsia="宋体" w:cs="宋体"/>
          <w:i w:val="0"/>
          <w:iCs w:val="0"/>
          <w:sz w:val="21"/>
          <w:szCs w:val="21"/>
          <w:highlight w:val="none"/>
          <w:u w:val="none"/>
        </w:rPr>
        <w:t>联系方式：</w:t>
      </w:r>
      <w:r>
        <w:rPr>
          <w:rFonts w:hint="eastAsia" w:ascii="宋体" w:hAnsi="宋体" w:cs="宋体"/>
          <w:i w:val="0"/>
          <w:iCs w:val="0"/>
          <w:sz w:val="21"/>
          <w:szCs w:val="21"/>
          <w:highlight w:val="none"/>
          <w:u w:val="none"/>
          <w:lang w:val="en-US" w:eastAsia="zh-CN"/>
        </w:rPr>
        <w:t>0999-6626455</w:t>
      </w:r>
    </w:p>
    <w:p w14:paraId="3BAE7A18">
      <w:pPr>
        <w:pageBreakBefore w:val="0"/>
        <w:widowControl w:val="0"/>
        <w:kinsoku/>
        <w:wordWrap/>
        <w:overflowPunct/>
        <w:topLinePunct w:val="0"/>
        <w:autoSpaceDE/>
        <w:autoSpaceDN/>
        <w:bidi w:val="0"/>
        <w:adjustRightInd/>
        <w:snapToGrid w:val="0"/>
        <w:spacing w:beforeAutospacing="0" w:afterAutospacing="0" w:line="560" w:lineRule="exact"/>
        <w:ind w:left="0" w:leftChars="0" w:firstLine="420" w:firstLineChars="200"/>
        <w:jc w:val="left"/>
        <w:textAlignment w:val="auto"/>
        <w:rPr>
          <w:rFonts w:hint="eastAsia" w:ascii="宋体" w:hAnsi="宋体" w:eastAsia="宋体" w:cs="宋体"/>
          <w:i w:val="0"/>
          <w:iCs w:val="0"/>
          <w:sz w:val="21"/>
          <w:szCs w:val="21"/>
          <w:highlight w:val="none"/>
          <w:u w:val="none"/>
        </w:rPr>
      </w:pPr>
      <w:r>
        <w:rPr>
          <w:rFonts w:hint="eastAsia" w:ascii="宋体" w:hAnsi="宋体" w:eastAsia="宋体" w:cs="宋体"/>
          <w:i w:val="0"/>
          <w:iCs w:val="0"/>
          <w:sz w:val="21"/>
          <w:szCs w:val="21"/>
          <w:highlight w:val="none"/>
          <w:u w:val="none"/>
        </w:rPr>
        <w:t>2.采购代理机构信息</w:t>
      </w:r>
    </w:p>
    <w:p w14:paraId="4A77E89D">
      <w:pPr>
        <w:pageBreakBefore w:val="0"/>
        <w:widowControl w:val="0"/>
        <w:kinsoku/>
        <w:wordWrap/>
        <w:overflowPunct/>
        <w:topLinePunct w:val="0"/>
        <w:autoSpaceDE/>
        <w:autoSpaceDN/>
        <w:bidi w:val="0"/>
        <w:adjustRightInd/>
        <w:snapToGrid w:val="0"/>
        <w:spacing w:beforeAutospacing="0" w:afterAutospacing="0" w:line="560" w:lineRule="exact"/>
        <w:ind w:left="0" w:leftChars="0" w:firstLine="420" w:firstLineChars="200"/>
        <w:jc w:val="left"/>
        <w:textAlignment w:val="auto"/>
        <w:rPr>
          <w:rFonts w:hint="eastAsia" w:ascii="宋体" w:hAnsi="宋体" w:eastAsia="宋体" w:cs="宋体"/>
          <w:i w:val="0"/>
          <w:iCs w:val="0"/>
          <w:sz w:val="21"/>
          <w:szCs w:val="21"/>
          <w:highlight w:val="none"/>
          <w:u w:val="none"/>
        </w:rPr>
      </w:pPr>
      <w:r>
        <w:rPr>
          <w:rFonts w:hint="eastAsia" w:ascii="宋体" w:hAnsi="宋体" w:eastAsia="宋体" w:cs="宋体"/>
          <w:i w:val="0"/>
          <w:iCs w:val="0"/>
          <w:sz w:val="21"/>
          <w:szCs w:val="21"/>
          <w:highlight w:val="none"/>
          <w:u w:val="none"/>
        </w:rPr>
        <w:t>名 称：新疆华域建设工程项目管理咨询有限公司</w:t>
      </w:r>
    </w:p>
    <w:p w14:paraId="04C8BE85">
      <w:pPr>
        <w:pageBreakBefore w:val="0"/>
        <w:widowControl w:val="0"/>
        <w:kinsoku/>
        <w:wordWrap/>
        <w:overflowPunct/>
        <w:topLinePunct w:val="0"/>
        <w:autoSpaceDE/>
        <w:autoSpaceDN/>
        <w:bidi w:val="0"/>
        <w:adjustRightInd/>
        <w:snapToGrid w:val="0"/>
        <w:spacing w:beforeAutospacing="0" w:afterAutospacing="0" w:line="560" w:lineRule="exact"/>
        <w:ind w:left="0" w:leftChars="0" w:firstLine="420" w:firstLineChars="200"/>
        <w:jc w:val="left"/>
        <w:textAlignment w:val="auto"/>
        <w:rPr>
          <w:rFonts w:hint="eastAsia" w:ascii="宋体" w:hAnsi="宋体" w:eastAsia="宋体" w:cs="宋体"/>
          <w:i w:val="0"/>
          <w:iCs w:val="0"/>
          <w:sz w:val="21"/>
          <w:szCs w:val="21"/>
          <w:highlight w:val="none"/>
          <w:u w:val="none"/>
        </w:rPr>
      </w:pPr>
      <w:r>
        <w:rPr>
          <w:rFonts w:hint="eastAsia" w:ascii="宋体" w:hAnsi="宋体" w:eastAsia="宋体" w:cs="宋体"/>
          <w:i w:val="0"/>
          <w:iCs w:val="0"/>
          <w:sz w:val="21"/>
          <w:szCs w:val="21"/>
          <w:highlight w:val="none"/>
          <w:u w:val="none"/>
        </w:rPr>
        <w:t>地 址：伊宁市经济合作区北京路一品墅新房大厦10楼1004号</w:t>
      </w:r>
    </w:p>
    <w:p w14:paraId="6056B842">
      <w:pPr>
        <w:pageBreakBefore w:val="0"/>
        <w:widowControl w:val="0"/>
        <w:kinsoku/>
        <w:wordWrap/>
        <w:overflowPunct/>
        <w:topLinePunct w:val="0"/>
        <w:autoSpaceDE/>
        <w:autoSpaceDN/>
        <w:bidi w:val="0"/>
        <w:adjustRightInd/>
        <w:snapToGrid w:val="0"/>
        <w:spacing w:beforeAutospacing="0" w:afterAutospacing="0" w:line="560" w:lineRule="exact"/>
        <w:ind w:left="0" w:leftChars="0" w:firstLine="420" w:firstLineChars="200"/>
        <w:jc w:val="left"/>
        <w:textAlignment w:val="auto"/>
        <w:rPr>
          <w:rFonts w:hint="eastAsia" w:ascii="宋体" w:hAnsi="宋体" w:eastAsia="宋体" w:cs="宋体"/>
          <w:i w:val="0"/>
          <w:iCs w:val="0"/>
          <w:sz w:val="21"/>
          <w:szCs w:val="21"/>
          <w:highlight w:val="none"/>
          <w:u w:val="none"/>
        </w:rPr>
      </w:pPr>
      <w:r>
        <w:rPr>
          <w:rFonts w:hint="eastAsia" w:ascii="宋体" w:hAnsi="宋体" w:eastAsia="宋体" w:cs="宋体"/>
          <w:i w:val="0"/>
          <w:iCs w:val="0"/>
          <w:sz w:val="21"/>
          <w:szCs w:val="21"/>
          <w:highlight w:val="none"/>
          <w:u w:val="none"/>
        </w:rPr>
        <w:t>3.项目联系方式</w:t>
      </w:r>
    </w:p>
    <w:p w14:paraId="44ED9555">
      <w:pPr>
        <w:pageBreakBefore w:val="0"/>
        <w:widowControl w:val="0"/>
        <w:kinsoku/>
        <w:wordWrap/>
        <w:overflowPunct/>
        <w:topLinePunct w:val="0"/>
        <w:autoSpaceDE/>
        <w:autoSpaceDN/>
        <w:bidi w:val="0"/>
        <w:adjustRightInd/>
        <w:snapToGrid w:val="0"/>
        <w:spacing w:beforeAutospacing="0" w:afterAutospacing="0" w:line="560" w:lineRule="exact"/>
        <w:ind w:left="0" w:leftChars="0" w:firstLine="420" w:firstLineChars="200"/>
        <w:jc w:val="left"/>
        <w:textAlignment w:val="auto"/>
        <w:rPr>
          <w:rFonts w:hint="eastAsia" w:ascii="宋体" w:hAnsi="宋体" w:eastAsia="宋体" w:cs="宋体"/>
          <w:i w:val="0"/>
          <w:iCs w:val="0"/>
          <w:sz w:val="21"/>
          <w:szCs w:val="21"/>
          <w:highlight w:val="none"/>
          <w:u w:val="none"/>
          <w:lang w:eastAsia="zh-CN"/>
        </w:rPr>
      </w:pPr>
      <w:r>
        <w:rPr>
          <w:rFonts w:hint="eastAsia" w:ascii="宋体" w:hAnsi="宋体" w:eastAsia="宋体" w:cs="宋体"/>
          <w:i w:val="0"/>
          <w:iCs w:val="0"/>
          <w:sz w:val="21"/>
          <w:szCs w:val="21"/>
          <w:highlight w:val="none"/>
          <w:u w:val="none"/>
        </w:rPr>
        <w:t>项目联系人：</w:t>
      </w:r>
      <w:r>
        <w:rPr>
          <w:rFonts w:hint="eastAsia" w:ascii="宋体" w:hAnsi="宋体" w:cs="宋体"/>
          <w:i w:val="0"/>
          <w:iCs w:val="0"/>
          <w:sz w:val="21"/>
          <w:szCs w:val="21"/>
          <w:highlight w:val="none"/>
          <w:u w:val="none"/>
          <w:lang w:eastAsia="zh-CN"/>
        </w:rPr>
        <w:t>薛迎</w:t>
      </w:r>
    </w:p>
    <w:p w14:paraId="1D46A709">
      <w:pPr>
        <w:pageBreakBefore w:val="0"/>
        <w:widowControl w:val="0"/>
        <w:kinsoku/>
        <w:wordWrap/>
        <w:overflowPunct/>
        <w:topLinePunct w:val="0"/>
        <w:autoSpaceDE/>
        <w:autoSpaceDN/>
        <w:bidi w:val="0"/>
        <w:adjustRightInd/>
        <w:snapToGrid w:val="0"/>
        <w:spacing w:beforeAutospacing="0" w:afterAutospacing="0" w:line="560" w:lineRule="exact"/>
        <w:ind w:left="0" w:leftChars="0" w:firstLine="420" w:firstLineChars="200"/>
        <w:jc w:val="left"/>
        <w:textAlignment w:val="auto"/>
        <w:rPr>
          <w:rFonts w:hint="eastAsia" w:ascii="宋体" w:hAnsi="宋体" w:eastAsia="宋体" w:cs="宋体"/>
          <w:i w:val="0"/>
          <w:iCs w:val="0"/>
          <w:sz w:val="21"/>
          <w:szCs w:val="21"/>
          <w:highlight w:val="none"/>
          <w:u w:val="none"/>
          <w:lang w:eastAsia="zh-CN"/>
        </w:rPr>
      </w:pPr>
      <w:r>
        <w:rPr>
          <w:rFonts w:hint="eastAsia" w:ascii="宋体" w:hAnsi="宋体" w:eastAsia="宋体" w:cs="宋体"/>
          <w:i w:val="0"/>
          <w:iCs w:val="0"/>
          <w:sz w:val="21"/>
          <w:szCs w:val="21"/>
          <w:highlight w:val="none"/>
          <w:u w:val="none"/>
        </w:rPr>
        <w:t>电 话：</w:t>
      </w:r>
      <w:r>
        <w:rPr>
          <w:rFonts w:hint="eastAsia" w:ascii="宋体" w:hAnsi="宋体" w:cs="宋体"/>
          <w:i w:val="0"/>
          <w:iCs w:val="0"/>
          <w:sz w:val="21"/>
          <w:szCs w:val="21"/>
          <w:highlight w:val="none"/>
          <w:u w:val="none"/>
          <w:lang w:eastAsia="zh-CN"/>
        </w:rPr>
        <w:t>18699973005</w:t>
      </w:r>
    </w:p>
    <w:p w14:paraId="5F04F472">
      <w:pPr>
        <w:rPr>
          <w:highlight w:val="none"/>
        </w:rPr>
      </w:pPr>
    </w:p>
    <w:p w14:paraId="5000E1C0">
      <w:pPr>
        <w:pStyle w:val="31"/>
        <w:jc w:val="center"/>
        <w:rPr>
          <w:rFonts w:hint="eastAsia" w:ascii="仿宋" w:hAnsi="仿宋" w:eastAsia="仿宋" w:cs="仿宋"/>
          <w:color w:val="auto"/>
          <w:sz w:val="32"/>
          <w:szCs w:val="32"/>
          <w:highlight w:val="none"/>
        </w:rPr>
      </w:pPr>
    </w:p>
    <w:p w14:paraId="6BC41F62">
      <w:pPr>
        <w:pStyle w:val="31"/>
        <w:jc w:val="center"/>
        <w:rPr>
          <w:rFonts w:hint="eastAsia" w:ascii="仿宋" w:hAnsi="仿宋" w:eastAsia="仿宋" w:cs="仿宋"/>
          <w:color w:val="auto"/>
          <w:sz w:val="32"/>
          <w:szCs w:val="32"/>
          <w:highlight w:val="none"/>
        </w:rPr>
      </w:pPr>
    </w:p>
    <w:p w14:paraId="6F4A8D36">
      <w:pPr>
        <w:pStyle w:val="31"/>
        <w:jc w:val="center"/>
        <w:rPr>
          <w:rFonts w:hint="eastAsia" w:ascii="仿宋" w:hAnsi="仿宋" w:eastAsia="仿宋" w:cs="仿宋"/>
          <w:color w:val="auto"/>
          <w:sz w:val="32"/>
          <w:szCs w:val="32"/>
          <w:highlight w:val="none"/>
        </w:rPr>
      </w:pPr>
    </w:p>
    <w:p w14:paraId="3329E1F1">
      <w:pPr>
        <w:pStyle w:val="31"/>
        <w:jc w:val="center"/>
        <w:rPr>
          <w:rFonts w:hint="eastAsia" w:ascii="仿宋" w:hAnsi="仿宋" w:eastAsia="仿宋" w:cs="仿宋"/>
          <w:color w:val="auto"/>
          <w:sz w:val="32"/>
          <w:szCs w:val="32"/>
          <w:highlight w:val="none"/>
        </w:rPr>
      </w:pPr>
    </w:p>
    <w:p w14:paraId="74AD9D9F">
      <w:pPr>
        <w:pStyle w:val="31"/>
        <w:jc w:val="center"/>
        <w:rPr>
          <w:rFonts w:hint="eastAsia" w:ascii="仿宋" w:hAnsi="仿宋" w:eastAsia="仿宋" w:cs="仿宋"/>
          <w:color w:val="auto"/>
          <w:sz w:val="32"/>
          <w:szCs w:val="32"/>
          <w:highlight w:val="none"/>
        </w:rPr>
      </w:pPr>
    </w:p>
    <w:p w14:paraId="2744C105">
      <w:pPr>
        <w:pStyle w:val="31"/>
        <w:jc w:val="center"/>
        <w:rPr>
          <w:rFonts w:hint="eastAsia" w:ascii="仿宋" w:hAnsi="仿宋" w:eastAsia="仿宋" w:cs="仿宋"/>
          <w:color w:val="auto"/>
          <w:sz w:val="32"/>
          <w:szCs w:val="32"/>
          <w:highlight w:val="none"/>
        </w:rPr>
      </w:pPr>
    </w:p>
    <w:p w14:paraId="683FEEFA">
      <w:pPr>
        <w:pStyle w:val="31"/>
        <w:jc w:val="center"/>
        <w:rPr>
          <w:rFonts w:hint="eastAsia" w:ascii="仿宋" w:hAnsi="仿宋" w:eastAsia="仿宋" w:cs="仿宋"/>
          <w:color w:val="auto"/>
          <w:sz w:val="32"/>
          <w:szCs w:val="32"/>
          <w:highlight w:val="none"/>
        </w:rPr>
      </w:pPr>
    </w:p>
    <w:p w14:paraId="596AC1DB">
      <w:pPr>
        <w:pStyle w:val="31"/>
        <w:jc w:val="center"/>
        <w:rPr>
          <w:rFonts w:hint="eastAsia" w:ascii="仿宋" w:hAnsi="仿宋" w:eastAsia="仿宋" w:cs="仿宋"/>
          <w:color w:val="auto"/>
          <w:sz w:val="32"/>
          <w:szCs w:val="32"/>
          <w:highlight w:val="none"/>
        </w:rPr>
      </w:pPr>
    </w:p>
    <w:p w14:paraId="13CDE7E1">
      <w:pPr>
        <w:pStyle w:val="31"/>
        <w:jc w:val="center"/>
        <w:rPr>
          <w:rFonts w:hint="eastAsia" w:ascii="仿宋" w:hAnsi="仿宋" w:eastAsia="仿宋" w:cs="仿宋"/>
          <w:color w:val="auto"/>
          <w:sz w:val="32"/>
          <w:szCs w:val="32"/>
          <w:highlight w:val="none"/>
        </w:rPr>
      </w:pPr>
    </w:p>
    <w:p w14:paraId="70AB6AAC">
      <w:pPr>
        <w:pStyle w:val="31"/>
        <w:jc w:val="center"/>
        <w:rPr>
          <w:rFonts w:hint="eastAsia" w:ascii="仿宋" w:hAnsi="仿宋" w:eastAsia="仿宋" w:cs="仿宋"/>
          <w:color w:val="auto"/>
          <w:sz w:val="32"/>
          <w:szCs w:val="32"/>
          <w:highlight w:val="none"/>
        </w:rPr>
      </w:pPr>
    </w:p>
    <w:p w14:paraId="27382556">
      <w:pPr>
        <w:pStyle w:val="31"/>
        <w:jc w:val="center"/>
        <w:rPr>
          <w:rFonts w:hint="eastAsia" w:ascii="仿宋" w:hAnsi="仿宋" w:eastAsia="仿宋" w:cs="仿宋"/>
          <w:color w:val="auto"/>
          <w:sz w:val="32"/>
          <w:szCs w:val="32"/>
          <w:highlight w:val="none"/>
        </w:rPr>
      </w:pPr>
    </w:p>
    <w:p w14:paraId="6DEAE091">
      <w:pPr>
        <w:pStyle w:val="31"/>
        <w:jc w:val="center"/>
        <w:rPr>
          <w:rFonts w:hint="eastAsia" w:ascii="仿宋" w:hAnsi="仿宋" w:eastAsia="仿宋" w:cs="仿宋"/>
          <w:color w:val="auto"/>
          <w:sz w:val="32"/>
          <w:szCs w:val="32"/>
          <w:highlight w:val="none"/>
        </w:rPr>
      </w:pPr>
    </w:p>
    <w:p w14:paraId="50C40EC9">
      <w:pPr>
        <w:pStyle w:val="31"/>
        <w:jc w:val="both"/>
        <w:rPr>
          <w:rFonts w:hint="eastAsia" w:ascii="仿宋" w:hAnsi="仿宋" w:eastAsia="仿宋" w:cs="仿宋"/>
          <w:color w:val="auto"/>
          <w:sz w:val="32"/>
          <w:szCs w:val="32"/>
          <w:highlight w:val="none"/>
        </w:rPr>
      </w:pPr>
    </w:p>
    <w:p w14:paraId="54384B9C">
      <w:pPr>
        <w:pStyle w:val="31"/>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第二章 </w:t>
      </w:r>
      <w:bookmarkStart w:id="3" w:name="_Toc5345_WPSOffice_Level1"/>
      <w:r>
        <w:rPr>
          <w:rFonts w:hint="eastAsia" w:ascii="仿宋" w:hAnsi="仿宋" w:eastAsia="仿宋" w:cs="仿宋"/>
          <w:color w:val="auto"/>
          <w:sz w:val="32"/>
          <w:szCs w:val="32"/>
          <w:highlight w:val="none"/>
        </w:rPr>
        <w:t>投标须知前附表</w:t>
      </w:r>
      <w:bookmarkEnd w:id="1"/>
      <w:bookmarkEnd w:id="3"/>
    </w:p>
    <w:tbl>
      <w:tblPr>
        <w:tblStyle w:val="33"/>
        <w:tblW w:w="10533" w:type="dxa"/>
        <w:tblInd w:w="-73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32"/>
        <w:gridCol w:w="1664"/>
        <w:gridCol w:w="1293"/>
        <w:gridCol w:w="454"/>
        <w:gridCol w:w="2204"/>
        <w:gridCol w:w="186"/>
        <w:gridCol w:w="1703"/>
        <w:gridCol w:w="2497"/>
      </w:tblGrid>
      <w:tr w14:paraId="479176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5" w:hRule="atLeast"/>
        </w:trPr>
        <w:tc>
          <w:tcPr>
            <w:tcW w:w="532" w:type="dxa"/>
            <w:vAlign w:val="center"/>
          </w:tcPr>
          <w:p w14:paraId="3C5CBA8E">
            <w:pPr>
              <w:autoSpaceDE w:val="0"/>
              <w:autoSpaceDN w:val="0"/>
              <w:adjustRightInd w:val="0"/>
              <w:snapToGrid w:val="0"/>
              <w:spacing w:line="360" w:lineRule="auto"/>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1664" w:type="dxa"/>
            <w:vAlign w:val="center"/>
          </w:tcPr>
          <w:p w14:paraId="4BFAA448">
            <w:pPr>
              <w:autoSpaceDE w:val="0"/>
              <w:autoSpaceDN w:val="0"/>
              <w:adjustRightInd w:val="0"/>
              <w:snapToGrid w:val="0"/>
              <w:spacing w:line="360" w:lineRule="auto"/>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条款名称</w:t>
            </w:r>
          </w:p>
        </w:tc>
        <w:tc>
          <w:tcPr>
            <w:tcW w:w="8337" w:type="dxa"/>
            <w:gridSpan w:val="6"/>
            <w:tcBorders>
              <w:bottom w:val="single" w:color="auto" w:sz="4" w:space="0"/>
            </w:tcBorders>
            <w:vAlign w:val="center"/>
          </w:tcPr>
          <w:p w14:paraId="1BBACF87">
            <w:pPr>
              <w:autoSpaceDE w:val="0"/>
              <w:autoSpaceDN w:val="0"/>
              <w:adjustRightInd w:val="0"/>
              <w:snapToGrid w:val="0"/>
              <w:spacing w:line="360" w:lineRule="auto"/>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内容</w:t>
            </w:r>
          </w:p>
        </w:tc>
      </w:tr>
      <w:tr w14:paraId="2A95D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Merge w:val="restart"/>
            <w:vAlign w:val="center"/>
          </w:tcPr>
          <w:p w14:paraId="245B4298">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1</w:t>
            </w:r>
          </w:p>
        </w:tc>
        <w:tc>
          <w:tcPr>
            <w:tcW w:w="1664" w:type="dxa"/>
            <w:vMerge w:val="restart"/>
            <w:vAlign w:val="center"/>
          </w:tcPr>
          <w:p w14:paraId="456909BD">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项目名称</w:t>
            </w:r>
          </w:p>
        </w:tc>
        <w:tc>
          <w:tcPr>
            <w:tcW w:w="1293" w:type="dxa"/>
            <w:tcBorders>
              <w:top w:val="single" w:color="auto" w:sz="4" w:space="0"/>
              <w:bottom w:val="single" w:color="auto" w:sz="4" w:space="0"/>
              <w:right w:val="single" w:color="auto" w:sz="4" w:space="0"/>
            </w:tcBorders>
            <w:vAlign w:val="center"/>
          </w:tcPr>
          <w:p w14:paraId="172BC843">
            <w:pPr>
              <w:autoSpaceDE w:val="0"/>
              <w:autoSpaceDN w:val="0"/>
              <w:adjustRightIn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7044" w:type="dxa"/>
            <w:gridSpan w:val="5"/>
            <w:tcBorders>
              <w:top w:val="single" w:color="auto" w:sz="4" w:space="0"/>
              <w:left w:val="single" w:color="auto" w:sz="4" w:space="0"/>
              <w:bottom w:val="single" w:color="auto" w:sz="4" w:space="0"/>
            </w:tcBorders>
            <w:vAlign w:val="center"/>
          </w:tcPr>
          <w:p w14:paraId="6BA68248">
            <w:pPr>
              <w:pageBreakBefore w:val="0"/>
              <w:kinsoku/>
              <w:wordWrap/>
              <w:overflowPunct/>
              <w:topLinePunct w:val="0"/>
              <w:autoSpaceDE/>
              <w:autoSpaceDN/>
              <w:bidi w:val="0"/>
              <w:adjustRightInd/>
              <w:snapToGrid/>
              <w:spacing w:line="370" w:lineRule="exact"/>
              <w:rPr>
                <w:rFonts w:hint="eastAsia" w:ascii="仿宋" w:hAnsi="仿宋" w:eastAsia="仿宋" w:cs="Times New Roman"/>
                <w:sz w:val="24"/>
                <w:szCs w:val="24"/>
                <w:highlight w:val="none"/>
                <w:lang w:val="en-US" w:eastAsia="zh-CN"/>
              </w:rPr>
            </w:pPr>
            <w:r>
              <w:rPr>
                <w:rFonts w:hint="eastAsia" w:ascii="仿宋" w:hAnsi="仿宋" w:eastAsia="仿宋" w:cs="Times New Roman"/>
                <w:sz w:val="24"/>
                <w:szCs w:val="24"/>
                <w:highlight w:val="none"/>
                <w:lang w:val="en-US" w:eastAsia="zh-CN"/>
              </w:rPr>
              <w:t>特克斯县人民医院2025年度文化建设项目（二次）（标项一）</w:t>
            </w:r>
          </w:p>
        </w:tc>
      </w:tr>
      <w:tr w14:paraId="3A3D0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Merge w:val="continue"/>
            <w:vAlign w:val="center"/>
          </w:tcPr>
          <w:p w14:paraId="0E2508A4">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664" w:type="dxa"/>
            <w:vMerge w:val="continue"/>
            <w:vAlign w:val="center"/>
          </w:tcPr>
          <w:p w14:paraId="4A76F0CA">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293" w:type="dxa"/>
            <w:tcBorders>
              <w:top w:val="single" w:color="auto" w:sz="4" w:space="0"/>
              <w:right w:val="single" w:color="auto" w:sz="4" w:space="0"/>
            </w:tcBorders>
            <w:vAlign w:val="center"/>
          </w:tcPr>
          <w:p w14:paraId="229C8ADC">
            <w:pPr>
              <w:autoSpaceDE w:val="0"/>
              <w:autoSpaceDN w:val="0"/>
              <w:adjustRightIn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编号</w:t>
            </w:r>
          </w:p>
        </w:tc>
        <w:tc>
          <w:tcPr>
            <w:tcW w:w="7044" w:type="dxa"/>
            <w:gridSpan w:val="5"/>
            <w:tcBorders>
              <w:top w:val="single" w:color="auto" w:sz="4" w:space="0"/>
              <w:left w:val="single" w:color="auto" w:sz="4" w:space="0"/>
            </w:tcBorders>
            <w:vAlign w:val="center"/>
          </w:tcPr>
          <w:p w14:paraId="0DD7E796">
            <w:pPr>
              <w:pageBreakBefore w:val="0"/>
              <w:kinsoku/>
              <w:wordWrap/>
              <w:overflowPunct/>
              <w:topLinePunct w:val="0"/>
              <w:autoSpaceDE/>
              <w:autoSpaceDN/>
              <w:bidi w:val="0"/>
              <w:adjustRightInd/>
              <w:snapToGrid/>
              <w:spacing w:line="370" w:lineRule="exact"/>
              <w:rPr>
                <w:rFonts w:hint="default" w:ascii="仿宋" w:hAnsi="仿宋" w:eastAsia="仿宋" w:cs="Times New Roman"/>
                <w:sz w:val="24"/>
                <w:szCs w:val="24"/>
                <w:highlight w:val="none"/>
                <w:lang w:val="en-US" w:eastAsia="zh-CN"/>
              </w:rPr>
            </w:pPr>
            <w:r>
              <w:rPr>
                <w:rFonts w:hint="eastAsia" w:ascii="仿宋" w:hAnsi="仿宋" w:eastAsia="仿宋" w:cs="Times New Roman"/>
                <w:sz w:val="24"/>
                <w:szCs w:val="24"/>
                <w:highlight w:val="none"/>
                <w:lang w:val="en-US" w:eastAsia="zh-CN"/>
              </w:rPr>
              <w:t>HYYL-2025-032-1</w:t>
            </w:r>
          </w:p>
        </w:tc>
      </w:tr>
      <w:tr w14:paraId="1B04C4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Merge w:val="restart"/>
            <w:vAlign w:val="center"/>
          </w:tcPr>
          <w:p w14:paraId="7CC26A2E">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2</w:t>
            </w:r>
          </w:p>
        </w:tc>
        <w:tc>
          <w:tcPr>
            <w:tcW w:w="1664" w:type="dxa"/>
            <w:vMerge w:val="restart"/>
            <w:vAlign w:val="center"/>
          </w:tcPr>
          <w:p w14:paraId="56A1F494">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采购人</w:t>
            </w:r>
          </w:p>
        </w:tc>
        <w:tc>
          <w:tcPr>
            <w:tcW w:w="1293" w:type="dxa"/>
            <w:tcBorders>
              <w:bottom w:val="single" w:color="auto" w:sz="4" w:space="0"/>
              <w:right w:val="single" w:color="auto" w:sz="4" w:space="0"/>
            </w:tcBorders>
            <w:vAlign w:val="center"/>
          </w:tcPr>
          <w:p w14:paraId="2DB2EA1E">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7044" w:type="dxa"/>
            <w:gridSpan w:val="5"/>
            <w:tcBorders>
              <w:left w:val="single" w:color="auto" w:sz="4" w:space="0"/>
              <w:bottom w:val="single" w:color="auto" w:sz="4" w:space="0"/>
            </w:tcBorders>
            <w:vAlign w:val="center"/>
          </w:tcPr>
          <w:p w14:paraId="6CEB3C57">
            <w:pPr>
              <w:pageBreakBefore w:val="0"/>
              <w:kinsoku/>
              <w:wordWrap/>
              <w:overflowPunct/>
              <w:topLinePunct w:val="0"/>
              <w:autoSpaceDE/>
              <w:autoSpaceDN/>
              <w:bidi w:val="0"/>
              <w:adjustRightInd/>
              <w:snapToGrid/>
              <w:spacing w:line="370" w:lineRule="exact"/>
              <w:rPr>
                <w:rFonts w:hint="eastAsia" w:ascii="仿宋" w:hAnsi="仿宋" w:eastAsia="仿宋" w:cs="Times New Roman"/>
                <w:sz w:val="24"/>
                <w:szCs w:val="24"/>
                <w:highlight w:val="none"/>
                <w:lang w:val="en-US" w:eastAsia="zh-CN"/>
              </w:rPr>
            </w:pPr>
            <w:r>
              <w:rPr>
                <w:rFonts w:hint="eastAsia" w:ascii="仿宋" w:hAnsi="仿宋" w:eastAsia="仿宋" w:cs="Times New Roman"/>
                <w:sz w:val="24"/>
                <w:szCs w:val="24"/>
                <w:highlight w:val="none"/>
                <w:lang w:val="en-US" w:eastAsia="zh-CN"/>
              </w:rPr>
              <w:t>特克斯县人民医院</w:t>
            </w:r>
          </w:p>
        </w:tc>
      </w:tr>
      <w:tr w14:paraId="49C7E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Merge w:val="continue"/>
            <w:vAlign w:val="center"/>
          </w:tcPr>
          <w:p w14:paraId="79B1823D">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664" w:type="dxa"/>
            <w:vMerge w:val="continue"/>
            <w:vAlign w:val="center"/>
          </w:tcPr>
          <w:p w14:paraId="58516B46">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293" w:type="dxa"/>
            <w:tcBorders>
              <w:top w:val="single" w:color="auto" w:sz="4" w:space="0"/>
              <w:bottom w:val="single" w:color="auto" w:sz="4" w:space="0"/>
              <w:right w:val="single" w:color="auto" w:sz="4" w:space="0"/>
            </w:tcBorders>
            <w:vAlign w:val="center"/>
          </w:tcPr>
          <w:p w14:paraId="7A35BDDD">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联系人</w:t>
            </w:r>
          </w:p>
        </w:tc>
        <w:tc>
          <w:tcPr>
            <w:tcW w:w="2658" w:type="dxa"/>
            <w:gridSpan w:val="2"/>
            <w:tcBorders>
              <w:top w:val="single" w:color="auto" w:sz="4" w:space="0"/>
              <w:left w:val="single" w:color="auto" w:sz="4" w:space="0"/>
              <w:bottom w:val="single" w:color="auto" w:sz="4" w:space="0"/>
              <w:right w:val="single" w:color="auto" w:sz="4" w:space="0"/>
            </w:tcBorders>
            <w:vAlign w:val="center"/>
          </w:tcPr>
          <w:p w14:paraId="749BA9D7">
            <w:pPr>
              <w:pageBreakBefore w:val="0"/>
              <w:kinsoku/>
              <w:wordWrap/>
              <w:overflowPunct/>
              <w:topLinePunct w:val="0"/>
              <w:autoSpaceDE/>
              <w:autoSpaceDN/>
              <w:bidi w:val="0"/>
              <w:adjustRightInd/>
              <w:snapToGrid/>
              <w:spacing w:line="370" w:lineRule="exact"/>
              <w:rPr>
                <w:rFonts w:hint="eastAsia" w:ascii="仿宋" w:hAnsi="仿宋" w:eastAsia="仿宋" w:cs="Times New Roman"/>
                <w:sz w:val="24"/>
                <w:szCs w:val="24"/>
                <w:highlight w:val="none"/>
                <w:lang w:val="en-US" w:eastAsia="zh-CN"/>
              </w:rPr>
            </w:pPr>
            <w:r>
              <w:rPr>
                <w:rFonts w:hint="eastAsia" w:ascii="仿宋" w:hAnsi="仿宋" w:eastAsia="仿宋" w:cs="Times New Roman"/>
                <w:sz w:val="24"/>
                <w:szCs w:val="24"/>
                <w:highlight w:val="none"/>
                <w:lang w:val="en-US" w:eastAsia="zh-CN"/>
              </w:rPr>
              <w:t>庞主任</w:t>
            </w:r>
          </w:p>
        </w:tc>
        <w:tc>
          <w:tcPr>
            <w:tcW w:w="1889" w:type="dxa"/>
            <w:gridSpan w:val="2"/>
            <w:tcBorders>
              <w:top w:val="single" w:color="auto" w:sz="4" w:space="0"/>
              <w:left w:val="single" w:color="auto" w:sz="4" w:space="0"/>
              <w:bottom w:val="single" w:color="auto" w:sz="4" w:space="0"/>
              <w:right w:val="single" w:color="auto" w:sz="4" w:space="0"/>
            </w:tcBorders>
            <w:vAlign w:val="center"/>
          </w:tcPr>
          <w:p w14:paraId="66668F29">
            <w:pPr>
              <w:pageBreakBefore w:val="0"/>
              <w:kinsoku/>
              <w:wordWrap/>
              <w:overflowPunct/>
              <w:topLinePunct w:val="0"/>
              <w:autoSpaceDE/>
              <w:autoSpaceDN/>
              <w:bidi w:val="0"/>
              <w:adjustRightInd/>
              <w:snapToGrid/>
              <w:spacing w:line="370" w:lineRule="exact"/>
              <w:rPr>
                <w:rFonts w:hint="eastAsia" w:ascii="仿宋" w:hAnsi="仿宋" w:eastAsia="仿宋" w:cs="Times New Roman"/>
                <w:sz w:val="24"/>
                <w:szCs w:val="24"/>
                <w:highlight w:val="none"/>
                <w:lang w:val="en-US" w:eastAsia="zh-CN"/>
              </w:rPr>
            </w:pPr>
            <w:r>
              <w:rPr>
                <w:rFonts w:hint="eastAsia" w:ascii="仿宋" w:hAnsi="仿宋" w:eastAsia="仿宋" w:cs="Times New Roman"/>
                <w:sz w:val="24"/>
                <w:szCs w:val="24"/>
                <w:highlight w:val="none"/>
                <w:lang w:val="en-US" w:eastAsia="zh-CN"/>
              </w:rPr>
              <w:t>联系电话</w:t>
            </w:r>
          </w:p>
        </w:tc>
        <w:tc>
          <w:tcPr>
            <w:tcW w:w="2497" w:type="dxa"/>
            <w:tcBorders>
              <w:top w:val="single" w:color="auto" w:sz="4" w:space="0"/>
              <w:left w:val="single" w:color="auto" w:sz="4" w:space="0"/>
              <w:bottom w:val="single" w:color="auto" w:sz="4" w:space="0"/>
            </w:tcBorders>
            <w:vAlign w:val="center"/>
          </w:tcPr>
          <w:p w14:paraId="2F45C524">
            <w:pPr>
              <w:pageBreakBefore w:val="0"/>
              <w:kinsoku/>
              <w:wordWrap/>
              <w:overflowPunct/>
              <w:topLinePunct w:val="0"/>
              <w:autoSpaceDE/>
              <w:autoSpaceDN/>
              <w:bidi w:val="0"/>
              <w:adjustRightInd/>
              <w:snapToGrid/>
              <w:spacing w:line="370" w:lineRule="exact"/>
              <w:rPr>
                <w:rFonts w:hint="eastAsia" w:ascii="仿宋" w:hAnsi="仿宋" w:eastAsia="仿宋" w:cs="Times New Roman"/>
                <w:sz w:val="24"/>
                <w:szCs w:val="24"/>
                <w:highlight w:val="none"/>
                <w:lang w:val="en-US" w:eastAsia="zh-CN"/>
              </w:rPr>
            </w:pPr>
            <w:r>
              <w:rPr>
                <w:rFonts w:hint="eastAsia" w:ascii="仿宋" w:hAnsi="仿宋" w:eastAsia="仿宋" w:cs="Times New Roman"/>
                <w:sz w:val="24"/>
                <w:szCs w:val="24"/>
                <w:highlight w:val="none"/>
                <w:lang w:val="en-US" w:eastAsia="zh-CN"/>
              </w:rPr>
              <w:t>0999-6626455</w:t>
            </w:r>
          </w:p>
        </w:tc>
      </w:tr>
      <w:tr w14:paraId="78E99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32" w:type="dxa"/>
            <w:vMerge w:val="continue"/>
            <w:vAlign w:val="center"/>
          </w:tcPr>
          <w:p w14:paraId="2FF6A01B">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664" w:type="dxa"/>
            <w:vMerge w:val="continue"/>
            <w:vAlign w:val="center"/>
          </w:tcPr>
          <w:p w14:paraId="57AB807B">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293" w:type="dxa"/>
            <w:tcBorders>
              <w:top w:val="single" w:color="auto" w:sz="4" w:space="0"/>
              <w:right w:val="single" w:color="auto" w:sz="4" w:space="0"/>
            </w:tcBorders>
            <w:vAlign w:val="center"/>
          </w:tcPr>
          <w:p w14:paraId="76E9B8C0">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地址</w:t>
            </w:r>
          </w:p>
        </w:tc>
        <w:tc>
          <w:tcPr>
            <w:tcW w:w="7044" w:type="dxa"/>
            <w:gridSpan w:val="5"/>
            <w:tcBorders>
              <w:top w:val="single" w:color="auto" w:sz="4" w:space="0"/>
              <w:left w:val="single" w:color="auto" w:sz="4" w:space="0"/>
            </w:tcBorders>
            <w:vAlign w:val="center"/>
          </w:tcPr>
          <w:p w14:paraId="37105216">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特克斯县</w:t>
            </w:r>
          </w:p>
        </w:tc>
      </w:tr>
      <w:tr w14:paraId="23F60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Merge w:val="restart"/>
            <w:vAlign w:val="center"/>
          </w:tcPr>
          <w:p w14:paraId="73009600">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3</w:t>
            </w:r>
          </w:p>
        </w:tc>
        <w:tc>
          <w:tcPr>
            <w:tcW w:w="1664" w:type="dxa"/>
            <w:vMerge w:val="restart"/>
            <w:vAlign w:val="center"/>
          </w:tcPr>
          <w:p w14:paraId="44848F2B">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采购代理机构</w:t>
            </w:r>
          </w:p>
        </w:tc>
        <w:tc>
          <w:tcPr>
            <w:tcW w:w="1293" w:type="dxa"/>
            <w:tcBorders>
              <w:bottom w:val="single" w:color="auto" w:sz="4" w:space="0"/>
              <w:right w:val="single" w:color="auto" w:sz="4" w:space="0"/>
            </w:tcBorders>
            <w:vAlign w:val="center"/>
          </w:tcPr>
          <w:p w14:paraId="48FF20FE">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7044" w:type="dxa"/>
            <w:gridSpan w:val="5"/>
            <w:tcBorders>
              <w:left w:val="single" w:color="auto" w:sz="4" w:space="0"/>
              <w:bottom w:val="single" w:color="auto" w:sz="4" w:space="0"/>
            </w:tcBorders>
            <w:vAlign w:val="center"/>
          </w:tcPr>
          <w:p w14:paraId="354DD336">
            <w:pPr>
              <w:spacing w:line="360" w:lineRule="auto"/>
              <w:jc w:val="left"/>
              <w:rPr>
                <w:rFonts w:hint="eastAsia" w:ascii="仿宋" w:hAnsi="仿宋" w:eastAsia="仿宋" w:cs="仿宋"/>
                <w:color w:val="auto"/>
                <w:sz w:val="24"/>
                <w:szCs w:val="24"/>
                <w:highlight w:val="none"/>
              </w:rPr>
            </w:pPr>
            <w:r>
              <w:rPr>
                <w:rFonts w:hint="eastAsia" w:ascii="仿宋" w:hAnsi="仿宋" w:eastAsia="仿宋" w:cs="宋体"/>
                <w:sz w:val="24"/>
                <w:szCs w:val="24"/>
                <w:highlight w:val="none"/>
                <w:u w:val="none"/>
                <w:lang w:val="zh-CN" w:eastAsia="zh-CN"/>
              </w:rPr>
              <w:t>新疆华域建设工程项目管理咨询有限公司</w:t>
            </w:r>
          </w:p>
        </w:tc>
      </w:tr>
      <w:tr w14:paraId="1E4E1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2" w:hRule="atLeast"/>
        </w:trPr>
        <w:tc>
          <w:tcPr>
            <w:tcW w:w="532" w:type="dxa"/>
            <w:vMerge w:val="continue"/>
            <w:vAlign w:val="center"/>
          </w:tcPr>
          <w:p w14:paraId="3B9F3B05">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664" w:type="dxa"/>
            <w:vMerge w:val="continue"/>
            <w:vAlign w:val="center"/>
          </w:tcPr>
          <w:p w14:paraId="100A602F">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293" w:type="dxa"/>
            <w:tcBorders>
              <w:top w:val="single" w:color="auto" w:sz="4" w:space="0"/>
              <w:bottom w:val="single" w:color="auto" w:sz="4" w:space="0"/>
              <w:right w:val="single" w:color="auto" w:sz="4" w:space="0"/>
            </w:tcBorders>
            <w:vAlign w:val="center"/>
          </w:tcPr>
          <w:p w14:paraId="1C02856C">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联系人</w:t>
            </w:r>
          </w:p>
        </w:tc>
        <w:tc>
          <w:tcPr>
            <w:tcW w:w="2658" w:type="dxa"/>
            <w:gridSpan w:val="2"/>
            <w:tcBorders>
              <w:top w:val="single" w:color="auto" w:sz="4" w:space="0"/>
              <w:left w:val="single" w:color="auto" w:sz="4" w:space="0"/>
              <w:bottom w:val="single" w:color="auto" w:sz="4" w:space="0"/>
              <w:right w:val="single" w:color="auto" w:sz="4" w:space="0"/>
            </w:tcBorders>
            <w:vAlign w:val="center"/>
          </w:tcPr>
          <w:p w14:paraId="64D59FA9">
            <w:pPr>
              <w:spacing w:line="360" w:lineRule="auto"/>
              <w:jc w:val="both"/>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薛迎</w:t>
            </w:r>
          </w:p>
        </w:tc>
        <w:tc>
          <w:tcPr>
            <w:tcW w:w="1889" w:type="dxa"/>
            <w:gridSpan w:val="2"/>
            <w:tcBorders>
              <w:top w:val="single" w:color="auto" w:sz="4" w:space="0"/>
              <w:left w:val="single" w:color="auto" w:sz="4" w:space="0"/>
              <w:bottom w:val="single" w:color="auto" w:sz="4" w:space="0"/>
              <w:right w:val="single" w:color="auto" w:sz="4" w:space="0"/>
            </w:tcBorders>
            <w:vAlign w:val="center"/>
          </w:tcPr>
          <w:p w14:paraId="481F9B6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2497" w:type="dxa"/>
            <w:tcBorders>
              <w:top w:val="single" w:color="auto" w:sz="4" w:space="0"/>
              <w:left w:val="single" w:color="auto" w:sz="4" w:space="0"/>
              <w:bottom w:val="single" w:color="auto" w:sz="4" w:space="0"/>
            </w:tcBorders>
            <w:vAlign w:val="center"/>
          </w:tcPr>
          <w:p w14:paraId="34BD9634">
            <w:pPr>
              <w:spacing w:line="360" w:lineRule="auto"/>
              <w:jc w:val="both"/>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18699973005</w:t>
            </w:r>
          </w:p>
        </w:tc>
      </w:tr>
      <w:tr w14:paraId="05CC3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1" w:hRule="atLeast"/>
        </w:trPr>
        <w:tc>
          <w:tcPr>
            <w:tcW w:w="532" w:type="dxa"/>
            <w:vMerge w:val="continue"/>
            <w:vAlign w:val="center"/>
          </w:tcPr>
          <w:p w14:paraId="4123DA65">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664" w:type="dxa"/>
            <w:vMerge w:val="continue"/>
            <w:vAlign w:val="center"/>
          </w:tcPr>
          <w:p w14:paraId="62CCD5B8">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293" w:type="dxa"/>
            <w:tcBorders>
              <w:top w:val="single" w:color="auto" w:sz="4" w:space="0"/>
              <w:right w:val="single" w:color="auto" w:sz="4" w:space="0"/>
            </w:tcBorders>
            <w:vAlign w:val="center"/>
          </w:tcPr>
          <w:p w14:paraId="34D57EA4">
            <w:pPr>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地址</w:t>
            </w:r>
          </w:p>
        </w:tc>
        <w:tc>
          <w:tcPr>
            <w:tcW w:w="7044" w:type="dxa"/>
            <w:gridSpan w:val="5"/>
            <w:tcBorders>
              <w:top w:val="single" w:color="auto" w:sz="4" w:space="0"/>
              <w:left w:val="single" w:color="auto" w:sz="4" w:space="0"/>
            </w:tcBorders>
            <w:vAlign w:val="center"/>
          </w:tcPr>
          <w:p w14:paraId="4602B089">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伊宁市经济合作区北京路一品墅新房大厦10楼1004号</w:t>
            </w:r>
          </w:p>
        </w:tc>
      </w:tr>
      <w:tr w14:paraId="1030F5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trPr>
        <w:tc>
          <w:tcPr>
            <w:tcW w:w="532" w:type="dxa"/>
            <w:vAlign w:val="center"/>
          </w:tcPr>
          <w:p w14:paraId="1282EF13">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4</w:t>
            </w:r>
          </w:p>
        </w:tc>
        <w:tc>
          <w:tcPr>
            <w:tcW w:w="1664" w:type="dxa"/>
            <w:vAlign w:val="center"/>
          </w:tcPr>
          <w:p w14:paraId="4C7890DA">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采购内容</w:t>
            </w:r>
          </w:p>
        </w:tc>
        <w:tc>
          <w:tcPr>
            <w:tcW w:w="8337" w:type="dxa"/>
            <w:gridSpan w:val="6"/>
            <w:vAlign w:val="center"/>
          </w:tcPr>
          <w:p w14:paraId="112996C7">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特克斯县人民医院广告宣传服务，具体内容详见招标文件。</w:t>
            </w:r>
          </w:p>
        </w:tc>
      </w:tr>
      <w:tr w14:paraId="44449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532" w:type="dxa"/>
            <w:vMerge w:val="restart"/>
            <w:vAlign w:val="center"/>
          </w:tcPr>
          <w:p w14:paraId="3E534AE2">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5</w:t>
            </w:r>
          </w:p>
        </w:tc>
        <w:tc>
          <w:tcPr>
            <w:tcW w:w="1664" w:type="dxa"/>
            <w:vMerge w:val="restart"/>
            <w:vAlign w:val="center"/>
          </w:tcPr>
          <w:p w14:paraId="716F7C86">
            <w:pPr>
              <w:widowControl/>
              <w:adjustRightInd w:val="0"/>
              <w:snapToGrid w:val="0"/>
              <w:spacing w:before="100" w:beforeAutospacing="1" w:after="100" w:afterAutospacing="1"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最高限价金额</w:t>
            </w:r>
          </w:p>
        </w:tc>
        <w:tc>
          <w:tcPr>
            <w:tcW w:w="4137" w:type="dxa"/>
            <w:gridSpan w:val="4"/>
            <w:tcBorders>
              <w:bottom w:val="single" w:color="auto" w:sz="4" w:space="0"/>
              <w:right w:val="single" w:color="auto" w:sz="4" w:space="0"/>
            </w:tcBorders>
            <w:vAlign w:val="center"/>
          </w:tcPr>
          <w:p w14:paraId="16B10767">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小写（元）：600000.00</w:t>
            </w:r>
          </w:p>
        </w:tc>
        <w:tc>
          <w:tcPr>
            <w:tcW w:w="4200" w:type="dxa"/>
            <w:gridSpan w:val="2"/>
            <w:tcBorders>
              <w:left w:val="single" w:color="auto" w:sz="4" w:space="0"/>
              <w:bottom w:val="single" w:color="auto" w:sz="4" w:space="0"/>
            </w:tcBorders>
            <w:vAlign w:val="center"/>
          </w:tcPr>
          <w:p w14:paraId="31F02D97">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大写：陆拾万元整</w:t>
            </w:r>
          </w:p>
        </w:tc>
      </w:tr>
      <w:tr w14:paraId="322B7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32" w:type="dxa"/>
            <w:vMerge w:val="continue"/>
            <w:vAlign w:val="center"/>
          </w:tcPr>
          <w:p w14:paraId="125747DB">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664" w:type="dxa"/>
            <w:vMerge w:val="continue"/>
            <w:vAlign w:val="center"/>
          </w:tcPr>
          <w:p w14:paraId="662D0DFA">
            <w:pPr>
              <w:widowControl/>
              <w:adjustRightInd w:val="0"/>
              <w:snapToGrid w:val="0"/>
              <w:spacing w:before="100" w:beforeAutospacing="1" w:after="100" w:afterAutospacing="1" w:line="360" w:lineRule="auto"/>
              <w:jc w:val="center"/>
              <w:rPr>
                <w:rFonts w:hint="eastAsia" w:ascii="仿宋" w:hAnsi="仿宋" w:eastAsia="仿宋" w:cs="仿宋"/>
                <w:b/>
                <w:color w:val="auto"/>
                <w:kern w:val="0"/>
                <w:sz w:val="24"/>
                <w:szCs w:val="24"/>
                <w:highlight w:val="none"/>
              </w:rPr>
            </w:pPr>
          </w:p>
        </w:tc>
        <w:tc>
          <w:tcPr>
            <w:tcW w:w="8337" w:type="dxa"/>
            <w:gridSpan w:val="6"/>
            <w:tcBorders>
              <w:top w:val="single" w:color="auto" w:sz="4" w:space="0"/>
            </w:tcBorders>
            <w:vAlign w:val="center"/>
          </w:tcPr>
          <w:p w14:paraId="2495F322">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各投标人的投标总报价不得高于最高限价金额，否则将否决其投标；</w:t>
            </w:r>
          </w:p>
        </w:tc>
      </w:tr>
      <w:tr w14:paraId="3064F7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Align w:val="center"/>
          </w:tcPr>
          <w:p w14:paraId="2CC71F22">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6</w:t>
            </w:r>
          </w:p>
        </w:tc>
        <w:tc>
          <w:tcPr>
            <w:tcW w:w="1664" w:type="dxa"/>
            <w:vAlign w:val="center"/>
          </w:tcPr>
          <w:p w14:paraId="589E5380">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shd w:val="clear" w:color="auto" w:fill="FFFFFF"/>
              </w:rPr>
            </w:pPr>
            <w:r>
              <w:rPr>
                <w:rFonts w:hint="eastAsia" w:ascii="仿宋" w:hAnsi="仿宋" w:eastAsia="仿宋" w:cs="仿宋"/>
                <w:b/>
                <w:color w:val="auto"/>
                <w:kern w:val="0"/>
                <w:sz w:val="24"/>
                <w:szCs w:val="24"/>
                <w:highlight w:val="none"/>
                <w:shd w:val="clear" w:color="auto" w:fill="FFFFFF"/>
              </w:rPr>
              <w:t>资金来源</w:t>
            </w:r>
          </w:p>
        </w:tc>
        <w:tc>
          <w:tcPr>
            <w:tcW w:w="8337" w:type="dxa"/>
            <w:gridSpan w:val="6"/>
            <w:vAlign w:val="center"/>
          </w:tcPr>
          <w:p w14:paraId="3270F72E">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自筹资金</w:t>
            </w:r>
          </w:p>
        </w:tc>
      </w:tr>
      <w:tr w14:paraId="5BF8F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Align w:val="center"/>
          </w:tcPr>
          <w:p w14:paraId="27939ADC">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7</w:t>
            </w:r>
          </w:p>
        </w:tc>
        <w:tc>
          <w:tcPr>
            <w:tcW w:w="1664" w:type="dxa"/>
            <w:vAlign w:val="center"/>
          </w:tcPr>
          <w:p w14:paraId="3AD5FEE6">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shd w:val="clear" w:color="auto" w:fill="FFFFFF"/>
              </w:rPr>
            </w:pPr>
            <w:r>
              <w:rPr>
                <w:rFonts w:hint="eastAsia" w:ascii="仿宋" w:hAnsi="仿宋" w:eastAsia="仿宋" w:cs="仿宋"/>
                <w:b/>
                <w:color w:val="auto"/>
                <w:kern w:val="0"/>
                <w:sz w:val="24"/>
                <w:szCs w:val="24"/>
                <w:highlight w:val="none"/>
                <w:shd w:val="clear" w:color="auto" w:fill="FFFFFF"/>
              </w:rPr>
              <w:t>采购方式</w:t>
            </w:r>
          </w:p>
        </w:tc>
        <w:tc>
          <w:tcPr>
            <w:tcW w:w="8337" w:type="dxa"/>
            <w:gridSpan w:val="6"/>
            <w:vAlign w:val="center"/>
          </w:tcPr>
          <w:p w14:paraId="55189995">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公开招标</w:t>
            </w:r>
          </w:p>
        </w:tc>
      </w:tr>
      <w:tr w14:paraId="4BEBF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Align w:val="center"/>
          </w:tcPr>
          <w:p w14:paraId="71878F9B">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8</w:t>
            </w:r>
          </w:p>
        </w:tc>
        <w:tc>
          <w:tcPr>
            <w:tcW w:w="1664" w:type="dxa"/>
            <w:vAlign w:val="center"/>
          </w:tcPr>
          <w:p w14:paraId="207FFE92">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shd w:val="clear" w:color="auto" w:fill="FFFFFF"/>
              </w:rPr>
              <w:t>服务期限</w:t>
            </w:r>
          </w:p>
        </w:tc>
        <w:tc>
          <w:tcPr>
            <w:tcW w:w="8337" w:type="dxa"/>
            <w:gridSpan w:val="6"/>
            <w:vAlign w:val="center"/>
          </w:tcPr>
          <w:p w14:paraId="59458153">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合同签订之日起30个日历日</w:t>
            </w:r>
          </w:p>
        </w:tc>
      </w:tr>
      <w:tr w14:paraId="0D707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Align w:val="center"/>
          </w:tcPr>
          <w:p w14:paraId="68CC65FC">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9</w:t>
            </w:r>
          </w:p>
        </w:tc>
        <w:tc>
          <w:tcPr>
            <w:tcW w:w="1664" w:type="dxa"/>
            <w:vAlign w:val="center"/>
          </w:tcPr>
          <w:p w14:paraId="341FF994">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服务地点</w:t>
            </w:r>
          </w:p>
        </w:tc>
        <w:tc>
          <w:tcPr>
            <w:tcW w:w="8337" w:type="dxa"/>
            <w:gridSpan w:val="6"/>
            <w:vAlign w:val="center"/>
          </w:tcPr>
          <w:p w14:paraId="048E8993">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采购人指定地点。</w:t>
            </w:r>
          </w:p>
        </w:tc>
      </w:tr>
      <w:tr w14:paraId="22FAB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32" w:type="dxa"/>
            <w:vAlign w:val="center"/>
          </w:tcPr>
          <w:p w14:paraId="14960935">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10</w:t>
            </w:r>
          </w:p>
        </w:tc>
        <w:tc>
          <w:tcPr>
            <w:tcW w:w="1664" w:type="dxa"/>
            <w:vAlign w:val="center"/>
          </w:tcPr>
          <w:p w14:paraId="5C73D9A9">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付款方式</w:t>
            </w:r>
          </w:p>
        </w:tc>
        <w:tc>
          <w:tcPr>
            <w:tcW w:w="8337" w:type="dxa"/>
            <w:gridSpan w:val="6"/>
            <w:vAlign w:val="center"/>
          </w:tcPr>
          <w:p w14:paraId="11F82C7A">
            <w:pPr>
              <w:pStyle w:val="10"/>
              <w:ind w:firstLine="0"/>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以甲乙双方合同约定执行。</w:t>
            </w:r>
          </w:p>
        </w:tc>
      </w:tr>
      <w:tr w14:paraId="72D42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2" w:hRule="atLeast"/>
        </w:trPr>
        <w:tc>
          <w:tcPr>
            <w:tcW w:w="532" w:type="dxa"/>
            <w:vAlign w:val="center"/>
          </w:tcPr>
          <w:p w14:paraId="687FABA7">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11</w:t>
            </w:r>
          </w:p>
        </w:tc>
        <w:tc>
          <w:tcPr>
            <w:tcW w:w="1664" w:type="dxa"/>
            <w:vAlign w:val="center"/>
          </w:tcPr>
          <w:p w14:paraId="01676155">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lang w:val="en-US" w:eastAsia="zh-CN"/>
              </w:rPr>
              <w:t>采购</w:t>
            </w:r>
            <w:r>
              <w:rPr>
                <w:rFonts w:hint="eastAsia" w:ascii="仿宋" w:hAnsi="仿宋" w:eastAsia="仿宋" w:cs="仿宋"/>
                <w:b/>
                <w:color w:val="auto"/>
                <w:kern w:val="0"/>
                <w:sz w:val="24"/>
                <w:szCs w:val="24"/>
                <w:highlight w:val="none"/>
              </w:rPr>
              <w:t>要求</w:t>
            </w:r>
          </w:p>
        </w:tc>
        <w:tc>
          <w:tcPr>
            <w:tcW w:w="8337" w:type="dxa"/>
            <w:gridSpan w:val="6"/>
            <w:vAlign w:val="center"/>
          </w:tcPr>
          <w:p w14:paraId="1BD8A05B">
            <w:pPr>
              <w:widowControl/>
              <w:spacing w:line="360" w:lineRule="auto"/>
              <w:ind w:hanging="10"/>
              <w:jc w:val="left"/>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具体详见第五章采购需求。</w:t>
            </w:r>
          </w:p>
        </w:tc>
      </w:tr>
      <w:tr w14:paraId="74CC93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3" w:hRule="atLeast"/>
        </w:trPr>
        <w:tc>
          <w:tcPr>
            <w:tcW w:w="532" w:type="dxa"/>
            <w:vAlign w:val="center"/>
          </w:tcPr>
          <w:p w14:paraId="29B733D1">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12</w:t>
            </w:r>
          </w:p>
        </w:tc>
        <w:tc>
          <w:tcPr>
            <w:tcW w:w="1664" w:type="dxa"/>
            <w:vAlign w:val="center"/>
          </w:tcPr>
          <w:p w14:paraId="10380CC4">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lang w:eastAsia="zh-CN"/>
              </w:rPr>
              <w:t>投标人</w:t>
            </w:r>
            <w:r>
              <w:rPr>
                <w:rFonts w:hint="eastAsia" w:ascii="仿宋" w:hAnsi="仿宋" w:eastAsia="仿宋" w:cs="仿宋"/>
                <w:b/>
                <w:color w:val="auto"/>
                <w:kern w:val="0"/>
                <w:sz w:val="24"/>
                <w:szCs w:val="24"/>
                <w:highlight w:val="none"/>
              </w:rPr>
              <w:t>资格</w:t>
            </w:r>
          </w:p>
        </w:tc>
        <w:tc>
          <w:tcPr>
            <w:tcW w:w="8337" w:type="dxa"/>
            <w:gridSpan w:val="6"/>
            <w:vAlign w:val="center"/>
          </w:tcPr>
          <w:p w14:paraId="3C42EBA9">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详见第一章 采购公告，第二条申请人的资格要求</w:t>
            </w:r>
          </w:p>
        </w:tc>
      </w:tr>
      <w:tr w14:paraId="56772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532" w:type="dxa"/>
            <w:vMerge w:val="restart"/>
            <w:vAlign w:val="center"/>
          </w:tcPr>
          <w:p w14:paraId="77C0C916">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13</w:t>
            </w:r>
          </w:p>
        </w:tc>
        <w:tc>
          <w:tcPr>
            <w:tcW w:w="1664" w:type="dxa"/>
            <w:vMerge w:val="restart"/>
            <w:vAlign w:val="center"/>
          </w:tcPr>
          <w:p w14:paraId="3E5AB9A2">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缴纳投标</w:t>
            </w:r>
          </w:p>
          <w:p w14:paraId="241C7A5D">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保证金</w:t>
            </w:r>
          </w:p>
        </w:tc>
        <w:tc>
          <w:tcPr>
            <w:tcW w:w="8337" w:type="dxa"/>
            <w:gridSpan w:val="6"/>
            <w:tcBorders>
              <w:bottom w:val="single" w:color="auto" w:sz="4" w:space="0"/>
            </w:tcBorders>
            <w:vAlign w:val="center"/>
          </w:tcPr>
          <w:p w14:paraId="56C96CF1">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投标保证金的缴纳形式：投标保证金的缴纳形式：投标人必须以支票、汇票、本票或者金融机构、担保机构出具的保函（电子保函、保险保函、银行保函等）等非现金形式提交。</w:t>
            </w:r>
          </w:p>
          <w:p w14:paraId="616C0853">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投标保证金的金额：</w:t>
            </w:r>
            <w:r>
              <w:rPr>
                <w:rFonts w:hint="eastAsia" w:ascii="仿宋" w:hAnsi="仿宋" w:eastAsia="仿宋" w:cs="仿宋"/>
                <w:color w:val="auto"/>
                <w:sz w:val="24"/>
                <w:szCs w:val="24"/>
                <w:highlight w:val="none"/>
                <w:lang w:val="en-US" w:eastAsia="zh-CN"/>
              </w:rPr>
              <w:t>12000.00</w:t>
            </w:r>
            <w:r>
              <w:rPr>
                <w:rFonts w:hint="eastAsia" w:ascii="仿宋" w:hAnsi="仿宋" w:eastAsia="仿宋" w:cs="仿宋"/>
                <w:color w:val="auto"/>
                <w:sz w:val="24"/>
                <w:szCs w:val="24"/>
                <w:highlight w:val="none"/>
              </w:rPr>
              <w:t>元人民币（</w:t>
            </w:r>
            <w:r>
              <w:rPr>
                <w:rFonts w:hint="eastAsia" w:ascii="仿宋" w:hAnsi="仿宋" w:eastAsia="仿宋" w:cs="仿宋"/>
                <w:color w:val="auto"/>
                <w:sz w:val="24"/>
                <w:szCs w:val="24"/>
                <w:highlight w:val="none"/>
                <w:lang w:val="en-US" w:eastAsia="zh-CN"/>
              </w:rPr>
              <w:t>大写：壹万贰仟元整</w:t>
            </w:r>
            <w:r>
              <w:rPr>
                <w:rFonts w:hint="eastAsia" w:ascii="仿宋" w:hAnsi="仿宋" w:eastAsia="仿宋" w:cs="仿宋"/>
                <w:color w:val="auto"/>
                <w:sz w:val="24"/>
                <w:szCs w:val="24"/>
                <w:highlight w:val="none"/>
              </w:rPr>
              <w:t>）</w:t>
            </w:r>
          </w:p>
        </w:tc>
      </w:tr>
      <w:tr w14:paraId="24AB7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15" w:hRule="atLeast"/>
        </w:trPr>
        <w:tc>
          <w:tcPr>
            <w:tcW w:w="532" w:type="dxa"/>
            <w:vMerge w:val="continue"/>
            <w:vAlign w:val="center"/>
          </w:tcPr>
          <w:p w14:paraId="70D15416">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664" w:type="dxa"/>
            <w:vMerge w:val="continue"/>
            <w:vAlign w:val="center"/>
          </w:tcPr>
          <w:p w14:paraId="6B19B3EC">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8337" w:type="dxa"/>
            <w:gridSpan w:val="6"/>
            <w:tcBorders>
              <w:top w:val="single" w:color="auto" w:sz="4" w:space="0"/>
            </w:tcBorders>
            <w:vAlign w:val="center"/>
          </w:tcPr>
          <w:p w14:paraId="13C4419C">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(1)指定账户：</w:t>
            </w:r>
          </w:p>
          <w:p w14:paraId="564DB935">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单位名称：新疆华域建设工程项目管理咨询有限公司伊犁分公司  </w:t>
            </w:r>
          </w:p>
          <w:p w14:paraId="56BB136C">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开户银行：中国工商银行股份有限公司伊宁阿合买提江街支行</w:t>
            </w:r>
          </w:p>
          <w:p w14:paraId="53CF91CD">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银行账号：3006023109200131786</w:t>
            </w:r>
          </w:p>
          <w:p w14:paraId="297FBDD9">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(2)以政采云电子保函形式递交的，按照以下形式在线申请并在投标截止时间前办理完成:新疆政府采购网-“电子保函”页面，在线完成保函的申请、审核出函等环节。如遇问题可拨打政府采购咨询热线:95763。</w:t>
            </w:r>
          </w:p>
          <w:p w14:paraId="01A5C4BE">
            <w:pPr>
              <w:snapToGrid w:val="0"/>
              <w:spacing w:line="360" w:lineRule="auto"/>
              <w:rPr>
                <w:rFonts w:hint="eastAsia" w:ascii="仿宋" w:hAnsi="仿宋" w:eastAsia="仿宋" w:cs="仿宋"/>
                <w:b/>
                <w:color w:val="auto"/>
                <w:kern w:val="0"/>
                <w:sz w:val="24"/>
                <w:szCs w:val="24"/>
                <w:highlight w:val="none"/>
                <w:u w:val="single"/>
              </w:rPr>
            </w:pPr>
            <w:r>
              <w:rPr>
                <w:rFonts w:hint="eastAsia" w:ascii="仿宋" w:hAnsi="仿宋" w:eastAsia="仿宋" w:cs="仿宋"/>
                <w:color w:val="auto"/>
                <w:sz w:val="24"/>
                <w:szCs w:val="24"/>
                <w:highlight w:val="none"/>
              </w:rPr>
              <w:t>（3）递交时间：投标截止时间之前（提交投标保证金应充分考虑资金在途时间、跨行等因素导致的延迟到账情况，由此导致的保证金不能按时到账其责任由投标人单位自行承担。各投标人缴纳投标保证金时需在附加信息及用途栏内注明“投标保证金、项目名称”，以投标保证金接收方银行到账信息为准）</w:t>
            </w:r>
          </w:p>
        </w:tc>
      </w:tr>
      <w:tr w14:paraId="23B9D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85" w:hRule="atLeast"/>
        </w:trPr>
        <w:tc>
          <w:tcPr>
            <w:tcW w:w="532" w:type="dxa"/>
            <w:vAlign w:val="center"/>
          </w:tcPr>
          <w:p w14:paraId="38E7B147">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14</w:t>
            </w:r>
          </w:p>
        </w:tc>
        <w:tc>
          <w:tcPr>
            <w:tcW w:w="1664" w:type="dxa"/>
            <w:vAlign w:val="center"/>
          </w:tcPr>
          <w:p w14:paraId="4DC2B7CE">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投标保证金</w:t>
            </w:r>
          </w:p>
          <w:p w14:paraId="48F66EAE">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退付</w:t>
            </w:r>
          </w:p>
        </w:tc>
        <w:tc>
          <w:tcPr>
            <w:tcW w:w="8337" w:type="dxa"/>
            <w:gridSpan w:val="6"/>
            <w:tcBorders>
              <w:top w:val="single" w:color="auto" w:sz="4" w:space="0"/>
            </w:tcBorders>
            <w:vAlign w:val="center"/>
          </w:tcPr>
          <w:p w14:paraId="07178AC2">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1.未中标</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在中标（成交）通知书发出后5个工作日退还；</w:t>
            </w:r>
          </w:p>
          <w:p w14:paraId="15FE0B09">
            <w:pPr>
              <w:snapToGrid w:val="0"/>
              <w:spacing w:line="360" w:lineRule="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2.中标</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在合同签订后5个工作日退还</w:t>
            </w:r>
          </w:p>
        </w:tc>
      </w:tr>
      <w:tr w14:paraId="20107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5" w:hRule="atLeast"/>
        </w:trPr>
        <w:tc>
          <w:tcPr>
            <w:tcW w:w="532" w:type="dxa"/>
            <w:vAlign w:val="center"/>
          </w:tcPr>
          <w:p w14:paraId="5D044D7D">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15</w:t>
            </w:r>
          </w:p>
        </w:tc>
        <w:tc>
          <w:tcPr>
            <w:tcW w:w="1664" w:type="dxa"/>
            <w:vAlign w:val="center"/>
          </w:tcPr>
          <w:p w14:paraId="4586E060">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投标有</w:t>
            </w:r>
          </w:p>
          <w:p w14:paraId="7CA9CB18">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效期</w:t>
            </w:r>
          </w:p>
        </w:tc>
        <w:tc>
          <w:tcPr>
            <w:tcW w:w="8337" w:type="dxa"/>
            <w:gridSpan w:val="6"/>
            <w:vAlign w:val="center"/>
          </w:tcPr>
          <w:p w14:paraId="0BE19F90">
            <w:pPr>
              <w:autoSpaceDE w:val="0"/>
              <w:autoSpaceDN w:val="0"/>
              <w:adjustRightInd w:val="0"/>
              <w:snapToGrid w:val="0"/>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90日历日（自投标截止时间起开始计算）</w:t>
            </w:r>
          </w:p>
        </w:tc>
      </w:tr>
      <w:tr w14:paraId="724EB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32" w:type="dxa"/>
            <w:vAlign w:val="center"/>
          </w:tcPr>
          <w:p w14:paraId="3A477F8F">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16</w:t>
            </w:r>
          </w:p>
        </w:tc>
        <w:tc>
          <w:tcPr>
            <w:tcW w:w="1664" w:type="dxa"/>
            <w:vAlign w:val="center"/>
          </w:tcPr>
          <w:p w14:paraId="271BB63E">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评标办法</w:t>
            </w:r>
          </w:p>
        </w:tc>
        <w:tc>
          <w:tcPr>
            <w:tcW w:w="8337" w:type="dxa"/>
            <w:gridSpan w:val="6"/>
            <w:vAlign w:val="center"/>
          </w:tcPr>
          <w:p w14:paraId="1BC02545">
            <w:pPr>
              <w:autoSpaceDE w:val="0"/>
              <w:autoSpaceDN w:val="0"/>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t>综合评分法</w:t>
            </w:r>
          </w:p>
        </w:tc>
      </w:tr>
      <w:tr w14:paraId="0C218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34" w:hRule="atLeast"/>
        </w:trPr>
        <w:tc>
          <w:tcPr>
            <w:tcW w:w="532" w:type="dxa"/>
            <w:vAlign w:val="center"/>
          </w:tcPr>
          <w:p w14:paraId="078A80A1">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17</w:t>
            </w:r>
          </w:p>
        </w:tc>
        <w:tc>
          <w:tcPr>
            <w:tcW w:w="1664" w:type="dxa"/>
            <w:vAlign w:val="center"/>
          </w:tcPr>
          <w:p w14:paraId="044F0327">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投标文件份数</w:t>
            </w:r>
          </w:p>
        </w:tc>
        <w:tc>
          <w:tcPr>
            <w:tcW w:w="8337" w:type="dxa"/>
            <w:gridSpan w:val="6"/>
            <w:vAlign w:val="center"/>
          </w:tcPr>
          <w:p w14:paraId="69DAAAA6">
            <w:pPr>
              <w:autoSpaceDE w:val="0"/>
              <w:autoSpaceDN w:val="0"/>
              <w:adjustRightInd w:val="0"/>
              <w:snapToGrid w:val="0"/>
              <w:spacing w:line="360" w:lineRule="auto"/>
              <w:jc w:val="left"/>
              <w:rPr>
                <w:rFonts w:hint="eastAsia" w:ascii="仿宋" w:hAnsi="仿宋" w:eastAsia="仿宋" w:cs="仿宋"/>
                <w:color w:val="auto"/>
                <w:kern w:val="0"/>
                <w:sz w:val="24"/>
                <w:szCs w:val="24"/>
                <w:highlight w:val="none"/>
                <w:lang w:eastAsia="zh-CN"/>
              </w:rPr>
            </w:pPr>
            <w:r>
              <w:rPr>
                <w:rFonts w:hint="eastAsia" w:ascii="仿宋" w:hAnsi="仿宋" w:eastAsia="仿宋" w:cs="仿宋"/>
                <w:bCs/>
                <w:sz w:val="24"/>
                <w:szCs w:val="24"/>
                <w:highlight w:val="none"/>
              </w:rPr>
              <w:t>加密的电子投标文件壹份(.jmbs格式)在</w:t>
            </w:r>
            <w:r>
              <w:rPr>
                <w:rFonts w:hint="eastAsia" w:ascii="仿宋" w:hAnsi="仿宋" w:eastAsia="仿宋" w:cs="仿宋"/>
                <w:bCs/>
                <w:sz w:val="24"/>
                <w:szCs w:val="24"/>
                <w:highlight w:val="none"/>
                <w:lang w:val="en-US" w:eastAsia="zh-CN"/>
              </w:rPr>
              <w:t>新疆政府</w:t>
            </w:r>
            <w:r>
              <w:rPr>
                <w:rFonts w:hint="eastAsia" w:ascii="仿宋" w:hAnsi="仿宋" w:eastAsia="仿宋" w:cs="仿宋"/>
                <w:bCs/>
                <w:sz w:val="24"/>
                <w:szCs w:val="24"/>
                <w:highlight w:val="none"/>
              </w:rPr>
              <w:t>采购网指定位置上传</w:t>
            </w:r>
            <w:r>
              <w:rPr>
                <w:rFonts w:hint="eastAsia" w:ascii="仿宋" w:hAnsi="仿宋" w:eastAsia="仿宋" w:cs="仿宋"/>
                <w:bCs/>
                <w:sz w:val="24"/>
                <w:szCs w:val="24"/>
                <w:highlight w:val="none"/>
                <w:lang w:eastAsia="zh-CN"/>
              </w:rPr>
              <w:t>。</w:t>
            </w:r>
          </w:p>
        </w:tc>
      </w:tr>
      <w:tr w14:paraId="189DCA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01" w:hRule="atLeast"/>
        </w:trPr>
        <w:tc>
          <w:tcPr>
            <w:tcW w:w="532" w:type="dxa"/>
            <w:vAlign w:val="center"/>
          </w:tcPr>
          <w:p w14:paraId="60CB9504">
            <w:pPr>
              <w:autoSpaceDE w:val="0"/>
              <w:autoSpaceDN w:val="0"/>
              <w:adjustRightInd w:val="0"/>
              <w:snapToGrid w:val="0"/>
              <w:spacing w:line="360" w:lineRule="auto"/>
              <w:jc w:val="center"/>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18</w:t>
            </w:r>
          </w:p>
        </w:tc>
        <w:tc>
          <w:tcPr>
            <w:tcW w:w="1664" w:type="dxa"/>
            <w:vAlign w:val="center"/>
          </w:tcPr>
          <w:p w14:paraId="2CC0CD43">
            <w:pPr>
              <w:jc w:val="center"/>
              <w:rPr>
                <w:rFonts w:hint="eastAsia" w:ascii="仿宋" w:hAnsi="仿宋" w:eastAsia="仿宋" w:cs="仿宋"/>
                <w:b/>
                <w:color w:val="auto"/>
                <w:kern w:val="0"/>
                <w:sz w:val="24"/>
                <w:szCs w:val="24"/>
                <w:highlight w:val="none"/>
              </w:rPr>
            </w:pPr>
            <w:r>
              <w:rPr>
                <w:rFonts w:hint="eastAsia" w:ascii="仿宋" w:hAnsi="仿宋" w:eastAsia="仿宋" w:cs="仿宋"/>
                <w:b/>
                <w:bCs/>
                <w:sz w:val="24"/>
                <w:szCs w:val="24"/>
                <w:highlight w:val="none"/>
              </w:rPr>
              <w:t>投标文件解密时间</w:t>
            </w:r>
          </w:p>
        </w:tc>
        <w:tc>
          <w:tcPr>
            <w:tcW w:w="8337" w:type="dxa"/>
            <w:gridSpan w:val="6"/>
            <w:vAlign w:val="center"/>
          </w:tcPr>
          <w:p w14:paraId="3582DFBA">
            <w:pPr>
              <w:rPr>
                <w:rFonts w:hint="eastAsia" w:ascii="仿宋" w:hAnsi="仿宋" w:eastAsia="仿宋" w:cs="仿宋"/>
                <w:color w:val="auto"/>
                <w:sz w:val="24"/>
                <w:szCs w:val="24"/>
                <w:highlight w:val="none"/>
                <w:lang w:val="en-US" w:eastAsia="zh-CN"/>
              </w:rPr>
            </w:pPr>
            <w:r>
              <w:rPr>
                <w:rFonts w:hint="eastAsia" w:ascii="仿宋" w:hAnsi="仿宋" w:eastAsia="仿宋" w:cs="仿宋"/>
                <w:color w:val="000000"/>
                <w:sz w:val="24"/>
                <w:szCs w:val="24"/>
                <w:highlight w:val="none"/>
              </w:rPr>
              <w:t>开标时间后</w:t>
            </w:r>
            <w:r>
              <w:rPr>
                <w:rFonts w:hint="eastAsia" w:ascii="仿宋" w:hAnsi="仿宋" w:eastAsia="仿宋" w:cs="仿宋"/>
                <w:color w:val="000000"/>
                <w:sz w:val="24"/>
                <w:szCs w:val="24"/>
                <w:highlight w:val="none"/>
                <w:lang w:val="en-US" w:eastAsia="zh-CN"/>
              </w:rPr>
              <w:t>30</w:t>
            </w:r>
            <w:r>
              <w:rPr>
                <w:rFonts w:hint="eastAsia" w:ascii="仿宋" w:hAnsi="仿宋" w:eastAsia="仿宋" w:cs="仿宋"/>
                <w:color w:val="000000"/>
                <w:sz w:val="24"/>
                <w:szCs w:val="24"/>
                <w:highlight w:val="none"/>
              </w:rPr>
              <w:t>分钟内投标人可以登录“政采云”平台，用“项目采购-开标评标”功能进行解密投标文件。若投标人在规定时间内未按时解密的，视为无效投标。</w:t>
            </w:r>
          </w:p>
        </w:tc>
      </w:tr>
      <w:tr w14:paraId="51B71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1" w:hRule="atLeast"/>
        </w:trPr>
        <w:tc>
          <w:tcPr>
            <w:tcW w:w="532" w:type="dxa"/>
            <w:vAlign w:val="center"/>
          </w:tcPr>
          <w:p w14:paraId="2D380A6E">
            <w:pPr>
              <w:autoSpaceDE w:val="0"/>
              <w:autoSpaceDN w:val="0"/>
              <w:adjustRightInd w:val="0"/>
              <w:snapToGrid w:val="0"/>
              <w:spacing w:line="360" w:lineRule="auto"/>
              <w:jc w:val="center"/>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19</w:t>
            </w:r>
          </w:p>
        </w:tc>
        <w:tc>
          <w:tcPr>
            <w:tcW w:w="1664" w:type="dxa"/>
            <w:vAlign w:val="center"/>
          </w:tcPr>
          <w:p w14:paraId="14249A60">
            <w:pPr>
              <w:overflowPunct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政府采购政策</w:t>
            </w:r>
          </w:p>
        </w:tc>
        <w:tc>
          <w:tcPr>
            <w:tcW w:w="8337" w:type="dxa"/>
            <w:gridSpan w:val="6"/>
            <w:vAlign w:val="center"/>
          </w:tcPr>
          <w:p w14:paraId="3B7BB86F">
            <w:pP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lang w:eastAsia="zh-CN"/>
              </w:rPr>
              <w:t>）财政部、工业和信息化部《关于印发《政府采购促进中小企业发展管理办法》（财库[2020]46号文）、《关于落实好政府采购支持中小企业发展的通知》（新财购 〔2022〕22号）；</w:t>
            </w:r>
          </w:p>
          <w:p w14:paraId="02077123">
            <w:pP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lang w:eastAsia="zh-CN"/>
              </w:rPr>
              <w:t>）财政部、民政部、中国残疾人联合会《关于促进残疾人就业政府采购政策的通知》（财库[2017]141号）；</w:t>
            </w:r>
          </w:p>
          <w:p w14:paraId="25E135ED">
            <w:pP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lang w:eastAsia="zh-CN"/>
              </w:rPr>
              <w:t>）财政部、司法部《关于政府采购支持监狱企业发展有关问题的通知》（财库[2014]68号文）。</w:t>
            </w:r>
          </w:p>
          <w:p w14:paraId="15ECD486">
            <w:pP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（4）本项目专门面向中小企业采购；</w:t>
            </w:r>
          </w:p>
          <w:p w14:paraId="6906E1C5">
            <w:pP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lang w:eastAsia="zh-CN"/>
              </w:rPr>
              <w:t>）专门面向中小企业采购的项目或者采购包，不再执行价格评审优惠的扶持政策。</w:t>
            </w:r>
          </w:p>
          <w:p w14:paraId="3953A168">
            <w:pPr>
              <w:rPr>
                <w:rFonts w:hint="eastAsia"/>
                <w:highlight w:val="none"/>
                <w:lang w:val="en-US" w:eastAsia="zh-CN"/>
              </w:rPr>
            </w:pP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lang w:eastAsia="zh-CN"/>
              </w:rPr>
              <w:t>）价格扣除比例：</w:t>
            </w:r>
            <w:r>
              <w:rPr>
                <w:rFonts w:hint="eastAsia" w:ascii="仿宋" w:hAnsi="仿宋" w:eastAsia="仿宋" w:cs="仿宋"/>
                <w:color w:val="000000"/>
                <w:sz w:val="24"/>
                <w:szCs w:val="24"/>
                <w:highlight w:val="none"/>
                <w:u w:val="single"/>
                <w:lang w:eastAsia="zh-CN"/>
              </w:rPr>
              <w:t xml:space="preserve"> </w:t>
            </w:r>
            <w:r>
              <w:rPr>
                <w:rFonts w:hint="eastAsia" w:ascii="仿宋" w:hAnsi="仿宋" w:eastAsia="仿宋" w:cs="仿宋"/>
                <w:color w:val="000000"/>
                <w:sz w:val="24"/>
                <w:szCs w:val="24"/>
                <w:highlight w:val="none"/>
                <w:u w:val="single"/>
                <w:lang w:val="en-US" w:eastAsia="zh-CN"/>
              </w:rPr>
              <w:t>10</w:t>
            </w:r>
            <w:r>
              <w:rPr>
                <w:rFonts w:hint="eastAsia" w:ascii="仿宋" w:hAnsi="仿宋" w:eastAsia="仿宋" w:cs="仿宋"/>
                <w:color w:val="000000"/>
                <w:sz w:val="24"/>
                <w:szCs w:val="24"/>
                <w:highlight w:val="none"/>
                <w:u w:val="single"/>
                <w:lang w:eastAsia="zh-CN"/>
              </w:rPr>
              <w:t>%</w:t>
            </w:r>
            <w:r>
              <w:rPr>
                <w:rFonts w:hint="eastAsia" w:ascii="仿宋" w:hAnsi="仿宋" w:eastAsia="仿宋" w:cs="仿宋"/>
                <w:color w:val="000000"/>
                <w:sz w:val="24"/>
                <w:szCs w:val="24"/>
                <w:highlight w:val="none"/>
                <w:u w:val="single"/>
                <w:lang w:val="en-US" w:eastAsia="zh-CN"/>
              </w:rPr>
              <w:t xml:space="preserve"> </w:t>
            </w:r>
            <w:r>
              <w:rPr>
                <w:rFonts w:hint="eastAsia" w:ascii="仿宋" w:hAnsi="仿宋" w:eastAsia="仿宋" w:cs="仿宋"/>
                <w:color w:val="000000"/>
                <w:sz w:val="24"/>
                <w:szCs w:val="24"/>
                <w:highlight w:val="none"/>
                <w:lang w:val="en-US" w:eastAsia="zh-CN"/>
              </w:rPr>
              <w:t xml:space="preserve">；  </w:t>
            </w:r>
            <w:r>
              <w:rPr>
                <w:rFonts w:hint="eastAsia" w:ascii="宋体" w:hAnsi="宋体" w:eastAsia="宋体" w:cs="宋体"/>
                <w:kern w:val="2"/>
                <w:sz w:val="24"/>
                <w:szCs w:val="24"/>
                <w:highlight w:val="none"/>
                <w:lang w:val="en-US" w:eastAsia="zh-CN" w:bidi="ar-SA"/>
              </w:rPr>
              <w:t xml:space="preserve">  </w:t>
            </w:r>
          </w:p>
        </w:tc>
      </w:tr>
      <w:tr w14:paraId="255FF3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5" w:hRule="atLeast"/>
        </w:trPr>
        <w:tc>
          <w:tcPr>
            <w:tcW w:w="532" w:type="dxa"/>
            <w:vAlign w:val="center"/>
          </w:tcPr>
          <w:p w14:paraId="52BD8707">
            <w:pPr>
              <w:autoSpaceDE w:val="0"/>
              <w:autoSpaceDN w:val="0"/>
              <w:adjustRightInd w:val="0"/>
              <w:snapToGrid w:val="0"/>
              <w:spacing w:line="360" w:lineRule="auto"/>
              <w:jc w:val="center"/>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20</w:t>
            </w:r>
          </w:p>
        </w:tc>
        <w:tc>
          <w:tcPr>
            <w:tcW w:w="1664" w:type="dxa"/>
            <w:vAlign w:val="center"/>
          </w:tcPr>
          <w:p w14:paraId="1134C7AE">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评标小组组成</w:t>
            </w:r>
          </w:p>
        </w:tc>
        <w:tc>
          <w:tcPr>
            <w:tcW w:w="8337" w:type="dxa"/>
            <w:gridSpan w:val="6"/>
            <w:vAlign w:val="center"/>
          </w:tcPr>
          <w:p w14:paraId="1D6E2C94">
            <w:pPr>
              <w:autoSpaceDE w:val="0"/>
              <w:autoSpaceDN w:val="0"/>
              <w:adjustRightInd w:val="0"/>
              <w:snapToGrid w:val="0"/>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小组成员由</w:t>
            </w:r>
            <w:r>
              <w:rPr>
                <w:rFonts w:hint="eastAsia" w:ascii="仿宋" w:hAnsi="仿宋" w:eastAsia="仿宋" w:cs="仿宋"/>
                <w:b/>
                <w:color w:val="auto"/>
                <w:kern w:val="0"/>
                <w:sz w:val="24"/>
                <w:szCs w:val="24"/>
                <w:highlight w:val="none"/>
                <w:u w:val="single"/>
              </w:rPr>
              <w:t xml:space="preserve"> </w:t>
            </w:r>
            <w:r>
              <w:rPr>
                <w:rFonts w:hint="eastAsia" w:ascii="仿宋" w:hAnsi="仿宋" w:eastAsia="仿宋" w:cs="仿宋"/>
                <w:b/>
                <w:color w:val="auto"/>
                <w:kern w:val="0"/>
                <w:sz w:val="24"/>
                <w:szCs w:val="24"/>
                <w:highlight w:val="none"/>
                <w:u w:val="single"/>
                <w:lang w:val="en-US" w:eastAsia="zh-CN"/>
              </w:rPr>
              <w:t xml:space="preserve"> </w:t>
            </w:r>
            <w:r>
              <w:rPr>
                <w:rFonts w:hint="eastAsia" w:ascii="仿宋" w:hAnsi="仿宋" w:eastAsia="仿宋" w:cs="仿宋"/>
                <w:b/>
                <w:color w:val="auto"/>
                <w:kern w:val="0"/>
                <w:sz w:val="24"/>
                <w:szCs w:val="24"/>
                <w:highlight w:val="none"/>
                <w:u w:val="single"/>
              </w:rPr>
              <w:t xml:space="preserve">5 </w:t>
            </w:r>
            <w:r>
              <w:rPr>
                <w:rFonts w:hint="eastAsia" w:ascii="仿宋" w:hAnsi="仿宋" w:eastAsia="仿宋" w:cs="仿宋"/>
                <w:color w:val="auto"/>
                <w:kern w:val="0"/>
                <w:sz w:val="24"/>
                <w:szCs w:val="24"/>
                <w:highlight w:val="none"/>
              </w:rPr>
              <w:t>人组成，其中采购方代表</w:t>
            </w:r>
            <w:r>
              <w:rPr>
                <w:rFonts w:hint="eastAsia" w:ascii="仿宋" w:hAnsi="仿宋" w:eastAsia="仿宋" w:cs="仿宋"/>
                <w:b/>
                <w:color w:val="auto"/>
                <w:kern w:val="0"/>
                <w:sz w:val="24"/>
                <w:szCs w:val="24"/>
                <w:highlight w:val="none"/>
                <w:u w:val="single"/>
              </w:rPr>
              <w:t xml:space="preserve">  1 </w:t>
            </w:r>
            <w:r>
              <w:rPr>
                <w:rFonts w:hint="eastAsia" w:ascii="仿宋" w:hAnsi="仿宋" w:eastAsia="仿宋" w:cs="仿宋"/>
                <w:color w:val="auto"/>
                <w:kern w:val="0"/>
                <w:sz w:val="24"/>
                <w:szCs w:val="24"/>
                <w:highlight w:val="none"/>
              </w:rPr>
              <w:t>人，从</w:t>
            </w:r>
            <w:r>
              <w:rPr>
                <w:rFonts w:hint="eastAsia" w:ascii="仿宋" w:hAnsi="仿宋" w:eastAsia="仿宋" w:cs="仿宋"/>
                <w:color w:val="auto"/>
                <w:kern w:val="0"/>
                <w:sz w:val="24"/>
                <w:szCs w:val="24"/>
                <w:highlight w:val="none"/>
                <w:lang w:eastAsia="zh-CN"/>
              </w:rPr>
              <w:t>新疆政采云</w:t>
            </w:r>
            <w:r>
              <w:rPr>
                <w:rFonts w:hint="eastAsia" w:ascii="仿宋" w:hAnsi="仿宋" w:eastAsia="仿宋" w:cs="仿宋"/>
                <w:color w:val="auto"/>
                <w:kern w:val="0"/>
                <w:sz w:val="24"/>
                <w:szCs w:val="24"/>
                <w:highlight w:val="none"/>
              </w:rPr>
              <w:t>专家库中随机抽取的方式确定</w:t>
            </w:r>
            <w:r>
              <w:rPr>
                <w:rFonts w:hint="eastAsia" w:ascii="仿宋" w:hAnsi="仿宋" w:eastAsia="仿宋" w:cs="仿宋"/>
                <w:b/>
                <w:color w:val="auto"/>
                <w:kern w:val="0"/>
                <w:sz w:val="24"/>
                <w:szCs w:val="24"/>
                <w:highlight w:val="none"/>
                <w:u w:val="single"/>
              </w:rPr>
              <w:t xml:space="preserve">  4  </w:t>
            </w:r>
            <w:r>
              <w:rPr>
                <w:rFonts w:hint="eastAsia" w:ascii="仿宋" w:hAnsi="仿宋" w:eastAsia="仿宋" w:cs="仿宋"/>
                <w:color w:val="auto"/>
                <w:kern w:val="0"/>
                <w:sz w:val="24"/>
                <w:szCs w:val="24"/>
                <w:highlight w:val="none"/>
              </w:rPr>
              <w:t>人</w:t>
            </w:r>
          </w:p>
        </w:tc>
      </w:tr>
      <w:tr w14:paraId="6990D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32" w:type="dxa"/>
            <w:vMerge w:val="restart"/>
            <w:vAlign w:val="center"/>
          </w:tcPr>
          <w:p w14:paraId="5B7105BE">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rPr>
              <w:t>2</w:t>
            </w:r>
            <w:r>
              <w:rPr>
                <w:rFonts w:hint="eastAsia" w:ascii="仿宋" w:hAnsi="仿宋" w:eastAsia="仿宋" w:cs="仿宋"/>
                <w:b/>
                <w:color w:val="auto"/>
                <w:kern w:val="0"/>
                <w:sz w:val="24"/>
                <w:szCs w:val="24"/>
                <w:highlight w:val="none"/>
                <w:lang w:val="en-US" w:eastAsia="zh-CN"/>
              </w:rPr>
              <w:t>1</w:t>
            </w:r>
          </w:p>
        </w:tc>
        <w:tc>
          <w:tcPr>
            <w:tcW w:w="3411" w:type="dxa"/>
            <w:gridSpan w:val="3"/>
            <w:vMerge w:val="restart"/>
            <w:tcBorders>
              <w:right w:val="single" w:color="auto" w:sz="4" w:space="0"/>
            </w:tcBorders>
            <w:vAlign w:val="center"/>
          </w:tcPr>
          <w:p w14:paraId="0E7723A0">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投标截止（开标）时间及地点</w:t>
            </w:r>
          </w:p>
        </w:tc>
        <w:tc>
          <w:tcPr>
            <w:tcW w:w="6590" w:type="dxa"/>
            <w:gridSpan w:val="4"/>
            <w:tcBorders>
              <w:left w:val="single" w:color="auto" w:sz="4" w:space="0"/>
              <w:bottom w:val="single" w:color="auto" w:sz="4" w:space="0"/>
            </w:tcBorders>
            <w:vAlign w:val="center"/>
          </w:tcPr>
          <w:p w14:paraId="3043F177">
            <w:pPr>
              <w:autoSpaceDE w:val="0"/>
              <w:autoSpaceDN w:val="0"/>
              <w:adjustRightInd w:val="0"/>
              <w:snapToGrid w:val="0"/>
              <w:spacing w:line="360" w:lineRule="auto"/>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b/>
                <w:color w:val="auto"/>
                <w:kern w:val="0"/>
                <w:sz w:val="24"/>
                <w:szCs w:val="24"/>
                <w:highlight w:val="none"/>
              </w:rPr>
              <w:t>投标截止（开标）时间：2025年</w:t>
            </w:r>
            <w:r>
              <w:rPr>
                <w:rFonts w:hint="eastAsia" w:ascii="仿宋" w:hAnsi="仿宋" w:eastAsia="仿宋" w:cs="仿宋"/>
                <w:b/>
                <w:color w:val="auto"/>
                <w:kern w:val="0"/>
                <w:sz w:val="24"/>
                <w:szCs w:val="24"/>
                <w:highlight w:val="none"/>
                <w:lang w:val="en-US" w:eastAsia="zh-CN"/>
              </w:rPr>
              <w:t>07</w:t>
            </w:r>
            <w:r>
              <w:rPr>
                <w:rFonts w:hint="eastAsia" w:ascii="仿宋" w:hAnsi="仿宋" w:eastAsia="仿宋" w:cs="仿宋"/>
                <w:b/>
                <w:color w:val="auto"/>
                <w:kern w:val="0"/>
                <w:sz w:val="24"/>
                <w:szCs w:val="24"/>
                <w:highlight w:val="none"/>
              </w:rPr>
              <w:t>月</w:t>
            </w:r>
            <w:r>
              <w:rPr>
                <w:rFonts w:hint="eastAsia" w:ascii="仿宋" w:hAnsi="仿宋" w:eastAsia="仿宋" w:cs="仿宋"/>
                <w:b/>
                <w:color w:val="auto"/>
                <w:kern w:val="0"/>
                <w:sz w:val="24"/>
                <w:szCs w:val="24"/>
                <w:highlight w:val="none"/>
                <w:lang w:val="en-US" w:eastAsia="zh-CN"/>
              </w:rPr>
              <w:t>29</w:t>
            </w:r>
            <w:r>
              <w:rPr>
                <w:rFonts w:hint="eastAsia" w:ascii="仿宋" w:hAnsi="仿宋" w:eastAsia="仿宋" w:cs="仿宋"/>
                <w:b/>
                <w:color w:val="auto"/>
                <w:kern w:val="0"/>
                <w:sz w:val="24"/>
                <w:szCs w:val="24"/>
                <w:highlight w:val="none"/>
              </w:rPr>
              <w:t>日12：00（北京时间）</w:t>
            </w:r>
          </w:p>
        </w:tc>
      </w:tr>
      <w:tr w14:paraId="73E4A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5" w:hRule="atLeast"/>
        </w:trPr>
        <w:tc>
          <w:tcPr>
            <w:tcW w:w="532" w:type="dxa"/>
            <w:vMerge w:val="continue"/>
            <w:vAlign w:val="center"/>
          </w:tcPr>
          <w:p w14:paraId="3CA52D74">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3411" w:type="dxa"/>
            <w:gridSpan w:val="3"/>
            <w:vMerge w:val="continue"/>
            <w:tcBorders>
              <w:right w:val="single" w:color="auto" w:sz="4" w:space="0"/>
            </w:tcBorders>
            <w:vAlign w:val="center"/>
          </w:tcPr>
          <w:p w14:paraId="10A206B5">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6590" w:type="dxa"/>
            <w:gridSpan w:val="4"/>
            <w:tcBorders>
              <w:top w:val="single" w:color="auto" w:sz="4" w:space="0"/>
              <w:left w:val="single" w:color="auto" w:sz="4" w:space="0"/>
            </w:tcBorders>
            <w:vAlign w:val="center"/>
          </w:tcPr>
          <w:p w14:paraId="343C99FA">
            <w:pPr>
              <w:autoSpaceDE w:val="0"/>
              <w:autoSpaceDN w:val="0"/>
              <w:adjustRightInd w:val="0"/>
              <w:snapToGrid w:val="0"/>
              <w:spacing w:line="360" w:lineRule="auto"/>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地点:</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000000"/>
                <w:sz w:val="24"/>
                <w:szCs w:val="24"/>
                <w:highlight w:val="none"/>
              </w:rPr>
              <w:t>请登录政采云投标客户端，在截止时间前将加密的电子</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文件（.jmbs）上传到新疆政府采购网对应的位置（逾期上传或者未上传指定地点的</w:t>
            </w:r>
            <w:r>
              <w:rPr>
                <w:rFonts w:hint="eastAsia" w:ascii="仿宋" w:hAnsi="仿宋" w:eastAsia="仿宋" w:cs="仿宋"/>
                <w:color w:val="000000"/>
                <w:sz w:val="24"/>
                <w:szCs w:val="24"/>
                <w:highlight w:val="none"/>
                <w:lang w:val="en-US" w:eastAsia="zh-CN"/>
              </w:rPr>
              <w:t>投标</w:t>
            </w:r>
            <w:r>
              <w:rPr>
                <w:rFonts w:hint="eastAsia" w:ascii="仿宋" w:hAnsi="仿宋" w:eastAsia="仿宋" w:cs="仿宋"/>
                <w:color w:val="000000"/>
                <w:sz w:val="24"/>
                <w:szCs w:val="24"/>
                <w:highlight w:val="none"/>
              </w:rPr>
              <w:t>文件，采购人不予受理）</w:t>
            </w:r>
          </w:p>
        </w:tc>
      </w:tr>
      <w:tr w14:paraId="76A5B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66" w:hRule="atLeast"/>
        </w:trPr>
        <w:tc>
          <w:tcPr>
            <w:tcW w:w="532" w:type="dxa"/>
            <w:vAlign w:val="center"/>
          </w:tcPr>
          <w:p w14:paraId="470CC315">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rPr>
              <w:t>2</w:t>
            </w:r>
            <w:r>
              <w:rPr>
                <w:rFonts w:hint="eastAsia" w:ascii="仿宋" w:hAnsi="仿宋" w:eastAsia="仿宋" w:cs="仿宋"/>
                <w:b/>
                <w:color w:val="auto"/>
                <w:kern w:val="0"/>
                <w:sz w:val="24"/>
                <w:szCs w:val="24"/>
                <w:highlight w:val="none"/>
                <w:lang w:val="en-US" w:eastAsia="zh-CN"/>
              </w:rPr>
              <w:t>2</w:t>
            </w:r>
          </w:p>
        </w:tc>
        <w:tc>
          <w:tcPr>
            <w:tcW w:w="1664" w:type="dxa"/>
            <w:tcBorders>
              <w:right w:val="single" w:color="auto" w:sz="4" w:space="0"/>
            </w:tcBorders>
            <w:vAlign w:val="center"/>
          </w:tcPr>
          <w:p w14:paraId="69FAD92A">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eastAsia="zh-CN"/>
              </w:rPr>
            </w:pPr>
            <w:r>
              <w:rPr>
                <w:rFonts w:hint="eastAsia" w:ascii="仿宋" w:hAnsi="仿宋" w:eastAsia="仿宋" w:cs="仿宋"/>
                <w:b/>
                <w:color w:val="auto"/>
                <w:kern w:val="0"/>
                <w:sz w:val="24"/>
                <w:szCs w:val="24"/>
                <w:highlight w:val="none"/>
                <w:lang w:eastAsia="zh-CN"/>
              </w:rPr>
              <w:t>投标人资格</w:t>
            </w:r>
          </w:p>
        </w:tc>
        <w:tc>
          <w:tcPr>
            <w:tcW w:w="8337" w:type="dxa"/>
            <w:gridSpan w:val="6"/>
            <w:tcBorders>
              <w:left w:val="single" w:color="auto" w:sz="4" w:space="0"/>
            </w:tcBorders>
            <w:vAlign w:val="center"/>
          </w:tcPr>
          <w:p w14:paraId="20BB99A6">
            <w:pPr>
              <w:pStyle w:val="30"/>
              <w:keepNext w:val="0"/>
              <w:keepLines w:val="0"/>
              <w:pageBreakBefore w:val="0"/>
              <w:widowControl/>
              <w:numPr>
                <w:ilvl w:val="0"/>
                <w:numId w:val="0"/>
              </w:numPr>
              <w:suppressLineNumbers w:val="0"/>
              <w:kinsoku/>
              <w:wordWrap/>
              <w:overflowPunct/>
              <w:topLinePunct w:val="0"/>
              <w:bidi w:val="0"/>
              <w:spacing w:before="75" w:beforeAutospacing="0" w:after="75" w:afterAutospacing="0" w:line="300" w:lineRule="atLeast"/>
              <w:ind w:right="0" w:rightChars="0"/>
              <w:textAlignment w:val="auto"/>
              <w:rPr>
                <w:rFonts w:hint="eastAsia" w:ascii="仿宋" w:hAnsi="仿宋" w:eastAsia="仿宋" w:cs="仿宋"/>
                <w:i w:val="0"/>
                <w:iCs w:val="0"/>
                <w:caps w:val="0"/>
                <w:color w:val="000000"/>
                <w:spacing w:val="0"/>
                <w:sz w:val="24"/>
                <w:szCs w:val="24"/>
                <w:highlight w:val="none"/>
                <w:lang w:val="en-US" w:eastAsia="zh-CN" w:bidi="ar-SA"/>
              </w:rPr>
            </w:pPr>
            <w:r>
              <w:rPr>
                <w:rFonts w:hint="eastAsia" w:ascii="仿宋" w:hAnsi="仿宋" w:eastAsia="仿宋" w:cs="仿宋"/>
                <w:i w:val="0"/>
                <w:iCs w:val="0"/>
                <w:caps w:val="0"/>
                <w:color w:val="000000"/>
                <w:spacing w:val="0"/>
                <w:sz w:val="24"/>
                <w:szCs w:val="24"/>
                <w:highlight w:val="none"/>
                <w:lang w:val="en-US" w:eastAsia="zh-CN" w:bidi="ar-SA"/>
              </w:rPr>
              <w:t>满足《中华人民共和国政府采购法》第二十二条规定；</w:t>
            </w:r>
          </w:p>
          <w:p w14:paraId="426385E1">
            <w:pPr>
              <w:keepNext w:val="0"/>
              <w:keepLines w:val="0"/>
              <w:pageBreakBefore w:val="0"/>
              <w:kinsoku/>
              <w:wordWrap/>
              <w:overflowPunct/>
              <w:topLinePunct w:val="0"/>
              <w:bidi w:val="0"/>
              <w:adjustRightInd w:val="0"/>
              <w:snapToGrid w:val="0"/>
              <w:spacing w:line="240" w:lineRule="atLeast"/>
              <w:textAlignment w:val="auto"/>
              <w:rPr>
                <w:rFonts w:hint="eastAsia" w:ascii="仿宋" w:hAnsi="仿宋" w:eastAsia="仿宋" w:cs="仿宋"/>
                <w:i w:val="0"/>
                <w:iCs w:val="0"/>
                <w:caps w:val="0"/>
                <w:color w:val="000000"/>
                <w:spacing w:val="0"/>
                <w:sz w:val="24"/>
                <w:szCs w:val="24"/>
                <w:highlight w:val="none"/>
                <w:lang w:val="en-US" w:eastAsia="zh-CN" w:bidi="ar-SA"/>
              </w:rPr>
            </w:pPr>
            <w:r>
              <w:rPr>
                <w:rFonts w:hint="eastAsia" w:ascii="仿宋" w:hAnsi="仿宋" w:eastAsia="仿宋" w:cs="仿宋"/>
                <w:i w:val="0"/>
                <w:iCs w:val="0"/>
                <w:caps w:val="0"/>
                <w:color w:val="000000"/>
                <w:spacing w:val="0"/>
                <w:sz w:val="24"/>
                <w:szCs w:val="24"/>
                <w:highlight w:val="none"/>
                <w:lang w:val="en-US" w:eastAsia="zh-CN" w:bidi="ar-SA"/>
              </w:rPr>
              <w:t>（1）投标人为企业法人应提供合法有效的标识有统一社会信用代码的营业执照；事业法人应提供事业单位法人证书；其他组织应提供合法登记证明文件；</w:t>
            </w:r>
          </w:p>
          <w:p w14:paraId="0334D6E8">
            <w:pPr>
              <w:keepNext w:val="0"/>
              <w:keepLines w:val="0"/>
              <w:pageBreakBefore w:val="0"/>
              <w:kinsoku/>
              <w:wordWrap/>
              <w:overflowPunct/>
              <w:topLinePunct w:val="0"/>
              <w:bidi w:val="0"/>
              <w:adjustRightInd w:val="0"/>
              <w:snapToGrid w:val="0"/>
              <w:spacing w:line="240" w:lineRule="atLeast"/>
              <w:textAlignment w:val="auto"/>
              <w:rPr>
                <w:rFonts w:hint="eastAsia" w:ascii="仿宋" w:hAnsi="仿宋" w:eastAsia="仿宋" w:cs="仿宋"/>
                <w:i w:val="0"/>
                <w:iCs w:val="0"/>
                <w:caps w:val="0"/>
                <w:color w:val="000000"/>
                <w:spacing w:val="0"/>
                <w:sz w:val="24"/>
                <w:szCs w:val="24"/>
                <w:highlight w:val="none"/>
                <w:lang w:val="en-US" w:eastAsia="zh-CN" w:bidi="ar-SA"/>
              </w:rPr>
            </w:pPr>
            <w:r>
              <w:rPr>
                <w:rFonts w:hint="eastAsia" w:ascii="仿宋" w:hAnsi="仿宋" w:eastAsia="仿宋" w:cs="仿宋"/>
                <w:i w:val="0"/>
                <w:iCs w:val="0"/>
                <w:caps w:val="0"/>
                <w:color w:val="000000"/>
                <w:spacing w:val="0"/>
                <w:sz w:val="24"/>
                <w:szCs w:val="24"/>
                <w:highlight w:val="none"/>
                <w:lang w:val="en-US" w:eastAsia="zh-CN" w:bidi="ar-SA"/>
              </w:rPr>
              <w:t>（2）法定代表人（负责人）参加提供法定代表人（负责人）身份证明书及身份证（授权委托人参加提供法定代表人（负责人）授权委托书及被委托人身份证）；</w:t>
            </w:r>
          </w:p>
          <w:p w14:paraId="6131FE2A">
            <w:pPr>
              <w:keepNext w:val="0"/>
              <w:keepLines w:val="0"/>
              <w:pageBreakBefore w:val="0"/>
              <w:kinsoku/>
              <w:wordWrap/>
              <w:overflowPunct/>
              <w:topLinePunct w:val="0"/>
              <w:bidi w:val="0"/>
              <w:adjustRightInd w:val="0"/>
              <w:snapToGrid w:val="0"/>
              <w:spacing w:line="240" w:lineRule="atLeast"/>
              <w:textAlignment w:val="auto"/>
              <w:rPr>
                <w:rFonts w:hint="eastAsia" w:ascii="仿宋" w:hAnsi="仿宋" w:eastAsia="仿宋" w:cs="仿宋"/>
                <w:i w:val="0"/>
                <w:iCs w:val="0"/>
                <w:caps w:val="0"/>
                <w:color w:val="000000"/>
                <w:spacing w:val="0"/>
                <w:sz w:val="24"/>
                <w:szCs w:val="24"/>
                <w:highlight w:val="none"/>
                <w:lang w:val="en-US" w:eastAsia="zh-CN" w:bidi="ar-SA"/>
              </w:rPr>
            </w:pPr>
            <w:r>
              <w:rPr>
                <w:rFonts w:hint="eastAsia" w:ascii="仿宋" w:hAnsi="仿宋" w:eastAsia="仿宋" w:cs="仿宋"/>
                <w:i w:val="0"/>
                <w:iCs w:val="0"/>
                <w:caps w:val="0"/>
                <w:color w:val="000000"/>
                <w:spacing w:val="0"/>
                <w:sz w:val="24"/>
                <w:szCs w:val="24"/>
                <w:highlight w:val="none"/>
                <w:lang w:val="en-US" w:eastAsia="zh-CN" w:bidi="ar-SA"/>
              </w:rPr>
              <w:t>（3）投标人须在“信用中国”（www.creditchina.gov.cn）和中国政府采购网（www.ccgp.gov.cn）以及国家企业信用信息公示系统网站（http://www.gsxt.gov.cn）上未被列入失信被执行人、重大税收违法失信主体、未被列入政府采购严重违法失信行为记录名单里以及未被列入严重违法失信企业名单（黑名单）信息；（网页打印件须自招标文件发布之日起至投标截止时间从上述网站中打印）；</w:t>
            </w:r>
          </w:p>
          <w:p w14:paraId="5F0D77C1">
            <w:pPr>
              <w:keepNext w:val="0"/>
              <w:keepLines w:val="0"/>
              <w:pageBreakBefore w:val="0"/>
              <w:kinsoku/>
              <w:wordWrap/>
              <w:overflowPunct/>
              <w:topLinePunct w:val="0"/>
              <w:bidi w:val="0"/>
              <w:adjustRightInd w:val="0"/>
              <w:snapToGrid w:val="0"/>
              <w:spacing w:line="240" w:lineRule="atLeast"/>
              <w:textAlignment w:val="auto"/>
              <w:rPr>
                <w:rFonts w:hint="eastAsia" w:ascii="仿宋" w:hAnsi="仿宋" w:eastAsia="仿宋" w:cs="仿宋"/>
                <w:i w:val="0"/>
                <w:iCs w:val="0"/>
                <w:caps w:val="0"/>
                <w:color w:val="000000"/>
                <w:spacing w:val="0"/>
                <w:sz w:val="24"/>
                <w:szCs w:val="24"/>
                <w:highlight w:val="none"/>
                <w:lang w:val="en-US" w:eastAsia="zh-CN" w:bidi="ar-SA"/>
              </w:rPr>
            </w:pPr>
            <w:r>
              <w:rPr>
                <w:rFonts w:hint="eastAsia" w:ascii="仿宋" w:hAnsi="仿宋" w:eastAsia="仿宋" w:cs="仿宋"/>
                <w:i w:val="0"/>
                <w:iCs w:val="0"/>
                <w:caps w:val="0"/>
                <w:color w:val="000000"/>
                <w:spacing w:val="0"/>
                <w:sz w:val="24"/>
                <w:szCs w:val="24"/>
                <w:highlight w:val="none"/>
                <w:lang w:val="en-US" w:eastAsia="zh-CN" w:bidi="ar-SA"/>
              </w:rPr>
              <w:t>（4）投标人提供近半年内已缴存的至少一个月的社会保障资金缴存单据或社保机构开具的社会保险参保缴费情况证明，依法不需要缴纳社会保障资金的投标人应提供相关文件证明；</w:t>
            </w:r>
          </w:p>
          <w:p w14:paraId="00270E8B">
            <w:pPr>
              <w:keepNext w:val="0"/>
              <w:keepLines w:val="0"/>
              <w:pageBreakBefore w:val="0"/>
              <w:kinsoku/>
              <w:wordWrap/>
              <w:overflowPunct/>
              <w:topLinePunct w:val="0"/>
              <w:bidi w:val="0"/>
              <w:adjustRightInd w:val="0"/>
              <w:snapToGrid w:val="0"/>
              <w:spacing w:line="240" w:lineRule="atLeast"/>
              <w:textAlignment w:val="auto"/>
              <w:rPr>
                <w:rFonts w:hint="eastAsia" w:ascii="仿宋" w:hAnsi="仿宋" w:eastAsia="仿宋" w:cs="仿宋"/>
                <w:i w:val="0"/>
                <w:iCs w:val="0"/>
                <w:caps w:val="0"/>
                <w:color w:val="000000"/>
                <w:spacing w:val="0"/>
                <w:sz w:val="24"/>
                <w:szCs w:val="24"/>
                <w:highlight w:val="none"/>
                <w:lang w:val="en-US" w:eastAsia="zh-CN" w:bidi="ar-SA"/>
              </w:rPr>
            </w:pPr>
            <w:r>
              <w:rPr>
                <w:rFonts w:hint="eastAsia" w:ascii="仿宋" w:hAnsi="仿宋" w:eastAsia="仿宋" w:cs="仿宋"/>
                <w:i w:val="0"/>
                <w:iCs w:val="0"/>
                <w:caps w:val="0"/>
                <w:color w:val="000000"/>
                <w:spacing w:val="0"/>
                <w:sz w:val="24"/>
                <w:szCs w:val="24"/>
                <w:highlight w:val="none"/>
                <w:lang w:val="en-US" w:eastAsia="zh-CN" w:bidi="ar-SA"/>
              </w:rPr>
              <w:t>（5）投标人提供2023年的财务审计报告（成立时间至提交投标文件截止时间不足一年的可提供成立后任意时段的资产负债表），或其开标前三个月内基本存款账户开户银行出具的资信证明及基本存款账户开户证明；</w:t>
            </w:r>
          </w:p>
          <w:p w14:paraId="21AE73A1">
            <w:pPr>
              <w:keepNext w:val="0"/>
              <w:keepLines w:val="0"/>
              <w:pageBreakBefore w:val="0"/>
              <w:kinsoku/>
              <w:wordWrap/>
              <w:overflowPunct/>
              <w:topLinePunct w:val="0"/>
              <w:bidi w:val="0"/>
              <w:adjustRightInd w:val="0"/>
              <w:snapToGrid w:val="0"/>
              <w:spacing w:line="240" w:lineRule="atLeast"/>
              <w:textAlignment w:val="auto"/>
              <w:rPr>
                <w:rFonts w:hint="eastAsia" w:ascii="仿宋" w:hAnsi="仿宋" w:eastAsia="仿宋" w:cs="仿宋"/>
                <w:i w:val="0"/>
                <w:iCs w:val="0"/>
                <w:caps w:val="0"/>
                <w:color w:val="000000"/>
                <w:spacing w:val="0"/>
                <w:sz w:val="24"/>
                <w:szCs w:val="24"/>
                <w:highlight w:val="none"/>
                <w:lang w:val="en-US" w:eastAsia="zh-CN" w:bidi="ar-SA"/>
              </w:rPr>
            </w:pPr>
            <w:r>
              <w:rPr>
                <w:rFonts w:hint="eastAsia" w:ascii="仿宋" w:hAnsi="仿宋" w:eastAsia="仿宋" w:cs="仿宋"/>
                <w:i w:val="0"/>
                <w:iCs w:val="0"/>
                <w:caps w:val="0"/>
                <w:color w:val="000000"/>
                <w:spacing w:val="0"/>
                <w:sz w:val="24"/>
                <w:szCs w:val="24"/>
                <w:highlight w:val="none"/>
                <w:lang w:val="en-US" w:eastAsia="zh-CN" w:bidi="ar-SA"/>
              </w:rPr>
              <w:t>（6）投标人提供近半年内已缴纳的至少一个月的纳税证明或完税证明，纳税证明或完税证明上应有代收机构或税务机关的公章，依法免税的投标人应提供相关文件证明；</w:t>
            </w:r>
          </w:p>
          <w:p w14:paraId="39D566C3">
            <w:pPr>
              <w:keepNext w:val="0"/>
              <w:keepLines w:val="0"/>
              <w:pageBreakBefore w:val="0"/>
              <w:kinsoku/>
              <w:wordWrap/>
              <w:overflowPunct/>
              <w:topLinePunct w:val="0"/>
              <w:bidi w:val="0"/>
              <w:adjustRightInd w:val="0"/>
              <w:snapToGrid w:val="0"/>
              <w:spacing w:line="240" w:lineRule="atLeast"/>
              <w:textAlignment w:val="auto"/>
              <w:rPr>
                <w:rFonts w:hint="eastAsia" w:ascii="仿宋" w:hAnsi="仿宋" w:eastAsia="仿宋" w:cs="仿宋"/>
                <w:i w:val="0"/>
                <w:iCs w:val="0"/>
                <w:caps w:val="0"/>
                <w:color w:val="000000"/>
                <w:spacing w:val="0"/>
                <w:sz w:val="24"/>
                <w:szCs w:val="24"/>
                <w:highlight w:val="none"/>
                <w:lang w:val="en-US" w:eastAsia="zh-CN" w:bidi="ar-SA"/>
              </w:rPr>
            </w:pPr>
            <w:r>
              <w:rPr>
                <w:rFonts w:hint="eastAsia" w:ascii="仿宋" w:hAnsi="仿宋" w:eastAsia="仿宋" w:cs="仿宋"/>
                <w:i w:val="0"/>
                <w:iCs w:val="0"/>
                <w:caps w:val="0"/>
                <w:color w:val="000000"/>
                <w:spacing w:val="0"/>
                <w:sz w:val="24"/>
                <w:szCs w:val="24"/>
                <w:highlight w:val="none"/>
                <w:lang w:val="en-US" w:eastAsia="zh-CN" w:bidi="ar-SA"/>
              </w:rPr>
              <w:t>（7）投标人应具备良好的商业信誉，提供参加政府采购活动前3年内在经营活动中没有重大违法记录的书面声明；</w:t>
            </w:r>
          </w:p>
          <w:p w14:paraId="42DC9E98">
            <w:pPr>
              <w:pStyle w:val="29"/>
              <w:rPr>
                <w:rFonts w:hint="eastAsia" w:ascii="仿宋" w:hAnsi="仿宋" w:eastAsia="仿宋" w:cs="仿宋"/>
                <w:i w:val="0"/>
                <w:iCs w:val="0"/>
                <w:caps w:val="0"/>
                <w:color w:val="000000"/>
                <w:spacing w:val="0"/>
                <w:sz w:val="24"/>
                <w:szCs w:val="24"/>
                <w:highlight w:val="none"/>
                <w:lang w:val="en-US" w:eastAsia="zh-CN" w:bidi="ar-SA"/>
              </w:rPr>
            </w:pPr>
            <w:r>
              <w:rPr>
                <w:rFonts w:hint="eastAsia" w:ascii="仿宋" w:hAnsi="仿宋" w:eastAsia="仿宋" w:cs="仿宋"/>
                <w:i w:val="0"/>
                <w:iCs w:val="0"/>
                <w:caps w:val="0"/>
                <w:color w:val="000000"/>
                <w:spacing w:val="0"/>
                <w:sz w:val="24"/>
                <w:szCs w:val="24"/>
                <w:highlight w:val="none"/>
                <w:lang w:val="en-US" w:eastAsia="zh-CN" w:bidi="ar-SA"/>
              </w:rPr>
              <w:t>（8）保证金汇款凭证或保函；</w:t>
            </w:r>
          </w:p>
          <w:p w14:paraId="5EAB4935">
            <w:pPr>
              <w:pStyle w:val="29"/>
              <w:rPr>
                <w:rFonts w:hint="eastAsia" w:ascii="仿宋" w:hAnsi="仿宋" w:eastAsia="仿宋" w:cs="仿宋"/>
                <w:i w:val="0"/>
                <w:iCs w:val="0"/>
                <w:caps w:val="0"/>
                <w:color w:val="000000"/>
                <w:spacing w:val="0"/>
                <w:sz w:val="24"/>
                <w:szCs w:val="24"/>
                <w:highlight w:val="none"/>
                <w:lang w:val="en-US" w:eastAsia="zh-CN" w:bidi="ar-SA"/>
              </w:rPr>
            </w:pPr>
            <w:r>
              <w:rPr>
                <w:rFonts w:hint="eastAsia" w:ascii="仿宋" w:hAnsi="仿宋" w:eastAsia="仿宋" w:cs="仿宋"/>
                <w:i w:val="0"/>
                <w:iCs w:val="0"/>
                <w:caps w:val="0"/>
                <w:color w:val="000000"/>
                <w:spacing w:val="0"/>
                <w:sz w:val="24"/>
                <w:szCs w:val="24"/>
                <w:highlight w:val="none"/>
                <w:lang w:val="en-US" w:eastAsia="zh-CN" w:bidi="ar-SA"/>
              </w:rPr>
              <w:t>（9）供应商应为中小企业，需提供有效的《中小企业声明函》，格式以采购文件要求为准。</w:t>
            </w:r>
          </w:p>
          <w:p w14:paraId="00DC01A1">
            <w:pPr>
              <w:pStyle w:val="29"/>
              <w:rPr>
                <w:rFonts w:hint="eastAsia" w:ascii="仿宋" w:hAnsi="仿宋" w:eastAsia="仿宋" w:cs="仿宋"/>
                <w:i w:val="0"/>
                <w:iCs w:val="0"/>
                <w:caps w:val="0"/>
                <w:color w:val="000000"/>
                <w:spacing w:val="0"/>
                <w:sz w:val="24"/>
                <w:szCs w:val="24"/>
                <w:highlight w:val="none"/>
                <w:lang w:val="en-US" w:eastAsia="zh-CN" w:bidi="ar-SA"/>
              </w:rPr>
            </w:pPr>
            <w:r>
              <w:rPr>
                <w:rFonts w:hint="eastAsia" w:ascii="仿宋" w:hAnsi="仿宋" w:eastAsia="仿宋" w:cs="仿宋"/>
                <w:i w:val="0"/>
                <w:iCs w:val="0"/>
                <w:caps w:val="0"/>
                <w:color w:val="000000"/>
                <w:spacing w:val="0"/>
                <w:sz w:val="24"/>
                <w:szCs w:val="24"/>
                <w:highlight w:val="none"/>
                <w:lang w:val="en-US" w:eastAsia="zh-CN" w:bidi="ar-SA"/>
              </w:rPr>
              <w:t>（10）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p>
          <w:p w14:paraId="4B800CB5">
            <w:pPr>
              <w:keepNext w:val="0"/>
              <w:keepLines w:val="0"/>
              <w:pageBreakBefore w:val="0"/>
              <w:kinsoku/>
              <w:wordWrap/>
              <w:overflowPunct/>
              <w:topLinePunct w:val="0"/>
              <w:bidi w:val="0"/>
              <w:adjustRightInd w:val="0"/>
              <w:snapToGrid w:val="0"/>
              <w:spacing w:line="240" w:lineRule="atLeast"/>
              <w:textAlignment w:val="auto"/>
              <w:rPr>
                <w:rFonts w:hint="eastAsia" w:ascii="仿宋" w:hAnsi="仿宋" w:eastAsia="仿宋" w:cs="仿宋"/>
                <w:i w:val="0"/>
                <w:iCs w:val="0"/>
                <w:caps w:val="0"/>
                <w:color w:val="000000"/>
                <w:spacing w:val="0"/>
                <w:sz w:val="24"/>
                <w:szCs w:val="24"/>
                <w:highlight w:val="none"/>
                <w:lang w:val="en-US" w:eastAsia="zh-CN" w:bidi="ar-SA"/>
              </w:rPr>
            </w:pPr>
            <w:r>
              <w:rPr>
                <w:rFonts w:hint="eastAsia" w:ascii="仿宋" w:hAnsi="仿宋" w:eastAsia="仿宋" w:cs="仿宋"/>
                <w:i w:val="0"/>
                <w:iCs w:val="0"/>
                <w:caps w:val="0"/>
                <w:color w:val="000000"/>
                <w:spacing w:val="0"/>
                <w:sz w:val="24"/>
                <w:szCs w:val="24"/>
                <w:highlight w:val="none"/>
                <w:lang w:val="en-US" w:eastAsia="zh-CN" w:bidi="ar-SA"/>
              </w:rPr>
              <w:t>（11）本项目不接受联合体投标。</w:t>
            </w:r>
          </w:p>
          <w:p w14:paraId="7091C54F">
            <w:pPr>
              <w:keepNext w:val="0"/>
              <w:keepLines w:val="0"/>
              <w:pageBreakBefore w:val="0"/>
              <w:kinsoku/>
              <w:wordWrap/>
              <w:overflowPunct/>
              <w:topLinePunct w:val="0"/>
              <w:bidi w:val="0"/>
              <w:spacing w:line="360" w:lineRule="exact"/>
              <w:ind w:firstLine="442" w:firstLineChars="200"/>
              <w:textAlignment w:val="auto"/>
              <w:rPr>
                <w:rFonts w:hint="eastAsia" w:ascii="宋体" w:hAnsi="宋体" w:eastAsia="宋体" w:cs="Times New Roman"/>
                <w:b/>
                <w:sz w:val="22"/>
                <w:szCs w:val="22"/>
                <w:highlight w:val="none"/>
                <w:lang w:val="en-US" w:eastAsia="zh-CN"/>
              </w:rPr>
            </w:pPr>
            <w:r>
              <w:rPr>
                <w:rFonts w:hint="eastAsia" w:ascii="宋体" w:hAnsi="宋体"/>
                <w:b/>
                <w:sz w:val="22"/>
                <w:szCs w:val="22"/>
                <w:highlight w:val="none"/>
              </w:rPr>
              <w:t>说明：1、上述1-</w:t>
            </w:r>
            <w:r>
              <w:rPr>
                <w:rFonts w:hint="eastAsia" w:ascii="宋体" w:hAnsi="宋体"/>
                <w:b/>
                <w:sz w:val="22"/>
                <w:szCs w:val="22"/>
                <w:highlight w:val="none"/>
                <w:lang w:val="en-US" w:eastAsia="zh-CN"/>
              </w:rPr>
              <w:t>9</w:t>
            </w:r>
            <w:r>
              <w:rPr>
                <w:rFonts w:hint="eastAsia" w:ascii="宋体" w:hAnsi="宋体"/>
                <w:b/>
                <w:sz w:val="22"/>
                <w:szCs w:val="22"/>
                <w:highlight w:val="none"/>
              </w:rPr>
              <w:t>条资料为开标时资格审查的必备条件，如果缺项或不符合要求则视为对招标文件资格审查内容的不响应，投标将被拒绝（电子版投标文件内所有资格</w:t>
            </w:r>
            <w:r>
              <w:rPr>
                <w:rFonts w:hint="eastAsia" w:ascii="仿宋" w:hAnsi="仿宋" w:eastAsia="仿宋" w:cs="仿宋"/>
                <w:b/>
                <w:color w:val="auto"/>
                <w:kern w:val="0"/>
                <w:sz w:val="24"/>
                <w:szCs w:val="24"/>
                <w:highlight w:val="none"/>
              </w:rPr>
              <w:t>证</w:t>
            </w:r>
            <w:r>
              <w:rPr>
                <w:rFonts w:hint="eastAsia" w:ascii="宋体" w:hAnsi="宋体" w:eastAsia="宋体" w:cs="Times New Roman"/>
                <w:b/>
                <w:sz w:val="22"/>
                <w:szCs w:val="22"/>
                <w:highlight w:val="none"/>
                <w:lang w:val="en-US" w:eastAsia="zh-CN"/>
              </w:rPr>
              <w:t>明文件，投标人须逐页加盖电子签章）。</w:t>
            </w:r>
          </w:p>
          <w:p w14:paraId="73CE17F0">
            <w:pPr>
              <w:keepNext w:val="0"/>
              <w:keepLines w:val="0"/>
              <w:pageBreakBefore w:val="0"/>
              <w:kinsoku/>
              <w:wordWrap/>
              <w:overflowPunct/>
              <w:topLinePunct w:val="0"/>
              <w:bidi w:val="0"/>
              <w:spacing w:line="360" w:lineRule="exact"/>
              <w:textAlignment w:val="auto"/>
              <w:rPr>
                <w:rFonts w:hint="eastAsia"/>
                <w:highlight w:val="none"/>
              </w:rPr>
            </w:pPr>
            <w:r>
              <w:rPr>
                <w:rFonts w:hint="eastAsia" w:ascii="宋体" w:hAnsi="宋体" w:eastAsia="宋体" w:cs="Times New Roman"/>
                <w:b/>
                <w:sz w:val="22"/>
                <w:szCs w:val="22"/>
                <w:highlight w:val="none"/>
                <w:lang w:val="en-US" w:eastAsia="zh-CN"/>
              </w:rPr>
              <w:t>2、开标前，请各投标人将上述有效证件的扫描件上传到“政采云”平台待开标时查验，上述证件的公证件本次采购不予认可。</w:t>
            </w:r>
          </w:p>
        </w:tc>
      </w:tr>
      <w:tr w14:paraId="07955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0" w:hRule="atLeast"/>
        </w:trPr>
        <w:tc>
          <w:tcPr>
            <w:tcW w:w="532" w:type="dxa"/>
            <w:vMerge w:val="restart"/>
            <w:vAlign w:val="center"/>
          </w:tcPr>
          <w:p w14:paraId="008E6593">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rPr>
              <w:t>2</w:t>
            </w:r>
            <w:r>
              <w:rPr>
                <w:rFonts w:hint="eastAsia" w:ascii="仿宋" w:hAnsi="仿宋" w:eastAsia="仿宋" w:cs="仿宋"/>
                <w:b/>
                <w:color w:val="auto"/>
                <w:kern w:val="0"/>
                <w:sz w:val="24"/>
                <w:szCs w:val="24"/>
                <w:highlight w:val="none"/>
                <w:lang w:val="en-US" w:eastAsia="zh-CN"/>
              </w:rPr>
              <w:t>3</w:t>
            </w:r>
          </w:p>
        </w:tc>
        <w:tc>
          <w:tcPr>
            <w:tcW w:w="1664" w:type="dxa"/>
            <w:vMerge w:val="restart"/>
            <w:tcBorders>
              <w:right w:val="single" w:color="auto" w:sz="4" w:space="0"/>
            </w:tcBorders>
            <w:vAlign w:val="center"/>
          </w:tcPr>
          <w:p w14:paraId="27551E15">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公告及</w:t>
            </w:r>
            <w:r>
              <w:rPr>
                <w:rFonts w:hint="eastAsia" w:ascii="仿宋" w:hAnsi="仿宋" w:eastAsia="仿宋" w:cs="仿宋"/>
                <w:b/>
                <w:color w:val="auto"/>
                <w:kern w:val="0"/>
                <w:sz w:val="24"/>
                <w:szCs w:val="24"/>
                <w:highlight w:val="none"/>
                <w:lang w:eastAsia="zh-CN"/>
              </w:rPr>
              <w:t>中标</w:t>
            </w:r>
            <w:r>
              <w:rPr>
                <w:rFonts w:hint="eastAsia" w:ascii="仿宋" w:hAnsi="仿宋" w:eastAsia="仿宋" w:cs="仿宋"/>
                <w:b/>
                <w:color w:val="auto"/>
                <w:kern w:val="0"/>
                <w:sz w:val="24"/>
                <w:szCs w:val="24"/>
                <w:highlight w:val="none"/>
              </w:rPr>
              <w:t>公示发布媒介</w:t>
            </w:r>
          </w:p>
        </w:tc>
        <w:tc>
          <w:tcPr>
            <w:tcW w:w="8337" w:type="dxa"/>
            <w:gridSpan w:val="6"/>
            <w:tcBorders>
              <w:left w:val="single" w:color="auto" w:sz="4" w:space="0"/>
              <w:bottom w:val="single" w:color="auto" w:sz="4" w:space="0"/>
            </w:tcBorders>
            <w:vAlign w:val="center"/>
          </w:tcPr>
          <w:p w14:paraId="3D216C2E">
            <w:pPr>
              <w:adjustRightInd w:val="0"/>
              <w:snapToGrid w:val="0"/>
              <w:spacing w:line="360" w:lineRule="auto"/>
              <w:rPr>
                <w:rFonts w:hint="default"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rPr>
              <w:t>新疆政府采购网（http://www.ccgp-xinjiang.gov.cn/）</w:t>
            </w:r>
          </w:p>
        </w:tc>
      </w:tr>
      <w:tr w14:paraId="4C723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90" w:hRule="atLeast"/>
        </w:trPr>
        <w:tc>
          <w:tcPr>
            <w:tcW w:w="532" w:type="dxa"/>
            <w:vMerge w:val="continue"/>
            <w:vAlign w:val="center"/>
          </w:tcPr>
          <w:p w14:paraId="1B15D1B5">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1664" w:type="dxa"/>
            <w:vMerge w:val="continue"/>
            <w:tcBorders>
              <w:right w:val="single" w:color="auto" w:sz="4" w:space="0"/>
            </w:tcBorders>
            <w:vAlign w:val="center"/>
          </w:tcPr>
          <w:p w14:paraId="1EA99C13">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rPr>
            </w:pPr>
          </w:p>
        </w:tc>
        <w:tc>
          <w:tcPr>
            <w:tcW w:w="8337" w:type="dxa"/>
            <w:gridSpan w:val="6"/>
            <w:tcBorders>
              <w:top w:val="single" w:color="auto" w:sz="4" w:space="0"/>
              <w:left w:val="single" w:color="auto" w:sz="4" w:space="0"/>
            </w:tcBorders>
            <w:vAlign w:val="center"/>
          </w:tcPr>
          <w:p w14:paraId="488B68F2">
            <w:pPr>
              <w:autoSpaceDE w:val="0"/>
              <w:autoSpaceDN w:val="0"/>
              <w:adjustRightInd w:val="0"/>
              <w:snapToGrid w:val="0"/>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公示期不少于1工作日，公示期内无异议将向第一中标候选人发出</w:t>
            </w:r>
            <w:r>
              <w:rPr>
                <w:rFonts w:hint="eastAsia" w:ascii="仿宋" w:hAnsi="仿宋" w:eastAsia="仿宋" w:cs="仿宋"/>
                <w:color w:val="auto"/>
                <w:kern w:val="0"/>
                <w:sz w:val="24"/>
                <w:szCs w:val="24"/>
                <w:highlight w:val="none"/>
                <w:lang w:eastAsia="zh-CN"/>
              </w:rPr>
              <w:t>中标</w:t>
            </w:r>
            <w:r>
              <w:rPr>
                <w:rFonts w:hint="eastAsia" w:ascii="仿宋" w:hAnsi="仿宋" w:eastAsia="仿宋" w:cs="仿宋"/>
                <w:color w:val="auto"/>
                <w:kern w:val="0"/>
                <w:sz w:val="24"/>
                <w:szCs w:val="24"/>
                <w:highlight w:val="none"/>
              </w:rPr>
              <w:t>通知书。</w:t>
            </w:r>
          </w:p>
        </w:tc>
      </w:tr>
      <w:tr w14:paraId="3EE95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69" w:hRule="atLeast"/>
        </w:trPr>
        <w:tc>
          <w:tcPr>
            <w:tcW w:w="532" w:type="dxa"/>
            <w:vAlign w:val="center"/>
          </w:tcPr>
          <w:p w14:paraId="7648475F">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rPr>
              <w:t>2</w:t>
            </w:r>
            <w:r>
              <w:rPr>
                <w:rFonts w:hint="eastAsia" w:ascii="仿宋" w:hAnsi="仿宋" w:eastAsia="仿宋" w:cs="仿宋"/>
                <w:b/>
                <w:color w:val="auto"/>
                <w:kern w:val="0"/>
                <w:sz w:val="24"/>
                <w:szCs w:val="24"/>
                <w:highlight w:val="none"/>
                <w:lang w:val="en-US" w:eastAsia="zh-CN"/>
              </w:rPr>
              <w:t>4</w:t>
            </w:r>
          </w:p>
        </w:tc>
        <w:tc>
          <w:tcPr>
            <w:tcW w:w="1664" w:type="dxa"/>
            <w:vAlign w:val="center"/>
          </w:tcPr>
          <w:p w14:paraId="1D896955">
            <w:pPr>
              <w:overflowPunct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中标</w:t>
            </w:r>
          </w:p>
          <w:p w14:paraId="1D20A494">
            <w:pPr>
              <w:overflowPunct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通知书</w:t>
            </w:r>
          </w:p>
        </w:tc>
        <w:tc>
          <w:tcPr>
            <w:tcW w:w="8337" w:type="dxa"/>
            <w:gridSpan w:val="6"/>
            <w:vAlign w:val="center"/>
          </w:tcPr>
          <w:p w14:paraId="49D4C603">
            <w:pPr>
              <w:widowControl/>
              <w:spacing w:line="360" w:lineRule="auto"/>
              <w:ind w:left="14" w:leftChars="-45" w:hanging="108" w:hangingChars="4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中标公示</w:t>
            </w:r>
            <w:r>
              <w:rPr>
                <w:rFonts w:hint="eastAsia" w:ascii="仿宋" w:hAnsi="仿宋" w:eastAsia="仿宋" w:cs="仿宋"/>
                <w:b/>
                <w:color w:val="auto"/>
                <w:sz w:val="24"/>
                <w:szCs w:val="24"/>
                <w:highlight w:val="none"/>
              </w:rPr>
              <w:t>1</w:t>
            </w:r>
            <w:r>
              <w:rPr>
                <w:rFonts w:hint="eastAsia" w:ascii="仿宋" w:hAnsi="仿宋" w:eastAsia="仿宋" w:cs="仿宋"/>
                <w:color w:val="auto"/>
                <w:sz w:val="24"/>
                <w:szCs w:val="24"/>
                <w:highlight w:val="none"/>
              </w:rPr>
              <w:t>工作日无异议后发放</w:t>
            </w:r>
          </w:p>
        </w:tc>
      </w:tr>
      <w:tr w14:paraId="226B8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6" w:hRule="atLeast"/>
        </w:trPr>
        <w:tc>
          <w:tcPr>
            <w:tcW w:w="532" w:type="dxa"/>
            <w:vAlign w:val="center"/>
          </w:tcPr>
          <w:p w14:paraId="5D0E9E74">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rPr>
              <w:t>2</w:t>
            </w:r>
            <w:r>
              <w:rPr>
                <w:rFonts w:hint="eastAsia" w:ascii="仿宋" w:hAnsi="仿宋" w:eastAsia="仿宋" w:cs="仿宋"/>
                <w:b/>
                <w:color w:val="auto"/>
                <w:kern w:val="0"/>
                <w:sz w:val="24"/>
                <w:szCs w:val="24"/>
                <w:highlight w:val="none"/>
                <w:lang w:val="en-US" w:eastAsia="zh-CN"/>
              </w:rPr>
              <w:t>5</w:t>
            </w:r>
          </w:p>
        </w:tc>
        <w:tc>
          <w:tcPr>
            <w:tcW w:w="1664" w:type="dxa"/>
            <w:vAlign w:val="center"/>
          </w:tcPr>
          <w:p w14:paraId="6D667850">
            <w:pPr>
              <w:overflowPunct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签订合同时间</w:t>
            </w:r>
          </w:p>
        </w:tc>
        <w:tc>
          <w:tcPr>
            <w:tcW w:w="8337" w:type="dxa"/>
            <w:gridSpan w:val="6"/>
            <w:vAlign w:val="center"/>
          </w:tcPr>
          <w:p w14:paraId="703EDAA5">
            <w:pPr>
              <w:widowControl/>
              <w:spacing w:line="360" w:lineRule="auto"/>
              <w:ind w:left="14" w:leftChars="-45" w:hanging="108" w:hangingChars="4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中标通知书发出之日起</w:t>
            </w:r>
            <w:r>
              <w:rPr>
                <w:rFonts w:hint="eastAsia" w:ascii="仿宋" w:hAnsi="仿宋" w:eastAsia="仿宋" w:cs="仿宋"/>
                <w:b/>
                <w:color w:val="auto"/>
                <w:sz w:val="24"/>
                <w:szCs w:val="24"/>
                <w:highlight w:val="none"/>
              </w:rPr>
              <w:t>30</w:t>
            </w:r>
            <w:r>
              <w:rPr>
                <w:rFonts w:hint="eastAsia" w:ascii="仿宋" w:hAnsi="仿宋" w:eastAsia="仿宋" w:cs="仿宋"/>
                <w:color w:val="auto"/>
                <w:sz w:val="24"/>
                <w:szCs w:val="24"/>
                <w:highlight w:val="none"/>
              </w:rPr>
              <w:t>日内。</w:t>
            </w:r>
          </w:p>
        </w:tc>
      </w:tr>
      <w:tr w14:paraId="14A38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12" w:hRule="atLeast"/>
        </w:trPr>
        <w:tc>
          <w:tcPr>
            <w:tcW w:w="532" w:type="dxa"/>
            <w:vAlign w:val="center"/>
          </w:tcPr>
          <w:p w14:paraId="5D3D143F">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rPr>
              <w:t>2</w:t>
            </w:r>
            <w:r>
              <w:rPr>
                <w:rFonts w:hint="eastAsia" w:ascii="仿宋" w:hAnsi="仿宋" w:eastAsia="仿宋" w:cs="仿宋"/>
                <w:b/>
                <w:color w:val="auto"/>
                <w:kern w:val="0"/>
                <w:sz w:val="24"/>
                <w:szCs w:val="24"/>
                <w:highlight w:val="none"/>
                <w:lang w:val="en-US" w:eastAsia="zh-CN"/>
              </w:rPr>
              <w:t>6</w:t>
            </w:r>
          </w:p>
        </w:tc>
        <w:tc>
          <w:tcPr>
            <w:tcW w:w="1664" w:type="dxa"/>
            <w:vAlign w:val="center"/>
          </w:tcPr>
          <w:p w14:paraId="70ADD070">
            <w:pPr>
              <w:overflowPunct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代理</w:t>
            </w:r>
          </w:p>
          <w:p w14:paraId="2199CEC5">
            <w:pPr>
              <w:overflowPunct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服务费</w:t>
            </w:r>
          </w:p>
        </w:tc>
        <w:tc>
          <w:tcPr>
            <w:tcW w:w="8337" w:type="dxa"/>
            <w:gridSpan w:val="6"/>
            <w:vAlign w:val="center"/>
          </w:tcPr>
          <w:p w14:paraId="2408CBBE">
            <w:pPr>
              <w:widowControl/>
              <w:spacing w:line="360" w:lineRule="auto"/>
              <w:ind w:left="14" w:leftChars="-45" w:hanging="108" w:hangingChars="4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中标</w:t>
            </w:r>
            <w:r>
              <w:rPr>
                <w:rFonts w:hint="eastAsia" w:ascii="仿宋" w:hAnsi="仿宋" w:eastAsia="仿宋" w:cs="仿宋"/>
                <w:color w:val="auto"/>
                <w:sz w:val="24"/>
                <w:szCs w:val="24"/>
                <w:highlight w:val="none"/>
              </w:rPr>
              <w:t>服务商在收到</w:t>
            </w:r>
            <w:r>
              <w:rPr>
                <w:rFonts w:hint="eastAsia" w:ascii="仿宋" w:hAnsi="仿宋" w:eastAsia="仿宋" w:cs="仿宋"/>
                <w:color w:val="auto"/>
                <w:sz w:val="24"/>
                <w:szCs w:val="24"/>
                <w:highlight w:val="none"/>
                <w:lang w:eastAsia="zh-CN"/>
              </w:rPr>
              <w:t>中标</w:t>
            </w:r>
            <w:r>
              <w:rPr>
                <w:rFonts w:hint="eastAsia" w:ascii="仿宋" w:hAnsi="仿宋" w:eastAsia="仿宋" w:cs="仿宋"/>
                <w:color w:val="auto"/>
                <w:sz w:val="24"/>
                <w:szCs w:val="24"/>
                <w:highlight w:val="none"/>
              </w:rPr>
              <w:t>通知书后，须支付代理服务费，</w:t>
            </w:r>
            <w:r>
              <w:rPr>
                <w:rFonts w:hint="eastAsia" w:ascii="仿宋" w:hAnsi="仿宋" w:eastAsia="仿宋" w:cs="仿宋"/>
                <w:color w:val="auto"/>
                <w:sz w:val="24"/>
                <w:szCs w:val="24"/>
                <w:highlight w:val="none"/>
                <w:lang w:eastAsia="zh-CN"/>
              </w:rPr>
              <w:t>参照《国家发展改革委关于进一步放开建设项目专业服务价格的通知》(发改价格〔2015〕299号)文件规定执行按标（包）计取，向新疆华域建设工程项目管理咨询有限公司交纳招标服务费。</w:t>
            </w:r>
          </w:p>
        </w:tc>
      </w:tr>
      <w:tr w14:paraId="4A9C9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09" w:hRule="atLeast"/>
        </w:trPr>
        <w:tc>
          <w:tcPr>
            <w:tcW w:w="532" w:type="dxa"/>
            <w:vAlign w:val="center"/>
          </w:tcPr>
          <w:p w14:paraId="694A1050">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rPr>
              <w:t>2</w:t>
            </w:r>
            <w:r>
              <w:rPr>
                <w:rFonts w:hint="eastAsia" w:ascii="仿宋" w:hAnsi="仿宋" w:eastAsia="仿宋" w:cs="仿宋"/>
                <w:b/>
                <w:color w:val="auto"/>
                <w:kern w:val="0"/>
                <w:sz w:val="24"/>
                <w:szCs w:val="24"/>
                <w:highlight w:val="none"/>
                <w:lang w:val="en-US" w:eastAsia="zh-CN"/>
              </w:rPr>
              <w:t>7</w:t>
            </w:r>
          </w:p>
        </w:tc>
        <w:tc>
          <w:tcPr>
            <w:tcW w:w="1664" w:type="dxa"/>
            <w:vAlign w:val="center"/>
          </w:tcPr>
          <w:p w14:paraId="5C9A02B6">
            <w:pPr>
              <w:overflowPunct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文件</w:t>
            </w:r>
          </w:p>
          <w:p w14:paraId="5E344629">
            <w:pPr>
              <w:overflowPunct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解释权</w:t>
            </w:r>
          </w:p>
        </w:tc>
        <w:tc>
          <w:tcPr>
            <w:tcW w:w="8337" w:type="dxa"/>
            <w:gridSpan w:val="6"/>
            <w:vAlign w:val="center"/>
          </w:tcPr>
          <w:p w14:paraId="0876E13E">
            <w:pPr>
              <w:widowControl/>
              <w:spacing w:line="360" w:lineRule="auto"/>
              <w:ind w:left="14" w:leftChars="-45" w:hanging="108" w:hangingChars="45"/>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本</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的解释权归</w:t>
            </w:r>
            <w:r>
              <w:rPr>
                <w:rFonts w:hint="eastAsia" w:ascii="仿宋" w:hAnsi="仿宋" w:eastAsia="仿宋" w:cs="仿宋"/>
                <w:b/>
                <w:color w:val="auto"/>
                <w:sz w:val="24"/>
                <w:szCs w:val="24"/>
                <w:highlight w:val="none"/>
                <w:lang w:eastAsia="zh-CN"/>
              </w:rPr>
              <w:t>特克斯县人民医院</w:t>
            </w:r>
          </w:p>
        </w:tc>
      </w:tr>
      <w:tr w14:paraId="55CC7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7" w:hRule="atLeast"/>
        </w:trPr>
        <w:tc>
          <w:tcPr>
            <w:tcW w:w="532" w:type="dxa"/>
            <w:vAlign w:val="center"/>
          </w:tcPr>
          <w:p w14:paraId="3D1B71DD">
            <w:pPr>
              <w:autoSpaceDE w:val="0"/>
              <w:autoSpaceDN w:val="0"/>
              <w:adjustRightInd w:val="0"/>
              <w:snapToGrid w:val="0"/>
              <w:spacing w:line="360" w:lineRule="auto"/>
              <w:jc w:val="center"/>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rPr>
              <w:t>2</w:t>
            </w:r>
            <w:r>
              <w:rPr>
                <w:rFonts w:hint="eastAsia" w:ascii="仿宋" w:hAnsi="仿宋" w:eastAsia="仿宋" w:cs="仿宋"/>
                <w:b/>
                <w:color w:val="auto"/>
                <w:kern w:val="0"/>
                <w:sz w:val="24"/>
                <w:szCs w:val="24"/>
                <w:highlight w:val="none"/>
                <w:lang w:val="en-US" w:eastAsia="zh-CN"/>
              </w:rPr>
              <w:t>8</w:t>
            </w:r>
          </w:p>
        </w:tc>
        <w:tc>
          <w:tcPr>
            <w:tcW w:w="1664" w:type="dxa"/>
            <w:vAlign w:val="center"/>
          </w:tcPr>
          <w:p w14:paraId="1F25ACB5">
            <w:pPr>
              <w:overflowPunct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其他要求</w:t>
            </w:r>
          </w:p>
        </w:tc>
        <w:tc>
          <w:tcPr>
            <w:tcW w:w="8337" w:type="dxa"/>
            <w:gridSpan w:val="6"/>
            <w:vAlign w:val="center"/>
          </w:tcPr>
          <w:p w14:paraId="22CD51D0">
            <w:pPr>
              <w:widowControl/>
              <w:spacing w:line="360" w:lineRule="auto"/>
              <w:ind w:left="14" w:leftChars="-45" w:hanging="108" w:hangingChars="4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承担所有相关责任的同时不得耽误本项目</w:t>
            </w:r>
            <w:r>
              <w:rPr>
                <w:rFonts w:hint="eastAsia" w:ascii="仿宋" w:hAnsi="仿宋" w:eastAsia="仿宋" w:cs="仿宋"/>
                <w:color w:val="auto"/>
                <w:sz w:val="24"/>
                <w:szCs w:val="24"/>
                <w:highlight w:val="none"/>
                <w:lang w:val="en-US" w:eastAsia="zh-CN"/>
              </w:rPr>
              <w:t>的服务</w:t>
            </w:r>
            <w:r>
              <w:rPr>
                <w:rFonts w:hint="eastAsia" w:ascii="仿宋" w:hAnsi="仿宋" w:eastAsia="仿宋" w:cs="仿宋"/>
                <w:color w:val="auto"/>
                <w:sz w:val="24"/>
                <w:szCs w:val="24"/>
                <w:highlight w:val="none"/>
              </w:rPr>
              <w:t>。</w:t>
            </w:r>
          </w:p>
        </w:tc>
      </w:tr>
      <w:tr w14:paraId="3C94A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14" w:hRule="atLeast"/>
        </w:trPr>
        <w:tc>
          <w:tcPr>
            <w:tcW w:w="532" w:type="dxa"/>
            <w:vAlign w:val="center"/>
          </w:tcPr>
          <w:p w14:paraId="61663A65">
            <w:pPr>
              <w:autoSpaceDE w:val="0"/>
              <w:autoSpaceDN w:val="0"/>
              <w:adjustRightInd w:val="0"/>
              <w:snapToGrid w:val="0"/>
              <w:spacing w:line="360" w:lineRule="auto"/>
              <w:jc w:val="center"/>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29</w:t>
            </w:r>
          </w:p>
        </w:tc>
        <w:tc>
          <w:tcPr>
            <w:tcW w:w="1664" w:type="dxa"/>
            <w:vAlign w:val="center"/>
          </w:tcPr>
          <w:p w14:paraId="33A90D1D">
            <w:pPr>
              <w:overflowPunct w:val="0"/>
              <w:spacing w:line="360" w:lineRule="auto"/>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重要说明</w:t>
            </w:r>
          </w:p>
        </w:tc>
        <w:tc>
          <w:tcPr>
            <w:tcW w:w="8337" w:type="dxa"/>
            <w:gridSpan w:val="6"/>
            <w:vAlign w:val="center"/>
          </w:tcPr>
          <w:p w14:paraId="48ED6D81">
            <w:pPr>
              <w:keepNext w:val="0"/>
              <w:keepLines w:val="0"/>
              <w:pageBreakBefore w:val="0"/>
              <w:kinsoku/>
              <w:wordWrap/>
              <w:overflowPunct/>
              <w:topLinePunct w:val="0"/>
              <w:autoSpaceDE/>
              <w:autoSpaceDN/>
              <w:bidi w:val="0"/>
              <w:spacing w:line="440" w:lineRule="exact"/>
              <w:ind w:right="105" w:rightChars="50"/>
              <w:textAlignment w:val="auto"/>
              <w:rPr>
                <w:rFonts w:hint="eastAsia" w:ascii="仿宋" w:hAnsi="仿宋" w:eastAsia="仿宋" w:cs="Times New Roman"/>
                <w:sz w:val="24"/>
                <w:highlight w:val="none"/>
                <w:lang w:val="en-US" w:eastAsia="zh-CN"/>
              </w:rPr>
            </w:pPr>
            <w:r>
              <w:rPr>
                <w:rFonts w:hint="eastAsia" w:ascii="仿宋" w:hAnsi="仿宋" w:eastAsia="仿宋" w:cs="Times New Roman"/>
                <w:b w:val="0"/>
                <w:bCs w:val="0"/>
                <w:sz w:val="24"/>
                <w:highlight w:val="none"/>
                <w:lang w:val="en-US" w:eastAsia="zh-CN"/>
              </w:rPr>
              <w:t>本项目采用电子招标投标：</w:t>
            </w:r>
            <w:r>
              <w:rPr>
                <w:rFonts w:hint="eastAsia" w:ascii="仿宋" w:hAnsi="仿宋" w:eastAsia="仿宋" w:cs="Times New Roman"/>
                <w:sz w:val="24"/>
                <w:highlight w:val="none"/>
                <w:lang w:val="en-US" w:eastAsia="zh-CN"/>
              </w:rPr>
              <w:t>1、投标文件解密时间：投标文件解密时间30分钟，开标前需投标单位用CA证书登录政采云平台开标大厅签到，在30分钟解密时间内输入CA证书PIN码解密投标文件。在30分钟解密时间内未进行解密的投标单位将导致废标。（解密时间开始时政采云平台将以短信形式向供应商在政采云平台预留的手机号发送短信通知，请供应商及时关注。）</w:t>
            </w:r>
          </w:p>
          <w:p w14:paraId="5834FE34">
            <w:pPr>
              <w:keepNext w:val="0"/>
              <w:keepLines w:val="0"/>
              <w:pageBreakBefore w:val="0"/>
              <w:numPr>
                <w:ilvl w:val="0"/>
                <w:numId w:val="6"/>
              </w:numPr>
              <w:kinsoku/>
              <w:wordWrap/>
              <w:overflowPunct/>
              <w:topLinePunct w:val="0"/>
              <w:autoSpaceDE/>
              <w:autoSpaceDN/>
              <w:bidi w:val="0"/>
              <w:spacing w:line="440" w:lineRule="exact"/>
              <w:ind w:right="105" w:rightChars="50"/>
              <w:textAlignment w:val="auto"/>
              <w:rPr>
                <w:rFonts w:hint="eastAsia" w:ascii="仿宋" w:hAnsi="仿宋" w:eastAsia="仿宋" w:cs="Times New Roman"/>
                <w:sz w:val="24"/>
                <w:highlight w:val="none"/>
                <w:lang w:val="en-US" w:eastAsia="zh-CN"/>
              </w:rPr>
            </w:pPr>
            <w:r>
              <w:rPr>
                <w:rFonts w:hint="eastAsia" w:ascii="仿宋" w:hAnsi="仿宋" w:eastAsia="仿宋" w:cs="Times New Roman"/>
                <w:sz w:val="24"/>
                <w:highlight w:val="none"/>
                <w:lang w:val="en-US" w:eastAsia="zh-CN"/>
              </w:rPr>
              <w:t>供应商报价CA签字确认：报价文件开启后将开启签字时段，供应商须在20分钟内用CA证书对报价进行签字确认。</w:t>
            </w:r>
          </w:p>
          <w:p w14:paraId="438AC956">
            <w:pPr>
              <w:keepNext w:val="0"/>
              <w:keepLines w:val="0"/>
              <w:pageBreakBefore w:val="0"/>
              <w:numPr>
                <w:ilvl w:val="0"/>
                <w:numId w:val="0"/>
              </w:numPr>
              <w:kinsoku/>
              <w:wordWrap/>
              <w:overflowPunct/>
              <w:topLinePunct w:val="0"/>
              <w:autoSpaceDE/>
              <w:autoSpaceDN/>
              <w:bidi w:val="0"/>
              <w:spacing w:line="440" w:lineRule="exact"/>
              <w:ind w:right="105" w:rightChars="50"/>
              <w:textAlignment w:val="auto"/>
              <w:rPr>
                <w:rFonts w:hint="eastAsia" w:ascii="仿宋" w:hAnsi="仿宋" w:eastAsia="仿宋"/>
                <w:sz w:val="24"/>
                <w:highlight w:val="none"/>
              </w:rPr>
            </w:pPr>
            <w:r>
              <w:rPr>
                <w:rFonts w:hint="eastAsia" w:ascii="仿宋" w:hAnsi="仿宋" w:eastAsia="仿宋"/>
                <w:sz w:val="24"/>
                <w:highlight w:val="none"/>
                <w:lang w:val="en-US" w:eastAsia="zh-CN"/>
              </w:rPr>
              <w:t>备注：</w:t>
            </w:r>
            <w:r>
              <w:rPr>
                <w:rFonts w:hint="eastAsia" w:ascii="仿宋" w:hAnsi="仿宋" w:eastAsia="仿宋"/>
                <w:sz w:val="24"/>
                <w:highlight w:val="none"/>
              </w:rPr>
              <w:t>1、本次采购采用电子交易方式，电子交易平台为“</w:t>
            </w:r>
            <w:r>
              <w:rPr>
                <w:rFonts w:hint="eastAsia" w:ascii="仿宋" w:hAnsi="仿宋" w:eastAsia="仿宋" w:cs="仿宋"/>
                <w:color w:val="000000"/>
                <w:kern w:val="2"/>
                <w:sz w:val="24"/>
                <w:szCs w:val="24"/>
                <w:highlight w:val="none"/>
                <w:lang w:val="en-US" w:eastAsia="zh-CN" w:bidi="ar-SA"/>
              </w:rPr>
              <w:t>政府采购云平台（www.zcygov.cn）</w:t>
            </w:r>
            <w:r>
              <w:rPr>
                <w:rFonts w:hint="eastAsia" w:ascii="仿宋" w:hAnsi="仿宋" w:eastAsia="仿宋"/>
                <w:sz w:val="24"/>
                <w:highlight w:val="none"/>
              </w:rPr>
              <w:t>”。供应商参与本项目电子交易活动前，应注册成为</w:t>
            </w:r>
            <w:r>
              <w:rPr>
                <w:rFonts w:hint="eastAsia" w:ascii="仿宋" w:hAnsi="仿宋" w:eastAsia="仿宋" w:cs="仿宋"/>
                <w:color w:val="000000"/>
                <w:kern w:val="2"/>
                <w:sz w:val="24"/>
                <w:szCs w:val="24"/>
                <w:highlight w:val="none"/>
                <w:lang w:val="en-US" w:eastAsia="zh-CN" w:bidi="ar-SA"/>
              </w:rPr>
              <w:t>政府采购云平台供应商</w:t>
            </w:r>
            <w:r>
              <w:rPr>
                <w:rFonts w:hint="eastAsia" w:ascii="仿宋" w:hAnsi="仿宋" w:eastAsia="仿宋"/>
                <w:sz w:val="24"/>
                <w:highlight w:val="none"/>
              </w:rPr>
              <w:t>。编制电子投标文件前还需申领CA证书并绑定帐号。供应商应充分考虑完成平台注册、申领CA证书等所需的时间。因未注册入库、未办理CA数字证书等原因造成无法投标或投标失败等后果由供应商自行承担。</w:t>
            </w:r>
          </w:p>
          <w:p w14:paraId="45495ED6">
            <w:pPr>
              <w:keepNext w:val="0"/>
              <w:keepLines w:val="0"/>
              <w:pageBreakBefore w:val="0"/>
              <w:kinsoku/>
              <w:wordWrap/>
              <w:overflowPunct/>
              <w:topLinePunct w:val="0"/>
              <w:autoSpaceDE/>
              <w:autoSpaceDN/>
              <w:bidi w:val="0"/>
              <w:spacing w:line="440" w:lineRule="exact"/>
              <w:ind w:right="105" w:rightChars="50"/>
              <w:textAlignment w:val="auto"/>
              <w:rPr>
                <w:rFonts w:hint="eastAsia" w:ascii="仿宋" w:hAnsi="仿宋" w:eastAsia="仿宋"/>
                <w:sz w:val="24"/>
                <w:highlight w:val="none"/>
              </w:rPr>
            </w:pPr>
            <w:r>
              <w:rPr>
                <w:rFonts w:hint="eastAsia" w:ascii="仿宋" w:hAnsi="仿宋" w:eastAsia="仿宋"/>
                <w:sz w:val="24"/>
                <w:highlight w:val="none"/>
              </w:rPr>
              <w:t>2、供应商须在在投标截止时间前通过CA在政采云平台上传加密的电子投标文件。供应商在开标时须使用制作加密电子投标文件所使用的CA锁解密，供应商须提前配置好浏览器（建议使用360浏览器或谷歌浏览器），并确保开标期间电脑网络环境畅通，以便开标时解密。本项目解密时间定为</w:t>
            </w:r>
            <w:r>
              <w:rPr>
                <w:rFonts w:hint="eastAsia" w:ascii="仿宋" w:hAnsi="仿宋" w:eastAsia="仿宋"/>
                <w:sz w:val="24"/>
                <w:highlight w:val="none"/>
                <w:lang w:val="en-US" w:eastAsia="zh-CN"/>
              </w:rPr>
              <w:t>30</w:t>
            </w:r>
            <w:r>
              <w:rPr>
                <w:rFonts w:hint="eastAsia" w:ascii="仿宋" w:hAnsi="仿宋" w:eastAsia="仿宋"/>
                <w:sz w:val="24"/>
                <w:highlight w:val="none"/>
              </w:rPr>
              <w:t>分钟，如因供应商自身原因导致无法正常解密，后果由供应商自行承担。</w:t>
            </w:r>
          </w:p>
          <w:p w14:paraId="037371B3">
            <w:pPr>
              <w:pStyle w:val="3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40" w:lineRule="exact"/>
              <w:textAlignment w:val="auto"/>
              <w:rPr>
                <w:rFonts w:hint="eastAsia" w:ascii="仿宋" w:hAnsi="仿宋" w:eastAsia="仿宋"/>
                <w:sz w:val="24"/>
                <w:highlight w:val="none"/>
              </w:rPr>
            </w:pPr>
            <w:r>
              <w:rPr>
                <w:rFonts w:hint="eastAsia" w:ascii="仿宋" w:hAnsi="仿宋" w:eastAsia="仿宋"/>
                <w:sz w:val="24"/>
                <w:highlight w:val="none"/>
              </w:rPr>
              <w:t>3、</w:t>
            </w:r>
            <w:r>
              <w:rPr>
                <w:rFonts w:hint="eastAsia" w:ascii="仿宋" w:hAnsi="仿宋" w:eastAsia="仿宋" w:cs="Times New Roman"/>
                <w:kern w:val="2"/>
                <w:sz w:val="24"/>
                <w:szCs w:val="22"/>
                <w:highlight w:val="none"/>
                <w:lang w:val="en-US" w:eastAsia="zh-CN" w:bidi="ar-SA"/>
              </w:rPr>
              <w:t>各供应商对不见面开评标系统的技术操作咨询，各政府采购代理机构（含集采机构）及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政采云热线人工号码：</w:t>
            </w:r>
            <w:r>
              <w:rPr>
                <w:rFonts w:hint="eastAsia" w:ascii="仿宋" w:hAnsi="仿宋" w:eastAsia="仿宋" w:cs="仿宋"/>
                <w:color w:val="000000"/>
                <w:sz w:val="24"/>
                <w:szCs w:val="24"/>
                <w:highlight w:val="none"/>
                <w:lang w:val="en-US" w:eastAsia="zh-CN"/>
              </w:rPr>
              <w:t>95763</w:t>
            </w:r>
            <w:r>
              <w:rPr>
                <w:rFonts w:hint="eastAsia" w:ascii="仿宋" w:hAnsi="仿宋" w:eastAsia="仿宋" w:cs="Times New Roman"/>
                <w:kern w:val="2"/>
                <w:sz w:val="24"/>
                <w:szCs w:val="22"/>
                <w:highlight w:val="none"/>
                <w:lang w:val="en-US" w:eastAsia="zh-CN" w:bidi="ar-SA"/>
              </w:rPr>
              <w:t>（工作时间：工作日08:00~20：00）   。</w:t>
            </w:r>
          </w:p>
          <w:p w14:paraId="3A8551E6">
            <w:pPr>
              <w:keepNext w:val="0"/>
              <w:keepLines w:val="0"/>
              <w:pageBreakBefore w:val="0"/>
              <w:kinsoku/>
              <w:wordWrap/>
              <w:overflowPunct/>
              <w:topLinePunct w:val="0"/>
              <w:autoSpaceDE/>
              <w:autoSpaceDN/>
              <w:bidi w:val="0"/>
              <w:spacing w:line="440" w:lineRule="exact"/>
              <w:ind w:right="105" w:rightChars="50"/>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sz w:val="24"/>
                <w:highlight w:val="none"/>
                <w:lang w:val="en-US" w:eastAsia="zh-CN"/>
              </w:rPr>
              <w:t>4、</w:t>
            </w:r>
            <w:r>
              <w:rPr>
                <w:rFonts w:hint="eastAsia" w:ascii="仿宋" w:hAnsi="仿宋" w:eastAsia="仿宋"/>
                <w:sz w:val="24"/>
                <w:highlight w:val="none"/>
              </w:rPr>
              <w:t>须知前附表与正文描述不一致时，以须知前附表中为主。</w:t>
            </w:r>
          </w:p>
        </w:tc>
      </w:tr>
      <w:tr w14:paraId="70E50E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50" w:hRule="atLeast"/>
        </w:trPr>
        <w:tc>
          <w:tcPr>
            <w:tcW w:w="532" w:type="dxa"/>
            <w:vAlign w:val="center"/>
          </w:tcPr>
          <w:p w14:paraId="24063EDD">
            <w:pPr>
              <w:autoSpaceDE w:val="0"/>
              <w:autoSpaceDN w:val="0"/>
              <w:adjustRightInd w:val="0"/>
              <w:snapToGrid w:val="0"/>
              <w:spacing w:line="360" w:lineRule="auto"/>
              <w:jc w:val="center"/>
              <w:rPr>
                <w:rFonts w:hint="default"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30</w:t>
            </w:r>
          </w:p>
        </w:tc>
        <w:tc>
          <w:tcPr>
            <w:tcW w:w="1664" w:type="dxa"/>
            <w:vAlign w:val="center"/>
          </w:tcPr>
          <w:p w14:paraId="5535B1B4">
            <w:pPr>
              <w:overflowPunct w:val="0"/>
              <w:spacing w:line="360" w:lineRule="auto"/>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所属行业</w:t>
            </w:r>
          </w:p>
        </w:tc>
        <w:tc>
          <w:tcPr>
            <w:tcW w:w="8337" w:type="dxa"/>
            <w:gridSpan w:val="6"/>
            <w:vAlign w:val="center"/>
          </w:tcPr>
          <w:p w14:paraId="312897EB">
            <w:pPr>
              <w:keepNext w:val="0"/>
              <w:keepLines w:val="0"/>
              <w:pageBreakBefore w:val="0"/>
              <w:kinsoku/>
              <w:wordWrap/>
              <w:overflowPunct/>
              <w:topLinePunct w:val="0"/>
              <w:autoSpaceDE/>
              <w:autoSpaceDN/>
              <w:bidi w:val="0"/>
              <w:spacing w:line="440" w:lineRule="exact"/>
              <w:ind w:right="105" w:rightChars="50"/>
              <w:textAlignment w:val="auto"/>
              <w:rPr>
                <w:rFonts w:hint="default" w:ascii="仿宋" w:hAnsi="仿宋" w:eastAsia="仿宋"/>
                <w:sz w:val="24"/>
                <w:highlight w:val="none"/>
                <w:u w:val="single"/>
                <w:lang w:val="en-US" w:eastAsia="zh-CN"/>
              </w:rPr>
            </w:pPr>
            <w:r>
              <w:rPr>
                <w:rFonts w:hint="eastAsia" w:ascii="仿宋" w:hAnsi="仿宋" w:eastAsia="仿宋"/>
                <w:sz w:val="24"/>
                <w:highlight w:val="none"/>
                <w:lang w:val="en-US" w:eastAsia="zh-CN"/>
              </w:rPr>
              <w:t>本项目采购标的所属行业为：</w:t>
            </w:r>
            <w:r>
              <w:rPr>
                <w:rFonts w:hint="eastAsia" w:ascii="仿宋" w:hAnsi="仿宋" w:eastAsia="仿宋"/>
                <w:b/>
                <w:bCs/>
                <w:sz w:val="24"/>
                <w:highlight w:val="none"/>
                <w:u w:val="single"/>
                <w:lang w:val="en-US" w:eastAsia="zh-CN"/>
              </w:rPr>
              <w:t xml:space="preserve"> 租赁和商务服务业；  </w:t>
            </w:r>
          </w:p>
        </w:tc>
      </w:tr>
    </w:tbl>
    <w:p w14:paraId="7FEE8D45">
      <w:pPr>
        <w:rPr>
          <w:rFonts w:hint="eastAsia" w:ascii="仿宋" w:hAnsi="仿宋" w:eastAsia="仿宋" w:cs="仿宋"/>
          <w:b/>
          <w:color w:val="auto"/>
          <w:kern w:val="44"/>
          <w:sz w:val="32"/>
          <w:szCs w:val="32"/>
          <w:highlight w:val="none"/>
        </w:rPr>
      </w:pPr>
      <w:r>
        <w:rPr>
          <w:rFonts w:hint="eastAsia" w:ascii="仿宋" w:hAnsi="仿宋" w:eastAsia="仿宋" w:cs="仿宋"/>
          <w:b/>
          <w:color w:val="auto"/>
          <w:kern w:val="44"/>
          <w:sz w:val="32"/>
          <w:szCs w:val="32"/>
          <w:highlight w:val="none"/>
        </w:rPr>
        <w:br w:type="page"/>
      </w:r>
    </w:p>
    <w:p w14:paraId="763EEE87">
      <w:pPr>
        <w:spacing w:line="360" w:lineRule="auto"/>
        <w:jc w:val="center"/>
        <w:outlineLvl w:val="0"/>
        <w:rPr>
          <w:rFonts w:hint="eastAsia" w:ascii="仿宋" w:hAnsi="仿宋" w:eastAsia="仿宋" w:cs="仿宋"/>
          <w:b/>
          <w:color w:val="auto"/>
          <w:kern w:val="44"/>
          <w:sz w:val="32"/>
          <w:szCs w:val="32"/>
          <w:highlight w:val="none"/>
        </w:rPr>
      </w:pPr>
      <w:r>
        <w:rPr>
          <w:rFonts w:hint="eastAsia" w:ascii="仿宋" w:hAnsi="仿宋" w:eastAsia="仿宋" w:cs="仿宋"/>
          <w:b/>
          <w:color w:val="auto"/>
          <w:kern w:val="44"/>
          <w:sz w:val="32"/>
          <w:szCs w:val="32"/>
          <w:highlight w:val="none"/>
        </w:rPr>
        <w:t>第三章　投标人须知</w:t>
      </w:r>
      <w:bookmarkEnd w:id="2"/>
    </w:p>
    <w:p w14:paraId="5DE1D7CD">
      <w:pPr>
        <w:spacing w:line="360" w:lineRule="auto"/>
        <w:jc w:val="center"/>
        <w:outlineLvl w:val="1"/>
        <w:rPr>
          <w:rFonts w:hint="eastAsia" w:ascii="仿宋" w:hAnsi="仿宋" w:eastAsia="仿宋" w:cs="仿宋"/>
          <w:b/>
          <w:color w:val="auto"/>
          <w:sz w:val="24"/>
          <w:szCs w:val="24"/>
          <w:highlight w:val="none"/>
        </w:rPr>
      </w:pPr>
      <w:bookmarkStart w:id="4" w:name="_Toc26890"/>
      <w:bookmarkStart w:id="5" w:name="_Toc737"/>
      <w:bookmarkStart w:id="6" w:name="_Toc18475"/>
      <w:r>
        <w:rPr>
          <w:rFonts w:hint="eastAsia" w:ascii="仿宋" w:hAnsi="仿宋" w:eastAsia="仿宋" w:cs="仿宋"/>
          <w:b/>
          <w:color w:val="auto"/>
          <w:sz w:val="24"/>
          <w:szCs w:val="24"/>
          <w:highlight w:val="none"/>
        </w:rPr>
        <w:t>一、说明</w:t>
      </w:r>
      <w:bookmarkEnd w:id="4"/>
      <w:bookmarkEnd w:id="5"/>
      <w:bookmarkEnd w:id="6"/>
    </w:p>
    <w:p w14:paraId="7F0BB198">
      <w:pPr>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r>
        <w:rPr>
          <w:rFonts w:hint="eastAsia" w:ascii="仿宋" w:hAnsi="仿宋" w:eastAsia="仿宋" w:cs="仿宋"/>
          <w:b/>
          <w:bCs/>
          <w:color w:val="auto"/>
          <w:kern w:val="44"/>
          <w:sz w:val="24"/>
          <w:szCs w:val="24"/>
          <w:highlight w:val="none"/>
        </w:rPr>
        <w:t xml:space="preserve">   </w:t>
      </w:r>
      <w:bookmarkStart w:id="7" w:name="_Toc19092"/>
      <w:bookmarkStart w:id="8" w:name="_Toc2890"/>
      <w:bookmarkStart w:id="9" w:name="_Toc28947"/>
      <w:bookmarkStart w:id="10" w:name="_Toc11143"/>
      <w:bookmarkStart w:id="11" w:name="_Toc32718"/>
      <w:r>
        <w:rPr>
          <w:rFonts w:hint="eastAsia" w:ascii="仿宋" w:hAnsi="仿宋" w:eastAsia="仿宋" w:cs="仿宋"/>
          <w:b/>
          <w:bCs/>
          <w:color w:val="auto"/>
          <w:kern w:val="44"/>
          <w:sz w:val="24"/>
          <w:szCs w:val="24"/>
          <w:highlight w:val="none"/>
        </w:rPr>
        <w:t>说明：本</w:t>
      </w:r>
      <w:r>
        <w:rPr>
          <w:rFonts w:hint="eastAsia" w:ascii="仿宋" w:hAnsi="仿宋" w:eastAsia="仿宋" w:cs="仿宋"/>
          <w:b/>
          <w:bCs/>
          <w:color w:val="auto"/>
          <w:kern w:val="44"/>
          <w:sz w:val="24"/>
          <w:szCs w:val="24"/>
          <w:highlight w:val="none"/>
          <w:lang w:eastAsia="zh-CN"/>
        </w:rPr>
        <w:t>招标文件</w:t>
      </w:r>
      <w:r>
        <w:rPr>
          <w:rFonts w:hint="eastAsia" w:ascii="仿宋" w:hAnsi="仿宋" w:eastAsia="仿宋" w:cs="仿宋"/>
          <w:b/>
          <w:bCs/>
          <w:color w:val="auto"/>
          <w:kern w:val="44"/>
          <w:sz w:val="24"/>
          <w:szCs w:val="24"/>
          <w:highlight w:val="none"/>
        </w:rPr>
        <w:t>使用的词语有如下定义</w:t>
      </w:r>
      <w:bookmarkEnd w:id="7"/>
      <w:bookmarkEnd w:id="8"/>
      <w:bookmarkEnd w:id="9"/>
      <w:bookmarkEnd w:id="10"/>
      <w:bookmarkEnd w:id="11"/>
    </w:p>
    <w:p w14:paraId="0CB945D1">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“采购人”系指依法进行政府采购的国家机关、事业单位、团体组织。系指： </w:t>
      </w:r>
      <w:r>
        <w:rPr>
          <w:rFonts w:hint="eastAsia" w:ascii="仿宋" w:hAnsi="仿宋" w:eastAsia="仿宋" w:cs="仿宋"/>
          <w:color w:val="auto"/>
          <w:sz w:val="24"/>
          <w:szCs w:val="24"/>
          <w:highlight w:val="none"/>
          <w:u w:val="single"/>
          <w:lang w:val="zh-CN"/>
        </w:rPr>
        <w:t xml:space="preserve">特克斯县人民医院 </w:t>
      </w:r>
      <w:r>
        <w:rPr>
          <w:rFonts w:hint="eastAsia" w:ascii="仿宋" w:hAnsi="仿宋" w:eastAsia="仿宋" w:cs="仿宋"/>
          <w:color w:val="auto"/>
          <w:sz w:val="24"/>
          <w:szCs w:val="24"/>
          <w:highlight w:val="none"/>
          <w:lang w:val="zh-CN"/>
        </w:rPr>
        <w:t>。</w:t>
      </w:r>
    </w:p>
    <w:p w14:paraId="6EAEA1A8">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“采购代理机构”系指： </w:t>
      </w:r>
      <w:r>
        <w:rPr>
          <w:rFonts w:hint="eastAsia" w:ascii="仿宋" w:hAnsi="仿宋" w:eastAsia="仿宋" w:cs="仿宋"/>
          <w:color w:val="auto"/>
          <w:sz w:val="24"/>
          <w:szCs w:val="24"/>
          <w:highlight w:val="none"/>
          <w:u w:val="single"/>
          <w:lang w:val="zh-CN"/>
        </w:rPr>
        <w:t>新疆华域建设工程项目管理咨询有限公司</w:t>
      </w:r>
      <w:r>
        <w:rPr>
          <w:rFonts w:hint="eastAsia" w:ascii="仿宋" w:hAnsi="仿宋" w:eastAsia="仿宋" w:cs="仿宋"/>
          <w:color w:val="auto"/>
          <w:sz w:val="24"/>
          <w:szCs w:val="24"/>
          <w:highlight w:val="none"/>
          <w:lang w:val="zh-CN"/>
        </w:rPr>
        <w:t>。</w:t>
      </w:r>
    </w:p>
    <w:p w14:paraId="2832AB96">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“投标人”系指响应采购、参加投标竞争的当事人。</w:t>
      </w:r>
    </w:p>
    <w:p w14:paraId="681DC8FC">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“成交人”系指由评标小组评审推荐，经法定程序确定获得本项目中标资格的投标人。</w:t>
      </w:r>
    </w:p>
    <w:p w14:paraId="3DD0C80E">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“评标小组” 系指依法组建，负责本次采购的评标工作机构。</w:t>
      </w:r>
    </w:p>
    <w:p w14:paraId="6FF921D6">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“甲方”系指在合同条款中指明的采购人。</w:t>
      </w:r>
    </w:p>
    <w:p w14:paraId="63AD1A6B">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“乙方”系指在合同条款中指明的本合同项下提供服务的公司或实体。</w:t>
      </w:r>
    </w:p>
    <w:p w14:paraId="1F4FFC87">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“招标文件”系指由采购代理机构发出的本招标文件，包括全部章节和附件。</w:t>
      </w:r>
    </w:p>
    <w:p w14:paraId="346B1949">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“投标文件”系指投标人根据本招标文件向采购代理机构提交的全部文件。</w:t>
      </w:r>
    </w:p>
    <w:p w14:paraId="36F57894">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“书面函件” 系指手写、打字或印刷的函件，包括电传、电报和传真。</w:t>
      </w:r>
    </w:p>
    <w:p w14:paraId="0AA37F94">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“合同” 系指由本次采购所产生的合同或合约文件。</w:t>
      </w:r>
    </w:p>
    <w:p w14:paraId="56EC5402">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“日期”系指公历日。</w:t>
      </w:r>
    </w:p>
    <w:p w14:paraId="6567ADCF">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“时间”系指北京时间。</w:t>
      </w:r>
    </w:p>
    <w:p w14:paraId="3E75042E">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“货物”系指投标人须向采购人提供的符合招标文件要求的货。</w:t>
      </w:r>
    </w:p>
    <w:p w14:paraId="690D302A">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“服务”系指投标人须向采购人提供的符合招标文件要求的服务。</w:t>
      </w:r>
    </w:p>
    <w:p w14:paraId="0BABECFC">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“实质性响应”系指符合招标文件的所有要求、条款、条件和规定，且没有不利于项目实施质量效果和服务保障的重大偏离或保留。</w:t>
      </w:r>
    </w:p>
    <w:p w14:paraId="6B406E4E">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“重大偏离或保留”系指影响到招标文件规定的范围、质量和性能或限制了采购人的权力和投标人义务的规定，而纠正这些偏离将影响到其它投标人的公平竞争地位。</w:t>
      </w:r>
    </w:p>
    <w:p w14:paraId="34FB8DC8">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盖章：一般情况指盖投标人的法定公章，除招标文件特别说明外，使用财务专用章、合同章、投标专用章等非公章的盖章，均作无效盖章处理。</w:t>
      </w:r>
    </w:p>
    <w:p w14:paraId="2BCC42AF">
      <w:pPr>
        <w:numPr>
          <w:ilvl w:val="0"/>
          <w:numId w:val="8"/>
        </w:numPr>
        <w:autoSpaceDE w:val="0"/>
        <w:autoSpaceDN w:val="0"/>
        <w:adjustRightInd w:val="0"/>
        <w:snapToGrid w:val="0"/>
        <w:spacing w:line="360" w:lineRule="auto"/>
        <w:ind w:left="794" w:hanging="794"/>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签署：一般情况指亲笔签字或使用盖私章方式，除招标文件特别说明外，其他方式均作无效签署处理。</w:t>
      </w:r>
    </w:p>
    <w:p w14:paraId="73BB94DE">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2" w:name="_Toc55778675"/>
      <w:r>
        <w:rPr>
          <w:rFonts w:hint="eastAsia" w:ascii="仿宋" w:hAnsi="仿宋" w:eastAsia="仿宋" w:cs="仿宋"/>
          <w:b/>
          <w:bCs/>
          <w:color w:val="auto"/>
          <w:kern w:val="44"/>
          <w:sz w:val="24"/>
          <w:szCs w:val="24"/>
          <w:highlight w:val="none"/>
        </w:rPr>
        <w:t xml:space="preserve">    </w:t>
      </w:r>
      <w:bookmarkStart w:id="13" w:name="_Toc2235"/>
      <w:bookmarkStart w:id="14" w:name="_Toc30404"/>
      <w:bookmarkStart w:id="15" w:name="_Toc19223"/>
      <w:bookmarkStart w:id="16" w:name="_Toc10541"/>
      <w:bookmarkStart w:id="17" w:name="_Toc26165"/>
      <w:r>
        <w:rPr>
          <w:rFonts w:hint="eastAsia" w:ascii="仿宋" w:hAnsi="仿宋" w:eastAsia="仿宋" w:cs="仿宋"/>
          <w:b/>
          <w:bCs/>
          <w:color w:val="auto"/>
          <w:kern w:val="44"/>
          <w:sz w:val="24"/>
          <w:szCs w:val="24"/>
          <w:highlight w:val="none"/>
        </w:rPr>
        <w:t>合格的投标人</w:t>
      </w:r>
      <w:bookmarkEnd w:id="12"/>
      <w:bookmarkEnd w:id="13"/>
      <w:bookmarkEnd w:id="14"/>
      <w:bookmarkEnd w:id="15"/>
      <w:bookmarkEnd w:id="16"/>
      <w:bookmarkEnd w:id="17"/>
    </w:p>
    <w:p w14:paraId="2142E460">
      <w:pPr>
        <w:numPr>
          <w:ilvl w:val="1"/>
          <w:numId w:val="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除非另有规定，凡是在中华人民共和国境内注册且为人民币流通区域内的供货人均可投标。</w:t>
      </w:r>
    </w:p>
    <w:p w14:paraId="3EF9081A">
      <w:pPr>
        <w:numPr>
          <w:ilvl w:val="1"/>
          <w:numId w:val="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投标人符合《中华人民共和国政府采购法》第22条和《中华人民共和国政府采购法实施条例》第17条规定的条件。</w:t>
      </w:r>
    </w:p>
    <w:p w14:paraId="70CC249B">
      <w:pPr>
        <w:numPr>
          <w:ilvl w:val="1"/>
          <w:numId w:val="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支机构投标，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p>
    <w:p w14:paraId="2CFF59DC">
      <w:pPr>
        <w:numPr>
          <w:ilvl w:val="1"/>
          <w:numId w:val="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与采购人存在利害关系可能影响公正性的法人或其他组织或自然人不得参加投标。</w:t>
      </w:r>
    </w:p>
    <w:p w14:paraId="7E353F77">
      <w:pPr>
        <w:numPr>
          <w:ilvl w:val="1"/>
          <w:numId w:val="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招标文件要求的其他条件。</w:t>
      </w:r>
    </w:p>
    <w:p w14:paraId="25488AC9">
      <w:pPr>
        <w:pStyle w:val="2"/>
        <w:numPr>
          <w:ilvl w:val="0"/>
          <w:numId w:val="7"/>
        </w:numPr>
        <w:tabs>
          <w:tab w:val="left" w:pos="900"/>
          <w:tab w:val="clear" w:pos="425"/>
        </w:tabs>
        <w:spacing w:before="0" w:after="0" w:line="360" w:lineRule="auto"/>
        <w:ind w:left="924" w:hanging="924"/>
        <w:rPr>
          <w:rStyle w:val="61"/>
          <w:rFonts w:hint="eastAsia" w:ascii="仿宋" w:hAnsi="仿宋" w:eastAsia="仿宋" w:cs="仿宋"/>
          <w:bCs/>
          <w:color w:val="auto"/>
          <w:sz w:val="24"/>
          <w:szCs w:val="24"/>
          <w:highlight w:val="none"/>
        </w:rPr>
      </w:pPr>
      <w:bookmarkStart w:id="18" w:name="_Toc20782"/>
      <w:bookmarkStart w:id="19" w:name="_Toc28554"/>
      <w:bookmarkStart w:id="20" w:name="_Toc15216"/>
      <w:bookmarkStart w:id="21" w:name="_Toc2463"/>
      <w:bookmarkStart w:id="22" w:name="_Toc25107"/>
      <w:bookmarkStart w:id="23" w:name="_Toc55778677"/>
      <w:bookmarkStart w:id="24" w:name="_Toc2653"/>
      <w:r>
        <w:rPr>
          <w:rStyle w:val="61"/>
          <w:rFonts w:hint="eastAsia" w:ascii="仿宋" w:hAnsi="仿宋" w:eastAsia="仿宋" w:cs="仿宋"/>
          <w:bCs/>
          <w:color w:val="auto"/>
          <w:sz w:val="24"/>
          <w:szCs w:val="24"/>
          <w:highlight w:val="none"/>
        </w:rPr>
        <w:t>投标费用</w:t>
      </w:r>
      <w:bookmarkEnd w:id="18"/>
      <w:bookmarkEnd w:id="19"/>
      <w:bookmarkEnd w:id="20"/>
      <w:bookmarkEnd w:id="21"/>
      <w:bookmarkEnd w:id="22"/>
      <w:bookmarkEnd w:id="23"/>
      <w:bookmarkEnd w:id="24"/>
    </w:p>
    <w:p w14:paraId="3CA110E2">
      <w:pPr>
        <w:pStyle w:val="64"/>
        <w:numPr>
          <w:ilvl w:val="0"/>
          <w:numId w:val="10"/>
        </w:numPr>
        <w:spacing w:line="360" w:lineRule="auto"/>
        <w:ind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投标人应承担所有与准备和参加投标有关的费用。不论投标的结果如何，采购代理机构和采购人均无义务和责任承担这些费用。</w:t>
      </w:r>
    </w:p>
    <w:p w14:paraId="49A61FC1">
      <w:pPr>
        <w:pStyle w:val="2"/>
        <w:numPr>
          <w:ilvl w:val="0"/>
          <w:numId w:val="7"/>
        </w:numPr>
        <w:tabs>
          <w:tab w:val="left" w:pos="900"/>
          <w:tab w:val="clear" w:pos="425"/>
        </w:tabs>
        <w:spacing w:before="0" w:after="0" w:line="360" w:lineRule="auto"/>
        <w:ind w:left="924" w:hanging="924"/>
        <w:rPr>
          <w:rFonts w:hint="eastAsia" w:ascii="仿宋" w:hAnsi="仿宋" w:eastAsia="仿宋" w:cs="仿宋"/>
          <w:color w:val="auto"/>
          <w:sz w:val="24"/>
          <w:szCs w:val="24"/>
          <w:highlight w:val="none"/>
        </w:rPr>
      </w:pPr>
      <w:bookmarkStart w:id="25" w:name="_Toc14265"/>
      <w:bookmarkStart w:id="26" w:name="_Toc55778678"/>
      <w:bookmarkStart w:id="27" w:name="_Toc9407"/>
      <w:bookmarkStart w:id="28" w:name="_Toc19746"/>
      <w:bookmarkStart w:id="29" w:name="_Toc22355"/>
      <w:bookmarkStart w:id="30" w:name="_Toc2722"/>
      <w:r>
        <w:rPr>
          <w:rStyle w:val="61"/>
          <w:rFonts w:hint="eastAsia" w:ascii="仿宋" w:hAnsi="仿宋" w:eastAsia="仿宋" w:cs="仿宋"/>
          <w:bCs w:val="0"/>
          <w:color w:val="auto"/>
          <w:sz w:val="24"/>
          <w:szCs w:val="24"/>
          <w:highlight w:val="none"/>
        </w:rPr>
        <w:t>现场考察或者召开开标前答疑会</w:t>
      </w:r>
      <w:bookmarkEnd w:id="25"/>
      <w:bookmarkEnd w:id="26"/>
      <w:bookmarkEnd w:id="27"/>
      <w:bookmarkEnd w:id="28"/>
      <w:bookmarkEnd w:id="29"/>
      <w:bookmarkEnd w:id="30"/>
    </w:p>
    <w:p w14:paraId="0B19999E">
      <w:pPr>
        <w:numPr>
          <w:ilvl w:val="1"/>
          <w:numId w:val="11"/>
        </w:numPr>
        <w:spacing w:line="360" w:lineRule="auto"/>
        <w:rPr>
          <w:rFonts w:hint="eastAsia" w:ascii="仿宋" w:hAnsi="仿宋" w:eastAsia="仿宋" w:cs="仿宋"/>
          <w:color w:val="auto"/>
          <w:sz w:val="24"/>
          <w:szCs w:val="24"/>
          <w:highlight w:val="none"/>
        </w:rPr>
      </w:pPr>
      <w:bookmarkStart w:id="31" w:name="_Ref179620557"/>
      <w:r>
        <w:rPr>
          <w:rFonts w:hint="eastAsia" w:ascii="仿宋" w:hAnsi="仿宋" w:eastAsia="仿宋" w:cs="仿宋"/>
          <w:color w:val="auto"/>
          <w:sz w:val="24"/>
          <w:szCs w:val="24"/>
          <w:highlight w:val="none"/>
        </w:rPr>
        <w:t>除非另有规定，不举行项目现场考察或者召开开标前答疑会，如举行现场考察或者召开开标前答疑会的，则按以下规定</w:t>
      </w:r>
      <w:bookmarkEnd w:id="31"/>
      <w:r>
        <w:rPr>
          <w:rFonts w:hint="eastAsia" w:ascii="仿宋" w:hAnsi="仿宋" w:eastAsia="仿宋" w:cs="仿宋"/>
          <w:color w:val="auto"/>
          <w:sz w:val="24"/>
          <w:szCs w:val="24"/>
          <w:highlight w:val="none"/>
        </w:rPr>
        <w:t>：</w:t>
      </w:r>
    </w:p>
    <w:p w14:paraId="6CA048F0">
      <w:pPr>
        <w:numPr>
          <w:ilvl w:val="0"/>
          <w:numId w:val="1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在《投标须知前附表》中规定的日期、时间和地点组织现场考察或者召开开标前答疑会，以便投标人获取须自己负责的有关编制投标文件和签署合同所需的所有资料。踏勘现场所发生的费用由投标人自己承担</w:t>
      </w:r>
    </w:p>
    <w:p w14:paraId="036F5D94">
      <w:pPr>
        <w:numPr>
          <w:ilvl w:val="0"/>
          <w:numId w:val="1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对本项目提出的疑问，可在现场考察或者召开开标前答疑会召开日前至少一个工作日将问题清单以书面形式（加盖公章）提交至采购代理机构。</w:t>
      </w:r>
    </w:p>
    <w:p w14:paraId="5B244724">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32" w:name="_Toc55778679"/>
      <w:r>
        <w:rPr>
          <w:rFonts w:hint="eastAsia" w:ascii="仿宋" w:hAnsi="仿宋" w:eastAsia="仿宋" w:cs="仿宋"/>
          <w:b/>
          <w:bCs/>
          <w:color w:val="auto"/>
          <w:kern w:val="44"/>
          <w:sz w:val="24"/>
          <w:szCs w:val="24"/>
          <w:highlight w:val="none"/>
        </w:rPr>
        <w:t xml:space="preserve">    </w:t>
      </w:r>
      <w:bookmarkStart w:id="33" w:name="_Toc16839"/>
      <w:bookmarkStart w:id="34" w:name="_Toc10763"/>
      <w:bookmarkStart w:id="35" w:name="_Toc2323"/>
      <w:bookmarkStart w:id="36" w:name="_Toc27748"/>
      <w:bookmarkStart w:id="37" w:name="_Toc15619"/>
      <w:r>
        <w:rPr>
          <w:rFonts w:hint="eastAsia" w:ascii="仿宋" w:hAnsi="仿宋" w:eastAsia="仿宋" w:cs="仿宋"/>
          <w:b/>
          <w:bCs/>
          <w:color w:val="auto"/>
          <w:kern w:val="44"/>
          <w:sz w:val="24"/>
          <w:szCs w:val="24"/>
          <w:highlight w:val="none"/>
        </w:rPr>
        <w:t>开标的资质要求、时间及地点</w:t>
      </w:r>
      <w:bookmarkEnd w:id="32"/>
      <w:bookmarkEnd w:id="33"/>
      <w:bookmarkEnd w:id="34"/>
      <w:bookmarkEnd w:id="35"/>
      <w:bookmarkEnd w:id="36"/>
      <w:bookmarkEnd w:id="37"/>
    </w:p>
    <w:p w14:paraId="0082E9EF">
      <w:pPr>
        <w:numPr>
          <w:ilvl w:val="1"/>
          <w:numId w:val="7"/>
        </w:numPr>
        <w:tabs>
          <w:tab w:val="left" w:pos="907"/>
          <w:tab w:val="clear" w:pos="992"/>
        </w:tabs>
        <w:spacing w:line="360" w:lineRule="auto"/>
        <w:ind w:left="992" w:leftChars="0" w:hanging="567" w:firstLineChars="0"/>
        <w:rPr>
          <w:rFonts w:hint="eastAsia" w:ascii="仿宋" w:hAnsi="仿宋" w:eastAsia="仿宋" w:cs="仿宋"/>
          <w:color w:val="auto"/>
          <w:sz w:val="24"/>
          <w:szCs w:val="24"/>
          <w:highlight w:val="none"/>
        </w:rPr>
      </w:pPr>
      <w:bookmarkStart w:id="38" w:name="_Toc55778680"/>
      <w:r>
        <w:rPr>
          <w:rFonts w:hint="eastAsia" w:ascii="仿宋" w:hAnsi="仿宋" w:eastAsia="仿宋" w:cs="仿宋"/>
          <w:color w:val="auto"/>
          <w:sz w:val="24"/>
          <w:szCs w:val="24"/>
          <w:highlight w:val="none"/>
        </w:rPr>
        <w:t xml:space="preserve"> 本项目开标的时间、地点已在第二章《投标须知前附表》列清。</w:t>
      </w:r>
    </w:p>
    <w:p w14:paraId="1329EF18">
      <w:pPr>
        <w:numPr>
          <w:ilvl w:val="1"/>
          <w:numId w:val="7"/>
        </w:numPr>
        <w:tabs>
          <w:tab w:val="left" w:pos="907"/>
          <w:tab w:val="clear" w:pos="992"/>
        </w:tabs>
        <w:spacing w:line="360" w:lineRule="auto"/>
        <w:ind w:left="992" w:leftChars="0" w:hanging="567"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本项目采用不见面开标，投标人需要递交电子投标文件。加密的电子投标文件，在投标截止时间前通过政采云平台上传到指定位置，无需递交纸质文件。开标当日，投标人无需到达开标现场，仅需通过政采云系统完成远程解密、提疑澄清、开标唱标、结果公布等交互环节。投标人必须使用能正确解密投标文件的“CA锁”在规定的时间内完成远程解密，因投标人原因未能解密、解密失败或解密超时，视为投标人撤销其投标文件，系统内投标文件将被退回；因采购人原因或政采云平台发生故障，导致无法按时完成投标文件解密或开、评标工作无法进行的，可根据实际情况相应延迟解密时间或调整开、评标时间。</w:t>
      </w:r>
    </w:p>
    <w:p w14:paraId="651E0FA5">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r>
        <w:rPr>
          <w:rFonts w:hint="eastAsia" w:ascii="仿宋" w:hAnsi="仿宋" w:eastAsia="仿宋" w:cs="仿宋"/>
          <w:b/>
          <w:bCs/>
          <w:color w:val="auto"/>
          <w:kern w:val="44"/>
          <w:sz w:val="24"/>
          <w:szCs w:val="24"/>
          <w:highlight w:val="none"/>
        </w:rPr>
        <w:t xml:space="preserve">   </w:t>
      </w:r>
      <w:bookmarkStart w:id="39" w:name="_Toc12859"/>
      <w:bookmarkStart w:id="40" w:name="_Toc2052"/>
      <w:bookmarkStart w:id="41" w:name="_Toc6954"/>
      <w:bookmarkStart w:id="42" w:name="_Toc23617"/>
      <w:bookmarkStart w:id="43" w:name="_Toc18733"/>
      <w:r>
        <w:rPr>
          <w:rFonts w:hint="eastAsia" w:ascii="仿宋" w:hAnsi="仿宋" w:eastAsia="仿宋" w:cs="仿宋"/>
          <w:b/>
          <w:bCs/>
          <w:color w:val="auto"/>
          <w:kern w:val="44"/>
          <w:sz w:val="24"/>
          <w:szCs w:val="24"/>
          <w:highlight w:val="none"/>
        </w:rPr>
        <w:t>纪律与保密事项</w:t>
      </w:r>
      <w:bookmarkEnd w:id="38"/>
      <w:bookmarkEnd w:id="39"/>
      <w:bookmarkEnd w:id="40"/>
      <w:bookmarkEnd w:id="41"/>
      <w:bookmarkEnd w:id="42"/>
      <w:bookmarkEnd w:id="43"/>
    </w:p>
    <w:p w14:paraId="005AD45F">
      <w:pPr>
        <w:numPr>
          <w:ilvl w:val="1"/>
          <w:numId w:val="1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凡参与招标工作的有关人员均应自觉接受有关主管部门的监督，不得向他人透露已获得招标文件的潜在投标人的名称、数量以及可能影响公平竞争的有关招标投标的其他情况。</w:t>
      </w:r>
    </w:p>
    <w:p w14:paraId="5043E7EB">
      <w:pPr>
        <w:numPr>
          <w:ilvl w:val="1"/>
          <w:numId w:val="1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开标后，直至向中标的投标人发出《中标通知书》时止，凡与审查、澄清、评价和比较投标的有关资料以及授标意见等，均不得向投标人及与评标无关的其他人透露。</w:t>
      </w:r>
    </w:p>
    <w:p w14:paraId="6C2B6EF1">
      <w:pPr>
        <w:numPr>
          <w:ilvl w:val="1"/>
          <w:numId w:val="1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除投标人被要求对投标文件进行澄清外，从开标至签订合同期间，投标人不得就与其投标文件有关的事项主动与评标小组、采购代理机构以及采购人联系。</w:t>
      </w:r>
    </w:p>
    <w:p w14:paraId="6DCBC37D">
      <w:pPr>
        <w:numPr>
          <w:ilvl w:val="1"/>
          <w:numId w:val="1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从开标至签订合同期间，投标人试图在投标文件审查、澄清、比较和评价时对评标小组和招标机构施加任何影响或对采购人的比较及授予合同的决定进行影响，都可能导致其投标文件被拒绝。</w:t>
      </w:r>
    </w:p>
    <w:p w14:paraId="17CE0B3E">
      <w:pPr>
        <w:numPr>
          <w:ilvl w:val="1"/>
          <w:numId w:val="1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投标人不得串通作弊，以不正当的手段妨碍、排挤其他投标人，扰乱招标市场，破坏公平竞争原则。</w:t>
      </w:r>
    </w:p>
    <w:p w14:paraId="08F200DD">
      <w:pPr>
        <w:numPr>
          <w:ilvl w:val="1"/>
          <w:numId w:val="1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获得本招标文件者，应对文件进行保密，不得用作本次投标以外的任何用途。若有要求，开标后，投标人应归还招标文件中的保密的文件和资料。</w:t>
      </w:r>
    </w:p>
    <w:p w14:paraId="62BA1F1C">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44" w:name="_Toc55778681"/>
      <w:r>
        <w:rPr>
          <w:rFonts w:hint="eastAsia" w:ascii="仿宋" w:hAnsi="仿宋" w:eastAsia="仿宋" w:cs="仿宋"/>
          <w:b/>
          <w:bCs/>
          <w:color w:val="auto"/>
          <w:kern w:val="44"/>
          <w:sz w:val="24"/>
          <w:szCs w:val="24"/>
          <w:highlight w:val="none"/>
        </w:rPr>
        <w:t xml:space="preserve">    </w:t>
      </w:r>
      <w:bookmarkStart w:id="45" w:name="_Toc5873"/>
      <w:bookmarkStart w:id="46" w:name="_Toc18189"/>
      <w:bookmarkStart w:id="47" w:name="_Toc20913"/>
      <w:bookmarkStart w:id="48" w:name="_Toc17472"/>
      <w:bookmarkStart w:id="49" w:name="_Toc20462"/>
      <w:r>
        <w:rPr>
          <w:rFonts w:hint="eastAsia" w:ascii="仿宋" w:hAnsi="仿宋" w:eastAsia="仿宋" w:cs="仿宋"/>
          <w:b/>
          <w:bCs/>
          <w:color w:val="auto"/>
          <w:kern w:val="44"/>
          <w:sz w:val="24"/>
          <w:szCs w:val="24"/>
          <w:highlight w:val="none"/>
        </w:rPr>
        <w:t>保证</w:t>
      </w:r>
      <w:bookmarkEnd w:id="44"/>
      <w:bookmarkEnd w:id="45"/>
      <w:bookmarkEnd w:id="46"/>
      <w:bookmarkEnd w:id="47"/>
      <w:bookmarkEnd w:id="48"/>
      <w:bookmarkEnd w:id="49"/>
    </w:p>
    <w:p w14:paraId="791E6063">
      <w:pPr>
        <w:numPr>
          <w:ilvl w:val="1"/>
          <w:numId w:val="1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投标人必须保证所提交给采购代理机构、采购人的资料和数据是真实的，并承担相应的法律责任。</w:t>
      </w:r>
    </w:p>
    <w:p w14:paraId="33D17541">
      <w:pPr>
        <w:pStyle w:val="20"/>
        <w:jc w:val="center"/>
        <w:rPr>
          <w:rFonts w:hint="eastAsia" w:ascii="仿宋" w:hAnsi="仿宋" w:eastAsia="仿宋" w:cs="仿宋"/>
          <w:b/>
          <w:bCs/>
          <w:color w:val="auto"/>
          <w:sz w:val="24"/>
          <w:szCs w:val="24"/>
          <w:highlight w:val="none"/>
        </w:rPr>
      </w:pPr>
      <w:bookmarkStart w:id="50" w:name="_Toc21599"/>
      <w:bookmarkStart w:id="51" w:name="_Toc30778"/>
      <w:bookmarkStart w:id="52" w:name="_Toc55778682"/>
      <w:r>
        <w:rPr>
          <w:rFonts w:hint="eastAsia" w:ascii="仿宋" w:hAnsi="仿宋" w:eastAsia="仿宋" w:cs="仿宋"/>
          <w:b/>
          <w:bCs/>
          <w:color w:val="auto"/>
          <w:sz w:val="24"/>
          <w:szCs w:val="24"/>
          <w:highlight w:val="none"/>
        </w:rPr>
        <w:t>二、招标文件</w:t>
      </w:r>
      <w:bookmarkEnd w:id="50"/>
      <w:bookmarkEnd w:id="51"/>
      <w:bookmarkEnd w:id="52"/>
    </w:p>
    <w:p w14:paraId="5FBB5D92">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53" w:name="_Toc55778683"/>
      <w:bookmarkStart w:id="54" w:name="_Toc25851"/>
      <w:r>
        <w:rPr>
          <w:rFonts w:hint="eastAsia" w:ascii="仿宋" w:hAnsi="仿宋" w:eastAsia="仿宋" w:cs="仿宋"/>
          <w:b/>
          <w:bCs/>
          <w:color w:val="auto"/>
          <w:kern w:val="44"/>
          <w:sz w:val="24"/>
          <w:szCs w:val="24"/>
          <w:highlight w:val="none"/>
        </w:rPr>
        <w:t xml:space="preserve">   </w:t>
      </w:r>
      <w:bookmarkStart w:id="55" w:name="_Toc7611"/>
      <w:bookmarkStart w:id="56" w:name="_Toc6842"/>
      <w:bookmarkStart w:id="57" w:name="_Toc6970"/>
      <w:bookmarkStart w:id="58" w:name="_Toc5513"/>
      <w:bookmarkStart w:id="59" w:name="_Toc4904"/>
      <w:r>
        <w:rPr>
          <w:rFonts w:hint="eastAsia" w:ascii="仿宋" w:hAnsi="仿宋" w:eastAsia="仿宋" w:cs="仿宋"/>
          <w:b/>
          <w:bCs/>
          <w:color w:val="auto"/>
          <w:kern w:val="44"/>
          <w:sz w:val="24"/>
          <w:szCs w:val="24"/>
          <w:highlight w:val="none"/>
        </w:rPr>
        <w:t>招标文件的编制依据与构成</w:t>
      </w:r>
      <w:bookmarkEnd w:id="53"/>
      <w:bookmarkEnd w:id="54"/>
      <w:bookmarkEnd w:id="55"/>
      <w:bookmarkEnd w:id="56"/>
      <w:bookmarkEnd w:id="57"/>
      <w:bookmarkEnd w:id="58"/>
      <w:bookmarkEnd w:id="59"/>
    </w:p>
    <w:p w14:paraId="5725B8DF">
      <w:pPr>
        <w:tabs>
          <w:tab w:val="left" w:pos="907"/>
        </w:tabs>
        <w:spacing w:line="360" w:lineRule="auto"/>
        <w:ind w:left="720" w:hanging="720" w:hanging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   本招标文件的编制依据是《中华人民共和国政府采购法》、《中华人民共和国政府采购法实施条例》、《政府采购货物和服务招标投标管理办法》及其配套的法规、规章、政策等。</w:t>
      </w:r>
    </w:p>
    <w:p w14:paraId="4A93D23C">
      <w:pPr>
        <w:tabs>
          <w:tab w:val="left" w:pos="907"/>
        </w:tabs>
        <w:spacing w:line="360" w:lineRule="auto"/>
        <w:ind w:left="720" w:hanging="720" w:hanging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   招标文件以中文文字编写。招标文件共六章。招标文件由下列文件以及在招标过程中发出的澄清、修改和补充文件组成，内容如下：</w:t>
      </w:r>
    </w:p>
    <w:p w14:paraId="763C22D1">
      <w:pP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第一章 </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公告</w:t>
      </w:r>
    </w:p>
    <w:p w14:paraId="1860225F">
      <w:pP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第二章 投标须知前附表</w:t>
      </w:r>
    </w:p>
    <w:p w14:paraId="65C76ABE">
      <w:pP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第三章 投标人须知</w:t>
      </w:r>
    </w:p>
    <w:p w14:paraId="2EC514BD">
      <w:pP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第四章 合同格式</w:t>
      </w:r>
    </w:p>
    <w:p w14:paraId="087FC8B3">
      <w:pP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第五章 采购需求</w:t>
      </w:r>
    </w:p>
    <w:p w14:paraId="742F94C2">
      <w:pPr>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第六章 投标文件格式</w:t>
      </w:r>
    </w:p>
    <w:p w14:paraId="32F47633">
      <w:pPr>
        <w:tabs>
          <w:tab w:val="left" w:pos="907"/>
        </w:tabs>
        <w:spacing w:line="360" w:lineRule="auto"/>
        <w:ind w:left="720" w:hanging="720" w:hanging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   投标人应仔细阅读招标文件的全部内容，按照招标文件要求编制投标文件。任何对招标文件的忽略或误解不能作为投标文件存在缺陷或瑕疵的理由，其风险由投标人承担。投标人对招标文件有疑问的请以书面形式向采购人、采购代理机构提出,提出后，请投标人及时通过</w:t>
      </w:r>
      <w:r>
        <w:rPr>
          <w:rFonts w:hint="eastAsia" w:ascii="仿宋" w:hAnsi="仿宋" w:eastAsia="仿宋" w:cs="仿宋"/>
          <w:color w:val="auto"/>
          <w:sz w:val="24"/>
          <w:szCs w:val="24"/>
          <w:highlight w:val="none"/>
          <w:lang w:val="en-US" w:eastAsia="zh-CN"/>
        </w:rPr>
        <w:t>新疆</w:t>
      </w:r>
      <w:r>
        <w:rPr>
          <w:rFonts w:hint="eastAsia" w:ascii="仿宋" w:hAnsi="仿宋" w:eastAsia="仿宋" w:cs="仿宋"/>
          <w:color w:val="auto"/>
          <w:sz w:val="24"/>
          <w:szCs w:val="24"/>
          <w:highlight w:val="none"/>
        </w:rPr>
        <w:t>政采云平台查看答疑文件或澄清文件。投标人应及时注意</w:t>
      </w:r>
      <w:r>
        <w:rPr>
          <w:rFonts w:hint="eastAsia" w:ascii="仿宋" w:hAnsi="仿宋" w:eastAsia="仿宋" w:cs="仿宋"/>
          <w:color w:val="auto"/>
          <w:sz w:val="24"/>
          <w:szCs w:val="24"/>
          <w:highlight w:val="none"/>
          <w:lang w:val="en-US" w:eastAsia="zh-CN"/>
        </w:rPr>
        <w:t>新疆</w:t>
      </w:r>
      <w:r>
        <w:rPr>
          <w:rFonts w:hint="eastAsia" w:ascii="仿宋" w:hAnsi="仿宋" w:eastAsia="仿宋" w:cs="仿宋"/>
          <w:color w:val="auto"/>
          <w:sz w:val="24"/>
          <w:szCs w:val="24"/>
          <w:highlight w:val="none"/>
        </w:rPr>
        <w:t>政采云发布的澄清或修改通知并下载，因投标人原因未及时获知澄清、修改或补充内容而导致的任何后果将由投标人自行承担。</w:t>
      </w:r>
    </w:p>
    <w:p w14:paraId="700B9A34">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60" w:name="_Toc55778684"/>
      <w:r>
        <w:rPr>
          <w:rFonts w:hint="eastAsia" w:ascii="仿宋" w:hAnsi="仿宋" w:eastAsia="仿宋" w:cs="仿宋"/>
          <w:b/>
          <w:color w:val="auto"/>
          <w:kern w:val="44"/>
          <w:sz w:val="24"/>
          <w:szCs w:val="24"/>
          <w:highlight w:val="none"/>
        </w:rPr>
        <w:t xml:space="preserve">   </w:t>
      </w:r>
      <w:bookmarkStart w:id="61" w:name="_Toc28706"/>
      <w:bookmarkStart w:id="62" w:name="_Toc18515"/>
      <w:bookmarkStart w:id="63" w:name="_Toc22484"/>
      <w:bookmarkStart w:id="64" w:name="_Toc24522"/>
      <w:bookmarkStart w:id="65" w:name="_Toc5501"/>
      <w:r>
        <w:rPr>
          <w:rFonts w:hint="eastAsia" w:ascii="仿宋" w:hAnsi="仿宋" w:eastAsia="仿宋" w:cs="仿宋"/>
          <w:b/>
          <w:color w:val="auto"/>
          <w:kern w:val="44"/>
          <w:sz w:val="24"/>
          <w:szCs w:val="24"/>
          <w:highlight w:val="none"/>
        </w:rPr>
        <w:t>招标文件的澄清或修改</w:t>
      </w:r>
      <w:bookmarkEnd w:id="60"/>
      <w:bookmarkEnd w:id="61"/>
      <w:bookmarkEnd w:id="62"/>
      <w:bookmarkEnd w:id="63"/>
      <w:bookmarkEnd w:id="64"/>
      <w:bookmarkEnd w:id="65"/>
    </w:p>
    <w:p w14:paraId="5AE4859F">
      <w:pPr>
        <w:tabs>
          <w:tab w:val="left" w:pos="907"/>
        </w:tabs>
        <w:spacing w:line="360" w:lineRule="auto"/>
        <w:ind w:left="720" w:hanging="720" w:hanging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.1　投标人应仔细阅读和检查招标文件的全部内容。投标人若对招标文件有任何疑问，应按照招标文件</w:t>
      </w:r>
      <w:r>
        <w:rPr>
          <w:rFonts w:hint="eastAsia" w:ascii="仿宋" w:hAnsi="仿宋" w:eastAsia="仿宋" w:cs="仿宋"/>
          <w:color w:val="auto"/>
          <w:sz w:val="24"/>
          <w:szCs w:val="24"/>
          <w:highlight w:val="none"/>
          <w:lang w:val="en-US" w:eastAsia="zh-CN"/>
        </w:rPr>
        <w:t>要求</w:t>
      </w:r>
      <w:r>
        <w:rPr>
          <w:rFonts w:hint="eastAsia" w:ascii="仿宋" w:hAnsi="仿宋" w:eastAsia="仿宋" w:cs="仿宋"/>
          <w:color w:val="auto"/>
          <w:sz w:val="24"/>
          <w:szCs w:val="24"/>
          <w:highlight w:val="none"/>
        </w:rPr>
        <w:t>向采购代理机构提出。提出后，请投标人及时通过</w:t>
      </w:r>
      <w:r>
        <w:rPr>
          <w:rFonts w:hint="eastAsia" w:ascii="仿宋" w:hAnsi="仿宋" w:eastAsia="仿宋" w:cs="仿宋"/>
          <w:color w:val="auto"/>
          <w:sz w:val="24"/>
          <w:szCs w:val="24"/>
          <w:highlight w:val="none"/>
          <w:lang w:val="en-US" w:eastAsia="zh-CN"/>
        </w:rPr>
        <w:t>新疆</w:t>
      </w:r>
      <w:r>
        <w:rPr>
          <w:rFonts w:hint="eastAsia" w:ascii="仿宋" w:hAnsi="仿宋" w:eastAsia="仿宋" w:cs="仿宋"/>
          <w:color w:val="auto"/>
          <w:sz w:val="24"/>
          <w:szCs w:val="24"/>
          <w:highlight w:val="none"/>
        </w:rPr>
        <w:t>政采云平台查看答疑文件或澄清文件。必要时，采购代理机构将组织相关专家召开答疑会，如召开，答疑会安排另行通知。并在</w:t>
      </w:r>
      <w:r>
        <w:rPr>
          <w:rFonts w:hint="eastAsia" w:ascii="仿宋" w:hAnsi="仿宋" w:eastAsia="仿宋" w:cs="仿宋"/>
          <w:color w:val="auto"/>
          <w:sz w:val="24"/>
          <w:szCs w:val="24"/>
          <w:highlight w:val="none"/>
          <w:lang w:val="en-US" w:eastAsia="zh-CN"/>
        </w:rPr>
        <w:t>新疆</w:t>
      </w:r>
      <w:r>
        <w:rPr>
          <w:rFonts w:hint="eastAsia" w:ascii="仿宋" w:hAnsi="仿宋" w:eastAsia="仿宋" w:cs="仿宋"/>
          <w:color w:val="auto"/>
          <w:sz w:val="24"/>
          <w:szCs w:val="24"/>
          <w:highlight w:val="none"/>
        </w:rPr>
        <w:t>政采云平台发布更正公告。</w:t>
      </w:r>
      <w:r>
        <w:rPr>
          <w:rFonts w:hint="eastAsia" w:ascii="仿宋" w:hAnsi="仿宋" w:eastAsia="仿宋" w:cs="仿宋"/>
          <w:color w:val="auto"/>
          <w:sz w:val="24"/>
          <w:szCs w:val="24"/>
          <w:highlight w:val="none"/>
          <w:lang w:val="en-US" w:eastAsia="zh-CN"/>
        </w:rPr>
        <w:t>投标人在规定的时间内未对招标文件提出疑问或要求澄清的，采购代理机构将视其为同意，对在“答疑接受时间”后就招标文件内容提出的疑问及澄清要求将不予受理。</w:t>
      </w:r>
    </w:p>
    <w:p w14:paraId="5EAEF312">
      <w:pPr>
        <w:tabs>
          <w:tab w:val="left" w:pos="907"/>
        </w:tabs>
        <w:spacing w:line="360" w:lineRule="auto"/>
        <w:ind w:left="720" w:hanging="720" w:hanging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9.2　如果澄清或者修改时间距本章投标人须知前附表规定的投标截止时间不足15日，将相应顺延提交投标文件的截止时间，澄清或者修改时间具体见投标人须知前附表。</w:t>
      </w:r>
    </w:p>
    <w:p w14:paraId="1EB40D3E">
      <w:pPr>
        <w:tabs>
          <w:tab w:val="left" w:pos="907"/>
        </w:tabs>
        <w:spacing w:line="360" w:lineRule="auto"/>
        <w:ind w:left="720" w:hanging="720" w:hanging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9.3　澄清或者修改内容为招标文件的组成部分，对所有领取了招标文件的潜在投标人均具有约束力。</w:t>
      </w:r>
    </w:p>
    <w:p w14:paraId="3BE0DF1F">
      <w:pPr>
        <w:tabs>
          <w:tab w:val="left" w:pos="907"/>
        </w:tabs>
        <w:spacing w:line="360" w:lineRule="auto"/>
        <w:ind w:left="720" w:hanging="720" w:hanging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9.4  投标人应注意及时新疆政采云发布的澄清或修改通知并下载，因投标人原因未及时获知澄清、修改或补充内容而导致的任何后果将由投标人自行承担。</w:t>
      </w:r>
    </w:p>
    <w:p w14:paraId="616CB66A">
      <w:pPr>
        <w:tabs>
          <w:tab w:val="left" w:pos="907"/>
        </w:tabs>
        <w:spacing w:line="360" w:lineRule="auto"/>
        <w:ind w:left="720" w:hanging="720" w:hangingChars="300"/>
        <w:rPr>
          <w:rFonts w:hint="eastAsia" w:ascii="仿宋" w:hAnsi="仿宋" w:eastAsia="仿宋" w:cs="仿宋"/>
          <w:color w:val="auto"/>
          <w:sz w:val="24"/>
          <w:szCs w:val="24"/>
          <w:highlight w:val="none"/>
        </w:rPr>
      </w:pPr>
    </w:p>
    <w:p w14:paraId="461E813F">
      <w:pPr>
        <w:pStyle w:val="3"/>
        <w:spacing w:before="0" w:after="0" w:line="360" w:lineRule="auto"/>
        <w:jc w:val="center"/>
        <w:rPr>
          <w:rFonts w:hint="eastAsia" w:ascii="仿宋" w:hAnsi="仿宋" w:eastAsia="仿宋" w:cs="仿宋"/>
          <w:color w:val="auto"/>
          <w:sz w:val="24"/>
          <w:szCs w:val="24"/>
          <w:highlight w:val="none"/>
        </w:rPr>
      </w:pPr>
      <w:bookmarkStart w:id="66" w:name="_Toc55778685"/>
      <w:bookmarkStart w:id="67" w:name="_Toc14750"/>
      <w:r>
        <w:rPr>
          <w:rFonts w:hint="eastAsia" w:ascii="仿宋" w:hAnsi="仿宋" w:eastAsia="仿宋" w:cs="仿宋"/>
          <w:color w:val="auto"/>
          <w:sz w:val="24"/>
          <w:szCs w:val="24"/>
          <w:highlight w:val="none"/>
        </w:rPr>
        <w:t>三、投标文件的编制</w:t>
      </w:r>
      <w:bookmarkEnd w:id="66"/>
      <w:bookmarkEnd w:id="67"/>
    </w:p>
    <w:p w14:paraId="36847A50">
      <w:pPr>
        <w:pStyle w:val="2"/>
        <w:numPr>
          <w:ilvl w:val="0"/>
          <w:numId w:val="7"/>
        </w:numPr>
        <w:tabs>
          <w:tab w:val="left" w:pos="900"/>
          <w:tab w:val="clear" w:pos="425"/>
        </w:tabs>
        <w:spacing w:before="0" w:after="0" w:line="360" w:lineRule="auto"/>
        <w:ind w:left="924" w:hanging="924"/>
        <w:rPr>
          <w:rStyle w:val="61"/>
          <w:rFonts w:hint="eastAsia" w:ascii="仿宋" w:hAnsi="仿宋" w:eastAsia="仿宋" w:cs="仿宋"/>
          <w:bCs/>
          <w:color w:val="auto"/>
          <w:sz w:val="24"/>
          <w:szCs w:val="24"/>
          <w:highlight w:val="none"/>
        </w:rPr>
      </w:pPr>
      <w:bookmarkStart w:id="68" w:name="_Toc55778686"/>
      <w:bookmarkStart w:id="69" w:name="_Toc887"/>
      <w:bookmarkStart w:id="70" w:name="_Toc22093"/>
      <w:bookmarkStart w:id="71" w:name="_Toc4795"/>
      <w:bookmarkStart w:id="72" w:name="_Toc25330"/>
      <w:bookmarkStart w:id="73" w:name="_Toc19464"/>
      <w:r>
        <w:rPr>
          <w:rStyle w:val="61"/>
          <w:rFonts w:hint="eastAsia" w:ascii="仿宋" w:hAnsi="仿宋" w:eastAsia="仿宋" w:cs="仿宋"/>
          <w:bCs/>
          <w:color w:val="auto"/>
          <w:sz w:val="24"/>
          <w:szCs w:val="24"/>
          <w:highlight w:val="none"/>
        </w:rPr>
        <w:t>投标的语言</w:t>
      </w:r>
      <w:bookmarkEnd w:id="68"/>
      <w:bookmarkEnd w:id="69"/>
      <w:bookmarkEnd w:id="70"/>
      <w:bookmarkEnd w:id="71"/>
      <w:bookmarkEnd w:id="72"/>
      <w:bookmarkEnd w:id="73"/>
    </w:p>
    <w:p w14:paraId="39FC12F8">
      <w:pPr>
        <w:numPr>
          <w:ilvl w:val="1"/>
          <w:numId w:val="15"/>
        </w:numPr>
        <w:spacing w:line="360" w:lineRule="auto"/>
        <w:rPr>
          <w:rFonts w:hint="eastAsia" w:ascii="仿宋" w:hAnsi="仿宋" w:eastAsia="仿宋" w:cs="仿宋"/>
          <w:color w:val="auto"/>
          <w:sz w:val="24"/>
          <w:szCs w:val="24"/>
          <w:highlight w:val="none"/>
        </w:rPr>
      </w:pPr>
      <w:bookmarkStart w:id="74" w:name="_Ref179620571"/>
      <w:r>
        <w:rPr>
          <w:rFonts w:hint="eastAsia" w:ascii="仿宋" w:hAnsi="仿宋" w:eastAsia="仿宋" w:cs="仿宋"/>
          <w:color w:val="auto"/>
          <w:sz w:val="24"/>
          <w:szCs w:val="24"/>
          <w:highlight w:val="none"/>
        </w:rPr>
        <w:t>投标人提交的投标文件以及投标人与采购代理机构和采购人就有关投标的所有来往函电均应使用</w:t>
      </w:r>
      <w:r>
        <w:rPr>
          <w:rFonts w:hint="eastAsia" w:ascii="仿宋" w:hAnsi="仿宋" w:eastAsia="仿宋" w:cs="仿宋"/>
          <w:bCs/>
          <w:color w:val="auto"/>
          <w:sz w:val="24"/>
          <w:szCs w:val="24"/>
          <w:highlight w:val="none"/>
        </w:rPr>
        <w:t>中文书写。投标人提交的支持文件或印刷的资料可以用另一种语言，但相应内容应附有中文翻译本</w:t>
      </w:r>
      <w:r>
        <w:rPr>
          <w:rFonts w:hint="eastAsia" w:ascii="仿宋" w:hAnsi="仿宋" w:eastAsia="仿宋" w:cs="仿宋"/>
          <w:color w:val="auto"/>
          <w:sz w:val="24"/>
          <w:szCs w:val="24"/>
          <w:highlight w:val="none"/>
        </w:rPr>
        <w:t>，在解释投标文件时以翻译本为准。</w:t>
      </w:r>
      <w:bookmarkEnd w:id="74"/>
    </w:p>
    <w:p w14:paraId="692BCD03">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75" w:name="_Toc55778688"/>
      <w:bookmarkStart w:id="76" w:name="_Toc15173"/>
      <w:r>
        <w:rPr>
          <w:rFonts w:hint="eastAsia" w:ascii="仿宋" w:hAnsi="仿宋" w:eastAsia="仿宋" w:cs="仿宋"/>
          <w:b/>
          <w:bCs/>
          <w:color w:val="auto"/>
          <w:kern w:val="44"/>
          <w:sz w:val="24"/>
          <w:szCs w:val="24"/>
          <w:highlight w:val="none"/>
        </w:rPr>
        <w:t xml:space="preserve">    </w:t>
      </w:r>
      <w:bookmarkStart w:id="77" w:name="_Toc1469"/>
      <w:bookmarkStart w:id="78" w:name="_Toc2079"/>
      <w:bookmarkStart w:id="79" w:name="_Toc21704"/>
      <w:bookmarkStart w:id="80" w:name="_Toc23086"/>
      <w:r>
        <w:rPr>
          <w:rFonts w:hint="eastAsia" w:ascii="仿宋" w:hAnsi="仿宋" w:eastAsia="仿宋" w:cs="仿宋"/>
          <w:b/>
          <w:bCs/>
          <w:color w:val="auto"/>
          <w:kern w:val="44"/>
          <w:sz w:val="24"/>
          <w:szCs w:val="24"/>
          <w:highlight w:val="none"/>
        </w:rPr>
        <w:t>投标文件的构成</w:t>
      </w:r>
      <w:bookmarkEnd w:id="75"/>
      <w:bookmarkEnd w:id="76"/>
      <w:bookmarkEnd w:id="77"/>
      <w:bookmarkEnd w:id="78"/>
      <w:bookmarkEnd w:id="79"/>
      <w:bookmarkEnd w:id="80"/>
    </w:p>
    <w:p w14:paraId="3179FE51">
      <w:pPr>
        <w:numPr>
          <w:ilvl w:val="1"/>
          <w:numId w:val="1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详见招标文件第六章《投标文件格式》</w:t>
      </w:r>
    </w:p>
    <w:p w14:paraId="2A087547">
      <w:pPr>
        <w:numPr>
          <w:ilvl w:val="1"/>
          <w:numId w:val="1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投标人有义务按照以上构成要求将投标文件编上唯一的页码并装订成册，不可出现缺页或重页的现象。</w:t>
      </w:r>
    </w:p>
    <w:p w14:paraId="5DBEFC39">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81" w:name="_Toc55778689"/>
      <w:bookmarkStart w:id="82" w:name="_Toc30134"/>
      <w:r>
        <w:rPr>
          <w:rFonts w:hint="eastAsia" w:ascii="仿宋" w:hAnsi="仿宋" w:eastAsia="仿宋" w:cs="仿宋"/>
          <w:b/>
          <w:bCs/>
          <w:color w:val="auto"/>
          <w:kern w:val="44"/>
          <w:sz w:val="24"/>
          <w:szCs w:val="24"/>
          <w:highlight w:val="none"/>
        </w:rPr>
        <w:t xml:space="preserve">    </w:t>
      </w:r>
      <w:bookmarkStart w:id="83" w:name="_Toc24925"/>
      <w:bookmarkStart w:id="84" w:name="_Toc23426"/>
      <w:bookmarkStart w:id="85" w:name="_Toc24782"/>
      <w:bookmarkStart w:id="86" w:name="_Toc17632"/>
      <w:r>
        <w:rPr>
          <w:rFonts w:hint="eastAsia" w:ascii="仿宋" w:hAnsi="仿宋" w:eastAsia="仿宋" w:cs="仿宋"/>
          <w:b/>
          <w:bCs/>
          <w:color w:val="auto"/>
          <w:kern w:val="44"/>
          <w:sz w:val="24"/>
          <w:szCs w:val="24"/>
          <w:highlight w:val="none"/>
        </w:rPr>
        <w:t>投标文件电子文档</w:t>
      </w:r>
      <w:bookmarkEnd w:id="81"/>
      <w:bookmarkEnd w:id="82"/>
      <w:bookmarkEnd w:id="83"/>
      <w:bookmarkEnd w:id="84"/>
      <w:bookmarkEnd w:id="85"/>
      <w:bookmarkEnd w:id="86"/>
    </w:p>
    <w:p w14:paraId="092EE576">
      <w:pPr>
        <w:numPr>
          <w:ilvl w:val="1"/>
          <w:numId w:val="17"/>
        </w:numPr>
        <w:spacing w:line="360" w:lineRule="auto"/>
        <w:rPr>
          <w:rFonts w:hint="eastAsia" w:ascii="仿宋" w:hAnsi="仿宋" w:eastAsia="仿宋" w:cs="仿宋"/>
          <w:kern w:val="0"/>
          <w:sz w:val="24"/>
          <w:szCs w:val="24"/>
          <w:highlight w:val="none"/>
        </w:rPr>
      </w:pPr>
      <w:bookmarkStart w:id="87" w:name="_Toc55778690"/>
      <w:bookmarkStart w:id="88" w:name="_Toc22266"/>
      <w:r>
        <w:rPr>
          <w:rFonts w:hint="eastAsia" w:ascii="仿宋" w:hAnsi="仿宋" w:eastAsia="仿宋" w:cs="仿宋"/>
          <w:sz w:val="24"/>
          <w:szCs w:val="24"/>
          <w:highlight w:val="none"/>
        </w:rPr>
        <w:t>投标文件应采用电子形式</w:t>
      </w:r>
      <w:r>
        <w:rPr>
          <w:rFonts w:hint="eastAsia" w:ascii="仿宋" w:hAnsi="仿宋" w:eastAsia="仿宋" w:cs="仿宋"/>
          <w:color w:val="000000"/>
          <w:sz w:val="24"/>
          <w:szCs w:val="24"/>
          <w:highlight w:val="none"/>
        </w:rPr>
        <w:t>。</w:t>
      </w:r>
    </w:p>
    <w:p w14:paraId="63502510">
      <w:pPr>
        <w:numPr>
          <w:ilvl w:val="1"/>
          <w:numId w:val="17"/>
        </w:numPr>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电子投标文件制作时，应按照统一的“投标文件制作工具”和招标文件中明确的投标文件目录和投标技术规格、参数及相关要求格式进行编制，保证目录清晰、内容完整。</w:t>
      </w:r>
    </w:p>
    <w:p w14:paraId="282E147B">
      <w:pPr>
        <w:numPr>
          <w:ilvl w:val="1"/>
          <w:numId w:val="17"/>
        </w:numPr>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投标人因自身原因导致电子投标文件无法导入电子评标系统的，该投标文件视为无效文件。 </w:t>
      </w:r>
    </w:p>
    <w:p w14:paraId="4923E80F">
      <w:pPr>
        <w:numPr>
          <w:ilvl w:val="1"/>
          <w:numId w:val="17"/>
        </w:numPr>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 xml:space="preserve">电子投标文件具有法律效力,与其他形式的投标文件在内容和格式上等同，若投标文件与招标文件要求不一致，其内容影响成交结果时，责任由投标人自行承担。 </w:t>
      </w:r>
    </w:p>
    <w:p w14:paraId="76DFEB22">
      <w:pPr>
        <w:numPr>
          <w:ilvl w:val="1"/>
          <w:numId w:val="17"/>
        </w:numPr>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为了保证电子标书的合法性、安全性和完整性，电子投标文件应在规定区域加盖单位和法定代表人CA印章。电子投标文件若无 CA电子签章，则视为无效文件。</w:t>
      </w:r>
    </w:p>
    <w:p w14:paraId="40794AF0">
      <w:pPr>
        <w:numPr>
          <w:ilvl w:val="1"/>
          <w:numId w:val="17"/>
        </w:numPr>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投标人应完整地填写招标文件中提供的《</w:t>
      </w:r>
      <w:r>
        <w:rPr>
          <w:rFonts w:hint="eastAsia" w:ascii="仿宋" w:hAnsi="仿宋" w:eastAsia="仿宋" w:cs="仿宋"/>
          <w:kern w:val="0"/>
          <w:sz w:val="24"/>
          <w:szCs w:val="24"/>
          <w:highlight w:val="none"/>
          <w:lang w:val="en-US" w:eastAsia="zh-CN"/>
        </w:rPr>
        <w:t>报价</w:t>
      </w:r>
      <w:r>
        <w:rPr>
          <w:rFonts w:hint="eastAsia" w:ascii="仿宋" w:hAnsi="仿宋" w:eastAsia="仿宋" w:cs="仿宋"/>
          <w:kern w:val="0"/>
          <w:sz w:val="24"/>
          <w:szCs w:val="24"/>
          <w:highlight w:val="none"/>
        </w:rPr>
        <w:t>一览表》、《报价</w:t>
      </w:r>
      <w:r>
        <w:rPr>
          <w:rFonts w:hint="eastAsia" w:ascii="仿宋" w:hAnsi="仿宋" w:eastAsia="仿宋" w:cs="仿宋"/>
          <w:kern w:val="0"/>
          <w:sz w:val="24"/>
          <w:szCs w:val="24"/>
          <w:highlight w:val="none"/>
          <w:lang w:val="en-US" w:eastAsia="zh-CN"/>
        </w:rPr>
        <w:t>一览</w:t>
      </w:r>
      <w:r>
        <w:rPr>
          <w:rFonts w:hint="eastAsia" w:ascii="仿宋" w:hAnsi="仿宋" w:eastAsia="仿宋" w:cs="仿宋"/>
          <w:kern w:val="0"/>
          <w:sz w:val="24"/>
          <w:szCs w:val="24"/>
          <w:highlight w:val="none"/>
        </w:rPr>
        <w:t xml:space="preserve">明细表》等招标文件中规定的所有内容。 </w:t>
      </w:r>
    </w:p>
    <w:p w14:paraId="5063AD17">
      <w:pPr>
        <w:numPr>
          <w:ilvl w:val="1"/>
          <w:numId w:val="17"/>
        </w:numPr>
        <w:spacing w:line="360" w:lineRule="auto"/>
        <w:rPr>
          <w:rFonts w:ascii="宋体" w:hAnsi="宋体"/>
          <w:kern w:val="0"/>
          <w:sz w:val="24"/>
          <w:szCs w:val="24"/>
          <w:highlight w:val="none"/>
        </w:rPr>
      </w:pPr>
      <w:r>
        <w:rPr>
          <w:rFonts w:hint="eastAsia" w:ascii="仿宋" w:hAnsi="仿宋" w:eastAsia="仿宋" w:cs="仿宋"/>
          <w:kern w:val="0"/>
          <w:sz w:val="24"/>
          <w:szCs w:val="24"/>
          <w:highlight w:val="none"/>
        </w:rPr>
        <w:t xml:space="preserve">投标人必须保证投标人文件所提供的全部资料真实可靠，并接受采购单位对其中任何资料进一步核实的要求。 </w:t>
      </w:r>
    </w:p>
    <w:p w14:paraId="5C19A70F">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r>
        <w:rPr>
          <w:rFonts w:hint="eastAsia" w:ascii="仿宋" w:hAnsi="仿宋" w:eastAsia="仿宋" w:cs="仿宋"/>
          <w:b/>
          <w:bCs/>
          <w:color w:val="auto"/>
          <w:kern w:val="44"/>
          <w:sz w:val="24"/>
          <w:szCs w:val="24"/>
          <w:highlight w:val="none"/>
        </w:rPr>
        <w:t xml:space="preserve">    </w:t>
      </w:r>
      <w:bookmarkStart w:id="89" w:name="_Toc30931"/>
      <w:bookmarkStart w:id="90" w:name="_Toc17740"/>
      <w:bookmarkStart w:id="91" w:name="_Toc16689"/>
      <w:bookmarkStart w:id="92" w:name="_Toc17013"/>
      <w:r>
        <w:rPr>
          <w:rFonts w:hint="eastAsia" w:ascii="仿宋" w:hAnsi="仿宋" w:eastAsia="仿宋" w:cs="仿宋"/>
          <w:b/>
          <w:bCs/>
          <w:color w:val="auto"/>
          <w:kern w:val="44"/>
          <w:sz w:val="24"/>
          <w:szCs w:val="24"/>
          <w:highlight w:val="none"/>
        </w:rPr>
        <w:t>投标文件的编写</w:t>
      </w:r>
      <w:bookmarkEnd w:id="87"/>
      <w:bookmarkEnd w:id="88"/>
      <w:bookmarkEnd w:id="89"/>
      <w:bookmarkEnd w:id="90"/>
      <w:bookmarkEnd w:id="91"/>
      <w:bookmarkEnd w:id="92"/>
    </w:p>
    <w:p w14:paraId="52B4F742">
      <w:pPr>
        <w:numPr>
          <w:ilvl w:val="1"/>
          <w:numId w:val="1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投标人应按招标文件的规定，及附件要求的内容和格式完整地填写和提供资料，并保证所提供的全部资料的真实性。</w:t>
      </w:r>
    </w:p>
    <w:p w14:paraId="7B6BEF9D">
      <w:pPr>
        <w:numPr>
          <w:ilvl w:val="1"/>
          <w:numId w:val="1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投标人应当按照招标文件要求编制投标文件，并根据自已的商务能力、技术水平等对招标文件提出的要求和条件作出真实的响应。</w:t>
      </w:r>
    </w:p>
    <w:p w14:paraId="7737ABEC">
      <w:pPr>
        <w:numPr>
          <w:ilvl w:val="1"/>
          <w:numId w:val="1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本项目只允许投标人提供一个投标方案，否则，其投标将被拒绝。</w:t>
      </w:r>
    </w:p>
    <w:p w14:paraId="4F800E53">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93" w:name="_Toc11544"/>
      <w:bookmarkStart w:id="94" w:name="_Toc55778691"/>
      <w:r>
        <w:rPr>
          <w:rFonts w:hint="eastAsia" w:ascii="仿宋" w:hAnsi="仿宋" w:eastAsia="仿宋" w:cs="仿宋"/>
          <w:b/>
          <w:bCs/>
          <w:color w:val="auto"/>
          <w:kern w:val="44"/>
          <w:sz w:val="24"/>
          <w:szCs w:val="24"/>
          <w:highlight w:val="none"/>
        </w:rPr>
        <w:t xml:space="preserve">    </w:t>
      </w:r>
      <w:bookmarkStart w:id="95" w:name="_Toc22522"/>
      <w:bookmarkStart w:id="96" w:name="_Toc15231"/>
      <w:bookmarkStart w:id="97" w:name="_Toc22427"/>
      <w:bookmarkStart w:id="98" w:name="_Toc3854"/>
      <w:r>
        <w:rPr>
          <w:rFonts w:hint="eastAsia" w:ascii="仿宋" w:hAnsi="仿宋" w:eastAsia="仿宋" w:cs="仿宋"/>
          <w:b/>
          <w:bCs/>
          <w:color w:val="auto"/>
          <w:kern w:val="44"/>
          <w:sz w:val="24"/>
          <w:szCs w:val="24"/>
          <w:highlight w:val="none"/>
        </w:rPr>
        <w:t>投标报价</w:t>
      </w:r>
      <w:bookmarkEnd w:id="93"/>
      <w:bookmarkEnd w:id="94"/>
      <w:bookmarkEnd w:id="95"/>
      <w:bookmarkEnd w:id="96"/>
      <w:bookmarkEnd w:id="97"/>
      <w:bookmarkEnd w:id="98"/>
    </w:p>
    <w:p w14:paraId="7AC47269">
      <w:pPr>
        <w:numPr>
          <w:ilvl w:val="1"/>
          <w:numId w:val="1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投标人的投标报价应符合《中华人民共和国价格法》的有关规定。</w:t>
      </w:r>
    </w:p>
    <w:p w14:paraId="6E8603FE">
      <w:pPr>
        <w:numPr>
          <w:ilvl w:val="1"/>
          <w:numId w:val="19"/>
        </w:numPr>
        <w:spacing w:line="360" w:lineRule="auto"/>
        <w:rPr>
          <w:rFonts w:hint="eastAsia" w:ascii="仿宋" w:hAnsi="仿宋" w:eastAsia="仿宋" w:cs="仿宋"/>
          <w:color w:val="auto"/>
          <w:sz w:val="24"/>
          <w:szCs w:val="24"/>
          <w:highlight w:val="none"/>
        </w:rPr>
      </w:pPr>
      <w:bookmarkStart w:id="99" w:name="_Ref179619251"/>
      <w:r>
        <w:rPr>
          <w:rFonts w:hint="eastAsia" w:ascii="仿宋" w:hAnsi="仿宋" w:eastAsia="仿宋" w:cs="仿宋"/>
          <w:color w:val="auto"/>
          <w:sz w:val="24"/>
          <w:szCs w:val="24"/>
          <w:highlight w:val="none"/>
        </w:rPr>
        <w:t>投标人应按照“采购内容”中要求规定的内容、责任范围进行报价。投标价格应包括投标人为完成本合同所约定的《招标及合同文件》规定的全部责任和义务所发生的各种开支。并认为此项费用已包含在投标报价中并按《报价一览表》及《</w:t>
      </w:r>
      <w:r>
        <w:rPr>
          <w:rFonts w:hint="eastAsia" w:ascii="仿宋" w:hAnsi="仿宋" w:eastAsia="仿宋" w:cs="仿宋"/>
          <w:color w:val="auto"/>
          <w:sz w:val="24"/>
          <w:szCs w:val="24"/>
          <w:highlight w:val="none"/>
          <w:lang w:val="en-US" w:eastAsia="zh-CN"/>
        </w:rPr>
        <w:t>报价一览明细表</w:t>
      </w:r>
      <w:r>
        <w:rPr>
          <w:rFonts w:hint="eastAsia" w:ascii="仿宋" w:hAnsi="仿宋" w:eastAsia="仿宋" w:cs="仿宋"/>
          <w:color w:val="auto"/>
          <w:sz w:val="24"/>
          <w:szCs w:val="24"/>
          <w:highlight w:val="none"/>
        </w:rPr>
        <w:t>》（如适用）的要求报出总价和分项价格。投标总价中不得包含招标文件要求以外的内容，否则，在评标时不予核减。投标总价中也不得缺漏招标文件所要求的内容，否则，被视为包含在投标报价中。</w:t>
      </w:r>
    </w:p>
    <w:p w14:paraId="1A3D64F9">
      <w:pPr>
        <w:numPr>
          <w:ilvl w:val="1"/>
          <w:numId w:val="1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投标明细报价表内容应包含：</w:t>
      </w:r>
    </w:p>
    <w:p w14:paraId="39A19D0A">
      <w:pPr>
        <w:numPr>
          <w:ilvl w:val="2"/>
          <w:numId w:val="1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按招标文件的要求全部服务内容所需的所有费用；</w:t>
      </w:r>
    </w:p>
    <w:p w14:paraId="7AD117F9">
      <w:pPr>
        <w:numPr>
          <w:ilvl w:val="2"/>
          <w:numId w:val="1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对于报价免费的内容须标明“免费”；</w:t>
      </w:r>
    </w:p>
    <w:p w14:paraId="793AC772">
      <w:pPr>
        <w:numPr>
          <w:ilvl w:val="2"/>
          <w:numId w:val="1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投标报价均应包含所有的税费；</w:t>
      </w:r>
    </w:p>
    <w:p w14:paraId="37EB8071">
      <w:pPr>
        <w:numPr>
          <w:ilvl w:val="2"/>
          <w:numId w:val="1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其他一切隐含及不可预见的费用。</w:t>
      </w:r>
    </w:p>
    <w:p w14:paraId="73712EF2">
      <w:pPr>
        <w:numPr>
          <w:ilvl w:val="1"/>
          <w:numId w:val="1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w:t>
      </w:r>
      <w:r>
        <w:rPr>
          <w:rFonts w:hint="eastAsia" w:ascii="仿宋" w:hAnsi="仿宋" w:eastAsia="仿宋" w:cs="仿宋"/>
          <w:b/>
          <w:bCs/>
          <w:color w:val="auto"/>
          <w:sz w:val="24"/>
          <w:szCs w:val="24"/>
          <w:highlight w:val="none"/>
        </w:rPr>
        <w:t>招标文件</w:t>
      </w:r>
      <w:r>
        <w:rPr>
          <w:rFonts w:hint="eastAsia" w:ascii="仿宋" w:hAnsi="仿宋" w:eastAsia="仿宋" w:cs="仿宋"/>
          <w:color w:val="auto"/>
          <w:sz w:val="24"/>
          <w:szCs w:val="24"/>
          <w:highlight w:val="none"/>
        </w:rPr>
        <w:t>另有规定，投标人所报的投标价在合同执行过程中是固定不变的，不得以任何理由予以变更。任何包含价格调整要求的投标被认为是非实质性响应投标而予以拒绝。</w:t>
      </w:r>
    </w:p>
    <w:p w14:paraId="36B2C3E3">
      <w:pPr>
        <w:numPr>
          <w:ilvl w:val="1"/>
          <w:numId w:val="1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投标文件中的总价金额与单价计算出的结果不一致的，以单价金额为准修正总价，但单价金额小数点有明显错误的除外。</w:t>
      </w:r>
    </w:p>
    <w:bookmarkEnd w:id="99"/>
    <w:p w14:paraId="3D513161">
      <w:pPr>
        <w:numPr>
          <w:ilvl w:val="1"/>
          <w:numId w:val="19"/>
        </w:numPr>
        <w:spacing w:line="360" w:lineRule="auto"/>
        <w:rPr>
          <w:rFonts w:hint="eastAsia" w:ascii="仿宋" w:hAnsi="仿宋" w:eastAsia="仿宋" w:cs="仿宋"/>
          <w:color w:val="auto"/>
          <w:sz w:val="24"/>
          <w:szCs w:val="24"/>
          <w:highlight w:val="none"/>
        </w:rPr>
      </w:pPr>
      <w:bookmarkStart w:id="100" w:name="_Ref179620595"/>
      <w:r>
        <w:rPr>
          <w:rFonts w:hint="eastAsia" w:ascii="仿宋" w:hAnsi="仿宋" w:eastAsia="仿宋" w:cs="仿宋"/>
          <w:color w:val="auto"/>
          <w:sz w:val="24"/>
          <w:szCs w:val="24"/>
          <w:highlight w:val="none"/>
        </w:rPr>
        <w:t>除</w:t>
      </w:r>
      <w:r>
        <w:rPr>
          <w:rFonts w:hint="eastAsia" w:ascii="仿宋" w:hAnsi="仿宋" w:eastAsia="仿宋" w:cs="仿宋"/>
          <w:b/>
          <w:bCs/>
          <w:color w:val="auto"/>
          <w:sz w:val="24"/>
          <w:szCs w:val="24"/>
          <w:highlight w:val="none"/>
        </w:rPr>
        <w:t>招标文件</w:t>
      </w:r>
      <w:r>
        <w:rPr>
          <w:rFonts w:hint="eastAsia" w:ascii="仿宋" w:hAnsi="仿宋" w:eastAsia="仿宋" w:cs="仿宋"/>
          <w:color w:val="auto"/>
          <w:sz w:val="24"/>
          <w:szCs w:val="24"/>
          <w:highlight w:val="none"/>
        </w:rPr>
        <w:t>允许有备选方案外，本次招标不接受选择性报价，否则将被视为无效投标。</w:t>
      </w:r>
      <w:bookmarkEnd w:id="100"/>
    </w:p>
    <w:p w14:paraId="22704D91">
      <w:pPr>
        <w:numPr>
          <w:ilvl w:val="1"/>
          <w:numId w:val="1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w:t>
      </w:r>
      <w:r>
        <w:rPr>
          <w:rFonts w:hint="eastAsia" w:ascii="仿宋" w:hAnsi="仿宋" w:eastAsia="仿宋" w:cs="仿宋"/>
          <w:b/>
          <w:bCs/>
          <w:color w:val="auto"/>
          <w:sz w:val="24"/>
          <w:szCs w:val="24"/>
          <w:highlight w:val="none"/>
        </w:rPr>
        <w:t>招标文件</w:t>
      </w:r>
      <w:r>
        <w:rPr>
          <w:rFonts w:hint="eastAsia" w:ascii="仿宋" w:hAnsi="仿宋" w:eastAsia="仿宋" w:cs="仿宋"/>
          <w:color w:val="auto"/>
          <w:sz w:val="24"/>
          <w:szCs w:val="24"/>
          <w:highlight w:val="none"/>
        </w:rPr>
        <w:t xml:space="preserve">另有规定外，本次招标不接受具有附加条件的报价，否则将被视为无效投标。 </w:t>
      </w:r>
    </w:p>
    <w:p w14:paraId="669F2262">
      <w:pPr>
        <w:numPr>
          <w:ilvl w:val="1"/>
          <w:numId w:val="1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投标人应以人民币为单位进行报价。</w:t>
      </w:r>
    </w:p>
    <w:p w14:paraId="6F2FFDA4">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01" w:name="_Toc55778694"/>
      <w:bookmarkStart w:id="102" w:name="_Toc24908"/>
      <w:r>
        <w:rPr>
          <w:rFonts w:hint="eastAsia" w:ascii="仿宋" w:hAnsi="仿宋" w:eastAsia="仿宋" w:cs="仿宋"/>
          <w:b/>
          <w:bCs/>
          <w:color w:val="auto"/>
          <w:kern w:val="44"/>
          <w:sz w:val="24"/>
          <w:szCs w:val="24"/>
          <w:highlight w:val="none"/>
        </w:rPr>
        <w:t xml:space="preserve">    </w:t>
      </w:r>
      <w:bookmarkStart w:id="103" w:name="_Toc15306"/>
      <w:bookmarkStart w:id="104" w:name="_Toc14790"/>
      <w:bookmarkStart w:id="105" w:name="_Toc22983"/>
      <w:bookmarkStart w:id="106" w:name="_Toc10724"/>
      <w:r>
        <w:rPr>
          <w:rFonts w:hint="eastAsia" w:ascii="仿宋" w:hAnsi="仿宋" w:eastAsia="仿宋" w:cs="仿宋"/>
          <w:b/>
          <w:bCs/>
          <w:color w:val="auto"/>
          <w:kern w:val="44"/>
          <w:sz w:val="24"/>
          <w:szCs w:val="24"/>
          <w:highlight w:val="none"/>
        </w:rPr>
        <w:t>投标保证金</w:t>
      </w:r>
      <w:bookmarkEnd w:id="101"/>
      <w:bookmarkEnd w:id="102"/>
      <w:bookmarkEnd w:id="103"/>
      <w:bookmarkEnd w:id="104"/>
      <w:bookmarkEnd w:id="105"/>
      <w:bookmarkEnd w:id="106"/>
    </w:p>
    <w:p w14:paraId="582ABB5D">
      <w:pPr>
        <w:numPr>
          <w:ilvl w:val="1"/>
          <w:numId w:val="20"/>
        </w:numPr>
        <w:spacing w:line="360" w:lineRule="auto"/>
        <w:rPr>
          <w:rFonts w:hint="eastAsia" w:ascii="仿宋" w:hAnsi="仿宋" w:eastAsia="仿宋" w:cs="仿宋"/>
          <w:color w:val="auto"/>
          <w:sz w:val="24"/>
          <w:szCs w:val="24"/>
          <w:highlight w:val="none"/>
        </w:rPr>
      </w:pPr>
      <w:bookmarkStart w:id="107" w:name="_Ref179619405"/>
      <w:r>
        <w:rPr>
          <w:rFonts w:hint="eastAsia" w:ascii="仿宋" w:hAnsi="仿宋" w:eastAsia="仿宋" w:cs="仿宋"/>
          <w:color w:val="auto"/>
          <w:sz w:val="24"/>
          <w:szCs w:val="24"/>
          <w:highlight w:val="none"/>
        </w:rPr>
        <w:t>投标人必须按招标文件的规定缴纳投标保证金，并作为其投标文件的组成部分。</w:t>
      </w:r>
      <w:bookmarkEnd w:id="107"/>
    </w:p>
    <w:p w14:paraId="3B31EC58">
      <w:pPr>
        <w:numPr>
          <w:ilvl w:val="1"/>
          <w:numId w:val="2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投标保证金是为了保护采购代理机构和采购人免遭因投标人的行为而蒙受损失。采购代理机构和采购人在因投标人的行为受到损害时可根据本须知的规定没收投标人的投标保证金。</w:t>
      </w:r>
    </w:p>
    <w:p w14:paraId="07131975">
      <w:pPr>
        <w:spacing w:line="360" w:lineRule="auto"/>
        <w:ind w:left="840" w:leftChars="400"/>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为保证本采购工作的顺利进行，各投标人应向采购人缴纳不少于</w:t>
      </w:r>
      <w:r>
        <w:rPr>
          <w:rFonts w:hint="eastAsia" w:ascii="仿宋" w:hAnsi="仿宋" w:eastAsia="仿宋" w:cs="仿宋"/>
          <w:b/>
          <w:bCs/>
          <w:color w:val="auto"/>
          <w:sz w:val="24"/>
          <w:szCs w:val="24"/>
          <w:highlight w:val="none"/>
        </w:rPr>
        <w:t>第二章《投标须知前附表》</w:t>
      </w:r>
      <w:r>
        <w:rPr>
          <w:rFonts w:hint="eastAsia" w:ascii="仿宋" w:hAnsi="仿宋" w:eastAsia="仿宋" w:cs="仿宋"/>
          <w:b/>
          <w:color w:val="auto"/>
          <w:sz w:val="24"/>
          <w:szCs w:val="24"/>
          <w:highlight w:val="none"/>
        </w:rPr>
        <w:t>规定数额的保证金，保证金金额及缴纳方式详见</w:t>
      </w:r>
      <w:r>
        <w:rPr>
          <w:rFonts w:hint="eastAsia" w:ascii="仿宋" w:hAnsi="仿宋" w:eastAsia="仿宋" w:cs="仿宋"/>
          <w:b/>
          <w:bCs/>
          <w:color w:val="auto"/>
          <w:sz w:val="24"/>
          <w:szCs w:val="24"/>
          <w:highlight w:val="none"/>
        </w:rPr>
        <w:t>第二章《投标须知前附表》</w:t>
      </w:r>
      <w:r>
        <w:rPr>
          <w:rFonts w:hint="eastAsia" w:ascii="仿宋" w:hAnsi="仿宋" w:eastAsia="仿宋" w:cs="仿宋"/>
          <w:b/>
          <w:color w:val="auto"/>
          <w:sz w:val="24"/>
          <w:szCs w:val="24"/>
          <w:highlight w:val="none"/>
        </w:rPr>
        <w:t>序号13（缴纳投标保证金）</w:t>
      </w:r>
    </w:p>
    <w:p w14:paraId="564D314C">
      <w:pPr>
        <w:numPr>
          <w:ilvl w:val="1"/>
          <w:numId w:val="2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凡没有按照招标文件要求提交有效的投标保证金的投标，将视为非响应性投标予以拒绝。</w:t>
      </w:r>
    </w:p>
    <w:p w14:paraId="4B31E9A9">
      <w:pPr>
        <w:numPr>
          <w:ilvl w:val="1"/>
          <w:numId w:val="2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凡投标人在投标截止时间前撤回已提交的投标文件的，自收到投标人书面撤回通知之日起5个工作日内，退还已收取的投标保证金，但因投标人自身原因导致无法及时退还的除外。</w:t>
      </w:r>
    </w:p>
    <w:p w14:paraId="2DF65407">
      <w:pPr>
        <w:numPr>
          <w:ilvl w:val="1"/>
          <w:numId w:val="2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自中标通知书发出之日起5个工作日内退还未中标人的投标保证金，但因投标人自身原因导致无法及时退还的除外。</w:t>
      </w:r>
    </w:p>
    <w:p w14:paraId="7797EA9B">
      <w:pPr>
        <w:numPr>
          <w:ilvl w:val="1"/>
          <w:numId w:val="2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中标人的投标保证金的退还必须同时满足以下要求（但因中标人自身原因导致无法及时退还的除外）：</w:t>
      </w:r>
    </w:p>
    <w:p w14:paraId="11E02C4E">
      <w:pPr>
        <w:numPr>
          <w:ilvl w:val="2"/>
          <w:numId w:val="2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中标人按</w:t>
      </w:r>
      <w:bookmarkStart w:id="108" w:name="_Hlt507937599"/>
      <w:bookmarkEnd w:id="108"/>
      <w:r>
        <w:rPr>
          <w:rFonts w:hint="eastAsia" w:ascii="仿宋" w:hAnsi="仿宋" w:eastAsia="仿宋" w:cs="仿宋"/>
          <w:color w:val="auto"/>
          <w:sz w:val="24"/>
          <w:szCs w:val="24"/>
          <w:highlight w:val="none"/>
        </w:rPr>
        <w:t>《投标人须知前附表》规定签订合同的，自合同上传自</w:t>
      </w:r>
      <w:r>
        <w:rPr>
          <w:rFonts w:hint="eastAsia" w:ascii="仿宋" w:hAnsi="仿宋" w:eastAsia="仿宋" w:cs="仿宋"/>
          <w:b/>
          <w:color w:val="auto"/>
          <w:sz w:val="24"/>
          <w:szCs w:val="24"/>
          <w:highlight w:val="none"/>
          <w:u w:val="single"/>
        </w:rPr>
        <w:t>新疆政府采购网http://www.ccgp-xinjiang.gov.cn/</w:t>
      </w:r>
      <w:r>
        <w:rPr>
          <w:rFonts w:hint="eastAsia" w:ascii="仿宋" w:hAnsi="仿宋" w:eastAsia="仿宋" w:cs="仿宋"/>
          <w:color w:val="auto"/>
          <w:sz w:val="24"/>
          <w:szCs w:val="24"/>
          <w:highlight w:val="none"/>
        </w:rPr>
        <w:t>起5个工作日内退还</w:t>
      </w:r>
    </w:p>
    <w:p w14:paraId="5012EA4B">
      <w:pPr>
        <w:numPr>
          <w:ilvl w:val="1"/>
          <w:numId w:val="20"/>
        </w:numPr>
        <w:spacing w:line="360" w:lineRule="auto"/>
        <w:rPr>
          <w:rFonts w:hint="eastAsia" w:ascii="仿宋" w:hAnsi="仿宋" w:eastAsia="仿宋" w:cs="仿宋"/>
          <w:color w:val="auto"/>
          <w:sz w:val="24"/>
          <w:szCs w:val="24"/>
          <w:highlight w:val="none"/>
        </w:rPr>
      </w:pPr>
      <w:bookmarkStart w:id="109" w:name="_Ref179619371"/>
      <w:r>
        <w:rPr>
          <w:rFonts w:hint="eastAsia" w:ascii="仿宋" w:hAnsi="仿宋" w:eastAsia="仿宋" w:cs="仿宋"/>
          <w:color w:val="auto"/>
          <w:sz w:val="24"/>
          <w:szCs w:val="24"/>
          <w:highlight w:val="none"/>
        </w:rPr>
        <w:t>下列任何情况发生时，投标保证金将被没收：</w:t>
      </w:r>
      <w:bookmarkEnd w:id="109"/>
    </w:p>
    <w:p w14:paraId="2AC65C54">
      <w:pPr>
        <w:numPr>
          <w:ilvl w:val="2"/>
          <w:numId w:val="2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投标人在招标文件中规定的投标有效期内撤销其投标文件；</w:t>
      </w:r>
    </w:p>
    <w:p w14:paraId="06AD3EB7">
      <w:pPr>
        <w:numPr>
          <w:ilvl w:val="2"/>
          <w:numId w:val="2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中标后无正当理由放弃中标或中标人拒绝与采购人签订合同；</w:t>
      </w:r>
    </w:p>
    <w:p w14:paraId="07F5A8D9">
      <w:pPr>
        <w:numPr>
          <w:ilvl w:val="2"/>
          <w:numId w:val="2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中标人在规定期限内未能根据本须知规定签订合同；</w:t>
      </w:r>
    </w:p>
    <w:p w14:paraId="474B1320">
      <w:pPr>
        <w:numPr>
          <w:ilvl w:val="2"/>
          <w:numId w:val="2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依法取消中标资格；</w:t>
      </w:r>
    </w:p>
    <w:p w14:paraId="5AE34000">
      <w:pPr>
        <w:numPr>
          <w:ilvl w:val="2"/>
          <w:numId w:val="2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法律法规规定的其它情况；</w:t>
      </w:r>
    </w:p>
    <w:p w14:paraId="6FB4D75C">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10" w:name="_Toc10359"/>
      <w:bookmarkStart w:id="111" w:name="_Toc55778695"/>
      <w:r>
        <w:rPr>
          <w:rFonts w:hint="eastAsia" w:ascii="仿宋" w:hAnsi="仿宋" w:eastAsia="仿宋" w:cs="仿宋"/>
          <w:b/>
          <w:bCs/>
          <w:color w:val="auto"/>
          <w:kern w:val="44"/>
          <w:sz w:val="24"/>
          <w:szCs w:val="24"/>
          <w:highlight w:val="none"/>
        </w:rPr>
        <w:t xml:space="preserve">    </w:t>
      </w:r>
      <w:bookmarkStart w:id="112" w:name="_Toc1720"/>
      <w:bookmarkStart w:id="113" w:name="_Toc32410"/>
      <w:bookmarkStart w:id="114" w:name="_Toc2453"/>
      <w:bookmarkStart w:id="115" w:name="_Toc30142"/>
      <w:r>
        <w:rPr>
          <w:rFonts w:hint="eastAsia" w:ascii="仿宋" w:hAnsi="仿宋" w:eastAsia="仿宋" w:cs="仿宋"/>
          <w:b/>
          <w:bCs/>
          <w:color w:val="auto"/>
          <w:kern w:val="44"/>
          <w:sz w:val="24"/>
          <w:szCs w:val="24"/>
          <w:highlight w:val="none"/>
        </w:rPr>
        <w:t>投标有效期</w:t>
      </w:r>
      <w:bookmarkEnd w:id="110"/>
      <w:bookmarkEnd w:id="111"/>
      <w:bookmarkEnd w:id="112"/>
      <w:bookmarkEnd w:id="113"/>
      <w:bookmarkEnd w:id="114"/>
      <w:bookmarkEnd w:id="115"/>
    </w:p>
    <w:p w14:paraId="675EB31D">
      <w:pPr>
        <w:numPr>
          <w:ilvl w:val="1"/>
          <w:numId w:val="21"/>
        </w:numPr>
        <w:spacing w:line="360" w:lineRule="auto"/>
        <w:rPr>
          <w:rFonts w:hint="eastAsia" w:ascii="仿宋" w:hAnsi="仿宋" w:eastAsia="仿宋" w:cs="仿宋"/>
          <w:color w:val="auto"/>
          <w:sz w:val="24"/>
          <w:szCs w:val="24"/>
          <w:highlight w:val="none"/>
        </w:rPr>
      </w:pPr>
      <w:bookmarkStart w:id="116" w:name="_Ref179620893"/>
      <w:r>
        <w:rPr>
          <w:rFonts w:hint="eastAsia" w:ascii="仿宋" w:hAnsi="仿宋" w:eastAsia="仿宋" w:cs="仿宋"/>
          <w:b/>
          <w:bCs/>
          <w:color w:val="auto"/>
          <w:sz w:val="24"/>
          <w:szCs w:val="24"/>
          <w:highlight w:val="none"/>
        </w:rPr>
        <w:t>投标文件应在投标截止日后90日历天内保持有效。</w:t>
      </w:r>
    </w:p>
    <w:p w14:paraId="60A3EA6C">
      <w:pPr>
        <w:numPr>
          <w:ilvl w:val="1"/>
          <w:numId w:val="2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中标人投标有效期则顺延至项目完成验收之日，在此有效期内未经采购人同意，投标文件的一切内容和补充承诺均为持续有效且不予改变。</w:t>
      </w:r>
      <w:bookmarkEnd w:id="116"/>
    </w:p>
    <w:p w14:paraId="744980E5">
      <w:pPr>
        <w:numPr>
          <w:ilvl w:val="1"/>
          <w:numId w:val="21"/>
        </w:numPr>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投标有效期从提交投标文件的截止之日起算</w:t>
      </w:r>
      <w:r>
        <w:rPr>
          <w:rFonts w:hint="eastAsia" w:ascii="仿宋" w:hAnsi="仿宋" w:eastAsia="仿宋" w:cs="仿宋"/>
          <w:color w:val="auto"/>
          <w:sz w:val="24"/>
          <w:szCs w:val="24"/>
          <w:highlight w:val="none"/>
        </w:rPr>
        <w:t>。投标文件中承诺的投标有效期应当不少于招标文件中载明的投标有效期。投标有效期不足的投标将被视为非实质性响应，视为无效投标。</w:t>
      </w:r>
    </w:p>
    <w:p w14:paraId="09D71A30">
      <w:pPr>
        <w:numPr>
          <w:ilvl w:val="1"/>
          <w:numId w:val="2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殊情况下，在原投标有效期截止之前，采购代理机构可要求投标人延长投标有效期。这种要求与答复均应以书面形式提交。投标人可拒绝采购代理机构的这种要求，其投标保证金将予以退还，但其投标在原投标有效期期满后将不再有效。同意延长投标有效期的投标人将不会被要求和允许修正其投标，而只会被要求相应地延长其投标保证金的有效期。在这种情况下，本须知有关投标保证金的退还和没收的规定将在延长了的有效期内继续有效。</w:t>
      </w:r>
    </w:p>
    <w:p w14:paraId="1F6FBA65">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17" w:name="_Toc55778696"/>
      <w:r>
        <w:rPr>
          <w:rFonts w:hint="eastAsia" w:ascii="仿宋" w:hAnsi="仿宋" w:eastAsia="仿宋" w:cs="仿宋"/>
          <w:b/>
          <w:bCs/>
          <w:color w:val="auto"/>
          <w:kern w:val="44"/>
          <w:sz w:val="24"/>
          <w:szCs w:val="24"/>
          <w:highlight w:val="none"/>
        </w:rPr>
        <w:t xml:space="preserve">    </w:t>
      </w:r>
      <w:bookmarkStart w:id="118" w:name="_Toc11497"/>
      <w:bookmarkStart w:id="119" w:name="_Toc8626"/>
      <w:bookmarkStart w:id="120" w:name="_Toc32144"/>
      <w:bookmarkStart w:id="121" w:name="_Toc30820"/>
      <w:r>
        <w:rPr>
          <w:rFonts w:hint="eastAsia" w:ascii="仿宋" w:hAnsi="仿宋" w:eastAsia="仿宋" w:cs="仿宋"/>
          <w:b/>
          <w:bCs/>
          <w:color w:val="auto"/>
          <w:kern w:val="44"/>
          <w:sz w:val="24"/>
          <w:szCs w:val="24"/>
          <w:highlight w:val="none"/>
        </w:rPr>
        <w:t>投标文件的式样和签署、密封</w:t>
      </w:r>
      <w:bookmarkEnd w:id="117"/>
      <w:bookmarkEnd w:id="118"/>
      <w:bookmarkEnd w:id="119"/>
      <w:bookmarkEnd w:id="120"/>
      <w:bookmarkEnd w:id="121"/>
    </w:p>
    <w:p w14:paraId="640F18C7">
      <w:pPr>
        <w:numPr>
          <w:ilvl w:val="1"/>
          <w:numId w:val="22"/>
        </w:numPr>
        <w:spacing w:line="360" w:lineRule="auto"/>
        <w:rPr>
          <w:rFonts w:hint="eastAsia" w:ascii="仿宋" w:hAnsi="仿宋" w:eastAsia="仿宋" w:cs="仿宋"/>
          <w:sz w:val="24"/>
          <w:szCs w:val="24"/>
          <w:highlight w:val="none"/>
        </w:rPr>
      </w:pPr>
      <w:bookmarkStart w:id="122" w:name="_Toc22727"/>
      <w:r>
        <w:rPr>
          <w:rFonts w:hint="eastAsia" w:ascii="仿宋" w:hAnsi="仿宋" w:eastAsia="仿宋" w:cs="仿宋"/>
          <w:color w:val="000000"/>
          <w:sz w:val="24"/>
          <w:szCs w:val="24"/>
          <w:highlight w:val="none"/>
        </w:rPr>
        <w:t>投标人应根据投标人须知前附表规定提交投标文件</w:t>
      </w:r>
    </w:p>
    <w:p w14:paraId="203F37A3">
      <w:pPr>
        <w:numPr>
          <w:ilvl w:val="1"/>
          <w:numId w:val="22"/>
        </w:num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投标人应根据投标人须知前附表规定提交投标文件。</w:t>
      </w:r>
      <w:r>
        <w:rPr>
          <w:rFonts w:hint="eastAsia" w:ascii="仿宋" w:hAnsi="仿宋" w:eastAsia="仿宋" w:cs="仿宋"/>
          <w:kern w:val="0"/>
          <w:sz w:val="24"/>
          <w:szCs w:val="24"/>
          <w:highlight w:val="none"/>
        </w:rPr>
        <w:t>为了保证电子标书的合法性、安全性和完整性，电子投标文件应在规定区域加盖单位和法定代表人CA印章。电子投标文件若无 CA电子签章，则视为无效文件。</w:t>
      </w:r>
    </w:p>
    <w:p w14:paraId="3A9588B9">
      <w:pPr>
        <w:numPr>
          <w:ilvl w:val="1"/>
          <w:numId w:val="22"/>
        </w:num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电子投标文件的内容通过数字证书进行加密并签章。未按要求加密和数字证书认证的投标文件，电子评标系统将无法接受,采购单位不予受理。</w:t>
      </w:r>
    </w:p>
    <w:p w14:paraId="4CF10B46">
      <w:pPr>
        <w:pStyle w:val="2"/>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四、投标文件的递交</w:t>
      </w:r>
      <w:bookmarkEnd w:id="122"/>
    </w:p>
    <w:p w14:paraId="1330D60E">
      <w:pPr>
        <w:keepNext/>
        <w:keepLines/>
        <w:numPr>
          <w:ilvl w:val="0"/>
          <w:numId w:val="7"/>
        </w:numPr>
        <w:tabs>
          <w:tab w:val="left" w:pos="900"/>
        </w:tabs>
        <w:spacing w:line="360" w:lineRule="auto"/>
        <w:ind w:left="924" w:hanging="924"/>
        <w:outlineLvl w:val="0"/>
        <w:rPr>
          <w:rFonts w:hint="eastAsia" w:ascii="仿宋" w:hAnsi="仿宋" w:eastAsia="仿宋" w:cs="仿宋"/>
          <w:b/>
          <w:color w:val="auto"/>
          <w:kern w:val="44"/>
          <w:sz w:val="24"/>
          <w:szCs w:val="24"/>
          <w:highlight w:val="none"/>
        </w:rPr>
      </w:pPr>
      <w:bookmarkStart w:id="123" w:name="_Toc55778697"/>
      <w:r>
        <w:rPr>
          <w:rFonts w:hint="eastAsia" w:ascii="仿宋" w:hAnsi="仿宋" w:eastAsia="仿宋" w:cs="仿宋"/>
          <w:b/>
          <w:color w:val="auto"/>
          <w:kern w:val="44"/>
          <w:sz w:val="24"/>
          <w:szCs w:val="24"/>
          <w:highlight w:val="none"/>
        </w:rPr>
        <w:t xml:space="preserve">    </w:t>
      </w:r>
      <w:bookmarkStart w:id="124" w:name="_Toc5633"/>
      <w:bookmarkStart w:id="125" w:name="_Toc2542"/>
      <w:bookmarkStart w:id="126" w:name="_Toc8124"/>
      <w:bookmarkStart w:id="127" w:name="_Toc24917"/>
      <w:r>
        <w:rPr>
          <w:rFonts w:hint="eastAsia" w:ascii="仿宋" w:hAnsi="仿宋" w:eastAsia="仿宋" w:cs="仿宋"/>
          <w:b/>
          <w:color w:val="auto"/>
          <w:kern w:val="44"/>
          <w:sz w:val="24"/>
          <w:szCs w:val="24"/>
          <w:highlight w:val="none"/>
        </w:rPr>
        <w:t>投标文件递交</w:t>
      </w:r>
      <w:bookmarkEnd w:id="123"/>
      <w:bookmarkEnd w:id="124"/>
      <w:bookmarkEnd w:id="125"/>
      <w:bookmarkEnd w:id="126"/>
      <w:bookmarkEnd w:id="127"/>
    </w:p>
    <w:p w14:paraId="0A4BFAF6">
      <w:pPr>
        <w:numPr>
          <w:ilvl w:val="1"/>
          <w:numId w:val="23"/>
        </w:numPr>
        <w:spacing w:line="360" w:lineRule="auto"/>
        <w:rPr>
          <w:rFonts w:hint="eastAsia" w:ascii="仿宋" w:hAnsi="仿宋" w:eastAsia="仿宋" w:cs="仿宋"/>
          <w:color w:val="auto"/>
          <w:sz w:val="24"/>
          <w:szCs w:val="24"/>
          <w:highlight w:val="none"/>
        </w:rPr>
      </w:pPr>
      <w:bookmarkStart w:id="128" w:name="_Toc55778698"/>
      <w:bookmarkStart w:id="129" w:name="_Toc20929"/>
      <w:r>
        <w:rPr>
          <w:rFonts w:hint="eastAsia" w:ascii="仿宋" w:hAnsi="仿宋" w:eastAsia="仿宋" w:cs="仿宋"/>
          <w:color w:val="auto"/>
          <w:sz w:val="24"/>
          <w:szCs w:val="24"/>
          <w:highlight w:val="none"/>
        </w:rPr>
        <w:t>本项目采用不见面开标、投标人需要递交电子</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文件，加密的电子</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文件，在投标截止时间前通过政采云平台上传到指定位置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无需递交纸质文件。</w:t>
      </w:r>
    </w:p>
    <w:p w14:paraId="4AC51BC3">
      <w:pPr>
        <w:keepNext/>
        <w:keepLines/>
        <w:numPr>
          <w:ilvl w:val="0"/>
          <w:numId w:val="7"/>
        </w:numPr>
        <w:tabs>
          <w:tab w:val="left" w:pos="900"/>
        </w:tabs>
        <w:spacing w:line="360" w:lineRule="auto"/>
        <w:ind w:left="924" w:hanging="924"/>
        <w:outlineLvl w:val="0"/>
        <w:rPr>
          <w:rFonts w:hint="eastAsia" w:ascii="仿宋" w:hAnsi="仿宋" w:eastAsia="仿宋" w:cs="仿宋"/>
          <w:b/>
          <w:color w:val="auto"/>
          <w:kern w:val="44"/>
          <w:sz w:val="24"/>
          <w:szCs w:val="24"/>
          <w:highlight w:val="none"/>
        </w:rPr>
      </w:pPr>
      <w:r>
        <w:rPr>
          <w:rFonts w:hint="eastAsia" w:ascii="仿宋" w:hAnsi="仿宋" w:eastAsia="仿宋" w:cs="仿宋"/>
          <w:b/>
          <w:color w:val="auto"/>
          <w:kern w:val="44"/>
          <w:sz w:val="24"/>
          <w:szCs w:val="24"/>
          <w:highlight w:val="none"/>
        </w:rPr>
        <w:t xml:space="preserve">    </w:t>
      </w:r>
      <w:bookmarkStart w:id="130" w:name="_Toc20702"/>
      <w:bookmarkStart w:id="131" w:name="_Toc28446"/>
      <w:bookmarkStart w:id="132" w:name="_Toc4909"/>
      <w:bookmarkStart w:id="133" w:name="_Toc12495"/>
      <w:r>
        <w:rPr>
          <w:rFonts w:hint="eastAsia" w:ascii="仿宋" w:hAnsi="仿宋" w:eastAsia="仿宋" w:cs="仿宋"/>
          <w:b/>
          <w:color w:val="auto"/>
          <w:kern w:val="44"/>
          <w:sz w:val="24"/>
          <w:szCs w:val="24"/>
          <w:highlight w:val="none"/>
        </w:rPr>
        <w:t>投标截止时间</w:t>
      </w:r>
      <w:bookmarkEnd w:id="128"/>
      <w:bookmarkEnd w:id="130"/>
      <w:bookmarkEnd w:id="131"/>
      <w:bookmarkEnd w:id="132"/>
      <w:bookmarkEnd w:id="133"/>
    </w:p>
    <w:p w14:paraId="5277E0A2">
      <w:pPr>
        <w:keepNext/>
        <w:keepLines/>
        <w:numPr>
          <w:ilvl w:val="0"/>
          <w:numId w:val="24"/>
        </w:numPr>
        <w:tabs>
          <w:tab w:val="left" w:pos="900"/>
          <w:tab w:val="clear" w:pos="907"/>
        </w:tabs>
        <w:spacing w:line="360" w:lineRule="auto"/>
        <w:outlineLvl w:val="0"/>
        <w:rPr>
          <w:rFonts w:hint="eastAsia" w:ascii="仿宋" w:hAnsi="仿宋" w:eastAsia="仿宋" w:cs="仿宋"/>
          <w:color w:val="auto"/>
          <w:kern w:val="44"/>
          <w:sz w:val="24"/>
          <w:szCs w:val="24"/>
          <w:highlight w:val="none"/>
        </w:rPr>
      </w:pPr>
      <w:bookmarkStart w:id="134" w:name="_Toc30090"/>
      <w:bookmarkStart w:id="135" w:name="_Toc18539"/>
      <w:bookmarkStart w:id="136" w:name="_Toc10314"/>
      <w:bookmarkStart w:id="137" w:name="_Toc5154"/>
      <w:bookmarkStart w:id="138" w:name="_Toc55778699"/>
      <w:r>
        <w:rPr>
          <w:rFonts w:hint="eastAsia" w:ascii="仿宋" w:hAnsi="仿宋" w:eastAsia="仿宋" w:cs="仿宋"/>
          <w:color w:val="auto"/>
          <w:kern w:val="44"/>
          <w:sz w:val="24"/>
          <w:szCs w:val="24"/>
          <w:highlight w:val="none"/>
        </w:rPr>
        <w:t>本次招标的投标截止时间见第二章《投标须知前附表》的规定。</w:t>
      </w:r>
      <w:bookmarkEnd w:id="134"/>
      <w:bookmarkEnd w:id="135"/>
      <w:bookmarkEnd w:id="136"/>
      <w:bookmarkEnd w:id="137"/>
      <w:bookmarkEnd w:id="138"/>
    </w:p>
    <w:p w14:paraId="6322FF99">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39" w:name="_Toc55778700"/>
      <w:r>
        <w:rPr>
          <w:rFonts w:hint="eastAsia" w:ascii="仿宋" w:hAnsi="仿宋" w:eastAsia="仿宋" w:cs="仿宋"/>
          <w:b/>
          <w:color w:val="auto"/>
          <w:kern w:val="44"/>
          <w:sz w:val="24"/>
          <w:szCs w:val="24"/>
          <w:highlight w:val="none"/>
        </w:rPr>
        <w:t xml:space="preserve">    </w:t>
      </w:r>
      <w:bookmarkStart w:id="140" w:name="_Toc1876"/>
      <w:bookmarkStart w:id="141" w:name="_Toc28929"/>
      <w:bookmarkStart w:id="142" w:name="_Toc9155"/>
      <w:bookmarkStart w:id="143" w:name="_Toc2461"/>
      <w:r>
        <w:rPr>
          <w:rFonts w:hint="eastAsia" w:ascii="仿宋" w:hAnsi="仿宋" w:eastAsia="仿宋" w:cs="仿宋"/>
          <w:b/>
          <w:color w:val="auto"/>
          <w:kern w:val="44"/>
          <w:sz w:val="24"/>
          <w:szCs w:val="24"/>
          <w:highlight w:val="none"/>
        </w:rPr>
        <w:t>迟交的投标文件</w:t>
      </w:r>
      <w:bookmarkEnd w:id="139"/>
      <w:bookmarkEnd w:id="140"/>
      <w:bookmarkEnd w:id="141"/>
      <w:bookmarkEnd w:id="142"/>
      <w:bookmarkEnd w:id="143"/>
    </w:p>
    <w:p w14:paraId="7C050B99">
      <w:pPr>
        <w:keepNext/>
        <w:keepLines/>
        <w:numPr>
          <w:ilvl w:val="0"/>
          <w:numId w:val="25"/>
        </w:numPr>
        <w:tabs>
          <w:tab w:val="left" w:pos="900"/>
          <w:tab w:val="clear" w:pos="907"/>
        </w:tabs>
        <w:spacing w:line="360" w:lineRule="auto"/>
        <w:outlineLvl w:val="0"/>
        <w:rPr>
          <w:rFonts w:hint="eastAsia" w:ascii="仿宋" w:hAnsi="仿宋" w:eastAsia="仿宋" w:cs="仿宋"/>
          <w:color w:val="auto"/>
          <w:kern w:val="44"/>
          <w:sz w:val="24"/>
          <w:szCs w:val="24"/>
          <w:highlight w:val="none"/>
        </w:rPr>
      </w:pPr>
      <w:bookmarkStart w:id="144" w:name="_Toc7900"/>
      <w:bookmarkStart w:id="145" w:name="_Toc13418"/>
      <w:bookmarkStart w:id="146" w:name="_Toc94"/>
      <w:bookmarkStart w:id="147" w:name="_Toc55778701"/>
      <w:bookmarkStart w:id="148" w:name="_Toc24301"/>
      <w:r>
        <w:rPr>
          <w:rFonts w:hint="eastAsia" w:ascii="仿宋" w:hAnsi="仿宋" w:eastAsia="仿宋" w:cs="仿宋"/>
          <w:color w:val="auto"/>
          <w:kern w:val="44"/>
          <w:sz w:val="24"/>
          <w:szCs w:val="24"/>
          <w:highlight w:val="none"/>
        </w:rPr>
        <w:t>采购代理机构将拒绝并原封退回在其规定的投标截止时刻后收到的任何投标文件（包括相关的原件资料）。</w:t>
      </w:r>
      <w:bookmarkEnd w:id="144"/>
      <w:bookmarkEnd w:id="145"/>
      <w:bookmarkEnd w:id="146"/>
      <w:bookmarkEnd w:id="147"/>
      <w:bookmarkEnd w:id="148"/>
    </w:p>
    <w:p w14:paraId="450BD8FF">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49" w:name="_Toc55778702"/>
      <w:r>
        <w:rPr>
          <w:rFonts w:hint="eastAsia" w:ascii="仿宋" w:hAnsi="仿宋" w:eastAsia="仿宋" w:cs="仿宋"/>
          <w:b/>
          <w:bCs/>
          <w:color w:val="auto"/>
          <w:kern w:val="44"/>
          <w:sz w:val="24"/>
          <w:szCs w:val="24"/>
          <w:highlight w:val="none"/>
        </w:rPr>
        <w:t xml:space="preserve">    </w:t>
      </w:r>
      <w:bookmarkStart w:id="150" w:name="_Toc27265"/>
      <w:bookmarkStart w:id="151" w:name="_Toc19255"/>
      <w:bookmarkStart w:id="152" w:name="_Toc10185"/>
      <w:bookmarkStart w:id="153" w:name="_Toc21101"/>
      <w:r>
        <w:rPr>
          <w:rFonts w:hint="eastAsia" w:ascii="仿宋" w:hAnsi="仿宋" w:eastAsia="仿宋" w:cs="仿宋"/>
          <w:b/>
          <w:bCs/>
          <w:color w:val="auto"/>
          <w:kern w:val="44"/>
          <w:sz w:val="24"/>
          <w:szCs w:val="24"/>
          <w:highlight w:val="none"/>
        </w:rPr>
        <w:t>投</w:t>
      </w:r>
      <w:bookmarkEnd w:id="129"/>
      <w:r>
        <w:rPr>
          <w:rFonts w:hint="eastAsia" w:ascii="仿宋" w:hAnsi="仿宋" w:eastAsia="仿宋" w:cs="仿宋"/>
          <w:b/>
          <w:bCs/>
          <w:color w:val="auto"/>
          <w:kern w:val="44"/>
          <w:sz w:val="24"/>
          <w:szCs w:val="24"/>
          <w:highlight w:val="none"/>
        </w:rPr>
        <w:t>标文件的修改和撤回、撤销</w:t>
      </w:r>
      <w:bookmarkEnd w:id="149"/>
      <w:bookmarkEnd w:id="150"/>
      <w:bookmarkEnd w:id="151"/>
      <w:bookmarkEnd w:id="152"/>
      <w:bookmarkEnd w:id="153"/>
    </w:p>
    <w:p w14:paraId="48B41BF7">
      <w:pPr>
        <w:numPr>
          <w:ilvl w:val="1"/>
          <w:numId w:val="2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在投标截止时间前，可以对所递交的投标文件进行补充、修改或者撤回，并书面通知采购代理机构。补充、修改的内容应当按招标文件要求签署、盖章、密封后，并作为投标文件的组成部分。在投标截止时间之后，投标人不得对其投标文件做任何修改和补充。</w:t>
      </w:r>
    </w:p>
    <w:p w14:paraId="34560500">
      <w:pPr>
        <w:numPr>
          <w:ilvl w:val="1"/>
          <w:numId w:val="2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除非招标文件另有规定或说明，投标人所提交的投标文件在评标结束后，无论中标与否都不退还。</w:t>
      </w:r>
    </w:p>
    <w:p w14:paraId="760336B1">
      <w:pPr>
        <w:numPr>
          <w:ilvl w:val="1"/>
          <w:numId w:val="2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投标截止后，投标人不得撤销其投标，否则其投标保证金将按照本须知规定被没收。</w:t>
      </w:r>
    </w:p>
    <w:p w14:paraId="219F15FC">
      <w:pPr>
        <w:keepNext/>
        <w:keepLines/>
        <w:spacing w:line="360" w:lineRule="auto"/>
        <w:jc w:val="center"/>
        <w:outlineLvl w:val="1"/>
        <w:rPr>
          <w:rFonts w:hint="eastAsia" w:ascii="仿宋" w:hAnsi="仿宋" w:eastAsia="仿宋" w:cs="仿宋"/>
          <w:b/>
          <w:bCs/>
          <w:color w:val="auto"/>
          <w:sz w:val="24"/>
          <w:szCs w:val="24"/>
          <w:highlight w:val="none"/>
        </w:rPr>
      </w:pPr>
      <w:bookmarkStart w:id="154" w:name="_Toc55778703"/>
      <w:bookmarkStart w:id="155" w:name="_Toc14523"/>
      <w:bookmarkStart w:id="156" w:name="_Toc30087"/>
      <w:r>
        <w:rPr>
          <w:rFonts w:hint="eastAsia" w:ascii="仿宋" w:hAnsi="仿宋" w:eastAsia="仿宋" w:cs="仿宋"/>
          <w:b/>
          <w:bCs/>
          <w:color w:val="auto"/>
          <w:sz w:val="24"/>
          <w:szCs w:val="24"/>
          <w:highlight w:val="none"/>
        </w:rPr>
        <w:t>五、开标与评标</w:t>
      </w:r>
      <w:bookmarkEnd w:id="154"/>
      <w:bookmarkEnd w:id="155"/>
      <w:bookmarkEnd w:id="156"/>
    </w:p>
    <w:p w14:paraId="1D0CC359">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57" w:name="_Toc55778704"/>
      <w:bookmarkStart w:id="158" w:name="_Toc21732"/>
      <w:r>
        <w:rPr>
          <w:rFonts w:hint="eastAsia" w:ascii="仿宋" w:hAnsi="仿宋" w:eastAsia="仿宋" w:cs="仿宋"/>
          <w:b/>
          <w:bCs/>
          <w:color w:val="auto"/>
          <w:kern w:val="44"/>
          <w:sz w:val="24"/>
          <w:szCs w:val="24"/>
          <w:highlight w:val="none"/>
        </w:rPr>
        <w:t xml:space="preserve">    </w:t>
      </w:r>
      <w:bookmarkStart w:id="159" w:name="_Toc19246"/>
      <w:bookmarkStart w:id="160" w:name="_Toc4602"/>
      <w:bookmarkStart w:id="161" w:name="_Toc26238"/>
      <w:bookmarkStart w:id="162" w:name="_Toc930"/>
      <w:r>
        <w:rPr>
          <w:rFonts w:hint="eastAsia" w:ascii="仿宋" w:hAnsi="仿宋" w:eastAsia="仿宋" w:cs="仿宋"/>
          <w:b/>
          <w:bCs/>
          <w:color w:val="auto"/>
          <w:kern w:val="44"/>
          <w:sz w:val="24"/>
          <w:szCs w:val="24"/>
          <w:highlight w:val="none"/>
        </w:rPr>
        <w:t>开标</w:t>
      </w:r>
      <w:bookmarkEnd w:id="157"/>
      <w:bookmarkEnd w:id="158"/>
      <w:bookmarkEnd w:id="159"/>
      <w:bookmarkEnd w:id="160"/>
      <w:bookmarkEnd w:id="161"/>
      <w:bookmarkEnd w:id="162"/>
    </w:p>
    <w:p w14:paraId="5EC41698">
      <w:pPr>
        <w:numPr>
          <w:ilvl w:val="0"/>
          <w:numId w:val="27"/>
        </w:numPr>
        <w:spacing w:line="360" w:lineRule="auto"/>
        <w:rPr>
          <w:rFonts w:hint="eastAsia" w:ascii="仿宋" w:hAnsi="仿宋" w:eastAsia="仿宋" w:cs="仿宋"/>
          <w:vanish/>
          <w:color w:val="auto"/>
          <w:sz w:val="24"/>
          <w:szCs w:val="24"/>
          <w:highlight w:val="none"/>
        </w:rPr>
      </w:pPr>
    </w:p>
    <w:p w14:paraId="13D5B236">
      <w:pPr>
        <w:numPr>
          <w:ilvl w:val="1"/>
          <w:numId w:val="27"/>
        </w:numPr>
        <w:spacing w:line="360" w:lineRule="auto"/>
        <w:rPr>
          <w:rFonts w:hint="eastAsia" w:ascii="仿宋" w:hAnsi="仿宋" w:eastAsia="仿宋" w:cs="仿宋"/>
          <w:color w:val="auto"/>
          <w:sz w:val="24"/>
          <w:szCs w:val="24"/>
          <w:highlight w:val="none"/>
        </w:rPr>
      </w:pPr>
      <w:bookmarkStart w:id="163" w:name="_Toc55778705"/>
      <w:bookmarkStart w:id="164" w:name="_Toc17344"/>
      <w:r>
        <w:rPr>
          <w:rFonts w:hint="eastAsia" w:ascii="仿宋" w:hAnsi="仿宋" w:eastAsia="仿宋" w:cs="仿宋"/>
          <w:color w:val="auto"/>
          <w:sz w:val="24"/>
          <w:szCs w:val="24"/>
          <w:highlight w:val="none"/>
        </w:rPr>
        <w:t>采购人或采购代理机构在投标人须知前附表规定的开标时间和开标地点组织公开开标，邀请投标人参加。评标委员会成员不得参加开标活动。投标人不足3家的，不得开标。</w:t>
      </w:r>
    </w:p>
    <w:p w14:paraId="246C1808">
      <w:pPr>
        <w:numPr>
          <w:ilvl w:val="1"/>
          <w:numId w:val="27"/>
        </w:numPr>
        <w:spacing w:line="360" w:lineRule="auto"/>
        <w:rPr>
          <w:rFonts w:hint="eastAsia" w:ascii="仿宋" w:hAnsi="仿宋" w:eastAsia="仿宋" w:cs="仿宋"/>
          <w:color w:val="auto"/>
          <w:sz w:val="24"/>
          <w:szCs w:val="24"/>
          <w:highlight w:val="none"/>
        </w:rPr>
      </w:pPr>
      <w:r>
        <w:rPr>
          <w:rFonts w:hint="eastAsia" w:ascii="仿宋" w:hAnsi="仿宋" w:eastAsia="仿宋" w:cs="仿宋"/>
          <w:b w:val="0"/>
          <w:bCs/>
          <w:i w:val="0"/>
          <w:caps w:val="0"/>
          <w:color w:val="000000"/>
          <w:spacing w:val="0"/>
          <w:kern w:val="0"/>
          <w:sz w:val="24"/>
          <w:szCs w:val="24"/>
          <w:highlight w:val="none"/>
          <w:lang w:val="en-US" w:eastAsia="zh-CN" w:bidi="ar"/>
        </w:rPr>
        <w:t>投标文件以电子形式递交至: 新疆政采云平台；投标人应于投标截止时间</w:t>
      </w:r>
      <w:r>
        <w:rPr>
          <w:rFonts w:hint="eastAsia" w:ascii="仿宋" w:hAnsi="仿宋" w:eastAsia="仿宋" w:cs="仿宋"/>
          <w:b w:val="0"/>
          <w:bCs/>
          <w:i w:val="0"/>
          <w:caps w:val="0"/>
          <w:color w:val="auto"/>
          <w:spacing w:val="0"/>
          <w:kern w:val="0"/>
          <w:sz w:val="24"/>
          <w:szCs w:val="24"/>
          <w:highlight w:val="none"/>
          <w:lang w:val="en-US" w:eastAsia="zh-CN" w:bidi="ar"/>
        </w:rPr>
        <w:t>之</w:t>
      </w:r>
      <w:r>
        <w:rPr>
          <w:rFonts w:hint="eastAsia" w:ascii="仿宋" w:hAnsi="仿宋" w:eastAsia="仿宋" w:cs="仿宋"/>
          <w:b w:val="0"/>
          <w:bCs/>
          <w:i w:val="0"/>
          <w:caps w:val="0"/>
          <w:color w:val="000000"/>
          <w:spacing w:val="0"/>
          <w:kern w:val="0"/>
          <w:sz w:val="24"/>
          <w:szCs w:val="24"/>
          <w:highlight w:val="none"/>
          <w:lang w:val="en-US" w:eastAsia="zh-CN" w:bidi="ar"/>
        </w:rPr>
        <w:t>前将电子投标文件上传到“政采云”平台。开标时间后30分钟内供应商登录“政采云”平台，用“项目采购-开标评标”功能进行解密投标文件。若供应商在规定时间内未按时解密的，视为无效投标。(解密时间开始时政采云平台将以短信形式向供应商在政采云平台预留的手机号发送短信通知，请供应商及时关注。)</w:t>
      </w:r>
    </w:p>
    <w:p w14:paraId="7E22EC15">
      <w:pPr>
        <w:numPr>
          <w:ilvl w:val="1"/>
          <w:numId w:val="2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解密成功后</w:t>
      </w:r>
      <w:r>
        <w:rPr>
          <w:rFonts w:hint="eastAsia" w:ascii="仿宋" w:hAnsi="仿宋" w:eastAsia="仿宋" w:cs="仿宋"/>
          <w:color w:val="auto"/>
          <w:sz w:val="24"/>
          <w:szCs w:val="24"/>
          <w:highlight w:val="none"/>
        </w:rPr>
        <w:t>由采购人或者采购代理机构工作人员</w:t>
      </w:r>
      <w:r>
        <w:rPr>
          <w:rFonts w:hint="eastAsia" w:ascii="仿宋" w:hAnsi="仿宋" w:eastAsia="仿宋" w:cs="仿宋"/>
          <w:color w:val="auto"/>
          <w:sz w:val="24"/>
          <w:szCs w:val="24"/>
          <w:highlight w:val="none"/>
          <w:lang w:val="en-US" w:eastAsia="zh-CN"/>
        </w:rPr>
        <w:t>唱电子标</w:t>
      </w:r>
      <w:r>
        <w:rPr>
          <w:rFonts w:hint="eastAsia" w:ascii="仿宋" w:hAnsi="仿宋" w:eastAsia="仿宋" w:cs="仿宋"/>
          <w:color w:val="auto"/>
          <w:sz w:val="24"/>
          <w:szCs w:val="24"/>
          <w:highlight w:val="none"/>
        </w:rPr>
        <w:t>，宣布投标人名称、投标价格和招标文件规定的需要宣布的其他内容。</w:t>
      </w:r>
    </w:p>
    <w:p w14:paraId="5705E99A">
      <w:pPr>
        <w:numPr>
          <w:ilvl w:val="1"/>
          <w:numId w:val="2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开标过程应当由采购人或者采购代理机构负责记录，由参加开标的各投标人代表和相关工作人员签字确认。</w:t>
      </w:r>
    </w:p>
    <w:p w14:paraId="06738CE4">
      <w:pPr>
        <w:numPr>
          <w:ilvl w:val="1"/>
          <w:numId w:val="27"/>
        </w:numPr>
        <w:spacing w:line="360" w:lineRule="auto"/>
        <w:rPr>
          <w:rFonts w:hint="eastAsia" w:ascii="仿宋" w:hAnsi="仿宋" w:eastAsia="仿宋" w:cs="仿宋"/>
          <w:b/>
          <w:bCs/>
          <w:color w:val="auto"/>
          <w:kern w:val="44"/>
          <w:sz w:val="24"/>
          <w:szCs w:val="24"/>
          <w:highlight w:val="none"/>
        </w:rPr>
      </w:pPr>
      <w:r>
        <w:rPr>
          <w:rFonts w:hint="eastAsia" w:ascii="仿宋" w:hAnsi="仿宋" w:eastAsia="仿宋" w:cs="仿宋"/>
          <w:color w:val="auto"/>
          <w:sz w:val="24"/>
          <w:szCs w:val="24"/>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098FCFF0">
      <w:pPr>
        <w:numPr>
          <w:ilvl w:val="1"/>
          <w:numId w:val="27"/>
        </w:numPr>
        <w:spacing w:line="360" w:lineRule="auto"/>
        <w:rPr>
          <w:rFonts w:hint="eastAsia" w:ascii="仿宋" w:hAnsi="仿宋" w:eastAsia="仿宋" w:cs="仿宋"/>
          <w:b/>
          <w:bCs/>
          <w:color w:val="auto"/>
          <w:kern w:val="44"/>
          <w:sz w:val="24"/>
          <w:szCs w:val="24"/>
          <w:highlight w:val="none"/>
        </w:rPr>
      </w:pPr>
      <w:r>
        <w:rPr>
          <w:rFonts w:hint="eastAsia" w:ascii="仿宋" w:hAnsi="仿宋" w:eastAsia="仿宋" w:cs="仿宋"/>
          <w:color w:val="auto"/>
          <w:sz w:val="24"/>
          <w:szCs w:val="24"/>
          <w:highlight w:val="none"/>
        </w:rPr>
        <w:t>投标人未参加开标的，视同认可开标结果。</w:t>
      </w:r>
      <w:r>
        <w:rPr>
          <w:rFonts w:hint="eastAsia" w:ascii="仿宋" w:hAnsi="仿宋" w:eastAsia="仿宋" w:cs="仿宋"/>
          <w:b/>
          <w:color w:val="auto"/>
          <w:kern w:val="44"/>
          <w:sz w:val="24"/>
          <w:szCs w:val="24"/>
          <w:highlight w:val="none"/>
        </w:rPr>
        <w:t xml:space="preserve">    </w:t>
      </w:r>
      <w:bookmarkStart w:id="165" w:name="_Toc1994"/>
      <w:bookmarkStart w:id="166" w:name="_Toc10826"/>
      <w:bookmarkStart w:id="167" w:name="_Toc11631"/>
      <w:bookmarkStart w:id="168" w:name="_Toc24182"/>
    </w:p>
    <w:p w14:paraId="09E1BB5C">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r>
        <w:rPr>
          <w:rFonts w:hint="eastAsia" w:ascii="仿宋" w:hAnsi="仿宋" w:eastAsia="仿宋" w:cs="仿宋"/>
          <w:b/>
          <w:color w:val="auto"/>
          <w:kern w:val="44"/>
          <w:sz w:val="24"/>
          <w:szCs w:val="24"/>
          <w:highlight w:val="none"/>
        </w:rPr>
        <w:t>公开招标失败后的处理</w:t>
      </w:r>
      <w:bookmarkEnd w:id="163"/>
      <w:bookmarkEnd w:id="165"/>
      <w:bookmarkEnd w:id="166"/>
      <w:bookmarkEnd w:id="167"/>
      <w:bookmarkEnd w:id="168"/>
    </w:p>
    <w:p w14:paraId="79B94D64">
      <w:pPr>
        <w:numPr>
          <w:ilvl w:val="1"/>
          <w:numId w:val="2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如果开标当天，投标截止后投标人不足3家或者通过资格审查或符合性审查的投标人不足3家的，除特殊情况外，本项目作废标处理。废标后，除采购任务取消情形外，按照以下方式处理：</w:t>
      </w:r>
    </w:p>
    <w:p w14:paraId="1269A1CC">
      <w:pPr>
        <w:numPr>
          <w:ilvl w:val="0"/>
          <w:numId w:val="2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招标文件存在不合理条款或者招标程序不符合规定的，采购人、采购代理机构改正后依法重新招标。</w:t>
      </w:r>
    </w:p>
    <w:p w14:paraId="23C99345">
      <w:pPr>
        <w:numPr>
          <w:ilvl w:val="0"/>
          <w:numId w:val="2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招标文件没有不合理条款、招标程序符合规定，采购人需要采用其他采购方式采购的，经财政部门同意后可依法转换采购方式进行。</w:t>
      </w:r>
    </w:p>
    <w:p w14:paraId="738302DC">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69" w:name="_Toc55778706"/>
      <w:r>
        <w:rPr>
          <w:rFonts w:hint="eastAsia" w:ascii="仿宋" w:hAnsi="仿宋" w:eastAsia="仿宋" w:cs="仿宋"/>
          <w:b/>
          <w:bCs/>
          <w:color w:val="auto"/>
          <w:kern w:val="44"/>
          <w:sz w:val="24"/>
          <w:szCs w:val="24"/>
          <w:highlight w:val="none"/>
        </w:rPr>
        <w:t xml:space="preserve">    </w:t>
      </w:r>
      <w:bookmarkStart w:id="170" w:name="_Toc22191"/>
      <w:r>
        <w:rPr>
          <w:rFonts w:hint="eastAsia" w:ascii="仿宋" w:hAnsi="仿宋" w:eastAsia="仿宋" w:cs="仿宋"/>
          <w:b/>
          <w:bCs/>
          <w:color w:val="auto"/>
          <w:kern w:val="44"/>
          <w:sz w:val="24"/>
          <w:szCs w:val="24"/>
          <w:highlight w:val="none"/>
        </w:rPr>
        <w:t>评标小组</w:t>
      </w:r>
      <w:bookmarkEnd w:id="164"/>
      <w:bookmarkEnd w:id="169"/>
      <w:bookmarkEnd w:id="170"/>
    </w:p>
    <w:p w14:paraId="19EE9722">
      <w:pPr>
        <w:numPr>
          <w:ilvl w:val="1"/>
          <w:numId w:val="30"/>
        </w:numPr>
        <w:spacing w:line="360" w:lineRule="auto"/>
        <w:rPr>
          <w:rFonts w:hint="eastAsia" w:ascii="仿宋" w:hAnsi="仿宋" w:eastAsia="仿宋" w:cs="仿宋"/>
          <w:color w:val="auto"/>
          <w:sz w:val="24"/>
          <w:szCs w:val="24"/>
          <w:highlight w:val="none"/>
        </w:rPr>
      </w:pPr>
      <w:bookmarkStart w:id="171" w:name="_Ref179621079"/>
      <w:r>
        <w:rPr>
          <w:rFonts w:hint="eastAsia" w:ascii="仿宋" w:hAnsi="仿宋" w:eastAsia="仿宋" w:cs="仿宋"/>
          <w:color w:val="auto"/>
          <w:sz w:val="24"/>
          <w:szCs w:val="24"/>
          <w:highlight w:val="none"/>
        </w:rPr>
        <w:t>本次招标依《中华人民共和国政府采购法》、实施条例及有关法律法规组建评标小组，评标小组由采购人代表和有关技术、经济等方面的专家组成，采购人代表人数、专家人数及专业构成按政府采购规定确定。评标小组成员依法从</w:t>
      </w:r>
      <w:r>
        <w:rPr>
          <w:rFonts w:hint="eastAsia" w:ascii="仿宋" w:hAnsi="仿宋" w:eastAsia="仿宋" w:cs="仿宋"/>
          <w:b/>
          <w:bCs/>
          <w:color w:val="auto"/>
          <w:sz w:val="24"/>
          <w:szCs w:val="24"/>
          <w:highlight w:val="none"/>
          <w:u w:val="single"/>
          <w:lang w:eastAsia="zh-CN"/>
        </w:rPr>
        <w:t>新疆政采云平台</w:t>
      </w:r>
      <w:r>
        <w:rPr>
          <w:rFonts w:hint="eastAsia" w:ascii="仿宋" w:hAnsi="仿宋" w:eastAsia="仿宋" w:cs="仿宋"/>
          <w:color w:val="auto"/>
          <w:sz w:val="24"/>
          <w:szCs w:val="24"/>
          <w:highlight w:val="none"/>
        </w:rPr>
        <w:t>评审专家库中随机抽取产生。对技术复杂、专业性强的采购项目，通过随机方式难以确定合适评审专家的，经主管预算单位同意，采购人可以自行选定相应专业领域的评审专家。</w:t>
      </w:r>
    </w:p>
    <w:p w14:paraId="60D0821C">
      <w:pPr>
        <w:numPr>
          <w:ilvl w:val="1"/>
          <w:numId w:val="3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评标小组应当按照招标文件中规定的评标方法和标准，对符合性审查合格的投标文件进行商务和技术评估，综合比较与评价，提交评标报告并推荐中标候选人。</w:t>
      </w:r>
    </w:p>
    <w:p w14:paraId="70B7121E">
      <w:pPr>
        <w:numPr>
          <w:ilvl w:val="1"/>
          <w:numId w:val="3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中因评标小组成员缺席、回避或者健康等特殊原因导致评标小组组成不符合法律法规规定的，采购人或者采购代理机构将依法补足后继续评标。被更换的评标小组成员所作出的评标意见无效。无法及时补足评标小组成员的，采购人或者采购代理机构将停止评标活动，封存所有投标文件和开标、评标资料，依法重新组建评标小组进行评标。原评标小组所作出的评标意见无效。采购人或者采购代理机构会将变更、重新组建评标小组的情况予以记录，并随</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一并存档。</w:t>
      </w:r>
    </w:p>
    <w:p w14:paraId="03E28FEC">
      <w:pPr>
        <w:numPr>
          <w:ilvl w:val="1"/>
          <w:numId w:val="3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评标小组成员名单在评标结果公告前严格保密。评审专家有下列情形之一的，受到邀请应主动提出回避，采购当事人也可以要求该评审专家回避：</w:t>
      </w:r>
    </w:p>
    <w:p w14:paraId="2E20B588">
      <w:pPr>
        <w:numPr>
          <w:ilvl w:val="0"/>
          <w:numId w:val="3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参加采购活动前3年内与</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存在劳动关系；</w:t>
      </w:r>
    </w:p>
    <w:p w14:paraId="4800A30B">
      <w:pPr>
        <w:numPr>
          <w:ilvl w:val="0"/>
          <w:numId w:val="3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参加采购活动前3年内担任</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的董事、监事；</w:t>
      </w:r>
    </w:p>
    <w:p w14:paraId="399FA056">
      <w:pPr>
        <w:numPr>
          <w:ilvl w:val="0"/>
          <w:numId w:val="3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参加采购活动前3年内是</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的控股股东或者实际控制人；</w:t>
      </w:r>
    </w:p>
    <w:p w14:paraId="7848F253">
      <w:pPr>
        <w:numPr>
          <w:ilvl w:val="0"/>
          <w:numId w:val="3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 xml:space="preserve">的法定代表人或者负责人有夫妻、直系血亲、三代以内旁系血          </w:t>
      </w:r>
    </w:p>
    <w:p w14:paraId="02D9C36C">
      <w:pPr>
        <w:spacing w:line="360" w:lineRule="auto"/>
        <w:ind w:left="425"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亲或者近姻亲关系；</w:t>
      </w:r>
    </w:p>
    <w:p w14:paraId="081AAE7B">
      <w:pPr>
        <w:numPr>
          <w:ilvl w:val="0"/>
          <w:numId w:val="3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有其他可能影响政府采购活动公平、公正进行的关系。</w:t>
      </w:r>
    </w:p>
    <w:p w14:paraId="02D5EC49">
      <w:pPr>
        <w:numPr>
          <w:ilvl w:val="1"/>
          <w:numId w:val="3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评标小组将按综合评分法进行评审，即最大限度地满足招标文件实质性要求前提下，按照招标文件中规定的各项因素进行综合评审后，以评标总得分最高的投标人作为中标候选人。</w:t>
      </w:r>
      <w:bookmarkEnd w:id="171"/>
    </w:p>
    <w:p w14:paraId="5FDEB660">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72" w:name="_Toc55778707"/>
      <w:r>
        <w:rPr>
          <w:rFonts w:hint="eastAsia" w:ascii="仿宋" w:hAnsi="仿宋" w:eastAsia="仿宋" w:cs="仿宋"/>
          <w:b/>
          <w:color w:val="auto"/>
          <w:kern w:val="44"/>
          <w:sz w:val="24"/>
          <w:szCs w:val="24"/>
          <w:highlight w:val="none"/>
        </w:rPr>
        <w:t xml:space="preserve">   </w:t>
      </w:r>
      <w:bookmarkStart w:id="173" w:name="_Toc14456"/>
      <w:bookmarkStart w:id="174" w:name="_Toc26294"/>
      <w:bookmarkStart w:id="175" w:name="_Toc28109"/>
      <w:bookmarkStart w:id="176" w:name="_Toc30337"/>
      <w:r>
        <w:rPr>
          <w:rFonts w:hint="eastAsia" w:ascii="仿宋" w:hAnsi="仿宋" w:eastAsia="仿宋" w:cs="仿宋"/>
          <w:b/>
          <w:color w:val="auto"/>
          <w:kern w:val="44"/>
          <w:sz w:val="24"/>
          <w:szCs w:val="24"/>
          <w:highlight w:val="none"/>
        </w:rPr>
        <w:t>评标原则及评标方法</w:t>
      </w:r>
      <w:bookmarkEnd w:id="172"/>
      <w:bookmarkEnd w:id="173"/>
      <w:bookmarkEnd w:id="174"/>
      <w:bookmarkEnd w:id="175"/>
      <w:bookmarkEnd w:id="176"/>
    </w:p>
    <w:p w14:paraId="6984B370">
      <w:pPr>
        <w:numPr>
          <w:ilvl w:val="1"/>
          <w:numId w:val="3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评标基本原则：评标工作应依据《中华人民共和国政府采购法》、实施条例以及国家和地方政府有关政府采购的有关法规，遵循“公开、公平、公正、择优、信用”的原则进行。</w:t>
      </w:r>
    </w:p>
    <w:p w14:paraId="415FC17F">
      <w:pPr>
        <w:numPr>
          <w:ilvl w:val="1"/>
          <w:numId w:val="3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本项目以投标人递交的</w:t>
      </w:r>
      <w:r>
        <w:rPr>
          <w:rFonts w:hint="eastAsia" w:ascii="仿宋" w:hAnsi="仿宋" w:eastAsia="仿宋" w:cs="仿宋"/>
          <w:color w:val="auto"/>
          <w:sz w:val="24"/>
          <w:szCs w:val="24"/>
          <w:highlight w:val="none"/>
          <w:lang w:val="en-US" w:eastAsia="zh-CN"/>
        </w:rPr>
        <w:t>电子</w:t>
      </w:r>
      <w:r>
        <w:rPr>
          <w:rFonts w:hint="eastAsia" w:ascii="仿宋" w:hAnsi="仿宋" w:eastAsia="仿宋" w:cs="仿宋"/>
          <w:color w:val="auto"/>
          <w:sz w:val="24"/>
          <w:szCs w:val="24"/>
          <w:highlight w:val="none"/>
        </w:rPr>
        <w:t>投标文件作为评审依据。</w:t>
      </w:r>
    </w:p>
    <w:p w14:paraId="03DA6542">
      <w:pPr>
        <w:numPr>
          <w:ilvl w:val="1"/>
          <w:numId w:val="3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评标步骤及定标规定：第一阶段：先进行投标人资格性审查。第二阶段：进行投标人符合性审查。第三阶段：对通过资格性审查、符合性审查的投标人按照评标办法进行详细评审（包括：技术商务评审）。</w:t>
      </w:r>
    </w:p>
    <w:p w14:paraId="0B5CCE76">
      <w:pPr>
        <w:numPr>
          <w:ilvl w:val="1"/>
          <w:numId w:val="32"/>
        </w:numPr>
        <w:spacing w:line="36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评标办法：本次招标的评标方式为综合评分法，评审意见不一致时采用少数服从多数的评标方式，详细评审采用百分制综合评分法，分数按四舍五入原则计至小数点后两位</w:t>
      </w:r>
      <w:r>
        <w:rPr>
          <w:rFonts w:hint="eastAsia" w:ascii="仿宋" w:hAnsi="仿宋" w:eastAsia="仿宋" w:cs="仿宋"/>
          <w:color w:val="auto"/>
          <w:sz w:val="24"/>
          <w:szCs w:val="24"/>
          <w:highlight w:val="none"/>
        </w:rPr>
        <w:t>。</w:t>
      </w:r>
    </w:p>
    <w:p w14:paraId="7A150661">
      <w:pPr>
        <w:numPr>
          <w:ilvl w:val="1"/>
          <w:numId w:val="32"/>
        </w:numPr>
        <w:spacing w:line="36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评标小组成员对需要共同认定的事项存在争议的，应当按照少数服从多数的原则作出结论。持不同意见的评标小组成员应当在评标报告上签署不同意见及理由，否则视为同意评标报告</w:t>
      </w:r>
      <w:r>
        <w:rPr>
          <w:rFonts w:hint="eastAsia" w:ascii="仿宋" w:hAnsi="仿宋" w:eastAsia="仿宋" w:cs="仿宋"/>
          <w:color w:val="auto"/>
          <w:sz w:val="24"/>
          <w:szCs w:val="24"/>
          <w:highlight w:val="none"/>
        </w:rPr>
        <w:t>。</w:t>
      </w:r>
    </w:p>
    <w:p w14:paraId="729A80C2">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77" w:name="_Toc55778708"/>
      <w:r>
        <w:rPr>
          <w:rFonts w:hint="eastAsia" w:ascii="仿宋" w:hAnsi="仿宋" w:eastAsia="仿宋" w:cs="仿宋"/>
          <w:b/>
          <w:color w:val="auto"/>
          <w:kern w:val="44"/>
          <w:sz w:val="24"/>
          <w:szCs w:val="24"/>
          <w:highlight w:val="none"/>
        </w:rPr>
        <w:t xml:space="preserve">    </w:t>
      </w:r>
      <w:bookmarkStart w:id="178" w:name="_Toc29632"/>
      <w:bookmarkStart w:id="179" w:name="_Toc24957"/>
      <w:bookmarkStart w:id="180" w:name="_Toc3188"/>
      <w:bookmarkStart w:id="181" w:name="_Toc24483"/>
      <w:r>
        <w:rPr>
          <w:rFonts w:hint="eastAsia" w:ascii="仿宋" w:hAnsi="仿宋" w:eastAsia="仿宋" w:cs="仿宋"/>
          <w:b/>
          <w:color w:val="auto"/>
          <w:kern w:val="44"/>
          <w:sz w:val="24"/>
          <w:szCs w:val="24"/>
          <w:highlight w:val="none"/>
        </w:rPr>
        <w:t>初步评审</w:t>
      </w:r>
      <w:bookmarkEnd w:id="177"/>
      <w:bookmarkEnd w:id="178"/>
      <w:bookmarkEnd w:id="179"/>
      <w:bookmarkEnd w:id="180"/>
      <w:bookmarkEnd w:id="181"/>
    </w:p>
    <w:p w14:paraId="57CE0085">
      <w:pPr>
        <w:numPr>
          <w:ilvl w:val="1"/>
          <w:numId w:val="3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格性审查：开标结束后，采购人依法对投标人的资格进行审查，资格性审查内容详见附件1《初步评审审查表》。对初步被认定为资格性审查不合格的可实行告知投标当事人。未通过资格性审查的投标人，不进入符合性审查。若通过资格性审查的投标人不足3家的，不得进行下一阶段评标。</w:t>
      </w:r>
    </w:p>
    <w:p w14:paraId="7B797F92">
      <w:pPr>
        <w:numPr>
          <w:ilvl w:val="2"/>
          <w:numId w:val="3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投标人存在下列情况之一的，投标无效：</w:t>
      </w:r>
    </w:p>
    <w:p w14:paraId="323C2B21">
      <w:pPr>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不具备招标文件中规定的投标人资格要求的</w:t>
      </w:r>
    </w:p>
    <w:p w14:paraId="38ABABE9">
      <w:pPr>
        <w:numPr>
          <w:ilvl w:val="1"/>
          <w:numId w:val="3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性审查：详见附件1《初步评审审查表》，以确定其是否满足招标文件的实质性要求。评标小组对初步被认定为符合性审查不合格或无效投标者可实行告知投标当事人。未通过符合性审查的投标人，不进入技术、商务和价格评审。</w:t>
      </w:r>
    </w:p>
    <w:p w14:paraId="5261C859">
      <w:pPr>
        <w:numPr>
          <w:ilvl w:val="1"/>
          <w:numId w:val="3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评标小组决定投标文件的响应程度</w:t>
      </w:r>
      <w:r>
        <w:rPr>
          <w:rFonts w:hint="eastAsia" w:ascii="仿宋" w:hAnsi="仿宋" w:eastAsia="仿宋" w:cs="仿宋"/>
          <w:color w:val="auto"/>
          <w:sz w:val="24"/>
          <w:szCs w:val="24"/>
          <w:highlight w:val="none"/>
          <w:lang w:val="en-US" w:eastAsia="zh-CN"/>
        </w:rPr>
        <w:t>指</w:t>
      </w:r>
      <w:r>
        <w:rPr>
          <w:rFonts w:hint="eastAsia" w:ascii="仿宋" w:hAnsi="仿宋" w:eastAsia="仿宋" w:cs="仿宋"/>
          <w:color w:val="auto"/>
          <w:sz w:val="24"/>
          <w:szCs w:val="24"/>
          <w:highlight w:val="none"/>
        </w:rPr>
        <w:t>依据投标文件本身的真实无误的内容，而不依据外部的证据。但投标文件有不真实、不正确内容的除外。</w:t>
      </w:r>
    </w:p>
    <w:p w14:paraId="548BD0FF">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82" w:name="_Toc55778709"/>
      <w:r>
        <w:rPr>
          <w:rFonts w:hint="eastAsia" w:ascii="仿宋" w:hAnsi="仿宋" w:eastAsia="仿宋" w:cs="仿宋"/>
          <w:b/>
          <w:bCs/>
          <w:color w:val="auto"/>
          <w:kern w:val="44"/>
          <w:sz w:val="24"/>
          <w:szCs w:val="24"/>
          <w:highlight w:val="none"/>
        </w:rPr>
        <w:t xml:space="preserve">    </w:t>
      </w:r>
      <w:bookmarkStart w:id="183" w:name="_Toc21733"/>
      <w:bookmarkStart w:id="184" w:name="_Toc24582"/>
      <w:bookmarkStart w:id="185" w:name="_Toc27075"/>
      <w:bookmarkStart w:id="186" w:name="_Toc23646"/>
      <w:r>
        <w:rPr>
          <w:rFonts w:hint="eastAsia" w:ascii="仿宋" w:hAnsi="仿宋" w:eastAsia="仿宋" w:cs="仿宋"/>
          <w:b/>
          <w:bCs/>
          <w:color w:val="auto"/>
          <w:kern w:val="44"/>
          <w:sz w:val="24"/>
          <w:szCs w:val="24"/>
          <w:highlight w:val="none"/>
        </w:rPr>
        <w:t>详细评审</w:t>
      </w:r>
      <w:bookmarkEnd w:id="182"/>
      <w:bookmarkEnd w:id="183"/>
      <w:bookmarkEnd w:id="184"/>
      <w:bookmarkEnd w:id="185"/>
      <w:bookmarkEnd w:id="186"/>
    </w:p>
    <w:p w14:paraId="059771B0">
      <w:pPr>
        <w:numPr>
          <w:ilvl w:val="1"/>
          <w:numId w:val="3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经符合性审查合格的投标文件，评标委员会将根据招标文件确定的评标方法和标准，对其技术部分和商务部分作进一步的比较和评价。</w:t>
      </w:r>
    </w:p>
    <w:p w14:paraId="08C127B9">
      <w:pPr>
        <w:numPr>
          <w:ilvl w:val="1"/>
          <w:numId w:val="3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综合评分法，是指投标文件满足招标文件全部实质性要求，且按照评审因素的量化指标评审得分最高的投标人为中标候选人的评标方法，评标严格按照招标文件的要求和条件进行，详细评标标准见附件2《评分细则》。</w:t>
      </w:r>
    </w:p>
    <w:p w14:paraId="570B45F5">
      <w:pPr>
        <w:numPr>
          <w:ilvl w:val="1"/>
          <w:numId w:val="35"/>
        </w:numPr>
        <w:spacing w:line="36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当评标小组认为通过符合性审查的投标人的报价明显低于其他通过符合性审查投标人的报价，有可能影响服务质量或者不能诚信履约的，评标小组应当要求其在评标现场合理的时间内提供书面说明，必要时提交相关证明材料；投标人不能证明其报价合理性的，评标小组应当将其作为无效投标处理（投标人没有在评标小组规定的时间内说明的，该</w:t>
      </w:r>
      <w:r>
        <w:rPr>
          <w:rFonts w:hint="eastAsia" w:ascii="仿宋" w:hAnsi="仿宋" w:eastAsia="仿宋" w:cs="仿宋"/>
          <w:b/>
          <w:bCs/>
          <w:color w:val="auto"/>
          <w:sz w:val="24"/>
          <w:szCs w:val="24"/>
          <w:highlight w:val="none"/>
          <w:lang w:eastAsia="zh-CN"/>
        </w:rPr>
        <w:t>投标人</w:t>
      </w:r>
      <w:r>
        <w:rPr>
          <w:rFonts w:hint="eastAsia" w:ascii="仿宋" w:hAnsi="仿宋" w:eastAsia="仿宋" w:cs="仿宋"/>
          <w:b/>
          <w:bCs/>
          <w:color w:val="auto"/>
          <w:sz w:val="24"/>
          <w:szCs w:val="24"/>
          <w:highlight w:val="none"/>
        </w:rPr>
        <w:t>按无效投标处理）。</w:t>
      </w:r>
    </w:p>
    <w:p w14:paraId="206007A6">
      <w:pPr>
        <w:numPr>
          <w:ilvl w:val="1"/>
          <w:numId w:val="35"/>
        </w:numPr>
        <w:spacing w:line="36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投标文件报价出现前后不一致的，除招标文件另有规定外，按照下列规定修正：</w:t>
      </w:r>
    </w:p>
    <w:p w14:paraId="48135940">
      <w:pPr>
        <w:numPr>
          <w:ilvl w:val="2"/>
          <w:numId w:val="3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投标文件中报价一览表内容与投标文件中明细表内容不一致的，以报价一览表为准；</w:t>
      </w:r>
    </w:p>
    <w:p w14:paraId="2F9797C6">
      <w:pPr>
        <w:numPr>
          <w:ilvl w:val="2"/>
          <w:numId w:val="3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大写金额和小写金额不一致的，以大写金额为准；</w:t>
      </w:r>
    </w:p>
    <w:p w14:paraId="15E7518C">
      <w:pPr>
        <w:numPr>
          <w:ilvl w:val="2"/>
          <w:numId w:val="3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单价金额小数点或百分比有明显错位的，以开标一览表的总价为准，并修改单价；</w:t>
      </w:r>
    </w:p>
    <w:p w14:paraId="054D0EA8">
      <w:pPr>
        <w:numPr>
          <w:ilvl w:val="2"/>
          <w:numId w:val="3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总价金额与按单价汇总金额不一致的，以单价金额计算结果为准。</w:t>
      </w:r>
    </w:p>
    <w:p w14:paraId="3A528D2F">
      <w:pPr>
        <w:numPr>
          <w:ilvl w:val="1"/>
          <w:numId w:val="35"/>
        </w:numPr>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文件中的缺漏项将按以下方法更正：若投标人的投标报价中有缺漏项内容，评标小组将视为其投标总价已包括缺漏项内容，若其中标，有关该内容的合同价格不予调整。如果投标人不接受对其缺漏项的更正，其投标将被拒绝。</w:t>
      </w:r>
    </w:p>
    <w:p w14:paraId="66675AA3">
      <w:pPr>
        <w:numPr>
          <w:ilvl w:val="1"/>
          <w:numId w:val="35"/>
        </w:numPr>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对数量的评审：以《采购内容》所示数量为准；《采购内容》未明示的，由评标小组以其专业知识判断，必要时参考投标人的澄清文件决定。</w:t>
      </w:r>
    </w:p>
    <w:p w14:paraId="16807E5D">
      <w:pPr>
        <w:numPr>
          <w:ilvl w:val="1"/>
          <w:numId w:val="35"/>
        </w:num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对小型或微型企业的扶持：</w:t>
      </w:r>
    </w:p>
    <w:p w14:paraId="4D439D46">
      <w:pPr>
        <w:pStyle w:val="16"/>
        <w:ind w:left="899" w:leftChars="428"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根据财政部、工业和信息化部制定了《政府采购促进中小企业发展管理办法》的规定，对小型或微型企业产品的价格给予一定比例扣除，用扣除后的价格参与评审本条款所称小型或微型企业应当符合以下条件：符合小型或微型企业划分标准，并且提供本企业承担的服务。投标人认为其为小型或微型企业的应提交《中小企业声明函》</w:t>
      </w:r>
      <w:r>
        <w:rPr>
          <w:rFonts w:hint="eastAsia" w:ascii="仿宋" w:hAnsi="仿宋" w:eastAsia="仿宋" w:cs="仿宋"/>
          <w:color w:val="auto"/>
          <w:sz w:val="24"/>
          <w:szCs w:val="24"/>
          <w:highlight w:val="none"/>
          <w:lang w:val="en-US" w:eastAsia="zh-CN"/>
        </w:rPr>
        <w:t>格式见附件2</w:t>
      </w:r>
      <w:r>
        <w:rPr>
          <w:rFonts w:hint="eastAsia" w:ascii="仿宋" w:hAnsi="仿宋" w:eastAsia="仿宋" w:cs="仿宋"/>
          <w:color w:val="auto"/>
          <w:sz w:val="24"/>
          <w:szCs w:val="24"/>
          <w:highlight w:val="none"/>
        </w:rPr>
        <w:t>，并明确企业类型，否则评审时不能享受相应的价格扣除。提供本企业制造的货物、承担的工程或者服务，或者提供其他小型或微型企业的制造的货物。</w:t>
      </w:r>
    </w:p>
    <w:p w14:paraId="0248B034">
      <w:pPr>
        <w:pStyle w:val="16"/>
        <w:ind w:left="899" w:leftChars="428" w:firstLine="0" w:firstLine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r>
        <w:rPr>
          <w:rFonts w:hint="eastAsia" w:ascii="仿宋" w:hAnsi="仿宋" w:eastAsia="仿宋" w:cs="仿宋"/>
          <w:b/>
          <w:bCs/>
          <w:color w:val="auto"/>
          <w:sz w:val="24"/>
          <w:szCs w:val="24"/>
          <w:highlight w:val="none"/>
        </w:rPr>
        <w:t>投标人为小型、微型企业且投标产品含小型、微型企业产品时，其小型、微型企业产品的价格给予</w:t>
      </w:r>
      <w:r>
        <w:rPr>
          <w:rFonts w:hint="eastAsia" w:ascii="仿宋" w:hAnsi="仿宋" w:eastAsia="仿宋" w:cs="仿宋"/>
          <w:b/>
          <w:bCs/>
          <w:color w:val="auto"/>
          <w:sz w:val="24"/>
          <w:szCs w:val="24"/>
          <w:highlight w:val="none"/>
          <w:lang w:val="en-US" w:eastAsia="zh-CN"/>
        </w:rPr>
        <w:t>10</w:t>
      </w:r>
      <w:r>
        <w:rPr>
          <w:rFonts w:hint="eastAsia" w:ascii="仿宋" w:hAnsi="仿宋" w:eastAsia="仿宋" w:cs="仿宋"/>
          <w:b/>
          <w:bCs/>
          <w:color w:val="auto"/>
          <w:sz w:val="24"/>
          <w:szCs w:val="24"/>
          <w:highlight w:val="none"/>
        </w:rPr>
        <w:t>%的扣除，即评标价=投标报价-小型、微型企业产品投标报价×</w:t>
      </w:r>
      <w:r>
        <w:rPr>
          <w:rFonts w:hint="eastAsia" w:ascii="仿宋" w:hAnsi="仿宋" w:eastAsia="仿宋" w:cs="仿宋"/>
          <w:b/>
          <w:bCs/>
          <w:color w:val="auto"/>
          <w:sz w:val="24"/>
          <w:szCs w:val="24"/>
          <w:highlight w:val="none"/>
          <w:lang w:val="en-US" w:eastAsia="zh-CN"/>
        </w:rPr>
        <w:t>10</w:t>
      </w:r>
      <w:r>
        <w:rPr>
          <w:rFonts w:hint="eastAsia" w:ascii="仿宋" w:hAnsi="仿宋" w:eastAsia="仿宋" w:cs="仿宋"/>
          <w:b/>
          <w:bCs/>
          <w:color w:val="auto"/>
          <w:sz w:val="24"/>
          <w:szCs w:val="24"/>
          <w:highlight w:val="none"/>
        </w:rPr>
        <w:t>%。</w:t>
      </w:r>
    </w:p>
    <w:p w14:paraId="2173AAE4">
      <w:pPr>
        <w:pStyle w:val="16"/>
        <w:ind w:left="899" w:leftChars="428"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）根据财政部《政府采购促进中小企业发展管理办法》（财库[2020]46号文）规定，在货物类采购项目中，</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提供的货物既有中小企业制造货物，也有大型企业制造货物的，不享受中小企业扶持政策。</w:t>
      </w:r>
    </w:p>
    <w:p w14:paraId="55C600DA">
      <w:pPr>
        <w:numPr>
          <w:ilvl w:val="1"/>
          <w:numId w:val="35"/>
        </w:num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监狱企业产品价格扣除</w:t>
      </w:r>
    </w:p>
    <w:p w14:paraId="1C872BCF">
      <w:pPr>
        <w:spacing w:line="360" w:lineRule="auto"/>
        <w:ind w:left="90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1）监狱企业视同小型、微型企业，按上述</w:t>
      </w:r>
      <w:r>
        <w:rPr>
          <w:rFonts w:hint="eastAsia" w:ascii="仿宋" w:hAnsi="仿宋" w:eastAsia="仿宋" w:cs="仿宋"/>
          <w:b/>
          <w:bCs/>
          <w:color w:val="auto"/>
          <w:sz w:val="24"/>
          <w:szCs w:val="24"/>
          <w:highlight w:val="none"/>
        </w:rPr>
        <w:t>27.7条款</w:t>
      </w:r>
      <w:r>
        <w:rPr>
          <w:rFonts w:hint="eastAsia" w:ascii="仿宋" w:hAnsi="仿宋" w:eastAsia="仿宋" w:cs="仿宋"/>
          <w:color w:val="auto"/>
          <w:sz w:val="24"/>
          <w:szCs w:val="24"/>
          <w:highlight w:val="none"/>
        </w:rPr>
        <w:t>享受评审中价格扣除。</w:t>
      </w:r>
    </w:p>
    <w:p w14:paraId="47433001">
      <w:pPr>
        <w:spacing w:line="360" w:lineRule="auto"/>
        <w:ind w:left="90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F3D437A">
      <w:pPr>
        <w:spacing w:line="360" w:lineRule="auto"/>
        <w:ind w:left="90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3）监狱企业参加政府采购活动时，应当提供由省级以上监狱管理局、戒毒管理局（含新疆生产建设兵团）出具的属于监狱企业的证明文件，否则不予认可。</w:t>
      </w:r>
    </w:p>
    <w:p w14:paraId="3F22D86C">
      <w:pPr>
        <w:numPr>
          <w:ilvl w:val="1"/>
          <w:numId w:val="35"/>
        </w:num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残疾人福利性单位产品价格扣除</w:t>
      </w:r>
    </w:p>
    <w:p w14:paraId="6A806BAE">
      <w:pPr>
        <w:spacing w:line="360" w:lineRule="auto"/>
        <w:ind w:left="90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1）残疾人福利性单位视同小型、微型企业，按上述</w:t>
      </w:r>
      <w:r>
        <w:rPr>
          <w:rFonts w:hint="eastAsia" w:ascii="仿宋" w:hAnsi="仿宋" w:eastAsia="仿宋" w:cs="仿宋"/>
          <w:b/>
          <w:bCs/>
          <w:color w:val="auto"/>
          <w:sz w:val="24"/>
          <w:szCs w:val="24"/>
          <w:highlight w:val="none"/>
        </w:rPr>
        <w:t>27.7条款</w:t>
      </w:r>
      <w:r>
        <w:rPr>
          <w:rFonts w:hint="eastAsia" w:ascii="仿宋" w:hAnsi="仿宋" w:eastAsia="仿宋" w:cs="仿宋"/>
          <w:color w:val="auto"/>
          <w:sz w:val="24"/>
          <w:szCs w:val="24"/>
          <w:highlight w:val="none"/>
        </w:rPr>
        <w:t>享受评审中价格扣除。</w:t>
      </w:r>
    </w:p>
    <w:p w14:paraId="3DC70D35">
      <w:pPr>
        <w:spacing w:line="360" w:lineRule="auto"/>
        <w:ind w:left="90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根据财政部、民政部、中国残疾人联合会印发的《关于促进残疾人就业政府采购政策的通知》（财库〔2017〕141号）的规定，符合条件的残疾人福利性单位在参加政府采购活动时，应当提供该通知规定的《残疾人福利性单位声明函》（格式见</w:t>
      </w:r>
      <w:r>
        <w:rPr>
          <w:rFonts w:hint="eastAsia" w:ascii="仿宋" w:hAnsi="仿宋" w:eastAsia="仿宋" w:cs="仿宋"/>
          <w:color w:val="auto"/>
          <w:sz w:val="24"/>
          <w:szCs w:val="24"/>
          <w:highlight w:val="none"/>
          <w:lang w:val="en-US" w:eastAsia="zh-CN"/>
        </w:rPr>
        <w:t>附件3</w:t>
      </w:r>
      <w:r>
        <w:rPr>
          <w:rFonts w:hint="eastAsia" w:ascii="仿宋" w:hAnsi="仿宋" w:eastAsia="仿宋" w:cs="仿宋"/>
          <w:color w:val="auto"/>
          <w:sz w:val="24"/>
          <w:szCs w:val="24"/>
          <w:highlight w:val="none"/>
        </w:rPr>
        <w:t>），并对声明的真实性负责。一旦中标将在中标公告中公告其声明函，接受社会监督。投标人提供的《残疾人福利性单位声明函》与事实不符的，依照《中华人民共和国政府采购法》第七十七条第一款的规定追究法律责任。</w:t>
      </w:r>
    </w:p>
    <w:p w14:paraId="584EF637">
      <w:pPr>
        <w:numPr>
          <w:ilvl w:val="1"/>
          <w:numId w:val="3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投标人同时为小型、微型企业、监狱企业、残疾人福利性单位任两种或以上情况的，评审中只享受一次价格扣除，不重复进行价格扣除。</w:t>
      </w:r>
    </w:p>
    <w:p w14:paraId="76AE8937">
      <w:pPr>
        <w:numPr>
          <w:ilvl w:val="1"/>
          <w:numId w:val="3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节能产品，指属于财政部、发展改革委发布的《节能产品政府采购品目清单》范围内，并具有国家确定的认证机构出具的、处于有效期之内的节能产品认证证书的产品。采用节能产品的，对报价中的节能产品金额给予价格扣除，扣除方法如下：节能产品金额占项目总金额的比重达到30%以上（含30%），扣除2%；节能产品金额占项目总金额的比重达到30%以下，扣除1%；属于强制采购节能产品的，不作价格扣除。</w:t>
      </w:r>
    </w:p>
    <w:p w14:paraId="63DBCD05">
      <w:pPr>
        <w:numPr>
          <w:ilvl w:val="1"/>
          <w:numId w:val="3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环境标志产品，指属于财政部、生态环境部发布的《环境标志产品政府采购品目清单》范围内的，并具有国家确定的认证机构出具的、处于有效期之内的环境标志产品认证证书的产品。采用环境标志产品的，对报价中的环境标志产品金额给予价格扣除，扣除方法如下：环境标志产品金额占项目总金额的比重达到30%以上（含30%），扣除2%；环境标志产品金额占项目总金额的比重达到30%以下，扣除1%。</w:t>
      </w:r>
    </w:p>
    <w:p w14:paraId="23D184C1">
      <w:pPr>
        <w:numPr>
          <w:ilvl w:val="1"/>
          <w:numId w:val="3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评标价的确定：按上述条款校核修正后的价格为评标价。</w:t>
      </w:r>
    </w:p>
    <w:p w14:paraId="39B09554">
      <w:pPr>
        <w:numPr>
          <w:ilvl w:val="1"/>
          <w:numId w:val="3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评标小组成员对需要共同认定的事项存在争议的，应当按照少数服从多数的原则作出结论。持不同意见的评标小组成员应当在评标报告上签署不同意见及理由，否则视为同意评标报告。</w:t>
      </w:r>
    </w:p>
    <w:p w14:paraId="3BF103E2">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87" w:name="_Toc55778710"/>
      <w:r>
        <w:rPr>
          <w:rFonts w:hint="eastAsia" w:ascii="仿宋" w:hAnsi="仿宋" w:eastAsia="仿宋" w:cs="仿宋"/>
          <w:b/>
          <w:color w:val="auto"/>
          <w:kern w:val="44"/>
          <w:sz w:val="24"/>
          <w:szCs w:val="24"/>
          <w:highlight w:val="none"/>
        </w:rPr>
        <w:t xml:space="preserve">    </w:t>
      </w:r>
      <w:bookmarkStart w:id="188" w:name="_Toc31812"/>
      <w:bookmarkStart w:id="189" w:name="_Toc10625"/>
      <w:bookmarkStart w:id="190" w:name="_Toc31639"/>
      <w:bookmarkStart w:id="191" w:name="_Toc25223"/>
      <w:r>
        <w:rPr>
          <w:rFonts w:hint="eastAsia" w:ascii="仿宋" w:hAnsi="仿宋" w:eastAsia="仿宋" w:cs="仿宋"/>
          <w:b/>
          <w:color w:val="auto"/>
          <w:kern w:val="44"/>
          <w:sz w:val="24"/>
          <w:szCs w:val="24"/>
          <w:highlight w:val="none"/>
        </w:rPr>
        <w:t>投标文件的修正和澄清</w:t>
      </w:r>
      <w:bookmarkEnd w:id="187"/>
      <w:bookmarkEnd w:id="188"/>
      <w:bookmarkEnd w:id="189"/>
      <w:bookmarkEnd w:id="190"/>
      <w:bookmarkEnd w:id="191"/>
    </w:p>
    <w:p w14:paraId="28C228F5">
      <w:pPr>
        <w:numPr>
          <w:ilvl w:val="1"/>
          <w:numId w:val="37"/>
        </w:numPr>
        <w:spacing w:line="360" w:lineRule="auto"/>
        <w:rPr>
          <w:rFonts w:hAnsi="宋体" w:cs="Times New Roman"/>
          <w:color w:val="000000"/>
          <w:sz w:val="24"/>
          <w:szCs w:val="24"/>
          <w:highlight w:val="none"/>
        </w:rPr>
      </w:pPr>
      <w:bookmarkStart w:id="192" w:name="_Toc55778711"/>
      <w:r>
        <w:rPr>
          <w:rFonts w:hint="eastAsia" w:ascii="仿宋" w:hAnsi="仿宋" w:eastAsia="仿宋" w:cs="仿宋"/>
          <w:color w:val="auto"/>
          <w:sz w:val="24"/>
          <w:szCs w:val="24"/>
          <w:highlight w:val="none"/>
        </w:rPr>
        <w:t>评审小组在对投标文件(包括首次投标文件、重新提交的投标文件)的有效性、完整性和对招标文件的投标程度进行审查时，可以要求投标人对投标文件中含义不明确、同类问题表述不一致或者有明显文字和计算错误的内容等作出必要的澄清、说明或者更正。各投标人在项目开标、评标（审）期间应随时保持在线状态，及时查阅消息，并根据消息提醒进行投标文件在线解密等操作。随时通过交易系统接受评标（审）委员会发出的询标信息，并在规定时间内作出答复，未能按时答复的，评标（审）委员会将视同其放弃澄清。</w:t>
      </w:r>
    </w:p>
    <w:p w14:paraId="4DF18657">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r>
        <w:rPr>
          <w:rFonts w:hint="eastAsia" w:ascii="仿宋" w:hAnsi="仿宋" w:eastAsia="仿宋" w:cs="仿宋"/>
          <w:b/>
          <w:bCs/>
          <w:color w:val="auto"/>
          <w:kern w:val="44"/>
          <w:sz w:val="24"/>
          <w:szCs w:val="24"/>
          <w:highlight w:val="none"/>
        </w:rPr>
        <w:t xml:space="preserve">    </w:t>
      </w:r>
      <w:bookmarkStart w:id="193" w:name="_Toc30970"/>
      <w:bookmarkStart w:id="194" w:name="_Toc13122"/>
      <w:bookmarkStart w:id="195" w:name="_Toc12810"/>
      <w:bookmarkStart w:id="196" w:name="_Toc14816"/>
      <w:r>
        <w:rPr>
          <w:rFonts w:hint="eastAsia" w:ascii="仿宋" w:hAnsi="仿宋" w:eastAsia="仿宋" w:cs="仿宋"/>
          <w:b/>
          <w:bCs/>
          <w:color w:val="auto"/>
          <w:kern w:val="44"/>
          <w:sz w:val="24"/>
          <w:szCs w:val="24"/>
          <w:highlight w:val="none"/>
        </w:rPr>
        <w:t>评标总得分统计及推荐</w:t>
      </w:r>
      <w:bookmarkEnd w:id="192"/>
      <w:bookmarkEnd w:id="193"/>
      <w:bookmarkEnd w:id="194"/>
      <w:bookmarkEnd w:id="195"/>
      <w:bookmarkEnd w:id="196"/>
    </w:p>
    <w:p w14:paraId="0F6B074E">
      <w:pPr>
        <w:numPr>
          <w:ilvl w:val="1"/>
          <w:numId w:val="3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评标过程中，不得去掉报价中的最高报价和最低报价。</w:t>
      </w:r>
    </w:p>
    <w:p w14:paraId="4D6AC288">
      <w:pPr>
        <w:numPr>
          <w:ilvl w:val="1"/>
          <w:numId w:val="3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评标小组各成员独立对每个投标人的投标文件进行评价，并汇总每个投标人的得分（评标总得分分值按四舍五入原则精确到小数点后两位）。</w:t>
      </w:r>
    </w:p>
    <w:p w14:paraId="780D41E4">
      <w:pPr>
        <w:numPr>
          <w:ilvl w:val="1"/>
          <w:numId w:val="3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推荐中标候选人：评标小组成员独立对每个投标人分别评出技术</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商务得分，评标小组成员的技术、商务评分的算术平均值为该投标人的技术商务得分。价格得分按价格评审办法评分。将投标人的技术商务得分和价格得分相加，计算得出各投标人的综合得分。将综合得分从高到低排序，得出投标人名次，推荐综合得分排名第一的投标人为第一中标候选人，综合得分排名第二的为第二中标候选人（得分相同的，按下列顺序比较：（1）投标报价（由低到高）；（2）技术商务评分（由高到低）；如以上都相同的，名次由评标小组随机抽取确定）。</w:t>
      </w:r>
    </w:p>
    <w:p w14:paraId="14ABF485">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197" w:name="_Toc55778712"/>
      <w:r>
        <w:rPr>
          <w:rFonts w:hint="eastAsia" w:ascii="仿宋" w:hAnsi="仿宋" w:eastAsia="仿宋" w:cs="仿宋"/>
          <w:b/>
          <w:color w:val="auto"/>
          <w:kern w:val="44"/>
          <w:sz w:val="24"/>
          <w:szCs w:val="24"/>
          <w:highlight w:val="none"/>
        </w:rPr>
        <w:t xml:space="preserve">    </w:t>
      </w:r>
      <w:bookmarkStart w:id="198" w:name="_Toc23908"/>
      <w:bookmarkStart w:id="199" w:name="_Toc22167"/>
      <w:bookmarkStart w:id="200" w:name="_Toc160"/>
      <w:bookmarkStart w:id="201" w:name="_Toc10277"/>
      <w:r>
        <w:rPr>
          <w:rFonts w:hint="eastAsia" w:ascii="仿宋" w:hAnsi="仿宋" w:eastAsia="仿宋" w:cs="仿宋"/>
          <w:b/>
          <w:color w:val="auto"/>
          <w:kern w:val="44"/>
          <w:sz w:val="24"/>
          <w:szCs w:val="24"/>
          <w:highlight w:val="none"/>
        </w:rPr>
        <w:t>定标</w:t>
      </w:r>
      <w:bookmarkEnd w:id="197"/>
      <w:bookmarkEnd w:id="198"/>
      <w:bookmarkEnd w:id="199"/>
      <w:bookmarkEnd w:id="200"/>
      <w:bookmarkEnd w:id="201"/>
    </w:p>
    <w:p w14:paraId="7F515955">
      <w:pPr>
        <w:numPr>
          <w:ilvl w:val="1"/>
          <w:numId w:val="3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代理机构提交评标报告报采购人确认，采购人在收到评标报告5个工作日内确定中标人，按照评标报告中推荐的中标候选人顺序确定中标人，也可以事先授权评标小组直接确定中标人。确认后采购代理机构将在发布本项目招标公告的法定媒体上发布中标公告。</w:t>
      </w:r>
    </w:p>
    <w:p w14:paraId="53403382">
      <w:pPr>
        <w:numPr>
          <w:ilvl w:val="1"/>
          <w:numId w:val="3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中标人拒绝与采购人签订合同的，采购人可以按照评审报告推荐的中标候选人名单排序，确定下一候选人为中标人，也可以重新开展政府采购活动。</w:t>
      </w:r>
    </w:p>
    <w:p w14:paraId="762824CE">
      <w:pPr>
        <w:numPr>
          <w:ilvl w:val="1"/>
          <w:numId w:val="3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中标人放弃中标或者中标资格被依法确认无效的，采购人可以按照排序从其他中标候选人中确定中标人或重新组织采购活动。</w:t>
      </w:r>
    </w:p>
    <w:p w14:paraId="3AA4390C">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02" w:name="_Toc55778713"/>
      <w:r>
        <w:rPr>
          <w:rFonts w:hint="eastAsia" w:ascii="仿宋" w:hAnsi="仿宋" w:eastAsia="仿宋" w:cs="仿宋"/>
          <w:b/>
          <w:bCs/>
          <w:color w:val="auto"/>
          <w:kern w:val="44"/>
          <w:sz w:val="24"/>
          <w:szCs w:val="24"/>
          <w:highlight w:val="none"/>
        </w:rPr>
        <w:t xml:space="preserve">    </w:t>
      </w:r>
      <w:bookmarkStart w:id="203" w:name="_Toc6845"/>
      <w:bookmarkStart w:id="204" w:name="_Toc31442"/>
      <w:bookmarkStart w:id="205" w:name="_Toc14184"/>
      <w:bookmarkStart w:id="206" w:name="_Toc5256"/>
      <w:r>
        <w:rPr>
          <w:rFonts w:hint="eastAsia" w:ascii="仿宋" w:hAnsi="仿宋" w:eastAsia="仿宋" w:cs="仿宋"/>
          <w:b/>
          <w:bCs/>
          <w:color w:val="auto"/>
          <w:kern w:val="44"/>
          <w:sz w:val="24"/>
          <w:szCs w:val="24"/>
          <w:highlight w:val="none"/>
        </w:rPr>
        <w:t>特别说明</w:t>
      </w:r>
      <w:bookmarkEnd w:id="202"/>
      <w:bookmarkEnd w:id="203"/>
      <w:bookmarkEnd w:id="204"/>
      <w:bookmarkEnd w:id="205"/>
      <w:bookmarkEnd w:id="206"/>
    </w:p>
    <w:p w14:paraId="7E64B846">
      <w:pPr>
        <w:numPr>
          <w:ilvl w:val="1"/>
          <w:numId w:val="40"/>
        </w:numPr>
        <w:spacing w:line="36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有下列情形之一的，视为投标人串通投标，其投标无效：</w:t>
      </w:r>
    </w:p>
    <w:p w14:paraId="6722BBE3">
      <w:pPr>
        <w:numPr>
          <w:ilvl w:val="2"/>
          <w:numId w:val="4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不同投标人的投标文件由同一单位或者个人编制；</w:t>
      </w:r>
    </w:p>
    <w:p w14:paraId="3541414B">
      <w:pPr>
        <w:numPr>
          <w:ilvl w:val="2"/>
          <w:numId w:val="4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不同投标人委托同一单位或者个人办理投标事宜；</w:t>
      </w:r>
    </w:p>
    <w:p w14:paraId="426C89BA">
      <w:pPr>
        <w:numPr>
          <w:ilvl w:val="2"/>
          <w:numId w:val="4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不同投标人的投标文件载明的项目管理成员或者联系人员为同一人；</w:t>
      </w:r>
    </w:p>
    <w:p w14:paraId="056E8667">
      <w:pPr>
        <w:numPr>
          <w:ilvl w:val="2"/>
          <w:numId w:val="4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不同投标人的投标文件异常一致或者投标报价呈规律性差异；</w:t>
      </w:r>
    </w:p>
    <w:p w14:paraId="04390146">
      <w:pPr>
        <w:numPr>
          <w:ilvl w:val="2"/>
          <w:numId w:val="4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不同投标人的投标文件相互混装；</w:t>
      </w:r>
    </w:p>
    <w:p w14:paraId="596CB37E">
      <w:pPr>
        <w:numPr>
          <w:ilvl w:val="2"/>
          <w:numId w:val="4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不同投标人的投标保证金从同一单位或者个人的账户转出。</w:t>
      </w:r>
    </w:p>
    <w:p w14:paraId="621229BE">
      <w:pPr>
        <w:numPr>
          <w:ilvl w:val="1"/>
          <w:numId w:val="40"/>
        </w:numPr>
        <w:spacing w:line="36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投标人存在下列情况之一的，投标无效:</w:t>
      </w:r>
    </w:p>
    <w:p w14:paraId="4A8A6AB1">
      <w:pPr>
        <w:numPr>
          <w:ilvl w:val="2"/>
          <w:numId w:val="4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未按照招标文件的规定提交投标保证金的；</w:t>
      </w:r>
    </w:p>
    <w:p w14:paraId="0D4CE258">
      <w:pPr>
        <w:numPr>
          <w:ilvl w:val="2"/>
          <w:numId w:val="4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投标文件未按招标文件要求签署、盖章的；</w:t>
      </w:r>
    </w:p>
    <w:p w14:paraId="5A7BE786">
      <w:pPr>
        <w:numPr>
          <w:ilvl w:val="2"/>
          <w:numId w:val="4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不具备招标文件中规定的资格要求的；</w:t>
      </w:r>
    </w:p>
    <w:p w14:paraId="63418D8B">
      <w:pPr>
        <w:numPr>
          <w:ilvl w:val="2"/>
          <w:numId w:val="4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报价超过招标文件中规定的预算金额或者最高限价的；</w:t>
      </w:r>
    </w:p>
    <w:p w14:paraId="384D13B5">
      <w:pPr>
        <w:numPr>
          <w:ilvl w:val="2"/>
          <w:numId w:val="4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投标文件含有采购人不能接受的附加条件的；</w:t>
      </w:r>
    </w:p>
    <w:p w14:paraId="32A2EE6B">
      <w:pPr>
        <w:numPr>
          <w:ilvl w:val="2"/>
          <w:numId w:val="4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法律、法规和招标文件规定的其他无效情形。</w:t>
      </w:r>
    </w:p>
    <w:p w14:paraId="0A37B397">
      <w:pPr>
        <w:numPr>
          <w:ilvl w:val="1"/>
          <w:numId w:val="40"/>
        </w:num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在招标采购中，出现下列情形之一的，应予废标： </w:t>
      </w:r>
    </w:p>
    <w:p w14:paraId="30C85323">
      <w:pPr>
        <w:numPr>
          <w:ilvl w:val="2"/>
          <w:numId w:val="4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符合专业条件的</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或者对招标文件作实质响应的</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 xml:space="preserve">不足三家的； </w:t>
      </w:r>
    </w:p>
    <w:p w14:paraId="3DBF5205">
      <w:pPr>
        <w:numPr>
          <w:ilvl w:val="2"/>
          <w:numId w:val="4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出现影响采购公正的违法、违规行为的； </w:t>
      </w:r>
    </w:p>
    <w:p w14:paraId="2DE2F098">
      <w:pPr>
        <w:numPr>
          <w:ilvl w:val="2"/>
          <w:numId w:val="4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投标人的报价均超过了采购预算，采购人不能支付的； </w:t>
      </w:r>
    </w:p>
    <w:p w14:paraId="195F37CD">
      <w:pPr>
        <w:numPr>
          <w:ilvl w:val="2"/>
          <w:numId w:val="4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因重大变故，采购任务取消的。 </w:t>
      </w:r>
    </w:p>
    <w:p w14:paraId="5F0C0266">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07" w:name="_Toc55778714"/>
      <w:r>
        <w:rPr>
          <w:rFonts w:hint="eastAsia" w:ascii="仿宋" w:hAnsi="仿宋" w:eastAsia="仿宋" w:cs="仿宋"/>
          <w:b/>
          <w:bCs/>
          <w:color w:val="auto"/>
          <w:kern w:val="44"/>
          <w:sz w:val="24"/>
          <w:szCs w:val="24"/>
          <w:highlight w:val="none"/>
        </w:rPr>
        <w:t xml:space="preserve">   </w:t>
      </w:r>
      <w:bookmarkStart w:id="208" w:name="_Toc12971"/>
      <w:bookmarkStart w:id="209" w:name="_Toc29878"/>
      <w:bookmarkStart w:id="210" w:name="_Toc14583"/>
      <w:bookmarkStart w:id="211" w:name="_Toc30472"/>
      <w:r>
        <w:rPr>
          <w:rFonts w:hint="eastAsia" w:ascii="仿宋" w:hAnsi="仿宋" w:eastAsia="仿宋" w:cs="仿宋"/>
          <w:b/>
          <w:bCs/>
          <w:color w:val="auto"/>
          <w:kern w:val="44"/>
          <w:sz w:val="24"/>
          <w:szCs w:val="24"/>
          <w:highlight w:val="none"/>
        </w:rPr>
        <w:t>与采购代理机构和采购人的接触</w:t>
      </w:r>
      <w:bookmarkEnd w:id="207"/>
      <w:bookmarkEnd w:id="208"/>
      <w:bookmarkEnd w:id="209"/>
      <w:bookmarkEnd w:id="210"/>
      <w:bookmarkEnd w:id="211"/>
    </w:p>
    <w:p w14:paraId="21EC6433">
      <w:pPr>
        <w:numPr>
          <w:ilvl w:val="1"/>
          <w:numId w:val="4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除本须知规定外，从开标之日起至授予合同期间，投标人不得就与其投标有关的事项与采购代理机构、采购人和评标小组接触。</w:t>
      </w:r>
    </w:p>
    <w:p w14:paraId="0DB02B4E">
      <w:pPr>
        <w:numPr>
          <w:ilvl w:val="1"/>
          <w:numId w:val="4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投标人试图对采购代理机构、采购人和评标小组的评标或授予合同的决定进行影响，都可能导致其投标被拒绝。</w:t>
      </w:r>
    </w:p>
    <w:p w14:paraId="6C8CDCEC">
      <w:pPr>
        <w:keepNext/>
        <w:keepLines/>
        <w:spacing w:line="360" w:lineRule="auto"/>
        <w:jc w:val="center"/>
        <w:outlineLvl w:val="1"/>
        <w:rPr>
          <w:rFonts w:hint="eastAsia" w:ascii="仿宋" w:hAnsi="仿宋" w:eastAsia="仿宋" w:cs="仿宋"/>
          <w:b/>
          <w:bCs/>
          <w:color w:val="auto"/>
          <w:sz w:val="24"/>
          <w:szCs w:val="24"/>
          <w:highlight w:val="none"/>
        </w:rPr>
      </w:pPr>
      <w:bookmarkStart w:id="212" w:name="_Toc4267"/>
      <w:bookmarkStart w:id="213" w:name="_Toc8757"/>
      <w:bookmarkStart w:id="214" w:name="_Toc55778715"/>
      <w:r>
        <w:rPr>
          <w:rFonts w:hint="eastAsia" w:ascii="仿宋" w:hAnsi="仿宋" w:eastAsia="仿宋" w:cs="仿宋"/>
          <w:b/>
          <w:bCs/>
          <w:color w:val="auto"/>
          <w:sz w:val="24"/>
          <w:szCs w:val="24"/>
          <w:highlight w:val="none"/>
        </w:rPr>
        <w:t>六、质疑与投诉</w:t>
      </w:r>
      <w:bookmarkEnd w:id="212"/>
      <w:bookmarkEnd w:id="213"/>
      <w:bookmarkEnd w:id="214"/>
    </w:p>
    <w:p w14:paraId="61D3DEE8">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15" w:name="_Toc55778716"/>
      <w:bookmarkStart w:id="216" w:name="_Toc28035"/>
      <w:r>
        <w:rPr>
          <w:rFonts w:hint="eastAsia" w:ascii="仿宋" w:hAnsi="仿宋" w:eastAsia="仿宋" w:cs="仿宋"/>
          <w:b/>
          <w:bCs/>
          <w:color w:val="auto"/>
          <w:kern w:val="44"/>
          <w:sz w:val="24"/>
          <w:szCs w:val="24"/>
          <w:highlight w:val="none"/>
        </w:rPr>
        <w:t xml:space="preserve">    </w:t>
      </w:r>
      <w:bookmarkStart w:id="217" w:name="_Toc26722"/>
      <w:bookmarkStart w:id="218" w:name="_Toc22749"/>
      <w:bookmarkStart w:id="219" w:name="_Toc5828"/>
      <w:bookmarkStart w:id="220" w:name="_Toc6727"/>
      <w:r>
        <w:rPr>
          <w:rFonts w:hint="eastAsia" w:ascii="仿宋" w:hAnsi="仿宋" w:eastAsia="仿宋" w:cs="仿宋"/>
          <w:b/>
          <w:bCs/>
          <w:color w:val="auto"/>
          <w:kern w:val="44"/>
          <w:sz w:val="24"/>
          <w:szCs w:val="24"/>
          <w:highlight w:val="none"/>
        </w:rPr>
        <w:t>询问</w:t>
      </w:r>
      <w:bookmarkEnd w:id="215"/>
      <w:bookmarkEnd w:id="216"/>
      <w:bookmarkEnd w:id="217"/>
      <w:bookmarkEnd w:id="218"/>
      <w:bookmarkEnd w:id="219"/>
      <w:bookmarkEnd w:id="220"/>
    </w:p>
    <w:p w14:paraId="2012DDB5">
      <w:pPr>
        <w:numPr>
          <w:ilvl w:val="1"/>
          <w:numId w:val="4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对招标活动事项（招标文件、招标过程和中标结果）有疑问的，可以向采购代理机构和采购人提出询问，采购代理机构和采购人将及时作出答复，但答复的内容不涉及商业秘密。询问可以口头方式提出，也可以书面方式提出，书面方式包括但不限于传真、信函、电子邮件。</w:t>
      </w:r>
    </w:p>
    <w:p w14:paraId="1702492D">
      <w:pPr>
        <w:numPr>
          <w:ilvl w:val="1"/>
          <w:numId w:val="4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如采用书面方式提出询问，投标人为自然人的，询问函应当由本人签字；</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为法人或者其他组织的，应当由法定代表人、主要负责人或授权代表签字或者盖章，并加盖公章。</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递交询问函时非法定代表人亲自办理的需提供法定代表人授权委托书（应载明授权代表的姓名或者名称、代理事项、具体权限、期限和相关事项）及授权代表身份证复印件。</w:t>
      </w:r>
    </w:p>
    <w:p w14:paraId="0A910485">
      <w:pPr>
        <w:numPr>
          <w:ilvl w:val="1"/>
          <w:numId w:val="4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招标采购单位在三个工作日内对投标人依法提出的询问作出答复。</w:t>
      </w:r>
    </w:p>
    <w:p w14:paraId="77B03A94">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21" w:name="_Toc55778717"/>
      <w:bookmarkStart w:id="222" w:name="_Toc922"/>
      <w:r>
        <w:rPr>
          <w:rFonts w:hint="eastAsia" w:ascii="仿宋" w:hAnsi="仿宋" w:eastAsia="仿宋" w:cs="仿宋"/>
          <w:b/>
          <w:bCs/>
          <w:color w:val="auto"/>
          <w:kern w:val="44"/>
          <w:sz w:val="24"/>
          <w:szCs w:val="24"/>
          <w:highlight w:val="none"/>
        </w:rPr>
        <w:t xml:space="preserve">    </w:t>
      </w:r>
      <w:bookmarkStart w:id="223" w:name="_Toc9977"/>
      <w:bookmarkStart w:id="224" w:name="_Toc16083"/>
      <w:bookmarkStart w:id="225" w:name="_Toc2109"/>
      <w:bookmarkStart w:id="226" w:name="_Toc31010"/>
      <w:r>
        <w:rPr>
          <w:rFonts w:hint="eastAsia" w:ascii="仿宋" w:hAnsi="仿宋" w:eastAsia="仿宋" w:cs="仿宋"/>
          <w:b/>
          <w:bCs/>
          <w:color w:val="auto"/>
          <w:kern w:val="44"/>
          <w:sz w:val="24"/>
          <w:szCs w:val="24"/>
          <w:highlight w:val="none"/>
        </w:rPr>
        <w:t>质疑</w:t>
      </w:r>
      <w:bookmarkEnd w:id="221"/>
      <w:bookmarkEnd w:id="222"/>
      <w:bookmarkEnd w:id="223"/>
      <w:bookmarkEnd w:id="224"/>
      <w:bookmarkEnd w:id="225"/>
      <w:bookmarkEnd w:id="226"/>
    </w:p>
    <w:p w14:paraId="22DDD8FF">
      <w:pPr>
        <w:numPr>
          <w:ilvl w:val="1"/>
          <w:numId w:val="46"/>
        </w:numPr>
        <w:spacing w:line="36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质疑期限</w:t>
      </w:r>
    </w:p>
    <w:p w14:paraId="22430E38">
      <w:pPr>
        <w:numPr>
          <w:ilvl w:val="2"/>
          <w:numId w:val="4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认为招标文件的内容损害其权益的，应在收到招标文件之日或者招标文件公告期届满之日起七个工作日内。（注：</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获取招标文件之日早于招标文件公告期限届满之日的，则以</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获取招标文件之日为质疑时效期间的起算日期；否则，以招标文件公告期限届满之日为质疑时效期间的起算日期）。</w:t>
      </w:r>
    </w:p>
    <w:p w14:paraId="75A1A2D4">
      <w:pPr>
        <w:numPr>
          <w:ilvl w:val="2"/>
          <w:numId w:val="4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认为采购过程损害其权益的，应在各采购程序环节结束之日起七个工作日内。</w:t>
      </w:r>
    </w:p>
    <w:p w14:paraId="16222F2B">
      <w:pPr>
        <w:numPr>
          <w:ilvl w:val="2"/>
          <w:numId w:val="4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认为中标或者成交结果损害其权益的，应在中标或者成交结果公告期限届满之日起七个工作日内。</w:t>
      </w:r>
    </w:p>
    <w:p w14:paraId="15D1826D">
      <w:pPr>
        <w:numPr>
          <w:ilvl w:val="1"/>
          <w:numId w:val="4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提交的要求：</w:t>
      </w:r>
    </w:p>
    <w:p w14:paraId="4FEBDD7E">
      <w:pPr>
        <w:numPr>
          <w:ilvl w:val="2"/>
          <w:numId w:val="4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以书面形式（加盖投标人公章，投标人以电话、传真或电邮形式提交的质疑属于无效质疑）向招标采购单位提出质疑。</w:t>
      </w:r>
    </w:p>
    <w:p w14:paraId="67EAAB7A">
      <w:pPr>
        <w:numPr>
          <w:ilvl w:val="2"/>
          <w:numId w:val="4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质疑书内容：应包括具体的质疑项目的名称及编号、具体明确的质疑事项和与质疑事项相关的请求、事实依据、必要的法律依据、提出质疑的日期、投标人名称及地址、授权代表姓名及其联系电话、质疑时间</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的姓名或者名称、地址、邮编、联系人及联系电话。质疑书应当署名并由法定代表人或授权代表签字并加盖公章。投标人递交质疑书时需提供质疑书原件、法定代表人授权委托书（应载明委托代理的具体权限及事项）及授权代表身份证复印件。</w:t>
      </w:r>
    </w:p>
    <w:p w14:paraId="728E17E2">
      <w:pPr>
        <w:numPr>
          <w:ilvl w:val="2"/>
          <w:numId w:val="4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投标人质疑应当有明确的请求和必要的证明材料，捏造事实、提供虚假材料或者以非法手段取得证明材料不能作为质疑的证明材料。</w:t>
      </w:r>
    </w:p>
    <w:p w14:paraId="11C29E25">
      <w:pPr>
        <w:numPr>
          <w:ilvl w:val="1"/>
          <w:numId w:val="4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质疑人进行质疑应当符合下列条件：</w:t>
      </w:r>
    </w:p>
    <w:p w14:paraId="0FE05211">
      <w:pPr>
        <w:numPr>
          <w:ilvl w:val="0"/>
          <w:numId w:val="49"/>
        </w:numPr>
        <w:tabs>
          <w:tab w:val="left" w:pos="1272"/>
        </w:tabs>
        <w:spacing w:line="360" w:lineRule="auto"/>
        <w:ind w:left="1272" w:hanging="42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质疑人是参与所质疑政府采购项目的</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w:t>
      </w:r>
    </w:p>
    <w:p w14:paraId="749C48BE">
      <w:pPr>
        <w:numPr>
          <w:ilvl w:val="0"/>
          <w:numId w:val="49"/>
        </w:numPr>
        <w:tabs>
          <w:tab w:val="left" w:pos="1272"/>
        </w:tabs>
        <w:spacing w:line="360" w:lineRule="auto"/>
        <w:ind w:left="1272" w:hanging="42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在质疑有效期内提起质疑；</w:t>
      </w:r>
    </w:p>
    <w:p w14:paraId="409545BF">
      <w:pPr>
        <w:numPr>
          <w:ilvl w:val="0"/>
          <w:numId w:val="49"/>
        </w:numPr>
        <w:tabs>
          <w:tab w:val="left" w:pos="1272"/>
        </w:tabs>
        <w:spacing w:line="360" w:lineRule="auto"/>
        <w:ind w:left="1272" w:hanging="42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法律法规规定的其他条件。</w:t>
      </w:r>
    </w:p>
    <w:p w14:paraId="597D496A">
      <w:pPr>
        <w:numPr>
          <w:ilvl w:val="1"/>
          <w:numId w:val="4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代理机构和采购人在收到投标投标人的书面质疑后7个工作日内作出答复，并以书面形式通知质疑投标投标人和其他有关投标投标人，但答复内容不涉及商业秘密。质疑投标投标人须提供相关证明材料，包括但不限于权益受损害的情况说明及受损害的原因、证据内容等，并对质疑内容的真实性承担责任。</w:t>
      </w:r>
    </w:p>
    <w:p w14:paraId="4E6167B1">
      <w:pPr>
        <w:numPr>
          <w:ilvl w:val="1"/>
          <w:numId w:val="4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对于捏造事实、滥用维权扰乱采购秩序的恶意质疑者或举证不全查无实据被驳回次数在一年内达三次以上，将纳入不良行为记录名单并承担相应的法律责任。</w:t>
      </w:r>
    </w:p>
    <w:p w14:paraId="525A3EAA">
      <w:pPr>
        <w:numPr>
          <w:ilvl w:val="1"/>
          <w:numId w:val="46"/>
        </w:numPr>
        <w:spacing w:line="336"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质疑联系方式：</w:t>
      </w:r>
    </w:p>
    <w:p w14:paraId="45996675">
      <w:pPr>
        <w:spacing w:line="336" w:lineRule="auto"/>
        <w:ind w:left="899" w:leftChars="428"/>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新疆华域建设工程项目管理咨询有限公司</w:t>
      </w:r>
    </w:p>
    <w:p w14:paraId="18CE97A3">
      <w:pPr>
        <w:spacing w:line="336" w:lineRule="auto"/>
        <w:ind w:firstLine="960" w:firstLineChars="4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eastAsia="zh-CN"/>
        </w:rPr>
        <w:t>薛迎</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eastAsia="zh-CN"/>
        </w:rPr>
        <w:t>18699973005</w:t>
      </w:r>
    </w:p>
    <w:p w14:paraId="7C64150B">
      <w:pPr>
        <w:spacing w:line="336" w:lineRule="auto"/>
        <w:ind w:left="4078" w:leftChars="456" w:hanging="3120" w:hangingChars="1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邮编：</w:t>
      </w:r>
      <w:r>
        <w:rPr>
          <w:rFonts w:hint="eastAsia" w:ascii="仿宋" w:hAnsi="仿宋" w:eastAsia="仿宋" w:cs="仿宋"/>
          <w:color w:val="auto"/>
          <w:sz w:val="24"/>
          <w:szCs w:val="24"/>
          <w:highlight w:val="none"/>
          <w:lang w:val="en-US" w:eastAsia="zh-CN"/>
        </w:rPr>
        <w:t>835000</w:t>
      </w:r>
      <w:r>
        <w:rPr>
          <w:rFonts w:hint="eastAsia" w:ascii="仿宋" w:hAnsi="仿宋" w:eastAsia="仿宋" w:cs="仿宋"/>
          <w:color w:val="auto"/>
          <w:sz w:val="24"/>
          <w:szCs w:val="24"/>
          <w:highlight w:val="none"/>
        </w:rPr>
        <w:t xml:space="preserve">        </w:t>
      </w:r>
    </w:p>
    <w:p w14:paraId="1F0DCA16">
      <w:pPr>
        <w:spacing w:line="336" w:lineRule="auto"/>
        <w:ind w:left="4078" w:leftChars="456" w:hanging="3120" w:hangingChars="1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地址：伊宁市经济合作区北京路一品墅新房大厦10楼1004号</w:t>
      </w:r>
    </w:p>
    <w:p w14:paraId="4F12EB36">
      <w:pPr>
        <w:numPr>
          <w:ilvl w:val="1"/>
          <w:numId w:val="46"/>
        </w:numPr>
        <w:spacing w:line="336" w:lineRule="auto"/>
        <w:rPr>
          <w:rFonts w:hint="eastAsia" w:ascii="仿宋" w:hAnsi="仿宋" w:eastAsia="仿宋" w:cs="仿宋"/>
          <w:b/>
          <w:bCs/>
          <w:color w:val="auto"/>
          <w:kern w:val="0"/>
          <w:sz w:val="24"/>
          <w:szCs w:val="24"/>
          <w:highlight w:val="none"/>
        </w:rPr>
      </w:pPr>
      <w:r>
        <w:rPr>
          <w:rFonts w:hint="eastAsia" w:ascii="仿宋" w:hAnsi="仿宋" w:eastAsia="仿宋" w:cs="仿宋"/>
          <w:color w:val="auto"/>
          <w:kern w:val="0"/>
          <w:sz w:val="24"/>
          <w:szCs w:val="24"/>
          <w:highlight w:val="none"/>
        </w:rPr>
        <w:t>质疑函格式</w:t>
      </w:r>
    </w:p>
    <w:p w14:paraId="0629428D">
      <w:pPr>
        <w:widowControl/>
        <w:spacing w:line="360" w:lineRule="auto"/>
        <w:ind w:firstLine="957" w:firstLineChars="399"/>
        <w:jc w:val="left"/>
        <w:rPr>
          <w:rFonts w:hint="eastAsia" w:ascii="仿宋" w:hAnsi="仿宋" w:eastAsia="仿宋" w:cs="仿宋"/>
          <w:color w:val="auto"/>
          <w:sz w:val="24"/>
          <w:szCs w:val="24"/>
          <w:highlight w:val="none"/>
        </w:rPr>
      </w:pPr>
      <w:r>
        <w:rPr>
          <w:rFonts w:hint="eastAsia" w:ascii="仿宋" w:hAnsi="仿宋" w:eastAsia="仿宋" w:cs="仿宋"/>
          <w:b w:val="0"/>
          <w:color w:val="auto"/>
          <w:kern w:val="2"/>
          <w:sz w:val="24"/>
          <w:szCs w:val="24"/>
          <w:highlight w:val="none"/>
          <w:lang w:val="en-US" w:eastAsia="zh-CN" w:bidi="ar-SA"/>
        </w:rPr>
        <w:t>按照财政部制定的《政府采购质疑函范本》格式（可从财政部官方网站下载）和《政府采购质疑和投诉办法》的要求，在法定质疑期内以纸质形式提出质疑，针对同一采购程序环节的质疑应一次性提出。超出法定质疑期的、重复提出的、分次提出的或内容、形式不符合《政府采购质疑和投诉办法》的，质疑供应商将依法承担不利后果。</w:t>
      </w:r>
    </w:p>
    <w:p w14:paraId="1681FD8B">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27" w:name="_Toc2395"/>
      <w:bookmarkStart w:id="228" w:name="_Toc55778718"/>
      <w:bookmarkStart w:id="229" w:name="_Toc13170"/>
      <w:bookmarkStart w:id="230" w:name="_Toc3059"/>
      <w:bookmarkStart w:id="231" w:name="_Toc11190"/>
      <w:bookmarkStart w:id="232" w:name="_Toc7547"/>
      <w:r>
        <w:rPr>
          <w:rFonts w:hint="eastAsia" w:ascii="仿宋" w:hAnsi="仿宋" w:eastAsia="仿宋" w:cs="仿宋"/>
          <w:b/>
          <w:bCs/>
          <w:color w:val="auto"/>
          <w:kern w:val="44"/>
          <w:sz w:val="24"/>
          <w:szCs w:val="24"/>
          <w:highlight w:val="none"/>
        </w:rPr>
        <w:t>投诉</w:t>
      </w:r>
      <w:bookmarkEnd w:id="227"/>
      <w:bookmarkEnd w:id="228"/>
      <w:bookmarkEnd w:id="229"/>
      <w:bookmarkEnd w:id="230"/>
      <w:bookmarkEnd w:id="231"/>
      <w:bookmarkEnd w:id="232"/>
    </w:p>
    <w:p w14:paraId="798D7288">
      <w:pPr>
        <w:numPr>
          <w:ilvl w:val="1"/>
          <w:numId w:val="5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投标投标人对采购代理机构和采购人的质疑答复不满意或在规定时间内未得到答复的，可以在答复期满后15个工作日内，向政府采购监督管理机构投诉。</w:t>
      </w:r>
    </w:p>
    <w:p w14:paraId="1F0F3761">
      <w:pPr>
        <w:numPr>
          <w:ilvl w:val="1"/>
          <w:numId w:val="5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政府采购监督管理机构</w:t>
      </w:r>
    </w:p>
    <w:p w14:paraId="79B20CAE">
      <w:pPr>
        <w:spacing w:line="360" w:lineRule="auto"/>
        <w:ind w:left="899" w:leftChars="42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政府采购监督管理机构名称：</w:t>
      </w:r>
      <w:r>
        <w:rPr>
          <w:rFonts w:hint="eastAsia" w:ascii="仿宋" w:hAnsi="仿宋" w:eastAsia="仿宋" w:cs="仿宋"/>
          <w:b/>
          <w:bCs/>
          <w:color w:val="auto"/>
          <w:sz w:val="24"/>
          <w:szCs w:val="24"/>
          <w:highlight w:val="none"/>
          <w:u w:val="single"/>
          <w:lang w:val="en-US" w:eastAsia="zh-CN"/>
        </w:rPr>
        <w:t>特克斯县</w:t>
      </w:r>
      <w:r>
        <w:rPr>
          <w:rFonts w:hint="eastAsia" w:ascii="仿宋" w:hAnsi="仿宋" w:eastAsia="仿宋" w:cs="仿宋"/>
          <w:b/>
          <w:bCs/>
          <w:color w:val="auto"/>
          <w:sz w:val="24"/>
          <w:szCs w:val="24"/>
          <w:highlight w:val="none"/>
          <w:u w:val="single"/>
        </w:rPr>
        <w:t>财政局</w:t>
      </w:r>
    </w:p>
    <w:p w14:paraId="66127AAE">
      <w:pPr>
        <w:keepNext/>
        <w:keepLines/>
        <w:spacing w:line="360" w:lineRule="auto"/>
        <w:jc w:val="center"/>
        <w:outlineLvl w:val="1"/>
        <w:rPr>
          <w:rFonts w:hint="eastAsia" w:ascii="仿宋" w:hAnsi="仿宋" w:eastAsia="仿宋" w:cs="仿宋"/>
          <w:b/>
          <w:bCs/>
          <w:color w:val="auto"/>
          <w:sz w:val="24"/>
          <w:szCs w:val="24"/>
          <w:highlight w:val="none"/>
        </w:rPr>
      </w:pPr>
      <w:bookmarkStart w:id="233" w:name="_Toc11991"/>
      <w:bookmarkStart w:id="234" w:name="_Toc55778719"/>
      <w:bookmarkStart w:id="235" w:name="_Toc21033"/>
    </w:p>
    <w:p w14:paraId="407EC27E">
      <w:pPr>
        <w:keepNext/>
        <w:keepLines/>
        <w:spacing w:line="360" w:lineRule="auto"/>
        <w:jc w:val="center"/>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七、授予合同</w:t>
      </w:r>
      <w:bookmarkEnd w:id="233"/>
      <w:bookmarkEnd w:id="234"/>
      <w:bookmarkEnd w:id="235"/>
    </w:p>
    <w:p w14:paraId="21704C20">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36" w:name="_Toc17273"/>
      <w:bookmarkStart w:id="237" w:name="_Toc55778720"/>
      <w:r>
        <w:rPr>
          <w:rFonts w:hint="eastAsia" w:ascii="仿宋" w:hAnsi="仿宋" w:eastAsia="仿宋" w:cs="仿宋"/>
          <w:b/>
          <w:bCs/>
          <w:color w:val="auto"/>
          <w:kern w:val="44"/>
          <w:sz w:val="24"/>
          <w:szCs w:val="24"/>
          <w:highlight w:val="none"/>
        </w:rPr>
        <w:t xml:space="preserve">    </w:t>
      </w:r>
      <w:bookmarkStart w:id="238" w:name="_Toc30579"/>
      <w:bookmarkStart w:id="239" w:name="_Toc27860"/>
      <w:bookmarkStart w:id="240" w:name="_Toc32369"/>
      <w:bookmarkStart w:id="241" w:name="_Toc28231"/>
      <w:r>
        <w:rPr>
          <w:rFonts w:hint="eastAsia" w:ascii="仿宋" w:hAnsi="仿宋" w:eastAsia="仿宋" w:cs="仿宋"/>
          <w:b/>
          <w:bCs/>
          <w:color w:val="auto"/>
          <w:kern w:val="44"/>
          <w:sz w:val="24"/>
          <w:szCs w:val="24"/>
          <w:highlight w:val="none"/>
        </w:rPr>
        <w:t>确定中标</w:t>
      </w:r>
      <w:bookmarkEnd w:id="236"/>
      <w:r>
        <w:rPr>
          <w:rFonts w:hint="eastAsia" w:ascii="仿宋" w:hAnsi="仿宋" w:eastAsia="仿宋" w:cs="仿宋"/>
          <w:b/>
          <w:bCs/>
          <w:color w:val="auto"/>
          <w:kern w:val="44"/>
          <w:sz w:val="24"/>
          <w:szCs w:val="24"/>
          <w:highlight w:val="none"/>
        </w:rPr>
        <w:t>人</w:t>
      </w:r>
      <w:bookmarkEnd w:id="237"/>
      <w:bookmarkEnd w:id="238"/>
      <w:bookmarkEnd w:id="239"/>
      <w:bookmarkEnd w:id="240"/>
      <w:bookmarkEnd w:id="241"/>
    </w:p>
    <w:p w14:paraId="284AE88F">
      <w:pPr>
        <w:numPr>
          <w:ilvl w:val="1"/>
          <w:numId w:val="5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评标小组按照招标文件确定的评标方法、步骤、标准，对投标文件进行评审，提出书面评标报告，按照综合评分得分由高到低的顺序推荐中标候选人名单。</w:t>
      </w:r>
    </w:p>
    <w:p w14:paraId="06A07CE4">
      <w:pPr>
        <w:numPr>
          <w:ilvl w:val="1"/>
          <w:numId w:val="5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采购人在收到评标报告后的法定时间内，按照评标报告中推荐的中标候选人顺序确定中标人。</w:t>
      </w:r>
    </w:p>
    <w:p w14:paraId="407092AA">
      <w:pPr>
        <w:numPr>
          <w:ilvl w:val="1"/>
          <w:numId w:val="51"/>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中标投标人放弃中标或者中标资格被依法确认无效的，采购人可以按照排序从其他中标候选投标人中确定中标投标人或重新组织招标活动。</w:t>
      </w:r>
    </w:p>
    <w:p w14:paraId="340A1B67">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42" w:name="_Ref179619923"/>
      <w:bookmarkStart w:id="243" w:name="_Toc55778721"/>
      <w:bookmarkStart w:id="244" w:name="_Toc14943"/>
      <w:r>
        <w:rPr>
          <w:rFonts w:hint="eastAsia" w:ascii="仿宋" w:hAnsi="仿宋" w:eastAsia="仿宋" w:cs="仿宋"/>
          <w:b/>
          <w:bCs/>
          <w:color w:val="auto"/>
          <w:kern w:val="44"/>
          <w:sz w:val="24"/>
          <w:szCs w:val="24"/>
          <w:highlight w:val="none"/>
        </w:rPr>
        <w:t xml:space="preserve">    </w:t>
      </w:r>
      <w:bookmarkStart w:id="245" w:name="_Toc19166"/>
      <w:bookmarkStart w:id="246" w:name="_Toc29372"/>
      <w:bookmarkStart w:id="247" w:name="_Toc17309"/>
      <w:bookmarkStart w:id="248" w:name="_Toc7161"/>
      <w:r>
        <w:rPr>
          <w:rFonts w:hint="eastAsia" w:ascii="仿宋" w:hAnsi="仿宋" w:eastAsia="仿宋" w:cs="仿宋"/>
          <w:b/>
          <w:bCs/>
          <w:color w:val="auto"/>
          <w:kern w:val="44"/>
          <w:sz w:val="24"/>
          <w:szCs w:val="24"/>
          <w:highlight w:val="none"/>
        </w:rPr>
        <w:t>接受和拒绝任何或所有投标的权力</w:t>
      </w:r>
      <w:bookmarkEnd w:id="242"/>
      <w:bookmarkEnd w:id="243"/>
      <w:bookmarkEnd w:id="244"/>
      <w:bookmarkEnd w:id="245"/>
      <w:bookmarkEnd w:id="246"/>
      <w:bookmarkEnd w:id="247"/>
      <w:bookmarkEnd w:id="248"/>
    </w:p>
    <w:p w14:paraId="1B2EFAA1">
      <w:pPr>
        <w:numPr>
          <w:ilvl w:val="1"/>
          <w:numId w:val="52"/>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特殊情况下，采购代理机构和采购人保留在定标之前依法拒绝任何投标以及宣布招标程序无效或拒绝所有投标的权力，且对受影响的投标人不承担任何责任，也无义务向受影响的投标人解释采取这一行动的理由。</w:t>
      </w:r>
    </w:p>
    <w:p w14:paraId="726958CB">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49" w:name="_Toc55778722"/>
      <w:bookmarkStart w:id="250" w:name="_Toc19068"/>
      <w:r>
        <w:rPr>
          <w:rFonts w:hint="eastAsia" w:ascii="仿宋" w:hAnsi="仿宋" w:eastAsia="仿宋" w:cs="仿宋"/>
          <w:b/>
          <w:bCs/>
          <w:color w:val="auto"/>
          <w:kern w:val="44"/>
          <w:sz w:val="24"/>
          <w:szCs w:val="24"/>
          <w:highlight w:val="none"/>
        </w:rPr>
        <w:t xml:space="preserve">    </w:t>
      </w:r>
      <w:bookmarkStart w:id="251" w:name="_Toc9402"/>
      <w:bookmarkStart w:id="252" w:name="_Toc8040"/>
      <w:bookmarkStart w:id="253" w:name="_Toc26407"/>
      <w:bookmarkStart w:id="254" w:name="_Toc444"/>
      <w:r>
        <w:rPr>
          <w:rFonts w:hint="eastAsia" w:ascii="仿宋" w:hAnsi="仿宋" w:eastAsia="仿宋" w:cs="仿宋"/>
          <w:b/>
          <w:bCs/>
          <w:color w:val="auto"/>
          <w:kern w:val="44"/>
          <w:sz w:val="24"/>
          <w:szCs w:val="24"/>
          <w:highlight w:val="none"/>
        </w:rPr>
        <w:t>中标通知书</w:t>
      </w:r>
      <w:bookmarkEnd w:id="249"/>
      <w:bookmarkEnd w:id="250"/>
      <w:bookmarkEnd w:id="251"/>
      <w:bookmarkEnd w:id="252"/>
      <w:bookmarkEnd w:id="253"/>
      <w:bookmarkEnd w:id="254"/>
    </w:p>
    <w:p w14:paraId="6EAE1401">
      <w:pPr>
        <w:numPr>
          <w:ilvl w:val="1"/>
          <w:numId w:val="5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中标人确定后，采购代理机构按本须知规定网站发布中标公告，并同时向中标人发出《中标通知书》。</w:t>
      </w:r>
    </w:p>
    <w:p w14:paraId="33BB8ABE">
      <w:pPr>
        <w:numPr>
          <w:ilvl w:val="1"/>
          <w:numId w:val="53"/>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《中标通知书》是合同的一个组成部分。</w:t>
      </w:r>
    </w:p>
    <w:p w14:paraId="1D950BF8">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55" w:name="_Toc55778723"/>
      <w:bookmarkStart w:id="256" w:name="_Toc16935"/>
      <w:r>
        <w:rPr>
          <w:rFonts w:hint="eastAsia" w:ascii="仿宋" w:hAnsi="仿宋" w:eastAsia="仿宋" w:cs="仿宋"/>
          <w:b/>
          <w:bCs/>
          <w:color w:val="auto"/>
          <w:kern w:val="44"/>
          <w:sz w:val="24"/>
          <w:szCs w:val="24"/>
          <w:highlight w:val="none"/>
        </w:rPr>
        <w:t xml:space="preserve">    </w:t>
      </w:r>
      <w:bookmarkStart w:id="257" w:name="_Toc22710"/>
      <w:bookmarkStart w:id="258" w:name="_Toc14729"/>
      <w:bookmarkStart w:id="259" w:name="_Toc18897"/>
      <w:bookmarkStart w:id="260" w:name="_Toc7012"/>
      <w:r>
        <w:rPr>
          <w:rFonts w:hint="eastAsia" w:ascii="仿宋" w:hAnsi="仿宋" w:eastAsia="仿宋" w:cs="仿宋"/>
          <w:b/>
          <w:bCs/>
          <w:color w:val="auto"/>
          <w:kern w:val="44"/>
          <w:sz w:val="24"/>
          <w:szCs w:val="24"/>
          <w:highlight w:val="none"/>
        </w:rPr>
        <w:t>合同的订立</w:t>
      </w:r>
      <w:bookmarkEnd w:id="255"/>
      <w:bookmarkEnd w:id="256"/>
      <w:bookmarkEnd w:id="257"/>
      <w:bookmarkEnd w:id="258"/>
      <w:bookmarkEnd w:id="259"/>
      <w:bookmarkEnd w:id="260"/>
    </w:p>
    <w:p w14:paraId="5155DBB8">
      <w:pPr>
        <w:numPr>
          <w:ilvl w:val="1"/>
          <w:numId w:val="5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与中标投标人自中标通知书发出之日起三十日内，按招标文件要求和中标投标人投标文件承诺签订政府采购合同，但不得超出招标文件和中标投标人投标文件的范围、也不得再行订立背离合同实质性内容的其他协议。</w:t>
      </w:r>
    </w:p>
    <w:p w14:paraId="17E65909">
      <w:pPr>
        <w:numPr>
          <w:ilvl w:val="1"/>
          <w:numId w:val="5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招标文件、中标人的投标文件及其澄清文件等，均为签订合同的依据。</w:t>
      </w:r>
    </w:p>
    <w:p w14:paraId="3E9D9E3E">
      <w:pPr>
        <w:numPr>
          <w:ilvl w:val="1"/>
          <w:numId w:val="54"/>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签订政府采购合同后7个工作日内，采购人应将合同副本报同级政府采购监督管理部门和有关部门备案，采购人应在政府采购合同签订之日起2个工作日内在新疆政府采购网http://www.ccgp-xinjiang.gov.cn/上公告。</w:t>
      </w:r>
    </w:p>
    <w:p w14:paraId="4AA446EC">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61" w:name="_Toc55778724"/>
      <w:bookmarkStart w:id="262" w:name="_Toc4044"/>
      <w:r>
        <w:rPr>
          <w:rFonts w:hint="eastAsia" w:ascii="仿宋" w:hAnsi="仿宋" w:eastAsia="仿宋" w:cs="仿宋"/>
          <w:b/>
          <w:bCs/>
          <w:color w:val="auto"/>
          <w:kern w:val="44"/>
          <w:sz w:val="24"/>
          <w:szCs w:val="24"/>
          <w:highlight w:val="none"/>
        </w:rPr>
        <w:t xml:space="preserve">   </w:t>
      </w:r>
      <w:bookmarkStart w:id="263" w:name="_Toc9738"/>
      <w:bookmarkStart w:id="264" w:name="_Toc7064"/>
      <w:bookmarkStart w:id="265" w:name="_Toc1719"/>
      <w:bookmarkStart w:id="266" w:name="_Toc19474"/>
      <w:r>
        <w:rPr>
          <w:rFonts w:hint="eastAsia" w:ascii="仿宋" w:hAnsi="仿宋" w:eastAsia="仿宋" w:cs="仿宋"/>
          <w:b/>
          <w:bCs/>
          <w:color w:val="auto"/>
          <w:kern w:val="44"/>
          <w:sz w:val="24"/>
          <w:szCs w:val="24"/>
          <w:highlight w:val="none"/>
        </w:rPr>
        <w:t>合同的履行</w:t>
      </w:r>
      <w:bookmarkEnd w:id="261"/>
      <w:bookmarkEnd w:id="262"/>
      <w:bookmarkEnd w:id="263"/>
      <w:bookmarkEnd w:id="264"/>
      <w:bookmarkEnd w:id="265"/>
      <w:bookmarkEnd w:id="266"/>
    </w:p>
    <w:p w14:paraId="3983FAC0">
      <w:pPr>
        <w:numPr>
          <w:ilvl w:val="1"/>
          <w:numId w:val="55"/>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合同订立后，合同各方不得擅自变更、中止或者终止合同。政府采购合同需要变更的，采购人应将有关合同变更内容，以书面形式报政府采购监督管理机关备案；因特殊情况需要中止或终止合同的，采购人应将中止或终止合同的理由以及相应措施，以书面形式报政府采购监督管理机关备案。</w:t>
      </w:r>
    </w:p>
    <w:p w14:paraId="28105514">
      <w:pPr>
        <w:numPr>
          <w:ilvl w:val="1"/>
          <w:numId w:val="55"/>
        </w:numPr>
        <w:spacing w:line="312"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合同履行中，采购人需追加与合同标的相同的货物、工程或者服务的，在不改变合同其他条款的前提下，可以与中标投标人签订补充合同，但所补充合同的采购金额不得超过原采购金额的10%，签订补充合同的必须按规定备案。</w:t>
      </w:r>
    </w:p>
    <w:p w14:paraId="0026DF03">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67" w:name="_Toc55778726"/>
      <w:r>
        <w:rPr>
          <w:rFonts w:hint="eastAsia" w:ascii="仿宋" w:hAnsi="仿宋" w:eastAsia="仿宋" w:cs="仿宋"/>
          <w:b/>
          <w:bCs/>
          <w:color w:val="auto"/>
          <w:kern w:val="44"/>
          <w:sz w:val="24"/>
          <w:szCs w:val="24"/>
          <w:highlight w:val="none"/>
        </w:rPr>
        <w:t xml:space="preserve">   </w:t>
      </w:r>
      <w:bookmarkStart w:id="268" w:name="_Toc23462"/>
      <w:bookmarkStart w:id="269" w:name="_Toc18199"/>
      <w:bookmarkStart w:id="270" w:name="_Toc28418"/>
      <w:bookmarkStart w:id="271" w:name="_Toc12016"/>
      <w:r>
        <w:rPr>
          <w:rFonts w:hint="eastAsia" w:ascii="仿宋" w:hAnsi="仿宋" w:eastAsia="仿宋" w:cs="仿宋"/>
          <w:b/>
          <w:bCs/>
          <w:color w:val="auto"/>
          <w:kern w:val="44"/>
          <w:sz w:val="24"/>
          <w:szCs w:val="24"/>
          <w:highlight w:val="none"/>
        </w:rPr>
        <w:t>采购代理服务费</w:t>
      </w:r>
      <w:bookmarkEnd w:id="267"/>
      <w:bookmarkEnd w:id="268"/>
      <w:bookmarkEnd w:id="269"/>
      <w:bookmarkEnd w:id="270"/>
      <w:bookmarkEnd w:id="271"/>
    </w:p>
    <w:p w14:paraId="643C082A">
      <w:pPr>
        <w:numPr>
          <w:ilvl w:val="1"/>
          <w:numId w:val="56"/>
        </w:numPr>
        <w:spacing w:line="360" w:lineRule="auto"/>
        <w:rPr>
          <w:rFonts w:hint="eastAsia" w:ascii="仿宋" w:hAnsi="仿宋" w:eastAsia="仿宋" w:cs="仿宋"/>
          <w:color w:val="auto"/>
          <w:sz w:val="24"/>
          <w:szCs w:val="24"/>
          <w:highlight w:val="none"/>
        </w:rPr>
      </w:pPr>
      <w:bookmarkStart w:id="272" w:name="_Ref179619574"/>
      <w:r>
        <w:rPr>
          <w:rFonts w:hint="eastAsia" w:ascii="仿宋" w:hAnsi="仿宋" w:eastAsia="仿宋" w:cs="仿宋"/>
          <w:color w:val="auto"/>
          <w:sz w:val="24"/>
          <w:szCs w:val="24"/>
          <w:highlight w:val="none"/>
        </w:rPr>
        <w:t>中标人须向采购代理机构按如下标准和规定缴纳采购代理服务费：参照《国家发展改革委关于进一步放开建设项目专业服务价格的通知》(发改价格〔2015〕299号)文件规定执行按标（包）计取</w:t>
      </w:r>
      <w:r>
        <w:rPr>
          <w:rFonts w:hint="eastAsia" w:ascii="仿宋" w:hAnsi="仿宋" w:eastAsia="仿宋" w:cs="仿宋"/>
          <w:color w:val="auto"/>
          <w:sz w:val="24"/>
          <w:szCs w:val="24"/>
          <w:highlight w:val="none"/>
          <w:lang w:eastAsia="zh-CN"/>
        </w:rPr>
        <w:t>。</w:t>
      </w:r>
    </w:p>
    <w:bookmarkEnd w:id="272"/>
    <w:p w14:paraId="1F8A3683">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73" w:name="_Toc55778727"/>
      <w:bookmarkStart w:id="274" w:name="_Toc18355"/>
      <w:r>
        <w:rPr>
          <w:rFonts w:hint="eastAsia" w:ascii="仿宋" w:hAnsi="仿宋" w:eastAsia="仿宋" w:cs="仿宋"/>
          <w:b/>
          <w:bCs/>
          <w:color w:val="auto"/>
          <w:kern w:val="44"/>
          <w:sz w:val="24"/>
          <w:szCs w:val="24"/>
          <w:highlight w:val="none"/>
        </w:rPr>
        <w:t xml:space="preserve">    </w:t>
      </w:r>
      <w:bookmarkStart w:id="275" w:name="_Toc8428"/>
      <w:bookmarkStart w:id="276" w:name="_Toc3865"/>
      <w:bookmarkStart w:id="277" w:name="_Toc11945"/>
      <w:bookmarkStart w:id="278" w:name="_Toc29629"/>
      <w:r>
        <w:rPr>
          <w:rFonts w:hint="eastAsia" w:ascii="仿宋" w:hAnsi="仿宋" w:eastAsia="仿宋" w:cs="仿宋"/>
          <w:b/>
          <w:bCs/>
          <w:color w:val="auto"/>
          <w:kern w:val="44"/>
          <w:sz w:val="24"/>
          <w:szCs w:val="24"/>
          <w:highlight w:val="none"/>
        </w:rPr>
        <w:t>适用法律</w:t>
      </w:r>
      <w:bookmarkEnd w:id="273"/>
      <w:bookmarkEnd w:id="274"/>
      <w:bookmarkEnd w:id="275"/>
      <w:bookmarkEnd w:id="276"/>
      <w:bookmarkEnd w:id="277"/>
      <w:bookmarkEnd w:id="278"/>
    </w:p>
    <w:p w14:paraId="5B0994E2">
      <w:pPr>
        <w:numPr>
          <w:ilvl w:val="1"/>
          <w:numId w:val="57"/>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采购人、采购代理机构及投标人的一切采购活动均适用《中华人民共和国政府采购法》、《中华人民共和国政府采购法实施条例》及其配套的法规、规章、政策。</w:t>
      </w:r>
    </w:p>
    <w:p w14:paraId="1EAFE89B">
      <w:pPr>
        <w:keepNext/>
        <w:keepLines/>
        <w:numPr>
          <w:ilvl w:val="0"/>
          <w:numId w:val="7"/>
        </w:numPr>
        <w:tabs>
          <w:tab w:val="left" w:pos="900"/>
        </w:tabs>
        <w:spacing w:line="360" w:lineRule="auto"/>
        <w:ind w:left="924" w:hanging="924"/>
        <w:outlineLvl w:val="0"/>
        <w:rPr>
          <w:rFonts w:hint="eastAsia" w:ascii="仿宋" w:hAnsi="仿宋" w:eastAsia="仿宋" w:cs="仿宋"/>
          <w:b/>
          <w:bCs/>
          <w:color w:val="auto"/>
          <w:kern w:val="44"/>
          <w:sz w:val="24"/>
          <w:szCs w:val="24"/>
          <w:highlight w:val="none"/>
        </w:rPr>
      </w:pPr>
      <w:bookmarkStart w:id="279" w:name="_Toc24416"/>
      <w:bookmarkStart w:id="280" w:name="_Toc55778728"/>
      <w:r>
        <w:rPr>
          <w:rFonts w:hint="eastAsia" w:ascii="仿宋" w:hAnsi="仿宋" w:eastAsia="仿宋" w:cs="仿宋"/>
          <w:b/>
          <w:bCs/>
          <w:color w:val="auto"/>
          <w:kern w:val="44"/>
          <w:sz w:val="24"/>
          <w:szCs w:val="24"/>
          <w:highlight w:val="none"/>
        </w:rPr>
        <w:t xml:space="preserve">    </w:t>
      </w:r>
      <w:bookmarkStart w:id="281" w:name="_Toc10876"/>
      <w:bookmarkStart w:id="282" w:name="_Toc7754"/>
      <w:bookmarkStart w:id="283" w:name="_Toc22475"/>
      <w:bookmarkStart w:id="284" w:name="_Toc22798"/>
      <w:r>
        <w:rPr>
          <w:rFonts w:hint="eastAsia" w:ascii="仿宋" w:hAnsi="仿宋" w:eastAsia="仿宋" w:cs="仿宋"/>
          <w:b/>
          <w:bCs/>
          <w:color w:val="auto"/>
          <w:kern w:val="44"/>
          <w:sz w:val="24"/>
          <w:szCs w:val="24"/>
          <w:highlight w:val="none"/>
        </w:rPr>
        <w:t>政府采购政策</w:t>
      </w:r>
      <w:bookmarkEnd w:id="279"/>
      <w:bookmarkEnd w:id="280"/>
      <w:bookmarkEnd w:id="281"/>
      <w:bookmarkEnd w:id="282"/>
      <w:bookmarkEnd w:id="283"/>
      <w:bookmarkEnd w:id="284"/>
    </w:p>
    <w:p w14:paraId="7D6E8A29">
      <w:pPr>
        <w:numPr>
          <w:ilvl w:val="1"/>
          <w:numId w:val="58"/>
        </w:numPr>
        <w:wordWrap w:val="0"/>
        <w:spacing w:line="360" w:lineRule="auto"/>
        <w:ind w:left="1037" w:hanging="1036" w:hangingChars="43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节能产品，指属于财政部、发展改革委发布的《节能产品政府采购品目清单》范围内，并具有国家确定的认证机构出具的、处于有效期之内的节能产品认证证书的产品，提供有效期内的中国节能产品认证证书复印件及《节能产品政府采购品目清单》中投标产品所在清单页并均加盖投标人公章，节能清单在中国政府采购网（http：//www.ccgp.gov.cn/）、国家发展改革委网站（http://hzs.nd rc.gv.cn/）和中国质量认证中心网站（http://www.cqc.com.cn/）上发布。</w:t>
      </w:r>
    </w:p>
    <w:p w14:paraId="1FAAF637">
      <w:pPr>
        <w:numPr>
          <w:ilvl w:val="1"/>
          <w:numId w:val="58"/>
        </w:numPr>
        <w:wordWrap w:val="0"/>
        <w:spacing w:line="360" w:lineRule="auto"/>
        <w:ind w:left="1037" w:hanging="1036" w:hangingChars="43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环境标志产品，指属于财政部、生态环境部发布的《环境标志产品政府采购品目清单》范围内的，并具有国家确定的认证机构出具的、处于有效期之内的环境标志产品认证证书的产品，提供有效期内的中国环境标志产品认证证书复印件及《环境标志产品政府采购品目清单》中投标产品所在清单页并均加盖投标人公章，清单在中国政府采购网（http://www.ccgp.gov.cn/）、国家环境保护总局网（http://www.sepa.gov.cn/）、中国绿色采购网（http://www.cgpn. cn/）上发布。</w:t>
      </w:r>
    </w:p>
    <w:p w14:paraId="79513FD3">
      <w:pPr>
        <w:numPr>
          <w:ilvl w:val="1"/>
          <w:numId w:val="58"/>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根据《政府采购促进中小企业发展管理办法》（财库[2020]46号文）的规定，投标人投标时需注意：</w:t>
      </w:r>
    </w:p>
    <w:p w14:paraId="049CDB82">
      <w:pPr>
        <w:numPr>
          <w:ilvl w:val="2"/>
          <w:numId w:val="5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小企业（含中型、小型、微型企业，下同）应当同时符合以下条件：（一）符合中小企业划分标准；（二）提供本企业制造的货物、承担的工程或者服务，或者提供其他中小企业制造的货物。本项所称货物不包括使用大型企业注册商标的货物。中小企业划分标准，是指国务院有关部门根据企业从业人员、营业收入、资产总额等指标制定的中小企业划型标准。小型、微型企业提供中型企业制造的货物的，视同为中型企业，中小企业划分标准参照《关于印发中小企业划型标准规定的通知》（工信部联企业[2011]300号）执行。</w:t>
      </w:r>
    </w:p>
    <w:p w14:paraId="40983D97">
      <w:pPr>
        <w:numPr>
          <w:ilvl w:val="2"/>
          <w:numId w:val="59"/>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参加政府采购活动的中小企业投标时需提供《中小企业声明函》。否则不予认可。</w:t>
      </w:r>
    </w:p>
    <w:p w14:paraId="6E54DEEA">
      <w:pPr>
        <w:spacing w:after="120"/>
        <w:rPr>
          <w:rFonts w:hint="eastAsia" w:ascii="仿宋" w:hAnsi="仿宋" w:eastAsia="仿宋" w:cs="仿宋"/>
          <w:color w:val="auto"/>
          <w:sz w:val="24"/>
          <w:szCs w:val="24"/>
          <w:highlight w:val="none"/>
        </w:rPr>
      </w:pPr>
    </w:p>
    <w:p w14:paraId="1D58C6C6">
      <w:pPr>
        <w:pStyle w:val="25"/>
        <w:rPr>
          <w:rFonts w:hint="eastAsia" w:ascii="仿宋" w:hAnsi="仿宋" w:eastAsia="仿宋" w:cs="仿宋"/>
          <w:color w:val="auto"/>
          <w:sz w:val="24"/>
          <w:szCs w:val="24"/>
          <w:highlight w:val="none"/>
        </w:rPr>
      </w:pPr>
    </w:p>
    <w:p w14:paraId="27798BDE">
      <w:pPr>
        <w:pStyle w:val="25"/>
        <w:rPr>
          <w:rFonts w:hint="eastAsia" w:ascii="仿宋" w:hAnsi="仿宋" w:eastAsia="仿宋" w:cs="仿宋"/>
          <w:color w:val="auto"/>
          <w:sz w:val="24"/>
          <w:szCs w:val="24"/>
          <w:highlight w:val="none"/>
        </w:rPr>
      </w:pPr>
    </w:p>
    <w:p w14:paraId="580ABFB3">
      <w:pPr>
        <w:pStyle w:val="25"/>
        <w:rPr>
          <w:rFonts w:hint="eastAsia" w:ascii="仿宋" w:hAnsi="仿宋" w:eastAsia="仿宋" w:cs="仿宋"/>
          <w:color w:val="auto"/>
          <w:sz w:val="24"/>
          <w:szCs w:val="24"/>
          <w:highlight w:val="none"/>
        </w:rPr>
      </w:pPr>
    </w:p>
    <w:p w14:paraId="63AE41A1">
      <w:pPr>
        <w:pStyle w:val="25"/>
        <w:rPr>
          <w:rFonts w:hint="eastAsia" w:ascii="仿宋" w:hAnsi="仿宋" w:eastAsia="仿宋" w:cs="仿宋"/>
          <w:color w:val="auto"/>
          <w:sz w:val="24"/>
          <w:szCs w:val="24"/>
          <w:highlight w:val="none"/>
        </w:rPr>
      </w:pPr>
    </w:p>
    <w:p w14:paraId="52B906D1">
      <w:pPr>
        <w:pStyle w:val="25"/>
        <w:rPr>
          <w:rFonts w:hint="eastAsia" w:ascii="仿宋" w:hAnsi="仿宋" w:eastAsia="仿宋" w:cs="仿宋"/>
          <w:color w:val="auto"/>
          <w:sz w:val="24"/>
          <w:szCs w:val="24"/>
          <w:highlight w:val="none"/>
        </w:rPr>
      </w:pPr>
    </w:p>
    <w:p w14:paraId="70E8CE33">
      <w:pPr>
        <w:pStyle w:val="25"/>
        <w:rPr>
          <w:rFonts w:hint="eastAsia" w:ascii="仿宋" w:hAnsi="仿宋" w:eastAsia="仿宋" w:cs="仿宋"/>
          <w:color w:val="auto"/>
          <w:sz w:val="24"/>
          <w:szCs w:val="24"/>
          <w:highlight w:val="none"/>
        </w:rPr>
      </w:pPr>
    </w:p>
    <w:p w14:paraId="76C7F218">
      <w:pPr>
        <w:pStyle w:val="25"/>
        <w:rPr>
          <w:rFonts w:hint="eastAsia" w:ascii="仿宋" w:hAnsi="仿宋" w:eastAsia="仿宋" w:cs="仿宋"/>
          <w:color w:val="auto"/>
          <w:sz w:val="24"/>
          <w:szCs w:val="24"/>
          <w:highlight w:val="none"/>
        </w:rPr>
      </w:pPr>
    </w:p>
    <w:p w14:paraId="194F07CC">
      <w:pPr>
        <w:pStyle w:val="25"/>
        <w:rPr>
          <w:rFonts w:hint="eastAsia" w:ascii="仿宋" w:hAnsi="仿宋" w:eastAsia="仿宋" w:cs="仿宋"/>
          <w:color w:val="auto"/>
          <w:sz w:val="24"/>
          <w:szCs w:val="24"/>
          <w:highlight w:val="none"/>
        </w:rPr>
      </w:pPr>
    </w:p>
    <w:p w14:paraId="1CE7AB4A">
      <w:pPr>
        <w:pStyle w:val="25"/>
        <w:rPr>
          <w:rFonts w:hint="eastAsia" w:ascii="仿宋" w:hAnsi="仿宋" w:eastAsia="仿宋" w:cs="仿宋"/>
          <w:color w:val="auto"/>
          <w:sz w:val="24"/>
          <w:szCs w:val="24"/>
          <w:highlight w:val="none"/>
        </w:rPr>
      </w:pPr>
    </w:p>
    <w:p w14:paraId="5B47F489">
      <w:pPr>
        <w:pStyle w:val="25"/>
        <w:rPr>
          <w:rFonts w:hint="eastAsia" w:ascii="仿宋" w:hAnsi="仿宋" w:eastAsia="仿宋" w:cs="仿宋"/>
          <w:color w:val="auto"/>
          <w:sz w:val="24"/>
          <w:szCs w:val="24"/>
          <w:highlight w:val="none"/>
        </w:rPr>
      </w:pPr>
    </w:p>
    <w:p w14:paraId="7E6D8C54">
      <w:pPr>
        <w:pStyle w:val="25"/>
        <w:rPr>
          <w:rFonts w:hint="eastAsia" w:ascii="仿宋" w:hAnsi="仿宋" w:eastAsia="仿宋" w:cs="仿宋"/>
          <w:color w:val="auto"/>
          <w:sz w:val="24"/>
          <w:szCs w:val="24"/>
          <w:highlight w:val="none"/>
        </w:rPr>
      </w:pPr>
    </w:p>
    <w:p w14:paraId="4F212A01">
      <w:pPr>
        <w:pStyle w:val="25"/>
        <w:rPr>
          <w:rFonts w:hint="eastAsia" w:ascii="仿宋" w:hAnsi="仿宋" w:eastAsia="仿宋" w:cs="仿宋"/>
          <w:color w:val="auto"/>
          <w:sz w:val="24"/>
          <w:szCs w:val="24"/>
          <w:highlight w:val="none"/>
        </w:rPr>
      </w:pPr>
    </w:p>
    <w:p w14:paraId="3542FF67">
      <w:pPr>
        <w:pStyle w:val="25"/>
        <w:rPr>
          <w:rFonts w:hint="eastAsia" w:ascii="仿宋" w:hAnsi="仿宋" w:eastAsia="仿宋" w:cs="仿宋"/>
          <w:color w:val="auto"/>
          <w:sz w:val="24"/>
          <w:szCs w:val="24"/>
          <w:highlight w:val="none"/>
        </w:rPr>
      </w:pPr>
    </w:p>
    <w:p w14:paraId="59A1B449">
      <w:pPr>
        <w:pStyle w:val="25"/>
        <w:rPr>
          <w:rFonts w:hint="eastAsia" w:ascii="仿宋" w:hAnsi="仿宋" w:eastAsia="仿宋" w:cs="仿宋"/>
          <w:color w:val="auto"/>
          <w:sz w:val="24"/>
          <w:szCs w:val="24"/>
          <w:highlight w:val="none"/>
        </w:rPr>
      </w:pPr>
    </w:p>
    <w:p w14:paraId="2EDA9E05">
      <w:pPr>
        <w:pStyle w:val="25"/>
        <w:rPr>
          <w:rFonts w:hint="eastAsia" w:ascii="仿宋" w:hAnsi="仿宋" w:eastAsia="仿宋" w:cs="仿宋"/>
          <w:color w:val="auto"/>
          <w:sz w:val="24"/>
          <w:szCs w:val="24"/>
          <w:highlight w:val="none"/>
        </w:rPr>
      </w:pPr>
    </w:p>
    <w:p w14:paraId="6F74E5E6">
      <w:pPr>
        <w:pStyle w:val="25"/>
        <w:rPr>
          <w:rFonts w:hint="eastAsia" w:ascii="仿宋" w:hAnsi="仿宋" w:eastAsia="仿宋" w:cs="仿宋"/>
          <w:color w:val="auto"/>
          <w:sz w:val="24"/>
          <w:szCs w:val="24"/>
          <w:highlight w:val="none"/>
        </w:rPr>
      </w:pPr>
    </w:p>
    <w:p w14:paraId="0394E9F9">
      <w:pPr>
        <w:pStyle w:val="25"/>
        <w:rPr>
          <w:rFonts w:hint="eastAsia" w:ascii="仿宋" w:hAnsi="仿宋" w:eastAsia="仿宋" w:cs="仿宋"/>
          <w:color w:val="auto"/>
          <w:sz w:val="24"/>
          <w:szCs w:val="24"/>
          <w:highlight w:val="none"/>
        </w:rPr>
      </w:pPr>
    </w:p>
    <w:p w14:paraId="140E03A0">
      <w:pPr>
        <w:pStyle w:val="25"/>
        <w:rPr>
          <w:rFonts w:hint="eastAsia" w:ascii="仿宋" w:hAnsi="仿宋" w:eastAsia="仿宋" w:cs="仿宋"/>
          <w:color w:val="auto"/>
          <w:sz w:val="24"/>
          <w:szCs w:val="24"/>
          <w:highlight w:val="none"/>
        </w:rPr>
      </w:pPr>
    </w:p>
    <w:p w14:paraId="3CAA7F21">
      <w:pPr>
        <w:pStyle w:val="25"/>
        <w:rPr>
          <w:rFonts w:hint="eastAsia" w:ascii="仿宋" w:hAnsi="仿宋" w:eastAsia="仿宋" w:cs="仿宋"/>
          <w:color w:val="auto"/>
          <w:sz w:val="24"/>
          <w:szCs w:val="24"/>
          <w:highlight w:val="none"/>
        </w:rPr>
      </w:pPr>
    </w:p>
    <w:p w14:paraId="3AD03C76">
      <w:pPr>
        <w:pStyle w:val="25"/>
        <w:rPr>
          <w:rFonts w:hint="eastAsia" w:ascii="仿宋" w:hAnsi="仿宋" w:eastAsia="仿宋" w:cs="仿宋"/>
          <w:color w:val="auto"/>
          <w:sz w:val="24"/>
          <w:szCs w:val="24"/>
          <w:highlight w:val="none"/>
        </w:rPr>
      </w:pPr>
    </w:p>
    <w:p w14:paraId="64B7EFCE">
      <w:pPr>
        <w:pStyle w:val="25"/>
        <w:rPr>
          <w:rFonts w:hint="eastAsia" w:ascii="仿宋" w:hAnsi="仿宋" w:eastAsia="仿宋" w:cs="仿宋"/>
          <w:color w:val="auto"/>
          <w:sz w:val="24"/>
          <w:szCs w:val="24"/>
          <w:highlight w:val="none"/>
        </w:rPr>
      </w:pPr>
    </w:p>
    <w:p w14:paraId="050D0B08">
      <w:pPr>
        <w:pStyle w:val="25"/>
        <w:rPr>
          <w:rFonts w:hint="eastAsia" w:ascii="仿宋" w:hAnsi="仿宋" w:eastAsia="仿宋" w:cs="仿宋"/>
          <w:color w:val="auto"/>
          <w:sz w:val="24"/>
          <w:szCs w:val="24"/>
          <w:highlight w:val="none"/>
        </w:rPr>
      </w:pPr>
    </w:p>
    <w:p w14:paraId="730E3054">
      <w:pPr>
        <w:pStyle w:val="25"/>
        <w:rPr>
          <w:rFonts w:hint="eastAsia" w:ascii="仿宋" w:hAnsi="仿宋" w:eastAsia="仿宋" w:cs="仿宋"/>
          <w:color w:val="auto"/>
          <w:sz w:val="24"/>
          <w:szCs w:val="24"/>
          <w:highlight w:val="none"/>
        </w:rPr>
      </w:pPr>
    </w:p>
    <w:p w14:paraId="11AD2761">
      <w:pPr>
        <w:pStyle w:val="25"/>
        <w:rPr>
          <w:rFonts w:hint="eastAsia" w:ascii="仿宋" w:hAnsi="仿宋" w:eastAsia="仿宋" w:cs="仿宋"/>
          <w:color w:val="auto"/>
          <w:sz w:val="24"/>
          <w:szCs w:val="24"/>
          <w:highlight w:val="none"/>
        </w:rPr>
      </w:pPr>
    </w:p>
    <w:p w14:paraId="506B0C63">
      <w:pPr>
        <w:pStyle w:val="25"/>
        <w:rPr>
          <w:rFonts w:hint="eastAsia" w:ascii="仿宋" w:hAnsi="仿宋" w:eastAsia="仿宋" w:cs="仿宋"/>
          <w:color w:val="auto"/>
          <w:sz w:val="24"/>
          <w:szCs w:val="24"/>
          <w:highlight w:val="none"/>
        </w:rPr>
      </w:pPr>
    </w:p>
    <w:p w14:paraId="5543D9E0">
      <w:pPr>
        <w:pStyle w:val="25"/>
        <w:rPr>
          <w:rFonts w:hint="eastAsia" w:ascii="仿宋" w:hAnsi="仿宋" w:eastAsia="仿宋" w:cs="仿宋"/>
          <w:color w:val="auto"/>
          <w:sz w:val="24"/>
          <w:szCs w:val="24"/>
          <w:highlight w:val="none"/>
        </w:rPr>
      </w:pPr>
    </w:p>
    <w:p w14:paraId="7B5245B3">
      <w:pPr>
        <w:pStyle w:val="25"/>
        <w:rPr>
          <w:rFonts w:hint="eastAsia" w:ascii="仿宋" w:hAnsi="仿宋" w:eastAsia="仿宋" w:cs="仿宋"/>
          <w:color w:val="auto"/>
          <w:sz w:val="24"/>
          <w:szCs w:val="24"/>
          <w:highlight w:val="none"/>
        </w:rPr>
      </w:pPr>
    </w:p>
    <w:p w14:paraId="3269678D">
      <w:pPr>
        <w:pStyle w:val="25"/>
        <w:rPr>
          <w:rFonts w:hint="eastAsia" w:ascii="仿宋" w:hAnsi="仿宋" w:eastAsia="仿宋" w:cs="仿宋"/>
          <w:color w:val="auto"/>
          <w:sz w:val="24"/>
          <w:szCs w:val="24"/>
          <w:highlight w:val="none"/>
        </w:rPr>
      </w:pPr>
    </w:p>
    <w:p w14:paraId="3CDDBA17">
      <w:pPr>
        <w:pStyle w:val="25"/>
        <w:rPr>
          <w:rFonts w:hint="eastAsia" w:ascii="仿宋" w:hAnsi="仿宋" w:eastAsia="仿宋" w:cs="仿宋"/>
          <w:color w:val="auto"/>
          <w:sz w:val="24"/>
          <w:szCs w:val="24"/>
          <w:highlight w:val="none"/>
        </w:rPr>
      </w:pPr>
    </w:p>
    <w:p w14:paraId="7340B8BB">
      <w:pPr>
        <w:pStyle w:val="25"/>
        <w:rPr>
          <w:rFonts w:hint="eastAsia" w:ascii="仿宋" w:hAnsi="仿宋" w:eastAsia="仿宋" w:cs="仿宋"/>
          <w:color w:val="auto"/>
          <w:sz w:val="24"/>
          <w:szCs w:val="24"/>
          <w:highlight w:val="none"/>
        </w:rPr>
      </w:pPr>
    </w:p>
    <w:p w14:paraId="026C594E">
      <w:pPr>
        <w:pStyle w:val="25"/>
        <w:rPr>
          <w:rFonts w:hint="eastAsia" w:ascii="仿宋" w:hAnsi="仿宋" w:eastAsia="仿宋" w:cs="仿宋"/>
          <w:color w:val="auto"/>
          <w:sz w:val="24"/>
          <w:szCs w:val="24"/>
          <w:highlight w:val="none"/>
        </w:rPr>
      </w:pPr>
    </w:p>
    <w:p w14:paraId="2BCBAA51">
      <w:pPr>
        <w:pStyle w:val="25"/>
        <w:rPr>
          <w:rFonts w:hint="eastAsia" w:ascii="仿宋" w:hAnsi="仿宋" w:eastAsia="仿宋" w:cs="仿宋"/>
          <w:color w:val="auto"/>
          <w:sz w:val="24"/>
          <w:szCs w:val="24"/>
          <w:highlight w:val="none"/>
        </w:rPr>
      </w:pPr>
    </w:p>
    <w:p w14:paraId="79DED89D">
      <w:pPr>
        <w:pStyle w:val="25"/>
        <w:rPr>
          <w:rFonts w:hint="eastAsia" w:ascii="仿宋" w:hAnsi="仿宋" w:eastAsia="仿宋" w:cs="仿宋"/>
          <w:color w:val="auto"/>
          <w:sz w:val="24"/>
          <w:szCs w:val="24"/>
          <w:highlight w:val="none"/>
        </w:rPr>
      </w:pPr>
    </w:p>
    <w:p w14:paraId="3661ED70">
      <w:pPr>
        <w:pStyle w:val="25"/>
        <w:rPr>
          <w:rFonts w:hint="eastAsia" w:ascii="仿宋" w:hAnsi="仿宋" w:eastAsia="仿宋" w:cs="仿宋"/>
          <w:color w:val="auto"/>
          <w:sz w:val="24"/>
          <w:szCs w:val="24"/>
          <w:highlight w:val="none"/>
        </w:rPr>
      </w:pPr>
    </w:p>
    <w:p w14:paraId="60B1856B">
      <w:pPr>
        <w:pStyle w:val="25"/>
        <w:rPr>
          <w:rFonts w:hint="eastAsia" w:ascii="仿宋" w:hAnsi="仿宋" w:eastAsia="仿宋" w:cs="仿宋"/>
          <w:color w:val="auto"/>
          <w:sz w:val="24"/>
          <w:szCs w:val="24"/>
          <w:highlight w:val="none"/>
        </w:rPr>
      </w:pPr>
    </w:p>
    <w:p w14:paraId="526B5C45">
      <w:pPr>
        <w:pStyle w:val="25"/>
        <w:rPr>
          <w:rFonts w:hint="eastAsia" w:ascii="仿宋" w:hAnsi="仿宋" w:eastAsia="仿宋" w:cs="仿宋"/>
          <w:color w:val="auto"/>
          <w:sz w:val="24"/>
          <w:szCs w:val="24"/>
          <w:highlight w:val="none"/>
        </w:rPr>
      </w:pPr>
    </w:p>
    <w:p w14:paraId="392B9469">
      <w:pPr>
        <w:pStyle w:val="25"/>
        <w:rPr>
          <w:rFonts w:hint="eastAsia" w:ascii="仿宋" w:hAnsi="仿宋" w:eastAsia="仿宋" w:cs="仿宋"/>
          <w:color w:val="auto"/>
          <w:sz w:val="24"/>
          <w:szCs w:val="24"/>
          <w:highlight w:val="none"/>
        </w:rPr>
      </w:pPr>
    </w:p>
    <w:p w14:paraId="726B8577">
      <w:pPr>
        <w:pStyle w:val="25"/>
        <w:rPr>
          <w:rFonts w:hint="eastAsia" w:ascii="仿宋" w:hAnsi="仿宋" w:eastAsia="仿宋" w:cs="仿宋"/>
          <w:color w:val="auto"/>
          <w:sz w:val="24"/>
          <w:szCs w:val="24"/>
          <w:highlight w:val="none"/>
        </w:rPr>
      </w:pPr>
    </w:p>
    <w:p w14:paraId="69E36304">
      <w:pPr>
        <w:pStyle w:val="25"/>
        <w:rPr>
          <w:rFonts w:hint="eastAsia" w:ascii="仿宋" w:hAnsi="仿宋" w:eastAsia="仿宋" w:cs="仿宋"/>
          <w:color w:val="auto"/>
          <w:sz w:val="24"/>
          <w:szCs w:val="24"/>
          <w:highlight w:val="none"/>
        </w:rPr>
      </w:pPr>
    </w:p>
    <w:p w14:paraId="686DB6BF">
      <w:pPr>
        <w:pStyle w:val="25"/>
        <w:rPr>
          <w:rFonts w:hint="eastAsia" w:ascii="仿宋" w:hAnsi="仿宋" w:eastAsia="仿宋" w:cs="仿宋"/>
          <w:color w:val="auto"/>
          <w:sz w:val="24"/>
          <w:szCs w:val="24"/>
          <w:highlight w:val="none"/>
        </w:rPr>
      </w:pPr>
    </w:p>
    <w:p w14:paraId="0C3044B3">
      <w:pPr>
        <w:pStyle w:val="25"/>
        <w:rPr>
          <w:rFonts w:hint="eastAsia" w:ascii="仿宋" w:hAnsi="仿宋" w:eastAsia="仿宋" w:cs="仿宋"/>
          <w:color w:val="auto"/>
          <w:sz w:val="24"/>
          <w:szCs w:val="24"/>
          <w:highlight w:val="none"/>
        </w:rPr>
      </w:pPr>
    </w:p>
    <w:p w14:paraId="00665815">
      <w:pPr>
        <w:outlineLvl w:val="0"/>
        <w:rPr>
          <w:rFonts w:hint="eastAsia" w:ascii="仿宋" w:hAnsi="仿宋" w:eastAsia="仿宋" w:cs="仿宋"/>
          <w:color w:val="auto"/>
          <w:kern w:val="44"/>
          <w:sz w:val="24"/>
          <w:szCs w:val="24"/>
          <w:highlight w:val="none"/>
        </w:rPr>
      </w:pPr>
      <w:bookmarkStart w:id="285" w:name="_Toc55778730"/>
      <w:bookmarkStart w:id="286" w:name="_Toc16833"/>
    </w:p>
    <w:p w14:paraId="2A117C82">
      <w:pPr>
        <w:jc w:val="center"/>
        <w:outlineLvl w:val="0"/>
        <w:rPr>
          <w:rFonts w:hint="eastAsia" w:ascii="仿宋" w:hAnsi="仿宋" w:eastAsia="仿宋" w:cs="仿宋"/>
          <w:b/>
          <w:bCs/>
          <w:color w:val="auto"/>
          <w:kern w:val="44"/>
          <w:sz w:val="30"/>
          <w:szCs w:val="30"/>
          <w:highlight w:val="none"/>
        </w:rPr>
      </w:pPr>
      <w:bookmarkStart w:id="287" w:name="_Toc28078"/>
      <w:r>
        <w:rPr>
          <w:rFonts w:hint="eastAsia" w:ascii="仿宋" w:hAnsi="仿宋" w:eastAsia="仿宋" w:cs="仿宋"/>
          <w:b/>
          <w:bCs/>
          <w:color w:val="auto"/>
          <w:kern w:val="44"/>
          <w:sz w:val="30"/>
          <w:szCs w:val="30"/>
          <w:highlight w:val="none"/>
        </w:rPr>
        <w:t>第四章 合同格式</w:t>
      </w:r>
      <w:bookmarkEnd w:id="285"/>
      <w:bookmarkEnd w:id="286"/>
      <w:bookmarkEnd w:id="287"/>
    </w:p>
    <w:p w14:paraId="0E309030">
      <w:pPr>
        <w:widowControl/>
        <w:kinsoku w:val="0"/>
        <w:overflowPunct w:val="0"/>
        <w:jc w:val="left"/>
        <w:rPr>
          <w:rFonts w:hint="eastAsia" w:ascii="仿宋" w:hAnsi="仿宋" w:eastAsia="仿宋" w:cs="仿宋"/>
          <w:color w:val="auto"/>
          <w:kern w:val="0"/>
          <w:sz w:val="24"/>
          <w:szCs w:val="24"/>
          <w:highlight w:val="none"/>
        </w:rPr>
      </w:pPr>
    </w:p>
    <w:p w14:paraId="07647387">
      <w:pPr>
        <w:pStyle w:val="25"/>
        <w:kinsoku w:val="0"/>
        <w:overflowPunct w:val="0"/>
        <w:rPr>
          <w:rFonts w:hint="eastAsia" w:ascii="仿宋" w:hAnsi="仿宋" w:eastAsia="仿宋" w:cs="仿宋"/>
          <w:color w:val="auto"/>
          <w:sz w:val="24"/>
          <w:szCs w:val="24"/>
          <w:highlight w:val="none"/>
        </w:rPr>
      </w:pPr>
    </w:p>
    <w:p w14:paraId="3BE8904E">
      <w:pPr>
        <w:spacing w:line="360" w:lineRule="auto"/>
        <w:ind w:firstLine="480" w:firstLineChars="200"/>
        <w:jc w:val="center"/>
        <w:rPr>
          <w:rFonts w:ascii="宋体"/>
          <w:color w:val="auto"/>
          <w:sz w:val="24"/>
          <w:highlight w:val="none"/>
        </w:rPr>
      </w:pPr>
      <w:r>
        <w:rPr>
          <w:rFonts w:ascii="宋体" w:hAnsi="宋体"/>
          <w:color w:val="auto"/>
          <w:sz w:val="24"/>
          <w:highlight w:val="none"/>
        </w:rPr>
        <w:t>(</w:t>
      </w:r>
      <w:r>
        <w:rPr>
          <w:rFonts w:hint="eastAsia" w:ascii="宋体" w:hAnsi="宋体"/>
          <w:color w:val="auto"/>
          <w:sz w:val="24"/>
          <w:highlight w:val="none"/>
        </w:rPr>
        <w:t>此合同样本仅供参考</w:t>
      </w:r>
      <w:r>
        <w:rPr>
          <w:rFonts w:ascii="宋体"/>
          <w:color w:val="auto"/>
          <w:sz w:val="24"/>
          <w:highlight w:val="none"/>
        </w:rPr>
        <w:t>,</w:t>
      </w:r>
      <w:r>
        <w:rPr>
          <w:rFonts w:hint="eastAsia" w:ascii="宋体" w:hAnsi="宋体"/>
          <w:color w:val="auto"/>
          <w:sz w:val="24"/>
          <w:highlight w:val="none"/>
        </w:rPr>
        <w:t>合同具体细则以成交双方协定为准</w:t>
      </w:r>
      <w:r>
        <w:rPr>
          <w:rFonts w:ascii="宋体" w:hAnsi="宋体"/>
          <w:color w:val="auto"/>
          <w:sz w:val="24"/>
          <w:highlight w:val="none"/>
        </w:rPr>
        <w:t>)</w:t>
      </w:r>
    </w:p>
    <w:p w14:paraId="47848B90">
      <w:pPr>
        <w:rPr>
          <w:rFonts w:ascii="楷体" w:hAnsi="楷体" w:eastAsia="楷体"/>
          <w:sz w:val="24"/>
          <w:highlight w:val="none"/>
          <w:u w:val="single"/>
        </w:rPr>
      </w:pPr>
      <w:r>
        <w:rPr>
          <w:rFonts w:hint="eastAsia" w:ascii="楷体" w:hAnsi="楷体" w:eastAsia="楷体"/>
          <w:sz w:val="24"/>
          <w:highlight w:val="none"/>
        </w:rPr>
        <w:t>合同编号：</w:t>
      </w:r>
      <w:r>
        <w:rPr>
          <w:rFonts w:ascii="楷体" w:hAnsi="楷体" w:eastAsia="楷体"/>
          <w:sz w:val="24"/>
          <w:highlight w:val="none"/>
          <w:u w:val="single"/>
        </w:rPr>
        <w:t xml:space="preserve">        </w:t>
      </w:r>
      <w:r>
        <w:rPr>
          <w:rFonts w:hint="eastAsia" w:ascii="楷体" w:hAnsi="楷体" w:eastAsia="楷体"/>
          <w:sz w:val="24"/>
          <w:highlight w:val="none"/>
          <w:u w:val="single"/>
        </w:rPr>
        <w:t xml:space="preserve">   </w:t>
      </w:r>
    </w:p>
    <w:p w14:paraId="3494A789">
      <w:pPr>
        <w:spacing w:line="480" w:lineRule="auto"/>
        <w:jc w:val="both"/>
        <w:rPr>
          <w:rFonts w:ascii="楷体" w:hAnsi="楷体" w:eastAsia="楷体"/>
          <w:b/>
          <w:sz w:val="28"/>
          <w:szCs w:val="28"/>
          <w:highlight w:val="none"/>
        </w:rPr>
      </w:pPr>
    </w:p>
    <w:p w14:paraId="00B33258">
      <w:pPr>
        <w:spacing w:line="480" w:lineRule="auto"/>
        <w:jc w:val="center"/>
        <w:rPr>
          <w:rFonts w:ascii="楷体" w:hAnsi="楷体" w:eastAsia="楷体"/>
          <w:b/>
          <w:sz w:val="44"/>
          <w:szCs w:val="44"/>
          <w:highlight w:val="none"/>
        </w:rPr>
      </w:pPr>
      <w:r>
        <w:rPr>
          <w:rFonts w:ascii="楷体" w:hAnsi="楷体" w:eastAsia="楷体"/>
          <w:b/>
          <w:sz w:val="44"/>
          <w:szCs w:val="44"/>
          <w:highlight w:val="none"/>
        </w:rPr>
        <w:t>政府采购合同</w:t>
      </w:r>
      <w:r>
        <w:rPr>
          <w:rFonts w:hint="eastAsia" w:ascii="楷体" w:hAnsi="楷体" w:eastAsia="楷体"/>
          <w:b/>
          <w:sz w:val="44"/>
          <w:szCs w:val="44"/>
          <w:highlight w:val="none"/>
        </w:rPr>
        <w:t>参考范本</w:t>
      </w:r>
    </w:p>
    <w:p w14:paraId="161887AD">
      <w:pPr>
        <w:spacing w:line="480" w:lineRule="auto"/>
        <w:jc w:val="center"/>
        <w:rPr>
          <w:rFonts w:ascii="楷体" w:hAnsi="楷体" w:eastAsia="楷体"/>
          <w:b/>
          <w:sz w:val="24"/>
          <w:highlight w:val="none"/>
        </w:rPr>
      </w:pPr>
      <w:r>
        <w:rPr>
          <w:rFonts w:hint="eastAsia" w:ascii="楷体" w:hAnsi="楷体" w:eastAsia="楷体"/>
          <w:b/>
          <w:sz w:val="24"/>
          <w:highlight w:val="none"/>
        </w:rPr>
        <w:t>（服务类）</w:t>
      </w:r>
    </w:p>
    <w:p w14:paraId="2BD5A425">
      <w:pPr>
        <w:pStyle w:val="75"/>
        <w:ind w:firstLine="0"/>
        <w:rPr>
          <w:rFonts w:ascii="楷体" w:hAnsi="楷体" w:eastAsia="楷体"/>
          <w:szCs w:val="24"/>
          <w:highlight w:val="none"/>
        </w:rPr>
      </w:pPr>
    </w:p>
    <w:p w14:paraId="01AA6C0A">
      <w:pPr>
        <w:pStyle w:val="75"/>
        <w:ind w:firstLine="0"/>
        <w:rPr>
          <w:rFonts w:ascii="楷体" w:hAnsi="楷体" w:eastAsia="楷体"/>
          <w:szCs w:val="24"/>
          <w:highlight w:val="none"/>
        </w:rPr>
      </w:pPr>
    </w:p>
    <w:p w14:paraId="448F7189">
      <w:pPr>
        <w:pStyle w:val="75"/>
        <w:ind w:firstLine="0"/>
        <w:rPr>
          <w:rFonts w:ascii="楷体" w:hAnsi="楷体" w:eastAsia="楷体"/>
          <w:szCs w:val="24"/>
          <w:highlight w:val="none"/>
        </w:rPr>
      </w:pPr>
    </w:p>
    <w:p w14:paraId="1F89A82F">
      <w:pPr>
        <w:pStyle w:val="75"/>
        <w:ind w:firstLine="0"/>
        <w:jc w:val="center"/>
        <w:rPr>
          <w:rFonts w:ascii="楷体" w:hAnsi="楷体" w:eastAsia="楷体"/>
          <w:b/>
          <w:szCs w:val="24"/>
          <w:highlight w:val="none"/>
        </w:rPr>
      </w:pPr>
      <w:r>
        <w:rPr>
          <w:rFonts w:hint="eastAsia" w:ascii="楷体" w:hAnsi="楷体" w:eastAsia="楷体"/>
          <w:b/>
          <w:szCs w:val="24"/>
          <w:highlight w:val="none"/>
        </w:rPr>
        <w:t>第一部分 合同书</w:t>
      </w:r>
    </w:p>
    <w:p w14:paraId="2AA1EAE7">
      <w:pPr>
        <w:pStyle w:val="75"/>
        <w:ind w:firstLine="0"/>
        <w:rPr>
          <w:rFonts w:ascii="楷体" w:hAnsi="楷体" w:eastAsia="楷体"/>
          <w:szCs w:val="24"/>
          <w:highlight w:val="none"/>
        </w:rPr>
      </w:pPr>
    </w:p>
    <w:p w14:paraId="56019071">
      <w:pPr>
        <w:pStyle w:val="75"/>
        <w:ind w:firstLine="0"/>
        <w:rPr>
          <w:rFonts w:ascii="楷体" w:hAnsi="楷体" w:eastAsia="楷体"/>
          <w:szCs w:val="24"/>
          <w:highlight w:val="none"/>
        </w:rPr>
      </w:pPr>
    </w:p>
    <w:p w14:paraId="42B38214">
      <w:pPr>
        <w:spacing w:before="120" w:line="22" w:lineRule="atLeast"/>
        <w:rPr>
          <w:rFonts w:ascii="楷体" w:hAnsi="楷体" w:eastAsia="楷体"/>
          <w:sz w:val="24"/>
          <w:highlight w:val="none"/>
        </w:rPr>
      </w:pPr>
    </w:p>
    <w:p w14:paraId="08A519B8">
      <w:pPr>
        <w:spacing w:before="120" w:line="22" w:lineRule="atLeast"/>
        <w:ind w:left="960"/>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r>
        <w:rPr>
          <w:rFonts w:hint="eastAsia" w:ascii="宋体" w:hAnsi="宋体" w:eastAsia="宋体" w:cs="宋体"/>
          <w:sz w:val="24"/>
          <w:szCs w:val="24"/>
          <w:highlight w:val="none"/>
          <w:u w:val="single"/>
        </w:rPr>
        <w:t xml:space="preserve">                                   </w:t>
      </w:r>
    </w:p>
    <w:p w14:paraId="64760087">
      <w:pPr>
        <w:pStyle w:val="76"/>
        <w:spacing w:before="120" w:line="22" w:lineRule="atLeast"/>
        <w:rPr>
          <w:rFonts w:hint="eastAsia" w:ascii="宋体" w:hAnsi="宋体" w:eastAsia="宋体" w:cs="宋体"/>
          <w:sz w:val="24"/>
          <w:szCs w:val="24"/>
          <w:highlight w:val="none"/>
        </w:rPr>
      </w:pPr>
    </w:p>
    <w:p w14:paraId="1AE509C8">
      <w:pPr>
        <w:pStyle w:val="76"/>
        <w:spacing w:before="120" w:line="22" w:lineRule="atLeast"/>
        <w:rPr>
          <w:rFonts w:hint="eastAsia" w:ascii="宋体" w:hAnsi="宋体" w:eastAsia="宋体" w:cs="宋体"/>
          <w:sz w:val="24"/>
          <w:szCs w:val="24"/>
          <w:highlight w:val="none"/>
        </w:rPr>
      </w:pPr>
    </w:p>
    <w:p w14:paraId="692265CE">
      <w:pPr>
        <w:rPr>
          <w:rFonts w:hint="eastAsia" w:ascii="宋体" w:hAnsi="宋体" w:eastAsia="宋体" w:cs="宋体"/>
          <w:sz w:val="24"/>
          <w:szCs w:val="24"/>
          <w:highlight w:val="none"/>
        </w:rPr>
      </w:pPr>
    </w:p>
    <w:p w14:paraId="3F185C4D">
      <w:pPr>
        <w:spacing w:before="120" w:line="22" w:lineRule="atLeast"/>
        <w:ind w:left="96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u w:val="single"/>
        </w:rPr>
        <w:t xml:space="preserve">                                       </w:t>
      </w:r>
    </w:p>
    <w:p w14:paraId="5AA81CD1">
      <w:pPr>
        <w:spacing w:before="120" w:line="22" w:lineRule="atLeast"/>
        <w:rPr>
          <w:rFonts w:hint="eastAsia" w:ascii="宋体" w:hAnsi="宋体" w:eastAsia="宋体" w:cs="宋体"/>
          <w:sz w:val="24"/>
          <w:szCs w:val="24"/>
          <w:highlight w:val="none"/>
        </w:rPr>
      </w:pPr>
    </w:p>
    <w:p w14:paraId="7141DE5F">
      <w:pPr>
        <w:spacing w:before="120" w:line="22" w:lineRule="atLeast"/>
        <w:ind w:left="96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乙方：</w:t>
      </w:r>
      <w:r>
        <w:rPr>
          <w:rFonts w:hint="eastAsia" w:ascii="宋体" w:hAnsi="宋体" w:eastAsia="宋体" w:cs="宋体"/>
          <w:sz w:val="24"/>
          <w:szCs w:val="24"/>
          <w:highlight w:val="none"/>
          <w:u w:val="single"/>
        </w:rPr>
        <w:t xml:space="preserve">                                       </w:t>
      </w:r>
    </w:p>
    <w:p w14:paraId="1298C7ED">
      <w:pPr>
        <w:spacing w:before="120" w:line="22" w:lineRule="atLeast"/>
        <w:rPr>
          <w:rFonts w:hint="eastAsia" w:ascii="宋体" w:hAnsi="宋体" w:eastAsia="宋体" w:cs="宋体"/>
          <w:sz w:val="24"/>
          <w:szCs w:val="24"/>
          <w:highlight w:val="none"/>
        </w:rPr>
      </w:pPr>
    </w:p>
    <w:p w14:paraId="3A0F8611">
      <w:pPr>
        <w:spacing w:before="120" w:line="22" w:lineRule="atLeast"/>
        <w:ind w:firstLine="960" w:firstLineChars="4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签订地：</w:t>
      </w:r>
      <w:r>
        <w:rPr>
          <w:rFonts w:hint="eastAsia" w:ascii="宋体" w:hAnsi="宋体" w:eastAsia="宋体" w:cs="宋体"/>
          <w:sz w:val="24"/>
          <w:szCs w:val="24"/>
          <w:highlight w:val="none"/>
          <w:u w:val="single"/>
        </w:rPr>
        <w:t xml:space="preserve">                                     </w:t>
      </w:r>
    </w:p>
    <w:p w14:paraId="7A3CC375">
      <w:pPr>
        <w:spacing w:before="120" w:line="22" w:lineRule="atLeast"/>
        <w:rPr>
          <w:rFonts w:hint="eastAsia" w:ascii="宋体" w:hAnsi="宋体" w:eastAsia="宋体" w:cs="宋体"/>
          <w:sz w:val="24"/>
          <w:szCs w:val="24"/>
          <w:highlight w:val="none"/>
        </w:rPr>
      </w:pPr>
    </w:p>
    <w:p w14:paraId="28B073C9">
      <w:pPr>
        <w:spacing w:before="120" w:line="22" w:lineRule="atLeast"/>
        <w:ind w:firstLine="960" w:firstLineChars="4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签订日期：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72379199">
      <w:pPr>
        <w:autoSpaceDE w:val="0"/>
        <w:autoSpaceDN w:val="0"/>
        <w:adjustRightInd w:val="0"/>
        <w:spacing w:line="600" w:lineRule="exact"/>
        <w:ind w:firstLine="640"/>
        <w:jc w:val="center"/>
        <w:rPr>
          <w:rFonts w:hint="eastAsia" w:ascii="宋体" w:hAnsi="宋体" w:eastAsia="宋体" w:cs="宋体"/>
          <w:sz w:val="24"/>
          <w:szCs w:val="24"/>
          <w:highlight w:val="none"/>
        </w:rPr>
        <w:sectPr>
          <w:headerReference r:id="rId3" w:type="default"/>
          <w:footerReference r:id="rId4" w:type="default"/>
          <w:type w:val="continuous"/>
          <w:pgSz w:w="11907" w:h="16840"/>
          <w:pgMar w:top="1474" w:right="1417" w:bottom="1474" w:left="1417" w:header="851" w:footer="851" w:gutter="0"/>
          <w:pgNumType w:fmt="decimal" w:start="1"/>
          <w:cols w:space="720" w:num="1"/>
          <w:docGrid w:linePitch="462" w:charSpace="0"/>
        </w:sectPr>
      </w:pPr>
    </w:p>
    <w:p w14:paraId="4CD4E807">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lang w:val="zh-CN"/>
        </w:rPr>
        <w:t>年</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lang w:val="zh-CN"/>
        </w:rPr>
        <w:t>月</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lang w:val="zh-CN"/>
        </w:rPr>
        <w:t>日</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（采购人名称）   </w:t>
      </w:r>
      <w:r>
        <w:rPr>
          <w:rFonts w:hint="eastAsia" w:ascii="宋体" w:hAnsi="宋体" w:eastAsia="宋体" w:cs="宋体"/>
          <w:sz w:val="24"/>
          <w:szCs w:val="24"/>
          <w:highlight w:val="none"/>
        </w:rPr>
        <w:t>以</w:t>
      </w:r>
      <w:r>
        <w:rPr>
          <w:rFonts w:hint="eastAsia" w:ascii="宋体" w:hAnsi="宋体" w:eastAsia="宋体" w:cs="宋体"/>
          <w:sz w:val="24"/>
          <w:szCs w:val="24"/>
          <w:highlight w:val="none"/>
          <w:u w:val="single"/>
        </w:rPr>
        <w:t xml:space="preserve">   （政府采购方式）  </w:t>
      </w:r>
      <w:r>
        <w:rPr>
          <w:rFonts w:hint="eastAsia" w:ascii="宋体" w:hAnsi="宋体" w:eastAsia="宋体" w:cs="宋体"/>
          <w:sz w:val="24"/>
          <w:szCs w:val="24"/>
          <w:highlight w:val="none"/>
        </w:rPr>
        <w:t>对</w:t>
      </w:r>
      <w:r>
        <w:rPr>
          <w:rFonts w:hint="eastAsia" w:ascii="宋体" w:hAnsi="宋体" w:eastAsia="宋体" w:cs="宋体"/>
          <w:sz w:val="24"/>
          <w:szCs w:val="24"/>
          <w:highlight w:val="none"/>
          <w:u w:val="single"/>
        </w:rPr>
        <w:t xml:space="preserve">   （同前页项目名称）   </w:t>
      </w:r>
      <w:r>
        <w:rPr>
          <w:rFonts w:hint="eastAsia" w:ascii="宋体" w:hAnsi="宋体" w:eastAsia="宋体" w:cs="宋体"/>
          <w:sz w:val="24"/>
          <w:szCs w:val="24"/>
          <w:highlight w:val="none"/>
        </w:rPr>
        <w:t>项目进行了采购。经</w:t>
      </w:r>
      <w:r>
        <w:rPr>
          <w:rFonts w:hint="eastAsia" w:ascii="宋体" w:hAnsi="宋体" w:eastAsia="宋体" w:cs="宋体"/>
          <w:sz w:val="24"/>
          <w:szCs w:val="24"/>
          <w:highlight w:val="none"/>
          <w:u w:val="single"/>
        </w:rPr>
        <w:t xml:space="preserve">   （相关评定主体名称）   </w:t>
      </w:r>
      <w:r>
        <w:rPr>
          <w:rFonts w:hint="eastAsia" w:ascii="宋体" w:hAnsi="宋体" w:eastAsia="宋体" w:cs="宋体"/>
          <w:sz w:val="24"/>
          <w:szCs w:val="24"/>
          <w:highlight w:val="none"/>
        </w:rPr>
        <w:t>评定，</w:t>
      </w:r>
      <w:r>
        <w:rPr>
          <w:rFonts w:hint="eastAsia" w:ascii="宋体" w:hAnsi="宋体" w:eastAsia="宋体" w:cs="宋体"/>
          <w:sz w:val="24"/>
          <w:szCs w:val="24"/>
          <w:highlight w:val="none"/>
          <w:u w:val="single"/>
        </w:rPr>
        <w:t xml:space="preserve">   （中标供应商名称） </w:t>
      </w:r>
      <w:r>
        <w:rPr>
          <w:rFonts w:hint="eastAsia" w:ascii="宋体" w:hAnsi="宋体" w:eastAsia="宋体" w:cs="宋体"/>
          <w:sz w:val="24"/>
          <w:szCs w:val="24"/>
          <w:highlight w:val="none"/>
        </w:rPr>
        <w:t>为该项目中标供应商。现于中标通知书发出之日起三十日内，按照采购文件确定的事项签订本合同。</w:t>
      </w:r>
    </w:p>
    <w:p w14:paraId="575CB49A">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zh-CN"/>
        </w:rPr>
        <w:t>根据《中华人民共和国合同法》、《中华人民共和国政府采购法》等相关法律法规之规定，按照平等、自愿、公平和诚实信用的原则，经</w:t>
      </w:r>
      <w:r>
        <w:rPr>
          <w:rFonts w:hint="eastAsia" w:ascii="宋体" w:hAnsi="宋体" w:eastAsia="宋体" w:cs="宋体"/>
          <w:sz w:val="24"/>
          <w:szCs w:val="24"/>
          <w:highlight w:val="none"/>
          <w:u w:val="single"/>
        </w:rPr>
        <w:t xml:space="preserve">   （采购人名称）   </w:t>
      </w:r>
      <w:r>
        <w:rPr>
          <w:rFonts w:hint="eastAsia" w:ascii="宋体" w:hAnsi="宋体" w:eastAsia="宋体" w:cs="宋体"/>
          <w:sz w:val="24"/>
          <w:szCs w:val="24"/>
          <w:highlight w:val="none"/>
          <w:lang w:val="zh-CN"/>
        </w:rPr>
        <w:t>(以下简称：甲方)和</w:t>
      </w:r>
      <w:r>
        <w:rPr>
          <w:rFonts w:hint="eastAsia" w:ascii="宋体" w:hAnsi="宋体" w:eastAsia="宋体" w:cs="宋体"/>
          <w:sz w:val="24"/>
          <w:szCs w:val="24"/>
          <w:highlight w:val="none"/>
          <w:u w:val="single"/>
        </w:rPr>
        <w:t xml:space="preserve">   （中标供应商名称）   </w:t>
      </w:r>
      <w:r>
        <w:rPr>
          <w:rFonts w:hint="eastAsia" w:ascii="宋体" w:hAnsi="宋体" w:eastAsia="宋体" w:cs="宋体"/>
          <w:sz w:val="24"/>
          <w:szCs w:val="24"/>
          <w:highlight w:val="none"/>
          <w:lang w:val="zh-CN"/>
        </w:rPr>
        <w:t>(以下简称：乙方)协商一致，约定以下合同</w:t>
      </w:r>
      <w:r>
        <w:rPr>
          <w:rFonts w:hint="eastAsia" w:ascii="宋体" w:hAnsi="宋体" w:eastAsia="宋体" w:cs="宋体"/>
          <w:sz w:val="24"/>
          <w:szCs w:val="24"/>
          <w:highlight w:val="none"/>
        </w:rPr>
        <w:t>条款，以兹共同遵守、全面履行。</w:t>
      </w:r>
    </w:p>
    <w:p w14:paraId="48B18474">
      <w:pPr>
        <w:spacing w:line="560" w:lineRule="exact"/>
        <w:ind w:firstLine="482" w:firstLineChars="200"/>
        <w:outlineLvl w:val="0"/>
        <w:rPr>
          <w:rFonts w:hint="eastAsia" w:ascii="宋体" w:hAnsi="宋体" w:eastAsia="宋体" w:cs="宋体"/>
          <w:sz w:val="24"/>
          <w:szCs w:val="24"/>
          <w:highlight w:val="none"/>
        </w:rPr>
      </w:pPr>
      <w:bookmarkStart w:id="288" w:name="_Toc22967"/>
      <w:bookmarkStart w:id="289" w:name="_Toc28855"/>
      <w:bookmarkStart w:id="290" w:name="_Toc19273"/>
      <w:bookmarkStart w:id="291" w:name="_Toc20421"/>
      <w:bookmarkStart w:id="292" w:name="_Toc15367"/>
      <w:r>
        <w:rPr>
          <w:rFonts w:hint="eastAsia" w:ascii="宋体" w:hAnsi="宋体" w:eastAsia="宋体" w:cs="宋体"/>
          <w:b/>
          <w:sz w:val="24"/>
          <w:szCs w:val="24"/>
          <w:highlight w:val="none"/>
        </w:rPr>
        <w:t>1.1 合同组成部分</w:t>
      </w:r>
      <w:bookmarkEnd w:id="288"/>
      <w:bookmarkEnd w:id="289"/>
      <w:bookmarkEnd w:id="290"/>
      <w:bookmarkEnd w:id="291"/>
      <w:bookmarkEnd w:id="292"/>
    </w:p>
    <w:p w14:paraId="22F2B847">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9E47F4A">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1.1.1 本合同及其补充合同、变更协议；</w:t>
      </w:r>
    </w:p>
    <w:p w14:paraId="157DED2B">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1.1.2 中标通知书；</w:t>
      </w:r>
    </w:p>
    <w:p w14:paraId="330580A0">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1.1.3 投标文件（含澄清或者说明文件）；</w:t>
      </w:r>
    </w:p>
    <w:p w14:paraId="77CC7323">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1.1.4 招标文件（含澄清或者修改文件）；</w:t>
      </w:r>
    </w:p>
    <w:p w14:paraId="450BBDF9">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1.1.5 其他相关采购文件。</w:t>
      </w:r>
    </w:p>
    <w:p w14:paraId="41F13D11">
      <w:pPr>
        <w:spacing w:line="560" w:lineRule="exact"/>
        <w:ind w:firstLine="482" w:firstLineChars="200"/>
        <w:outlineLvl w:val="0"/>
        <w:rPr>
          <w:rFonts w:hint="eastAsia" w:ascii="宋体" w:hAnsi="宋体" w:eastAsia="宋体" w:cs="宋体"/>
          <w:b/>
          <w:sz w:val="24"/>
          <w:szCs w:val="24"/>
          <w:highlight w:val="none"/>
        </w:rPr>
      </w:pPr>
      <w:bookmarkStart w:id="293" w:name="_Toc6773"/>
      <w:bookmarkStart w:id="294" w:name="_Toc2918"/>
      <w:bookmarkStart w:id="295" w:name="_Toc22185"/>
      <w:bookmarkStart w:id="296" w:name="_Toc18585"/>
      <w:bookmarkStart w:id="297" w:name="_Toc6311"/>
      <w:r>
        <w:rPr>
          <w:rFonts w:hint="eastAsia" w:ascii="宋体" w:hAnsi="宋体" w:eastAsia="宋体" w:cs="宋体"/>
          <w:b/>
          <w:sz w:val="24"/>
          <w:szCs w:val="24"/>
          <w:highlight w:val="none"/>
        </w:rPr>
        <w:t>1.2 标的</w:t>
      </w:r>
      <w:bookmarkEnd w:id="293"/>
      <w:bookmarkEnd w:id="294"/>
      <w:bookmarkEnd w:id="295"/>
      <w:bookmarkEnd w:id="296"/>
      <w:bookmarkEnd w:id="297"/>
    </w:p>
    <w:p w14:paraId="473CBD3C">
      <w:pPr>
        <w:spacing w:line="560" w:lineRule="exact"/>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1.2.1 标的名称：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051086AF">
      <w:pPr>
        <w:spacing w:line="560" w:lineRule="exact"/>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1.2.2 标的数量：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7C5EAA48">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1.2.3 标的质量：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6EEB7C2F">
      <w:pPr>
        <w:spacing w:line="560" w:lineRule="exact"/>
        <w:ind w:firstLine="482" w:firstLineChars="200"/>
        <w:outlineLvl w:val="0"/>
        <w:rPr>
          <w:rFonts w:hint="eastAsia" w:ascii="宋体" w:hAnsi="宋体" w:eastAsia="宋体" w:cs="宋体"/>
          <w:b/>
          <w:sz w:val="24"/>
          <w:szCs w:val="24"/>
          <w:highlight w:val="none"/>
        </w:rPr>
      </w:pPr>
      <w:bookmarkStart w:id="298" w:name="_Toc5635"/>
      <w:bookmarkStart w:id="299" w:name="_Toc4929"/>
      <w:bookmarkStart w:id="300" w:name="_Toc21124"/>
      <w:bookmarkStart w:id="301" w:name="_Toc13918"/>
      <w:bookmarkStart w:id="302" w:name="_Toc1386"/>
      <w:r>
        <w:rPr>
          <w:rFonts w:hint="eastAsia" w:ascii="宋体" w:hAnsi="宋体" w:eastAsia="宋体" w:cs="宋体"/>
          <w:b/>
          <w:sz w:val="24"/>
          <w:szCs w:val="24"/>
          <w:highlight w:val="none"/>
        </w:rPr>
        <w:t>1.3 价款</w:t>
      </w:r>
      <w:bookmarkEnd w:id="298"/>
      <w:bookmarkEnd w:id="299"/>
      <w:bookmarkEnd w:id="300"/>
      <w:bookmarkEnd w:id="301"/>
      <w:bookmarkEnd w:id="302"/>
    </w:p>
    <w:p w14:paraId="24730622">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本合同总价为：￥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元（大写：</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元人民币）。</w:t>
      </w:r>
    </w:p>
    <w:p w14:paraId="68C82AE3">
      <w:pPr>
        <w:spacing w:line="560" w:lineRule="exact"/>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分项价格：</w:t>
      </w:r>
    </w:p>
    <w:tbl>
      <w:tblPr>
        <w:tblStyle w:val="33"/>
        <w:tblW w:w="8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4222"/>
        <w:gridCol w:w="3167"/>
      </w:tblGrid>
      <w:tr w14:paraId="65DB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0" w:type="dxa"/>
            <w:vAlign w:val="center"/>
          </w:tcPr>
          <w:p w14:paraId="54412BB9">
            <w:pPr>
              <w:pStyle w:val="77"/>
              <w:spacing w:line="56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序号</w:t>
            </w:r>
          </w:p>
        </w:tc>
        <w:tc>
          <w:tcPr>
            <w:tcW w:w="4222" w:type="dxa"/>
            <w:vAlign w:val="center"/>
          </w:tcPr>
          <w:p w14:paraId="37661D7A">
            <w:pPr>
              <w:pStyle w:val="77"/>
              <w:spacing w:line="560" w:lineRule="exact"/>
              <w:ind w:firstLine="20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分项名称</w:t>
            </w:r>
          </w:p>
        </w:tc>
        <w:tc>
          <w:tcPr>
            <w:tcW w:w="3167" w:type="dxa"/>
            <w:vAlign w:val="center"/>
          </w:tcPr>
          <w:p w14:paraId="0184ABF0">
            <w:pPr>
              <w:pStyle w:val="77"/>
              <w:spacing w:line="560" w:lineRule="exact"/>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分项价格</w:t>
            </w:r>
          </w:p>
        </w:tc>
      </w:tr>
      <w:tr w14:paraId="590E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0" w:type="dxa"/>
            <w:vAlign w:val="center"/>
          </w:tcPr>
          <w:p w14:paraId="3A192522">
            <w:pPr>
              <w:pStyle w:val="77"/>
              <w:spacing w:line="560" w:lineRule="exact"/>
              <w:ind w:firstLine="200"/>
              <w:jc w:val="center"/>
              <w:rPr>
                <w:rFonts w:hint="eastAsia" w:ascii="宋体" w:hAnsi="宋体" w:eastAsia="宋体" w:cs="宋体"/>
                <w:color w:val="000000"/>
                <w:sz w:val="24"/>
                <w:szCs w:val="24"/>
                <w:highlight w:val="none"/>
              </w:rPr>
            </w:pPr>
          </w:p>
        </w:tc>
        <w:tc>
          <w:tcPr>
            <w:tcW w:w="4222" w:type="dxa"/>
            <w:vAlign w:val="center"/>
          </w:tcPr>
          <w:p w14:paraId="21FB81CA">
            <w:pPr>
              <w:pStyle w:val="77"/>
              <w:spacing w:line="560" w:lineRule="exact"/>
              <w:ind w:firstLine="200"/>
              <w:jc w:val="center"/>
              <w:rPr>
                <w:rFonts w:hint="eastAsia" w:ascii="宋体" w:hAnsi="宋体" w:eastAsia="宋体" w:cs="宋体"/>
                <w:color w:val="000000"/>
                <w:sz w:val="24"/>
                <w:szCs w:val="24"/>
                <w:highlight w:val="none"/>
              </w:rPr>
            </w:pPr>
          </w:p>
        </w:tc>
        <w:tc>
          <w:tcPr>
            <w:tcW w:w="3167" w:type="dxa"/>
            <w:vAlign w:val="center"/>
          </w:tcPr>
          <w:p w14:paraId="4C1E144D">
            <w:pPr>
              <w:pStyle w:val="77"/>
              <w:spacing w:line="560" w:lineRule="exact"/>
              <w:ind w:firstLine="200"/>
              <w:jc w:val="center"/>
              <w:rPr>
                <w:rFonts w:hint="eastAsia" w:ascii="宋体" w:hAnsi="宋体" w:eastAsia="宋体" w:cs="宋体"/>
                <w:color w:val="000000"/>
                <w:sz w:val="24"/>
                <w:szCs w:val="24"/>
                <w:highlight w:val="none"/>
              </w:rPr>
            </w:pPr>
          </w:p>
        </w:tc>
      </w:tr>
      <w:tr w14:paraId="35B8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0" w:type="dxa"/>
            <w:vAlign w:val="center"/>
          </w:tcPr>
          <w:p w14:paraId="1E4466A6">
            <w:pPr>
              <w:pStyle w:val="77"/>
              <w:spacing w:line="560" w:lineRule="exact"/>
              <w:ind w:firstLine="200"/>
              <w:jc w:val="center"/>
              <w:rPr>
                <w:rFonts w:hint="eastAsia" w:ascii="宋体" w:hAnsi="宋体" w:eastAsia="宋体" w:cs="宋体"/>
                <w:color w:val="000000"/>
                <w:sz w:val="24"/>
                <w:szCs w:val="24"/>
                <w:highlight w:val="none"/>
              </w:rPr>
            </w:pPr>
          </w:p>
        </w:tc>
        <w:tc>
          <w:tcPr>
            <w:tcW w:w="4222" w:type="dxa"/>
            <w:vAlign w:val="center"/>
          </w:tcPr>
          <w:p w14:paraId="4DA0996F">
            <w:pPr>
              <w:pStyle w:val="77"/>
              <w:spacing w:line="560" w:lineRule="exact"/>
              <w:ind w:firstLine="200"/>
              <w:jc w:val="center"/>
              <w:rPr>
                <w:rFonts w:hint="eastAsia" w:ascii="宋体" w:hAnsi="宋体" w:eastAsia="宋体" w:cs="宋体"/>
                <w:color w:val="000000"/>
                <w:sz w:val="24"/>
                <w:szCs w:val="24"/>
                <w:highlight w:val="none"/>
              </w:rPr>
            </w:pPr>
          </w:p>
        </w:tc>
        <w:tc>
          <w:tcPr>
            <w:tcW w:w="3167" w:type="dxa"/>
            <w:vAlign w:val="center"/>
          </w:tcPr>
          <w:p w14:paraId="3CF0A42B">
            <w:pPr>
              <w:pStyle w:val="77"/>
              <w:spacing w:line="560" w:lineRule="exact"/>
              <w:ind w:firstLine="200"/>
              <w:jc w:val="center"/>
              <w:rPr>
                <w:rFonts w:hint="eastAsia" w:ascii="宋体" w:hAnsi="宋体" w:eastAsia="宋体" w:cs="宋体"/>
                <w:color w:val="000000"/>
                <w:sz w:val="24"/>
                <w:szCs w:val="24"/>
                <w:highlight w:val="none"/>
              </w:rPr>
            </w:pPr>
          </w:p>
        </w:tc>
      </w:tr>
      <w:tr w14:paraId="7542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0" w:type="dxa"/>
            <w:vAlign w:val="center"/>
          </w:tcPr>
          <w:p w14:paraId="0D26FBCB">
            <w:pPr>
              <w:pStyle w:val="77"/>
              <w:spacing w:line="560" w:lineRule="exact"/>
              <w:ind w:firstLine="200"/>
              <w:jc w:val="center"/>
              <w:rPr>
                <w:rFonts w:hint="eastAsia" w:ascii="宋体" w:hAnsi="宋体" w:eastAsia="宋体" w:cs="宋体"/>
                <w:color w:val="000000"/>
                <w:sz w:val="24"/>
                <w:szCs w:val="24"/>
                <w:highlight w:val="none"/>
              </w:rPr>
            </w:pPr>
          </w:p>
        </w:tc>
        <w:tc>
          <w:tcPr>
            <w:tcW w:w="4222" w:type="dxa"/>
            <w:vAlign w:val="center"/>
          </w:tcPr>
          <w:p w14:paraId="6100FFAE">
            <w:pPr>
              <w:pStyle w:val="77"/>
              <w:spacing w:line="560" w:lineRule="exact"/>
              <w:ind w:firstLine="200"/>
              <w:jc w:val="center"/>
              <w:rPr>
                <w:rFonts w:hint="eastAsia" w:ascii="宋体" w:hAnsi="宋体" w:eastAsia="宋体" w:cs="宋体"/>
                <w:color w:val="000000"/>
                <w:sz w:val="24"/>
                <w:szCs w:val="24"/>
                <w:highlight w:val="none"/>
              </w:rPr>
            </w:pPr>
          </w:p>
        </w:tc>
        <w:tc>
          <w:tcPr>
            <w:tcW w:w="3167" w:type="dxa"/>
            <w:vAlign w:val="center"/>
          </w:tcPr>
          <w:p w14:paraId="06F56861">
            <w:pPr>
              <w:pStyle w:val="77"/>
              <w:spacing w:line="560" w:lineRule="exact"/>
              <w:ind w:firstLine="200"/>
              <w:jc w:val="center"/>
              <w:rPr>
                <w:rFonts w:hint="eastAsia" w:ascii="宋体" w:hAnsi="宋体" w:eastAsia="宋体" w:cs="宋体"/>
                <w:color w:val="000000"/>
                <w:sz w:val="24"/>
                <w:szCs w:val="24"/>
                <w:highlight w:val="none"/>
              </w:rPr>
            </w:pPr>
          </w:p>
        </w:tc>
      </w:tr>
      <w:tr w14:paraId="0FD0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90" w:type="dxa"/>
            <w:vAlign w:val="center"/>
          </w:tcPr>
          <w:p w14:paraId="4AF0690B">
            <w:pPr>
              <w:pStyle w:val="77"/>
              <w:spacing w:line="560" w:lineRule="exact"/>
              <w:ind w:firstLine="200"/>
              <w:jc w:val="center"/>
              <w:rPr>
                <w:rFonts w:hint="eastAsia" w:ascii="宋体" w:hAnsi="宋体" w:eastAsia="宋体" w:cs="宋体"/>
                <w:color w:val="000000"/>
                <w:sz w:val="24"/>
                <w:szCs w:val="24"/>
                <w:highlight w:val="none"/>
              </w:rPr>
            </w:pPr>
          </w:p>
        </w:tc>
        <w:tc>
          <w:tcPr>
            <w:tcW w:w="4222" w:type="dxa"/>
            <w:vAlign w:val="center"/>
          </w:tcPr>
          <w:p w14:paraId="3DC46B0B">
            <w:pPr>
              <w:pStyle w:val="77"/>
              <w:spacing w:line="560" w:lineRule="exact"/>
              <w:ind w:firstLine="200"/>
              <w:jc w:val="center"/>
              <w:rPr>
                <w:rFonts w:hint="eastAsia" w:ascii="宋体" w:hAnsi="宋体" w:eastAsia="宋体" w:cs="宋体"/>
                <w:color w:val="000000"/>
                <w:sz w:val="24"/>
                <w:szCs w:val="24"/>
                <w:highlight w:val="none"/>
              </w:rPr>
            </w:pPr>
          </w:p>
        </w:tc>
        <w:tc>
          <w:tcPr>
            <w:tcW w:w="3167" w:type="dxa"/>
            <w:vAlign w:val="center"/>
          </w:tcPr>
          <w:p w14:paraId="733C25C1">
            <w:pPr>
              <w:pStyle w:val="77"/>
              <w:spacing w:line="560" w:lineRule="exact"/>
              <w:ind w:firstLine="200"/>
              <w:jc w:val="center"/>
              <w:rPr>
                <w:rFonts w:hint="eastAsia" w:ascii="宋体" w:hAnsi="宋体" w:eastAsia="宋体" w:cs="宋体"/>
                <w:color w:val="000000"/>
                <w:sz w:val="24"/>
                <w:szCs w:val="24"/>
                <w:highlight w:val="none"/>
              </w:rPr>
            </w:pPr>
          </w:p>
        </w:tc>
      </w:tr>
      <w:tr w14:paraId="43A4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12" w:type="dxa"/>
            <w:gridSpan w:val="2"/>
            <w:vAlign w:val="center"/>
          </w:tcPr>
          <w:p w14:paraId="1C4123C3">
            <w:pPr>
              <w:pStyle w:val="77"/>
              <w:spacing w:line="560" w:lineRule="exact"/>
              <w:ind w:firstLine="20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总价</w:t>
            </w:r>
          </w:p>
        </w:tc>
        <w:tc>
          <w:tcPr>
            <w:tcW w:w="3167" w:type="dxa"/>
            <w:vAlign w:val="center"/>
          </w:tcPr>
          <w:p w14:paraId="41D9F57C">
            <w:pPr>
              <w:pStyle w:val="77"/>
              <w:spacing w:line="560" w:lineRule="exact"/>
              <w:ind w:firstLine="200"/>
              <w:jc w:val="center"/>
              <w:rPr>
                <w:rFonts w:hint="eastAsia" w:ascii="宋体" w:hAnsi="宋体" w:eastAsia="宋体" w:cs="宋体"/>
                <w:color w:val="000000"/>
                <w:sz w:val="24"/>
                <w:szCs w:val="24"/>
                <w:highlight w:val="none"/>
              </w:rPr>
            </w:pPr>
          </w:p>
        </w:tc>
      </w:tr>
    </w:tbl>
    <w:p w14:paraId="1F801E38">
      <w:pPr>
        <w:spacing w:line="560" w:lineRule="exact"/>
        <w:ind w:firstLine="482" w:firstLineChars="200"/>
        <w:outlineLvl w:val="0"/>
        <w:rPr>
          <w:rFonts w:hint="eastAsia" w:ascii="宋体" w:hAnsi="宋体" w:eastAsia="宋体" w:cs="宋体"/>
          <w:b/>
          <w:sz w:val="24"/>
          <w:szCs w:val="24"/>
          <w:highlight w:val="none"/>
        </w:rPr>
      </w:pPr>
      <w:bookmarkStart w:id="303" w:name="_Toc14993"/>
      <w:bookmarkStart w:id="304" w:name="_Toc26916"/>
      <w:bookmarkStart w:id="305" w:name="_Toc3654"/>
      <w:bookmarkStart w:id="306" w:name="_Toc30506"/>
      <w:bookmarkStart w:id="307" w:name="_Toc30158"/>
      <w:r>
        <w:rPr>
          <w:rFonts w:hint="eastAsia" w:ascii="宋体" w:hAnsi="宋体" w:eastAsia="宋体" w:cs="宋体"/>
          <w:b/>
          <w:sz w:val="24"/>
          <w:szCs w:val="24"/>
          <w:highlight w:val="none"/>
        </w:rPr>
        <w:t>1.4 付款方式和发票开具方式</w:t>
      </w:r>
      <w:bookmarkEnd w:id="303"/>
      <w:bookmarkEnd w:id="304"/>
      <w:bookmarkEnd w:id="305"/>
      <w:bookmarkEnd w:id="306"/>
      <w:bookmarkEnd w:id="307"/>
    </w:p>
    <w:p w14:paraId="64C6CC36">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1.4.1付款方式：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08CEC44C">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1.4.2 发票开具方式：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0EF6E8F1">
      <w:pPr>
        <w:spacing w:line="560" w:lineRule="exact"/>
        <w:ind w:firstLine="482" w:firstLineChars="200"/>
        <w:outlineLvl w:val="0"/>
        <w:rPr>
          <w:rFonts w:hint="eastAsia" w:ascii="宋体" w:hAnsi="宋体" w:eastAsia="宋体" w:cs="宋体"/>
          <w:b/>
          <w:sz w:val="24"/>
          <w:szCs w:val="24"/>
          <w:highlight w:val="none"/>
        </w:rPr>
      </w:pPr>
      <w:bookmarkStart w:id="308" w:name="_Toc4760"/>
      <w:bookmarkStart w:id="309" w:name="_Toc3625"/>
      <w:bookmarkStart w:id="310" w:name="_Toc8772"/>
      <w:bookmarkStart w:id="311" w:name="_Toc11108"/>
      <w:bookmarkStart w:id="312" w:name="_Toc31421"/>
      <w:r>
        <w:rPr>
          <w:rFonts w:hint="eastAsia" w:ascii="宋体" w:hAnsi="宋体" w:eastAsia="宋体" w:cs="宋体"/>
          <w:b/>
          <w:sz w:val="24"/>
          <w:szCs w:val="24"/>
          <w:highlight w:val="none"/>
        </w:rPr>
        <w:t>1.5 履行期限、地点和方式</w:t>
      </w:r>
      <w:bookmarkEnd w:id="308"/>
      <w:bookmarkEnd w:id="309"/>
      <w:bookmarkEnd w:id="310"/>
      <w:bookmarkEnd w:id="311"/>
      <w:bookmarkEnd w:id="312"/>
    </w:p>
    <w:p w14:paraId="412BE990">
      <w:pPr>
        <w:spacing w:line="560" w:lineRule="exact"/>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1.5.1 履行期限：</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33CC41FB">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1.5.2 履行地点：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37C6F1E0">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1.5.3 履行方式：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0DA7436B">
      <w:pPr>
        <w:spacing w:line="560" w:lineRule="exact"/>
        <w:ind w:firstLine="482" w:firstLineChars="200"/>
        <w:outlineLvl w:val="0"/>
        <w:rPr>
          <w:rFonts w:hint="eastAsia" w:ascii="宋体" w:hAnsi="宋体" w:eastAsia="宋体" w:cs="宋体"/>
          <w:sz w:val="24"/>
          <w:szCs w:val="24"/>
          <w:highlight w:val="none"/>
          <w:u w:val="single"/>
        </w:rPr>
      </w:pPr>
      <w:bookmarkStart w:id="313" w:name="_Toc5698"/>
      <w:bookmarkStart w:id="314" w:name="_Toc2375"/>
      <w:bookmarkStart w:id="315" w:name="_Toc8586"/>
      <w:bookmarkStart w:id="316" w:name="_Toc3079"/>
      <w:bookmarkStart w:id="317" w:name="_Toc24662"/>
      <w:r>
        <w:rPr>
          <w:rFonts w:hint="eastAsia" w:ascii="宋体" w:hAnsi="宋体" w:eastAsia="宋体" w:cs="宋体"/>
          <w:b/>
          <w:sz w:val="24"/>
          <w:szCs w:val="24"/>
          <w:highlight w:val="none"/>
        </w:rPr>
        <w:t>1.6 违约责任</w:t>
      </w:r>
      <w:bookmarkEnd w:id="313"/>
      <w:bookmarkEnd w:id="314"/>
      <w:bookmarkEnd w:id="315"/>
      <w:bookmarkEnd w:id="316"/>
      <w:bookmarkEnd w:id="317"/>
    </w:p>
    <w:p w14:paraId="74F5E6A7">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1.6.1 除不可抗力外，如果乙方没有按照本合同约定的期限、地点和方式履行，那么甲方可要求乙方支付违约金，违约金按每迟延履行一日的应提供而未提供服务价格的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%计算，最高限额为本合同总价的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%；迟延履行的违约金计算数额达到前述最高限额之日起，甲方有权在要求乙方支付违约金的同时，书面通知乙方解除本合同；</w:t>
      </w:r>
    </w:p>
    <w:p w14:paraId="32977A41">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1.6.2 除不可抗力外，如果甲方没有按照本合同约定的付款方式付款，那么乙方可要求甲方支付违约金，违约金按每迟延付款一日的应付而未付款的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%计算，最高限额为本合同总价的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%；迟延付款的违约金计算数额达到前述最高限额之日起，乙方有权在要求甲方支付违约金的同时，书面通知甲方解除本合同；</w:t>
      </w:r>
    </w:p>
    <w:p w14:paraId="56C0A035">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5882BD64">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DFD6D4D">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7BAA8F1C">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1C1AF91F">
      <w:pPr>
        <w:spacing w:line="560" w:lineRule="exact"/>
        <w:ind w:firstLine="482" w:firstLineChars="200"/>
        <w:outlineLvl w:val="0"/>
        <w:rPr>
          <w:rFonts w:hint="eastAsia" w:ascii="宋体" w:hAnsi="宋体" w:eastAsia="宋体" w:cs="宋体"/>
          <w:b/>
          <w:sz w:val="24"/>
          <w:szCs w:val="24"/>
          <w:highlight w:val="none"/>
        </w:rPr>
      </w:pPr>
      <w:bookmarkStart w:id="318" w:name="_Toc18683"/>
      <w:bookmarkStart w:id="319" w:name="_Toc32454"/>
      <w:bookmarkStart w:id="320" w:name="_Toc26807"/>
      <w:bookmarkStart w:id="321" w:name="_Toc30329"/>
      <w:bookmarkStart w:id="322" w:name="_Toc9497"/>
      <w:r>
        <w:rPr>
          <w:rFonts w:hint="eastAsia" w:ascii="宋体" w:hAnsi="宋体" w:eastAsia="宋体" w:cs="宋体"/>
          <w:b/>
          <w:sz w:val="24"/>
          <w:szCs w:val="24"/>
          <w:highlight w:val="none"/>
        </w:rPr>
        <w:t>1.7 合同争议的解决</w:t>
      </w:r>
      <w:bookmarkEnd w:id="318"/>
      <w:bookmarkEnd w:id="319"/>
      <w:bookmarkEnd w:id="320"/>
      <w:bookmarkEnd w:id="321"/>
      <w:bookmarkEnd w:id="322"/>
    </w:p>
    <w:p w14:paraId="5A267D2F">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本合同履行过程中发生的任何争议，双方当事人均可通过和解或者调解解决；不愿和解、调解或者和解、调解不成的，可以选择下列第</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种方式解决：</w:t>
      </w:r>
    </w:p>
    <w:p w14:paraId="0B731B76">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1.7.1 将争议提交</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仲裁委员会依申请仲裁时其现行有效的仲裁规则裁决；</w:t>
      </w:r>
    </w:p>
    <w:p w14:paraId="0856B768">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1.7.2 向</w:t>
      </w:r>
      <w:r>
        <w:rPr>
          <w:rFonts w:hint="eastAsia" w:ascii="宋体" w:hAnsi="宋体" w:eastAsia="宋体" w:cs="宋体"/>
          <w:sz w:val="24"/>
          <w:szCs w:val="24"/>
          <w:highlight w:val="none"/>
          <w:u w:val="single"/>
        </w:rPr>
        <w:t xml:space="preserve">   （被告住所地、合同履行地、合同签订地、原告住所地、标的物所在地等与争议有实际联系的地点中选出的人民法院名称）    </w:t>
      </w:r>
      <w:r>
        <w:rPr>
          <w:rFonts w:hint="eastAsia" w:ascii="宋体" w:hAnsi="宋体" w:eastAsia="宋体" w:cs="宋体"/>
          <w:sz w:val="24"/>
          <w:szCs w:val="24"/>
          <w:highlight w:val="none"/>
        </w:rPr>
        <w:t>人民法院起诉。</w:t>
      </w:r>
    </w:p>
    <w:p w14:paraId="2E50E5BA">
      <w:pPr>
        <w:spacing w:line="560" w:lineRule="exact"/>
        <w:ind w:firstLine="482" w:firstLineChars="200"/>
        <w:outlineLvl w:val="0"/>
        <w:rPr>
          <w:rFonts w:hint="eastAsia" w:ascii="宋体" w:hAnsi="宋体" w:eastAsia="宋体" w:cs="宋体"/>
          <w:b/>
          <w:sz w:val="24"/>
          <w:szCs w:val="24"/>
          <w:highlight w:val="none"/>
        </w:rPr>
      </w:pPr>
      <w:bookmarkStart w:id="323" w:name="_Toc23784"/>
      <w:bookmarkStart w:id="324" w:name="_Toc26227"/>
      <w:bookmarkStart w:id="325" w:name="_Toc15827"/>
      <w:bookmarkStart w:id="326" w:name="_Toc12273"/>
      <w:bookmarkStart w:id="327" w:name="_Toc16417"/>
      <w:r>
        <w:rPr>
          <w:rFonts w:hint="eastAsia" w:ascii="宋体" w:hAnsi="宋体" w:eastAsia="宋体" w:cs="宋体"/>
          <w:b/>
          <w:sz w:val="24"/>
          <w:szCs w:val="24"/>
          <w:highlight w:val="none"/>
        </w:rPr>
        <w:t>1.8 合同生效</w:t>
      </w:r>
      <w:bookmarkEnd w:id="323"/>
      <w:bookmarkEnd w:id="324"/>
      <w:bookmarkEnd w:id="325"/>
      <w:bookmarkEnd w:id="326"/>
      <w:bookmarkEnd w:id="327"/>
    </w:p>
    <w:p w14:paraId="3C5FD7D2">
      <w:pPr>
        <w:spacing w:line="560" w:lineRule="exact"/>
        <w:ind w:firstLine="480" w:firstLineChars="200"/>
        <w:rPr>
          <w:rFonts w:hint="eastAsia" w:ascii="宋体" w:hAnsi="宋体" w:eastAsia="宋体" w:cs="宋体"/>
          <w:b/>
          <w:sz w:val="24"/>
          <w:szCs w:val="24"/>
          <w:highlight w:val="none"/>
        </w:rPr>
      </w:pPr>
      <w:r>
        <w:rPr>
          <w:rFonts w:hint="eastAsia" w:ascii="宋体" w:hAnsi="宋体" w:eastAsia="宋体" w:cs="宋体"/>
          <w:sz w:val="24"/>
          <w:szCs w:val="24"/>
          <w:highlight w:val="none"/>
        </w:rPr>
        <w:t>本合同自双方当事人盖章或者签字时生效。</w:t>
      </w:r>
    </w:p>
    <w:p w14:paraId="500A1CAA">
      <w:pPr>
        <w:autoSpaceDE w:val="0"/>
        <w:autoSpaceDN w:val="0"/>
        <w:adjustRightInd w:val="0"/>
        <w:spacing w:line="560" w:lineRule="exact"/>
        <w:rPr>
          <w:rFonts w:hint="eastAsia" w:ascii="宋体" w:hAnsi="宋体" w:eastAsia="宋体" w:cs="宋体"/>
          <w:sz w:val="24"/>
          <w:szCs w:val="24"/>
          <w:highlight w:val="none"/>
          <w:lang w:val="zh-CN"/>
        </w:rPr>
      </w:pPr>
    </w:p>
    <w:p w14:paraId="4FC267DC">
      <w:pPr>
        <w:autoSpaceDE w:val="0"/>
        <w:autoSpaceDN w:val="0"/>
        <w:adjustRightInd w:val="0"/>
        <w:spacing w:line="560" w:lineRule="exact"/>
        <w:rPr>
          <w:rFonts w:hint="eastAsia" w:ascii="宋体" w:hAnsi="宋体" w:eastAsia="宋体" w:cs="宋体"/>
          <w:sz w:val="24"/>
          <w:szCs w:val="24"/>
          <w:highlight w:val="none"/>
          <w:lang w:val="zh-CN"/>
        </w:rPr>
      </w:pPr>
      <w:r>
        <w:rPr>
          <w:rFonts w:hint="eastAsia" w:ascii="宋体" w:hAnsi="宋体" w:eastAsia="宋体" w:cs="宋体"/>
          <w:b/>
          <w:sz w:val="24"/>
          <w:szCs w:val="24"/>
          <w:highlight w:val="none"/>
          <w:lang w:val="zh-CN"/>
        </w:rPr>
        <w:t>甲方</w:t>
      </w:r>
      <w:r>
        <w:rPr>
          <w:rFonts w:hint="eastAsia" w:ascii="宋体" w:hAnsi="宋体" w:eastAsia="宋体" w:cs="宋体"/>
          <w:sz w:val="24"/>
          <w:szCs w:val="24"/>
          <w:highlight w:val="none"/>
          <w:lang w:val="zh-CN"/>
        </w:rPr>
        <w:t xml:space="preserve">：                             </w:t>
      </w:r>
      <w:r>
        <w:rPr>
          <w:rFonts w:hint="eastAsia" w:ascii="宋体" w:hAnsi="宋体" w:eastAsia="宋体" w:cs="宋体"/>
          <w:b/>
          <w:sz w:val="24"/>
          <w:szCs w:val="24"/>
          <w:highlight w:val="none"/>
          <w:lang w:val="zh-CN"/>
        </w:rPr>
        <w:t xml:space="preserve">      乙方</w:t>
      </w:r>
      <w:r>
        <w:rPr>
          <w:rFonts w:hint="eastAsia" w:ascii="宋体" w:hAnsi="宋体" w:eastAsia="宋体" w:cs="宋体"/>
          <w:sz w:val="24"/>
          <w:szCs w:val="24"/>
          <w:highlight w:val="none"/>
          <w:lang w:val="zh-CN"/>
        </w:rPr>
        <w:t>：</w:t>
      </w:r>
    </w:p>
    <w:p w14:paraId="68E2582A">
      <w:pPr>
        <w:autoSpaceDE w:val="0"/>
        <w:autoSpaceDN w:val="0"/>
        <w:adjustRightInd w:val="0"/>
        <w:spacing w:line="56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统一社会信用代码：                        统一社会信用代码或身份证号码：</w:t>
      </w:r>
    </w:p>
    <w:p w14:paraId="391E535C">
      <w:pPr>
        <w:autoSpaceDE w:val="0"/>
        <w:autoSpaceDN w:val="0"/>
        <w:adjustRightInd w:val="0"/>
        <w:spacing w:line="560" w:lineRule="exact"/>
        <w:rPr>
          <w:rFonts w:hint="eastAsia" w:ascii="宋体" w:hAnsi="宋体" w:eastAsia="宋体" w:cs="宋体"/>
          <w:sz w:val="24"/>
          <w:szCs w:val="24"/>
          <w:highlight w:val="none"/>
          <w:lang w:val="zh-CN"/>
        </w:rPr>
      </w:pPr>
    </w:p>
    <w:p w14:paraId="66FD641C">
      <w:pPr>
        <w:autoSpaceDE w:val="0"/>
        <w:autoSpaceDN w:val="0"/>
        <w:adjustRightInd w:val="0"/>
        <w:spacing w:line="56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住所：                                   住所：</w:t>
      </w:r>
    </w:p>
    <w:p w14:paraId="54D98BC1">
      <w:pPr>
        <w:autoSpaceDE w:val="0"/>
        <w:autoSpaceDN w:val="0"/>
        <w:adjustRightInd w:val="0"/>
        <w:spacing w:line="56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法定代表人或                             法定代表人</w:t>
      </w:r>
    </w:p>
    <w:p w14:paraId="4DFDA217">
      <w:pPr>
        <w:autoSpaceDE w:val="0"/>
        <w:autoSpaceDN w:val="0"/>
        <w:adjustRightInd w:val="0"/>
        <w:spacing w:line="56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授权代表（签字）：                        或授权代表（签字）: </w:t>
      </w:r>
    </w:p>
    <w:p w14:paraId="67A12532">
      <w:pPr>
        <w:autoSpaceDE w:val="0"/>
        <w:autoSpaceDN w:val="0"/>
        <w:adjustRightInd w:val="0"/>
        <w:spacing w:line="56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联系人：                                 联系人：</w:t>
      </w:r>
    </w:p>
    <w:p w14:paraId="443A236B">
      <w:pPr>
        <w:autoSpaceDE w:val="0"/>
        <w:autoSpaceDN w:val="0"/>
        <w:adjustRightInd w:val="0"/>
        <w:spacing w:line="56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约定送达地址：                           约定送达地址：</w:t>
      </w:r>
    </w:p>
    <w:p w14:paraId="6BD906C2">
      <w:pPr>
        <w:autoSpaceDE w:val="0"/>
        <w:autoSpaceDN w:val="0"/>
        <w:adjustRightInd w:val="0"/>
        <w:spacing w:line="56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邮政编码：                               邮政编码：</w:t>
      </w:r>
    </w:p>
    <w:p w14:paraId="147CB564">
      <w:pPr>
        <w:autoSpaceDE w:val="0"/>
        <w:autoSpaceDN w:val="0"/>
        <w:adjustRightInd w:val="0"/>
        <w:spacing w:line="56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电话:                                    电话: </w:t>
      </w:r>
    </w:p>
    <w:p w14:paraId="046C0EC5">
      <w:pPr>
        <w:autoSpaceDE w:val="0"/>
        <w:autoSpaceDN w:val="0"/>
        <w:adjustRightInd w:val="0"/>
        <w:spacing w:line="560" w:lineRule="exact"/>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传真:                                    传真:</w:t>
      </w:r>
    </w:p>
    <w:p w14:paraId="7AA16404">
      <w:pPr>
        <w:autoSpaceDE w:val="0"/>
        <w:autoSpaceDN w:val="0"/>
        <w:adjustRightInd w:val="0"/>
        <w:spacing w:line="560" w:lineRule="exact"/>
        <w:rPr>
          <w:rFonts w:hint="eastAsia" w:ascii="宋体" w:hAnsi="宋体" w:eastAsia="宋体" w:cs="宋体"/>
          <w:sz w:val="24"/>
          <w:szCs w:val="24"/>
          <w:highlight w:val="none"/>
        </w:rPr>
      </w:pPr>
      <w:r>
        <w:rPr>
          <w:rFonts w:hint="eastAsia" w:ascii="宋体" w:hAnsi="宋体" w:eastAsia="宋体" w:cs="宋体"/>
          <w:sz w:val="24"/>
          <w:szCs w:val="24"/>
          <w:highlight w:val="none"/>
          <w:lang w:val="zh-CN"/>
        </w:rPr>
        <w:t>电子邮箱：                               电子邮箱：</w:t>
      </w:r>
    </w:p>
    <w:p w14:paraId="5BAA4C1F">
      <w:pPr>
        <w:autoSpaceDE w:val="0"/>
        <w:autoSpaceDN w:val="0"/>
        <w:adjustRightInd w:val="0"/>
        <w:spacing w:line="56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开户银行：                               开户银行： </w:t>
      </w:r>
    </w:p>
    <w:p w14:paraId="358437B8">
      <w:pPr>
        <w:autoSpaceDE w:val="0"/>
        <w:autoSpaceDN w:val="0"/>
        <w:adjustRightInd w:val="0"/>
        <w:spacing w:line="56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开户名称：                               开户名称： </w:t>
      </w:r>
    </w:p>
    <w:p w14:paraId="7830B214">
      <w:pPr>
        <w:autoSpaceDE w:val="0"/>
        <w:autoSpaceDN w:val="0"/>
        <w:adjustRightInd w:val="0"/>
        <w:spacing w:line="56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开户账号：</w:t>
      </w:r>
      <w:r>
        <w:rPr>
          <w:rFonts w:hint="eastAsia" w:ascii="宋体" w:hAnsi="宋体" w:eastAsia="宋体" w:cs="宋体"/>
          <w:sz w:val="24"/>
          <w:szCs w:val="24"/>
          <w:highlight w:val="none"/>
          <w:lang w:val="zh-CN"/>
        </w:rPr>
        <w:t xml:space="preserve">                               </w:t>
      </w:r>
      <w:r>
        <w:rPr>
          <w:rFonts w:hint="eastAsia" w:ascii="宋体" w:hAnsi="宋体" w:eastAsia="宋体" w:cs="宋体"/>
          <w:sz w:val="24"/>
          <w:szCs w:val="24"/>
          <w:highlight w:val="none"/>
        </w:rPr>
        <w:t>开户账号：</w:t>
      </w:r>
    </w:p>
    <w:p w14:paraId="34B8D650">
      <w:pPr>
        <w:widowControl/>
        <w:spacing w:line="560" w:lineRule="exact"/>
        <w:jc w:val="left"/>
        <w:rPr>
          <w:rFonts w:hint="eastAsia" w:ascii="宋体" w:hAnsi="宋体" w:eastAsia="宋体" w:cs="宋体"/>
          <w:b/>
          <w:sz w:val="24"/>
          <w:szCs w:val="24"/>
          <w:highlight w:val="none"/>
        </w:rPr>
      </w:pPr>
      <w:bookmarkStart w:id="328" w:name="_Toc331685783"/>
    </w:p>
    <w:p w14:paraId="4A37987A">
      <w:pPr>
        <w:widowControl/>
        <w:spacing w:line="560" w:lineRule="exact"/>
        <w:jc w:val="left"/>
        <w:rPr>
          <w:rFonts w:hint="eastAsia" w:ascii="宋体" w:hAnsi="宋体" w:eastAsia="宋体" w:cs="宋体"/>
          <w:b/>
          <w:sz w:val="24"/>
          <w:szCs w:val="24"/>
          <w:highlight w:val="none"/>
        </w:rPr>
      </w:pPr>
    </w:p>
    <w:p w14:paraId="471282B5">
      <w:pPr>
        <w:widowControl/>
        <w:spacing w:line="560" w:lineRule="exact"/>
        <w:jc w:val="left"/>
        <w:rPr>
          <w:rFonts w:hint="eastAsia" w:ascii="宋体" w:hAnsi="宋体" w:eastAsia="宋体" w:cs="宋体"/>
          <w:b/>
          <w:kern w:val="0"/>
          <w:sz w:val="24"/>
          <w:szCs w:val="24"/>
          <w:highlight w:val="none"/>
        </w:rPr>
      </w:pPr>
    </w:p>
    <w:p w14:paraId="659CC331">
      <w:pPr>
        <w:pStyle w:val="75"/>
        <w:rPr>
          <w:rFonts w:hint="eastAsia" w:ascii="宋体" w:hAnsi="宋体" w:eastAsia="宋体" w:cs="宋体"/>
          <w:b/>
          <w:kern w:val="0"/>
          <w:sz w:val="24"/>
          <w:szCs w:val="24"/>
          <w:highlight w:val="none"/>
        </w:rPr>
      </w:pPr>
    </w:p>
    <w:p w14:paraId="55501B01">
      <w:pPr>
        <w:widowControl/>
        <w:spacing w:line="560" w:lineRule="exact"/>
        <w:jc w:val="left"/>
        <w:rPr>
          <w:rFonts w:hint="eastAsia" w:ascii="宋体" w:hAnsi="宋体" w:eastAsia="宋体" w:cs="宋体"/>
          <w:b/>
          <w:kern w:val="0"/>
          <w:sz w:val="24"/>
          <w:szCs w:val="24"/>
          <w:highlight w:val="none"/>
        </w:rPr>
      </w:pPr>
    </w:p>
    <w:p w14:paraId="6896E6BD">
      <w:pPr>
        <w:pStyle w:val="75"/>
        <w:spacing w:line="560" w:lineRule="exact"/>
        <w:ind w:firstLine="20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第二部分 合同一般条款</w:t>
      </w:r>
      <w:bookmarkEnd w:id="328"/>
    </w:p>
    <w:p w14:paraId="4EB4150D">
      <w:pPr>
        <w:spacing w:line="560" w:lineRule="exact"/>
        <w:ind w:firstLine="482" w:firstLineChars="200"/>
        <w:outlineLvl w:val="0"/>
        <w:rPr>
          <w:rFonts w:hint="eastAsia" w:ascii="宋体" w:hAnsi="宋体" w:eastAsia="宋体" w:cs="宋体"/>
          <w:b/>
          <w:sz w:val="24"/>
          <w:szCs w:val="24"/>
          <w:highlight w:val="none"/>
        </w:rPr>
      </w:pPr>
      <w:bookmarkStart w:id="329" w:name="_Ref467379214"/>
      <w:bookmarkStart w:id="330" w:name="_Toc279701240"/>
      <w:bookmarkStart w:id="331" w:name="_Toc5228"/>
      <w:bookmarkStart w:id="332" w:name="_Ref467379109"/>
      <w:bookmarkStart w:id="333" w:name="_Toc487900349"/>
      <w:bookmarkStart w:id="334" w:name="_Toc31297"/>
      <w:bookmarkStart w:id="335" w:name="_Ref467379101"/>
      <w:bookmarkStart w:id="336" w:name="_Ref467379225"/>
      <w:bookmarkStart w:id="337" w:name="_Toc259093669"/>
      <w:bookmarkStart w:id="338" w:name="_Toc14021"/>
      <w:bookmarkStart w:id="339" w:name="_Toc25079"/>
      <w:bookmarkStart w:id="340" w:name="_Ref467378463"/>
      <w:bookmarkStart w:id="341" w:name="_Ref467379094"/>
      <w:bookmarkStart w:id="342" w:name="_Ref467378499"/>
      <w:bookmarkStart w:id="343" w:name="_Ref467379205"/>
      <w:bookmarkStart w:id="344" w:name="_Toc19680"/>
      <w:bookmarkStart w:id="345" w:name="_Ref467379195"/>
      <w:bookmarkStart w:id="346" w:name="_Ref467378404"/>
      <w:r>
        <w:rPr>
          <w:rFonts w:hint="eastAsia" w:ascii="宋体" w:hAnsi="宋体" w:eastAsia="宋体" w:cs="宋体"/>
          <w:b/>
          <w:sz w:val="24"/>
          <w:szCs w:val="24"/>
          <w:highlight w:val="none"/>
        </w:rPr>
        <w:t>2.1 定义</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3D8B6A9D">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本合同中的下列词语应按以下内容进行解释：</w:t>
      </w:r>
    </w:p>
    <w:p w14:paraId="4725C70A">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2.1.1 “合同”系指采购人和中标供应商签订的载明双方当事人所达成的协议，并包括所有的附件、附录和构成合同的其他文件。</w:t>
      </w:r>
    </w:p>
    <w:p w14:paraId="4212164B">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2.1.2 “合同价”系指根据合同约定，中标供应商在完全履行合同义务后，采购人应支付给中标供应商的价格。</w:t>
      </w:r>
    </w:p>
    <w:p w14:paraId="7A2BD30E">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2.1.3 “服务”系指中标供应商根据合同约定应向采购人履行的除货物和工程以外的其他政府采购对象，包括采购人自身需要的服务和向社会公众提供的公共服务。</w:t>
      </w:r>
    </w:p>
    <w:p w14:paraId="540C2714">
      <w:pPr>
        <w:spacing w:line="560" w:lineRule="exact"/>
        <w:ind w:firstLine="480" w:firstLineChars="200"/>
        <w:rPr>
          <w:rFonts w:hint="eastAsia" w:ascii="宋体" w:hAnsi="宋体" w:eastAsia="宋体" w:cs="宋体"/>
          <w:sz w:val="24"/>
          <w:szCs w:val="24"/>
          <w:highlight w:val="none"/>
        </w:rPr>
      </w:pPr>
      <w:bookmarkStart w:id="347" w:name="_Ref467378840"/>
      <w:r>
        <w:rPr>
          <w:rFonts w:hint="eastAsia" w:ascii="宋体" w:hAnsi="宋体" w:eastAsia="宋体" w:cs="宋体"/>
          <w:sz w:val="24"/>
          <w:szCs w:val="24"/>
          <w:highlight w:val="none"/>
        </w:rPr>
        <w:t>2.1.4 “甲方”系指与中标供应商签署合同的采购人</w:t>
      </w:r>
      <w:bookmarkEnd w:id="347"/>
      <w:r>
        <w:rPr>
          <w:rFonts w:hint="eastAsia" w:ascii="宋体" w:hAnsi="宋体" w:eastAsia="宋体" w:cs="宋体"/>
          <w:sz w:val="24"/>
          <w:szCs w:val="24"/>
          <w:highlight w:val="none"/>
        </w:rPr>
        <w:t>；采购人委托采购代理机构代表其与乙方签订合同的，采购人的授权委托书作为合同附件。</w:t>
      </w:r>
    </w:p>
    <w:p w14:paraId="02D7D492">
      <w:pPr>
        <w:spacing w:line="560" w:lineRule="exact"/>
        <w:ind w:firstLine="480" w:firstLineChars="200"/>
        <w:rPr>
          <w:rFonts w:hint="eastAsia" w:ascii="宋体" w:hAnsi="宋体" w:eastAsia="宋体" w:cs="宋体"/>
          <w:sz w:val="24"/>
          <w:szCs w:val="24"/>
          <w:highlight w:val="none"/>
        </w:rPr>
      </w:pPr>
      <w:bookmarkStart w:id="348" w:name="_Ref467379400"/>
      <w:r>
        <w:rPr>
          <w:rFonts w:hint="eastAsia" w:ascii="宋体" w:hAnsi="宋体" w:eastAsia="宋体" w:cs="宋体"/>
          <w:sz w:val="24"/>
          <w:szCs w:val="24"/>
          <w:highlight w:val="none"/>
        </w:rPr>
        <w:t>2.1.5 “乙方”系指根据合同约定提供服务的中标供应商</w:t>
      </w:r>
      <w:bookmarkEnd w:id="348"/>
      <w:r>
        <w:rPr>
          <w:rFonts w:hint="eastAsia" w:ascii="宋体" w:hAnsi="宋体" w:eastAsia="宋体" w:cs="宋体"/>
          <w:sz w:val="24"/>
          <w:szCs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52770F61">
      <w:pPr>
        <w:spacing w:line="560" w:lineRule="exact"/>
        <w:ind w:firstLine="480" w:firstLineChars="200"/>
        <w:rPr>
          <w:rFonts w:hint="eastAsia" w:ascii="宋体" w:hAnsi="宋体" w:eastAsia="宋体" w:cs="宋体"/>
          <w:sz w:val="24"/>
          <w:szCs w:val="24"/>
          <w:highlight w:val="none"/>
        </w:rPr>
      </w:pPr>
      <w:bookmarkStart w:id="349" w:name="_Ref467379436"/>
      <w:r>
        <w:rPr>
          <w:rFonts w:hint="eastAsia" w:ascii="宋体" w:hAnsi="宋体" w:eastAsia="宋体" w:cs="宋体"/>
          <w:sz w:val="24"/>
          <w:szCs w:val="24"/>
          <w:highlight w:val="none"/>
        </w:rPr>
        <w:t>2.1.6 “现场”系指合同约定提供服务的地点。</w:t>
      </w:r>
      <w:bookmarkEnd w:id="349"/>
    </w:p>
    <w:p w14:paraId="0FFF26E9">
      <w:pPr>
        <w:spacing w:line="560" w:lineRule="exact"/>
        <w:ind w:firstLine="482" w:firstLineChars="200"/>
        <w:outlineLvl w:val="0"/>
        <w:rPr>
          <w:rFonts w:hint="eastAsia" w:ascii="宋体" w:hAnsi="宋体" w:eastAsia="宋体" w:cs="宋体"/>
          <w:b/>
          <w:sz w:val="24"/>
          <w:szCs w:val="24"/>
          <w:highlight w:val="none"/>
        </w:rPr>
      </w:pPr>
      <w:bookmarkStart w:id="350" w:name="_Toc279701241"/>
      <w:bookmarkStart w:id="351" w:name="_Toc31402"/>
      <w:bookmarkStart w:id="352" w:name="_Toc259093670"/>
      <w:bookmarkStart w:id="353" w:name="_Toc19539"/>
      <w:bookmarkStart w:id="354" w:name="_Toc23289"/>
      <w:bookmarkStart w:id="355" w:name="_Toc487900350"/>
      <w:bookmarkStart w:id="356" w:name="_Toc16752"/>
      <w:bookmarkStart w:id="357" w:name="_Toc3769"/>
      <w:r>
        <w:rPr>
          <w:rFonts w:hint="eastAsia" w:ascii="宋体" w:hAnsi="宋体" w:eastAsia="宋体" w:cs="宋体"/>
          <w:b/>
          <w:sz w:val="24"/>
          <w:szCs w:val="24"/>
          <w:highlight w:val="none"/>
        </w:rPr>
        <w:t>2.2 技术规范</w:t>
      </w:r>
      <w:bookmarkEnd w:id="350"/>
      <w:bookmarkEnd w:id="351"/>
      <w:bookmarkEnd w:id="352"/>
      <w:bookmarkEnd w:id="353"/>
      <w:bookmarkEnd w:id="354"/>
      <w:bookmarkEnd w:id="355"/>
      <w:bookmarkEnd w:id="356"/>
      <w:bookmarkEnd w:id="357"/>
    </w:p>
    <w:p w14:paraId="34378137">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429CF53">
      <w:pPr>
        <w:spacing w:line="560" w:lineRule="exact"/>
        <w:ind w:firstLine="482" w:firstLineChars="200"/>
        <w:outlineLvl w:val="0"/>
        <w:rPr>
          <w:rFonts w:hint="eastAsia" w:ascii="宋体" w:hAnsi="宋体" w:eastAsia="宋体" w:cs="宋体"/>
          <w:b/>
          <w:sz w:val="24"/>
          <w:szCs w:val="24"/>
          <w:highlight w:val="none"/>
        </w:rPr>
      </w:pPr>
      <w:bookmarkStart w:id="358" w:name="_Toc487900351"/>
      <w:bookmarkStart w:id="359" w:name="_Toc4133"/>
      <w:bookmarkStart w:id="360" w:name="_Toc13673"/>
      <w:bookmarkStart w:id="361" w:name="_Toc279701242"/>
      <w:bookmarkStart w:id="362" w:name="_Toc27945"/>
      <w:bookmarkStart w:id="363" w:name="_Toc12412"/>
      <w:bookmarkStart w:id="364" w:name="_Toc9161"/>
      <w:bookmarkStart w:id="365" w:name="_Toc259093671"/>
      <w:r>
        <w:rPr>
          <w:rFonts w:hint="eastAsia" w:ascii="宋体" w:hAnsi="宋体" w:eastAsia="宋体" w:cs="宋体"/>
          <w:b/>
          <w:sz w:val="24"/>
          <w:szCs w:val="24"/>
          <w:highlight w:val="none"/>
        </w:rPr>
        <w:t>2.3 知识产权</w:t>
      </w:r>
      <w:bookmarkEnd w:id="358"/>
      <w:bookmarkEnd w:id="359"/>
      <w:bookmarkEnd w:id="360"/>
      <w:bookmarkEnd w:id="361"/>
      <w:bookmarkEnd w:id="362"/>
      <w:bookmarkEnd w:id="363"/>
      <w:bookmarkEnd w:id="364"/>
      <w:bookmarkEnd w:id="365"/>
    </w:p>
    <w:p w14:paraId="2719C847">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14:paraId="3C202AE2">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2.3.2 合同涉及技术成果的归属和收益的分成办法的，详见</w:t>
      </w:r>
      <w:r>
        <w:rPr>
          <w:rFonts w:hint="eastAsia" w:ascii="宋体" w:hAnsi="宋体" w:eastAsia="宋体" w:cs="宋体"/>
          <w:b/>
          <w:i/>
          <w:sz w:val="24"/>
          <w:szCs w:val="24"/>
          <w:highlight w:val="none"/>
          <w:u w:val="single"/>
        </w:rPr>
        <w:t>合同专用条款</w:t>
      </w:r>
      <w:r>
        <w:rPr>
          <w:rFonts w:hint="eastAsia" w:ascii="宋体" w:hAnsi="宋体" w:eastAsia="宋体" w:cs="宋体"/>
          <w:sz w:val="24"/>
          <w:szCs w:val="24"/>
          <w:highlight w:val="none"/>
        </w:rPr>
        <w:t>。</w:t>
      </w:r>
    </w:p>
    <w:p w14:paraId="4535B447">
      <w:pPr>
        <w:spacing w:line="560" w:lineRule="exact"/>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2.4 履约检查和问题反馈</w:t>
      </w:r>
    </w:p>
    <w:p w14:paraId="43C26ED9">
      <w:pPr>
        <w:spacing w:line="560" w:lineRule="exact"/>
        <w:ind w:firstLine="480" w:firstLineChars="200"/>
        <w:rPr>
          <w:rFonts w:hint="eastAsia" w:ascii="宋体" w:hAnsi="宋体" w:eastAsia="宋体" w:cs="宋体"/>
          <w:sz w:val="24"/>
          <w:szCs w:val="24"/>
          <w:highlight w:val="none"/>
        </w:rPr>
      </w:pPr>
      <w:bookmarkStart w:id="366" w:name="_Ref467379657"/>
      <w:r>
        <w:rPr>
          <w:rFonts w:hint="eastAsia" w:ascii="宋体" w:hAnsi="宋体" w:eastAsia="宋体" w:cs="宋体"/>
          <w:sz w:val="24"/>
          <w:szCs w:val="24"/>
          <w:highlight w:val="none"/>
        </w:rPr>
        <w:t>2.4.1</w:t>
      </w:r>
      <w:bookmarkEnd w:id="366"/>
      <w:bookmarkStart w:id="367" w:name="_Toc186431854"/>
      <w:bookmarkStart w:id="368" w:name="_Toc487900357"/>
      <w:bookmarkStart w:id="369" w:name="_Ref467379793"/>
      <w:bookmarkStart w:id="370" w:name="_Ref467379807"/>
      <w:bookmarkStart w:id="371" w:name="_Toc259093676"/>
      <w:bookmarkStart w:id="372" w:name="_Toc279701247"/>
      <w:r>
        <w:rPr>
          <w:rFonts w:hint="eastAsia" w:ascii="宋体" w:hAnsi="宋体" w:eastAsia="宋体" w:cs="宋体"/>
          <w:sz w:val="24"/>
          <w:szCs w:val="24"/>
          <w:highlight w:val="none"/>
        </w:rPr>
        <w:t>甲方有权在其认为必要时，对乙方是否能够按照合同约定提供服务进行履约检查，以确保乙方所提供的服务能够依约满足甲方之项目需求，但不得因履约检查妨碍乙方的正常工作，乙方应予积极配合；</w:t>
      </w:r>
    </w:p>
    <w:p w14:paraId="70E7098E">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2.4.2 合同履行期间，甲方有权将履行过程中出现的问题反馈给乙方，双方当事人应以书面形式约定需要完善和改进的内容</w:t>
      </w:r>
      <w:bookmarkEnd w:id="367"/>
      <w:bookmarkStart w:id="373" w:name="_Toc186431855"/>
      <w:r>
        <w:rPr>
          <w:rFonts w:hint="eastAsia" w:ascii="宋体" w:hAnsi="宋体" w:eastAsia="宋体" w:cs="宋体"/>
          <w:sz w:val="24"/>
          <w:szCs w:val="24"/>
          <w:highlight w:val="none"/>
        </w:rPr>
        <w:t>。</w:t>
      </w:r>
    </w:p>
    <w:bookmarkEnd w:id="373"/>
    <w:p w14:paraId="6D944C2F">
      <w:pPr>
        <w:spacing w:line="560" w:lineRule="exact"/>
        <w:ind w:firstLine="482" w:firstLineChars="200"/>
        <w:outlineLvl w:val="0"/>
        <w:rPr>
          <w:rFonts w:hint="eastAsia" w:ascii="宋体" w:hAnsi="宋体" w:eastAsia="宋体" w:cs="宋体"/>
          <w:b/>
          <w:sz w:val="24"/>
          <w:szCs w:val="24"/>
          <w:highlight w:val="none"/>
        </w:rPr>
      </w:pPr>
      <w:bookmarkStart w:id="374" w:name="_Toc32670"/>
      <w:bookmarkStart w:id="375" w:name="_Toc22011"/>
      <w:bookmarkStart w:id="376" w:name="_Toc31233"/>
      <w:bookmarkStart w:id="377" w:name="_Toc15447"/>
      <w:bookmarkStart w:id="378" w:name="_Toc26555"/>
      <w:r>
        <w:rPr>
          <w:rFonts w:hint="eastAsia" w:ascii="宋体" w:hAnsi="宋体" w:eastAsia="宋体" w:cs="宋体"/>
          <w:b/>
          <w:sz w:val="24"/>
          <w:szCs w:val="24"/>
          <w:highlight w:val="none"/>
        </w:rPr>
        <w:t>2.5 结算方式和付款条件</w:t>
      </w:r>
      <w:bookmarkEnd w:id="368"/>
      <w:bookmarkEnd w:id="369"/>
      <w:bookmarkEnd w:id="370"/>
      <w:bookmarkEnd w:id="371"/>
      <w:bookmarkEnd w:id="372"/>
      <w:bookmarkEnd w:id="374"/>
      <w:bookmarkEnd w:id="375"/>
      <w:bookmarkEnd w:id="376"/>
      <w:bookmarkEnd w:id="377"/>
      <w:bookmarkEnd w:id="378"/>
    </w:p>
    <w:p w14:paraId="256BB08D">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详见</w:t>
      </w:r>
      <w:r>
        <w:rPr>
          <w:rFonts w:hint="eastAsia" w:ascii="宋体" w:hAnsi="宋体" w:eastAsia="宋体" w:cs="宋体"/>
          <w:b/>
          <w:i/>
          <w:sz w:val="24"/>
          <w:szCs w:val="24"/>
          <w:highlight w:val="none"/>
          <w:u w:val="single"/>
        </w:rPr>
        <w:t>合同专用条款</w:t>
      </w:r>
      <w:r>
        <w:rPr>
          <w:rFonts w:hint="eastAsia" w:ascii="宋体" w:hAnsi="宋体" w:eastAsia="宋体" w:cs="宋体"/>
          <w:sz w:val="24"/>
          <w:szCs w:val="24"/>
          <w:highlight w:val="none"/>
        </w:rPr>
        <w:t>。</w:t>
      </w:r>
    </w:p>
    <w:p w14:paraId="18CD029C">
      <w:pPr>
        <w:spacing w:line="560" w:lineRule="exact"/>
        <w:ind w:firstLine="482" w:firstLineChars="200"/>
        <w:outlineLvl w:val="0"/>
        <w:rPr>
          <w:rFonts w:hint="eastAsia" w:ascii="宋体" w:hAnsi="宋体" w:eastAsia="宋体" w:cs="宋体"/>
          <w:b/>
          <w:sz w:val="24"/>
          <w:szCs w:val="24"/>
          <w:highlight w:val="none"/>
        </w:rPr>
      </w:pPr>
      <w:bookmarkStart w:id="379" w:name="_Ref467379852"/>
      <w:bookmarkStart w:id="380" w:name="_Toc259093677"/>
      <w:bookmarkStart w:id="381" w:name="_Toc487900358"/>
      <w:bookmarkStart w:id="382" w:name="_Ref467379923"/>
      <w:bookmarkStart w:id="383" w:name="_Toc279701248"/>
      <w:bookmarkStart w:id="384" w:name="_Ref467379863"/>
      <w:bookmarkStart w:id="385" w:name="_Toc16163"/>
      <w:bookmarkStart w:id="386" w:name="_Toc13467"/>
      <w:bookmarkStart w:id="387" w:name="_Toc18990"/>
      <w:bookmarkStart w:id="388" w:name="_Toc13154"/>
      <w:bookmarkStart w:id="389" w:name="_Toc30507"/>
      <w:r>
        <w:rPr>
          <w:rFonts w:hint="eastAsia" w:ascii="宋体" w:hAnsi="宋体" w:eastAsia="宋体" w:cs="宋体"/>
          <w:b/>
          <w:sz w:val="24"/>
          <w:szCs w:val="24"/>
          <w:highlight w:val="none"/>
        </w:rPr>
        <w:t>2.6 技术资料</w:t>
      </w:r>
      <w:bookmarkEnd w:id="379"/>
      <w:bookmarkEnd w:id="380"/>
      <w:bookmarkEnd w:id="381"/>
      <w:bookmarkEnd w:id="382"/>
      <w:bookmarkEnd w:id="383"/>
      <w:bookmarkEnd w:id="384"/>
      <w:r>
        <w:rPr>
          <w:rFonts w:hint="eastAsia" w:ascii="宋体" w:hAnsi="宋体" w:eastAsia="宋体" w:cs="宋体"/>
          <w:b/>
          <w:sz w:val="24"/>
          <w:szCs w:val="24"/>
          <w:highlight w:val="none"/>
        </w:rPr>
        <w:t>和保密义务</w:t>
      </w:r>
      <w:bookmarkEnd w:id="385"/>
      <w:bookmarkEnd w:id="386"/>
      <w:bookmarkEnd w:id="387"/>
      <w:bookmarkEnd w:id="388"/>
      <w:bookmarkEnd w:id="389"/>
    </w:p>
    <w:p w14:paraId="55812D79">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2.6.1 乙方有权依据合同约定和项目需要，向甲方了解有关情况，调阅有关资料等，甲方应予积极配合；</w:t>
      </w:r>
    </w:p>
    <w:p w14:paraId="7BAB9B84">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2.6.2 乙方有义务妥善保管和保护由甲方提供的前款信息和资料等；</w:t>
      </w:r>
    </w:p>
    <w:p w14:paraId="50E4FEB5">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1B08EC1">
      <w:pPr>
        <w:spacing w:line="560" w:lineRule="exact"/>
        <w:ind w:firstLine="482" w:firstLineChars="200"/>
        <w:outlineLvl w:val="0"/>
        <w:rPr>
          <w:rFonts w:hint="eastAsia" w:ascii="宋体" w:hAnsi="宋体" w:eastAsia="宋体" w:cs="宋体"/>
          <w:b/>
          <w:sz w:val="24"/>
          <w:szCs w:val="24"/>
          <w:highlight w:val="none"/>
        </w:rPr>
      </w:pPr>
      <w:bookmarkStart w:id="390" w:name="_Toc19069"/>
      <w:bookmarkStart w:id="391" w:name="_Toc259093681"/>
      <w:bookmarkStart w:id="392" w:name="_Toc279701252"/>
      <w:bookmarkStart w:id="393" w:name="_Toc487900362"/>
      <w:r>
        <w:rPr>
          <w:rFonts w:hint="eastAsia" w:ascii="宋体" w:hAnsi="宋体" w:eastAsia="宋体" w:cs="宋体"/>
          <w:b/>
          <w:sz w:val="24"/>
          <w:szCs w:val="24"/>
          <w:highlight w:val="none"/>
        </w:rPr>
        <w:t>2.7 质量保证</w:t>
      </w:r>
      <w:bookmarkEnd w:id="390"/>
    </w:p>
    <w:p w14:paraId="44362F4A">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2.7.1 乙方应建立和完善履行合同的内部质量保证体系，并提供相关内部规章制度给甲方，以便甲方进行监督检查；</w:t>
      </w:r>
    </w:p>
    <w:p w14:paraId="794FF79D">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2.7.2 乙方应保证履行合同的人员数量和素质、软件和硬件设备的配置、场地、环境和设施等满足全面履行合同的要求，并应接受甲方的监督检查。</w:t>
      </w:r>
    </w:p>
    <w:p w14:paraId="4F0656BA">
      <w:pPr>
        <w:spacing w:line="560" w:lineRule="exact"/>
        <w:ind w:firstLine="482" w:firstLineChars="200"/>
        <w:outlineLvl w:val="0"/>
        <w:rPr>
          <w:rFonts w:hint="eastAsia" w:ascii="宋体" w:hAnsi="宋体" w:eastAsia="宋体" w:cs="宋体"/>
          <w:b/>
          <w:sz w:val="24"/>
          <w:szCs w:val="24"/>
          <w:highlight w:val="none"/>
        </w:rPr>
      </w:pPr>
      <w:bookmarkStart w:id="394" w:name="_Toc22267"/>
      <w:r>
        <w:rPr>
          <w:rFonts w:hint="eastAsia" w:ascii="宋体" w:hAnsi="宋体" w:eastAsia="宋体" w:cs="宋体"/>
          <w:b/>
          <w:sz w:val="24"/>
          <w:szCs w:val="24"/>
          <w:highlight w:val="none"/>
        </w:rPr>
        <w:t>2.8 延迟</w:t>
      </w:r>
      <w:bookmarkEnd w:id="391"/>
      <w:bookmarkEnd w:id="392"/>
      <w:bookmarkEnd w:id="393"/>
      <w:r>
        <w:rPr>
          <w:rFonts w:hint="eastAsia" w:ascii="宋体" w:hAnsi="宋体" w:eastAsia="宋体" w:cs="宋体"/>
          <w:b/>
          <w:sz w:val="24"/>
          <w:szCs w:val="24"/>
          <w:highlight w:val="none"/>
        </w:rPr>
        <w:t>履行</w:t>
      </w:r>
      <w:bookmarkEnd w:id="394"/>
    </w:p>
    <w:p w14:paraId="7677D746">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411D4AFF">
      <w:pPr>
        <w:spacing w:line="560" w:lineRule="exact"/>
        <w:ind w:firstLine="482" w:firstLineChars="200"/>
        <w:outlineLvl w:val="0"/>
        <w:rPr>
          <w:rFonts w:hint="eastAsia" w:ascii="宋体" w:hAnsi="宋体" w:eastAsia="宋体" w:cs="宋体"/>
          <w:b/>
          <w:sz w:val="24"/>
          <w:szCs w:val="24"/>
          <w:highlight w:val="none"/>
        </w:rPr>
      </w:pPr>
      <w:bookmarkStart w:id="395" w:name="_Toc10611"/>
      <w:bookmarkStart w:id="396" w:name="_Toc487900364"/>
      <w:bookmarkStart w:id="397" w:name="_Ref467378121"/>
      <w:bookmarkStart w:id="398" w:name="_Toc259093683"/>
      <w:bookmarkStart w:id="399" w:name="_Toc279701254"/>
      <w:r>
        <w:rPr>
          <w:rFonts w:hint="eastAsia" w:ascii="宋体" w:hAnsi="宋体" w:eastAsia="宋体" w:cs="宋体"/>
          <w:b/>
          <w:sz w:val="24"/>
          <w:szCs w:val="24"/>
          <w:highlight w:val="none"/>
        </w:rPr>
        <w:t>2.9 合同变更</w:t>
      </w:r>
      <w:bookmarkEnd w:id="395"/>
    </w:p>
    <w:p w14:paraId="4D83CFC2">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2.9.1 双方当事人协商一致，可以签订书面补充合同的形式变更合同，但不得违背采购文件确定的事项，且如果系追加与合同标的相同的服务的，那么所有补充合同的采购金额不得超过原合同价的10%；</w:t>
      </w:r>
    </w:p>
    <w:p w14:paraId="11AA32CF">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2.9.2 合同继续履行将损害国家利益和社会公共利益的，双方当事人应当以书面形式变更合同。有过错的一方应当承担赔偿责任，双方当事人都有过错的，各自承担相应的责任。</w:t>
      </w:r>
      <w:bookmarkStart w:id="400" w:name="_Toc279701259"/>
      <w:bookmarkStart w:id="401" w:name="_Toc487900369"/>
      <w:bookmarkStart w:id="402" w:name="_Toc259093688"/>
    </w:p>
    <w:p w14:paraId="472891D7">
      <w:pPr>
        <w:spacing w:line="560" w:lineRule="exact"/>
        <w:ind w:firstLine="482" w:firstLineChars="200"/>
        <w:outlineLvl w:val="0"/>
        <w:rPr>
          <w:rFonts w:hint="eastAsia" w:ascii="宋体" w:hAnsi="宋体" w:eastAsia="宋体" w:cs="宋体"/>
          <w:b/>
          <w:sz w:val="24"/>
          <w:szCs w:val="24"/>
          <w:highlight w:val="none"/>
        </w:rPr>
      </w:pPr>
      <w:bookmarkStart w:id="403" w:name="_Toc23368"/>
      <w:bookmarkStart w:id="404" w:name="_Toc21830"/>
      <w:bookmarkStart w:id="405" w:name="_Toc10663"/>
      <w:bookmarkStart w:id="406" w:name="_Toc26689"/>
      <w:bookmarkStart w:id="407" w:name="_Toc42"/>
      <w:r>
        <w:rPr>
          <w:rFonts w:hint="eastAsia" w:ascii="宋体" w:hAnsi="宋体" w:eastAsia="宋体" w:cs="宋体"/>
          <w:b/>
          <w:sz w:val="24"/>
          <w:szCs w:val="24"/>
          <w:highlight w:val="none"/>
        </w:rPr>
        <w:t>2.10 合同转让</w:t>
      </w:r>
      <w:bookmarkEnd w:id="400"/>
      <w:bookmarkEnd w:id="401"/>
      <w:bookmarkEnd w:id="402"/>
      <w:r>
        <w:rPr>
          <w:rFonts w:hint="eastAsia" w:ascii="宋体" w:hAnsi="宋体" w:eastAsia="宋体" w:cs="宋体"/>
          <w:b/>
          <w:sz w:val="24"/>
          <w:szCs w:val="24"/>
          <w:highlight w:val="none"/>
        </w:rPr>
        <w:t>和分包</w:t>
      </w:r>
      <w:bookmarkEnd w:id="403"/>
      <w:bookmarkEnd w:id="404"/>
      <w:bookmarkEnd w:id="405"/>
      <w:bookmarkEnd w:id="406"/>
      <w:bookmarkEnd w:id="407"/>
    </w:p>
    <w:p w14:paraId="19B16881">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40DA488">
      <w:pPr>
        <w:spacing w:line="560" w:lineRule="exact"/>
        <w:ind w:firstLine="482" w:firstLineChars="200"/>
        <w:outlineLvl w:val="0"/>
        <w:rPr>
          <w:rFonts w:hint="eastAsia" w:ascii="宋体" w:hAnsi="宋体" w:eastAsia="宋体" w:cs="宋体"/>
          <w:b/>
          <w:sz w:val="24"/>
          <w:szCs w:val="24"/>
          <w:highlight w:val="none"/>
        </w:rPr>
      </w:pPr>
      <w:bookmarkStart w:id="408" w:name="_Toc14371"/>
      <w:bookmarkStart w:id="409" w:name="_Toc4720"/>
      <w:bookmarkStart w:id="410" w:name="_Toc25571"/>
      <w:bookmarkStart w:id="411" w:name="_Toc32494"/>
      <w:bookmarkStart w:id="412" w:name="_Toc26633"/>
      <w:r>
        <w:rPr>
          <w:rFonts w:hint="eastAsia" w:ascii="宋体" w:hAnsi="宋体" w:eastAsia="宋体" w:cs="宋体"/>
          <w:b/>
          <w:sz w:val="24"/>
          <w:szCs w:val="24"/>
          <w:highlight w:val="none"/>
        </w:rPr>
        <w:t>2.11 不可抗力</w:t>
      </w:r>
      <w:bookmarkEnd w:id="408"/>
      <w:bookmarkEnd w:id="409"/>
      <w:bookmarkEnd w:id="410"/>
      <w:bookmarkEnd w:id="411"/>
      <w:bookmarkEnd w:id="412"/>
    </w:p>
    <w:p w14:paraId="7A70B779">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2.11.1如果任何一方遭遇法律规定的不可抗力，致使合同履行受阻时，履行合同的期限应予延长，延长的期限应相当于不可抗力所影响的时间；</w:t>
      </w:r>
    </w:p>
    <w:p w14:paraId="30A84089">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2.11.2 因不可抗力致使不能实现合同目的的，当事人可以解除合同；</w:t>
      </w:r>
    </w:p>
    <w:p w14:paraId="4A63A0A5">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2.11.3 因不可抗力致使合同有变更必要的，双方当事人应在</w:t>
      </w:r>
      <w:r>
        <w:rPr>
          <w:rFonts w:hint="eastAsia" w:ascii="宋体" w:hAnsi="宋体" w:eastAsia="宋体" w:cs="宋体"/>
          <w:b/>
          <w:i/>
          <w:sz w:val="24"/>
          <w:szCs w:val="24"/>
          <w:highlight w:val="none"/>
          <w:u w:val="single"/>
        </w:rPr>
        <w:t>合同专用条款</w:t>
      </w:r>
      <w:r>
        <w:rPr>
          <w:rFonts w:hint="eastAsia" w:ascii="宋体" w:hAnsi="宋体" w:eastAsia="宋体" w:cs="宋体"/>
          <w:sz w:val="24"/>
          <w:szCs w:val="24"/>
          <w:highlight w:val="none"/>
        </w:rPr>
        <w:t>约定时间内以书面形式变更合同；</w:t>
      </w:r>
    </w:p>
    <w:p w14:paraId="243A0CD7">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2.11.4受不可抗力影响的一方在不可抗力发生后，应在</w:t>
      </w:r>
      <w:r>
        <w:rPr>
          <w:rFonts w:hint="eastAsia" w:ascii="宋体" w:hAnsi="宋体" w:eastAsia="宋体" w:cs="宋体"/>
          <w:b/>
          <w:i/>
          <w:sz w:val="24"/>
          <w:szCs w:val="24"/>
          <w:highlight w:val="none"/>
          <w:u w:val="single"/>
        </w:rPr>
        <w:t>合同专用条款</w:t>
      </w:r>
      <w:r>
        <w:rPr>
          <w:rFonts w:hint="eastAsia" w:ascii="宋体" w:hAnsi="宋体" w:eastAsia="宋体" w:cs="宋体"/>
          <w:sz w:val="24"/>
          <w:szCs w:val="24"/>
          <w:highlight w:val="none"/>
        </w:rPr>
        <w:t>约定时间内以书面形式通知对方当事人，并在</w:t>
      </w:r>
      <w:r>
        <w:rPr>
          <w:rFonts w:hint="eastAsia" w:ascii="宋体" w:hAnsi="宋体" w:eastAsia="宋体" w:cs="宋体"/>
          <w:b/>
          <w:i/>
          <w:sz w:val="24"/>
          <w:szCs w:val="24"/>
          <w:highlight w:val="none"/>
          <w:u w:val="single"/>
        </w:rPr>
        <w:t>合同专用条款</w:t>
      </w:r>
      <w:r>
        <w:rPr>
          <w:rFonts w:hint="eastAsia" w:ascii="宋体" w:hAnsi="宋体" w:eastAsia="宋体" w:cs="宋体"/>
          <w:sz w:val="24"/>
          <w:szCs w:val="24"/>
          <w:highlight w:val="none"/>
        </w:rPr>
        <w:t>约定时间内，将有关部门出具的证明文件送达对方当事人。</w:t>
      </w:r>
    </w:p>
    <w:p w14:paraId="6EFE5955">
      <w:pPr>
        <w:spacing w:line="560" w:lineRule="exact"/>
        <w:ind w:firstLine="482" w:firstLineChars="200"/>
        <w:outlineLvl w:val="0"/>
        <w:rPr>
          <w:rFonts w:hint="eastAsia" w:ascii="宋体" w:hAnsi="宋体" w:eastAsia="宋体" w:cs="宋体"/>
          <w:b/>
          <w:sz w:val="24"/>
          <w:szCs w:val="24"/>
          <w:highlight w:val="none"/>
        </w:rPr>
      </w:pPr>
      <w:bookmarkStart w:id="413" w:name="_Toc259093684"/>
      <w:bookmarkStart w:id="414" w:name="_Toc14115"/>
      <w:bookmarkStart w:id="415" w:name="_Toc3638"/>
      <w:bookmarkStart w:id="416" w:name="_Toc24465"/>
      <w:bookmarkStart w:id="417" w:name="_Toc279701255"/>
      <w:bookmarkStart w:id="418" w:name="_Toc25783"/>
      <w:bookmarkStart w:id="419" w:name="_Toc23854"/>
      <w:bookmarkStart w:id="420" w:name="_Toc487900365"/>
      <w:r>
        <w:rPr>
          <w:rFonts w:hint="eastAsia" w:ascii="宋体" w:hAnsi="宋体" w:eastAsia="宋体" w:cs="宋体"/>
          <w:b/>
          <w:sz w:val="24"/>
          <w:szCs w:val="24"/>
          <w:highlight w:val="none"/>
        </w:rPr>
        <w:t>2.12 税费</w:t>
      </w:r>
      <w:bookmarkEnd w:id="413"/>
      <w:bookmarkEnd w:id="414"/>
      <w:bookmarkEnd w:id="415"/>
      <w:bookmarkEnd w:id="416"/>
      <w:bookmarkEnd w:id="417"/>
      <w:bookmarkEnd w:id="418"/>
      <w:bookmarkEnd w:id="419"/>
      <w:bookmarkEnd w:id="420"/>
    </w:p>
    <w:p w14:paraId="5182494E">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与合同有关的一切税费，均按照中华人民共和国法律的相关规定缴纳。</w:t>
      </w:r>
    </w:p>
    <w:p w14:paraId="0BCC2293">
      <w:pPr>
        <w:spacing w:line="560" w:lineRule="exact"/>
        <w:ind w:firstLine="482" w:firstLineChars="200"/>
        <w:outlineLvl w:val="0"/>
        <w:rPr>
          <w:rFonts w:hint="eastAsia" w:ascii="宋体" w:hAnsi="宋体" w:eastAsia="宋体" w:cs="宋体"/>
          <w:b/>
          <w:sz w:val="24"/>
          <w:szCs w:val="24"/>
          <w:highlight w:val="none"/>
        </w:rPr>
      </w:pPr>
      <w:bookmarkStart w:id="421" w:name="_Toc487900368"/>
      <w:bookmarkStart w:id="422" w:name="_Toc7315"/>
      <w:bookmarkStart w:id="423" w:name="_Toc30105"/>
      <w:bookmarkStart w:id="424" w:name="_Toc279701258"/>
      <w:bookmarkStart w:id="425" w:name="_Toc14814"/>
      <w:bookmarkStart w:id="426" w:name="_Toc25525"/>
      <w:bookmarkStart w:id="427" w:name="_Toc26883"/>
      <w:bookmarkStart w:id="428" w:name="_Toc259093687"/>
      <w:r>
        <w:rPr>
          <w:rFonts w:hint="eastAsia" w:ascii="宋体" w:hAnsi="宋体" w:eastAsia="宋体" w:cs="宋体"/>
          <w:b/>
          <w:sz w:val="24"/>
          <w:szCs w:val="24"/>
          <w:highlight w:val="none"/>
        </w:rPr>
        <w:t>2.13 乙方破产</w:t>
      </w:r>
      <w:bookmarkEnd w:id="421"/>
      <w:bookmarkEnd w:id="422"/>
      <w:bookmarkEnd w:id="423"/>
      <w:bookmarkEnd w:id="424"/>
      <w:bookmarkEnd w:id="425"/>
      <w:bookmarkEnd w:id="426"/>
      <w:bookmarkEnd w:id="427"/>
      <w:bookmarkEnd w:id="428"/>
    </w:p>
    <w:p w14:paraId="3E3C501C">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703B812">
      <w:pPr>
        <w:spacing w:line="560" w:lineRule="exact"/>
        <w:ind w:firstLine="482" w:firstLineChars="200"/>
        <w:outlineLvl w:val="0"/>
        <w:rPr>
          <w:rFonts w:hint="eastAsia" w:ascii="宋体" w:hAnsi="宋体" w:eastAsia="宋体" w:cs="宋体"/>
          <w:b/>
          <w:sz w:val="24"/>
          <w:szCs w:val="24"/>
          <w:highlight w:val="none"/>
        </w:rPr>
      </w:pPr>
      <w:bookmarkStart w:id="429" w:name="_Toc23323"/>
      <w:bookmarkStart w:id="430" w:name="_Toc1123"/>
      <w:bookmarkStart w:id="431" w:name="_Toc2016"/>
      <w:r>
        <w:rPr>
          <w:rFonts w:hint="eastAsia" w:ascii="宋体" w:hAnsi="宋体" w:eastAsia="宋体" w:cs="宋体"/>
          <w:b/>
          <w:sz w:val="24"/>
          <w:szCs w:val="24"/>
          <w:highlight w:val="none"/>
        </w:rPr>
        <w:t>2.14 合同中止、终止</w:t>
      </w:r>
      <w:bookmarkEnd w:id="429"/>
      <w:bookmarkEnd w:id="430"/>
      <w:bookmarkEnd w:id="431"/>
    </w:p>
    <w:p w14:paraId="4AB3180D">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2.14.1 双方当事人不得擅自中止或者终止合同；</w:t>
      </w:r>
    </w:p>
    <w:p w14:paraId="1E5CCADB">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2.14.2合同继续履行将损害国家利益和社会公共利益的，双方当事人应当中止或者终止合同。有过错的一方应当承担赔偿责任，双方当事人都有过错的，各自承担相应的责任。</w:t>
      </w:r>
    </w:p>
    <w:p w14:paraId="058280AC">
      <w:pPr>
        <w:spacing w:line="560" w:lineRule="exact"/>
        <w:ind w:firstLine="482" w:firstLineChars="200"/>
        <w:outlineLvl w:val="0"/>
        <w:rPr>
          <w:rFonts w:hint="eastAsia" w:ascii="宋体" w:hAnsi="宋体" w:eastAsia="宋体" w:cs="宋体"/>
          <w:b/>
          <w:sz w:val="24"/>
          <w:szCs w:val="24"/>
          <w:highlight w:val="none"/>
        </w:rPr>
      </w:pPr>
      <w:bookmarkStart w:id="432" w:name="_Toc14525"/>
      <w:bookmarkStart w:id="433" w:name="_Toc1969"/>
      <w:bookmarkStart w:id="434" w:name="_Toc17363"/>
      <w:r>
        <w:rPr>
          <w:rFonts w:hint="eastAsia" w:ascii="宋体" w:hAnsi="宋体" w:eastAsia="宋体" w:cs="宋体"/>
          <w:b/>
          <w:sz w:val="24"/>
          <w:szCs w:val="24"/>
          <w:highlight w:val="none"/>
        </w:rPr>
        <w:t>2.15 检验和验收</w:t>
      </w:r>
      <w:bookmarkEnd w:id="432"/>
      <w:bookmarkEnd w:id="433"/>
      <w:bookmarkEnd w:id="434"/>
    </w:p>
    <w:p w14:paraId="69DB5510">
      <w:pPr>
        <w:tabs>
          <w:tab w:val="left" w:pos="360"/>
          <w:tab w:val="left" w:pos="540"/>
          <w:tab w:val="left" w:pos="1080"/>
        </w:tabs>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2.15.1 乙方按照</w:t>
      </w:r>
      <w:r>
        <w:rPr>
          <w:rFonts w:hint="eastAsia" w:ascii="宋体" w:hAnsi="宋体" w:eastAsia="宋体" w:cs="宋体"/>
          <w:b/>
          <w:i/>
          <w:sz w:val="24"/>
          <w:szCs w:val="24"/>
          <w:highlight w:val="none"/>
          <w:u w:val="single"/>
        </w:rPr>
        <w:t>合同专用条款</w:t>
      </w:r>
      <w:r>
        <w:rPr>
          <w:rFonts w:hint="eastAsia" w:ascii="宋体" w:hAnsi="宋体" w:eastAsia="宋体" w:cs="宋体"/>
          <w:sz w:val="24"/>
          <w:szCs w:val="24"/>
          <w:highlight w:val="none"/>
        </w:rPr>
        <w:t>的约定，定期提交服务报告，甲方按照</w:t>
      </w:r>
      <w:r>
        <w:rPr>
          <w:rFonts w:hint="eastAsia" w:ascii="宋体" w:hAnsi="宋体" w:eastAsia="宋体" w:cs="宋体"/>
          <w:b/>
          <w:i/>
          <w:sz w:val="24"/>
          <w:szCs w:val="24"/>
          <w:highlight w:val="none"/>
          <w:u w:val="single"/>
        </w:rPr>
        <w:t>合同专用条款</w:t>
      </w:r>
      <w:r>
        <w:rPr>
          <w:rFonts w:hint="eastAsia" w:ascii="宋体" w:hAnsi="宋体" w:eastAsia="宋体" w:cs="宋体"/>
          <w:sz w:val="24"/>
          <w:szCs w:val="24"/>
          <w:highlight w:val="none"/>
        </w:rPr>
        <w:t>的约定进行定期验收；</w:t>
      </w:r>
    </w:p>
    <w:p w14:paraId="337E47F4">
      <w:pPr>
        <w:tabs>
          <w:tab w:val="left" w:pos="360"/>
          <w:tab w:val="left" w:pos="540"/>
          <w:tab w:val="left" w:pos="1080"/>
        </w:tabs>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DB5EAB8">
      <w:pPr>
        <w:tabs>
          <w:tab w:val="left" w:pos="360"/>
          <w:tab w:val="left" w:pos="540"/>
          <w:tab w:val="left" w:pos="1080"/>
        </w:tabs>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2.15.3 检验和验收标准、程序等具体内容以及前述验收书的效力详见</w:t>
      </w:r>
      <w:r>
        <w:rPr>
          <w:rFonts w:hint="eastAsia" w:ascii="宋体" w:hAnsi="宋体" w:eastAsia="宋体" w:cs="宋体"/>
          <w:b/>
          <w:i/>
          <w:sz w:val="24"/>
          <w:szCs w:val="24"/>
          <w:highlight w:val="none"/>
          <w:u w:val="single"/>
        </w:rPr>
        <w:t>合同专用条款</w:t>
      </w:r>
      <w:r>
        <w:rPr>
          <w:rFonts w:hint="eastAsia" w:ascii="宋体" w:hAnsi="宋体" w:eastAsia="宋体" w:cs="宋体"/>
          <w:i/>
          <w:sz w:val="24"/>
          <w:szCs w:val="24"/>
          <w:highlight w:val="none"/>
        </w:rPr>
        <w:t>。</w:t>
      </w:r>
    </w:p>
    <w:bookmarkEnd w:id="396"/>
    <w:bookmarkEnd w:id="397"/>
    <w:bookmarkEnd w:id="398"/>
    <w:bookmarkEnd w:id="399"/>
    <w:p w14:paraId="24AB16E8">
      <w:pPr>
        <w:spacing w:line="560" w:lineRule="exact"/>
        <w:ind w:firstLine="482" w:firstLineChars="200"/>
        <w:outlineLvl w:val="0"/>
        <w:rPr>
          <w:rFonts w:hint="eastAsia" w:ascii="宋体" w:hAnsi="宋体" w:eastAsia="宋体" w:cs="宋体"/>
          <w:b/>
          <w:sz w:val="24"/>
          <w:szCs w:val="24"/>
          <w:highlight w:val="none"/>
        </w:rPr>
      </w:pPr>
      <w:bookmarkStart w:id="435" w:name="_Toc259093690"/>
      <w:bookmarkStart w:id="436" w:name="_Toc487900371"/>
      <w:bookmarkStart w:id="437" w:name="_Toc279701261"/>
      <w:bookmarkStart w:id="438" w:name="_Toc2308"/>
      <w:bookmarkStart w:id="439" w:name="_Toc25198"/>
      <w:bookmarkStart w:id="440" w:name="_Toc31892"/>
      <w:bookmarkStart w:id="441" w:name="_Toc12666"/>
      <w:bookmarkStart w:id="442" w:name="_Toc9808"/>
      <w:r>
        <w:rPr>
          <w:rFonts w:hint="eastAsia" w:ascii="宋体" w:hAnsi="宋体" w:eastAsia="宋体" w:cs="宋体"/>
          <w:b/>
          <w:sz w:val="24"/>
          <w:szCs w:val="24"/>
          <w:highlight w:val="none"/>
        </w:rPr>
        <w:t>2.16 通知</w:t>
      </w:r>
      <w:bookmarkEnd w:id="435"/>
      <w:bookmarkEnd w:id="436"/>
      <w:bookmarkEnd w:id="437"/>
      <w:r>
        <w:rPr>
          <w:rFonts w:hint="eastAsia" w:ascii="宋体" w:hAnsi="宋体" w:eastAsia="宋体" w:cs="宋体"/>
          <w:b/>
          <w:sz w:val="24"/>
          <w:szCs w:val="24"/>
          <w:highlight w:val="none"/>
        </w:rPr>
        <w:t>和送达</w:t>
      </w:r>
      <w:bookmarkEnd w:id="438"/>
      <w:bookmarkEnd w:id="439"/>
      <w:bookmarkEnd w:id="440"/>
      <w:bookmarkEnd w:id="441"/>
      <w:bookmarkEnd w:id="442"/>
    </w:p>
    <w:p w14:paraId="5497D814">
      <w:pPr>
        <w:spacing w:line="560" w:lineRule="exact"/>
        <w:ind w:firstLine="480" w:firstLineChars="200"/>
        <w:rPr>
          <w:rFonts w:hint="eastAsia" w:ascii="宋体" w:hAnsi="宋体" w:eastAsia="宋体" w:cs="宋体"/>
          <w:sz w:val="24"/>
          <w:szCs w:val="24"/>
          <w:highlight w:val="none"/>
        </w:rPr>
      </w:pPr>
      <w:bookmarkStart w:id="443" w:name="_Toc29220"/>
      <w:bookmarkStart w:id="444" w:name="_Toc7073"/>
      <w:bookmarkStart w:id="445" w:name="_Toc279701262"/>
      <w:bookmarkStart w:id="446" w:name="_Toc259093691"/>
      <w:bookmarkStart w:id="447" w:name="_Toc487900372"/>
      <w:r>
        <w:rPr>
          <w:rFonts w:hint="eastAsia" w:ascii="宋体" w:hAnsi="宋体" w:eastAsia="宋体" w:cs="宋体"/>
          <w:sz w:val="24"/>
          <w:szCs w:val="24"/>
          <w:highlight w:val="none"/>
        </w:rPr>
        <w:t>2.16.1 任何一方因履行合同而以合同第一部分尾部所列明的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发出的所有通知、文件、材料，均视为已向对方当事人送达；任何一方变更上述送达方式或者地址的，应于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个工作日内书面通知对方当事人，在对方当事人收到有关变更通知之前，变更前的约定送达方式或者地址仍视为有效。</w:t>
      </w:r>
      <w:bookmarkEnd w:id="443"/>
      <w:bookmarkEnd w:id="444"/>
    </w:p>
    <w:p w14:paraId="5C1DA28D">
      <w:pPr>
        <w:spacing w:line="560" w:lineRule="exact"/>
        <w:ind w:firstLine="480" w:firstLineChars="200"/>
        <w:rPr>
          <w:rFonts w:hint="eastAsia" w:ascii="宋体" w:hAnsi="宋体" w:eastAsia="宋体" w:cs="宋体"/>
          <w:sz w:val="24"/>
          <w:szCs w:val="24"/>
          <w:highlight w:val="none"/>
        </w:rPr>
      </w:pPr>
      <w:bookmarkStart w:id="448" w:name="_Toc27674"/>
      <w:bookmarkStart w:id="449" w:name="_Toc18401"/>
      <w:r>
        <w:rPr>
          <w:rFonts w:hint="eastAsia" w:ascii="宋体" w:hAnsi="宋体" w:eastAsia="宋体" w:cs="宋体"/>
          <w:sz w:val="24"/>
          <w:szCs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448"/>
      <w:bookmarkEnd w:id="449"/>
    </w:p>
    <w:bookmarkEnd w:id="445"/>
    <w:bookmarkEnd w:id="446"/>
    <w:bookmarkEnd w:id="447"/>
    <w:p w14:paraId="34FDDD5F">
      <w:pPr>
        <w:spacing w:line="560" w:lineRule="exact"/>
        <w:ind w:firstLine="482" w:firstLineChars="200"/>
        <w:outlineLvl w:val="0"/>
        <w:rPr>
          <w:rFonts w:hint="eastAsia" w:ascii="宋体" w:hAnsi="宋体" w:eastAsia="宋体" w:cs="宋体"/>
          <w:b/>
          <w:sz w:val="24"/>
          <w:szCs w:val="24"/>
          <w:highlight w:val="none"/>
        </w:rPr>
      </w:pPr>
      <w:bookmarkStart w:id="450" w:name="_Toc5063"/>
      <w:bookmarkStart w:id="451" w:name="_Toc259093692"/>
      <w:bookmarkStart w:id="452" w:name="_Toc20808"/>
      <w:bookmarkStart w:id="453" w:name="_Toc487900373"/>
      <w:bookmarkStart w:id="454" w:name="_Toc12254"/>
      <w:bookmarkStart w:id="455" w:name="_Toc28906"/>
      <w:bookmarkStart w:id="456" w:name="_Toc27644"/>
      <w:bookmarkStart w:id="457" w:name="_Toc279701263"/>
      <w:r>
        <w:rPr>
          <w:rFonts w:hint="eastAsia" w:ascii="宋体" w:hAnsi="宋体" w:eastAsia="宋体" w:cs="宋体"/>
          <w:b/>
          <w:sz w:val="24"/>
          <w:szCs w:val="24"/>
          <w:highlight w:val="none"/>
        </w:rPr>
        <w:t>2.17 合同使用的文字和适用的法律</w:t>
      </w:r>
      <w:bookmarkEnd w:id="450"/>
      <w:bookmarkEnd w:id="451"/>
      <w:bookmarkEnd w:id="452"/>
      <w:bookmarkEnd w:id="453"/>
      <w:bookmarkEnd w:id="454"/>
      <w:bookmarkEnd w:id="455"/>
      <w:bookmarkEnd w:id="456"/>
      <w:bookmarkEnd w:id="457"/>
    </w:p>
    <w:p w14:paraId="7DD3A1FA">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2.17.1 合同使用汉语书就、变更和解释；</w:t>
      </w:r>
    </w:p>
    <w:p w14:paraId="4F72A65E">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2.17.2 合同适用中华人民共和国法律。</w:t>
      </w:r>
    </w:p>
    <w:p w14:paraId="2B3DA294">
      <w:pPr>
        <w:spacing w:line="560" w:lineRule="exact"/>
        <w:ind w:firstLine="482" w:firstLineChars="200"/>
        <w:outlineLvl w:val="0"/>
        <w:rPr>
          <w:rFonts w:hint="eastAsia" w:ascii="宋体" w:hAnsi="宋体" w:eastAsia="宋体" w:cs="宋体"/>
          <w:b/>
          <w:sz w:val="24"/>
          <w:szCs w:val="24"/>
          <w:highlight w:val="none"/>
        </w:rPr>
      </w:pPr>
      <w:bookmarkStart w:id="458" w:name="_Toc1492"/>
      <w:bookmarkStart w:id="459" w:name="_Toc30096"/>
      <w:bookmarkStart w:id="460" w:name="_Toc279701264"/>
      <w:bookmarkStart w:id="461" w:name="_Toc27403"/>
      <w:bookmarkStart w:id="462" w:name="_Toc259093693"/>
      <w:bookmarkStart w:id="463" w:name="_Toc27127"/>
      <w:bookmarkStart w:id="464" w:name="_Toc487900374"/>
      <w:r>
        <w:rPr>
          <w:rFonts w:hint="eastAsia" w:ascii="宋体" w:hAnsi="宋体" w:eastAsia="宋体" w:cs="宋体"/>
          <w:b/>
          <w:sz w:val="24"/>
          <w:szCs w:val="24"/>
          <w:highlight w:val="none"/>
        </w:rPr>
        <w:t>2.18 履约保证金</w:t>
      </w:r>
      <w:bookmarkEnd w:id="458"/>
      <w:bookmarkEnd w:id="459"/>
      <w:bookmarkEnd w:id="460"/>
      <w:bookmarkEnd w:id="461"/>
      <w:bookmarkEnd w:id="462"/>
      <w:bookmarkEnd w:id="463"/>
    </w:p>
    <w:p w14:paraId="647023DA">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2.18.1 采购文件要求乙方提交履约保证金的，乙方应按</w:t>
      </w:r>
      <w:r>
        <w:rPr>
          <w:rFonts w:hint="eastAsia" w:ascii="宋体" w:hAnsi="宋体" w:eastAsia="宋体" w:cs="宋体"/>
          <w:b/>
          <w:i/>
          <w:sz w:val="24"/>
          <w:szCs w:val="24"/>
          <w:highlight w:val="none"/>
          <w:u w:val="single"/>
        </w:rPr>
        <w:t>合同专用条款</w:t>
      </w:r>
      <w:r>
        <w:rPr>
          <w:rFonts w:hint="eastAsia" w:ascii="宋体" w:hAnsi="宋体" w:eastAsia="宋体" w:cs="宋体"/>
          <w:sz w:val="24"/>
          <w:szCs w:val="24"/>
          <w:highlight w:val="none"/>
        </w:rPr>
        <w:t>约定的方式，以支票、汇票、本票或者金融机构、担保机构出具的保函等非现金形式，提交不超过合同价</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%的履约保证金；</w:t>
      </w:r>
    </w:p>
    <w:p w14:paraId="6F53845A">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2.18.2 履约保证金在</w:t>
      </w:r>
      <w:r>
        <w:rPr>
          <w:rFonts w:hint="eastAsia" w:ascii="宋体" w:hAnsi="宋体" w:eastAsia="宋体" w:cs="宋体"/>
          <w:b/>
          <w:i/>
          <w:sz w:val="24"/>
          <w:szCs w:val="24"/>
          <w:highlight w:val="none"/>
          <w:u w:val="single"/>
        </w:rPr>
        <w:t>合同专用条款</w:t>
      </w:r>
      <w:r>
        <w:rPr>
          <w:rFonts w:hint="eastAsia" w:ascii="宋体" w:hAnsi="宋体" w:eastAsia="宋体" w:cs="宋体"/>
          <w:sz w:val="24"/>
          <w:szCs w:val="24"/>
          <w:highlight w:val="none"/>
        </w:rPr>
        <w:t>约定期间内不予退还或者应完全有效，前述约定期间届满之日起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个工作日内，甲方应将履约保证金退还乙方；</w:t>
      </w:r>
    </w:p>
    <w:p w14:paraId="14397742">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2.18.3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464"/>
    <w:p w14:paraId="764FEE8F">
      <w:pPr>
        <w:spacing w:line="560" w:lineRule="exact"/>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2.19 合同份数</w:t>
      </w:r>
    </w:p>
    <w:p w14:paraId="5775B178">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合同份数按</w:t>
      </w:r>
      <w:r>
        <w:rPr>
          <w:rFonts w:hint="eastAsia" w:ascii="宋体" w:hAnsi="宋体" w:eastAsia="宋体" w:cs="宋体"/>
          <w:b/>
          <w:i/>
          <w:sz w:val="24"/>
          <w:szCs w:val="24"/>
          <w:highlight w:val="none"/>
          <w:u w:val="single"/>
        </w:rPr>
        <w:t>合同专用条款</w:t>
      </w:r>
      <w:r>
        <w:rPr>
          <w:rFonts w:hint="eastAsia" w:ascii="宋体" w:hAnsi="宋体" w:eastAsia="宋体" w:cs="宋体"/>
          <w:sz w:val="24"/>
          <w:szCs w:val="24"/>
          <w:highlight w:val="none"/>
        </w:rPr>
        <w:t>规定，每份均具有同等法律效力。</w:t>
      </w:r>
    </w:p>
    <w:p w14:paraId="2AF32065">
      <w:pPr>
        <w:pStyle w:val="75"/>
        <w:spacing w:line="560" w:lineRule="exact"/>
        <w:ind w:firstLine="0"/>
        <w:jc w:val="center"/>
        <w:rPr>
          <w:rFonts w:hint="eastAsia" w:ascii="宋体" w:hAnsi="宋体" w:eastAsia="宋体" w:cs="宋体"/>
          <w:b/>
          <w:sz w:val="24"/>
          <w:szCs w:val="24"/>
          <w:highlight w:val="none"/>
        </w:rPr>
      </w:pPr>
      <w:r>
        <w:rPr>
          <w:rFonts w:hint="eastAsia" w:ascii="宋体" w:hAnsi="宋体" w:eastAsia="宋体" w:cs="宋体"/>
          <w:sz w:val="24"/>
          <w:szCs w:val="24"/>
          <w:highlight w:val="none"/>
        </w:rPr>
        <w:br w:type="page"/>
      </w:r>
      <w:bookmarkStart w:id="465" w:name="_Toc331685784"/>
      <w:r>
        <w:rPr>
          <w:rFonts w:hint="eastAsia" w:ascii="宋体" w:hAnsi="宋体" w:eastAsia="宋体" w:cs="宋体"/>
          <w:b/>
          <w:sz w:val="24"/>
          <w:szCs w:val="24"/>
          <w:highlight w:val="none"/>
        </w:rPr>
        <w:t>第三部分  合同专用条款</w:t>
      </w:r>
      <w:bookmarkEnd w:id="465"/>
    </w:p>
    <w:p w14:paraId="212F22B7">
      <w:pPr>
        <w:spacing w:line="56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33"/>
        <w:tblpPr w:leftFromText="180" w:rightFromText="180" w:vertAnchor="text" w:horzAnchor="page" w:tblpX="1098" w:tblpY="953"/>
        <w:tblOverlap w:val="never"/>
        <w:tblW w:w="971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23"/>
        <w:gridCol w:w="8796"/>
      </w:tblGrid>
      <w:tr w14:paraId="2D90F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5" w:hRule="atLeast"/>
        </w:trPr>
        <w:tc>
          <w:tcPr>
            <w:tcW w:w="923" w:type="dxa"/>
            <w:tcBorders>
              <w:left w:val="single" w:color="auto" w:sz="4" w:space="0"/>
            </w:tcBorders>
            <w:vAlign w:val="center"/>
          </w:tcPr>
          <w:p w14:paraId="1E55E4B1">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条款号</w:t>
            </w:r>
          </w:p>
        </w:tc>
        <w:tc>
          <w:tcPr>
            <w:tcW w:w="8796" w:type="dxa"/>
            <w:vAlign w:val="center"/>
          </w:tcPr>
          <w:p w14:paraId="166D4E57">
            <w:pPr>
              <w:spacing w:line="560" w:lineRule="exact"/>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约定内容</w:t>
            </w:r>
          </w:p>
        </w:tc>
      </w:tr>
      <w:tr w14:paraId="57F174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5" w:hRule="atLeast"/>
        </w:trPr>
        <w:tc>
          <w:tcPr>
            <w:tcW w:w="923" w:type="dxa"/>
            <w:tcBorders>
              <w:left w:val="single" w:color="auto" w:sz="4" w:space="0"/>
            </w:tcBorders>
            <w:vAlign w:val="center"/>
          </w:tcPr>
          <w:p w14:paraId="7B4744DA">
            <w:pPr>
              <w:spacing w:line="560" w:lineRule="exact"/>
              <w:rPr>
                <w:rFonts w:hint="eastAsia" w:ascii="宋体" w:hAnsi="宋体" w:eastAsia="宋体" w:cs="宋体"/>
                <w:sz w:val="24"/>
                <w:szCs w:val="24"/>
                <w:highlight w:val="none"/>
              </w:rPr>
            </w:pPr>
          </w:p>
        </w:tc>
        <w:tc>
          <w:tcPr>
            <w:tcW w:w="8796" w:type="dxa"/>
            <w:vAlign w:val="center"/>
          </w:tcPr>
          <w:p w14:paraId="1EC89803">
            <w:pPr>
              <w:spacing w:line="560" w:lineRule="exact"/>
              <w:rPr>
                <w:rFonts w:hint="eastAsia" w:ascii="宋体" w:hAnsi="宋体" w:eastAsia="宋体" w:cs="宋体"/>
                <w:sz w:val="24"/>
                <w:szCs w:val="24"/>
                <w:highlight w:val="none"/>
              </w:rPr>
            </w:pPr>
          </w:p>
        </w:tc>
      </w:tr>
      <w:tr w14:paraId="7DBA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5" w:hRule="atLeast"/>
        </w:trPr>
        <w:tc>
          <w:tcPr>
            <w:tcW w:w="923" w:type="dxa"/>
            <w:tcBorders>
              <w:left w:val="single" w:color="auto" w:sz="4" w:space="0"/>
            </w:tcBorders>
            <w:vAlign w:val="center"/>
          </w:tcPr>
          <w:p w14:paraId="52F6DA28">
            <w:pPr>
              <w:spacing w:line="560" w:lineRule="exact"/>
              <w:rPr>
                <w:rFonts w:hint="eastAsia" w:ascii="宋体" w:hAnsi="宋体" w:eastAsia="宋体" w:cs="宋体"/>
                <w:sz w:val="24"/>
                <w:szCs w:val="24"/>
                <w:highlight w:val="none"/>
              </w:rPr>
            </w:pPr>
          </w:p>
        </w:tc>
        <w:tc>
          <w:tcPr>
            <w:tcW w:w="8796" w:type="dxa"/>
            <w:vAlign w:val="center"/>
          </w:tcPr>
          <w:p w14:paraId="699C6E76">
            <w:pPr>
              <w:spacing w:line="560" w:lineRule="exact"/>
              <w:rPr>
                <w:rFonts w:hint="eastAsia" w:ascii="宋体" w:hAnsi="宋体" w:eastAsia="宋体" w:cs="宋体"/>
                <w:sz w:val="24"/>
                <w:szCs w:val="24"/>
                <w:highlight w:val="none"/>
              </w:rPr>
            </w:pPr>
          </w:p>
        </w:tc>
      </w:tr>
      <w:tr w14:paraId="44476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5" w:hRule="atLeast"/>
        </w:trPr>
        <w:tc>
          <w:tcPr>
            <w:tcW w:w="923" w:type="dxa"/>
            <w:tcBorders>
              <w:left w:val="single" w:color="auto" w:sz="4" w:space="0"/>
            </w:tcBorders>
            <w:vAlign w:val="center"/>
          </w:tcPr>
          <w:p w14:paraId="109882E3">
            <w:pPr>
              <w:spacing w:line="560" w:lineRule="exact"/>
              <w:rPr>
                <w:rFonts w:hint="eastAsia" w:ascii="宋体" w:hAnsi="宋体" w:eastAsia="宋体" w:cs="宋体"/>
                <w:sz w:val="24"/>
                <w:szCs w:val="24"/>
                <w:highlight w:val="none"/>
              </w:rPr>
            </w:pPr>
          </w:p>
        </w:tc>
        <w:tc>
          <w:tcPr>
            <w:tcW w:w="8796" w:type="dxa"/>
            <w:vAlign w:val="center"/>
          </w:tcPr>
          <w:p w14:paraId="2752BECD">
            <w:pPr>
              <w:spacing w:line="560" w:lineRule="exact"/>
              <w:rPr>
                <w:rFonts w:hint="eastAsia" w:ascii="宋体" w:hAnsi="宋体" w:eastAsia="宋体" w:cs="宋体"/>
                <w:sz w:val="24"/>
                <w:szCs w:val="24"/>
                <w:highlight w:val="none"/>
              </w:rPr>
            </w:pPr>
          </w:p>
        </w:tc>
      </w:tr>
      <w:tr w14:paraId="1E067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5" w:hRule="atLeast"/>
        </w:trPr>
        <w:tc>
          <w:tcPr>
            <w:tcW w:w="923" w:type="dxa"/>
            <w:tcBorders>
              <w:left w:val="single" w:color="auto" w:sz="4" w:space="0"/>
            </w:tcBorders>
            <w:vAlign w:val="center"/>
          </w:tcPr>
          <w:p w14:paraId="3F990EC2">
            <w:pPr>
              <w:spacing w:line="560" w:lineRule="exact"/>
              <w:rPr>
                <w:rFonts w:hint="eastAsia" w:ascii="宋体" w:hAnsi="宋体" w:eastAsia="宋体" w:cs="宋体"/>
                <w:sz w:val="24"/>
                <w:szCs w:val="24"/>
                <w:highlight w:val="none"/>
              </w:rPr>
            </w:pPr>
          </w:p>
        </w:tc>
        <w:tc>
          <w:tcPr>
            <w:tcW w:w="8796" w:type="dxa"/>
            <w:vAlign w:val="center"/>
          </w:tcPr>
          <w:p w14:paraId="2D9519BF">
            <w:pPr>
              <w:spacing w:line="560" w:lineRule="exact"/>
              <w:rPr>
                <w:rFonts w:hint="eastAsia" w:ascii="宋体" w:hAnsi="宋体" w:eastAsia="宋体" w:cs="宋体"/>
                <w:sz w:val="24"/>
                <w:szCs w:val="24"/>
                <w:highlight w:val="none"/>
              </w:rPr>
            </w:pPr>
          </w:p>
        </w:tc>
      </w:tr>
      <w:tr w14:paraId="2EB27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5" w:hRule="atLeast"/>
        </w:trPr>
        <w:tc>
          <w:tcPr>
            <w:tcW w:w="923" w:type="dxa"/>
            <w:tcBorders>
              <w:left w:val="single" w:color="auto" w:sz="4" w:space="0"/>
            </w:tcBorders>
            <w:vAlign w:val="center"/>
          </w:tcPr>
          <w:p w14:paraId="4A745C00">
            <w:pPr>
              <w:spacing w:line="560" w:lineRule="exact"/>
              <w:rPr>
                <w:rFonts w:hint="eastAsia" w:ascii="宋体" w:hAnsi="宋体" w:eastAsia="宋体" w:cs="宋体"/>
                <w:sz w:val="24"/>
                <w:szCs w:val="24"/>
                <w:highlight w:val="none"/>
              </w:rPr>
            </w:pPr>
          </w:p>
        </w:tc>
        <w:tc>
          <w:tcPr>
            <w:tcW w:w="8796" w:type="dxa"/>
            <w:vAlign w:val="center"/>
          </w:tcPr>
          <w:p w14:paraId="7520A456">
            <w:pPr>
              <w:spacing w:line="560" w:lineRule="exact"/>
              <w:rPr>
                <w:rFonts w:hint="eastAsia" w:ascii="宋体" w:hAnsi="宋体" w:eastAsia="宋体" w:cs="宋体"/>
                <w:sz w:val="24"/>
                <w:szCs w:val="24"/>
                <w:highlight w:val="none"/>
                <w:u w:val="single"/>
              </w:rPr>
            </w:pPr>
          </w:p>
        </w:tc>
      </w:tr>
      <w:tr w14:paraId="316E02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5" w:hRule="atLeast"/>
        </w:trPr>
        <w:tc>
          <w:tcPr>
            <w:tcW w:w="923" w:type="dxa"/>
            <w:tcBorders>
              <w:left w:val="single" w:color="auto" w:sz="4" w:space="0"/>
            </w:tcBorders>
            <w:vAlign w:val="center"/>
          </w:tcPr>
          <w:p w14:paraId="01ADA42B">
            <w:pPr>
              <w:spacing w:line="560" w:lineRule="exact"/>
              <w:rPr>
                <w:rFonts w:hint="eastAsia" w:ascii="宋体" w:hAnsi="宋体" w:eastAsia="宋体" w:cs="宋体"/>
                <w:sz w:val="24"/>
                <w:szCs w:val="24"/>
                <w:highlight w:val="none"/>
              </w:rPr>
            </w:pPr>
          </w:p>
        </w:tc>
        <w:tc>
          <w:tcPr>
            <w:tcW w:w="8796" w:type="dxa"/>
            <w:vAlign w:val="center"/>
          </w:tcPr>
          <w:p w14:paraId="635DF952">
            <w:pPr>
              <w:spacing w:line="560" w:lineRule="exact"/>
              <w:rPr>
                <w:rFonts w:hint="eastAsia" w:ascii="宋体" w:hAnsi="宋体" w:eastAsia="宋体" w:cs="宋体"/>
                <w:sz w:val="24"/>
                <w:szCs w:val="24"/>
                <w:highlight w:val="none"/>
              </w:rPr>
            </w:pPr>
          </w:p>
        </w:tc>
      </w:tr>
      <w:tr w14:paraId="7BD6E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5" w:hRule="atLeast"/>
        </w:trPr>
        <w:tc>
          <w:tcPr>
            <w:tcW w:w="923" w:type="dxa"/>
            <w:tcBorders>
              <w:left w:val="single" w:color="auto" w:sz="4" w:space="0"/>
            </w:tcBorders>
            <w:vAlign w:val="center"/>
          </w:tcPr>
          <w:p w14:paraId="114C8BDE">
            <w:pPr>
              <w:spacing w:line="560" w:lineRule="exact"/>
              <w:rPr>
                <w:rFonts w:hint="eastAsia" w:ascii="宋体" w:hAnsi="宋体" w:eastAsia="宋体" w:cs="宋体"/>
                <w:sz w:val="24"/>
                <w:szCs w:val="24"/>
                <w:highlight w:val="none"/>
              </w:rPr>
            </w:pPr>
          </w:p>
        </w:tc>
        <w:tc>
          <w:tcPr>
            <w:tcW w:w="8796" w:type="dxa"/>
            <w:vAlign w:val="center"/>
          </w:tcPr>
          <w:p w14:paraId="54C16B12">
            <w:pPr>
              <w:spacing w:line="560" w:lineRule="exact"/>
              <w:rPr>
                <w:rFonts w:hint="eastAsia" w:ascii="宋体" w:hAnsi="宋体" w:eastAsia="宋体" w:cs="宋体"/>
                <w:sz w:val="24"/>
                <w:szCs w:val="24"/>
                <w:highlight w:val="none"/>
                <w:u w:val="single"/>
              </w:rPr>
            </w:pPr>
          </w:p>
        </w:tc>
      </w:tr>
      <w:tr w14:paraId="12971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5" w:hRule="atLeast"/>
        </w:trPr>
        <w:tc>
          <w:tcPr>
            <w:tcW w:w="923" w:type="dxa"/>
            <w:tcBorders>
              <w:left w:val="single" w:color="auto" w:sz="4" w:space="0"/>
            </w:tcBorders>
            <w:vAlign w:val="center"/>
          </w:tcPr>
          <w:p w14:paraId="13B6A59B">
            <w:pPr>
              <w:spacing w:line="560" w:lineRule="exact"/>
              <w:rPr>
                <w:rFonts w:hint="eastAsia" w:ascii="宋体" w:hAnsi="宋体" w:eastAsia="宋体" w:cs="宋体"/>
                <w:sz w:val="24"/>
                <w:szCs w:val="24"/>
                <w:highlight w:val="none"/>
              </w:rPr>
            </w:pPr>
          </w:p>
        </w:tc>
        <w:tc>
          <w:tcPr>
            <w:tcW w:w="8796" w:type="dxa"/>
            <w:vAlign w:val="center"/>
          </w:tcPr>
          <w:p w14:paraId="17928E23">
            <w:pPr>
              <w:spacing w:line="560" w:lineRule="exact"/>
              <w:rPr>
                <w:rFonts w:hint="eastAsia" w:ascii="宋体" w:hAnsi="宋体" w:eastAsia="宋体" w:cs="宋体"/>
                <w:sz w:val="24"/>
                <w:szCs w:val="24"/>
                <w:highlight w:val="none"/>
              </w:rPr>
            </w:pPr>
          </w:p>
        </w:tc>
      </w:tr>
      <w:tr w14:paraId="70F85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5" w:hRule="atLeast"/>
        </w:trPr>
        <w:tc>
          <w:tcPr>
            <w:tcW w:w="923" w:type="dxa"/>
            <w:tcBorders>
              <w:left w:val="single" w:color="auto" w:sz="4" w:space="0"/>
            </w:tcBorders>
            <w:vAlign w:val="center"/>
          </w:tcPr>
          <w:p w14:paraId="37C09BA6">
            <w:pPr>
              <w:spacing w:line="560" w:lineRule="exact"/>
              <w:rPr>
                <w:rFonts w:hint="eastAsia" w:ascii="宋体" w:hAnsi="宋体" w:eastAsia="宋体" w:cs="宋体"/>
                <w:sz w:val="24"/>
                <w:szCs w:val="24"/>
                <w:highlight w:val="none"/>
              </w:rPr>
            </w:pPr>
          </w:p>
        </w:tc>
        <w:tc>
          <w:tcPr>
            <w:tcW w:w="8796" w:type="dxa"/>
            <w:vAlign w:val="center"/>
          </w:tcPr>
          <w:p w14:paraId="1A4ACBD8">
            <w:pPr>
              <w:spacing w:line="560" w:lineRule="exact"/>
              <w:rPr>
                <w:rFonts w:hint="eastAsia" w:ascii="宋体" w:hAnsi="宋体" w:eastAsia="宋体" w:cs="宋体"/>
                <w:sz w:val="24"/>
                <w:szCs w:val="24"/>
                <w:highlight w:val="none"/>
              </w:rPr>
            </w:pPr>
          </w:p>
        </w:tc>
      </w:tr>
      <w:tr w14:paraId="6DB022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5" w:hRule="atLeast"/>
        </w:trPr>
        <w:tc>
          <w:tcPr>
            <w:tcW w:w="923" w:type="dxa"/>
            <w:tcBorders>
              <w:left w:val="single" w:color="auto" w:sz="4" w:space="0"/>
            </w:tcBorders>
            <w:vAlign w:val="center"/>
          </w:tcPr>
          <w:p w14:paraId="2D6CF326">
            <w:pPr>
              <w:spacing w:line="560" w:lineRule="exact"/>
              <w:rPr>
                <w:rFonts w:hint="eastAsia" w:ascii="宋体" w:hAnsi="宋体" w:eastAsia="宋体" w:cs="宋体"/>
                <w:sz w:val="24"/>
                <w:szCs w:val="24"/>
                <w:highlight w:val="none"/>
              </w:rPr>
            </w:pPr>
          </w:p>
        </w:tc>
        <w:tc>
          <w:tcPr>
            <w:tcW w:w="8796" w:type="dxa"/>
            <w:vAlign w:val="center"/>
          </w:tcPr>
          <w:p w14:paraId="46432BCC">
            <w:pPr>
              <w:spacing w:line="560" w:lineRule="exact"/>
              <w:rPr>
                <w:rFonts w:hint="eastAsia" w:ascii="宋体" w:hAnsi="宋体" w:eastAsia="宋体" w:cs="宋体"/>
                <w:sz w:val="24"/>
                <w:szCs w:val="24"/>
                <w:highlight w:val="none"/>
              </w:rPr>
            </w:pPr>
          </w:p>
        </w:tc>
      </w:tr>
      <w:tr w14:paraId="33C6E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5" w:hRule="atLeast"/>
        </w:trPr>
        <w:tc>
          <w:tcPr>
            <w:tcW w:w="923" w:type="dxa"/>
            <w:tcBorders>
              <w:top w:val="single" w:color="auto" w:sz="6" w:space="0"/>
              <w:left w:val="single" w:color="auto" w:sz="4" w:space="0"/>
              <w:bottom w:val="single" w:color="auto" w:sz="6" w:space="0"/>
              <w:right w:val="single" w:color="auto" w:sz="6" w:space="0"/>
            </w:tcBorders>
            <w:vAlign w:val="center"/>
          </w:tcPr>
          <w:p w14:paraId="60214577">
            <w:pPr>
              <w:spacing w:line="560" w:lineRule="exact"/>
              <w:rPr>
                <w:rFonts w:hint="eastAsia" w:ascii="宋体" w:hAnsi="宋体" w:eastAsia="宋体" w:cs="宋体"/>
                <w:sz w:val="24"/>
                <w:szCs w:val="24"/>
                <w:highlight w:val="none"/>
              </w:rPr>
            </w:pPr>
          </w:p>
        </w:tc>
        <w:tc>
          <w:tcPr>
            <w:tcW w:w="8796" w:type="dxa"/>
            <w:tcBorders>
              <w:top w:val="single" w:color="auto" w:sz="6" w:space="0"/>
              <w:left w:val="single" w:color="auto" w:sz="6" w:space="0"/>
              <w:bottom w:val="single" w:color="auto" w:sz="6" w:space="0"/>
              <w:right w:val="single" w:color="auto" w:sz="6" w:space="0"/>
            </w:tcBorders>
            <w:vAlign w:val="center"/>
          </w:tcPr>
          <w:p w14:paraId="236D651C">
            <w:pPr>
              <w:spacing w:line="560" w:lineRule="exact"/>
              <w:rPr>
                <w:rFonts w:hint="eastAsia" w:ascii="宋体" w:hAnsi="宋体" w:eastAsia="宋体" w:cs="宋体"/>
                <w:sz w:val="24"/>
                <w:szCs w:val="24"/>
                <w:highlight w:val="none"/>
              </w:rPr>
            </w:pPr>
          </w:p>
        </w:tc>
      </w:tr>
      <w:tr w14:paraId="3E6E3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9" w:hRule="atLeast"/>
        </w:trPr>
        <w:tc>
          <w:tcPr>
            <w:tcW w:w="923" w:type="dxa"/>
            <w:tcBorders>
              <w:top w:val="single" w:color="auto" w:sz="6" w:space="0"/>
              <w:left w:val="single" w:color="auto" w:sz="4" w:space="0"/>
              <w:bottom w:val="single" w:color="auto" w:sz="6" w:space="0"/>
              <w:right w:val="single" w:color="auto" w:sz="6" w:space="0"/>
            </w:tcBorders>
            <w:vAlign w:val="center"/>
          </w:tcPr>
          <w:p w14:paraId="6C5F9FAA">
            <w:pPr>
              <w:spacing w:line="560" w:lineRule="exact"/>
              <w:rPr>
                <w:rFonts w:hint="eastAsia" w:ascii="宋体" w:hAnsi="宋体" w:eastAsia="宋体" w:cs="宋体"/>
                <w:sz w:val="24"/>
                <w:szCs w:val="24"/>
                <w:highlight w:val="none"/>
              </w:rPr>
            </w:pPr>
          </w:p>
        </w:tc>
        <w:tc>
          <w:tcPr>
            <w:tcW w:w="8796" w:type="dxa"/>
            <w:tcBorders>
              <w:top w:val="single" w:color="auto" w:sz="6" w:space="0"/>
              <w:left w:val="single" w:color="auto" w:sz="6" w:space="0"/>
              <w:bottom w:val="single" w:color="auto" w:sz="6" w:space="0"/>
              <w:right w:val="single" w:color="auto" w:sz="6" w:space="0"/>
            </w:tcBorders>
            <w:vAlign w:val="center"/>
          </w:tcPr>
          <w:p w14:paraId="14B79BD8">
            <w:pPr>
              <w:spacing w:line="560" w:lineRule="exact"/>
              <w:rPr>
                <w:rFonts w:hint="eastAsia" w:ascii="宋体" w:hAnsi="宋体" w:eastAsia="宋体" w:cs="宋体"/>
                <w:sz w:val="24"/>
                <w:szCs w:val="24"/>
                <w:highlight w:val="none"/>
              </w:rPr>
            </w:pPr>
          </w:p>
        </w:tc>
      </w:tr>
    </w:tbl>
    <w:p w14:paraId="7C7A716D">
      <w:pPr>
        <w:pStyle w:val="25"/>
        <w:spacing w:line="360" w:lineRule="auto"/>
        <w:rPr>
          <w:rFonts w:hint="eastAsia" w:ascii="仿宋" w:hAnsi="仿宋" w:eastAsia="仿宋" w:cs="仿宋"/>
          <w:b/>
          <w:bCs/>
          <w:color w:val="auto"/>
          <w:sz w:val="24"/>
          <w:szCs w:val="24"/>
          <w:highlight w:val="none"/>
        </w:rPr>
      </w:pPr>
    </w:p>
    <w:p w14:paraId="4FFCB348">
      <w:pPr>
        <w:pStyle w:val="25"/>
        <w:spacing w:line="360" w:lineRule="auto"/>
        <w:ind w:firstLine="241" w:firstLineChars="100"/>
        <w:rPr>
          <w:rFonts w:hint="eastAsia" w:ascii="仿宋" w:hAnsi="仿宋" w:eastAsia="仿宋" w:cs="仿宋"/>
          <w:b/>
          <w:bCs/>
          <w:color w:val="auto"/>
          <w:sz w:val="24"/>
          <w:szCs w:val="24"/>
          <w:highlight w:val="none"/>
        </w:rPr>
      </w:pPr>
    </w:p>
    <w:p w14:paraId="1757F3BE">
      <w:pPr>
        <w:pStyle w:val="25"/>
        <w:spacing w:line="360" w:lineRule="auto"/>
        <w:ind w:firstLine="241" w:firstLineChars="1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未尽事宜，在签订合同时具体约定。</w:t>
      </w:r>
    </w:p>
    <w:p w14:paraId="177AFAD7">
      <w:pPr>
        <w:pStyle w:val="25"/>
        <w:spacing w:line="360" w:lineRule="auto"/>
        <w:ind w:firstLine="241" w:firstLineChars="100"/>
        <w:rPr>
          <w:rFonts w:hint="eastAsia" w:ascii="仿宋" w:hAnsi="仿宋" w:eastAsia="仿宋" w:cs="仿宋"/>
          <w:b/>
          <w:bCs/>
          <w:color w:val="auto"/>
          <w:sz w:val="24"/>
          <w:szCs w:val="24"/>
          <w:highlight w:val="none"/>
        </w:rPr>
      </w:pPr>
    </w:p>
    <w:p w14:paraId="2B019B12">
      <w:pPr>
        <w:pStyle w:val="25"/>
        <w:spacing w:line="360" w:lineRule="auto"/>
        <w:ind w:firstLine="241" w:firstLineChars="100"/>
        <w:rPr>
          <w:rFonts w:hint="eastAsia" w:ascii="仿宋" w:hAnsi="仿宋" w:eastAsia="仿宋" w:cs="仿宋"/>
          <w:b/>
          <w:bCs/>
          <w:color w:val="auto"/>
          <w:sz w:val="24"/>
          <w:szCs w:val="24"/>
          <w:highlight w:val="none"/>
        </w:rPr>
      </w:pPr>
    </w:p>
    <w:p w14:paraId="4E71B3AF">
      <w:pPr>
        <w:pStyle w:val="25"/>
        <w:spacing w:line="360" w:lineRule="auto"/>
        <w:ind w:firstLine="241" w:firstLineChars="100"/>
        <w:rPr>
          <w:rFonts w:hint="eastAsia" w:ascii="仿宋" w:hAnsi="仿宋" w:eastAsia="仿宋" w:cs="仿宋"/>
          <w:b/>
          <w:bCs/>
          <w:color w:val="auto"/>
          <w:sz w:val="24"/>
          <w:szCs w:val="24"/>
          <w:highlight w:val="none"/>
        </w:rPr>
      </w:pPr>
    </w:p>
    <w:p w14:paraId="61BBECFB">
      <w:pPr>
        <w:pStyle w:val="25"/>
        <w:spacing w:line="360" w:lineRule="auto"/>
        <w:rPr>
          <w:rFonts w:hint="eastAsia" w:ascii="仿宋" w:hAnsi="仿宋" w:eastAsia="仿宋" w:cs="仿宋"/>
          <w:b/>
          <w:bCs/>
          <w:color w:val="auto"/>
          <w:sz w:val="24"/>
          <w:szCs w:val="24"/>
          <w:highlight w:val="none"/>
        </w:rPr>
      </w:pPr>
    </w:p>
    <w:p w14:paraId="796CFF1B">
      <w:pPr>
        <w:pStyle w:val="25"/>
        <w:spacing w:line="360" w:lineRule="auto"/>
        <w:rPr>
          <w:rFonts w:hint="eastAsia" w:ascii="仿宋" w:hAnsi="仿宋" w:eastAsia="仿宋" w:cs="仿宋"/>
          <w:b/>
          <w:bCs/>
          <w:color w:val="auto"/>
          <w:sz w:val="24"/>
          <w:szCs w:val="24"/>
          <w:highlight w:val="none"/>
        </w:rPr>
      </w:pPr>
    </w:p>
    <w:p w14:paraId="0866C1AE">
      <w:pPr>
        <w:pStyle w:val="31"/>
        <w:numPr>
          <w:ilvl w:val="0"/>
          <w:numId w:val="0"/>
        </w:numPr>
        <w:jc w:val="center"/>
        <w:rPr>
          <w:rFonts w:hint="eastAsia" w:ascii="仿宋" w:hAnsi="仿宋" w:eastAsia="仿宋" w:cs="仿宋"/>
          <w:b/>
          <w:bCs/>
          <w:snapToGrid/>
          <w:color w:val="auto"/>
          <w:kern w:val="44"/>
          <w:sz w:val="30"/>
          <w:szCs w:val="30"/>
          <w:highlight w:val="none"/>
          <w:lang w:val="en-US" w:eastAsia="zh-CN" w:bidi="ar-SA"/>
        </w:rPr>
      </w:pPr>
      <w:bookmarkStart w:id="466" w:name="_Toc3845"/>
      <w:r>
        <w:rPr>
          <w:rFonts w:hint="eastAsia" w:ascii="仿宋" w:hAnsi="仿宋" w:eastAsia="仿宋" w:cs="仿宋"/>
          <w:b/>
          <w:bCs/>
          <w:snapToGrid/>
          <w:color w:val="auto"/>
          <w:kern w:val="44"/>
          <w:sz w:val="30"/>
          <w:szCs w:val="30"/>
          <w:highlight w:val="none"/>
          <w:lang w:val="en-US" w:eastAsia="zh-CN" w:bidi="ar-SA"/>
        </w:rPr>
        <w:t>第五章  采购内容及要求</w:t>
      </w:r>
      <w:bookmarkEnd w:id="466"/>
    </w:p>
    <w:tbl>
      <w:tblPr>
        <w:tblStyle w:val="33"/>
        <w:tblW w:w="93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3"/>
        <w:gridCol w:w="1331"/>
        <w:gridCol w:w="1918"/>
        <w:gridCol w:w="2582"/>
        <w:gridCol w:w="507"/>
        <w:gridCol w:w="790"/>
        <w:gridCol w:w="1805"/>
      </w:tblGrid>
      <w:tr w14:paraId="647FD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B4A7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序号</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9B3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内容及规格</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0C5C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尺寸（厘米）</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4B2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材质</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B7B8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单位</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5E4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数量</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E478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备注</w:t>
            </w:r>
          </w:p>
        </w:tc>
      </w:tr>
      <w:tr w14:paraId="79162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3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4FF6B9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行政楼</w:t>
            </w:r>
          </w:p>
        </w:tc>
      </w:tr>
      <w:tr w14:paraId="7FC1C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346"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1655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电梯间</w:t>
            </w:r>
          </w:p>
        </w:tc>
      </w:tr>
      <w:tr w14:paraId="17EB5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0AAA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406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电梯牌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0D8A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120*58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3B9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8C9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0587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10.44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EC64">
            <w:pPr>
              <w:jc w:val="center"/>
              <w:rPr>
                <w:rFonts w:hint="eastAsia" w:ascii="宋体" w:hAnsi="宋体" w:eastAsia="宋体" w:cs="宋体"/>
                <w:i w:val="0"/>
                <w:iCs w:val="0"/>
                <w:color w:val="000000"/>
                <w:sz w:val="18"/>
                <w:szCs w:val="18"/>
                <w:highlight w:val="none"/>
                <w:u w:val="none"/>
              </w:rPr>
            </w:pPr>
          </w:p>
        </w:tc>
      </w:tr>
      <w:tr w14:paraId="2575B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412B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2A73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楼层索引</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E60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70*120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9534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2cmPVC烤漆+磁吸条</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D975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CED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3ED0D">
            <w:pPr>
              <w:jc w:val="center"/>
              <w:rPr>
                <w:rFonts w:hint="eastAsia" w:ascii="宋体" w:hAnsi="宋体" w:eastAsia="宋体" w:cs="宋体"/>
                <w:i w:val="0"/>
                <w:iCs w:val="0"/>
                <w:color w:val="000000"/>
                <w:sz w:val="18"/>
                <w:szCs w:val="18"/>
                <w:highlight w:val="none"/>
                <w:u w:val="none"/>
              </w:rPr>
            </w:pPr>
          </w:p>
        </w:tc>
      </w:tr>
      <w:tr w14:paraId="6B071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3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BABBC0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一楼</w:t>
            </w:r>
          </w:p>
        </w:tc>
      </w:tr>
      <w:tr w14:paraId="25D36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FF7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5097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大厅贴纸</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F28D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50*520，50*660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032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车贴</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392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8279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07B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266825" cy="123825"/>
                  <wp:effectExtent l="0" t="0" r="9525" b="9525"/>
                  <wp:docPr id="3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IMG_256"/>
                          <pic:cNvPicPr>
                            <a:picLocks noChangeAspect="1"/>
                          </pic:cNvPicPr>
                        </pic:nvPicPr>
                        <pic:blipFill>
                          <a:blip r:embed="rId7"/>
                          <a:stretch>
                            <a:fillRect/>
                          </a:stretch>
                        </pic:blipFill>
                        <pic:spPr>
                          <a:xfrm>
                            <a:off x="0" y="0"/>
                            <a:ext cx="1266825" cy="123825"/>
                          </a:xfrm>
                          <a:prstGeom prst="rect">
                            <a:avLst/>
                          </a:prstGeom>
                          <a:noFill/>
                          <a:ln w="9525">
                            <a:noFill/>
                          </a:ln>
                        </pic:spPr>
                      </pic:pic>
                    </a:graphicData>
                  </a:graphic>
                </wp:inline>
              </w:drawing>
            </w:r>
          </w:p>
        </w:tc>
      </w:tr>
      <w:tr w14:paraId="04958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7E01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BBEB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急诊就诊服务流程</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2CE9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80*120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BFFF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4.5亚克力</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5DC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8AE4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6CB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23875" cy="342900"/>
                  <wp:effectExtent l="0" t="0" r="9525" b="0"/>
                  <wp:docPr id="4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IMG_257"/>
                          <pic:cNvPicPr>
                            <a:picLocks noChangeAspect="1"/>
                          </pic:cNvPicPr>
                        </pic:nvPicPr>
                        <pic:blipFill>
                          <a:blip r:embed="rId8"/>
                          <a:stretch>
                            <a:fillRect/>
                          </a:stretch>
                        </pic:blipFill>
                        <pic:spPr>
                          <a:xfrm>
                            <a:off x="0" y="0"/>
                            <a:ext cx="523875" cy="342900"/>
                          </a:xfrm>
                          <a:prstGeom prst="rect">
                            <a:avLst/>
                          </a:prstGeom>
                          <a:noFill/>
                          <a:ln w="9525">
                            <a:noFill/>
                          </a:ln>
                        </pic:spPr>
                      </pic:pic>
                    </a:graphicData>
                  </a:graphic>
                </wp:inline>
              </w:drawing>
            </w:r>
          </w:p>
        </w:tc>
      </w:tr>
      <w:tr w14:paraId="69474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A62C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844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荣誉墙</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580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140*385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AEC2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7AF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8A2E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B3B8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695325" cy="342900"/>
                  <wp:effectExtent l="0" t="0" r="9525" b="0"/>
                  <wp:docPr id="5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IMG_258"/>
                          <pic:cNvPicPr>
                            <a:picLocks noChangeAspect="1"/>
                          </pic:cNvPicPr>
                        </pic:nvPicPr>
                        <pic:blipFill>
                          <a:blip r:embed="rId9"/>
                          <a:stretch>
                            <a:fillRect/>
                          </a:stretch>
                        </pic:blipFill>
                        <pic:spPr>
                          <a:xfrm>
                            <a:off x="0" y="0"/>
                            <a:ext cx="695325" cy="342900"/>
                          </a:xfrm>
                          <a:prstGeom prst="rect">
                            <a:avLst/>
                          </a:prstGeom>
                          <a:noFill/>
                          <a:ln w="9525">
                            <a:noFill/>
                          </a:ln>
                        </pic:spPr>
                      </pic:pic>
                    </a:graphicData>
                  </a:graphic>
                </wp:inline>
              </w:drawing>
            </w:r>
          </w:p>
        </w:tc>
      </w:tr>
      <w:tr w14:paraId="74ED4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4E4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868F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候诊背景墙：关爱儿童</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EB1E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190*752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C55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8D81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EB8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A46E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266825" cy="314325"/>
                  <wp:effectExtent l="0" t="0" r="9525" b="9525"/>
                  <wp:docPr id="4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descr="IMG_259"/>
                          <pic:cNvPicPr>
                            <a:picLocks noChangeAspect="1"/>
                          </pic:cNvPicPr>
                        </pic:nvPicPr>
                        <pic:blipFill>
                          <a:blip r:embed="rId10"/>
                          <a:stretch>
                            <a:fillRect/>
                          </a:stretch>
                        </pic:blipFill>
                        <pic:spPr>
                          <a:xfrm>
                            <a:off x="0" y="0"/>
                            <a:ext cx="1266825" cy="314325"/>
                          </a:xfrm>
                          <a:prstGeom prst="rect">
                            <a:avLst/>
                          </a:prstGeom>
                          <a:noFill/>
                          <a:ln w="9525">
                            <a:noFill/>
                          </a:ln>
                        </pic:spPr>
                      </pic:pic>
                    </a:graphicData>
                  </a:graphic>
                </wp:inline>
              </w:drawing>
            </w:r>
          </w:p>
        </w:tc>
      </w:tr>
      <w:tr w14:paraId="1623A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6633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425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候诊东：一切为了孩子</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C2B3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220*250，200*87，200*410，170*95，164*33，40*53，216*200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E3E9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5D27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B18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22.11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D20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266825" cy="190500"/>
                  <wp:effectExtent l="0" t="0" r="9525" b="0"/>
                  <wp:docPr id="5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descr="IMG_260"/>
                          <pic:cNvPicPr>
                            <a:picLocks noChangeAspect="1"/>
                          </pic:cNvPicPr>
                        </pic:nvPicPr>
                        <pic:blipFill>
                          <a:blip r:embed="rId11"/>
                          <a:stretch>
                            <a:fillRect/>
                          </a:stretch>
                        </pic:blipFill>
                        <pic:spPr>
                          <a:xfrm>
                            <a:off x="0" y="0"/>
                            <a:ext cx="1266825" cy="190500"/>
                          </a:xfrm>
                          <a:prstGeom prst="rect">
                            <a:avLst/>
                          </a:prstGeom>
                          <a:noFill/>
                          <a:ln w="9525">
                            <a:noFill/>
                          </a:ln>
                        </pic:spPr>
                      </pic:pic>
                    </a:graphicData>
                  </a:graphic>
                </wp:inline>
              </w:drawing>
            </w:r>
          </w:p>
        </w:tc>
      </w:tr>
      <w:tr w14:paraId="594F4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8FEF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B77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候诊西：健康宣传</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2A0D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267*850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9D9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E67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0A9D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2CA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228725" cy="342900"/>
                  <wp:effectExtent l="0" t="0" r="9525" b="0"/>
                  <wp:docPr id="3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descr="IMG_261"/>
                          <pic:cNvPicPr>
                            <a:picLocks noChangeAspect="1"/>
                          </pic:cNvPicPr>
                        </pic:nvPicPr>
                        <pic:blipFill>
                          <a:blip r:embed="rId12"/>
                          <a:stretch>
                            <a:fillRect/>
                          </a:stretch>
                        </pic:blipFill>
                        <pic:spPr>
                          <a:xfrm>
                            <a:off x="0" y="0"/>
                            <a:ext cx="1228725" cy="342900"/>
                          </a:xfrm>
                          <a:prstGeom prst="rect">
                            <a:avLst/>
                          </a:prstGeom>
                          <a:noFill/>
                          <a:ln w="9525">
                            <a:noFill/>
                          </a:ln>
                        </pic:spPr>
                      </pic:pic>
                    </a:graphicData>
                  </a:graphic>
                </wp:inline>
              </w:drawing>
            </w:r>
          </w:p>
        </w:tc>
      </w:tr>
      <w:tr w14:paraId="66ED6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B857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1DB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十二生肖</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13B1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26*26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6396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2cmPVC 付3.0亚克力uv雕刻</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1DE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8066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48D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266825" cy="104775"/>
                  <wp:effectExtent l="0" t="0" r="9525" b="9525"/>
                  <wp:docPr id="5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IMG_262"/>
                          <pic:cNvPicPr>
                            <a:picLocks noChangeAspect="1"/>
                          </pic:cNvPicPr>
                        </pic:nvPicPr>
                        <pic:blipFill>
                          <a:blip r:embed="rId13"/>
                          <a:stretch>
                            <a:fillRect/>
                          </a:stretch>
                        </pic:blipFill>
                        <pic:spPr>
                          <a:xfrm>
                            <a:off x="0" y="0"/>
                            <a:ext cx="1266825" cy="104775"/>
                          </a:xfrm>
                          <a:prstGeom prst="rect">
                            <a:avLst/>
                          </a:prstGeom>
                          <a:noFill/>
                          <a:ln w="9525">
                            <a:noFill/>
                          </a:ln>
                        </pic:spPr>
                      </pic:pic>
                    </a:graphicData>
                  </a:graphic>
                </wp:inline>
              </w:drawing>
            </w:r>
          </w:p>
        </w:tc>
      </w:tr>
      <w:tr w14:paraId="2AA1D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B8AAD7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二楼</w:t>
            </w:r>
          </w:p>
        </w:tc>
      </w:tr>
      <w:tr w14:paraId="24AA7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1F2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A080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过道：关注孩子健康</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37FC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240*300，200*650，170*750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117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2C8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1259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32.95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8C13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266825" cy="209550"/>
                  <wp:effectExtent l="0" t="0" r="9525" b="0"/>
                  <wp:docPr id="4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descr="IMG_263"/>
                          <pic:cNvPicPr>
                            <a:picLocks noChangeAspect="1"/>
                          </pic:cNvPicPr>
                        </pic:nvPicPr>
                        <pic:blipFill>
                          <a:blip r:embed="rId14"/>
                          <a:stretch>
                            <a:fillRect/>
                          </a:stretch>
                        </pic:blipFill>
                        <pic:spPr>
                          <a:xfrm>
                            <a:off x="0" y="0"/>
                            <a:ext cx="1266825" cy="209550"/>
                          </a:xfrm>
                          <a:prstGeom prst="rect">
                            <a:avLst/>
                          </a:prstGeom>
                          <a:noFill/>
                          <a:ln w="9525">
                            <a:noFill/>
                          </a:ln>
                        </pic:spPr>
                      </pic:pic>
                    </a:graphicData>
                  </a:graphic>
                </wp:inline>
              </w:drawing>
            </w:r>
          </w:p>
        </w:tc>
      </w:tr>
      <w:tr w14:paraId="750B1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1E8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5C82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雾化室</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1CE9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100*500，98*77，97*185，110*440，100*255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4C45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A7A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5F7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14.93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7464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266825" cy="133350"/>
                  <wp:effectExtent l="0" t="0" r="9525" b="0"/>
                  <wp:docPr id="4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IMG_264"/>
                          <pic:cNvPicPr>
                            <a:picLocks noChangeAspect="1"/>
                          </pic:cNvPicPr>
                        </pic:nvPicPr>
                        <pic:blipFill>
                          <a:blip r:embed="rId15"/>
                          <a:stretch>
                            <a:fillRect/>
                          </a:stretch>
                        </pic:blipFill>
                        <pic:spPr>
                          <a:xfrm>
                            <a:off x="0" y="0"/>
                            <a:ext cx="1266825" cy="133350"/>
                          </a:xfrm>
                          <a:prstGeom prst="rect">
                            <a:avLst/>
                          </a:prstGeom>
                          <a:noFill/>
                          <a:ln w="9525">
                            <a:noFill/>
                          </a:ln>
                        </pic:spPr>
                      </pic:pic>
                    </a:graphicData>
                  </a:graphic>
                </wp:inline>
              </w:drawing>
            </w:r>
          </w:p>
        </w:tc>
      </w:tr>
      <w:tr w14:paraId="360EA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6D0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228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穿刺室</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0FC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122*315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DD89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B863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2C48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6A76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14350" cy="342900"/>
                  <wp:effectExtent l="0" t="0" r="0" b="0"/>
                  <wp:docPr id="3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IMG_265"/>
                          <pic:cNvPicPr>
                            <a:picLocks noChangeAspect="1"/>
                          </pic:cNvPicPr>
                        </pic:nvPicPr>
                        <pic:blipFill>
                          <a:blip r:embed="rId16"/>
                          <a:stretch>
                            <a:fillRect/>
                          </a:stretch>
                        </pic:blipFill>
                        <pic:spPr>
                          <a:xfrm>
                            <a:off x="0" y="0"/>
                            <a:ext cx="514350" cy="342900"/>
                          </a:xfrm>
                          <a:prstGeom prst="rect">
                            <a:avLst/>
                          </a:prstGeom>
                          <a:noFill/>
                          <a:ln w="9525">
                            <a:noFill/>
                          </a:ln>
                        </pic:spPr>
                      </pic:pic>
                    </a:graphicData>
                  </a:graphic>
                </wp:inline>
              </w:drawing>
            </w:r>
          </w:p>
        </w:tc>
      </w:tr>
      <w:tr w14:paraId="10B5E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F53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7392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输液室</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3BFB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240*650，240*562，160*120，160*120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E3A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DAA8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6231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32.93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2378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266825" cy="180975"/>
                  <wp:effectExtent l="0" t="0" r="9525" b="9525"/>
                  <wp:docPr id="4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descr="IMG_266"/>
                          <pic:cNvPicPr>
                            <a:picLocks noChangeAspect="1"/>
                          </pic:cNvPicPr>
                        </pic:nvPicPr>
                        <pic:blipFill>
                          <a:blip r:embed="rId17"/>
                          <a:stretch>
                            <a:fillRect/>
                          </a:stretch>
                        </pic:blipFill>
                        <pic:spPr>
                          <a:xfrm>
                            <a:off x="0" y="0"/>
                            <a:ext cx="1266825" cy="180975"/>
                          </a:xfrm>
                          <a:prstGeom prst="rect">
                            <a:avLst/>
                          </a:prstGeom>
                          <a:noFill/>
                          <a:ln w="9525">
                            <a:noFill/>
                          </a:ln>
                        </pic:spPr>
                      </pic:pic>
                    </a:graphicData>
                  </a:graphic>
                </wp:inline>
              </w:drawing>
            </w:r>
          </w:p>
        </w:tc>
      </w:tr>
      <w:tr w14:paraId="31897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3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0F9F86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三楼</w:t>
            </w:r>
          </w:p>
        </w:tc>
      </w:tr>
      <w:tr w14:paraId="03AC7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65029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28A32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科室介绍</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6FA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493*118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393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C4FD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766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4179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104900" cy="342900"/>
                  <wp:effectExtent l="0" t="0" r="0" b="0"/>
                  <wp:docPr id="5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descr="IMG_267"/>
                          <pic:cNvPicPr>
                            <a:picLocks noChangeAspect="1"/>
                          </pic:cNvPicPr>
                        </pic:nvPicPr>
                        <pic:blipFill>
                          <a:blip r:embed="rId18"/>
                          <a:stretch>
                            <a:fillRect/>
                          </a:stretch>
                        </pic:blipFill>
                        <pic:spPr>
                          <a:xfrm>
                            <a:off x="0" y="0"/>
                            <a:ext cx="1104900" cy="342900"/>
                          </a:xfrm>
                          <a:prstGeom prst="rect">
                            <a:avLst/>
                          </a:prstGeom>
                          <a:noFill/>
                          <a:ln w="9525">
                            <a:noFill/>
                          </a:ln>
                        </pic:spPr>
                      </pic:pic>
                    </a:graphicData>
                  </a:graphic>
                </wp:inline>
              </w:drawing>
            </w:r>
          </w:p>
        </w:tc>
      </w:tr>
      <w:tr w14:paraId="082F3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4FEA4">
            <w:pPr>
              <w:jc w:val="center"/>
              <w:rPr>
                <w:rFonts w:hint="eastAsia" w:ascii="宋体" w:hAnsi="宋体" w:eastAsia="宋体" w:cs="宋体"/>
                <w:i w:val="0"/>
                <w:iCs w:val="0"/>
                <w:color w:val="000000"/>
                <w:sz w:val="18"/>
                <w:szCs w:val="18"/>
                <w:highlight w:val="none"/>
                <w:u w:val="none"/>
              </w:rPr>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FA80E">
            <w:pPr>
              <w:jc w:val="center"/>
              <w:rPr>
                <w:rFonts w:hint="eastAsia" w:ascii="宋体" w:hAnsi="宋体" w:eastAsia="宋体" w:cs="宋体"/>
                <w:i w:val="0"/>
                <w:iCs w:val="0"/>
                <w:color w:val="000000"/>
                <w:sz w:val="18"/>
                <w:szCs w:val="18"/>
                <w:highlight w:val="none"/>
                <w:u w:val="none"/>
              </w:rPr>
            </w:pP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AD7D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23.6*15.6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567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瓷白底双层亚克力卡盒</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D1E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30AB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9F3E">
            <w:pPr>
              <w:jc w:val="center"/>
              <w:rPr>
                <w:rFonts w:hint="eastAsia" w:ascii="宋体" w:hAnsi="宋体" w:eastAsia="宋体" w:cs="宋体"/>
                <w:i w:val="0"/>
                <w:iCs w:val="0"/>
                <w:color w:val="000000"/>
                <w:sz w:val="18"/>
                <w:szCs w:val="18"/>
                <w:highlight w:val="none"/>
                <w:u w:val="none"/>
              </w:rPr>
            </w:pPr>
          </w:p>
        </w:tc>
      </w:tr>
      <w:tr w14:paraId="2B164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BA280">
            <w:pPr>
              <w:jc w:val="center"/>
              <w:rPr>
                <w:rFonts w:hint="eastAsia" w:ascii="宋体" w:hAnsi="宋体" w:eastAsia="宋体" w:cs="宋体"/>
                <w:i w:val="0"/>
                <w:iCs w:val="0"/>
                <w:color w:val="000000"/>
                <w:sz w:val="18"/>
                <w:szCs w:val="18"/>
                <w:highlight w:val="none"/>
                <w:u w:val="none"/>
              </w:rPr>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88BA8">
            <w:pPr>
              <w:jc w:val="center"/>
              <w:rPr>
                <w:rFonts w:hint="eastAsia" w:ascii="宋体" w:hAnsi="宋体" w:eastAsia="宋体" w:cs="宋体"/>
                <w:i w:val="0"/>
                <w:iCs w:val="0"/>
                <w:color w:val="000000"/>
                <w:sz w:val="18"/>
                <w:szCs w:val="18"/>
                <w:highlight w:val="none"/>
                <w:u w:val="none"/>
              </w:rPr>
            </w:pP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1C8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23.6*15.6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6E47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户外pp</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B1B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6A14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249A9">
            <w:pPr>
              <w:jc w:val="center"/>
              <w:rPr>
                <w:rFonts w:hint="eastAsia" w:ascii="宋体" w:hAnsi="宋体" w:eastAsia="宋体" w:cs="宋体"/>
                <w:i w:val="0"/>
                <w:iCs w:val="0"/>
                <w:color w:val="000000"/>
                <w:sz w:val="18"/>
                <w:szCs w:val="18"/>
                <w:highlight w:val="none"/>
                <w:u w:val="none"/>
              </w:rPr>
            </w:pPr>
          </w:p>
        </w:tc>
      </w:tr>
      <w:tr w14:paraId="0B321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3C8C4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F601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儿科 科室简介</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596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345*110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327E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7AE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35AE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3.795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7FF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123950" cy="342900"/>
                  <wp:effectExtent l="0" t="0" r="0" b="0"/>
                  <wp:docPr id="4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descr="IMG_268"/>
                          <pic:cNvPicPr>
                            <a:picLocks noChangeAspect="1"/>
                          </pic:cNvPicPr>
                        </pic:nvPicPr>
                        <pic:blipFill>
                          <a:blip r:embed="rId19"/>
                          <a:stretch>
                            <a:fillRect/>
                          </a:stretch>
                        </pic:blipFill>
                        <pic:spPr>
                          <a:xfrm>
                            <a:off x="0" y="0"/>
                            <a:ext cx="1123950" cy="342900"/>
                          </a:xfrm>
                          <a:prstGeom prst="rect">
                            <a:avLst/>
                          </a:prstGeom>
                          <a:noFill/>
                          <a:ln w="9525">
                            <a:noFill/>
                          </a:ln>
                        </pic:spPr>
                      </pic:pic>
                    </a:graphicData>
                  </a:graphic>
                </wp:inline>
              </w:drawing>
            </w:r>
          </w:p>
        </w:tc>
      </w:tr>
      <w:tr w14:paraId="2AC43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6D8D6">
            <w:pPr>
              <w:jc w:val="center"/>
              <w:rPr>
                <w:rFonts w:hint="eastAsia" w:ascii="宋体" w:hAnsi="宋体" w:eastAsia="宋体" w:cs="宋体"/>
                <w:i w:val="0"/>
                <w:iCs w:val="0"/>
                <w:color w:val="000000"/>
                <w:sz w:val="18"/>
                <w:szCs w:val="18"/>
                <w:highlight w:val="none"/>
                <w:u w:val="none"/>
              </w:rPr>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80FCD">
            <w:pPr>
              <w:jc w:val="center"/>
              <w:rPr>
                <w:rFonts w:hint="eastAsia" w:ascii="宋体" w:hAnsi="宋体" w:eastAsia="宋体" w:cs="宋体"/>
                <w:i w:val="0"/>
                <w:iCs w:val="0"/>
                <w:color w:val="000000"/>
                <w:sz w:val="18"/>
                <w:szCs w:val="18"/>
                <w:highlight w:val="none"/>
                <w:u w:val="none"/>
              </w:rPr>
            </w:pP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2B45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24.7*20.2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580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瓷白底双层亚克力卡盒</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EA44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0E6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AAB5F">
            <w:pPr>
              <w:jc w:val="center"/>
              <w:rPr>
                <w:rFonts w:hint="eastAsia" w:ascii="宋体" w:hAnsi="宋体" w:eastAsia="宋体" w:cs="宋体"/>
                <w:i w:val="0"/>
                <w:iCs w:val="0"/>
                <w:color w:val="000000"/>
                <w:sz w:val="18"/>
                <w:szCs w:val="18"/>
                <w:highlight w:val="none"/>
                <w:u w:val="none"/>
              </w:rPr>
            </w:pPr>
          </w:p>
        </w:tc>
      </w:tr>
      <w:tr w14:paraId="2DD72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7FA30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7F2EA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二维码宣教</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68C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152*104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9F9D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2CAD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CFE2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7DF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04825" cy="342900"/>
                  <wp:effectExtent l="0" t="0" r="9525" b="0"/>
                  <wp:docPr id="4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descr="IMG_269"/>
                          <pic:cNvPicPr>
                            <a:picLocks noChangeAspect="1"/>
                          </pic:cNvPicPr>
                        </pic:nvPicPr>
                        <pic:blipFill>
                          <a:blip r:embed="rId20"/>
                          <a:stretch>
                            <a:fillRect/>
                          </a:stretch>
                        </pic:blipFill>
                        <pic:spPr>
                          <a:xfrm>
                            <a:off x="0" y="0"/>
                            <a:ext cx="504825" cy="342900"/>
                          </a:xfrm>
                          <a:prstGeom prst="rect">
                            <a:avLst/>
                          </a:prstGeom>
                          <a:noFill/>
                          <a:ln w="9525">
                            <a:noFill/>
                          </a:ln>
                        </pic:spPr>
                      </pic:pic>
                    </a:graphicData>
                  </a:graphic>
                </wp:inline>
              </w:drawing>
            </w:r>
          </w:p>
        </w:tc>
      </w:tr>
      <w:tr w14:paraId="0D917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A3862">
            <w:pPr>
              <w:jc w:val="center"/>
              <w:rPr>
                <w:rFonts w:hint="eastAsia" w:ascii="宋体" w:hAnsi="宋体" w:eastAsia="宋体" w:cs="宋体"/>
                <w:i w:val="0"/>
                <w:iCs w:val="0"/>
                <w:color w:val="000000"/>
                <w:sz w:val="18"/>
                <w:szCs w:val="18"/>
                <w:highlight w:val="none"/>
                <w:u w:val="none"/>
              </w:rPr>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57559">
            <w:pPr>
              <w:jc w:val="center"/>
              <w:rPr>
                <w:rFonts w:hint="eastAsia" w:ascii="宋体" w:hAnsi="宋体" w:eastAsia="宋体" w:cs="宋体"/>
                <w:i w:val="0"/>
                <w:iCs w:val="0"/>
                <w:color w:val="000000"/>
                <w:sz w:val="18"/>
                <w:szCs w:val="18"/>
                <w:highlight w:val="none"/>
                <w:u w:val="none"/>
              </w:rPr>
            </w:pP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388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10*11.2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B24D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瓷白底双层亚克力卡盒</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70ED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DD20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95AEE">
            <w:pPr>
              <w:jc w:val="center"/>
              <w:rPr>
                <w:rFonts w:hint="eastAsia" w:ascii="宋体" w:hAnsi="宋体" w:eastAsia="宋体" w:cs="宋体"/>
                <w:i w:val="0"/>
                <w:iCs w:val="0"/>
                <w:color w:val="000000"/>
                <w:sz w:val="18"/>
                <w:szCs w:val="18"/>
                <w:highlight w:val="none"/>
                <w:u w:val="none"/>
              </w:rPr>
            </w:pPr>
          </w:p>
        </w:tc>
      </w:tr>
      <w:tr w14:paraId="72BA2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EA9A9">
            <w:pPr>
              <w:jc w:val="center"/>
              <w:rPr>
                <w:rFonts w:hint="eastAsia" w:ascii="宋体" w:hAnsi="宋体" w:eastAsia="宋体" w:cs="宋体"/>
                <w:i w:val="0"/>
                <w:iCs w:val="0"/>
                <w:color w:val="000000"/>
                <w:sz w:val="18"/>
                <w:szCs w:val="18"/>
                <w:highlight w:val="none"/>
                <w:u w:val="none"/>
              </w:rPr>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64E7F">
            <w:pPr>
              <w:jc w:val="center"/>
              <w:rPr>
                <w:rFonts w:hint="eastAsia" w:ascii="宋体" w:hAnsi="宋体" w:eastAsia="宋体" w:cs="宋体"/>
                <w:i w:val="0"/>
                <w:iCs w:val="0"/>
                <w:color w:val="000000"/>
                <w:sz w:val="18"/>
                <w:szCs w:val="18"/>
                <w:highlight w:val="none"/>
                <w:u w:val="none"/>
              </w:rPr>
            </w:pP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1B23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10*11.2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EF9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户外pp</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EFB1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9E5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D05D6">
            <w:pPr>
              <w:jc w:val="center"/>
              <w:rPr>
                <w:rFonts w:hint="eastAsia" w:ascii="宋体" w:hAnsi="宋体" w:eastAsia="宋体" w:cs="宋体"/>
                <w:i w:val="0"/>
                <w:iCs w:val="0"/>
                <w:color w:val="000000"/>
                <w:sz w:val="18"/>
                <w:szCs w:val="18"/>
                <w:highlight w:val="none"/>
                <w:u w:val="none"/>
              </w:rPr>
            </w:pPr>
          </w:p>
        </w:tc>
      </w:tr>
      <w:tr w14:paraId="2F524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BDE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B6B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健康宣教</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642E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60*90*14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868C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kt+铝框</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E0BD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7B94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AD6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809625" cy="342900"/>
                  <wp:effectExtent l="0" t="0" r="9525" b="0"/>
                  <wp:docPr id="60"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descr="IMG_270"/>
                          <pic:cNvPicPr>
                            <a:picLocks noChangeAspect="1"/>
                          </pic:cNvPicPr>
                        </pic:nvPicPr>
                        <pic:blipFill>
                          <a:blip r:embed="rId21"/>
                          <a:stretch>
                            <a:fillRect/>
                          </a:stretch>
                        </pic:blipFill>
                        <pic:spPr>
                          <a:xfrm>
                            <a:off x="0" y="0"/>
                            <a:ext cx="809625" cy="342900"/>
                          </a:xfrm>
                          <a:prstGeom prst="rect">
                            <a:avLst/>
                          </a:prstGeom>
                          <a:noFill/>
                          <a:ln w="9525">
                            <a:noFill/>
                          </a:ln>
                        </pic:spPr>
                      </pic:pic>
                    </a:graphicData>
                  </a:graphic>
                </wp:inline>
              </w:drawing>
            </w:r>
          </w:p>
        </w:tc>
      </w:tr>
      <w:tr w14:paraId="76067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FF9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F5F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互动墙</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B2AB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344*120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A513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2cmpvc雕刻+厚磁性底板，配白板笔，磁吸等</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1288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C4E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F01C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19175" cy="342900"/>
                  <wp:effectExtent l="0" t="0" r="9525" b="0"/>
                  <wp:docPr id="4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descr="IMG_271"/>
                          <pic:cNvPicPr>
                            <a:picLocks noChangeAspect="1"/>
                          </pic:cNvPicPr>
                        </pic:nvPicPr>
                        <pic:blipFill>
                          <a:blip r:embed="rId22"/>
                          <a:stretch>
                            <a:fillRect/>
                          </a:stretch>
                        </pic:blipFill>
                        <pic:spPr>
                          <a:xfrm>
                            <a:off x="0" y="0"/>
                            <a:ext cx="1019175" cy="342900"/>
                          </a:xfrm>
                          <a:prstGeom prst="rect">
                            <a:avLst/>
                          </a:prstGeom>
                          <a:noFill/>
                          <a:ln w="9525">
                            <a:noFill/>
                          </a:ln>
                        </pic:spPr>
                      </pic:pic>
                    </a:graphicData>
                  </a:graphic>
                </wp:inline>
              </w:drawing>
            </w:r>
          </w:p>
        </w:tc>
      </w:tr>
      <w:tr w14:paraId="5F9D4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9ADE7F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四楼</w:t>
            </w:r>
          </w:p>
        </w:tc>
      </w:tr>
      <w:tr w14:paraId="3D861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7668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0CEC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人员公示</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AEF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390*110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2BA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付1.8亚克力uv雕刻另附1cmpvc+1.8亚克力两层）+卡盒</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823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F8A0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BE1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52070</wp:posOffset>
                  </wp:positionV>
                  <wp:extent cx="1043940" cy="421005"/>
                  <wp:effectExtent l="0" t="0" r="3810" b="17145"/>
                  <wp:wrapNone/>
                  <wp:docPr id="51" name="图片_1"/>
                  <wp:cNvGraphicFramePr/>
                  <a:graphic xmlns:a="http://schemas.openxmlformats.org/drawingml/2006/main">
                    <a:graphicData uri="http://schemas.openxmlformats.org/drawingml/2006/picture">
                      <pic:pic xmlns:pic="http://schemas.openxmlformats.org/drawingml/2006/picture">
                        <pic:nvPicPr>
                          <pic:cNvPr id="51" name="图片_1"/>
                          <pic:cNvPicPr/>
                        </pic:nvPicPr>
                        <pic:blipFill>
                          <a:blip r:embed="rId23"/>
                          <a:stretch>
                            <a:fillRect/>
                          </a:stretch>
                        </pic:blipFill>
                        <pic:spPr>
                          <a:xfrm>
                            <a:off x="0" y="0"/>
                            <a:ext cx="1043940" cy="421005"/>
                          </a:xfrm>
                          <a:prstGeom prst="rect">
                            <a:avLst/>
                          </a:prstGeom>
                          <a:noFill/>
                          <a:ln>
                            <a:noFill/>
                          </a:ln>
                        </pic:spPr>
                      </pic:pic>
                    </a:graphicData>
                  </a:graphic>
                </wp:anchor>
              </w:drawing>
            </w:r>
          </w:p>
        </w:tc>
      </w:tr>
      <w:tr w14:paraId="69C14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C963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CB7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卡盒</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DF3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21*29.7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A35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卡盒实厚1.8瓷白底+1.8透明亚克力双面</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26B9A">
            <w:pPr>
              <w:jc w:val="center"/>
              <w:rPr>
                <w:rFonts w:hint="eastAsia" w:ascii="宋体" w:hAnsi="宋体" w:eastAsia="宋体" w:cs="宋体"/>
                <w:i w:val="0"/>
                <w:iCs w:val="0"/>
                <w:color w:val="000000"/>
                <w:sz w:val="18"/>
                <w:szCs w:val="18"/>
                <w:highlight w:val="none"/>
                <w:u w:val="none"/>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792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21016">
            <w:pPr>
              <w:jc w:val="center"/>
              <w:rPr>
                <w:rFonts w:hint="eastAsia" w:ascii="宋体" w:hAnsi="宋体" w:eastAsia="宋体" w:cs="宋体"/>
                <w:i w:val="0"/>
                <w:iCs w:val="0"/>
                <w:color w:val="000000"/>
                <w:sz w:val="18"/>
                <w:szCs w:val="18"/>
                <w:highlight w:val="none"/>
                <w:u w:val="none"/>
              </w:rPr>
            </w:pPr>
          </w:p>
        </w:tc>
      </w:tr>
      <w:tr w14:paraId="61FAB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E886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7A6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护士墙</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C55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600*115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E7A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6919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54E9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352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21590</wp:posOffset>
                  </wp:positionH>
                  <wp:positionV relativeFrom="paragraph">
                    <wp:posOffset>24130</wp:posOffset>
                  </wp:positionV>
                  <wp:extent cx="1083945" cy="385445"/>
                  <wp:effectExtent l="0" t="0" r="1905" b="14605"/>
                  <wp:wrapNone/>
                  <wp:docPr id="58" name="图片_3"/>
                  <wp:cNvGraphicFramePr/>
                  <a:graphic xmlns:a="http://schemas.openxmlformats.org/drawingml/2006/main">
                    <a:graphicData uri="http://schemas.openxmlformats.org/drawingml/2006/picture">
                      <pic:pic xmlns:pic="http://schemas.openxmlformats.org/drawingml/2006/picture">
                        <pic:nvPicPr>
                          <pic:cNvPr id="58" name="图片_3"/>
                          <pic:cNvPicPr/>
                        </pic:nvPicPr>
                        <pic:blipFill>
                          <a:blip r:embed="rId24"/>
                          <a:stretch>
                            <a:fillRect/>
                          </a:stretch>
                        </pic:blipFill>
                        <pic:spPr>
                          <a:xfrm>
                            <a:off x="0" y="0"/>
                            <a:ext cx="1083945" cy="385445"/>
                          </a:xfrm>
                          <a:prstGeom prst="rect">
                            <a:avLst/>
                          </a:prstGeom>
                          <a:noFill/>
                          <a:ln>
                            <a:noFill/>
                          </a:ln>
                        </pic:spPr>
                      </pic:pic>
                    </a:graphicData>
                  </a:graphic>
                </wp:anchor>
              </w:drawing>
            </w:r>
          </w:p>
        </w:tc>
      </w:tr>
      <w:tr w14:paraId="196CD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6D99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007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北墙微笑与生命</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F0D0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710*120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D1DD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8224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F8EE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8.52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AE45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952500" cy="342900"/>
                  <wp:effectExtent l="0" t="0" r="0" b="0"/>
                  <wp:docPr id="4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7" descr="IMG_272"/>
                          <pic:cNvPicPr>
                            <a:picLocks noChangeAspect="1"/>
                          </pic:cNvPicPr>
                        </pic:nvPicPr>
                        <pic:blipFill>
                          <a:blip r:embed="rId25"/>
                          <a:stretch>
                            <a:fillRect/>
                          </a:stretch>
                        </pic:blipFill>
                        <pic:spPr>
                          <a:xfrm>
                            <a:off x="0" y="0"/>
                            <a:ext cx="952500" cy="342900"/>
                          </a:xfrm>
                          <a:prstGeom prst="rect">
                            <a:avLst/>
                          </a:prstGeom>
                          <a:noFill/>
                          <a:ln w="9525">
                            <a:noFill/>
                          </a:ln>
                        </pic:spPr>
                      </pic:pic>
                    </a:graphicData>
                  </a:graphic>
                </wp:inline>
              </w:drawing>
            </w:r>
          </w:p>
        </w:tc>
      </w:tr>
      <w:tr w14:paraId="52F53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FFC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FC6F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西墙活动剪影</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183F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360*105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FBE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付1.8亚克力uv雕刻另附1cmpvc+1.8亚克力两层）+卡盒</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7F1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DBAA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E344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752475" cy="342900"/>
                  <wp:effectExtent l="0" t="0" r="9525" b="0"/>
                  <wp:docPr id="4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descr="IMG_273"/>
                          <pic:cNvPicPr>
                            <a:picLocks noChangeAspect="1"/>
                          </pic:cNvPicPr>
                        </pic:nvPicPr>
                        <pic:blipFill>
                          <a:blip r:embed="rId26"/>
                          <a:stretch>
                            <a:fillRect/>
                          </a:stretch>
                        </pic:blipFill>
                        <pic:spPr>
                          <a:xfrm>
                            <a:off x="0" y="0"/>
                            <a:ext cx="752475" cy="342900"/>
                          </a:xfrm>
                          <a:prstGeom prst="rect">
                            <a:avLst/>
                          </a:prstGeom>
                          <a:noFill/>
                          <a:ln w="9525">
                            <a:noFill/>
                          </a:ln>
                        </pic:spPr>
                      </pic:pic>
                    </a:graphicData>
                  </a:graphic>
                </wp:inline>
              </w:drawing>
            </w:r>
          </w:p>
        </w:tc>
      </w:tr>
      <w:tr w14:paraId="781AB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C52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7BCD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卡盒</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42C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21*29.7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D84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卡盒实厚1.8瓷白+1.8透明亚克力双面)</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220C0">
            <w:pPr>
              <w:jc w:val="center"/>
              <w:rPr>
                <w:rFonts w:hint="eastAsia" w:ascii="宋体" w:hAnsi="宋体" w:eastAsia="宋体" w:cs="宋体"/>
                <w:i w:val="0"/>
                <w:iCs w:val="0"/>
                <w:color w:val="000000"/>
                <w:sz w:val="18"/>
                <w:szCs w:val="18"/>
                <w:highlight w:val="none"/>
                <w:u w:val="none"/>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3CA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6D05D">
            <w:pPr>
              <w:jc w:val="center"/>
              <w:rPr>
                <w:rFonts w:hint="eastAsia" w:ascii="宋体" w:hAnsi="宋体" w:eastAsia="宋体" w:cs="宋体"/>
                <w:i w:val="0"/>
                <w:iCs w:val="0"/>
                <w:color w:val="000000"/>
                <w:sz w:val="18"/>
                <w:szCs w:val="18"/>
                <w:highlight w:val="none"/>
                <w:u w:val="none"/>
              </w:rPr>
            </w:pPr>
          </w:p>
        </w:tc>
      </w:tr>
      <w:tr w14:paraId="2264E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3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276FE5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五楼</w:t>
            </w:r>
          </w:p>
        </w:tc>
      </w:tr>
      <w:tr w14:paraId="259E9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E19F7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7E493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南墙 指导思想</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51A8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842*180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E50D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28C1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837D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35F5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152525" cy="342900"/>
                  <wp:effectExtent l="0" t="0" r="9525" b="0"/>
                  <wp:docPr id="5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descr="IMG_274"/>
                          <pic:cNvPicPr>
                            <a:picLocks noChangeAspect="1"/>
                          </pic:cNvPicPr>
                        </pic:nvPicPr>
                        <pic:blipFill>
                          <a:blip r:embed="rId27"/>
                          <a:stretch>
                            <a:fillRect/>
                          </a:stretch>
                        </pic:blipFill>
                        <pic:spPr>
                          <a:xfrm>
                            <a:off x="0" y="0"/>
                            <a:ext cx="1152525" cy="342900"/>
                          </a:xfrm>
                          <a:prstGeom prst="rect">
                            <a:avLst/>
                          </a:prstGeom>
                          <a:noFill/>
                          <a:ln w="9525">
                            <a:noFill/>
                          </a:ln>
                        </pic:spPr>
                      </pic:pic>
                    </a:graphicData>
                  </a:graphic>
                </wp:inline>
              </w:drawing>
            </w:r>
          </w:p>
        </w:tc>
      </w:tr>
      <w:tr w14:paraId="73189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83873">
            <w:pPr>
              <w:jc w:val="center"/>
              <w:rPr>
                <w:rFonts w:hint="eastAsia" w:ascii="宋体" w:hAnsi="宋体" w:eastAsia="宋体" w:cs="宋体"/>
                <w:i w:val="0"/>
                <w:iCs w:val="0"/>
                <w:color w:val="000000"/>
                <w:sz w:val="18"/>
                <w:szCs w:val="18"/>
                <w:highlight w:val="none"/>
                <w:u w:val="none"/>
              </w:rPr>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DB448">
            <w:pPr>
              <w:jc w:val="center"/>
              <w:rPr>
                <w:rFonts w:hint="eastAsia" w:ascii="宋体" w:hAnsi="宋体" w:eastAsia="宋体" w:cs="宋体"/>
                <w:i w:val="0"/>
                <w:iCs w:val="0"/>
                <w:color w:val="000000"/>
                <w:sz w:val="18"/>
                <w:szCs w:val="18"/>
                <w:highlight w:val="none"/>
                <w:u w:val="none"/>
              </w:rPr>
            </w:pP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7E6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40.5*26.7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4301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瓷白底双层亚克力卡盒</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88F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50CD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7662">
            <w:pPr>
              <w:jc w:val="center"/>
              <w:rPr>
                <w:rFonts w:hint="eastAsia" w:ascii="宋体" w:hAnsi="宋体" w:eastAsia="宋体" w:cs="宋体"/>
                <w:i w:val="0"/>
                <w:iCs w:val="0"/>
                <w:color w:val="000000"/>
                <w:sz w:val="18"/>
                <w:szCs w:val="18"/>
                <w:highlight w:val="none"/>
                <w:u w:val="none"/>
              </w:rPr>
            </w:pPr>
          </w:p>
        </w:tc>
      </w:tr>
      <w:tr w14:paraId="44581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67160">
            <w:pPr>
              <w:jc w:val="center"/>
              <w:rPr>
                <w:rFonts w:hint="eastAsia" w:ascii="宋体" w:hAnsi="宋体" w:eastAsia="宋体" w:cs="宋体"/>
                <w:i w:val="0"/>
                <w:iCs w:val="0"/>
                <w:color w:val="000000"/>
                <w:sz w:val="18"/>
                <w:szCs w:val="18"/>
                <w:highlight w:val="none"/>
                <w:u w:val="none"/>
              </w:rPr>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BE8BA">
            <w:pPr>
              <w:jc w:val="center"/>
              <w:rPr>
                <w:rFonts w:hint="eastAsia" w:ascii="宋体" w:hAnsi="宋体" w:eastAsia="宋体" w:cs="宋体"/>
                <w:i w:val="0"/>
                <w:iCs w:val="0"/>
                <w:color w:val="000000"/>
                <w:sz w:val="18"/>
                <w:szCs w:val="18"/>
                <w:highlight w:val="none"/>
                <w:u w:val="none"/>
              </w:rPr>
            </w:pP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D73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40.5*26.7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3AC5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户外pp</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752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AA98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CB47">
            <w:pPr>
              <w:jc w:val="center"/>
              <w:rPr>
                <w:rFonts w:hint="eastAsia" w:ascii="宋体" w:hAnsi="宋体" w:eastAsia="宋体" w:cs="宋体"/>
                <w:i w:val="0"/>
                <w:iCs w:val="0"/>
                <w:color w:val="000000"/>
                <w:sz w:val="18"/>
                <w:szCs w:val="18"/>
                <w:highlight w:val="none"/>
                <w:u w:val="none"/>
              </w:rPr>
            </w:pPr>
          </w:p>
        </w:tc>
      </w:tr>
      <w:tr w14:paraId="3EB52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A7DC9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3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67CF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东墙 医共体建设工作剪影</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DBE9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320*152,108*123*2,558*290,144*152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FC3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2179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51CA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293D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266825" cy="161925"/>
                  <wp:effectExtent l="0" t="0" r="9525" b="9525"/>
                  <wp:docPr id="5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descr="IMG_275"/>
                          <pic:cNvPicPr>
                            <a:picLocks noChangeAspect="1"/>
                          </pic:cNvPicPr>
                        </pic:nvPicPr>
                        <pic:blipFill>
                          <a:blip r:embed="rId28"/>
                          <a:stretch>
                            <a:fillRect/>
                          </a:stretch>
                        </pic:blipFill>
                        <pic:spPr>
                          <a:xfrm>
                            <a:off x="0" y="0"/>
                            <a:ext cx="1266825" cy="161925"/>
                          </a:xfrm>
                          <a:prstGeom prst="rect">
                            <a:avLst/>
                          </a:prstGeom>
                          <a:noFill/>
                          <a:ln w="9525">
                            <a:noFill/>
                          </a:ln>
                        </pic:spPr>
                      </pic:pic>
                    </a:graphicData>
                  </a:graphic>
                </wp:inline>
              </w:drawing>
            </w:r>
          </w:p>
        </w:tc>
      </w:tr>
      <w:tr w14:paraId="2A630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BB090">
            <w:pPr>
              <w:jc w:val="center"/>
              <w:rPr>
                <w:rFonts w:hint="eastAsia" w:ascii="宋体" w:hAnsi="宋体" w:eastAsia="宋体" w:cs="宋体"/>
                <w:i w:val="0"/>
                <w:iCs w:val="0"/>
                <w:color w:val="000000"/>
                <w:sz w:val="18"/>
                <w:szCs w:val="18"/>
                <w:highlight w:val="none"/>
                <w:u w:val="none"/>
              </w:rPr>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BFF6B">
            <w:pPr>
              <w:jc w:val="center"/>
              <w:rPr>
                <w:rFonts w:hint="eastAsia" w:ascii="宋体" w:hAnsi="宋体" w:eastAsia="宋体" w:cs="宋体"/>
                <w:i w:val="0"/>
                <w:iCs w:val="0"/>
                <w:color w:val="000000"/>
                <w:sz w:val="18"/>
                <w:szCs w:val="18"/>
                <w:highlight w:val="none"/>
                <w:u w:val="none"/>
              </w:rPr>
            </w:pP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005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34*23.8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BA19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瓷白底双层亚克力卡盒</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1EC1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378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FCD7D">
            <w:pPr>
              <w:jc w:val="center"/>
              <w:rPr>
                <w:rFonts w:hint="eastAsia" w:ascii="宋体" w:hAnsi="宋体" w:eastAsia="宋体" w:cs="宋体"/>
                <w:i w:val="0"/>
                <w:iCs w:val="0"/>
                <w:color w:val="000000"/>
                <w:sz w:val="18"/>
                <w:szCs w:val="18"/>
                <w:highlight w:val="none"/>
                <w:u w:val="none"/>
              </w:rPr>
            </w:pPr>
          </w:p>
        </w:tc>
      </w:tr>
      <w:tr w14:paraId="08DA2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2E786">
            <w:pPr>
              <w:jc w:val="center"/>
              <w:rPr>
                <w:rFonts w:hint="eastAsia" w:ascii="宋体" w:hAnsi="宋体" w:eastAsia="宋体" w:cs="宋体"/>
                <w:i w:val="0"/>
                <w:iCs w:val="0"/>
                <w:color w:val="000000"/>
                <w:sz w:val="18"/>
                <w:szCs w:val="18"/>
                <w:highlight w:val="none"/>
                <w:u w:val="none"/>
              </w:rPr>
            </w:pPr>
          </w:p>
        </w:tc>
        <w:tc>
          <w:tcPr>
            <w:tcW w:w="13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A693F">
            <w:pPr>
              <w:jc w:val="center"/>
              <w:rPr>
                <w:rFonts w:hint="eastAsia" w:ascii="宋体" w:hAnsi="宋体" w:eastAsia="宋体" w:cs="宋体"/>
                <w:i w:val="0"/>
                <w:iCs w:val="0"/>
                <w:color w:val="000000"/>
                <w:sz w:val="18"/>
                <w:szCs w:val="18"/>
                <w:highlight w:val="none"/>
                <w:u w:val="none"/>
              </w:rPr>
            </w:pP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223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183*110*2,62*47cm*4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D26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定制墙上置物架</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5EE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4C8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084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266825" cy="314325"/>
                  <wp:effectExtent l="0" t="0" r="9525" b="9525"/>
                  <wp:docPr id="5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descr="IMG_276"/>
                          <pic:cNvPicPr>
                            <a:picLocks noChangeAspect="1"/>
                          </pic:cNvPicPr>
                        </pic:nvPicPr>
                        <pic:blipFill>
                          <a:blip r:embed="rId29"/>
                          <a:stretch>
                            <a:fillRect/>
                          </a:stretch>
                        </pic:blipFill>
                        <pic:spPr>
                          <a:xfrm>
                            <a:off x="0" y="0"/>
                            <a:ext cx="1266825" cy="314325"/>
                          </a:xfrm>
                          <a:prstGeom prst="rect">
                            <a:avLst/>
                          </a:prstGeom>
                          <a:noFill/>
                          <a:ln w="9525">
                            <a:noFill/>
                          </a:ln>
                        </pic:spPr>
                      </pic:pic>
                    </a:graphicData>
                  </a:graphic>
                </wp:inline>
              </w:drawing>
            </w:r>
          </w:p>
        </w:tc>
      </w:tr>
      <w:tr w14:paraId="7D36B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809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008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医共体党委组织</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4C3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516*130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100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2cmPVC 付3.0亚克力uv雕刻</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7C4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7B4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772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066800" cy="342900"/>
                  <wp:effectExtent l="0" t="0" r="0" b="0"/>
                  <wp:docPr id="5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descr="IMG_277"/>
                          <pic:cNvPicPr>
                            <a:picLocks noChangeAspect="1"/>
                          </pic:cNvPicPr>
                        </pic:nvPicPr>
                        <pic:blipFill>
                          <a:blip r:embed="rId30"/>
                          <a:stretch>
                            <a:fillRect/>
                          </a:stretch>
                        </pic:blipFill>
                        <pic:spPr>
                          <a:xfrm>
                            <a:off x="0" y="0"/>
                            <a:ext cx="1066800" cy="342900"/>
                          </a:xfrm>
                          <a:prstGeom prst="rect">
                            <a:avLst/>
                          </a:prstGeom>
                          <a:noFill/>
                          <a:ln w="9525">
                            <a:noFill/>
                          </a:ln>
                        </pic:spPr>
                      </pic:pic>
                    </a:graphicData>
                  </a:graphic>
                </wp:inline>
              </w:drawing>
            </w:r>
          </w:p>
        </w:tc>
      </w:tr>
      <w:tr w14:paraId="62277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DC69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FAC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医共体领导体制</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773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400*110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8EE2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7F71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A52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6E77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933450" cy="285750"/>
                  <wp:effectExtent l="0" t="0" r="0" b="0"/>
                  <wp:docPr id="3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descr="IMG_278"/>
                          <pic:cNvPicPr>
                            <a:picLocks noChangeAspect="1"/>
                          </pic:cNvPicPr>
                        </pic:nvPicPr>
                        <pic:blipFill>
                          <a:blip r:embed="rId31"/>
                          <a:stretch>
                            <a:fillRect/>
                          </a:stretch>
                        </pic:blipFill>
                        <pic:spPr>
                          <a:xfrm>
                            <a:off x="0" y="0"/>
                            <a:ext cx="933450" cy="285750"/>
                          </a:xfrm>
                          <a:prstGeom prst="rect">
                            <a:avLst/>
                          </a:prstGeom>
                          <a:noFill/>
                          <a:ln w="9525">
                            <a:noFill/>
                          </a:ln>
                        </pic:spPr>
                      </pic:pic>
                    </a:graphicData>
                  </a:graphic>
                </wp:inline>
              </w:drawing>
            </w:r>
          </w:p>
        </w:tc>
      </w:tr>
      <w:tr w14:paraId="5FBE8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3B31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0EF5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医共体组织架构</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B556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254*100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0DE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付1.8亚克力uv雕刻另附1cmpvc+1.8亚克力两层）+卡盒</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061E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E4B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8E0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942975" cy="381000"/>
                  <wp:effectExtent l="0" t="0" r="9525" b="0"/>
                  <wp:docPr id="6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4" descr="IMG_279"/>
                          <pic:cNvPicPr>
                            <a:picLocks noChangeAspect="1"/>
                          </pic:cNvPicPr>
                        </pic:nvPicPr>
                        <pic:blipFill>
                          <a:blip r:embed="rId32"/>
                          <a:stretch>
                            <a:fillRect/>
                          </a:stretch>
                        </pic:blipFill>
                        <pic:spPr>
                          <a:xfrm>
                            <a:off x="0" y="0"/>
                            <a:ext cx="942975" cy="381000"/>
                          </a:xfrm>
                          <a:prstGeom prst="rect">
                            <a:avLst/>
                          </a:prstGeom>
                          <a:noFill/>
                          <a:ln w="9525">
                            <a:noFill/>
                          </a:ln>
                        </pic:spPr>
                      </pic:pic>
                    </a:graphicData>
                  </a:graphic>
                </wp:inline>
              </w:drawing>
            </w:r>
          </w:p>
        </w:tc>
      </w:tr>
      <w:tr w14:paraId="48191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BA80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825A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卡盒</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574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7.5*7.8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BE1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卡盒实厚1.8瓷白底+1.8透明亚克力双面</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EDB0">
            <w:pPr>
              <w:jc w:val="center"/>
              <w:rPr>
                <w:rFonts w:hint="eastAsia" w:ascii="宋体" w:hAnsi="宋体" w:eastAsia="宋体" w:cs="宋体"/>
                <w:i w:val="0"/>
                <w:iCs w:val="0"/>
                <w:color w:val="000000"/>
                <w:sz w:val="18"/>
                <w:szCs w:val="18"/>
                <w:highlight w:val="none"/>
                <w:u w:val="none"/>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CA0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DE18F">
            <w:pPr>
              <w:jc w:val="center"/>
              <w:rPr>
                <w:rFonts w:hint="eastAsia" w:ascii="宋体" w:hAnsi="宋体" w:eastAsia="宋体" w:cs="宋体"/>
                <w:i w:val="0"/>
                <w:iCs w:val="0"/>
                <w:color w:val="000000"/>
                <w:sz w:val="18"/>
                <w:szCs w:val="18"/>
                <w:highlight w:val="none"/>
                <w:u w:val="none"/>
              </w:rPr>
            </w:pPr>
          </w:p>
        </w:tc>
      </w:tr>
      <w:tr w14:paraId="43ED6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F72D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1A2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医共体核心</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CD32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388*115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2709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付1.8亚克力uv雕刻另附1cmpvc+1.8亚克力两层）</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8F4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D3AC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3D32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819150" cy="342900"/>
                  <wp:effectExtent l="0" t="0" r="0" b="0"/>
                  <wp:docPr id="61"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5" descr="IMG_280"/>
                          <pic:cNvPicPr>
                            <a:picLocks noChangeAspect="1"/>
                          </pic:cNvPicPr>
                        </pic:nvPicPr>
                        <pic:blipFill>
                          <a:blip r:embed="rId33"/>
                          <a:stretch>
                            <a:fillRect/>
                          </a:stretch>
                        </pic:blipFill>
                        <pic:spPr>
                          <a:xfrm>
                            <a:off x="0" y="0"/>
                            <a:ext cx="819150" cy="342900"/>
                          </a:xfrm>
                          <a:prstGeom prst="rect">
                            <a:avLst/>
                          </a:prstGeom>
                          <a:noFill/>
                          <a:ln w="9525">
                            <a:noFill/>
                          </a:ln>
                        </pic:spPr>
                      </pic:pic>
                    </a:graphicData>
                  </a:graphic>
                </wp:inline>
              </w:drawing>
            </w:r>
          </w:p>
        </w:tc>
      </w:tr>
      <w:tr w14:paraId="35955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809F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C0F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资源共享</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AC0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262*115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F81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1.25cmPVC 付1.8亚克力uv雕刻另附1cmpvc+1.8亚克力</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DF7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7987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7BE8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200150" cy="342900"/>
                  <wp:effectExtent l="0" t="0" r="0" b="0"/>
                  <wp:docPr id="12"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6" descr="IMG_281"/>
                          <pic:cNvPicPr>
                            <a:picLocks noChangeAspect="1"/>
                          </pic:cNvPicPr>
                        </pic:nvPicPr>
                        <pic:blipFill>
                          <a:blip r:embed="rId34"/>
                          <a:stretch>
                            <a:fillRect/>
                          </a:stretch>
                        </pic:blipFill>
                        <pic:spPr>
                          <a:xfrm>
                            <a:off x="0" y="0"/>
                            <a:ext cx="1200150" cy="342900"/>
                          </a:xfrm>
                          <a:prstGeom prst="rect">
                            <a:avLst/>
                          </a:prstGeom>
                          <a:noFill/>
                          <a:ln w="9525">
                            <a:noFill/>
                          </a:ln>
                        </pic:spPr>
                      </pic:pic>
                    </a:graphicData>
                  </a:graphic>
                </wp:inline>
              </w:drawing>
            </w:r>
          </w:p>
        </w:tc>
      </w:tr>
      <w:tr w14:paraId="3406B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18A9A5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急诊急救楼</w:t>
            </w:r>
          </w:p>
        </w:tc>
      </w:tr>
      <w:tr w14:paraId="098D1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3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C187A5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室外</w:t>
            </w:r>
          </w:p>
        </w:tc>
      </w:tr>
      <w:tr w14:paraId="5D7D1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0E3D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559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急诊急救中心</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82BB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300*300*6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9F1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亚克力发光字+焊架子</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FF68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969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E0C2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609600" cy="342900"/>
                  <wp:effectExtent l="0" t="0" r="0" b="0"/>
                  <wp:docPr id="3"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7" descr="IMG_282"/>
                          <pic:cNvPicPr>
                            <a:picLocks noChangeAspect="1"/>
                          </pic:cNvPicPr>
                        </pic:nvPicPr>
                        <pic:blipFill>
                          <a:blip r:embed="rId35"/>
                          <a:stretch>
                            <a:fillRect/>
                          </a:stretch>
                        </pic:blipFill>
                        <pic:spPr>
                          <a:xfrm>
                            <a:off x="0" y="0"/>
                            <a:ext cx="609600" cy="342900"/>
                          </a:xfrm>
                          <a:prstGeom prst="rect">
                            <a:avLst/>
                          </a:prstGeom>
                          <a:noFill/>
                          <a:ln w="9525">
                            <a:noFill/>
                          </a:ln>
                        </pic:spPr>
                      </pic:pic>
                    </a:graphicData>
                  </a:graphic>
                </wp:inline>
              </w:drawing>
            </w:r>
          </w:p>
        </w:tc>
      </w:tr>
      <w:tr w14:paraId="2D890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0F35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74A4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江宁援疆和标</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FC2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150*150*5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85B8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亚克力发光字+焊架子</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AF6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442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11.25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0DFD">
            <w:pPr>
              <w:jc w:val="center"/>
              <w:rPr>
                <w:rFonts w:hint="eastAsia" w:ascii="宋体" w:hAnsi="宋体" w:eastAsia="宋体" w:cs="宋体"/>
                <w:i w:val="0"/>
                <w:iCs w:val="0"/>
                <w:color w:val="000000"/>
                <w:sz w:val="18"/>
                <w:szCs w:val="18"/>
                <w:highlight w:val="none"/>
                <w:u w:val="none"/>
              </w:rPr>
            </w:pPr>
          </w:p>
        </w:tc>
      </w:tr>
      <w:tr w14:paraId="67E8C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BBF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77AD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立牌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7112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600*120*50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BE1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镀锌板烤漆内发光</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F13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8B6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2414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285750" cy="342900"/>
                  <wp:effectExtent l="0" t="0" r="0" b="0"/>
                  <wp:docPr id="13"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8" descr="IMG_283"/>
                          <pic:cNvPicPr>
                            <a:picLocks noChangeAspect="1"/>
                          </pic:cNvPicPr>
                        </pic:nvPicPr>
                        <pic:blipFill>
                          <a:blip r:embed="rId36"/>
                          <a:stretch>
                            <a:fillRect/>
                          </a:stretch>
                        </pic:blipFill>
                        <pic:spPr>
                          <a:xfrm>
                            <a:off x="0" y="0"/>
                            <a:ext cx="285750" cy="342900"/>
                          </a:xfrm>
                          <a:prstGeom prst="rect">
                            <a:avLst/>
                          </a:prstGeom>
                          <a:noFill/>
                          <a:ln w="9525">
                            <a:noFill/>
                          </a:ln>
                        </pic:spPr>
                      </pic:pic>
                    </a:graphicData>
                  </a:graphic>
                </wp:inline>
              </w:drawing>
            </w:r>
          </w:p>
        </w:tc>
      </w:tr>
      <w:tr w14:paraId="768C4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F49626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一楼</w:t>
            </w:r>
          </w:p>
        </w:tc>
      </w:tr>
      <w:tr w14:paraId="3D49A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D23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47D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8D5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2F63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镀锌板激光切割造型烤漆，内容镂空发光，内衬亚克力板</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C1E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5CF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0EA3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04825" cy="342900"/>
                  <wp:effectExtent l="0" t="0" r="9525" b="0"/>
                  <wp:docPr id="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 descr="IMG_284"/>
                          <pic:cNvPicPr>
                            <a:picLocks noChangeAspect="1"/>
                          </pic:cNvPicPr>
                        </pic:nvPicPr>
                        <pic:blipFill>
                          <a:blip r:embed="rId37"/>
                          <a:stretch>
                            <a:fillRect/>
                          </a:stretch>
                        </pic:blipFill>
                        <pic:spPr>
                          <a:xfrm>
                            <a:off x="0" y="0"/>
                            <a:ext cx="504825" cy="342900"/>
                          </a:xfrm>
                          <a:prstGeom prst="rect">
                            <a:avLst/>
                          </a:prstGeom>
                          <a:noFill/>
                          <a:ln w="9525">
                            <a:noFill/>
                          </a:ln>
                        </pic:spPr>
                      </pic:pic>
                    </a:graphicData>
                  </a:graphic>
                </wp:inline>
              </w:drawing>
            </w:r>
          </w:p>
        </w:tc>
      </w:tr>
      <w:tr w14:paraId="1A3AD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0B9E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4B4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4C7B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200*27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CF88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镀锌板激光切割造型烤漆，内容镂空发光，内衬亚克力板</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A162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8083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96A47">
            <w:pPr>
              <w:jc w:val="center"/>
              <w:rPr>
                <w:rFonts w:hint="eastAsia" w:ascii="宋体" w:hAnsi="宋体" w:eastAsia="宋体" w:cs="宋体"/>
                <w:i w:val="0"/>
                <w:iCs w:val="0"/>
                <w:color w:val="000000"/>
                <w:sz w:val="18"/>
                <w:szCs w:val="18"/>
                <w:highlight w:val="none"/>
                <w:u w:val="none"/>
              </w:rPr>
            </w:pPr>
          </w:p>
        </w:tc>
      </w:tr>
      <w:tr w14:paraId="15D8E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A63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2D54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B458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120*27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DF0B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镀锌板激光切割造型烤漆，内容镂空发光，内衬亚克力板</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0AA4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C0C5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FFBCE">
            <w:pPr>
              <w:jc w:val="center"/>
              <w:rPr>
                <w:rFonts w:hint="eastAsia" w:ascii="宋体" w:hAnsi="宋体" w:eastAsia="宋体" w:cs="宋体"/>
                <w:i w:val="0"/>
                <w:iCs w:val="0"/>
                <w:color w:val="000000"/>
                <w:sz w:val="18"/>
                <w:szCs w:val="18"/>
                <w:highlight w:val="none"/>
                <w:u w:val="none"/>
              </w:rPr>
            </w:pPr>
          </w:p>
        </w:tc>
      </w:tr>
      <w:tr w14:paraId="210AA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D6BD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454D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电梯索引</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BBE9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70*120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959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高密度PVC造型烤漆，内容丝印 磁吸</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DE6B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04A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7426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352425" cy="342900"/>
                  <wp:effectExtent l="0" t="0" r="9525" b="0"/>
                  <wp:docPr id="14"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descr="IMG_285"/>
                          <pic:cNvPicPr>
                            <a:picLocks noChangeAspect="1"/>
                          </pic:cNvPicPr>
                        </pic:nvPicPr>
                        <pic:blipFill>
                          <a:blip r:embed="rId38"/>
                          <a:stretch>
                            <a:fillRect/>
                          </a:stretch>
                        </pic:blipFill>
                        <pic:spPr>
                          <a:xfrm>
                            <a:off x="0" y="0"/>
                            <a:ext cx="352425" cy="342900"/>
                          </a:xfrm>
                          <a:prstGeom prst="rect">
                            <a:avLst/>
                          </a:prstGeom>
                          <a:noFill/>
                          <a:ln w="9525">
                            <a:noFill/>
                          </a:ln>
                        </pic:spPr>
                      </pic:pic>
                    </a:graphicData>
                  </a:graphic>
                </wp:inline>
              </w:drawing>
            </w:r>
          </w:p>
        </w:tc>
      </w:tr>
      <w:tr w14:paraId="5C7B6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43FF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9B25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电梯停靠</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70EF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751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1cmPVC覆3.0亚克力UV</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0FC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990B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015E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266825" cy="323850"/>
                  <wp:effectExtent l="0" t="0" r="9525" b="0"/>
                  <wp:docPr id="6"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 descr="IMG_286"/>
                          <pic:cNvPicPr>
                            <a:picLocks noChangeAspect="1"/>
                          </pic:cNvPicPr>
                        </pic:nvPicPr>
                        <pic:blipFill>
                          <a:blip r:embed="rId39"/>
                          <a:stretch>
                            <a:fillRect/>
                          </a:stretch>
                        </pic:blipFill>
                        <pic:spPr>
                          <a:xfrm>
                            <a:off x="0" y="0"/>
                            <a:ext cx="1266825" cy="323850"/>
                          </a:xfrm>
                          <a:prstGeom prst="rect">
                            <a:avLst/>
                          </a:prstGeom>
                          <a:noFill/>
                          <a:ln w="9525">
                            <a:noFill/>
                          </a:ln>
                        </pic:spPr>
                      </pic:pic>
                    </a:graphicData>
                  </a:graphic>
                </wp:inline>
              </w:drawing>
            </w:r>
          </w:p>
        </w:tc>
      </w:tr>
      <w:tr w14:paraId="14B26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EF1D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5490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楼层索引</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CDE2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489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1cmPVC覆3.0亚克力UV</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E561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8C4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CA8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466725" cy="342900"/>
                  <wp:effectExtent l="0" t="0" r="9525" b="0"/>
                  <wp:docPr id="8"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2" descr="IMG_287"/>
                          <pic:cNvPicPr>
                            <a:picLocks noChangeAspect="1"/>
                          </pic:cNvPicPr>
                        </pic:nvPicPr>
                        <pic:blipFill>
                          <a:blip r:embed="rId40"/>
                          <a:stretch>
                            <a:fillRect/>
                          </a:stretch>
                        </pic:blipFill>
                        <pic:spPr>
                          <a:xfrm>
                            <a:off x="0" y="0"/>
                            <a:ext cx="466725" cy="342900"/>
                          </a:xfrm>
                          <a:prstGeom prst="rect">
                            <a:avLst/>
                          </a:prstGeom>
                          <a:noFill/>
                          <a:ln w="9525">
                            <a:noFill/>
                          </a:ln>
                        </pic:spPr>
                      </pic:pic>
                    </a:graphicData>
                  </a:graphic>
                </wp:inline>
              </w:drawing>
            </w:r>
          </w:p>
        </w:tc>
      </w:tr>
      <w:tr w14:paraId="339B6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9110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1C7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医务人员公示栏</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7F93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120*300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26A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镀锌板折弯烤漆内容丝印</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9863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F81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71DE">
            <w:pPr>
              <w:jc w:val="center"/>
              <w:rPr>
                <w:rFonts w:hint="eastAsia" w:ascii="宋体" w:hAnsi="宋体" w:eastAsia="宋体" w:cs="宋体"/>
                <w:i w:val="0"/>
                <w:iCs w:val="0"/>
                <w:color w:val="000000"/>
                <w:sz w:val="18"/>
                <w:szCs w:val="18"/>
                <w:highlight w:val="none"/>
                <w:u w:val="none"/>
              </w:rPr>
            </w:pPr>
          </w:p>
        </w:tc>
      </w:tr>
      <w:tr w14:paraId="0D71F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B1F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A2E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宣传栏</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14C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120*240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D9EA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镀锌板折弯烤漆内容丝印</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82CC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F7E1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C96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33400" cy="342900"/>
                  <wp:effectExtent l="0" t="0" r="0" b="0"/>
                  <wp:docPr id="7"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descr="IMG_288"/>
                          <pic:cNvPicPr>
                            <a:picLocks noChangeAspect="1"/>
                          </pic:cNvPicPr>
                        </pic:nvPicPr>
                        <pic:blipFill>
                          <a:blip r:embed="rId41"/>
                          <a:stretch>
                            <a:fillRect/>
                          </a:stretch>
                        </pic:blipFill>
                        <pic:spPr>
                          <a:xfrm>
                            <a:off x="0" y="0"/>
                            <a:ext cx="533400" cy="342900"/>
                          </a:xfrm>
                          <a:prstGeom prst="rect">
                            <a:avLst/>
                          </a:prstGeom>
                          <a:noFill/>
                          <a:ln w="9525">
                            <a:noFill/>
                          </a:ln>
                        </pic:spPr>
                      </pic:pic>
                    </a:graphicData>
                  </a:graphic>
                </wp:inline>
              </w:drawing>
            </w:r>
          </w:p>
        </w:tc>
      </w:tr>
      <w:tr w14:paraId="5CF92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45AB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4EA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C976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30*15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2F32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1cm亚克力双面烤漆+镀锌板底座</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B96C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AFE6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520C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23875" cy="342900"/>
                  <wp:effectExtent l="0" t="0" r="9525" b="0"/>
                  <wp:docPr id="10"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4" descr="IMG_289"/>
                          <pic:cNvPicPr>
                            <a:picLocks noChangeAspect="1"/>
                          </pic:cNvPicPr>
                        </pic:nvPicPr>
                        <pic:blipFill>
                          <a:blip r:embed="rId42"/>
                          <a:stretch>
                            <a:fillRect/>
                          </a:stretch>
                        </pic:blipFill>
                        <pic:spPr>
                          <a:xfrm>
                            <a:off x="0" y="0"/>
                            <a:ext cx="523875" cy="342900"/>
                          </a:xfrm>
                          <a:prstGeom prst="rect">
                            <a:avLst/>
                          </a:prstGeom>
                          <a:noFill/>
                          <a:ln w="9525">
                            <a:noFill/>
                          </a:ln>
                        </pic:spPr>
                      </pic:pic>
                    </a:graphicData>
                  </a:graphic>
                </wp:inline>
              </w:drawing>
            </w:r>
          </w:p>
        </w:tc>
      </w:tr>
      <w:tr w14:paraId="1DB7D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EDC4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912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卫生间吊牌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D40D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2DEE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镀锌板激光切割造型烤漆，内容镂空发光，内衬亚克力板</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BB6F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C5CF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6008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390525" cy="342900"/>
                  <wp:effectExtent l="0" t="0" r="9525" b="0"/>
                  <wp:docPr id="11"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5" descr="IMG_290"/>
                          <pic:cNvPicPr>
                            <a:picLocks noChangeAspect="1"/>
                          </pic:cNvPicPr>
                        </pic:nvPicPr>
                        <pic:blipFill>
                          <a:blip r:embed="rId43"/>
                          <a:stretch>
                            <a:fillRect/>
                          </a:stretch>
                        </pic:blipFill>
                        <pic:spPr>
                          <a:xfrm>
                            <a:off x="0" y="0"/>
                            <a:ext cx="390525" cy="342900"/>
                          </a:xfrm>
                          <a:prstGeom prst="rect">
                            <a:avLst/>
                          </a:prstGeom>
                          <a:noFill/>
                          <a:ln w="9525">
                            <a:noFill/>
                          </a:ln>
                        </pic:spPr>
                      </pic:pic>
                    </a:graphicData>
                  </a:graphic>
                </wp:inline>
              </w:drawing>
            </w:r>
          </w:p>
        </w:tc>
      </w:tr>
      <w:tr w14:paraId="75F94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2BE5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373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地贴</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BF966">
            <w:pPr>
              <w:jc w:val="center"/>
              <w:rPr>
                <w:rFonts w:hint="eastAsia" w:ascii="宋体" w:hAnsi="宋体" w:eastAsia="宋体" w:cs="宋体"/>
                <w:i w:val="0"/>
                <w:iCs w:val="0"/>
                <w:color w:val="000000"/>
                <w:sz w:val="18"/>
                <w:szCs w:val="18"/>
                <w:highlight w:val="none"/>
                <w:u w:val="none"/>
              </w:rPr>
            </w:pP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C32D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车贴付地板膜</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243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540E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A591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295275" cy="342900"/>
                  <wp:effectExtent l="0" t="0" r="9525" b="0"/>
                  <wp:docPr id="16"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6" descr="IMG_291"/>
                          <pic:cNvPicPr>
                            <a:picLocks noChangeAspect="1"/>
                          </pic:cNvPicPr>
                        </pic:nvPicPr>
                        <pic:blipFill>
                          <a:blip r:embed="rId44"/>
                          <a:stretch>
                            <a:fillRect/>
                          </a:stretch>
                        </pic:blipFill>
                        <pic:spPr>
                          <a:xfrm>
                            <a:off x="0" y="0"/>
                            <a:ext cx="295275" cy="342900"/>
                          </a:xfrm>
                          <a:prstGeom prst="rect">
                            <a:avLst/>
                          </a:prstGeom>
                          <a:noFill/>
                          <a:ln w="9525">
                            <a:noFill/>
                          </a:ln>
                        </pic:spPr>
                      </pic:pic>
                    </a:graphicData>
                  </a:graphic>
                </wp:inline>
              </w:drawing>
            </w:r>
          </w:p>
        </w:tc>
      </w:tr>
      <w:tr w14:paraId="2EB05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74AF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BA7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文化宣传和制度</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66BAB">
            <w:pPr>
              <w:jc w:val="center"/>
              <w:rPr>
                <w:rFonts w:hint="eastAsia" w:ascii="宋体" w:hAnsi="宋体" w:eastAsia="宋体" w:cs="宋体"/>
                <w:i w:val="0"/>
                <w:iCs w:val="0"/>
                <w:color w:val="000000"/>
                <w:sz w:val="18"/>
                <w:szCs w:val="18"/>
                <w:highlight w:val="none"/>
                <w:u w:val="none"/>
              </w:rPr>
            </w:pP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F2B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2cmPVC+亚克力uv</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D318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6A32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39B0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04825" cy="342900"/>
                  <wp:effectExtent l="0" t="0" r="9525" b="0"/>
                  <wp:docPr id="15"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 descr="IMG_292"/>
                          <pic:cNvPicPr>
                            <a:picLocks noChangeAspect="1"/>
                          </pic:cNvPicPr>
                        </pic:nvPicPr>
                        <pic:blipFill>
                          <a:blip r:embed="rId45"/>
                          <a:stretch>
                            <a:fillRect/>
                          </a:stretch>
                        </pic:blipFill>
                        <pic:spPr>
                          <a:xfrm>
                            <a:off x="0" y="0"/>
                            <a:ext cx="504825" cy="342900"/>
                          </a:xfrm>
                          <a:prstGeom prst="rect">
                            <a:avLst/>
                          </a:prstGeom>
                          <a:noFill/>
                          <a:ln w="9525">
                            <a:noFill/>
                          </a:ln>
                        </pic:spPr>
                      </pic:pic>
                    </a:graphicData>
                  </a:graphic>
                </wp:inline>
              </w:drawing>
            </w:r>
          </w:p>
        </w:tc>
      </w:tr>
      <w:tr w14:paraId="2BEA6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3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D8F452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二楼</w:t>
            </w:r>
          </w:p>
        </w:tc>
      </w:tr>
      <w:tr w14:paraId="15B08A04">
        <w:tblPrEx>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833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16A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E6B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9C4B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镀锌板激光切割造型烤漆，内容镂空发光，内衬亚克力板</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66E3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A75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73E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04825" cy="342900"/>
                  <wp:effectExtent l="0" t="0" r="9525" b="0"/>
                  <wp:docPr id="20"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descr="IMG_293"/>
                          <pic:cNvPicPr>
                            <a:picLocks noChangeAspect="1"/>
                          </pic:cNvPicPr>
                        </pic:nvPicPr>
                        <pic:blipFill>
                          <a:blip r:embed="rId37"/>
                          <a:stretch>
                            <a:fillRect/>
                          </a:stretch>
                        </pic:blipFill>
                        <pic:spPr>
                          <a:xfrm>
                            <a:off x="0" y="0"/>
                            <a:ext cx="504825" cy="342900"/>
                          </a:xfrm>
                          <a:prstGeom prst="rect">
                            <a:avLst/>
                          </a:prstGeom>
                          <a:noFill/>
                          <a:ln w="9525">
                            <a:noFill/>
                          </a:ln>
                        </pic:spPr>
                      </pic:pic>
                    </a:graphicData>
                  </a:graphic>
                </wp:inline>
              </w:drawing>
            </w:r>
          </w:p>
        </w:tc>
      </w:tr>
      <w:tr w14:paraId="49EF6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B455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24C6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8FD8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200*27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1C7E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镀锌板激光切割造型烤漆，内容镂空发光，内衬亚克力板</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FF1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675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44D8">
            <w:pPr>
              <w:jc w:val="center"/>
              <w:rPr>
                <w:rFonts w:hint="eastAsia" w:ascii="宋体" w:hAnsi="宋体" w:eastAsia="宋体" w:cs="宋体"/>
                <w:i w:val="0"/>
                <w:iCs w:val="0"/>
                <w:color w:val="000000"/>
                <w:sz w:val="18"/>
                <w:szCs w:val="18"/>
                <w:highlight w:val="none"/>
                <w:u w:val="none"/>
              </w:rPr>
            </w:pPr>
          </w:p>
        </w:tc>
      </w:tr>
      <w:tr w14:paraId="017A9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47B9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C4FB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电梯索引</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2C06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70*120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B030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高密度PVC造型烤漆，内容丝印 磁吸</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D9A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AA2F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AB32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352425" cy="342900"/>
                  <wp:effectExtent l="0" t="0" r="9525" b="0"/>
                  <wp:docPr id="25"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9" descr="IMG_294"/>
                          <pic:cNvPicPr>
                            <a:picLocks noChangeAspect="1"/>
                          </pic:cNvPicPr>
                        </pic:nvPicPr>
                        <pic:blipFill>
                          <a:blip r:embed="rId38"/>
                          <a:stretch>
                            <a:fillRect/>
                          </a:stretch>
                        </pic:blipFill>
                        <pic:spPr>
                          <a:xfrm>
                            <a:off x="0" y="0"/>
                            <a:ext cx="352425" cy="342900"/>
                          </a:xfrm>
                          <a:prstGeom prst="rect">
                            <a:avLst/>
                          </a:prstGeom>
                          <a:noFill/>
                          <a:ln w="9525">
                            <a:noFill/>
                          </a:ln>
                        </pic:spPr>
                      </pic:pic>
                    </a:graphicData>
                  </a:graphic>
                </wp:inline>
              </w:drawing>
            </w:r>
          </w:p>
        </w:tc>
      </w:tr>
      <w:tr w14:paraId="5930D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AF76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DB8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电梯停靠</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891A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32A4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1cmPVC覆3.0亚克力UV</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A667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83D8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3046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266825" cy="323850"/>
                  <wp:effectExtent l="0" t="0" r="9525" b="0"/>
                  <wp:docPr id="26"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0" descr="IMG_295"/>
                          <pic:cNvPicPr>
                            <a:picLocks noChangeAspect="1"/>
                          </pic:cNvPicPr>
                        </pic:nvPicPr>
                        <pic:blipFill>
                          <a:blip r:embed="rId39"/>
                          <a:stretch>
                            <a:fillRect/>
                          </a:stretch>
                        </pic:blipFill>
                        <pic:spPr>
                          <a:xfrm>
                            <a:off x="0" y="0"/>
                            <a:ext cx="1266825" cy="323850"/>
                          </a:xfrm>
                          <a:prstGeom prst="rect">
                            <a:avLst/>
                          </a:prstGeom>
                          <a:noFill/>
                          <a:ln w="9525">
                            <a:noFill/>
                          </a:ln>
                        </pic:spPr>
                      </pic:pic>
                    </a:graphicData>
                  </a:graphic>
                </wp:inline>
              </w:drawing>
            </w:r>
          </w:p>
        </w:tc>
      </w:tr>
      <w:tr w14:paraId="5EC73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D98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554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楼层索引</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4685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7935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1cmPVC覆3.0亚克力UV</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F418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25F2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659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466725" cy="342900"/>
                  <wp:effectExtent l="0" t="0" r="9525" b="0"/>
                  <wp:docPr id="22"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1" descr="IMG_296"/>
                          <pic:cNvPicPr>
                            <a:picLocks noChangeAspect="1"/>
                          </pic:cNvPicPr>
                        </pic:nvPicPr>
                        <pic:blipFill>
                          <a:blip r:embed="rId40"/>
                          <a:stretch>
                            <a:fillRect/>
                          </a:stretch>
                        </pic:blipFill>
                        <pic:spPr>
                          <a:xfrm>
                            <a:off x="0" y="0"/>
                            <a:ext cx="466725" cy="342900"/>
                          </a:xfrm>
                          <a:prstGeom prst="rect">
                            <a:avLst/>
                          </a:prstGeom>
                          <a:noFill/>
                          <a:ln w="9525">
                            <a:noFill/>
                          </a:ln>
                        </pic:spPr>
                      </pic:pic>
                    </a:graphicData>
                  </a:graphic>
                </wp:inline>
              </w:drawing>
            </w:r>
          </w:p>
        </w:tc>
      </w:tr>
      <w:tr w14:paraId="27954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48DA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8AA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B98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30*15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AA1A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镀锌板烤漆</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6092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BD6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0DAA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23875" cy="342900"/>
                  <wp:effectExtent l="0" t="0" r="9525" b="0"/>
                  <wp:docPr id="21"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2" descr="IMG_297"/>
                          <pic:cNvPicPr>
                            <a:picLocks noChangeAspect="1"/>
                          </pic:cNvPicPr>
                        </pic:nvPicPr>
                        <pic:blipFill>
                          <a:blip r:embed="rId42"/>
                          <a:stretch>
                            <a:fillRect/>
                          </a:stretch>
                        </pic:blipFill>
                        <pic:spPr>
                          <a:xfrm>
                            <a:off x="0" y="0"/>
                            <a:ext cx="523875" cy="342900"/>
                          </a:xfrm>
                          <a:prstGeom prst="rect">
                            <a:avLst/>
                          </a:prstGeom>
                          <a:noFill/>
                          <a:ln w="9525">
                            <a:noFill/>
                          </a:ln>
                        </pic:spPr>
                      </pic:pic>
                    </a:graphicData>
                  </a:graphic>
                </wp:inline>
              </w:drawing>
            </w:r>
          </w:p>
        </w:tc>
      </w:tr>
      <w:tr w14:paraId="27F9D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17F7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6DBA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卫生间吊牌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231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C0C2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镀锌板激光切割造型烤漆，内容镂空发光，内衬亚克力板</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AF8E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5949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0877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390525" cy="342900"/>
                  <wp:effectExtent l="0" t="0" r="9525" b="0"/>
                  <wp:docPr id="23"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3" descr="IMG_298"/>
                          <pic:cNvPicPr>
                            <a:picLocks noChangeAspect="1"/>
                          </pic:cNvPicPr>
                        </pic:nvPicPr>
                        <pic:blipFill>
                          <a:blip r:embed="rId43"/>
                          <a:stretch>
                            <a:fillRect/>
                          </a:stretch>
                        </pic:blipFill>
                        <pic:spPr>
                          <a:xfrm>
                            <a:off x="0" y="0"/>
                            <a:ext cx="390525" cy="342900"/>
                          </a:xfrm>
                          <a:prstGeom prst="rect">
                            <a:avLst/>
                          </a:prstGeom>
                          <a:noFill/>
                          <a:ln w="9525">
                            <a:noFill/>
                          </a:ln>
                        </pic:spPr>
                      </pic:pic>
                    </a:graphicData>
                  </a:graphic>
                </wp:inline>
              </w:drawing>
            </w:r>
          </w:p>
        </w:tc>
      </w:tr>
      <w:tr w14:paraId="0DCA0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4CB5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387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宣传栏</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5F9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120*240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0DE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镀锌板折弯烤漆内容丝印</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6A99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B97C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5F6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33400" cy="342900"/>
                  <wp:effectExtent l="0" t="0" r="0" b="0"/>
                  <wp:docPr id="24"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4" descr="IMG_299"/>
                          <pic:cNvPicPr>
                            <a:picLocks noChangeAspect="1"/>
                          </pic:cNvPicPr>
                        </pic:nvPicPr>
                        <pic:blipFill>
                          <a:blip r:embed="rId41"/>
                          <a:stretch>
                            <a:fillRect/>
                          </a:stretch>
                        </pic:blipFill>
                        <pic:spPr>
                          <a:xfrm>
                            <a:off x="0" y="0"/>
                            <a:ext cx="533400" cy="342900"/>
                          </a:xfrm>
                          <a:prstGeom prst="rect">
                            <a:avLst/>
                          </a:prstGeom>
                          <a:noFill/>
                          <a:ln w="9525">
                            <a:noFill/>
                          </a:ln>
                        </pic:spPr>
                      </pic:pic>
                    </a:graphicData>
                  </a:graphic>
                </wp:inline>
              </w:drawing>
            </w:r>
          </w:p>
        </w:tc>
      </w:tr>
      <w:tr w14:paraId="5E30E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F1D5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6702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地贴</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45E36">
            <w:pPr>
              <w:jc w:val="center"/>
              <w:rPr>
                <w:rFonts w:hint="eastAsia" w:ascii="宋体" w:hAnsi="宋体" w:eastAsia="宋体" w:cs="宋体"/>
                <w:i w:val="0"/>
                <w:iCs w:val="0"/>
                <w:color w:val="000000"/>
                <w:sz w:val="18"/>
                <w:szCs w:val="18"/>
                <w:highlight w:val="none"/>
                <w:u w:val="none"/>
              </w:rPr>
            </w:pP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F34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车贴付地板膜</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321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D199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3B6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295275" cy="342900"/>
                  <wp:effectExtent l="0" t="0" r="9525" b="0"/>
                  <wp:docPr id="29"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5" descr="IMG_300"/>
                          <pic:cNvPicPr>
                            <a:picLocks noChangeAspect="1"/>
                          </pic:cNvPicPr>
                        </pic:nvPicPr>
                        <pic:blipFill>
                          <a:blip r:embed="rId44"/>
                          <a:stretch>
                            <a:fillRect/>
                          </a:stretch>
                        </pic:blipFill>
                        <pic:spPr>
                          <a:xfrm>
                            <a:off x="0" y="0"/>
                            <a:ext cx="295275" cy="342900"/>
                          </a:xfrm>
                          <a:prstGeom prst="rect">
                            <a:avLst/>
                          </a:prstGeom>
                          <a:noFill/>
                          <a:ln w="9525">
                            <a:noFill/>
                          </a:ln>
                        </pic:spPr>
                      </pic:pic>
                    </a:graphicData>
                  </a:graphic>
                </wp:inline>
              </w:drawing>
            </w:r>
          </w:p>
        </w:tc>
      </w:tr>
      <w:tr w14:paraId="55ED3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4EFC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8DD7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文化宣传和制度</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05498">
            <w:pPr>
              <w:jc w:val="center"/>
              <w:rPr>
                <w:rFonts w:hint="eastAsia" w:ascii="宋体" w:hAnsi="宋体" w:eastAsia="宋体" w:cs="宋体"/>
                <w:i w:val="0"/>
                <w:iCs w:val="0"/>
                <w:color w:val="000000"/>
                <w:sz w:val="18"/>
                <w:szCs w:val="18"/>
                <w:highlight w:val="none"/>
                <w:u w:val="none"/>
              </w:rPr>
            </w:pP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878E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2cmPVC+亚克力uv</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DD60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C87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67E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04825" cy="342900"/>
                  <wp:effectExtent l="0" t="0" r="9525" b="0"/>
                  <wp:docPr id="27"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6" descr="IMG_301"/>
                          <pic:cNvPicPr>
                            <a:picLocks noChangeAspect="1"/>
                          </pic:cNvPicPr>
                        </pic:nvPicPr>
                        <pic:blipFill>
                          <a:blip r:embed="rId45"/>
                          <a:stretch>
                            <a:fillRect/>
                          </a:stretch>
                        </pic:blipFill>
                        <pic:spPr>
                          <a:xfrm>
                            <a:off x="0" y="0"/>
                            <a:ext cx="504825" cy="342900"/>
                          </a:xfrm>
                          <a:prstGeom prst="rect">
                            <a:avLst/>
                          </a:prstGeom>
                          <a:noFill/>
                          <a:ln w="9525">
                            <a:noFill/>
                          </a:ln>
                        </pic:spPr>
                      </pic:pic>
                    </a:graphicData>
                  </a:graphic>
                </wp:inline>
              </w:drawing>
            </w:r>
          </w:p>
        </w:tc>
      </w:tr>
      <w:tr w14:paraId="01C46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3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4ED012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三楼</w:t>
            </w:r>
          </w:p>
        </w:tc>
      </w:tr>
      <w:tr w14:paraId="27F30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A6D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409D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506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023B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镀锌板激光切割造型烤漆，内容镂空发光，内衬亚克力板</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BAD8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09A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15B8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04825" cy="342900"/>
                  <wp:effectExtent l="0" t="0" r="9525" b="0"/>
                  <wp:docPr id="28"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7" descr="IMG_302"/>
                          <pic:cNvPicPr>
                            <a:picLocks noChangeAspect="1"/>
                          </pic:cNvPicPr>
                        </pic:nvPicPr>
                        <pic:blipFill>
                          <a:blip r:embed="rId37"/>
                          <a:stretch>
                            <a:fillRect/>
                          </a:stretch>
                        </pic:blipFill>
                        <pic:spPr>
                          <a:xfrm>
                            <a:off x="0" y="0"/>
                            <a:ext cx="504825" cy="342900"/>
                          </a:xfrm>
                          <a:prstGeom prst="rect">
                            <a:avLst/>
                          </a:prstGeom>
                          <a:noFill/>
                          <a:ln w="9525">
                            <a:noFill/>
                          </a:ln>
                        </pic:spPr>
                      </pic:pic>
                    </a:graphicData>
                  </a:graphic>
                </wp:inline>
              </w:drawing>
            </w:r>
          </w:p>
        </w:tc>
      </w:tr>
      <w:tr w14:paraId="71B79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F43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9981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5FE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200*27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C591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镀锌板激光切割造型烤漆，内容镂空发光，内衬亚克力板</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0B42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C68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EA5FA">
            <w:pPr>
              <w:jc w:val="center"/>
              <w:rPr>
                <w:rFonts w:hint="eastAsia" w:ascii="宋体" w:hAnsi="宋体" w:eastAsia="宋体" w:cs="宋体"/>
                <w:i w:val="0"/>
                <w:iCs w:val="0"/>
                <w:color w:val="000000"/>
                <w:sz w:val="18"/>
                <w:szCs w:val="18"/>
                <w:highlight w:val="none"/>
                <w:u w:val="none"/>
              </w:rPr>
            </w:pPr>
          </w:p>
        </w:tc>
      </w:tr>
      <w:tr w14:paraId="0F311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35C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0AD8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电梯索引</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145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70*120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0A1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高密度PVC造型烤漆，内容丝印 磁吸</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CF6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5FE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E1E1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352425" cy="342900"/>
                  <wp:effectExtent l="0" t="0" r="9525" b="0"/>
                  <wp:docPr id="6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8" descr="IMG_303"/>
                          <pic:cNvPicPr>
                            <a:picLocks noChangeAspect="1"/>
                          </pic:cNvPicPr>
                        </pic:nvPicPr>
                        <pic:blipFill>
                          <a:blip r:embed="rId38"/>
                          <a:stretch>
                            <a:fillRect/>
                          </a:stretch>
                        </pic:blipFill>
                        <pic:spPr>
                          <a:xfrm>
                            <a:off x="0" y="0"/>
                            <a:ext cx="352425" cy="342900"/>
                          </a:xfrm>
                          <a:prstGeom prst="rect">
                            <a:avLst/>
                          </a:prstGeom>
                          <a:noFill/>
                          <a:ln w="9525">
                            <a:noFill/>
                          </a:ln>
                        </pic:spPr>
                      </pic:pic>
                    </a:graphicData>
                  </a:graphic>
                </wp:inline>
              </w:drawing>
            </w:r>
          </w:p>
        </w:tc>
      </w:tr>
      <w:tr w14:paraId="371D1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B0E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094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电梯停靠</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E928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EF8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1cmPVC覆3.0亚克力UV</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5603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EC69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E56A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266825" cy="323850"/>
                  <wp:effectExtent l="0" t="0" r="9525" b="0"/>
                  <wp:docPr id="67"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9" descr="IMG_304"/>
                          <pic:cNvPicPr>
                            <a:picLocks noChangeAspect="1"/>
                          </pic:cNvPicPr>
                        </pic:nvPicPr>
                        <pic:blipFill>
                          <a:blip r:embed="rId39"/>
                          <a:stretch>
                            <a:fillRect/>
                          </a:stretch>
                        </pic:blipFill>
                        <pic:spPr>
                          <a:xfrm>
                            <a:off x="0" y="0"/>
                            <a:ext cx="1266825" cy="323850"/>
                          </a:xfrm>
                          <a:prstGeom prst="rect">
                            <a:avLst/>
                          </a:prstGeom>
                          <a:noFill/>
                          <a:ln w="9525">
                            <a:noFill/>
                          </a:ln>
                        </pic:spPr>
                      </pic:pic>
                    </a:graphicData>
                  </a:graphic>
                </wp:inline>
              </w:drawing>
            </w:r>
          </w:p>
        </w:tc>
      </w:tr>
      <w:tr w14:paraId="341A3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5435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842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楼层索引</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39E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12C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1cmPVC覆3.0亚克力UV</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7155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A3D1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5FAD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466725" cy="342900"/>
                  <wp:effectExtent l="0" t="0" r="9525" b="0"/>
                  <wp:docPr id="69"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0" descr="IMG_305"/>
                          <pic:cNvPicPr>
                            <a:picLocks noChangeAspect="1"/>
                          </pic:cNvPicPr>
                        </pic:nvPicPr>
                        <pic:blipFill>
                          <a:blip r:embed="rId40"/>
                          <a:stretch>
                            <a:fillRect/>
                          </a:stretch>
                        </pic:blipFill>
                        <pic:spPr>
                          <a:xfrm>
                            <a:off x="0" y="0"/>
                            <a:ext cx="466725" cy="342900"/>
                          </a:xfrm>
                          <a:prstGeom prst="rect">
                            <a:avLst/>
                          </a:prstGeom>
                          <a:noFill/>
                          <a:ln w="9525">
                            <a:noFill/>
                          </a:ln>
                        </pic:spPr>
                      </pic:pic>
                    </a:graphicData>
                  </a:graphic>
                </wp:inline>
              </w:drawing>
            </w:r>
          </w:p>
        </w:tc>
      </w:tr>
      <w:tr w14:paraId="5E99A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3F62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416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AB96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30*15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458A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镀锌板烤漆</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8A1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66EE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DEB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23875" cy="342900"/>
                  <wp:effectExtent l="0" t="0" r="9525" b="0"/>
                  <wp:docPr id="70"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1" descr="IMG_306"/>
                          <pic:cNvPicPr>
                            <a:picLocks noChangeAspect="1"/>
                          </pic:cNvPicPr>
                        </pic:nvPicPr>
                        <pic:blipFill>
                          <a:blip r:embed="rId42"/>
                          <a:stretch>
                            <a:fillRect/>
                          </a:stretch>
                        </pic:blipFill>
                        <pic:spPr>
                          <a:xfrm>
                            <a:off x="0" y="0"/>
                            <a:ext cx="523875" cy="342900"/>
                          </a:xfrm>
                          <a:prstGeom prst="rect">
                            <a:avLst/>
                          </a:prstGeom>
                          <a:noFill/>
                          <a:ln w="9525">
                            <a:noFill/>
                          </a:ln>
                        </pic:spPr>
                      </pic:pic>
                    </a:graphicData>
                  </a:graphic>
                </wp:inline>
              </w:drawing>
            </w:r>
          </w:p>
        </w:tc>
      </w:tr>
      <w:tr w14:paraId="79199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F616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A78B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卫生间吊牌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976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1B54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镀锌板激光切割造型烤漆，内容镂空发光，内衬亚克力板</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CEAD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25F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523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390525" cy="342900"/>
                  <wp:effectExtent l="0" t="0" r="9525" b="0"/>
                  <wp:docPr id="66"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2" descr="IMG_307"/>
                          <pic:cNvPicPr>
                            <a:picLocks noChangeAspect="1"/>
                          </pic:cNvPicPr>
                        </pic:nvPicPr>
                        <pic:blipFill>
                          <a:blip r:embed="rId43"/>
                          <a:stretch>
                            <a:fillRect/>
                          </a:stretch>
                        </pic:blipFill>
                        <pic:spPr>
                          <a:xfrm>
                            <a:off x="0" y="0"/>
                            <a:ext cx="390525" cy="342900"/>
                          </a:xfrm>
                          <a:prstGeom prst="rect">
                            <a:avLst/>
                          </a:prstGeom>
                          <a:noFill/>
                          <a:ln w="9525">
                            <a:noFill/>
                          </a:ln>
                        </pic:spPr>
                      </pic:pic>
                    </a:graphicData>
                  </a:graphic>
                </wp:inline>
              </w:drawing>
            </w:r>
          </w:p>
        </w:tc>
      </w:tr>
      <w:tr w14:paraId="72565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0B18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E7D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地贴</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6ACB0">
            <w:pPr>
              <w:jc w:val="center"/>
              <w:rPr>
                <w:rFonts w:hint="eastAsia" w:ascii="宋体" w:hAnsi="宋体" w:eastAsia="宋体" w:cs="宋体"/>
                <w:i w:val="0"/>
                <w:iCs w:val="0"/>
                <w:color w:val="000000"/>
                <w:sz w:val="18"/>
                <w:szCs w:val="18"/>
                <w:highlight w:val="none"/>
                <w:u w:val="none"/>
              </w:rPr>
            </w:pP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5ECF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车贴付地板膜</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19C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DE32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D2BB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295275" cy="342900"/>
                  <wp:effectExtent l="0" t="0" r="9525" b="0"/>
                  <wp:docPr id="64"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3" descr="IMG_308"/>
                          <pic:cNvPicPr>
                            <a:picLocks noChangeAspect="1"/>
                          </pic:cNvPicPr>
                        </pic:nvPicPr>
                        <pic:blipFill>
                          <a:blip r:embed="rId44"/>
                          <a:stretch>
                            <a:fillRect/>
                          </a:stretch>
                        </pic:blipFill>
                        <pic:spPr>
                          <a:xfrm>
                            <a:off x="0" y="0"/>
                            <a:ext cx="295275" cy="342900"/>
                          </a:xfrm>
                          <a:prstGeom prst="rect">
                            <a:avLst/>
                          </a:prstGeom>
                          <a:noFill/>
                          <a:ln w="9525">
                            <a:noFill/>
                          </a:ln>
                        </pic:spPr>
                      </pic:pic>
                    </a:graphicData>
                  </a:graphic>
                </wp:inline>
              </w:drawing>
            </w:r>
          </w:p>
        </w:tc>
      </w:tr>
      <w:tr w14:paraId="5686C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CC4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6260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文化宣传和制度</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F1837">
            <w:pPr>
              <w:jc w:val="center"/>
              <w:rPr>
                <w:rFonts w:hint="eastAsia" w:ascii="宋体" w:hAnsi="宋体" w:eastAsia="宋体" w:cs="宋体"/>
                <w:i w:val="0"/>
                <w:iCs w:val="0"/>
                <w:color w:val="000000"/>
                <w:sz w:val="18"/>
                <w:szCs w:val="18"/>
                <w:highlight w:val="none"/>
                <w:u w:val="none"/>
              </w:rPr>
            </w:pP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9951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2cmPVC+亚克力uv</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ADC9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F857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19B7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04825" cy="342900"/>
                  <wp:effectExtent l="0" t="0" r="9525" b="0"/>
                  <wp:docPr id="65"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4" descr="IMG_309"/>
                          <pic:cNvPicPr>
                            <a:picLocks noChangeAspect="1"/>
                          </pic:cNvPicPr>
                        </pic:nvPicPr>
                        <pic:blipFill>
                          <a:blip r:embed="rId45"/>
                          <a:stretch>
                            <a:fillRect/>
                          </a:stretch>
                        </pic:blipFill>
                        <pic:spPr>
                          <a:xfrm>
                            <a:off x="0" y="0"/>
                            <a:ext cx="504825" cy="342900"/>
                          </a:xfrm>
                          <a:prstGeom prst="rect">
                            <a:avLst/>
                          </a:prstGeom>
                          <a:noFill/>
                          <a:ln w="9525">
                            <a:noFill/>
                          </a:ln>
                        </pic:spPr>
                      </pic:pic>
                    </a:graphicData>
                  </a:graphic>
                </wp:inline>
              </w:drawing>
            </w:r>
          </w:p>
        </w:tc>
      </w:tr>
      <w:tr w14:paraId="6D2BE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3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95E4B5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四楼</w:t>
            </w:r>
          </w:p>
        </w:tc>
      </w:tr>
      <w:tr w14:paraId="59FC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11DE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22D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E4D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240*30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686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镀锌板激光切割造型烤漆，内容镂空发光，内衬亚克力板</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BAA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C6B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5F9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04825" cy="342900"/>
                  <wp:effectExtent l="0" t="0" r="9525" b="0"/>
                  <wp:docPr id="63"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5" descr="IMG_310"/>
                          <pic:cNvPicPr>
                            <a:picLocks noChangeAspect="1"/>
                          </pic:cNvPicPr>
                        </pic:nvPicPr>
                        <pic:blipFill>
                          <a:blip r:embed="rId37"/>
                          <a:stretch>
                            <a:fillRect/>
                          </a:stretch>
                        </pic:blipFill>
                        <pic:spPr>
                          <a:xfrm>
                            <a:off x="0" y="0"/>
                            <a:ext cx="504825" cy="342900"/>
                          </a:xfrm>
                          <a:prstGeom prst="rect">
                            <a:avLst/>
                          </a:prstGeom>
                          <a:noFill/>
                          <a:ln w="9525">
                            <a:noFill/>
                          </a:ln>
                        </pic:spPr>
                      </pic:pic>
                    </a:graphicData>
                  </a:graphic>
                </wp:inline>
              </w:drawing>
            </w:r>
          </w:p>
        </w:tc>
      </w:tr>
      <w:tr w14:paraId="6455D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5D6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DF8D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电梯索引</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722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70*120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69E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高密度PVC造型烤漆，内容丝印 磁吸</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F6BD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8326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F341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352425" cy="342900"/>
                  <wp:effectExtent l="0" t="0" r="9525" b="0"/>
                  <wp:docPr id="33"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6" descr="IMG_311"/>
                          <pic:cNvPicPr>
                            <a:picLocks noChangeAspect="1"/>
                          </pic:cNvPicPr>
                        </pic:nvPicPr>
                        <pic:blipFill>
                          <a:blip r:embed="rId38"/>
                          <a:stretch>
                            <a:fillRect/>
                          </a:stretch>
                        </pic:blipFill>
                        <pic:spPr>
                          <a:xfrm>
                            <a:off x="0" y="0"/>
                            <a:ext cx="352425" cy="342900"/>
                          </a:xfrm>
                          <a:prstGeom prst="rect">
                            <a:avLst/>
                          </a:prstGeom>
                          <a:noFill/>
                          <a:ln w="9525">
                            <a:noFill/>
                          </a:ln>
                        </pic:spPr>
                      </pic:pic>
                    </a:graphicData>
                  </a:graphic>
                </wp:inline>
              </w:drawing>
            </w:r>
          </w:p>
        </w:tc>
      </w:tr>
      <w:tr w14:paraId="4A96A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30893">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22A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电梯停靠</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797F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7DF5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1cmPVC覆3.0亚克力UV</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859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3E67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865E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266825" cy="323850"/>
                  <wp:effectExtent l="0" t="0" r="9525" b="0"/>
                  <wp:docPr id="34"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7" descr="IMG_312"/>
                          <pic:cNvPicPr>
                            <a:picLocks noChangeAspect="1"/>
                          </pic:cNvPicPr>
                        </pic:nvPicPr>
                        <pic:blipFill>
                          <a:blip r:embed="rId39"/>
                          <a:stretch>
                            <a:fillRect/>
                          </a:stretch>
                        </pic:blipFill>
                        <pic:spPr>
                          <a:xfrm>
                            <a:off x="0" y="0"/>
                            <a:ext cx="1266825" cy="323850"/>
                          </a:xfrm>
                          <a:prstGeom prst="rect">
                            <a:avLst/>
                          </a:prstGeom>
                          <a:noFill/>
                          <a:ln w="9525">
                            <a:noFill/>
                          </a:ln>
                        </pic:spPr>
                      </pic:pic>
                    </a:graphicData>
                  </a:graphic>
                </wp:inline>
              </w:drawing>
            </w:r>
          </w:p>
        </w:tc>
      </w:tr>
      <w:tr w14:paraId="25FE6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594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CCCB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楼层索引</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52E4">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343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1cmPVC覆3.0亚克力UV</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763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C4E6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826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466725" cy="342900"/>
                  <wp:effectExtent l="0" t="0" r="9525" b="0"/>
                  <wp:docPr id="35"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8" descr="IMG_313"/>
                          <pic:cNvPicPr>
                            <a:picLocks noChangeAspect="1"/>
                          </pic:cNvPicPr>
                        </pic:nvPicPr>
                        <pic:blipFill>
                          <a:blip r:embed="rId40"/>
                          <a:stretch>
                            <a:fillRect/>
                          </a:stretch>
                        </pic:blipFill>
                        <pic:spPr>
                          <a:xfrm>
                            <a:off x="0" y="0"/>
                            <a:ext cx="466725" cy="342900"/>
                          </a:xfrm>
                          <a:prstGeom prst="rect">
                            <a:avLst/>
                          </a:prstGeom>
                          <a:noFill/>
                          <a:ln w="9525">
                            <a:noFill/>
                          </a:ln>
                        </pic:spPr>
                      </pic:pic>
                    </a:graphicData>
                  </a:graphic>
                </wp:inline>
              </w:drawing>
            </w:r>
          </w:p>
        </w:tc>
      </w:tr>
      <w:tr w14:paraId="47EAE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803E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D72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BB5F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30*15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335C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镀锌板烤漆</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E40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F70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BE52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23875" cy="342900"/>
                  <wp:effectExtent l="0" t="0" r="9525" b="0"/>
                  <wp:docPr id="32"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9" descr="IMG_314"/>
                          <pic:cNvPicPr>
                            <a:picLocks noChangeAspect="1"/>
                          </pic:cNvPicPr>
                        </pic:nvPicPr>
                        <pic:blipFill>
                          <a:blip r:embed="rId42"/>
                          <a:stretch>
                            <a:fillRect/>
                          </a:stretch>
                        </pic:blipFill>
                        <pic:spPr>
                          <a:xfrm>
                            <a:off x="0" y="0"/>
                            <a:ext cx="523875" cy="342900"/>
                          </a:xfrm>
                          <a:prstGeom prst="rect">
                            <a:avLst/>
                          </a:prstGeom>
                          <a:noFill/>
                          <a:ln w="9525">
                            <a:noFill/>
                          </a:ln>
                        </pic:spPr>
                      </pic:pic>
                    </a:graphicData>
                  </a:graphic>
                </wp:inline>
              </w:drawing>
            </w:r>
          </w:p>
        </w:tc>
      </w:tr>
      <w:tr w14:paraId="173FC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B1E26">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ECE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卫生间吊牌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6772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C63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镀锌板激光切割造型烤漆，内容镂空发光，内衬亚克力板</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40E9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647A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F93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390525" cy="342900"/>
                  <wp:effectExtent l="0" t="0" r="9525" b="0"/>
                  <wp:docPr id="30"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0" descr="IMG_315"/>
                          <pic:cNvPicPr>
                            <a:picLocks noChangeAspect="1"/>
                          </pic:cNvPicPr>
                        </pic:nvPicPr>
                        <pic:blipFill>
                          <a:blip r:embed="rId43"/>
                          <a:stretch>
                            <a:fillRect/>
                          </a:stretch>
                        </pic:blipFill>
                        <pic:spPr>
                          <a:xfrm>
                            <a:off x="0" y="0"/>
                            <a:ext cx="390525" cy="342900"/>
                          </a:xfrm>
                          <a:prstGeom prst="rect">
                            <a:avLst/>
                          </a:prstGeom>
                          <a:noFill/>
                          <a:ln w="9525">
                            <a:noFill/>
                          </a:ln>
                        </pic:spPr>
                      </pic:pic>
                    </a:graphicData>
                  </a:graphic>
                </wp:inline>
              </w:drawing>
            </w:r>
          </w:p>
        </w:tc>
      </w:tr>
      <w:tr w14:paraId="4AE19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65E6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1FE8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病房室牌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132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BC27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1cmPVC+3.0亚克力+卡盒2个</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C8D3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B34A">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53D1">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838200" cy="342900"/>
                  <wp:effectExtent l="0" t="0" r="0" b="0"/>
                  <wp:docPr id="31"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1" descr="IMG_316"/>
                          <pic:cNvPicPr>
                            <a:picLocks noChangeAspect="1"/>
                          </pic:cNvPicPr>
                        </pic:nvPicPr>
                        <pic:blipFill>
                          <a:blip r:embed="rId46"/>
                          <a:stretch>
                            <a:fillRect/>
                          </a:stretch>
                        </pic:blipFill>
                        <pic:spPr>
                          <a:xfrm>
                            <a:off x="0" y="0"/>
                            <a:ext cx="838200" cy="342900"/>
                          </a:xfrm>
                          <a:prstGeom prst="rect">
                            <a:avLst/>
                          </a:prstGeom>
                          <a:noFill/>
                          <a:ln w="9525">
                            <a:noFill/>
                          </a:ln>
                        </pic:spPr>
                      </pic:pic>
                    </a:graphicData>
                  </a:graphic>
                </wp:inline>
              </w:drawing>
            </w:r>
          </w:p>
        </w:tc>
      </w:tr>
      <w:tr w14:paraId="1620E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35CAD">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5A78">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床头牌</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CAD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40*20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F0DC2">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1cmPVC+3.0亚克力+卡盒7个</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85FF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5F67">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1EB5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1190625" cy="342900"/>
                  <wp:effectExtent l="0" t="0" r="9525" b="0"/>
                  <wp:docPr id="18"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2" descr="IMG_317"/>
                          <pic:cNvPicPr>
                            <a:picLocks noChangeAspect="1"/>
                          </pic:cNvPicPr>
                        </pic:nvPicPr>
                        <pic:blipFill>
                          <a:blip r:embed="rId47"/>
                          <a:stretch>
                            <a:fillRect/>
                          </a:stretch>
                        </pic:blipFill>
                        <pic:spPr>
                          <a:xfrm>
                            <a:off x="0" y="0"/>
                            <a:ext cx="1190625" cy="342900"/>
                          </a:xfrm>
                          <a:prstGeom prst="rect">
                            <a:avLst/>
                          </a:prstGeom>
                          <a:noFill/>
                          <a:ln w="9525">
                            <a:noFill/>
                          </a:ln>
                        </pic:spPr>
                      </pic:pic>
                    </a:graphicData>
                  </a:graphic>
                </wp:inline>
              </w:drawing>
            </w:r>
          </w:p>
        </w:tc>
      </w:tr>
      <w:tr w14:paraId="1020E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F69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3DDDC">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地贴</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932A7">
            <w:pPr>
              <w:jc w:val="center"/>
              <w:rPr>
                <w:rFonts w:hint="eastAsia" w:ascii="宋体" w:hAnsi="宋体" w:eastAsia="宋体" w:cs="宋体"/>
                <w:i w:val="0"/>
                <w:iCs w:val="0"/>
                <w:color w:val="000000"/>
                <w:sz w:val="18"/>
                <w:szCs w:val="18"/>
                <w:highlight w:val="none"/>
                <w:u w:val="none"/>
              </w:rPr>
            </w:pP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C5F9">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车贴付地板膜</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48FE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2DA0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6B25">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295275" cy="342900"/>
                  <wp:effectExtent l="0" t="0" r="9525" b="0"/>
                  <wp:docPr id="19"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descr="IMG_318"/>
                          <pic:cNvPicPr>
                            <a:picLocks noChangeAspect="1"/>
                          </pic:cNvPicPr>
                        </pic:nvPicPr>
                        <pic:blipFill>
                          <a:blip r:embed="rId44"/>
                          <a:stretch>
                            <a:fillRect/>
                          </a:stretch>
                        </pic:blipFill>
                        <pic:spPr>
                          <a:xfrm>
                            <a:off x="0" y="0"/>
                            <a:ext cx="295275" cy="342900"/>
                          </a:xfrm>
                          <a:prstGeom prst="rect">
                            <a:avLst/>
                          </a:prstGeom>
                          <a:noFill/>
                          <a:ln w="9525">
                            <a:noFill/>
                          </a:ln>
                        </pic:spPr>
                      </pic:pic>
                    </a:graphicData>
                  </a:graphic>
                </wp:inline>
              </w:drawing>
            </w:r>
          </w:p>
        </w:tc>
      </w:tr>
      <w:tr w14:paraId="18838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BE45B">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2CB2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文化宣传和制度</w:t>
            </w:r>
          </w:p>
        </w:tc>
        <w:tc>
          <w:tcPr>
            <w:tcW w:w="19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27091">
            <w:pPr>
              <w:jc w:val="center"/>
              <w:rPr>
                <w:rFonts w:hint="eastAsia" w:ascii="宋体" w:hAnsi="宋体" w:eastAsia="宋体" w:cs="宋体"/>
                <w:i w:val="0"/>
                <w:iCs w:val="0"/>
                <w:color w:val="000000"/>
                <w:sz w:val="18"/>
                <w:szCs w:val="18"/>
                <w:highlight w:val="none"/>
                <w:u w:val="none"/>
              </w:rPr>
            </w:pP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C3DA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2cmPVC+亚克力uv</w:t>
            </w:r>
          </w:p>
        </w:tc>
        <w:tc>
          <w:tcPr>
            <w:tcW w:w="5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34C0">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m²</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EE44E">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CA9F">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drawing>
                <wp:inline distT="0" distB="0" distL="114300" distR="114300">
                  <wp:extent cx="504825" cy="342900"/>
                  <wp:effectExtent l="0" t="0" r="9525" b="0"/>
                  <wp:docPr id="17"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4" descr="IMG_319"/>
                          <pic:cNvPicPr>
                            <a:picLocks noChangeAspect="1"/>
                          </pic:cNvPicPr>
                        </pic:nvPicPr>
                        <pic:blipFill>
                          <a:blip r:embed="rId45"/>
                          <a:stretch>
                            <a:fillRect/>
                          </a:stretch>
                        </pic:blipFill>
                        <pic:spPr>
                          <a:xfrm>
                            <a:off x="0" y="0"/>
                            <a:ext cx="504825" cy="342900"/>
                          </a:xfrm>
                          <a:prstGeom prst="rect">
                            <a:avLst/>
                          </a:prstGeom>
                          <a:noFill/>
                          <a:ln w="9525">
                            <a:noFill/>
                          </a:ln>
                        </pic:spPr>
                      </pic:pic>
                    </a:graphicData>
                  </a:graphic>
                </wp:inline>
              </w:drawing>
            </w:r>
          </w:p>
        </w:tc>
      </w:tr>
    </w:tbl>
    <w:p w14:paraId="416E1BAC">
      <w:pPr>
        <w:pStyle w:val="72"/>
        <w:numPr>
          <w:ilvl w:val="0"/>
          <w:numId w:val="0"/>
        </w:numPr>
        <w:spacing w:beforeLines="50" w:line="360" w:lineRule="auto"/>
        <w:ind w:leftChars="0" w:firstLine="480" w:firstLineChars="200"/>
        <w:jc w:val="left"/>
        <w:rPr>
          <w:rFonts w:hint="default"/>
          <w:b w:val="0"/>
          <w:bCs w:val="0"/>
          <w:sz w:val="24"/>
          <w:highlight w:val="none"/>
          <w:lang w:val="en-US" w:eastAsia="zh-CN"/>
        </w:rPr>
      </w:pPr>
    </w:p>
    <w:p w14:paraId="2BC4A542">
      <w:pPr>
        <w:pStyle w:val="18"/>
        <w:rPr>
          <w:rFonts w:hint="eastAsia"/>
          <w:highlight w:val="none"/>
          <w:lang w:val="en-US" w:eastAsia="zh-CN"/>
        </w:rPr>
      </w:pPr>
    </w:p>
    <w:p w14:paraId="1C787EC0">
      <w:pPr>
        <w:spacing w:line="360" w:lineRule="auto"/>
        <w:jc w:val="both"/>
        <w:rPr>
          <w:rFonts w:hint="eastAsia" w:ascii="宋体" w:hAnsi="宋体" w:eastAsia="宋体" w:cs="宋体"/>
          <w:i w:val="0"/>
          <w:iCs w:val="0"/>
          <w:caps w:val="0"/>
          <w:spacing w:val="0"/>
          <w:sz w:val="24"/>
          <w:szCs w:val="24"/>
          <w:highlight w:val="none"/>
          <w:shd w:val="clear" w:fill="FFFFFF"/>
          <w:lang w:val="en-US" w:eastAsia="zh-CN"/>
        </w:rPr>
      </w:pPr>
      <w:r>
        <w:rPr>
          <w:rFonts w:hint="eastAsia" w:ascii="宋体" w:hAnsi="宋体" w:eastAsia="宋体" w:cs="宋体"/>
          <w:i w:val="0"/>
          <w:iCs w:val="0"/>
          <w:caps w:val="0"/>
          <w:spacing w:val="0"/>
          <w:sz w:val="24"/>
          <w:szCs w:val="24"/>
          <w:highlight w:val="none"/>
          <w:shd w:val="clear" w:fill="FFFFFF"/>
          <w:lang w:val="en-US" w:eastAsia="zh-CN"/>
        </w:rPr>
        <w:br w:type="page"/>
      </w:r>
    </w:p>
    <w:p w14:paraId="4C66C007">
      <w:pPr>
        <w:numPr>
          <w:ilvl w:val="0"/>
          <w:numId w:val="60"/>
        </w:numPr>
        <w:jc w:val="center"/>
        <w:rPr>
          <w:rFonts w:hint="eastAsia" w:ascii="仿宋" w:hAnsi="仿宋" w:eastAsia="仿宋" w:cs="仿宋"/>
          <w:b/>
          <w:bCs/>
          <w:kern w:val="2"/>
          <w:sz w:val="28"/>
          <w:szCs w:val="24"/>
          <w:highlight w:val="none"/>
          <w:lang w:val="en-US" w:eastAsia="zh-CN" w:bidi="ar-SA"/>
        </w:rPr>
      </w:pPr>
      <w:r>
        <w:rPr>
          <w:rFonts w:hint="eastAsia" w:ascii="仿宋" w:hAnsi="仿宋" w:eastAsia="仿宋" w:cs="仿宋"/>
          <w:b/>
          <w:bCs/>
          <w:kern w:val="2"/>
          <w:sz w:val="28"/>
          <w:szCs w:val="24"/>
          <w:highlight w:val="none"/>
          <w:lang w:val="en-US" w:eastAsia="zh-CN" w:bidi="ar-SA"/>
        </w:rPr>
        <w:t>商务条件</w:t>
      </w:r>
    </w:p>
    <w:p w14:paraId="36B63655">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b/>
          <w:color w:val="auto"/>
          <w:sz w:val="24"/>
          <w:highlight w:val="none"/>
        </w:rPr>
      </w:pPr>
      <w:r>
        <w:rPr>
          <w:rFonts w:hint="eastAsia" w:ascii="宋体" w:hAnsi="宋体"/>
          <w:b/>
          <w:color w:val="auto"/>
          <w:sz w:val="24"/>
          <w:highlight w:val="none"/>
        </w:rPr>
        <w:t>一、</w:t>
      </w:r>
      <w:r>
        <w:rPr>
          <w:rFonts w:hint="eastAsia" w:ascii="宋体" w:hAnsi="宋体"/>
          <w:b/>
          <w:color w:val="auto"/>
          <w:sz w:val="24"/>
          <w:highlight w:val="none"/>
          <w:lang w:val="en-US" w:eastAsia="zh-CN"/>
        </w:rPr>
        <w:t>服务</w:t>
      </w:r>
      <w:r>
        <w:rPr>
          <w:rFonts w:hint="eastAsia" w:ascii="宋体" w:hAnsi="宋体"/>
          <w:b/>
          <w:color w:val="auto"/>
          <w:sz w:val="24"/>
          <w:highlight w:val="none"/>
        </w:rPr>
        <w:t>期限及地点：</w:t>
      </w:r>
      <w:bookmarkStart w:id="467" w:name="_Toc167714037"/>
      <w:bookmarkStart w:id="468" w:name="_Toc167715234"/>
      <w:bookmarkStart w:id="469" w:name="_Toc167712839"/>
    </w:p>
    <w:p w14:paraId="7B18BA90">
      <w:pPr>
        <w:keepNext w:val="0"/>
        <w:keepLines w:val="0"/>
        <w:pageBreakBefore w:val="0"/>
        <w:widowControl w:val="0"/>
        <w:kinsoku/>
        <w:wordWrap/>
        <w:overflowPunct/>
        <w:topLinePunct w:val="0"/>
        <w:autoSpaceDE/>
        <w:autoSpaceDN/>
        <w:bidi w:val="0"/>
        <w:adjustRightInd/>
        <w:snapToGrid/>
        <w:spacing w:line="600" w:lineRule="exact"/>
        <w:ind w:firstLine="492" w:firstLineChars="200"/>
        <w:textAlignment w:val="auto"/>
        <w:rPr>
          <w:rFonts w:hint="eastAsia" w:ascii="宋体" w:hAnsi="宋体" w:eastAsia="宋体" w:cs="宋体"/>
          <w:color w:val="auto"/>
          <w:spacing w:val="3"/>
          <w:sz w:val="24"/>
          <w:highlight w:val="none"/>
          <w:lang w:eastAsia="zh-CN"/>
        </w:rPr>
      </w:pPr>
      <w:r>
        <w:rPr>
          <w:rFonts w:hint="eastAsia" w:ascii="宋体" w:hAnsi="宋体" w:cs="宋体"/>
          <w:color w:val="auto"/>
          <w:spacing w:val="3"/>
          <w:sz w:val="24"/>
          <w:highlight w:val="none"/>
        </w:rPr>
        <w:t>1、</w:t>
      </w:r>
      <w:r>
        <w:rPr>
          <w:rFonts w:hint="eastAsia" w:ascii="宋体" w:hAnsi="宋体" w:cs="宋体"/>
          <w:color w:val="auto"/>
          <w:spacing w:val="3"/>
          <w:sz w:val="24"/>
          <w:highlight w:val="none"/>
          <w:lang w:val="en-US" w:eastAsia="zh-CN"/>
        </w:rPr>
        <w:t>服务</w:t>
      </w:r>
      <w:r>
        <w:rPr>
          <w:rFonts w:hint="eastAsia" w:ascii="宋体" w:hAnsi="宋体" w:cs="宋体"/>
          <w:color w:val="auto"/>
          <w:spacing w:val="3"/>
          <w:sz w:val="24"/>
          <w:highlight w:val="none"/>
        </w:rPr>
        <w:t>期限：</w:t>
      </w:r>
      <w:bookmarkEnd w:id="467"/>
      <w:bookmarkEnd w:id="468"/>
      <w:bookmarkEnd w:id="469"/>
      <w:r>
        <w:rPr>
          <w:rFonts w:hint="eastAsia" w:ascii="宋体" w:hAnsi="宋体" w:cs="宋体"/>
          <w:color w:val="auto"/>
          <w:spacing w:val="3"/>
          <w:sz w:val="24"/>
          <w:highlight w:val="none"/>
        </w:rPr>
        <w:t>合同签订之日起30个日历日</w:t>
      </w:r>
      <w:r>
        <w:rPr>
          <w:rFonts w:hint="eastAsia" w:ascii="宋体" w:hAnsi="宋体" w:cs="宋体"/>
          <w:color w:val="auto"/>
          <w:spacing w:val="3"/>
          <w:sz w:val="24"/>
          <w:highlight w:val="none"/>
          <w:lang w:eastAsia="zh-CN"/>
        </w:rPr>
        <w:t>；</w:t>
      </w:r>
    </w:p>
    <w:p w14:paraId="53953877">
      <w:pPr>
        <w:keepNext w:val="0"/>
        <w:keepLines w:val="0"/>
        <w:pageBreakBefore w:val="0"/>
        <w:widowControl w:val="0"/>
        <w:kinsoku/>
        <w:wordWrap/>
        <w:overflowPunct/>
        <w:topLinePunct w:val="0"/>
        <w:autoSpaceDE/>
        <w:autoSpaceDN/>
        <w:bidi w:val="0"/>
        <w:adjustRightInd/>
        <w:snapToGrid/>
        <w:spacing w:line="600" w:lineRule="exact"/>
        <w:ind w:firstLine="492" w:firstLineChars="200"/>
        <w:textAlignment w:val="auto"/>
        <w:rPr>
          <w:rFonts w:hint="eastAsia" w:ascii="宋体" w:hAnsi="宋体" w:cs="宋体"/>
          <w:color w:val="auto"/>
          <w:spacing w:val="3"/>
          <w:sz w:val="24"/>
          <w:highlight w:val="none"/>
        </w:rPr>
      </w:pPr>
      <w:r>
        <w:rPr>
          <w:rFonts w:hint="eastAsia" w:ascii="宋体" w:hAnsi="宋体" w:cs="宋体"/>
          <w:color w:val="auto"/>
          <w:spacing w:val="3"/>
          <w:sz w:val="24"/>
          <w:highlight w:val="none"/>
        </w:rPr>
        <w:t>2、地 点：采购人指定</w:t>
      </w:r>
      <w:r>
        <w:rPr>
          <w:rFonts w:hint="eastAsia" w:ascii="宋体" w:hAnsi="宋体" w:cs="宋体"/>
          <w:color w:val="auto"/>
          <w:spacing w:val="3"/>
          <w:sz w:val="24"/>
          <w:highlight w:val="none"/>
          <w:lang w:val="en-US" w:eastAsia="zh-CN"/>
        </w:rPr>
        <w:t>地点</w:t>
      </w:r>
      <w:r>
        <w:rPr>
          <w:rFonts w:hint="eastAsia" w:ascii="宋体" w:hAnsi="宋体" w:cs="宋体"/>
          <w:color w:val="auto"/>
          <w:spacing w:val="3"/>
          <w:sz w:val="24"/>
          <w:highlight w:val="none"/>
        </w:rPr>
        <w:t>。</w:t>
      </w:r>
    </w:p>
    <w:p w14:paraId="01B0642D">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Times New Roman"/>
          <w:b/>
          <w:color w:val="auto"/>
          <w:sz w:val="24"/>
          <w:highlight w:val="none"/>
          <w:lang w:val="en-US" w:eastAsia="zh-CN"/>
        </w:rPr>
      </w:pPr>
      <w:r>
        <w:rPr>
          <w:rFonts w:hint="eastAsia" w:ascii="宋体" w:hAnsi="宋体" w:eastAsia="宋体" w:cs="Times New Roman"/>
          <w:b/>
          <w:color w:val="auto"/>
          <w:sz w:val="24"/>
          <w:highlight w:val="none"/>
        </w:rPr>
        <w:t>二、付款方式：</w:t>
      </w:r>
      <w:r>
        <w:rPr>
          <w:rFonts w:hint="eastAsia" w:ascii="宋体" w:hAnsi="宋体" w:eastAsia="宋体" w:cs="Times New Roman"/>
          <w:b w:val="0"/>
          <w:bCs/>
          <w:color w:val="auto"/>
          <w:sz w:val="24"/>
          <w:highlight w:val="none"/>
          <w:lang w:val="en-US" w:eastAsia="zh-CN"/>
        </w:rPr>
        <w:t>以甲乙双方合同约定执行。</w:t>
      </w:r>
    </w:p>
    <w:p w14:paraId="34FD6F7C">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val="0"/>
          <w:bCs w:val="0"/>
          <w:color w:val="auto"/>
          <w:spacing w:val="3"/>
          <w:sz w:val="24"/>
          <w:highlight w:val="none"/>
          <w:lang w:val="en-US" w:eastAsia="zh-CN"/>
        </w:rPr>
      </w:pPr>
      <w:r>
        <w:rPr>
          <w:rFonts w:hint="eastAsia" w:ascii="宋体" w:hAnsi="宋体" w:eastAsia="宋体" w:cs="Times New Roman"/>
          <w:b/>
          <w:color w:val="auto"/>
          <w:sz w:val="24"/>
          <w:highlight w:val="none"/>
          <w:lang w:val="en-US" w:eastAsia="zh-CN"/>
        </w:rPr>
        <w:t>三、投标有效期</w:t>
      </w:r>
      <w:r>
        <w:rPr>
          <w:rFonts w:hint="eastAsia" w:ascii="宋体" w:hAnsi="宋体" w:eastAsia="宋体" w:cs="宋体"/>
          <w:b/>
          <w:bCs/>
          <w:color w:val="auto"/>
          <w:spacing w:val="3"/>
          <w:sz w:val="24"/>
          <w:highlight w:val="none"/>
          <w:lang w:val="en-US" w:eastAsia="zh-CN"/>
        </w:rPr>
        <w:t>：</w:t>
      </w:r>
      <w:r>
        <w:rPr>
          <w:rFonts w:hint="eastAsia" w:ascii="宋体" w:hAnsi="宋体" w:eastAsia="宋体" w:cs="宋体"/>
          <w:b w:val="0"/>
          <w:bCs w:val="0"/>
          <w:color w:val="auto"/>
          <w:spacing w:val="3"/>
          <w:sz w:val="24"/>
          <w:highlight w:val="none"/>
          <w:lang w:val="en-US" w:eastAsia="zh-CN"/>
        </w:rPr>
        <w:t>90日历日（自投标截止时间起开始计算）。</w:t>
      </w:r>
    </w:p>
    <w:p w14:paraId="1F1DB87D">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Times New Roman"/>
          <w:b/>
          <w:color w:val="auto"/>
          <w:sz w:val="24"/>
          <w:highlight w:val="none"/>
          <w:lang w:eastAsia="zh-CN"/>
        </w:rPr>
      </w:pPr>
      <w:r>
        <w:rPr>
          <w:rFonts w:hint="eastAsia" w:ascii="宋体" w:hAnsi="宋体" w:eastAsia="宋体" w:cs="Times New Roman"/>
          <w:b/>
          <w:color w:val="auto"/>
          <w:sz w:val="24"/>
          <w:highlight w:val="none"/>
          <w:lang w:val="en-US" w:eastAsia="zh-CN"/>
        </w:rPr>
        <w:t>四、</w:t>
      </w:r>
      <w:r>
        <w:rPr>
          <w:rFonts w:hint="eastAsia" w:ascii="宋体" w:hAnsi="宋体" w:eastAsia="宋体" w:cs="Times New Roman"/>
          <w:b/>
          <w:color w:val="auto"/>
          <w:sz w:val="24"/>
          <w:highlight w:val="none"/>
        </w:rPr>
        <w:t>签订合同时间</w:t>
      </w:r>
      <w:r>
        <w:rPr>
          <w:rFonts w:hint="eastAsia" w:ascii="宋体" w:hAnsi="宋体" w:eastAsia="宋体" w:cs="Times New Roman"/>
          <w:b/>
          <w:color w:val="auto"/>
          <w:sz w:val="24"/>
          <w:highlight w:val="none"/>
          <w:lang w:eastAsia="zh-CN"/>
        </w:rPr>
        <w:t>：</w:t>
      </w:r>
      <w:r>
        <w:rPr>
          <w:rFonts w:hint="eastAsia" w:ascii="宋体" w:hAnsi="宋体" w:eastAsia="宋体" w:cs="Times New Roman"/>
          <w:b w:val="0"/>
          <w:bCs/>
          <w:color w:val="auto"/>
          <w:sz w:val="24"/>
          <w:highlight w:val="none"/>
          <w:lang w:eastAsia="zh-CN"/>
        </w:rPr>
        <w:t>中标通知书发出之日起30日内。</w:t>
      </w:r>
    </w:p>
    <w:p w14:paraId="117ED4F6">
      <w:pPr>
        <w:keepNext w:val="0"/>
        <w:keepLines w:val="0"/>
        <w:pageBreakBefore w:val="0"/>
        <w:widowControl w:val="0"/>
        <w:kinsoku/>
        <w:wordWrap/>
        <w:overflowPunct/>
        <w:topLinePunct w:val="0"/>
        <w:autoSpaceDE/>
        <w:autoSpaceDN/>
        <w:bidi w:val="0"/>
        <w:adjustRightInd/>
        <w:snapToGrid/>
        <w:spacing w:line="600" w:lineRule="exact"/>
        <w:ind w:left="961" w:leftChars="228" w:hanging="482" w:hangingChars="200"/>
        <w:textAlignment w:val="auto"/>
        <w:rPr>
          <w:rFonts w:hint="eastAsia" w:ascii="宋体" w:hAnsi="宋体" w:eastAsia="宋体" w:cs="宋体"/>
          <w:color w:val="auto"/>
          <w:spacing w:val="3"/>
          <w:kern w:val="2"/>
          <w:sz w:val="24"/>
          <w:highlight w:val="none"/>
          <w:lang w:val="en-US" w:eastAsia="zh-CN" w:bidi="ar-SA"/>
        </w:rPr>
      </w:pPr>
      <w:r>
        <w:rPr>
          <w:rFonts w:hint="eastAsia" w:ascii="宋体" w:hAnsi="宋体" w:eastAsia="宋体" w:cs="Times New Roman"/>
          <w:b/>
          <w:color w:val="auto"/>
          <w:sz w:val="24"/>
          <w:highlight w:val="none"/>
          <w:lang w:val="en-US" w:eastAsia="zh-CN"/>
        </w:rPr>
        <w:t>五、其他要求：</w:t>
      </w:r>
      <w:r>
        <w:rPr>
          <w:rFonts w:hint="eastAsia" w:ascii="宋体" w:hAnsi="宋体" w:eastAsia="宋体" w:cs="宋体"/>
          <w:color w:val="auto"/>
          <w:spacing w:val="3"/>
          <w:kern w:val="2"/>
          <w:sz w:val="24"/>
          <w:highlight w:val="none"/>
          <w:lang w:val="en-US" w:eastAsia="zh-CN" w:bidi="ar-SA"/>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的服务。</w:t>
      </w:r>
    </w:p>
    <w:p w14:paraId="4E28692E">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Times New Roman"/>
          <w:b/>
          <w:color w:val="auto"/>
          <w:sz w:val="24"/>
          <w:highlight w:val="none"/>
        </w:rPr>
      </w:pPr>
    </w:p>
    <w:p w14:paraId="69AE9ABD">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b/>
          <w:color w:val="auto"/>
          <w:sz w:val="24"/>
          <w:highlight w:val="none"/>
        </w:rPr>
      </w:pPr>
      <w:r>
        <w:rPr>
          <w:rFonts w:hint="eastAsia" w:ascii="宋体" w:hAnsi="宋体" w:eastAsia="宋体" w:cs="Times New Roman"/>
          <w:b/>
          <w:color w:val="auto"/>
          <w:sz w:val="24"/>
          <w:highlight w:val="none"/>
        </w:rPr>
        <w:t>注：1、本项</w:t>
      </w:r>
      <w:r>
        <w:rPr>
          <w:rFonts w:hint="eastAsia" w:ascii="宋体" w:hAnsi="宋体"/>
          <w:b/>
          <w:color w:val="auto"/>
          <w:sz w:val="24"/>
          <w:highlight w:val="none"/>
        </w:rPr>
        <w:t>目商务条款全部为重要指标（实质性要求），不得负偏离，投标人在投标文件中必须对商务条款进行一一正面响应，若不响应、逃避响应或模糊混淆概念响应，按照负偏离处理（不符合招标文件实质性要求），不能提供证明文件的不予认可。在交货后，发现部分不能实现，甲方有权退货并索取赔偿。</w:t>
      </w:r>
    </w:p>
    <w:p w14:paraId="7ABE8419">
      <w:pPr>
        <w:pStyle w:val="88"/>
        <w:keepNext w:val="0"/>
        <w:keepLines w:val="0"/>
        <w:pageBreakBefore w:val="0"/>
        <w:widowControl w:val="0"/>
        <w:kinsoku/>
        <w:wordWrap/>
        <w:overflowPunct/>
        <w:topLinePunct w:val="0"/>
        <w:autoSpaceDE/>
        <w:autoSpaceDN/>
        <w:bidi w:val="0"/>
        <w:adjustRightInd/>
        <w:snapToGrid/>
        <w:spacing w:line="500" w:lineRule="exact"/>
        <w:textAlignment w:val="auto"/>
        <w:rPr>
          <w:highlight w:val="none"/>
        </w:rPr>
      </w:pPr>
      <w:r>
        <w:rPr>
          <w:rFonts w:hint="eastAsia" w:ascii="宋体" w:hAnsi="宋体"/>
          <w:b/>
          <w:color w:val="auto"/>
          <w:sz w:val="24"/>
          <w:highlight w:val="none"/>
        </w:rPr>
        <w:t>2、产品中标后</w:t>
      </w:r>
      <w:r>
        <w:rPr>
          <w:rFonts w:hint="eastAsia" w:ascii="宋体" w:hAnsi="宋体"/>
          <w:b/>
          <w:color w:val="auto"/>
          <w:sz w:val="24"/>
          <w:highlight w:val="none"/>
          <w:lang w:val="en-US" w:eastAsia="zh-CN"/>
        </w:rPr>
        <w:t>服务</w:t>
      </w:r>
      <w:r>
        <w:rPr>
          <w:rFonts w:hint="eastAsia" w:ascii="宋体" w:hAnsi="宋体"/>
          <w:b/>
          <w:color w:val="auto"/>
          <w:sz w:val="24"/>
          <w:highlight w:val="none"/>
        </w:rPr>
        <w:t>过程中如果发现有不满足招标要求的、篡改商务条款的，用户可以拒绝付款。</w:t>
      </w:r>
    </w:p>
    <w:p w14:paraId="2A0BE0F4">
      <w:pPr>
        <w:numPr>
          <w:ilvl w:val="0"/>
          <w:numId w:val="60"/>
        </w:numPr>
        <w:jc w:val="center"/>
        <w:rPr>
          <w:rFonts w:hint="eastAsia" w:ascii="Times New Roman" w:hAnsi="Times New Roman" w:eastAsia="宋体" w:cs="Times New Roman"/>
          <w:kern w:val="2"/>
          <w:sz w:val="21"/>
          <w:highlight w:val="none"/>
          <w:lang w:val="en-US" w:eastAsia="zh-CN" w:bidi="ar-SA"/>
        </w:rPr>
      </w:pPr>
      <w:r>
        <w:rPr>
          <w:rFonts w:hint="eastAsia" w:ascii="Times New Roman" w:hAnsi="Times New Roman" w:eastAsia="宋体" w:cs="Times New Roman"/>
          <w:kern w:val="2"/>
          <w:sz w:val="21"/>
          <w:highlight w:val="none"/>
          <w:lang w:val="en-US" w:eastAsia="zh-CN" w:bidi="ar-SA"/>
        </w:rPr>
        <w:br w:type="page"/>
      </w:r>
    </w:p>
    <w:p w14:paraId="17E2985B">
      <w:pPr>
        <w:rPr>
          <w:rFonts w:hint="eastAsia" w:ascii="仿宋" w:hAnsi="仿宋" w:eastAsia="仿宋" w:cs="仿宋"/>
          <w:color w:val="auto"/>
          <w:sz w:val="30"/>
          <w:szCs w:val="30"/>
          <w:highlight w:val="none"/>
        </w:rPr>
      </w:pPr>
    </w:p>
    <w:p w14:paraId="428506FB">
      <w:pPr>
        <w:pStyle w:val="2"/>
        <w:jc w:val="cente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第六章   投标文件部分格式</w:t>
      </w:r>
    </w:p>
    <w:p w14:paraId="1A8A8A37">
      <w:pPr>
        <w:pStyle w:val="41"/>
        <w:rPr>
          <w:rFonts w:hint="eastAsia"/>
          <w:highlight w:val="none"/>
        </w:rPr>
      </w:pPr>
    </w:p>
    <w:p w14:paraId="556E3755">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bookmarkStart w:id="470" w:name="_Toc8812_WPSOffice_Level1"/>
      <w:bookmarkStart w:id="471" w:name="_Toc4221_WPSOffice_Level1"/>
      <w:r>
        <w:rPr>
          <w:rFonts w:hint="eastAsia" w:ascii="仿宋" w:hAnsi="仿宋" w:eastAsia="仿宋" w:cs="仿宋"/>
          <w:color w:val="auto"/>
          <w:sz w:val="24"/>
          <w:szCs w:val="24"/>
          <w:highlight w:val="none"/>
        </w:rPr>
        <w:t>正本/副本</w:t>
      </w:r>
      <w:bookmarkEnd w:id="470"/>
      <w:bookmarkEnd w:id="471"/>
    </w:p>
    <w:p w14:paraId="33591BC2">
      <w:pPr>
        <w:spacing w:line="360" w:lineRule="auto"/>
        <w:rPr>
          <w:rFonts w:hint="eastAsia" w:ascii="仿宋" w:hAnsi="仿宋" w:eastAsia="仿宋" w:cs="仿宋"/>
          <w:color w:val="auto"/>
          <w:sz w:val="24"/>
          <w:szCs w:val="24"/>
          <w:highlight w:val="none"/>
        </w:rPr>
      </w:pPr>
    </w:p>
    <w:p w14:paraId="1FA78BA3">
      <w:pPr>
        <w:spacing w:line="360" w:lineRule="auto"/>
        <w:ind w:firstLine="480" w:firstLineChars="200"/>
        <w:rPr>
          <w:rFonts w:hint="eastAsia" w:ascii="仿宋" w:hAnsi="仿宋" w:eastAsia="仿宋" w:cs="仿宋"/>
          <w:color w:val="auto"/>
          <w:sz w:val="24"/>
          <w:szCs w:val="24"/>
          <w:highlight w:val="none"/>
        </w:rPr>
      </w:pPr>
    </w:p>
    <w:p w14:paraId="13D8038A">
      <w:pPr>
        <w:pStyle w:val="25"/>
        <w:spacing w:line="360" w:lineRule="auto"/>
        <w:rPr>
          <w:rFonts w:hint="eastAsia" w:ascii="仿宋" w:hAnsi="仿宋" w:eastAsia="仿宋" w:cs="仿宋"/>
          <w:color w:val="auto"/>
          <w:sz w:val="24"/>
          <w:szCs w:val="24"/>
          <w:highlight w:val="none"/>
        </w:rPr>
      </w:pPr>
    </w:p>
    <w:p w14:paraId="418A466D">
      <w:pPr>
        <w:pStyle w:val="25"/>
        <w:spacing w:line="360" w:lineRule="auto"/>
        <w:rPr>
          <w:rFonts w:hint="eastAsia" w:ascii="仿宋" w:hAnsi="仿宋" w:eastAsia="仿宋" w:cs="仿宋"/>
          <w:color w:val="auto"/>
          <w:sz w:val="24"/>
          <w:szCs w:val="24"/>
          <w:highlight w:val="none"/>
        </w:rPr>
      </w:pPr>
    </w:p>
    <w:p w14:paraId="343C1550">
      <w:pPr>
        <w:pStyle w:val="25"/>
        <w:spacing w:line="360" w:lineRule="auto"/>
        <w:rPr>
          <w:rFonts w:hint="eastAsia" w:ascii="仿宋" w:hAnsi="仿宋" w:eastAsia="仿宋" w:cs="仿宋"/>
          <w:color w:val="auto"/>
          <w:sz w:val="24"/>
          <w:szCs w:val="24"/>
          <w:highlight w:val="none"/>
        </w:rPr>
      </w:pPr>
    </w:p>
    <w:p w14:paraId="0DF366EF">
      <w:pPr>
        <w:spacing w:line="360" w:lineRule="auto"/>
        <w:ind w:firstLine="1440" w:firstLineChars="6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（项目名称）                </w:t>
      </w:r>
    </w:p>
    <w:p w14:paraId="799ADD9E">
      <w:pPr>
        <w:spacing w:line="360" w:lineRule="auto"/>
        <w:rPr>
          <w:rFonts w:hint="eastAsia" w:ascii="仿宋" w:hAnsi="仿宋" w:eastAsia="仿宋" w:cs="仿宋"/>
          <w:color w:val="auto"/>
          <w:sz w:val="24"/>
          <w:szCs w:val="24"/>
          <w:highlight w:val="none"/>
        </w:rPr>
      </w:pPr>
    </w:p>
    <w:p w14:paraId="251564CB">
      <w:pPr>
        <w:spacing w:line="360" w:lineRule="auto"/>
        <w:rPr>
          <w:rFonts w:hint="eastAsia" w:ascii="仿宋" w:hAnsi="仿宋" w:eastAsia="仿宋" w:cs="仿宋"/>
          <w:color w:val="auto"/>
          <w:sz w:val="24"/>
          <w:szCs w:val="24"/>
          <w:highlight w:val="none"/>
        </w:rPr>
      </w:pPr>
    </w:p>
    <w:p w14:paraId="06A74081">
      <w:pPr>
        <w:pStyle w:val="25"/>
        <w:spacing w:line="360" w:lineRule="auto"/>
        <w:rPr>
          <w:rFonts w:hint="eastAsia" w:ascii="仿宋" w:hAnsi="仿宋" w:eastAsia="仿宋" w:cs="仿宋"/>
          <w:color w:val="auto"/>
          <w:sz w:val="24"/>
          <w:szCs w:val="24"/>
          <w:highlight w:val="none"/>
        </w:rPr>
      </w:pPr>
    </w:p>
    <w:p w14:paraId="7321F37C">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投标文件</w:t>
      </w:r>
    </w:p>
    <w:p w14:paraId="635E453E">
      <w:pPr>
        <w:pStyle w:val="41"/>
        <w:rPr>
          <w:rFonts w:hint="eastAsia" w:ascii="仿宋" w:hAnsi="仿宋" w:eastAsia="仿宋" w:cs="仿宋"/>
          <w:b/>
          <w:bCs/>
          <w:color w:val="auto"/>
          <w:sz w:val="24"/>
          <w:szCs w:val="24"/>
          <w:highlight w:val="none"/>
        </w:rPr>
      </w:pPr>
    </w:p>
    <w:p w14:paraId="6B6871E4">
      <w:pPr>
        <w:pStyle w:val="41"/>
        <w:rPr>
          <w:rFonts w:hint="eastAsia" w:ascii="仿宋" w:hAnsi="仿宋" w:eastAsia="仿宋" w:cs="仿宋"/>
          <w:b/>
          <w:bCs/>
          <w:color w:val="auto"/>
          <w:sz w:val="24"/>
          <w:szCs w:val="24"/>
          <w:highlight w:val="none"/>
        </w:rPr>
      </w:pPr>
    </w:p>
    <w:p w14:paraId="13549FD3">
      <w:pPr>
        <w:pStyle w:val="41"/>
        <w:rPr>
          <w:rFonts w:hint="eastAsia" w:ascii="仿宋" w:hAnsi="仿宋" w:eastAsia="仿宋" w:cs="仿宋"/>
          <w:b/>
          <w:bCs/>
          <w:color w:val="auto"/>
          <w:sz w:val="24"/>
          <w:szCs w:val="24"/>
          <w:highlight w:val="none"/>
        </w:rPr>
      </w:pPr>
    </w:p>
    <w:p w14:paraId="4EA40811">
      <w:pPr>
        <w:pStyle w:val="41"/>
        <w:rPr>
          <w:rFonts w:hint="eastAsia" w:ascii="仿宋" w:hAnsi="仿宋" w:eastAsia="仿宋" w:cs="仿宋"/>
          <w:b/>
          <w:bCs/>
          <w:color w:val="auto"/>
          <w:sz w:val="24"/>
          <w:szCs w:val="24"/>
          <w:highlight w:val="none"/>
        </w:rPr>
      </w:pPr>
    </w:p>
    <w:p w14:paraId="01FFE1EA">
      <w:pPr>
        <w:pStyle w:val="41"/>
        <w:rPr>
          <w:rFonts w:hint="eastAsia" w:ascii="仿宋" w:hAnsi="仿宋" w:eastAsia="仿宋" w:cs="仿宋"/>
          <w:b/>
          <w:bCs/>
          <w:color w:val="auto"/>
          <w:sz w:val="24"/>
          <w:szCs w:val="24"/>
          <w:highlight w:val="none"/>
        </w:rPr>
      </w:pPr>
    </w:p>
    <w:p w14:paraId="7B468E62">
      <w:pPr>
        <w:pStyle w:val="41"/>
        <w:rPr>
          <w:rFonts w:hint="eastAsia" w:ascii="仿宋" w:hAnsi="仿宋" w:eastAsia="仿宋" w:cs="仿宋"/>
          <w:b/>
          <w:bCs/>
          <w:color w:val="auto"/>
          <w:sz w:val="24"/>
          <w:szCs w:val="24"/>
          <w:highlight w:val="none"/>
        </w:rPr>
      </w:pPr>
    </w:p>
    <w:p w14:paraId="0A16622F">
      <w:pPr>
        <w:pStyle w:val="41"/>
        <w:rPr>
          <w:rFonts w:hint="eastAsia" w:ascii="仿宋" w:hAnsi="仿宋" w:eastAsia="仿宋" w:cs="仿宋"/>
          <w:b/>
          <w:bCs/>
          <w:color w:val="auto"/>
          <w:sz w:val="24"/>
          <w:szCs w:val="24"/>
          <w:highlight w:val="none"/>
        </w:rPr>
      </w:pPr>
    </w:p>
    <w:p w14:paraId="528165BA">
      <w:pPr>
        <w:spacing w:line="360" w:lineRule="auto"/>
        <w:ind w:firstLine="120" w:firstLineChars="50"/>
        <w:rPr>
          <w:rFonts w:hint="eastAsia" w:ascii="仿宋" w:hAnsi="仿宋" w:eastAsia="仿宋" w:cs="仿宋"/>
          <w:color w:val="auto"/>
          <w:kern w:val="0"/>
          <w:sz w:val="24"/>
          <w:szCs w:val="24"/>
          <w:highlight w:val="none"/>
        </w:rPr>
      </w:pPr>
    </w:p>
    <w:p w14:paraId="67330410">
      <w:pPr>
        <w:spacing w:line="360" w:lineRule="auto"/>
        <w:rPr>
          <w:rFonts w:hint="eastAsia" w:ascii="仿宋" w:hAnsi="仿宋" w:eastAsia="仿宋" w:cs="仿宋"/>
          <w:color w:val="auto"/>
          <w:kern w:val="0"/>
          <w:sz w:val="24"/>
          <w:szCs w:val="24"/>
          <w:highlight w:val="none"/>
        </w:rPr>
      </w:pPr>
    </w:p>
    <w:p w14:paraId="5D2FF887">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投标单位名称（盖章）：</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29542B6E">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法人或委托代理人（签</w:t>
      </w:r>
      <w:r>
        <w:rPr>
          <w:rFonts w:hint="eastAsia" w:ascii="仿宋" w:hAnsi="仿宋" w:eastAsia="仿宋" w:cs="仿宋"/>
          <w:color w:val="auto"/>
          <w:kern w:val="0"/>
          <w:sz w:val="24"/>
          <w:szCs w:val="24"/>
          <w:highlight w:val="none"/>
          <w:lang w:val="en-US" w:eastAsia="zh-CN"/>
        </w:rPr>
        <w:t>字或盖章</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u w:val="single"/>
        </w:rPr>
        <w:t xml:space="preserve">                       </w:t>
      </w:r>
    </w:p>
    <w:p w14:paraId="56F19478">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单 位 地  址：</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5D502BBB">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联   系   人：</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135E0178">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联 系 电  话：</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350EB5A7">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邮  政 编 码：</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2DD7C34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年        月        日</w:t>
      </w:r>
    </w:p>
    <w:p w14:paraId="3DCA7AFE">
      <w:pPr>
        <w:pStyle w:val="25"/>
        <w:rPr>
          <w:rFonts w:hint="eastAsia" w:ascii="仿宋" w:hAnsi="仿宋" w:eastAsia="仿宋" w:cs="仿宋"/>
          <w:color w:val="auto"/>
          <w:spacing w:val="-4"/>
          <w:kern w:val="0"/>
          <w:sz w:val="24"/>
          <w:szCs w:val="24"/>
          <w:highlight w:val="none"/>
        </w:rPr>
      </w:pPr>
    </w:p>
    <w:p w14:paraId="77D00239">
      <w:pPr>
        <w:pStyle w:val="68"/>
        <w:spacing w:line="360" w:lineRule="auto"/>
        <w:ind w:firstLine="200" w:firstLineChars="83"/>
        <w:jc w:val="center"/>
        <w:rPr>
          <w:rFonts w:hint="eastAsia" w:ascii="仿宋" w:hAnsi="仿宋" w:eastAsia="仿宋" w:cs="仿宋"/>
          <w:b/>
          <w:color w:val="auto"/>
          <w:sz w:val="24"/>
          <w:szCs w:val="24"/>
          <w:highlight w:val="none"/>
        </w:rPr>
      </w:pPr>
    </w:p>
    <w:p w14:paraId="7945F521">
      <w:pPr>
        <w:pStyle w:val="68"/>
        <w:spacing w:line="360" w:lineRule="auto"/>
        <w:ind w:firstLine="200" w:firstLineChars="83"/>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投标文件目录</w:t>
      </w:r>
    </w:p>
    <w:p w14:paraId="4D62E33A">
      <w:pPr>
        <w:pStyle w:val="68"/>
        <w:spacing w:line="480" w:lineRule="auto"/>
        <w:ind w:firstLine="475" w:firstLineChars="19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（1）投标承诺书</w:t>
      </w:r>
    </w:p>
    <w:p w14:paraId="283D6F73">
      <w:pPr>
        <w:pStyle w:val="68"/>
        <w:spacing w:line="480" w:lineRule="auto"/>
        <w:ind w:firstLine="475" w:firstLineChars="197"/>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（2）报价一览表</w:t>
      </w:r>
    </w:p>
    <w:p w14:paraId="2E5AAA82">
      <w:pPr>
        <w:pStyle w:val="68"/>
        <w:spacing w:line="480" w:lineRule="auto"/>
        <w:ind w:firstLine="48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w:t>
      </w:r>
      <w:r>
        <w:rPr>
          <w:rFonts w:hint="eastAsia" w:ascii="仿宋" w:hAnsi="仿宋" w:eastAsia="仿宋" w:cs="仿宋"/>
          <w:b/>
          <w:color w:val="auto"/>
          <w:sz w:val="24"/>
          <w:szCs w:val="24"/>
          <w:highlight w:val="none"/>
          <w:lang w:eastAsia="zh-CN"/>
        </w:rPr>
        <w:t>报价一览明细表</w:t>
      </w:r>
    </w:p>
    <w:p w14:paraId="3D5AB8A0">
      <w:pPr>
        <w:pStyle w:val="68"/>
        <w:spacing w:line="480" w:lineRule="auto"/>
        <w:ind w:firstLine="48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w:t>
      </w:r>
      <w:r>
        <w:rPr>
          <w:rFonts w:hint="eastAsia" w:ascii="仿宋" w:hAnsi="仿宋" w:eastAsia="仿宋" w:cs="仿宋"/>
          <w:b/>
          <w:color w:val="auto"/>
          <w:sz w:val="24"/>
          <w:szCs w:val="24"/>
          <w:highlight w:val="none"/>
          <w:lang w:eastAsia="zh-CN"/>
        </w:rPr>
        <w:t>法定代表人（</w:t>
      </w:r>
      <w:r>
        <w:rPr>
          <w:rFonts w:hint="eastAsia" w:ascii="仿宋" w:hAnsi="仿宋" w:eastAsia="仿宋" w:cs="仿宋"/>
          <w:b/>
          <w:color w:val="auto"/>
          <w:sz w:val="24"/>
          <w:szCs w:val="24"/>
          <w:highlight w:val="none"/>
          <w:lang w:val="en-US" w:eastAsia="zh-CN"/>
        </w:rPr>
        <w:t>负责人</w:t>
      </w:r>
      <w:r>
        <w:rPr>
          <w:rFonts w:hint="eastAsia" w:ascii="仿宋" w:hAnsi="仿宋" w:eastAsia="仿宋" w:cs="仿宋"/>
          <w:b/>
          <w:color w:val="auto"/>
          <w:sz w:val="24"/>
          <w:szCs w:val="24"/>
          <w:highlight w:val="none"/>
          <w:lang w:eastAsia="zh-CN"/>
        </w:rPr>
        <w:t>）身份证明</w:t>
      </w:r>
    </w:p>
    <w:p w14:paraId="79A61DF0">
      <w:pPr>
        <w:pStyle w:val="68"/>
        <w:spacing w:line="480" w:lineRule="auto"/>
        <w:ind w:firstLine="48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（5）法定代表人</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负责人</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授权委托书</w:t>
      </w:r>
    </w:p>
    <w:p w14:paraId="54DBBD98">
      <w:pPr>
        <w:pStyle w:val="68"/>
        <w:spacing w:line="480" w:lineRule="auto"/>
        <w:ind w:firstLine="482"/>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rPr>
        <w:t>（6）</w:t>
      </w:r>
      <w:r>
        <w:rPr>
          <w:rFonts w:hint="eastAsia" w:ascii="仿宋" w:hAnsi="仿宋" w:eastAsia="仿宋" w:cs="仿宋"/>
          <w:b/>
          <w:color w:val="auto"/>
          <w:sz w:val="24"/>
          <w:szCs w:val="24"/>
          <w:highlight w:val="none"/>
          <w:lang w:val="en-US" w:eastAsia="zh-CN"/>
        </w:rPr>
        <w:t>投标</w:t>
      </w:r>
      <w:r>
        <w:rPr>
          <w:rFonts w:hint="eastAsia" w:ascii="仿宋" w:hAnsi="仿宋" w:eastAsia="仿宋" w:cs="仿宋"/>
          <w:b/>
          <w:color w:val="auto"/>
          <w:sz w:val="24"/>
          <w:szCs w:val="24"/>
          <w:highlight w:val="none"/>
        </w:rPr>
        <w:t>保证金</w:t>
      </w:r>
    </w:p>
    <w:p w14:paraId="7BCB6509">
      <w:pPr>
        <w:pStyle w:val="68"/>
        <w:spacing w:line="480" w:lineRule="auto"/>
        <w:ind w:left="1202" w:leftChars="228" w:hanging="723" w:hangingChars="3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（7）技术条件响应/偏离表</w:t>
      </w:r>
    </w:p>
    <w:p w14:paraId="38005E4E">
      <w:pPr>
        <w:pStyle w:val="25"/>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（8）商务条件响应/偏离表</w:t>
      </w:r>
    </w:p>
    <w:p w14:paraId="63C956AF">
      <w:pPr>
        <w:pStyle w:val="68"/>
        <w:spacing w:line="480" w:lineRule="auto"/>
        <w:ind w:firstLine="48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（9）</w:t>
      </w:r>
      <w:r>
        <w:rPr>
          <w:rFonts w:hint="eastAsia" w:ascii="仿宋" w:hAnsi="仿宋" w:eastAsia="仿宋" w:cs="仿宋"/>
          <w:b/>
          <w:color w:val="auto"/>
          <w:sz w:val="24"/>
          <w:szCs w:val="24"/>
          <w:highlight w:val="none"/>
          <w:lang w:eastAsia="zh-CN"/>
        </w:rPr>
        <w:t>投标人</w:t>
      </w:r>
      <w:r>
        <w:rPr>
          <w:rFonts w:hint="eastAsia" w:ascii="仿宋" w:hAnsi="仿宋" w:eastAsia="仿宋" w:cs="仿宋"/>
          <w:b/>
          <w:color w:val="auto"/>
          <w:sz w:val="24"/>
          <w:szCs w:val="24"/>
          <w:highlight w:val="none"/>
        </w:rPr>
        <w:t>法人营业执照的证明材料、相关资质证书副本等材料的复印件以及商务因素、技术因素、服务因素所需证明资料（格式自拟）</w:t>
      </w:r>
    </w:p>
    <w:p w14:paraId="4FEBD7B9">
      <w:pPr>
        <w:pStyle w:val="68"/>
        <w:spacing w:line="480" w:lineRule="auto"/>
        <w:ind w:firstLine="48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（10）投标人近三年（</w:t>
      </w:r>
      <w:r>
        <w:rPr>
          <w:rFonts w:hint="eastAsia" w:ascii="仿宋" w:hAnsi="仿宋" w:eastAsia="仿宋" w:cs="仿宋"/>
          <w:b/>
          <w:color w:val="auto"/>
          <w:sz w:val="24"/>
          <w:szCs w:val="24"/>
          <w:highlight w:val="none"/>
          <w:lang w:val="en-US" w:eastAsia="zh-CN"/>
        </w:rPr>
        <w:t>2022</w:t>
      </w:r>
      <w:r>
        <w:rPr>
          <w:rFonts w:hint="eastAsia" w:ascii="仿宋" w:hAnsi="仿宋" w:eastAsia="仿宋" w:cs="仿宋"/>
          <w:b/>
          <w:color w:val="auto"/>
          <w:sz w:val="24"/>
          <w:szCs w:val="24"/>
          <w:highlight w:val="none"/>
        </w:rPr>
        <w:t>年</w:t>
      </w: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月1日至今）类似项目业绩</w:t>
      </w:r>
    </w:p>
    <w:p w14:paraId="1D10A4DC">
      <w:pPr>
        <w:pStyle w:val="68"/>
        <w:autoSpaceDE w:val="0"/>
        <w:autoSpaceDN w:val="0"/>
        <w:adjustRightInd w:val="0"/>
        <w:spacing w:line="480" w:lineRule="auto"/>
        <w:ind w:firstLine="48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w:t>
      </w:r>
      <w:r>
        <w:rPr>
          <w:rFonts w:hint="eastAsia" w:ascii="仿宋" w:hAnsi="仿宋" w:eastAsia="仿宋" w:cs="仿宋"/>
          <w:b/>
          <w:color w:val="auto"/>
          <w:sz w:val="24"/>
          <w:szCs w:val="24"/>
          <w:highlight w:val="none"/>
          <w:lang w:val="en-US" w:eastAsia="zh-CN"/>
        </w:rPr>
        <w:t>项目</w:t>
      </w:r>
      <w:r>
        <w:rPr>
          <w:rFonts w:hint="eastAsia" w:ascii="仿宋" w:hAnsi="仿宋" w:eastAsia="仿宋" w:cs="仿宋"/>
          <w:b/>
          <w:color w:val="auto"/>
          <w:sz w:val="24"/>
          <w:szCs w:val="24"/>
          <w:highlight w:val="none"/>
        </w:rPr>
        <w:t>服务方案、质量保证措施等内容</w:t>
      </w:r>
    </w:p>
    <w:p w14:paraId="3A151745">
      <w:pPr>
        <w:pStyle w:val="68"/>
        <w:autoSpaceDE w:val="0"/>
        <w:autoSpaceDN w:val="0"/>
        <w:adjustRightInd w:val="0"/>
        <w:spacing w:line="480" w:lineRule="auto"/>
        <w:ind w:firstLine="482"/>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12</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投标人基本情况说明</w:t>
      </w:r>
    </w:p>
    <w:p w14:paraId="7ADF77EA">
      <w:pPr>
        <w:pStyle w:val="68"/>
        <w:autoSpaceDE w:val="0"/>
        <w:autoSpaceDN w:val="0"/>
        <w:adjustRightInd w:val="0"/>
        <w:spacing w:line="480" w:lineRule="auto"/>
        <w:ind w:firstLine="482"/>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13</w:t>
      </w:r>
      <w:r>
        <w:rPr>
          <w:rFonts w:hint="eastAsia" w:ascii="仿宋" w:hAnsi="仿宋" w:eastAsia="仿宋" w:cs="仿宋"/>
          <w:b/>
          <w:color w:val="auto"/>
          <w:sz w:val="24"/>
          <w:szCs w:val="24"/>
          <w:highlight w:val="none"/>
          <w:lang w:eastAsia="zh-CN"/>
        </w:rPr>
        <w:t>）项目人员配置情况</w:t>
      </w:r>
      <w:r>
        <w:rPr>
          <w:rFonts w:hint="eastAsia" w:ascii="仿宋" w:hAnsi="仿宋" w:eastAsia="仿宋" w:cs="仿宋"/>
          <w:b/>
          <w:color w:val="auto"/>
          <w:sz w:val="24"/>
          <w:szCs w:val="24"/>
          <w:highlight w:val="none"/>
          <w:lang w:val="en-US" w:eastAsia="zh-CN"/>
        </w:rPr>
        <w:t>表</w:t>
      </w:r>
    </w:p>
    <w:p w14:paraId="036BC9A5">
      <w:pPr>
        <w:pStyle w:val="68"/>
        <w:autoSpaceDE w:val="0"/>
        <w:autoSpaceDN w:val="0"/>
        <w:adjustRightInd w:val="0"/>
        <w:spacing w:line="480" w:lineRule="auto"/>
        <w:ind w:firstLine="482"/>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14</w:t>
      </w:r>
      <w:r>
        <w:rPr>
          <w:rFonts w:hint="eastAsia" w:ascii="仿宋" w:hAnsi="仿宋" w:eastAsia="仿宋" w:cs="仿宋"/>
          <w:b/>
          <w:color w:val="auto"/>
          <w:sz w:val="24"/>
          <w:szCs w:val="24"/>
          <w:highlight w:val="none"/>
          <w:lang w:eastAsia="zh-CN"/>
        </w:rPr>
        <w:t>）投标人</w:t>
      </w:r>
      <w:r>
        <w:rPr>
          <w:rFonts w:hint="eastAsia" w:ascii="仿宋" w:hAnsi="仿宋" w:eastAsia="仿宋" w:cs="仿宋"/>
          <w:b/>
          <w:color w:val="auto"/>
          <w:sz w:val="24"/>
          <w:szCs w:val="24"/>
          <w:highlight w:val="none"/>
        </w:rPr>
        <w:t>认为需要提供的其他材料说明</w:t>
      </w:r>
    </w:p>
    <w:p w14:paraId="47E3562E">
      <w:pPr>
        <w:pStyle w:val="68"/>
        <w:autoSpaceDE w:val="0"/>
        <w:autoSpaceDN w:val="0"/>
        <w:adjustRightInd w:val="0"/>
        <w:spacing w:line="480" w:lineRule="auto"/>
        <w:ind w:firstLine="482"/>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val="en-US" w:eastAsia="zh-CN"/>
        </w:rPr>
        <w:t>附件1、</w:t>
      </w:r>
      <w:r>
        <w:rPr>
          <w:rFonts w:hint="eastAsia" w:ascii="仿宋" w:hAnsi="仿宋" w:eastAsia="仿宋" w:cs="仿宋"/>
          <w:b/>
          <w:color w:val="auto"/>
          <w:sz w:val="24"/>
          <w:szCs w:val="24"/>
          <w:highlight w:val="none"/>
          <w:lang w:eastAsia="zh-CN"/>
        </w:rPr>
        <w:t>在经营活动中没有重大违法记录的书面声明</w:t>
      </w:r>
    </w:p>
    <w:p w14:paraId="704E8273">
      <w:pPr>
        <w:pStyle w:val="68"/>
        <w:autoSpaceDE w:val="0"/>
        <w:autoSpaceDN w:val="0"/>
        <w:adjustRightInd w:val="0"/>
        <w:spacing w:line="480" w:lineRule="auto"/>
        <w:ind w:firstLine="482"/>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val="en-US" w:eastAsia="zh-CN"/>
        </w:rPr>
        <w:t>附件2、</w:t>
      </w:r>
      <w:r>
        <w:rPr>
          <w:rFonts w:hint="eastAsia" w:ascii="仿宋" w:hAnsi="仿宋" w:eastAsia="仿宋" w:cs="仿宋"/>
          <w:b/>
          <w:color w:val="auto"/>
          <w:sz w:val="24"/>
          <w:szCs w:val="24"/>
          <w:highlight w:val="none"/>
          <w:lang w:eastAsia="zh-CN"/>
        </w:rPr>
        <w:t>中小企业声明函</w:t>
      </w:r>
    </w:p>
    <w:p w14:paraId="7D142376">
      <w:pPr>
        <w:pStyle w:val="68"/>
        <w:autoSpaceDE w:val="0"/>
        <w:autoSpaceDN w:val="0"/>
        <w:adjustRightInd w:val="0"/>
        <w:spacing w:line="480" w:lineRule="auto"/>
        <w:ind w:firstLine="482"/>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val="en-US" w:eastAsia="zh-CN"/>
        </w:rPr>
        <w:t>附件3、</w:t>
      </w:r>
      <w:r>
        <w:rPr>
          <w:rFonts w:hint="eastAsia" w:ascii="仿宋" w:hAnsi="仿宋" w:eastAsia="仿宋" w:cs="仿宋"/>
          <w:b/>
          <w:color w:val="auto"/>
          <w:sz w:val="24"/>
          <w:szCs w:val="24"/>
          <w:highlight w:val="none"/>
          <w:lang w:eastAsia="zh-CN"/>
        </w:rPr>
        <w:t>残疾人福利性单位声明函（</w:t>
      </w:r>
      <w:r>
        <w:rPr>
          <w:rFonts w:hint="eastAsia" w:ascii="仿宋" w:hAnsi="仿宋" w:eastAsia="仿宋" w:cs="仿宋"/>
          <w:b/>
          <w:color w:val="auto"/>
          <w:sz w:val="24"/>
          <w:szCs w:val="24"/>
          <w:highlight w:val="none"/>
          <w:lang w:val="en-US" w:eastAsia="zh-CN"/>
        </w:rPr>
        <w:t>如有</w:t>
      </w:r>
      <w:r>
        <w:rPr>
          <w:rFonts w:hint="eastAsia" w:ascii="仿宋" w:hAnsi="仿宋" w:eastAsia="仿宋" w:cs="仿宋"/>
          <w:b/>
          <w:color w:val="auto"/>
          <w:sz w:val="24"/>
          <w:szCs w:val="24"/>
          <w:highlight w:val="none"/>
          <w:lang w:eastAsia="zh-CN"/>
        </w:rPr>
        <w:t>）</w:t>
      </w:r>
    </w:p>
    <w:p w14:paraId="0B0CC937">
      <w:pPr>
        <w:pStyle w:val="68"/>
        <w:autoSpaceDE w:val="0"/>
        <w:autoSpaceDN w:val="0"/>
        <w:adjustRightInd w:val="0"/>
        <w:spacing w:line="480" w:lineRule="auto"/>
        <w:ind w:firstLine="482"/>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val="en-US" w:eastAsia="zh-CN"/>
        </w:rPr>
        <w:t>附件4</w:t>
      </w:r>
      <w:r>
        <w:rPr>
          <w:rFonts w:hint="eastAsia" w:ascii="仿宋" w:hAnsi="仿宋" w:eastAsia="仿宋" w:cs="仿宋"/>
          <w:b/>
          <w:color w:val="auto"/>
          <w:sz w:val="24"/>
          <w:szCs w:val="24"/>
          <w:highlight w:val="none"/>
          <w:lang w:eastAsia="zh-CN"/>
        </w:rPr>
        <w:t>省级以上监狱管理局、戒毒管理局（含新疆生产建设兵团）出具的属于监狱企业证明文件（格式自拟）（</w:t>
      </w:r>
      <w:r>
        <w:rPr>
          <w:rFonts w:hint="eastAsia" w:ascii="仿宋" w:hAnsi="仿宋" w:eastAsia="仿宋" w:cs="仿宋"/>
          <w:b/>
          <w:color w:val="auto"/>
          <w:sz w:val="24"/>
          <w:szCs w:val="24"/>
          <w:highlight w:val="none"/>
          <w:lang w:val="en-US" w:eastAsia="zh-CN"/>
        </w:rPr>
        <w:t>如有</w:t>
      </w:r>
      <w:r>
        <w:rPr>
          <w:rFonts w:hint="eastAsia" w:ascii="仿宋" w:hAnsi="仿宋" w:eastAsia="仿宋" w:cs="仿宋"/>
          <w:b/>
          <w:color w:val="auto"/>
          <w:sz w:val="24"/>
          <w:szCs w:val="24"/>
          <w:highlight w:val="none"/>
          <w:lang w:eastAsia="zh-CN"/>
        </w:rPr>
        <w:t>）</w:t>
      </w:r>
    </w:p>
    <w:p w14:paraId="64F16A9E">
      <w:pPr>
        <w:pStyle w:val="25"/>
        <w:rPr>
          <w:rFonts w:hint="eastAsia" w:ascii="仿宋" w:hAnsi="仿宋" w:eastAsia="仿宋" w:cs="仿宋"/>
          <w:color w:val="auto"/>
          <w:spacing w:val="-4"/>
          <w:kern w:val="0"/>
          <w:sz w:val="24"/>
          <w:szCs w:val="24"/>
          <w:highlight w:val="none"/>
        </w:rPr>
      </w:pPr>
    </w:p>
    <w:p w14:paraId="50BFB072">
      <w:pPr>
        <w:pStyle w:val="3"/>
        <w:jc w:val="center"/>
        <w:rPr>
          <w:rStyle w:val="40"/>
          <w:rFonts w:hint="eastAsia" w:ascii="仿宋" w:hAnsi="仿宋" w:eastAsia="仿宋" w:cs="仿宋"/>
          <w:b/>
          <w:bCs w:val="0"/>
          <w:color w:val="auto"/>
          <w:sz w:val="24"/>
          <w:szCs w:val="24"/>
          <w:highlight w:val="none"/>
        </w:rPr>
      </w:pPr>
      <w:bookmarkStart w:id="472" w:name="_Toc11515"/>
      <w:bookmarkStart w:id="473" w:name="_Toc50459034"/>
      <w:bookmarkStart w:id="474" w:name="_Toc19393"/>
      <w:bookmarkStart w:id="475" w:name="_Toc4030"/>
      <w:r>
        <w:rPr>
          <w:rStyle w:val="40"/>
          <w:rFonts w:hint="eastAsia" w:ascii="仿宋" w:hAnsi="仿宋" w:eastAsia="仿宋" w:cs="仿宋"/>
          <w:b/>
          <w:bCs w:val="0"/>
          <w:color w:val="auto"/>
          <w:sz w:val="24"/>
          <w:szCs w:val="24"/>
          <w:highlight w:val="none"/>
        </w:rPr>
        <w:t>1、投标承诺书</w:t>
      </w:r>
      <w:bookmarkEnd w:id="472"/>
      <w:bookmarkEnd w:id="473"/>
      <w:bookmarkEnd w:id="474"/>
      <w:bookmarkEnd w:id="475"/>
    </w:p>
    <w:p w14:paraId="2393D664">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致（采购人）：</w:t>
      </w:r>
    </w:p>
    <w:p w14:paraId="5945CE9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根据已收到的</w:t>
      </w:r>
      <w:r>
        <w:rPr>
          <w:rFonts w:hint="eastAsia" w:ascii="仿宋" w:hAnsi="仿宋" w:eastAsia="仿宋" w:cs="仿宋"/>
          <w:color w:val="auto"/>
          <w:sz w:val="24"/>
          <w:szCs w:val="24"/>
          <w:highlight w:val="none"/>
          <w:u w:val="single"/>
        </w:rPr>
        <w:t xml:space="preserve">                   （项目名称）</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，我单位经研究贵方的</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后：</w:t>
      </w:r>
    </w:p>
    <w:p w14:paraId="4B63CB6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1、我方愿以投标报价</w:t>
      </w:r>
      <w:r>
        <w:rPr>
          <w:rFonts w:hint="eastAsia" w:ascii="仿宋" w:hAnsi="仿宋" w:eastAsia="仿宋" w:cs="仿宋"/>
          <w:color w:val="auto"/>
          <w:sz w:val="24"/>
          <w:szCs w:val="24"/>
          <w:highlight w:val="none"/>
          <w:u w:val="single"/>
        </w:rPr>
        <w:t xml:space="preserve">           元（大写：                     ）             </w:t>
      </w:r>
      <w:r>
        <w:rPr>
          <w:rFonts w:hint="eastAsia" w:ascii="仿宋" w:hAnsi="仿宋" w:eastAsia="仿宋" w:cs="仿宋"/>
          <w:color w:val="auto"/>
          <w:sz w:val="24"/>
          <w:szCs w:val="24"/>
          <w:highlight w:val="none"/>
        </w:rPr>
        <w:t>及投标承诺书的承诺承包本</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中所述招标范围内的全部内容。</w:t>
      </w:r>
    </w:p>
    <w:p w14:paraId="08ADD6BA">
      <w:pPr>
        <w:autoSpaceDE w:val="0"/>
        <w:autoSpaceDN w:val="0"/>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服务期</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p>
    <w:p w14:paraId="528E0062">
      <w:pPr>
        <w:autoSpaceDE w:val="0"/>
        <w:autoSpaceDN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3、如果我方中标，非采购人原因，我方保证将按招标文件要求，完成本项目服务 。</w:t>
      </w:r>
    </w:p>
    <w:p w14:paraId="1B5E8C6D">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4、如果我方中标，我方将按</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规定的时间内签订合同。如果违约，我方愿以投标保证金作为赔偿金，同时贵方有权终止我方中标并选择其它</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w:t>
      </w:r>
    </w:p>
    <w:p w14:paraId="5CEFB0D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5、如果我方中标，完成项目的服务与</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要求不一致的，服务达不到要求，我方将进行整改直至贵方对服务满意为止。</w:t>
      </w:r>
    </w:p>
    <w:p w14:paraId="16176D1A">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6、贵方的</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、答疑文件、</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补充、成交通知书和本投标文件将做为合同附件，具有同等法律效力。</w:t>
      </w:r>
    </w:p>
    <w:p w14:paraId="7296C52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7、如果我方未中标，贵方没有必要对我方做出任何解释和说明，我方将充分尊重和理解贵方的选择。</w:t>
      </w:r>
    </w:p>
    <w:p w14:paraId="19985FBB">
      <w:pPr>
        <w:pStyle w:val="69"/>
        <w:spacing w:line="360" w:lineRule="auto"/>
        <w:ind w:right="480"/>
        <w:rPr>
          <w:rFonts w:hint="eastAsia" w:ascii="仿宋" w:hAnsi="仿宋" w:eastAsia="仿宋" w:cs="仿宋"/>
          <w:color w:val="auto"/>
          <w:sz w:val="24"/>
          <w:szCs w:val="24"/>
          <w:highlight w:val="none"/>
        </w:rPr>
      </w:pPr>
    </w:p>
    <w:p w14:paraId="49E314F6">
      <w:pPr>
        <w:pStyle w:val="69"/>
        <w:spacing w:line="360" w:lineRule="auto"/>
        <w:ind w:right="480"/>
        <w:rPr>
          <w:rFonts w:hint="eastAsia" w:ascii="仿宋" w:hAnsi="仿宋" w:eastAsia="仿宋" w:cs="仿宋"/>
          <w:color w:val="auto"/>
          <w:sz w:val="24"/>
          <w:szCs w:val="24"/>
          <w:highlight w:val="none"/>
        </w:rPr>
      </w:pPr>
    </w:p>
    <w:p w14:paraId="6DE4B70A">
      <w:pPr>
        <w:pStyle w:val="69"/>
        <w:spacing w:line="360" w:lineRule="auto"/>
        <w:ind w:right="480"/>
        <w:rPr>
          <w:rFonts w:hint="eastAsia" w:ascii="仿宋" w:hAnsi="仿宋" w:eastAsia="仿宋" w:cs="仿宋"/>
          <w:color w:val="auto"/>
          <w:sz w:val="24"/>
          <w:szCs w:val="24"/>
          <w:highlight w:val="none"/>
        </w:rPr>
      </w:pPr>
    </w:p>
    <w:p w14:paraId="401A43CD">
      <w:pPr>
        <w:pStyle w:val="69"/>
        <w:spacing w:line="360" w:lineRule="auto"/>
        <w:ind w:right="480"/>
        <w:rPr>
          <w:rFonts w:hint="eastAsia" w:ascii="仿宋" w:hAnsi="仿宋" w:eastAsia="仿宋" w:cs="仿宋"/>
          <w:color w:val="auto"/>
          <w:sz w:val="24"/>
          <w:szCs w:val="24"/>
          <w:highlight w:val="none"/>
        </w:rPr>
      </w:pPr>
    </w:p>
    <w:p w14:paraId="6401EC76">
      <w:pPr>
        <w:pStyle w:val="69"/>
        <w:spacing w:line="360" w:lineRule="auto"/>
        <w:ind w:right="480"/>
        <w:rPr>
          <w:rFonts w:hint="eastAsia" w:ascii="仿宋" w:hAnsi="仿宋" w:eastAsia="仿宋" w:cs="仿宋"/>
          <w:color w:val="auto"/>
          <w:sz w:val="24"/>
          <w:szCs w:val="24"/>
          <w:highlight w:val="none"/>
        </w:rPr>
      </w:pPr>
    </w:p>
    <w:p w14:paraId="5E16980E">
      <w:pPr>
        <w:pStyle w:val="69"/>
        <w:spacing w:line="360" w:lineRule="auto"/>
        <w:ind w:right="480" w:firstLine="3360" w:firstLineChars="1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（盖章）：</w:t>
      </w:r>
    </w:p>
    <w:p w14:paraId="52387A3D">
      <w:pPr>
        <w:pStyle w:val="69"/>
        <w:spacing w:line="360" w:lineRule="auto"/>
        <w:ind w:right="84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法定代表人或委托代理人（签字或</w:t>
      </w:r>
      <w:r>
        <w:rPr>
          <w:rFonts w:hint="eastAsia" w:ascii="仿宋" w:hAnsi="仿宋" w:eastAsia="仿宋" w:cs="仿宋"/>
          <w:color w:val="auto"/>
          <w:sz w:val="24"/>
          <w:szCs w:val="24"/>
          <w:highlight w:val="none"/>
          <w:lang w:val="en-US" w:eastAsia="zh-CN"/>
        </w:rPr>
        <w:t>盖</w:t>
      </w:r>
      <w:r>
        <w:rPr>
          <w:rFonts w:hint="eastAsia" w:ascii="仿宋" w:hAnsi="仿宋" w:eastAsia="仿宋" w:cs="仿宋"/>
          <w:color w:val="auto"/>
          <w:sz w:val="24"/>
          <w:szCs w:val="24"/>
          <w:highlight w:val="none"/>
        </w:rPr>
        <w:t>章）：</w:t>
      </w:r>
    </w:p>
    <w:p w14:paraId="1AE4346C">
      <w:pPr>
        <w:pStyle w:val="69"/>
        <w:spacing w:line="360" w:lineRule="auto"/>
        <w:ind w:right="840" w:firstLine="3360" w:firstLineChars="1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   期：  </w:t>
      </w:r>
    </w:p>
    <w:p w14:paraId="74DC4120">
      <w:pPr>
        <w:pStyle w:val="25"/>
        <w:rPr>
          <w:rFonts w:hint="eastAsia" w:ascii="仿宋" w:hAnsi="仿宋" w:eastAsia="仿宋" w:cs="仿宋"/>
          <w:color w:val="auto"/>
          <w:spacing w:val="-4"/>
          <w:kern w:val="0"/>
          <w:sz w:val="24"/>
          <w:szCs w:val="24"/>
          <w:highlight w:val="none"/>
        </w:rPr>
      </w:pPr>
    </w:p>
    <w:p w14:paraId="04BD8AB0">
      <w:pPr>
        <w:autoSpaceDE w:val="0"/>
        <w:autoSpaceDN w:val="0"/>
        <w:spacing w:line="360" w:lineRule="auto"/>
        <w:jc w:val="center"/>
        <w:rPr>
          <w:rFonts w:hint="eastAsia" w:ascii="仿宋" w:hAnsi="仿宋" w:eastAsia="仿宋" w:cs="仿宋"/>
          <w:b/>
          <w:color w:val="auto"/>
          <w:sz w:val="24"/>
          <w:szCs w:val="24"/>
          <w:highlight w:val="none"/>
        </w:rPr>
      </w:pPr>
      <w:bookmarkStart w:id="476" w:name="_Toc6735_WPSOffice_Level1"/>
      <w:bookmarkStart w:id="477" w:name="_Toc28014_WPSOffice_Level1"/>
    </w:p>
    <w:p w14:paraId="168B46C9">
      <w:pPr>
        <w:pStyle w:val="25"/>
        <w:rPr>
          <w:rFonts w:hint="eastAsia" w:ascii="仿宋" w:hAnsi="仿宋" w:eastAsia="仿宋" w:cs="仿宋"/>
          <w:color w:val="auto"/>
          <w:sz w:val="24"/>
          <w:szCs w:val="24"/>
          <w:highlight w:val="none"/>
        </w:rPr>
      </w:pPr>
    </w:p>
    <w:p w14:paraId="604FB244">
      <w:pPr>
        <w:pStyle w:val="3"/>
        <w:jc w:val="center"/>
        <w:rPr>
          <w:rStyle w:val="40"/>
          <w:rFonts w:hint="eastAsia" w:ascii="仿宋" w:hAnsi="仿宋" w:eastAsia="仿宋" w:cs="仿宋"/>
          <w:b/>
          <w:bCs w:val="0"/>
          <w:color w:val="auto"/>
          <w:sz w:val="24"/>
          <w:szCs w:val="24"/>
          <w:highlight w:val="none"/>
        </w:rPr>
      </w:pPr>
      <w:bookmarkStart w:id="478" w:name="_Toc3064"/>
      <w:r>
        <w:rPr>
          <w:rStyle w:val="40"/>
          <w:rFonts w:hint="eastAsia" w:ascii="仿宋" w:hAnsi="仿宋" w:eastAsia="仿宋" w:cs="仿宋"/>
          <w:b/>
          <w:bCs w:val="0"/>
          <w:color w:val="auto"/>
          <w:sz w:val="24"/>
          <w:szCs w:val="24"/>
          <w:highlight w:val="none"/>
        </w:rPr>
        <w:t>2、</w:t>
      </w:r>
      <w:bookmarkEnd w:id="476"/>
      <w:bookmarkEnd w:id="477"/>
      <w:r>
        <w:rPr>
          <w:rStyle w:val="40"/>
          <w:rFonts w:hint="eastAsia" w:ascii="仿宋" w:hAnsi="仿宋" w:eastAsia="仿宋" w:cs="仿宋"/>
          <w:b/>
          <w:bCs w:val="0"/>
          <w:color w:val="auto"/>
          <w:sz w:val="24"/>
          <w:szCs w:val="24"/>
          <w:highlight w:val="none"/>
        </w:rPr>
        <w:t>报价一览表</w:t>
      </w:r>
      <w:bookmarkEnd w:id="478"/>
    </w:p>
    <w:p w14:paraId="3EFFF08B">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p w14:paraId="0A6AFE78">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招标编号：</w:t>
      </w:r>
    </w:p>
    <w:p w14:paraId="7D1B8C85">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名称：</w:t>
      </w:r>
    </w:p>
    <w:p w14:paraId="50496B6E">
      <w:pPr>
        <w:pStyle w:val="25"/>
        <w:rPr>
          <w:rFonts w:hint="eastAsia" w:ascii="仿宋" w:hAnsi="仿宋" w:eastAsia="仿宋" w:cs="仿宋"/>
          <w:color w:val="auto"/>
          <w:sz w:val="24"/>
          <w:szCs w:val="24"/>
          <w:highlight w:val="none"/>
        </w:rPr>
      </w:pPr>
    </w:p>
    <w:p w14:paraId="1A58C259">
      <w:pPr>
        <w:pStyle w:val="25"/>
        <w:rPr>
          <w:rFonts w:hint="eastAsia" w:ascii="仿宋" w:hAnsi="仿宋" w:eastAsia="仿宋" w:cs="仿宋"/>
          <w:color w:val="auto"/>
          <w:sz w:val="24"/>
          <w:szCs w:val="24"/>
          <w:highlight w:val="none"/>
        </w:rPr>
      </w:pPr>
    </w:p>
    <w:tbl>
      <w:tblPr>
        <w:tblStyle w:val="33"/>
        <w:tblW w:w="9200" w:type="dxa"/>
        <w:tblInd w:w="0" w:type="dxa"/>
        <w:tblLayout w:type="fixed"/>
        <w:tblCellMar>
          <w:top w:w="0" w:type="dxa"/>
          <w:left w:w="0" w:type="dxa"/>
          <w:bottom w:w="0" w:type="dxa"/>
          <w:right w:w="0" w:type="dxa"/>
        </w:tblCellMar>
      </w:tblPr>
      <w:tblGrid>
        <w:gridCol w:w="912"/>
        <w:gridCol w:w="1664"/>
        <w:gridCol w:w="5928"/>
        <w:gridCol w:w="696"/>
      </w:tblGrid>
      <w:tr w14:paraId="3E9FCE65">
        <w:tblPrEx>
          <w:tblCellMar>
            <w:top w:w="0" w:type="dxa"/>
            <w:left w:w="0" w:type="dxa"/>
            <w:bottom w:w="0" w:type="dxa"/>
            <w:right w:w="0" w:type="dxa"/>
          </w:tblCellMar>
        </w:tblPrEx>
        <w:trPr>
          <w:trHeight w:val="684" w:hRule="atLeast"/>
        </w:trPr>
        <w:tc>
          <w:tcPr>
            <w:tcW w:w="912" w:type="dxa"/>
            <w:tcBorders>
              <w:top w:val="single" w:color="auto" w:sz="4" w:space="0"/>
              <w:left w:val="single" w:color="auto" w:sz="4" w:space="0"/>
              <w:bottom w:val="single" w:color="auto" w:sz="4" w:space="0"/>
              <w:right w:val="single" w:color="auto" w:sz="4" w:space="0"/>
            </w:tcBorders>
            <w:vAlign w:val="center"/>
          </w:tcPr>
          <w:p w14:paraId="700E5375">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序号</w:t>
            </w:r>
          </w:p>
        </w:tc>
        <w:tc>
          <w:tcPr>
            <w:tcW w:w="1664" w:type="dxa"/>
            <w:tcBorders>
              <w:top w:val="single" w:color="auto" w:sz="4" w:space="0"/>
              <w:left w:val="single" w:color="auto" w:sz="4" w:space="0"/>
              <w:bottom w:val="single" w:color="auto" w:sz="4" w:space="0"/>
              <w:right w:val="single" w:color="auto" w:sz="4" w:space="0"/>
            </w:tcBorders>
            <w:vAlign w:val="center"/>
          </w:tcPr>
          <w:p w14:paraId="05713E1B">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条款名称</w:t>
            </w:r>
          </w:p>
        </w:tc>
        <w:tc>
          <w:tcPr>
            <w:tcW w:w="5928" w:type="dxa"/>
            <w:tcBorders>
              <w:top w:val="single" w:color="auto" w:sz="4" w:space="0"/>
              <w:left w:val="single" w:color="auto" w:sz="4" w:space="0"/>
              <w:bottom w:val="single" w:color="auto" w:sz="4" w:space="0"/>
              <w:right w:val="single" w:color="auto" w:sz="4" w:space="0"/>
            </w:tcBorders>
            <w:vAlign w:val="center"/>
          </w:tcPr>
          <w:p w14:paraId="2F4E7790">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内容</w:t>
            </w:r>
          </w:p>
        </w:tc>
        <w:tc>
          <w:tcPr>
            <w:tcW w:w="696" w:type="dxa"/>
            <w:tcBorders>
              <w:top w:val="single" w:color="auto" w:sz="4" w:space="0"/>
              <w:left w:val="single" w:color="auto" w:sz="4" w:space="0"/>
              <w:bottom w:val="single" w:color="auto" w:sz="4" w:space="0"/>
              <w:right w:val="single" w:color="auto" w:sz="4" w:space="0"/>
            </w:tcBorders>
            <w:vAlign w:val="center"/>
          </w:tcPr>
          <w:p w14:paraId="797F62DF">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备注</w:t>
            </w:r>
          </w:p>
        </w:tc>
      </w:tr>
      <w:tr w14:paraId="119DB4FE">
        <w:tblPrEx>
          <w:tblCellMar>
            <w:top w:w="0" w:type="dxa"/>
            <w:left w:w="0" w:type="dxa"/>
            <w:bottom w:w="0" w:type="dxa"/>
            <w:right w:w="0" w:type="dxa"/>
          </w:tblCellMar>
        </w:tblPrEx>
        <w:trPr>
          <w:trHeight w:val="749" w:hRule="atLeast"/>
        </w:trPr>
        <w:tc>
          <w:tcPr>
            <w:tcW w:w="912" w:type="dxa"/>
            <w:tcBorders>
              <w:top w:val="single" w:color="auto" w:sz="4" w:space="0"/>
              <w:left w:val="single" w:color="auto" w:sz="4" w:space="0"/>
              <w:bottom w:val="single" w:color="auto" w:sz="4" w:space="0"/>
              <w:right w:val="single" w:color="auto" w:sz="4" w:space="0"/>
            </w:tcBorders>
            <w:vAlign w:val="center"/>
          </w:tcPr>
          <w:p w14:paraId="51440F14">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p>
        </w:tc>
        <w:tc>
          <w:tcPr>
            <w:tcW w:w="1664" w:type="dxa"/>
            <w:tcBorders>
              <w:top w:val="single" w:color="auto" w:sz="4" w:space="0"/>
              <w:left w:val="single" w:color="auto" w:sz="4" w:space="0"/>
              <w:bottom w:val="single" w:color="auto" w:sz="4" w:space="0"/>
              <w:right w:val="single" w:color="auto" w:sz="4" w:space="0"/>
            </w:tcBorders>
            <w:vAlign w:val="center"/>
          </w:tcPr>
          <w:p w14:paraId="3403ABC8">
            <w:pPr>
              <w:pStyle w:val="52"/>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采购内容</w:t>
            </w:r>
          </w:p>
        </w:tc>
        <w:tc>
          <w:tcPr>
            <w:tcW w:w="5928" w:type="dxa"/>
            <w:tcBorders>
              <w:top w:val="single" w:color="auto" w:sz="4" w:space="0"/>
              <w:left w:val="single" w:color="auto" w:sz="4" w:space="0"/>
              <w:bottom w:val="single" w:color="auto" w:sz="4" w:space="0"/>
              <w:right w:val="single" w:color="auto" w:sz="4" w:space="0"/>
            </w:tcBorders>
            <w:vAlign w:val="center"/>
          </w:tcPr>
          <w:p w14:paraId="6BD5DEFB">
            <w:pPr>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完全响应</w:t>
            </w:r>
            <w:r>
              <w:rPr>
                <w:rFonts w:hint="eastAsia" w:ascii="仿宋" w:hAnsi="仿宋" w:eastAsia="仿宋" w:cs="仿宋"/>
                <w:color w:val="auto"/>
                <w:kern w:val="0"/>
                <w:sz w:val="24"/>
                <w:szCs w:val="24"/>
                <w:highlight w:val="none"/>
                <w:lang w:eastAsia="zh-CN"/>
              </w:rPr>
              <w:t>招标文件</w:t>
            </w:r>
            <w:r>
              <w:rPr>
                <w:rFonts w:hint="eastAsia" w:ascii="仿宋" w:hAnsi="仿宋" w:eastAsia="仿宋" w:cs="仿宋"/>
                <w:color w:val="auto"/>
                <w:kern w:val="0"/>
                <w:sz w:val="24"/>
                <w:szCs w:val="24"/>
                <w:highlight w:val="none"/>
              </w:rPr>
              <w:t>要求</w:t>
            </w:r>
          </w:p>
        </w:tc>
        <w:tc>
          <w:tcPr>
            <w:tcW w:w="696" w:type="dxa"/>
            <w:tcBorders>
              <w:top w:val="single" w:color="auto" w:sz="4" w:space="0"/>
              <w:left w:val="single" w:color="auto" w:sz="4" w:space="0"/>
              <w:bottom w:val="single" w:color="auto" w:sz="4" w:space="0"/>
              <w:right w:val="single" w:color="auto" w:sz="4" w:space="0"/>
            </w:tcBorders>
            <w:vAlign w:val="center"/>
          </w:tcPr>
          <w:p w14:paraId="72695F80">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p>
        </w:tc>
      </w:tr>
      <w:tr w14:paraId="5EEDD009">
        <w:tblPrEx>
          <w:tblCellMar>
            <w:top w:w="0" w:type="dxa"/>
            <w:left w:w="0" w:type="dxa"/>
            <w:bottom w:w="0" w:type="dxa"/>
            <w:right w:w="0" w:type="dxa"/>
          </w:tblCellMar>
        </w:tblPrEx>
        <w:trPr>
          <w:trHeight w:val="749" w:hRule="atLeast"/>
        </w:trPr>
        <w:tc>
          <w:tcPr>
            <w:tcW w:w="912" w:type="dxa"/>
            <w:tcBorders>
              <w:top w:val="single" w:color="auto" w:sz="4" w:space="0"/>
              <w:left w:val="single" w:color="auto" w:sz="4" w:space="0"/>
              <w:bottom w:val="single" w:color="auto" w:sz="4" w:space="0"/>
              <w:right w:val="single" w:color="auto" w:sz="4" w:space="0"/>
            </w:tcBorders>
            <w:vAlign w:val="center"/>
          </w:tcPr>
          <w:p w14:paraId="30A7FA48">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1664" w:type="dxa"/>
            <w:tcBorders>
              <w:top w:val="single" w:color="auto" w:sz="4" w:space="0"/>
              <w:left w:val="single" w:color="auto" w:sz="4" w:space="0"/>
              <w:bottom w:val="single" w:color="auto" w:sz="4" w:space="0"/>
              <w:right w:val="single" w:color="auto" w:sz="4" w:space="0"/>
            </w:tcBorders>
            <w:vAlign w:val="center"/>
          </w:tcPr>
          <w:p w14:paraId="57DD07CA">
            <w:pPr>
              <w:pStyle w:val="52"/>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服务期限</w:t>
            </w:r>
          </w:p>
        </w:tc>
        <w:tc>
          <w:tcPr>
            <w:tcW w:w="5928" w:type="dxa"/>
            <w:tcBorders>
              <w:top w:val="single" w:color="auto" w:sz="4" w:space="0"/>
              <w:left w:val="single" w:color="auto" w:sz="4" w:space="0"/>
              <w:bottom w:val="single" w:color="auto" w:sz="4" w:space="0"/>
              <w:right w:val="single" w:color="auto" w:sz="4" w:space="0"/>
            </w:tcBorders>
            <w:vAlign w:val="center"/>
          </w:tcPr>
          <w:p w14:paraId="3785518E">
            <w:pPr>
              <w:tabs>
                <w:tab w:val="left" w:pos="4980"/>
                <w:tab w:val="right" w:pos="9000"/>
              </w:tabs>
              <w:spacing w:line="360" w:lineRule="auto"/>
              <w:jc w:val="left"/>
              <w:rPr>
                <w:rFonts w:hint="eastAsia" w:ascii="仿宋" w:hAnsi="仿宋" w:eastAsia="仿宋" w:cs="仿宋"/>
                <w:color w:val="auto"/>
                <w:kern w:val="0"/>
                <w:sz w:val="24"/>
                <w:szCs w:val="24"/>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1A20FB48">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u w:val="single"/>
              </w:rPr>
            </w:pPr>
          </w:p>
        </w:tc>
      </w:tr>
      <w:tr w14:paraId="43626520">
        <w:tblPrEx>
          <w:tblCellMar>
            <w:top w:w="0" w:type="dxa"/>
            <w:left w:w="0" w:type="dxa"/>
            <w:bottom w:w="0" w:type="dxa"/>
            <w:right w:w="0" w:type="dxa"/>
          </w:tblCellMar>
        </w:tblPrEx>
        <w:trPr>
          <w:trHeight w:val="749" w:hRule="atLeast"/>
        </w:trPr>
        <w:tc>
          <w:tcPr>
            <w:tcW w:w="912" w:type="dxa"/>
            <w:tcBorders>
              <w:top w:val="single" w:color="auto" w:sz="4" w:space="0"/>
              <w:left w:val="single" w:color="auto" w:sz="4" w:space="0"/>
              <w:bottom w:val="single" w:color="auto" w:sz="4" w:space="0"/>
              <w:right w:val="single" w:color="auto" w:sz="4" w:space="0"/>
            </w:tcBorders>
            <w:vAlign w:val="center"/>
          </w:tcPr>
          <w:p w14:paraId="138CD843">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1664" w:type="dxa"/>
            <w:tcBorders>
              <w:top w:val="single" w:color="auto" w:sz="4" w:space="0"/>
              <w:left w:val="single" w:color="auto" w:sz="4" w:space="0"/>
              <w:bottom w:val="single" w:color="auto" w:sz="4" w:space="0"/>
              <w:right w:val="single" w:color="auto" w:sz="4" w:space="0"/>
            </w:tcBorders>
            <w:vAlign w:val="center"/>
          </w:tcPr>
          <w:p w14:paraId="10F3F6E5">
            <w:pPr>
              <w:pStyle w:val="52"/>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服务地点</w:t>
            </w:r>
          </w:p>
        </w:tc>
        <w:tc>
          <w:tcPr>
            <w:tcW w:w="5928" w:type="dxa"/>
            <w:tcBorders>
              <w:top w:val="single" w:color="auto" w:sz="4" w:space="0"/>
              <w:left w:val="single" w:color="auto" w:sz="4" w:space="0"/>
              <w:bottom w:val="single" w:color="auto" w:sz="4" w:space="0"/>
              <w:right w:val="single" w:color="auto" w:sz="4" w:space="0"/>
            </w:tcBorders>
            <w:vAlign w:val="center"/>
          </w:tcPr>
          <w:p w14:paraId="5AEFE45E">
            <w:pPr>
              <w:spacing w:line="360" w:lineRule="auto"/>
              <w:jc w:val="left"/>
              <w:rPr>
                <w:rFonts w:hint="eastAsia" w:ascii="仿宋" w:hAnsi="仿宋" w:eastAsia="仿宋" w:cs="仿宋"/>
                <w:color w:val="auto"/>
                <w:sz w:val="24"/>
                <w:szCs w:val="24"/>
                <w:highlight w:val="none"/>
                <w:shd w:val="clear" w:color="auto" w:fill="FFFFFF"/>
                <w:lang w:eastAsia="zh-CN"/>
              </w:rPr>
            </w:pPr>
          </w:p>
        </w:tc>
        <w:tc>
          <w:tcPr>
            <w:tcW w:w="696" w:type="dxa"/>
            <w:tcBorders>
              <w:top w:val="single" w:color="auto" w:sz="4" w:space="0"/>
              <w:left w:val="single" w:color="auto" w:sz="4" w:space="0"/>
              <w:bottom w:val="single" w:color="auto" w:sz="4" w:space="0"/>
              <w:right w:val="single" w:color="auto" w:sz="4" w:space="0"/>
            </w:tcBorders>
            <w:vAlign w:val="center"/>
          </w:tcPr>
          <w:p w14:paraId="0E28B46A">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u w:val="single"/>
              </w:rPr>
            </w:pPr>
          </w:p>
        </w:tc>
      </w:tr>
      <w:tr w14:paraId="3304B7F8">
        <w:tblPrEx>
          <w:tblCellMar>
            <w:top w:w="0" w:type="dxa"/>
            <w:left w:w="0" w:type="dxa"/>
            <w:bottom w:w="0" w:type="dxa"/>
            <w:right w:w="0" w:type="dxa"/>
          </w:tblCellMar>
        </w:tblPrEx>
        <w:trPr>
          <w:trHeight w:val="1383" w:hRule="atLeast"/>
        </w:trPr>
        <w:tc>
          <w:tcPr>
            <w:tcW w:w="912" w:type="dxa"/>
            <w:tcBorders>
              <w:top w:val="single" w:color="auto" w:sz="4" w:space="0"/>
              <w:left w:val="single" w:color="auto" w:sz="4" w:space="0"/>
              <w:bottom w:val="single" w:color="auto" w:sz="4" w:space="0"/>
              <w:right w:val="single" w:color="auto" w:sz="4" w:space="0"/>
            </w:tcBorders>
            <w:vAlign w:val="center"/>
          </w:tcPr>
          <w:p w14:paraId="31354C05">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w:t>
            </w:r>
          </w:p>
        </w:tc>
        <w:tc>
          <w:tcPr>
            <w:tcW w:w="1664" w:type="dxa"/>
            <w:tcBorders>
              <w:top w:val="single" w:color="auto" w:sz="4" w:space="0"/>
              <w:left w:val="single" w:color="auto" w:sz="4" w:space="0"/>
              <w:bottom w:val="single" w:color="auto" w:sz="4" w:space="0"/>
              <w:right w:val="single" w:color="auto" w:sz="4" w:space="0"/>
            </w:tcBorders>
            <w:vAlign w:val="center"/>
          </w:tcPr>
          <w:p w14:paraId="3116F22F">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投标报价  （元）</w:t>
            </w:r>
          </w:p>
        </w:tc>
        <w:tc>
          <w:tcPr>
            <w:tcW w:w="5928" w:type="dxa"/>
            <w:tcBorders>
              <w:top w:val="single" w:color="auto" w:sz="4" w:space="0"/>
              <w:left w:val="single" w:color="auto" w:sz="4" w:space="0"/>
              <w:bottom w:val="single" w:color="auto" w:sz="4" w:space="0"/>
              <w:right w:val="single" w:color="auto" w:sz="4" w:space="0"/>
            </w:tcBorders>
            <w:vAlign w:val="center"/>
          </w:tcPr>
          <w:p w14:paraId="46C99C80">
            <w:pPr>
              <w:widowControl/>
              <w:adjustRightInd w:val="0"/>
              <w:snapToGrid w:val="0"/>
              <w:spacing w:before="100" w:beforeAutospacing="1" w:after="100" w:afterAutospacing="1" w:line="360" w:lineRule="auto"/>
              <w:jc w:val="left"/>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投标总价： 小写：</w:t>
            </w:r>
          </w:p>
          <w:p w14:paraId="3C9449D6">
            <w:pPr>
              <w:widowControl/>
              <w:adjustRightInd w:val="0"/>
              <w:snapToGrid w:val="0"/>
              <w:spacing w:before="100" w:beforeAutospacing="1" w:after="100" w:afterAutospacing="1" w:line="360" w:lineRule="auto"/>
              <w:ind w:firstLine="1200" w:firstLineChars="500"/>
              <w:jc w:val="left"/>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rPr>
              <w:t xml:space="preserve"> 大写：</w:t>
            </w:r>
          </w:p>
        </w:tc>
        <w:tc>
          <w:tcPr>
            <w:tcW w:w="696" w:type="dxa"/>
            <w:tcBorders>
              <w:top w:val="single" w:color="auto" w:sz="4" w:space="0"/>
              <w:left w:val="single" w:color="auto" w:sz="4" w:space="0"/>
              <w:bottom w:val="single" w:color="auto" w:sz="4" w:space="0"/>
              <w:right w:val="single" w:color="auto" w:sz="4" w:space="0"/>
            </w:tcBorders>
            <w:vAlign w:val="center"/>
          </w:tcPr>
          <w:p w14:paraId="69C831C4">
            <w:pPr>
              <w:widowControl/>
              <w:adjustRightInd w:val="0"/>
              <w:snapToGrid w:val="0"/>
              <w:spacing w:before="100" w:beforeAutospacing="1" w:after="100" w:afterAutospacing="1" w:line="360" w:lineRule="auto"/>
              <w:jc w:val="center"/>
              <w:rPr>
                <w:rFonts w:hint="eastAsia" w:ascii="仿宋" w:hAnsi="仿宋" w:eastAsia="仿宋" w:cs="仿宋"/>
                <w:color w:val="auto"/>
                <w:kern w:val="0"/>
                <w:sz w:val="24"/>
                <w:szCs w:val="24"/>
                <w:highlight w:val="none"/>
                <w:u w:val="single"/>
              </w:rPr>
            </w:pPr>
          </w:p>
        </w:tc>
      </w:tr>
    </w:tbl>
    <w:p w14:paraId="373404E6">
      <w:pPr>
        <w:spacing w:line="360" w:lineRule="auto"/>
        <w:rPr>
          <w:rFonts w:hint="eastAsia" w:ascii="仿宋" w:hAnsi="仿宋" w:eastAsia="仿宋" w:cs="仿宋"/>
          <w:color w:val="auto"/>
          <w:sz w:val="24"/>
          <w:szCs w:val="24"/>
          <w:highlight w:val="none"/>
        </w:rPr>
      </w:pPr>
    </w:p>
    <w:p w14:paraId="21C90361">
      <w:pPr>
        <w:spacing w:line="360" w:lineRule="auto"/>
        <w:rPr>
          <w:rFonts w:hint="eastAsia" w:ascii="仿宋" w:hAnsi="仿宋" w:eastAsia="仿宋" w:cs="仿宋"/>
          <w:color w:val="auto"/>
          <w:sz w:val="24"/>
          <w:szCs w:val="24"/>
          <w:highlight w:val="none"/>
        </w:rPr>
      </w:pPr>
    </w:p>
    <w:p w14:paraId="2AE0F77A">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投标单位盖章：</w:t>
      </w:r>
    </w:p>
    <w:p w14:paraId="15814F07">
      <w:pPr>
        <w:pStyle w:val="25"/>
        <w:spacing w:line="360" w:lineRule="auto"/>
        <w:rPr>
          <w:rFonts w:hint="eastAsia" w:ascii="仿宋" w:hAnsi="仿宋" w:eastAsia="仿宋" w:cs="仿宋"/>
          <w:color w:val="auto"/>
          <w:sz w:val="24"/>
          <w:szCs w:val="24"/>
          <w:highlight w:val="none"/>
        </w:rPr>
      </w:pPr>
    </w:p>
    <w:p w14:paraId="00313227">
      <w:pPr>
        <w:spacing w:line="360" w:lineRule="auto"/>
        <w:ind w:left="7680" w:hanging="7680" w:hangingChars="3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投标单位法人或授权代表签字或盖章：                                                                     </w:t>
      </w:r>
    </w:p>
    <w:p w14:paraId="561BD62D">
      <w:pPr>
        <w:spacing w:line="360" w:lineRule="auto"/>
        <w:ind w:left="7680" w:hanging="7680" w:hangingChars="32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14:paraId="7BA14F3C">
      <w:pPr>
        <w:pStyle w:val="20"/>
        <w:rPr>
          <w:rFonts w:hint="eastAsia" w:ascii="仿宋" w:hAnsi="仿宋" w:eastAsia="仿宋" w:cs="仿宋"/>
          <w:color w:val="auto"/>
          <w:sz w:val="24"/>
          <w:szCs w:val="24"/>
          <w:highlight w:val="none"/>
        </w:rPr>
      </w:pPr>
    </w:p>
    <w:p w14:paraId="573E3398">
      <w:pPr>
        <w:pStyle w:val="20"/>
        <w:rPr>
          <w:rFonts w:hint="eastAsia" w:ascii="仿宋" w:hAnsi="仿宋" w:eastAsia="仿宋" w:cs="仿宋"/>
          <w:color w:val="auto"/>
          <w:sz w:val="24"/>
          <w:szCs w:val="24"/>
          <w:highlight w:val="none"/>
        </w:rPr>
      </w:pPr>
    </w:p>
    <w:p w14:paraId="65F75708">
      <w:pPr>
        <w:pStyle w:val="20"/>
        <w:rPr>
          <w:rFonts w:hint="eastAsia" w:ascii="仿宋" w:hAnsi="仿宋" w:eastAsia="仿宋" w:cs="仿宋"/>
          <w:color w:val="auto"/>
          <w:sz w:val="24"/>
          <w:szCs w:val="24"/>
          <w:highlight w:val="none"/>
        </w:rPr>
      </w:pPr>
    </w:p>
    <w:p w14:paraId="5F70D8D8">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52261B32">
      <w:pPr>
        <w:pStyle w:val="3"/>
        <w:jc w:val="center"/>
        <w:rPr>
          <w:rStyle w:val="40"/>
          <w:rFonts w:hint="eastAsia" w:ascii="仿宋" w:hAnsi="仿宋" w:eastAsia="仿宋" w:cs="仿宋"/>
          <w:b/>
          <w:bCs w:val="0"/>
          <w:color w:val="auto"/>
          <w:sz w:val="24"/>
          <w:szCs w:val="24"/>
          <w:highlight w:val="none"/>
        </w:rPr>
      </w:pPr>
      <w:bookmarkStart w:id="479" w:name="_Toc8766"/>
      <w:r>
        <w:rPr>
          <w:rStyle w:val="40"/>
          <w:rFonts w:hint="eastAsia" w:ascii="仿宋" w:hAnsi="仿宋" w:eastAsia="仿宋" w:cs="仿宋"/>
          <w:b/>
          <w:bCs w:val="0"/>
          <w:color w:val="auto"/>
          <w:sz w:val="24"/>
          <w:szCs w:val="24"/>
          <w:highlight w:val="none"/>
          <w:lang w:val="en-US" w:eastAsia="zh-CN"/>
        </w:rPr>
        <w:t>3、</w:t>
      </w:r>
      <w:r>
        <w:rPr>
          <w:rStyle w:val="40"/>
          <w:rFonts w:hint="eastAsia" w:ascii="仿宋" w:hAnsi="仿宋" w:eastAsia="仿宋" w:cs="仿宋"/>
          <w:b/>
          <w:bCs w:val="0"/>
          <w:color w:val="auto"/>
          <w:sz w:val="24"/>
          <w:szCs w:val="24"/>
          <w:highlight w:val="none"/>
        </w:rPr>
        <w:t>报价一览明细表</w:t>
      </w:r>
      <w:bookmarkEnd w:id="479"/>
    </w:p>
    <w:p w14:paraId="620FCE3D">
      <w:pPr>
        <w:pStyle w:val="20"/>
        <w:spacing w:line="48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投标人名称：</w:t>
      </w:r>
      <w:r>
        <w:rPr>
          <w:rFonts w:hint="eastAsia" w:ascii="仿宋" w:hAnsi="仿宋" w:eastAsia="仿宋" w:cs="仿宋"/>
          <w:color w:val="auto"/>
          <w:sz w:val="24"/>
          <w:szCs w:val="24"/>
          <w:highlight w:val="none"/>
          <w:u w:val="single"/>
        </w:rPr>
        <w:t xml:space="preserve">             </w:t>
      </w:r>
    </w:p>
    <w:p w14:paraId="44063E2C">
      <w:pPr>
        <w:pStyle w:val="20"/>
        <w:spacing w:line="48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招标编号：</w:t>
      </w:r>
      <w:r>
        <w:rPr>
          <w:rFonts w:hint="eastAsia" w:ascii="仿宋" w:hAnsi="仿宋" w:eastAsia="仿宋" w:cs="仿宋"/>
          <w:color w:val="auto"/>
          <w:sz w:val="24"/>
          <w:szCs w:val="24"/>
          <w:highlight w:val="none"/>
          <w:u w:val="single"/>
        </w:rPr>
        <w:t xml:space="preserve">               </w:t>
      </w:r>
    </w:p>
    <w:tbl>
      <w:tblPr>
        <w:tblStyle w:val="34"/>
        <w:tblW w:w="9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377"/>
        <w:gridCol w:w="1070"/>
        <w:gridCol w:w="1377"/>
        <w:gridCol w:w="1377"/>
        <w:gridCol w:w="2601"/>
        <w:gridCol w:w="666"/>
      </w:tblGrid>
      <w:tr w14:paraId="0B77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728" w:type="dxa"/>
            <w:vAlign w:val="center"/>
          </w:tcPr>
          <w:p w14:paraId="14A15DEA">
            <w:pPr>
              <w:pStyle w:val="2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377" w:type="dxa"/>
            <w:vAlign w:val="center"/>
          </w:tcPr>
          <w:p w14:paraId="6526D260">
            <w:pPr>
              <w:pStyle w:val="2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w:t>
            </w:r>
          </w:p>
        </w:tc>
        <w:tc>
          <w:tcPr>
            <w:tcW w:w="1070" w:type="dxa"/>
            <w:vAlign w:val="center"/>
          </w:tcPr>
          <w:p w14:paraId="78953E29">
            <w:pPr>
              <w:pStyle w:val="2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377" w:type="dxa"/>
            <w:vAlign w:val="center"/>
          </w:tcPr>
          <w:p w14:paraId="2E0001BD">
            <w:pPr>
              <w:pStyle w:val="2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单价（元）</w:t>
            </w:r>
          </w:p>
        </w:tc>
        <w:tc>
          <w:tcPr>
            <w:tcW w:w="1377" w:type="dxa"/>
            <w:vAlign w:val="center"/>
          </w:tcPr>
          <w:p w14:paraId="4F10F3A2">
            <w:pPr>
              <w:pStyle w:val="2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总价（元）</w:t>
            </w:r>
          </w:p>
        </w:tc>
        <w:tc>
          <w:tcPr>
            <w:tcW w:w="2601" w:type="dxa"/>
            <w:vAlign w:val="center"/>
          </w:tcPr>
          <w:p w14:paraId="748837EC">
            <w:pPr>
              <w:pStyle w:val="2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是否属于小、微企业或监狱企业或残疾人福利性单位</w:t>
            </w:r>
          </w:p>
        </w:tc>
        <w:tc>
          <w:tcPr>
            <w:tcW w:w="666" w:type="dxa"/>
            <w:vAlign w:val="center"/>
          </w:tcPr>
          <w:p w14:paraId="4B7893D7">
            <w:pPr>
              <w:pStyle w:val="2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2959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728" w:type="dxa"/>
            <w:vAlign w:val="center"/>
          </w:tcPr>
          <w:p w14:paraId="7827832D">
            <w:pPr>
              <w:pStyle w:val="20"/>
              <w:jc w:val="center"/>
              <w:rPr>
                <w:rFonts w:hint="eastAsia" w:ascii="仿宋" w:hAnsi="仿宋" w:eastAsia="仿宋" w:cs="仿宋"/>
                <w:color w:val="auto"/>
                <w:sz w:val="24"/>
                <w:szCs w:val="24"/>
                <w:highlight w:val="none"/>
              </w:rPr>
            </w:pPr>
          </w:p>
        </w:tc>
        <w:tc>
          <w:tcPr>
            <w:tcW w:w="1377" w:type="dxa"/>
            <w:vAlign w:val="center"/>
          </w:tcPr>
          <w:p w14:paraId="68F18381">
            <w:pPr>
              <w:pStyle w:val="20"/>
              <w:jc w:val="center"/>
              <w:rPr>
                <w:rFonts w:hint="eastAsia" w:ascii="仿宋" w:hAnsi="仿宋" w:eastAsia="仿宋" w:cs="仿宋"/>
                <w:color w:val="auto"/>
                <w:sz w:val="24"/>
                <w:szCs w:val="24"/>
                <w:highlight w:val="none"/>
              </w:rPr>
            </w:pPr>
          </w:p>
        </w:tc>
        <w:tc>
          <w:tcPr>
            <w:tcW w:w="1070" w:type="dxa"/>
            <w:vAlign w:val="center"/>
          </w:tcPr>
          <w:p w14:paraId="408DBAD5">
            <w:pPr>
              <w:pStyle w:val="20"/>
              <w:jc w:val="center"/>
              <w:rPr>
                <w:rFonts w:hint="eastAsia" w:ascii="仿宋" w:hAnsi="仿宋" w:eastAsia="仿宋" w:cs="仿宋"/>
                <w:color w:val="auto"/>
                <w:sz w:val="24"/>
                <w:szCs w:val="24"/>
                <w:highlight w:val="none"/>
              </w:rPr>
            </w:pPr>
          </w:p>
        </w:tc>
        <w:tc>
          <w:tcPr>
            <w:tcW w:w="1377" w:type="dxa"/>
            <w:vAlign w:val="center"/>
          </w:tcPr>
          <w:p w14:paraId="59E6D139">
            <w:pPr>
              <w:pStyle w:val="20"/>
              <w:jc w:val="center"/>
              <w:rPr>
                <w:rFonts w:hint="eastAsia" w:ascii="仿宋" w:hAnsi="仿宋" w:eastAsia="仿宋" w:cs="仿宋"/>
                <w:color w:val="auto"/>
                <w:sz w:val="24"/>
                <w:szCs w:val="24"/>
                <w:highlight w:val="none"/>
              </w:rPr>
            </w:pPr>
          </w:p>
        </w:tc>
        <w:tc>
          <w:tcPr>
            <w:tcW w:w="1377" w:type="dxa"/>
            <w:vAlign w:val="center"/>
          </w:tcPr>
          <w:p w14:paraId="770F3C82">
            <w:pPr>
              <w:pStyle w:val="20"/>
              <w:jc w:val="center"/>
              <w:rPr>
                <w:rFonts w:hint="eastAsia" w:ascii="仿宋" w:hAnsi="仿宋" w:eastAsia="仿宋" w:cs="仿宋"/>
                <w:color w:val="auto"/>
                <w:sz w:val="24"/>
                <w:szCs w:val="24"/>
                <w:highlight w:val="none"/>
              </w:rPr>
            </w:pPr>
          </w:p>
        </w:tc>
        <w:tc>
          <w:tcPr>
            <w:tcW w:w="2601" w:type="dxa"/>
            <w:vMerge w:val="restart"/>
            <w:vAlign w:val="center"/>
          </w:tcPr>
          <w:p w14:paraId="0BAD4677">
            <w:pPr>
              <w:pStyle w:val="20"/>
              <w:jc w:val="center"/>
              <w:rPr>
                <w:rFonts w:hint="eastAsia" w:ascii="仿宋" w:hAnsi="仿宋" w:eastAsia="仿宋" w:cs="仿宋"/>
                <w:color w:val="auto"/>
                <w:sz w:val="24"/>
                <w:szCs w:val="24"/>
                <w:highlight w:val="none"/>
              </w:rPr>
            </w:pPr>
          </w:p>
        </w:tc>
        <w:tc>
          <w:tcPr>
            <w:tcW w:w="666" w:type="dxa"/>
            <w:vAlign w:val="center"/>
          </w:tcPr>
          <w:p w14:paraId="7DAFA80E">
            <w:pPr>
              <w:pStyle w:val="20"/>
              <w:jc w:val="center"/>
              <w:rPr>
                <w:rFonts w:hint="eastAsia" w:ascii="仿宋" w:hAnsi="仿宋" w:eastAsia="仿宋" w:cs="仿宋"/>
                <w:color w:val="auto"/>
                <w:sz w:val="24"/>
                <w:szCs w:val="24"/>
                <w:highlight w:val="none"/>
              </w:rPr>
            </w:pPr>
          </w:p>
        </w:tc>
      </w:tr>
      <w:tr w14:paraId="024D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728" w:type="dxa"/>
            <w:vAlign w:val="center"/>
          </w:tcPr>
          <w:p w14:paraId="652C4039">
            <w:pPr>
              <w:pStyle w:val="20"/>
              <w:jc w:val="center"/>
              <w:rPr>
                <w:rFonts w:hint="eastAsia" w:ascii="仿宋" w:hAnsi="仿宋" w:eastAsia="仿宋" w:cs="仿宋"/>
                <w:color w:val="auto"/>
                <w:sz w:val="24"/>
                <w:szCs w:val="24"/>
                <w:highlight w:val="none"/>
              </w:rPr>
            </w:pPr>
          </w:p>
        </w:tc>
        <w:tc>
          <w:tcPr>
            <w:tcW w:w="1377" w:type="dxa"/>
            <w:vAlign w:val="center"/>
          </w:tcPr>
          <w:p w14:paraId="480C2256">
            <w:pPr>
              <w:pStyle w:val="20"/>
              <w:jc w:val="center"/>
              <w:rPr>
                <w:rFonts w:hint="eastAsia" w:ascii="仿宋" w:hAnsi="仿宋" w:eastAsia="仿宋" w:cs="仿宋"/>
                <w:color w:val="auto"/>
                <w:sz w:val="24"/>
                <w:szCs w:val="24"/>
                <w:highlight w:val="none"/>
              </w:rPr>
            </w:pPr>
          </w:p>
        </w:tc>
        <w:tc>
          <w:tcPr>
            <w:tcW w:w="1070" w:type="dxa"/>
            <w:vAlign w:val="center"/>
          </w:tcPr>
          <w:p w14:paraId="0072E76C">
            <w:pPr>
              <w:pStyle w:val="20"/>
              <w:jc w:val="center"/>
              <w:rPr>
                <w:rFonts w:hint="eastAsia" w:ascii="仿宋" w:hAnsi="仿宋" w:eastAsia="仿宋" w:cs="仿宋"/>
                <w:color w:val="auto"/>
                <w:sz w:val="24"/>
                <w:szCs w:val="24"/>
                <w:highlight w:val="none"/>
              </w:rPr>
            </w:pPr>
          </w:p>
        </w:tc>
        <w:tc>
          <w:tcPr>
            <w:tcW w:w="1377" w:type="dxa"/>
            <w:vAlign w:val="center"/>
          </w:tcPr>
          <w:p w14:paraId="22CF7FC8">
            <w:pPr>
              <w:pStyle w:val="20"/>
              <w:jc w:val="center"/>
              <w:rPr>
                <w:rFonts w:hint="eastAsia" w:ascii="仿宋" w:hAnsi="仿宋" w:eastAsia="仿宋" w:cs="仿宋"/>
                <w:color w:val="auto"/>
                <w:sz w:val="24"/>
                <w:szCs w:val="24"/>
                <w:highlight w:val="none"/>
              </w:rPr>
            </w:pPr>
          </w:p>
        </w:tc>
        <w:tc>
          <w:tcPr>
            <w:tcW w:w="1377" w:type="dxa"/>
            <w:vAlign w:val="center"/>
          </w:tcPr>
          <w:p w14:paraId="0049FF99">
            <w:pPr>
              <w:pStyle w:val="20"/>
              <w:jc w:val="center"/>
              <w:rPr>
                <w:rFonts w:hint="eastAsia" w:ascii="仿宋" w:hAnsi="仿宋" w:eastAsia="仿宋" w:cs="仿宋"/>
                <w:color w:val="auto"/>
                <w:sz w:val="24"/>
                <w:szCs w:val="24"/>
                <w:highlight w:val="none"/>
              </w:rPr>
            </w:pPr>
          </w:p>
        </w:tc>
        <w:tc>
          <w:tcPr>
            <w:tcW w:w="2601" w:type="dxa"/>
            <w:vMerge w:val="continue"/>
            <w:vAlign w:val="center"/>
          </w:tcPr>
          <w:p w14:paraId="14346A97">
            <w:pPr>
              <w:pStyle w:val="20"/>
              <w:jc w:val="center"/>
              <w:rPr>
                <w:rFonts w:hint="eastAsia" w:ascii="仿宋" w:hAnsi="仿宋" w:eastAsia="仿宋" w:cs="仿宋"/>
                <w:color w:val="auto"/>
                <w:sz w:val="24"/>
                <w:szCs w:val="24"/>
                <w:highlight w:val="none"/>
              </w:rPr>
            </w:pPr>
          </w:p>
        </w:tc>
        <w:tc>
          <w:tcPr>
            <w:tcW w:w="666" w:type="dxa"/>
            <w:vAlign w:val="center"/>
          </w:tcPr>
          <w:p w14:paraId="078A60D3">
            <w:pPr>
              <w:pStyle w:val="20"/>
              <w:jc w:val="center"/>
              <w:rPr>
                <w:rFonts w:hint="eastAsia" w:ascii="仿宋" w:hAnsi="仿宋" w:eastAsia="仿宋" w:cs="仿宋"/>
                <w:color w:val="auto"/>
                <w:sz w:val="24"/>
                <w:szCs w:val="24"/>
                <w:highlight w:val="none"/>
              </w:rPr>
            </w:pPr>
          </w:p>
        </w:tc>
      </w:tr>
      <w:tr w14:paraId="7670C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728" w:type="dxa"/>
            <w:vAlign w:val="center"/>
          </w:tcPr>
          <w:p w14:paraId="39D046F1">
            <w:pPr>
              <w:pStyle w:val="20"/>
              <w:jc w:val="center"/>
              <w:rPr>
                <w:rFonts w:hint="eastAsia" w:ascii="仿宋" w:hAnsi="仿宋" w:eastAsia="仿宋" w:cs="仿宋"/>
                <w:color w:val="auto"/>
                <w:sz w:val="24"/>
                <w:szCs w:val="24"/>
                <w:highlight w:val="none"/>
              </w:rPr>
            </w:pPr>
          </w:p>
        </w:tc>
        <w:tc>
          <w:tcPr>
            <w:tcW w:w="1377" w:type="dxa"/>
            <w:vAlign w:val="center"/>
          </w:tcPr>
          <w:p w14:paraId="6A57441D">
            <w:pPr>
              <w:pStyle w:val="20"/>
              <w:jc w:val="center"/>
              <w:rPr>
                <w:rFonts w:hint="eastAsia" w:ascii="仿宋" w:hAnsi="仿宋" w:eastAsia="仿宋" w:cs="仿宋"/>
                <w:color w:val="auto"/>
                <w:sz w:val="24"/>
                <w:szCs w:val="24"/>
                <w:highlight w:val="none"/>
              </w:rPr>
            </w:pPr>
          </w:p>
        </w:tc>
        <w:tc>
          <w:tcPr>
            <w:tcW w:w="1070" w:type="dxa"/>
            <w:vAlign w:val="center"/>
          </w:tcPr>
          <w:p w14:paraId="677BF70E">
            <w:pPr>
              <w:pStyle w:val="20"/>
              <w:jc w:val="center"/>
              <w:rPr>
                <w:rFonts w:hint="eastAsia" w:ascii="仿宋" w:hAnsi="仿宋" w:eastAsia="仿宋" w:cs="仿宋"/>
                <w:color w:val="auto"/>
                <w:sz w:val="24"/>
                <w:szCs w:val="24"/>
                <w:highlight w:val="none"/>
              </w:rPr>
            </w:pPr>
          </w:p>
        </w:tc>
        <w:tc>
          <w:tcPr>
            <w:tcW w:w="1377" w:type="dxa"/>
            <w:vAlign w:val="center"/>
          </w:tcPr>
          <w:p w14:paraId="7793B594">
            <w:pPr>
              <w:pStyle w:val="20"/>
              <w:jc w:val="center"/>
              <w:rPr>
                <w:rFonts w:hint="eastAsia" w:ascii="仿宋" w:hAnsi="仿宋" w:eastAsia="仿宋" w:cs="仿宋"/>
                <w:color w:val="auto"/>
                <w:sz w:val="24"/>
                <w:szCs w:val="24"/>
                <w:highlight w:val="none"/>
              </w:rPr>
            </w:pPr>
          </w:p>
        </w:tc>
        <w:tc>
          <w:tcPr>
            <w:tcW w:w="1377" w:type="dxa"/>
            <w:vAlign w:val="center"/>
          </w:tcPr>
          <w:p w14:paraId="63657FF0">
            <w:pPr>
              <w:pStyle w:val="20"/>
              <w:jc w:val="center"/>
              <w:rPr>
                <w:rFonts w:hint="eastAsia" w:ascii="仿宋" w:hAnsi="仿宋" w:eastAsia="仿宋" w:cs="仿宋"/>
                <w:color w:val="auto"/>
                <w:sz w:val="24"/>
                <w:szCs w:val="24"/>
                <w:highlight w:val="none"/>
              </w:rPr>
            </w:pPr>
          </w:p>
        </w:tc>
        <w:tc>
          <w:tcPr>
            <w:tcW w:w="2601" w:type="dxa"/>
            <w:vMerge w:val="continue"/>
            <w:vAlign w:val="center"/>
          </w:tcPr>
          <w:p w14:paraId="624F17A2">
            <w:pPr>
              <w:pStyle w:val="20"/>
              <w:jc w:val="center"/>
              <w:rPr>
                <w:rFonts w:hint="eastAsia" w:ascii="仿宋" w:hAnsi="仿宋" w:eastAsia="仿宋" w:cs="仿宋"/>
                <w:color w:val="auto"/>
                <w:sz w:val="24"/>
                <w:szCs w:val="24"/>
                <w:highlight w:val="none"/>
              </w:rPr>
            </w:pPr>
          </w:p>
        </w:tc>
        <w:tc>
          <w:tcPr>
            <w:tcW w:w="666" w:type="dxa"/>
            <w:vAlign w:val="center"/>
          </w:tcPr>
          <w:p w14:paraId="56116D38">
            <w:pPr>
              <w:pStyle w:val="20"/>
              <w:jc w:val="center"/>
              <w:rPr>
                <w:rFonts w:hint="eastAsia" w:ascii="仿宋" w:hAnsi="仿宋" w:eastAsia="仿宋" w:cs="仿宋"/>
                <w:color w:val="auto"/>
                <w:sz w:val="24"/>
                <w:szCs w:val="24"/>
                <w:highlight w:val="none"/>
              </w:rPr>
            </w:pPr>
          </w:p>
        </w:tc>
      </w:tr>
      <w:tr w14:paraId="0F0F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728" w:type="dxa"/>
            <w:vAlign w:val="center"/>
          </w:tcPr>
          <w:p w14:paraId="4296AA6C">
            <w:pPr>
              <w:pStyle w:val="20"/>
              <w:jc w:val="center"/>
              <w:rPr>
                <w:rFonts w:hint="eastAsia" w:ascii="仿宋" w:hAnsi="仿宋" w:eastAsia="仿宋" w:cs="仿宋"/>
                <w:color w:val="auto"/>
                <w:sz w:val="24"/>
                <w:szCs w:val="24"/>
                <w:highlight w:val="none"/>
              </w:rPr>
            </w:pPr>
          </w:p>
        </w:tc>
        <w:tc>
          <w:tcPr>
            <w:tcW w:w="1377" w:type="dxa"/>
            <w:vAlign w:val="center"/>
          </w:tcPr>
          <w:p w14:paraId="3BA0EB9A">
            <w:pPr>
              <w:pStyle w:val="20"/>
              <w:jc w:val="center"/>
              <w:rPr>
                <w:rFonts w:hint="eastAsia" w:ascii="仿宋" w:hAnsi="仿宋" w:eastAsia="仿宋" w:cs="仿宋"/>
                <w:color w:val="auto"/>
                <w:sz w:val="24"/>
                <w:szCs w:val="24"/>
                <w:highlight w:val="none"/>
              </w:rPr>
            </w:pPr>
          </w:p>
        </w:tc>
        <w:tc>
          <w:tcPr>
            <w:tcW w:w="1070" w:type="dxa"/>
            <w:vAlign w:val="center"/>
          </w:tcPr>
          <w:p w14:paraId="1AA6C608">
            <w:pPr>
              <w:pStyle w:val="20"/>
              <w:jc w:val="center"/>
              <w:rPr>
                <w:rFonts w:hint="eastAsia" w:ascii="仿宋" w:hAnsi="仿宋" w:eastAsia="仿宋" w:cs="仿宋"/>
                <w:color w:val="auto"/>
                <w:sz w:val="24"/>
                <w:szCs w:val="24"/>
                <w:highlight w:val="none"/>
              </w:rPr>
            </w:pPr>
          </w:p>
        </w:tc>
        <w:tc>
          <w:tcPr>
            <w:tcW w:w="1377" w:type="dxa"/>
            <w:vAlign w:val="center"/>
          </w:tcPr>
          <w:p w14:paraId="1ABD43E9">
            <w:pPr>
              <w:pStyle w:val="20"/>
              <w:jc w:val="center"/>
              <w:rPr>
                <w:rFonts w:hint="eastAsia" w:ascii="仿宋" w:hAnsi="仿宋" w:eastAsia="仿宋" w:cs="仿宋"/>
                <w:color w:val="auto"/>
                <w:sz w:val="24"/>
                <w:szCs w:val="24"/>
                <w:highlight w:val="none"/>
              </w:rPr>
            </w:pPr>
          </w:p>
        </w:tc>
        <w:tc>
          <w:tcPr>
            <w:tcW w:w="1377" w:type="dxa"/>
            <w:vAlign w:val="center"/>
          </w:tcPr>
          <w:p w14:paraId="1507B4D3">
            <w:pPr>
              <w:pStyle w:val="20"/>
              <w:jc w:val="center"/>
              <w:rPr>
                <w:rFonts w:hint="eastAsia" w:ascii="仿宋" w:hAnsi="仿宋" w:eastAsia="仿宋" w:cs="仿宋"/>
                <w:color w:val="auto"/>
                <w:sz w:val="24"/>
                <w:szCs w:val="24"/>
                <w:highlight w:val="none"/>
              </w:rPr>
            </w:pPr>
          </w:p>
        </w:tc>
        <w:tc>
          <w:tcPr>
            <w:tcW w:w="2601" w:type="dxa"/>
            <w:vMerge w:val="continue"/>
            <w:vAlign w:val="center"/>
          </w:tcPr>
          <w:p w14:paraId="00D98940">
            <w:pPr>
              <w:pStyle w:val="20"/>
              <w:jc w:val="center"/>
              <w:rPr>
                <w:rFonts w:hint="eastAsia" w:ascii="仿宋" w:hAnsi="仿宋" w:eastAsia="仿宋" w:cs="仿宋"/>
                <w:color w:val="auto"/>
                <w:sz w:val="24"/>
                <w:szCs w:val="24"/>
                <w:highlight w:val="none"/>
              </w:rPr>
            </w:pPr>
          </w:p>
        </w:tc>
        <w:tc>
          <w:tcPr>
            <w:tcW w:w="666" w:type="dxa"/>
            <w:vAlign w:val="center"/>
          </w:tcPr>
          <w:p w14:paraId="3EF15BB1">
            <w:pPr>
              <w:pStyle w:val="20"/>
              <w:jc w:val="center"/>
              <w:rPr>
                <w:rFonts w:hint="eastAsia" w:ascii="仿宋" w:hAnsi="仿宋" w:eastAsia="仿宋" w:cs="仿宋"/>
                <w:color w:val="auto"/>
                <w:sz w:val="24"/>
                <w:szCs w:val="24"/>
                <w:highlight w:val="none"/>
              </w:rPr>
            </w:pPr>
          </w:p>
        </w:tc>
      </w:tr>
      <w:tr w14:paraId="0E43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728" w:type="dxa"/>
            <w:vAlign w:val="center"/>
          </w:tcPr>
          <w:p w14:paraId="529FF3D5">
            <w:pPr>
              <w:pStyle w:val="20"/>
              <w:jc w:val="center"/>
              <w:rPr>
                <w:rFonts w:hint="eastAsia" w:ascii="仿宋" w:hAnsi="仿宋" w:eastAsia="仿宋" w:cs="仿宋"/>
                <w:color w:val="auto"/>
                <w:sz w:val="24"/>
                <w:szCs w:val="24"/>
                <w:highlight w:val="none"/>
              </w:rPr>
            </w:pPr>
          </w:p>
        </w:tc>
        <w:tc>
          <w:tcPr>
            <w:tcW w:w="1377" w:type="dxa"/>
            <w:vAlign w:val="center"/>
          </w:tcPr>
          <w:p w14:paraId="5B0E49BD">
            <w:pPr>
              <w:pStyle w:val="20"/>
              <w:jc w:val="center"/>
              <w:rPr>
                <w:rFonts w:hint="eastAsia" w:ascii="仿宋" w:hAnsi="仿宋" w:eastAsia="仿宋" w:cs="仿宋"/>
                <w:color w:val="auto"/>
                <w:sz w:val="24"/>
                <w:szCs w:val="24"/>
                <w:highlight w:val="none"/>
              </w:rPr>
            </w:pPr>
          </w:p>
        </w:tc>
        <w:tc>
          <w:tcPr>
            <w:tcW w:w="1070" w:type="dxa"/>
            <w:vAlign w:val="center"/>
          </w:tcPr>
          <w:p w14:paraId="750E5CC1">
            <w:pPr>
              <w:pStyle w:val="20"/>
              <w:jc w:val="center"/>
              <w:rPr>
                <w:rFonts w:hint="eastAsia" w:ascii="仿宋" w:hAnsi="仿宋" w:eastAsia="仿宋" w:cs="仿宋"/>
                <w:color w:val="auto"/>
                <w:sz w:val="24"/>
                <w:szCs w:val="24"/>
                <w:highlight w:val="none"/>
              </w:rPr>
            </w:pPr>
          </w:p>
        </w:tc>
        <w:tc>
          <w:tcPr>
            <w:tcW w:w="1377" w:type="dxa"/>
            <w:vAlign w:val="center"/>
          </w:tcPr>
          <w:p w14:paraId="1DAC29A8">
            <w:pPr>
              <w:pStyle w:val="20"/>
              <w:jc w:val="center"/>
              <w:rPr>
                <w:rFonts w:hint="eastAsia" w:ascii="仿宋" w:hAnsi="仿宋" w:eastAsia="仿宋" w:cs="仿宋"/>
                <w:color w:val="auto"/>
                <w:sz w:val="24"/>
                <w:szCs w:val="24"/>
                <w:highlight w:val="none"/>
              </w:rPr>
            </w:pPr>
          </w:p>
        </w:tc>
        <w:tc>
          <w:tcPr>
            <w:tcW w:w="1377" w:type="dxa"/>
            <w:vAlign w:val="center"/>
          </w:tcPr>
          <w:p w14:paraId="63930092">
            <w:pPr>
              <w:pStyle w:val="20"/>
              <w:jc w:val="center"/>
              <w:rPr>
                <w:rFonts w:hint="eastAsia" w:ascii="仿宋" w:hAnsi="仿宋" w:eastAsia="仿宋" w:cs="仿宋"/>
                <w:color w:val="auto"/>
                <w:sz w:val="24"/>
                <w:szCs w:val="24"/>
                <w:highlight w:val="none"/>
              </w:rPr>
            </w:pPr>
          </w:p>
        </w:tc>
        <w:tc>
          <w:tcPr>
            <w:tcW w:w="2601" w:type="dxa"/>
            <w:vMerge w:val="continue"/>
            <w:vAlign w:val="center"/>
          </w:tcPr>
          <w:p w14:paraId="70FA262D">
            <w:pPr>
              <w:pStyle w:val="20"/>
              <w:jc w:val="center"/>
              <w:rPr>
                <w:rFonts w:hint="eastAsia" w:ascii="仿宋" w:hAnsi="仿宋" w:eastAsia="仿宋" w:cs="仿宋"/>
                <w:color w:val="auto"/>
                <w:sz w:val="24"/>
                <w:szCs w:val="24"/>
                <w:highlight w:val="none"/>
              </w:rPr>
            </w:pPr>
          </w:p>
        </w:tc>
        <w:tc>
          <w:tcPr>
            <w:tcW w:w="666" w:type="dxa"/>
            <w:vAlign w:val="center"/>
          </w:tcPr>
          <w:p w14:paraId="20C080F7">
            <w:pPr>
              <w:pStyle w:val="20"/>
              <w:jc w:val="center"/>
              <w:rPr>
                <w:rFonts w:hint="eastAsia" w:ascii="仿宋" w:hAnsi="仿宋" w:eastAsia="仿宋" w:cs="仿宋"/>
                <w:color w:val="auto"/>
                <w:sz w:val="24"/>
                <w:szCs w:val="24"/>
                <w:highlight w:val="none"/>
              </w:rPr>
            </w:pPr>
          </w:p>
        </w:tc>
      </w:tr>
    </w:tbl>
    <w:p w14:paraId="202CB1D9">
      <w:pPr>
        <w:pStyle w:val="20"/>
        <w:rPr>
          <w:rFonts w:hint="eastAsia" w:ascii="仿宋" w:hAnsi="仿宋" w:eastAsia="仿宋" w:cs="仿宋"/>
          <w:color w:val="auto"/>
          <w:sz w:val="24"/>
          <w:szCs w:val="24"/>
          <w:highlight w:val="none"/>
        </w:rPr>
      </w:pPr>
    </w:p>
    <w:p w14:paraId="1F5CE833">
      <w:pPr>
        <w:pStyle w:val="20"/>
        <w:rPr>
          <w:rFonts w:hint="eastAsia" w:ascii="仿宋" w:hAnsi="仿宋" w:eastAsia="仿宋" w:cs="仿宋"/>
          <w:color w:val="auto"/>
          <w:sz w:val="24"/>
          <w:szCs w:val="24"/>
          <w:highlight w:val="none"/>
        </w:rPr>
      </w:pPr>
    </w:p>
    <w:p w14:paraId="1C0BDC69">
      <w:pPr>
        <w:pStyle w:val="20"/>
        <w:rPr>
          <w:rFonts w:hint="eastAsia" w:ascii="仿宋" w:hAnsi="仿宋" w:eastAsia="仿宋" w:cs="仿宋"/>
          <w:color w:val="auto"/>
          <w:sz w:val="24"/>
          <w:szCs w:val="24"/>
          <w:highlight w:val="none"/>
        </w:rPr>
      </w:pPr>
    </w:p>
    <w:p w14:paraId="0577B880">
      <w:pPr>
        <w:pStyle w:val="20"/>
        <w:rPr>
          <w:rFonts w:hint="eastAsia" w:ascii="仿宋" w:hAnsi="仿宋" w:eastAsia="仿宋" w:cs="仿宋"/>
          <w:color w:val="auto"/>
          <w:sz w:val="24"/>
          <w:szCs w:val="24"/>
          <w:highlight w:val="none"/>
        </w:rPr>
      </w:pPr>
    </w:p>
    <w:p w14:paraId="15B87B9E">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投标单位盖章：</w:t>
      </w:r>
    </w:p>
    <w:p w14:paraId="521407BF">
      <w:pPr>
        <w:pStyle w:val="25"/>
        <w:spacing w:line="360" w:lineRule="auto"/>
        <w:rPr>
          <w:rFonts w:hint="eastAsia" w:ascii="仿宋" w:hAnsi="仿宋" w:eastAsia="仿宋" w:cs="仿宋"/>
          <w:color w:val="auto"/>
          <w:sz w:val="24"/>
          <w:szCs w:val="24"/>
          <w:highlight w:val="none"/>
        </w:rPr>
      </w:pPr>
    </w:p>
    <w:p w14:paraId="23FAF1F5">
      <w:pPr>
        <w:spacing w:line="360" w:lineRule="auto"/>
        <w:ind w:left="7680" w:hanging="7680" w:hangingChars="3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投标单位法人或授权代表签字或盖章：                                                                     </w:t>
      </w:r>
    </w:p>
    <w:p w14:paraId="75190A1C">
      <w:pPr>
        <w:spacing w:line="360" w:lineRule="auto"/>
        <w:ind w:left="7680" w:hanging="7680" w:hangingChars="32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14:paraId="6C2007C8">
      <w:pPr>
        <w:pStyle w:val="20"/>
        <w:rPr>
          <w:rFonts w:hint="eastAsia" w:ascii="仿宋" w:hAnsi="仿宋" w:eastAsia="仿宋" w:cs="仿宋"/>
          <w:color w:val="auto"/>
          <w:sz w:val="24"/>
          <w:szCs w:val="24"/>
          <w:highlight w:val="none"/>
        </w:rPr>
      </w:pPr>
    </w:p>
    <w:p w14:paraId="20542E63">
      <w:pPr>
        <w:pStyle w:val="20"/>
        <w:rPr>
          <w:rFonts w:hint="eastAsia" w:ascii="仿宋" w:hAnsi="仿宋" w:eastAsia="仿宋" w:cs="仿宋"/>
          <w:color w:val="auto"/>
          <w:sz w:val="24"/>
          <w:szCs w:val="24"/>
          <w:highlight w:val="none"/>
        </w:rPr>
      </w:pPr>
    </w:p>
    <w:p w14:paraId="68340092">
      <w:pPr>
        <w:pStyle w:val="20"/>
        <w:rPr>
          <w:rFonts w:hint="eastAsia" w:ascii="仿宋" w:hAnsi="仿宋" w:eastAsia="仿宋" w:cs="仿宋"/>
          <w:color w:val="auto"/>
          <w:sz w:val="24"/>
          <w:szCs w:val="24"/>
          <w:highlight w:val="none"/>
        </w:rPr>
      </w:pPr>
    </w:p>
    <w:p w14:paraId="64B7510B">
      <w:pPr>
        <w:pStyle w:val="20"/>
        <w:rPr>
          <w:rFonts w:hint="eastAsia" w:ascii="仿宋" w:hAnsi="仿宋" w:eastAsia="仿宋" w:cs="仿宋"/>
          <w:color w:val="auto"/>
          <w:sz w:val="24"/>
          <w:szCs w:val="24"/>
          <w:highlight w:val="none"/>
        </w:rPr>
      </w:pPr>
    </w:p>
    <w:p w14:paraId="64234543">
      <w:pPr>
        <w:pStyle w:val="20"/>
        <w:rPr>
          <w:rFonts w:hint="eastAsia" w:ascii="仿宋" w:hAnsi="仿宋" w:eastAsia="仿宋" w:cs="仿宋"/>
          <w:color w:val="auto"/>
          <w:sz w:val="24"/>
          <w:szCs w:val="24"/>
          <w:highlight w:val="none"/>
        </w:rPr>
      </w:pPr>
    </w:p>
    <w:p w14:paraId="1394B159">
      <w:pPr>
        <w:pStyle w:val="20"/>
        <w:rPr>
          <w:rFonts w:hint="eastAsia" w:ascii="仿宋" w:hAnsi="仿宋" w:eastAsia="仿宋" w:cs="仿宋"/>
          <w:color w:val="auto"/>
          <w:sz w:val="24"/>
          <w:szCs w:val="24"/>
          <w:highlight w:val="none"/>
        </w:rPr>
      </w:pPr>
    </w:p>
    <w:p w14:paraId="27B4D505">
      <w:pPr>
        <w:adjustRightInd w:val="0"/>
        <w:snapToGrid w:val="0"/>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1、上述报价包含一切由供方承担服务的费用，分项报价合计应和总报价一致；</w:t>
      </w:r>
    </w:p>
    <w:p w14:paraId="4301AD23">
      <w:pPr>
        <w:pStyle w:val="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79B51F06">
      <w:pPr>
        <w:pStyle w:val="3"/>
        <w:jc w:val="center"/>
        <w:rPr>
          <w:rStyle w:val="40"/>
          <w:rFonts w:hint="eastAsia" w:ascii="仿宋" w:hAnsi="仿宋" w:eastAsia="仿宋" w:cs="仿宋"/>
          <w:b/>
          <w:bCs w:val="0"/>
          <w:color w:val="auto"/>
          <w:sz w:val="24"/>
          <w:szCs w:val="24"/>
          <w:highlight w:val="none"/>
          <w:lang w:val="en-US" w:eastAsia="zh-CN"/>
        </w:rPr>
      </w:pPr>
      <w:bookmarkStart w:id="480" w:name="_Toc30221_WPSOffice_Level1"/>
      <w:bookmarkStart w:id="481" w:name="_Toc12705"/>
      <w:bookmarkStart w:id="482" w:name="_Toc18030_WPSOffice_Level1"/>
      <w:bookmarkStart w:id="483" w:name="_Toc18663"/>
      <w:bookmarkStart w:id="484" w:name="_Toc16901"/>
      <w:bookmarkStart w:id="485" w:name="_Toc50459035"/>
      <w:r>
        <w:rPr>
          <w:rStyle w:val="40"/>
          <w:rFonts w:hint="eastAsia" w:ascii="仿宋" w:hAnsi="仿宋" w:eastAsia="仿宋" w:cs="仿宋"/>
          <w:b/>
          <w:bCs w:val="0"/>
          <w:color w:val="auto"/>
          <w:sz w:val="24"/>
          <w:szCs w:val="24"/>
          <w:highlight w:val="none"/>
          <w:lang w:val="en-US" w:eastAsia="zh-CN"/>
        </w:rPr>
        <w:t>4、</w:t>
      </w:r>
      <w:bookmarkEnd w:id="480"/>
      <w:bookmarkEnd w:id="481"/>
      <w:bookmarkEnd w:id="482"/>
      <w:bookmarkEnd w:id="483"/>
      <w:bookmarkEnd w:id="484"/>
      <w:bookmarkEnd w:id="485"/>
      <w:r>
        <w:rPr>
          <w:rStyle w:val="40"/>
          <w:rFonts w:hint="eastAsia" w:ascii="仿宋" w:hAnsi="仿宋" w:eastAsia="仿宋" w:cs="仿宋"/>
          <w:b/>
          <w:bCs w:val="0"/>
          <w:color w:val="auto"/>
          <w:sz w:val="24"/>
          <w:szCs w:val="24"/>
          <w:highlight w:val="none"/>
          <w:lang w:val="en-US" w:eastAsia="zh-CN"/>
        </w:rPr>
        <w:t>法定代表人（负责人）身份证明</w:t>
      </w:r>
    </w:p>
    <w:p w14:paraId="27E3C5C9">
      <w:pPr>
        <w:adjustRightInd w:val="0"/>
        <w:snapToGrid w:val="0"/>
        <w:spacing w:line="360" w:lineRule="auto"/>
        <w:jc w:val="center"/>
        <w:rPr>
          <w:rFonts w:hint="eastAsia" w:ascii="仿宋" w:hAnsi="仿宋" w:eastAsia="仿宋" w:cs="仿宋"/>
          <w:color w:val="auto"/>
          <w:sz w:val="24"/>
          <w:szCs w:val="24"/>
          <w:highlight w:val="none"/>
        </w:rPr>
      </w:pPr>
    </w:p>
    <w:p w14:paraId="040A6F80">
      <w:pPr>
        <w:adjustRightInd w:val="0"/>
        <w:snapToGrid w:val="0"/>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单位名称：</w:t>
      </w:r>
      <w:r>
        <w:rPr>
          <w:rFonts w:hint="eastAsia" w:ascii="仿宋" w:hAnsi="仿宋" w:eastAsia="仿宋" w:cs="仿宋"/>
          <w:color w:val="auto"/>
          <w:sz w:val="24"/>
          <w:szCs w:val="24"/>
          <w:highlight w:val="none"/>
          <w:u w:val="single"/>
        </w:rPr>
        <w:t xml:space="preserve">                                                      </w:t>
      </w:r>
    </w:p>
    <w:p w14:paraId="477A42C3">
      <w:pPr>
        <w:adjustRightInd w:val="0"/>
        <w:snapToGrid w:val="0"/>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单位性质：</w:t>
      </w:r>
      <w:r>
        <w:rPr>
          <w:rFonts w:hint="eastAsia" w:ascii="仿宋" w:hAnsi="仿宋" w:eastAsia="仿宋" w:cs="仿宋"/>
          <w:color w:val="auto"/>
          <w:sz w:val="24"/>
          <w:szCs w:val="24"/>
          <w:highlight w:val="none"/>
          <w:u w:val="single"/>
        </w:rPr>
        <w:t xml:space="preserve">                                                      </w:t>
      </w:r>
    </w:p>
    <w:p w14:paraId="7F4899FF">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成立时间：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日 </w:t>
      </w:r>
    </w:p>
    <w:p w14:paraId="2932B96A">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经营期限：</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1BF44314">
      <w:pPr>
        <w:adjustRightInd w:val="0"/>
        <w:snapToGrid w:val="0"/>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姓名：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性别：</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职务：</w:t>
      </w:r>
      <w:r>
        <w:rPr>
          <w:rFonts w:hint="eastAsia" w:ascii="仿宋" w:hAnsi="仿宋" w:eastAsia="仿宋" w:cs="仿宋"/>
          <w:color w:val="auto"/>
          <w:sz w:val="24"/>
          <w:szCs w:val="24"/>
          <w:highlight w:val="none"/>
          <w:u w:val="single"/>
        </w:rPr>
        <w:t xml:space="preserve">          </w:t>
      </w:r>
    </w:p>
    <w:p w14:paraId="01C8544E">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系</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的法定代表人。 </w:t>
      </w:r>
    </w:p>
    <w:p w14:paraId="24C2A25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特此证明。 </w:t>
      </w:r>
    </w:p>
    <w:p w14:paraId="09A700BE">
      <w:pPr>
        <w:spacing w:line="360" w:lineRule="auto"/>
        <w:ind w:firstLine="480" w:firstLineChars="200"/>
        <w:rPr>
          <w:rFonts w:hint="eastAsia" w:ascii="仿宋" w:hAnsi="仿宋" w:eastAsia="仿宋" w:cs="仿宋"/>
          <w:color w:val="auto"/>
          <w:sz w:val="24"/>
          <w:szCs w:val="24"/>
          <w:highlight w:val="none"/>
        </w:rPr>
      </w:pPr>
    </w:p>
    <w:p w14:paraId="7E76DCE8">
      <w:pPr>
        <w:spacing w:line="360" w:lineRule="auto"/>
        <w:ind w:firstLine="480" w:firstLineChars="200"/>
        <w:rPr>
          <w:rFonts w:hint="eastAsia" w:ascii="仿宋" w:hAnsi="仿宋" w:eastAsia="仿宋" w:cs="仿宋"/>
          <w:color w:val="auto"/>
          <w:sz w:val="24"/>
          <w:szCs w:val="24"/>
          <w:highlight w:val="none"/>
        </w:rPr>
      </w:pPr>
    </w:p>
    <w:p w14:paraId="5EB4A83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附：法定代表人</w:t>
      </w:r>
      <w:r>
        <w:rPr>
          <w:rFonts w:hint="eastAsia" w:ascii="仿宋" w:hAnsi="仿宋" w:eastAsia="仿宋" w:cs="仿宋"/>
          <w:color w:val="auto"/>
          <w:sz w:val="24"/>
          <w:szCs w:val="24"/>
          <w:highlight w:val="none"/>
          <w:lang w:eastAsia="zh-CN"/>
        </w:rPr>
        <w:t>（负责人）</w:t>
      </w:r>
      <w:r>
        <w:rPr>
          <w:rFonts w:hint="eastAsia" w:ascii="仿宋" w:hAnsi="仿宋" w:eastAsia="仿宋" w:cs="仿宋"/>
          <w:color w:val="auto"/>
          <w:sz w:val="24"/>
          <w:szCs w:val="24"/>
          <w:highlight w:val="none"/>
        </w:rPr>
        <w:t>身份证复印件（正反面）</w:t>
      </w:r>
    </w:p>
    <w:p w14:paraId="58F223D7">
      <w:pPr>
        <w:spacing w:line="360" w:lineRule="auto"/>
        <w:ind w:firstLine="480" w:firstLineChars="200"/>
        <w:rPr>
          <w:rFonts w:hint="eastAsia" w:ascii="仿宋" w:hAnsi="仿宋" w:eastAsia="仿宋" w:cs="仿宋"/>
          <w:color w:val="auto"/>
          <w:sz w:val="24"/>
          <w:szCs w:val="24"/>
          <w:highlight w:val="none"/>
        </w:rPr>
      </w:pPr>
    </w:p>
    <w:p w14:paraId="64748FDC">
      <w:pPr>
        <w:spacing w:line="360" w:lineRule="auto"/>
        <w:ind w:firstLine="480" w:firstLineChars="200"/>
        <w:rPr>
          <w:rFonts w:hint="eastAsia" w:ascii="仿宋" w:hAnsi="仿宋" w:eastAsia="仿宋" w:cs="仿宋"/>
          <w:color w:val="auto"/>
          <w:sz w:val="24"/>
          <w:szCs w:val="24"/>
          <w:highlight w:val="none"/>
        </w:rPr>
      </w:pPr>
    </w:p>
    <w:p w14:paraId="5C2BC9CC">
      <w:pPr>
        <w:spacing w:line="360" w:lineRule="auto"/>
        <w:ind w:firstLine="480" w:firstLineChars="200"/>
        <w:rPr>
          <w:rFonts w:hint="eastAsia" w:ascii="仿宋" w:hAnsi="仿宋" w:eastAsia="仿宋" w:cs="仿宋"/>
          <w:color w:val="auto"/>
          <w:sz w:val="24"/>
          <w:szCs w:val="24"/>
          <w:highlight w:val="none"/>
        </w:rPr>
      </w:pPr>
    </w:p>
    <w:p w14:paraId="7044B3AB">
      <w:pPr>
        <w:spacing w:line="360" w:lineRule="auto"/>
        <w:ind w:firstLine="480" w:firstLineChars="200"/>
        <w:rPr>
          <w:rFonts w:hint="eastAsia" w:ascii="仿宋" w:hAnsi="仿宋" w:eastAsia="仿宋" w:cs="仿宋"/>
          <w:color w:val="auto"/>
          <w:sz w:val="24"/>
          <w:szCs w:val="24"/>
          <w:highlight w:val="none"/>
        </w:rPr>
      </w:pPr>
    </w:p>
    <w:p w14:paraId="1FBA7A73">
      <w:pPr>
        <w:spacing w:line="360" w:lineRule="auto"/>
        <w:ind w:firstLine="480" w:firstLineChars="2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（盖单位章） </w:t>
      </w:r>
    </w:p>
    <w:p w14:paraId="0CEDF00E">
      <w:pPr>
        <w:spacing w:line="360" w:lineRule="auto"/>
        <w:jc w:val="right"/>
        <w:rPr>
          <w:rFonts w:hint="eastAsia" w:ascii="仿宋" w:hAnsi="仿宋" w:eastAsia="仿宋" w:cs="仿宋"/>
          <w:color w:val="auto"/>
          <w:sz w:val="24"/>
          <w:szCs w:val="24"/>
          <w:highlight w:val="none"/>
        </w:rPr>
      </w:pPr>
    </w:p>
    <w:p w14:paraId="773CEFD0">
      <w:pPr>
        <w:spacing w:line="360" w:lineRule="auto"/>
        <w:jc w:val="righ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r>
        <w:rPr>
          <w:rFonts w:hint="eastAsia" w:ascii="仿宋" w:hAnsi="仿宋" w:eastAsia="仿宋" w:cs="仿宋"/>
          <w:b/>
          <w:color w:val="auto"/>
          <w:sz w:val="24"/>
          <w:szCs w:val="24"/>
          <w:highlight w:val="none"/>
        </w:rPr>
        <w:t xml:space="preserve"> </w:t>
      </w:r>
    </w:p>
    <w:p w14:paraId="73370FB6">
      <w:pPr>
        <w:pStyle w:val="14"/>
        <w:rPr>
          <w:rFonts w:hint="eastAsia" w:ascii="仿宋" w:hAnsi="仿宋" w:eastAsia="仿宋" w:cs="仿宋"/>
          <w:color w:val="auto"/>
          <w:sz w:val="24"/>
          <w:szCs w:val="24"/>
          <w:highlight w:val="none"/>
        </w:rPr>
      </w:pPr>
    </w:p>
    <w:p w14:paraId="64A575E7">
      <w:pPr>
        <w:pStyle w:val="14"/>
        <w:rPr>
          <w:rFonts w:hint="eastAsia" w:ascii="仿宋" w:hAnsi="仿宋" w:eastAsia="仿宋" w:cs="仿宋"/>
          <w:color w:val="auto"/>
          <w:sz w:val="24"/>
          <w:szCs w:val="24"/>
          <w:highlight w:val="none"/>
        </w:rPr>
      </w:pPr>
    </w:p>
    <w:p w14:paraId="0A3F15A0">
      <w:pPr>
        <w:pStyle w:val="14"/>
        <w:rPr>
          <w:rFonts w:hint="eastAsia" w:ascii="仿宋" w:hAnsi="仿宋" w:eastAsia="仿宋" w:cs="仿宋"/>
          <w:color w:val="auto"/>
          <w:sz w:val="24"/>
          <w:szCs w:val="24"/>
          <w:highlight w:val="none"/>
        </w:rPr>
      </w:pPr>
    </w:p>
    <w:p w14:paraId="3DBE4624">
      <w:pPr>
        <w:pStyle w:val="14"/>
        <w:rPr>
          <w:rFonts w:hint="eastAsia" w:ascii="仿宋" w:hAnsi="仿宋" w:eastAsia="仿宋" w:cs="仿宋"/>
          <w:color w:val="auto"/>
          <w:sz w:val="24"/>
          <w:szCs w:val="24"/>
          <w:highlight w:val="none"/>
        </w:rPr>
      </w:pPr>
    </w:p>
    <w:p w14:paraId="28DE32BA">
      <w:pPr>
        <w:pStyle w:val="14"/>
        <w:rPr>
          <w:rFonts w:hint="eastAsia" w:ascii="仿宋" w:hAnsi="仿宋" w:eastAsia="仿宋" w:cs="仿宋"/>
          <w:color w:val="auto"/>
          <w:sz w:val="24"/>
          <w:szCs w:val="24"/>
          <w:highlight w:val="none"/>
        </w:rPr>
      </w:pPr>
    </w:p>
    <w:p w14:paraId="123BD591">
      <w:pPr>
        <w:pStyle w:val="14"/>
        <w:rPr>
          <w:rFonts w:hint="eastAsia" w:ascii="仿宋" w:hAnsi="仿宋" w:eastAsia="仿宋" w:cs="仿宋"/>
          <w:color w:val="auto"/>
          <w:sz w:val="24"/>
          <w:szCs w:val="24"/>
          <w:highlight w:val="none"/>
        </w:rPr>
      </w:pPr>
    </w:p>
    <w:p w14:paraId="6A2C0D93">
      <w:pPr>
        <w:pStyle w:val="14"/>
        <w:rPr>
          <w:rFonts w:hint="eastAsia" w:ascii="仿宋" w:hAnsi="仿宋" w:eastAsia="仿宋" w:cs="仿宋"/>
          <w:color w:val="auto"/>
          <w:sz w:val="24"/>
          <w:szCs w:val="24"/>
          <w:highlight w:val="none"/>
        </w:rPr>
      </w:pPr>
    </w:p>
    <w:p w14:paraId="5D8599E3">
      <w:pPr>
        <w:pStyle w:val="14"/>
        <w:rPr>
          <w:rFonts w:hint="eastAsia" w:ascii="仿宋" w:hAnsi="仿宋" w:eastAsia="仿宋" w:cs="仿宋"/>
          <w:color w:val="auto"/>
          <w:sz w:val="24"/>
          <w:szCs w:val="24"/>
          <w:highlight w:val="none"/>
        </w:rPr>
      </w:pPr>
    </w:p>
    <w:p w14:paraId="0D7C3304">
      <w:pPr>
        <w:pStyle w:val="14"/>
        <w:rPr>
          <w:rFonts w:hint="eastAsia" w:ascii="仿宋" w:hAnsi="仿宋" w:eastAsia="仿宋" w:cs="仿宋"/>
          <w:color w:val="auto"/>
          <w:sz w:val="24"/>
          <w:szCs w:val="24"/>
          <w:highlight w:val="none"/>
        </w:rPr>
      </w:pPr>
    </w:p>
    <w:p w14:paraId="053A4331">
      <w:pPr>
        <w:pStyle w:val="1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说明：仅限法定代表人（负责人）参加时提供。</w:t>
      </w:r>
    </w:p>
    <w:p w14:paraId="07D51A19">
      <w:pPr>
        <w:pStyle w:val="3"/>
        <w:jc w:val="center"/>
        <w:rPr>
          <w:rStyle w:val="40"/>
          <w:rFonts w:hint="eastAsia" w:ascii="仿宋" w:hAnsi="仿宋" w:eastAsia="仿宋" w:cs="仿宋"/>
          <w:b/>
          <w:bCs w:val="0"/>
          <w:color w:val="auto"/>
          <w:sz w:val="24"/>
          <w:szCs w:val="24"/>
          <w:highlight w:val="none"/>
          <w:lang w:val="en-US" w:eastAsia="zh-CN"/>
        </w:rPr>
      </w:pPr>
      <w:bookmarkStart w:id="486" w:name="_Toc18441"/>
      <w:bookmarkStart w:id="487" w:name="_Toc24648"/>
      <w:bookmarkStart w:id="488" w:name="_Toc2043"/>
      <w:bookmarkStart w:id="489" w:name="_Toc50459036"/>
      <w:r>
        <w:rPr>
          <w:rStyle w:val="40"/>
          <w:rFonts w:hint="eastAsia" w:ascii="仿宋" w:hAnsi="仿宋" w:eastAsia="仿宋" w:cs="仿宋"/>
          <w:b/>
          <w:bCs w:val="0"/>
          <w:color w:val="auto"/>
          <w:sz w:val="24"/>
          <w:szCs w:val="24"/>
          <w:highlight w:val="none"/>
          <w:lang w:val="en-US" w:eastAsia="zh-CN"/>
        </w:rPr>
        <w:t>5、</w:t>
      </w:r>
      <w:bookmarkEnd w:id="486"/>
      <w:bookmarkEnd w:id="487"/>
      <w:bookmarkEnd w:id="488"/>
      <w:bookmarkEnd w:id="489"/>
      <w:r>
        <w:rPr>
          <w:rStyle w:val="40"/>
          <w:rFonts w:hint="eastAsia" w:ascii="仿宋" w:hAnsi="仿宋" w:eastAsia="仿宋" w:cs="仿宋"/>
          <w:b/>
          <w:bCs w:val="0"/>
          <w:color w:val="auto"/>
          <w:sz w:val="24"/>
          <w:szCs w:val="24"/>
          <w:highlight w:val="none"/>
          <w:lang w:val="en-US" w:eastAsia="zh-CN"/>
        </w:rPr>
        <w:t>法定代表人（负责人）授权委托书</w:t>
      </w:r>
    </w:p>
    <w:p w14:paraId="7E3EB062">
      <w:pPr>
        <w:spacing w:line="360" w:lineRule="auto"/>
        <w:jc w:val="center"/>
        <w:rPr>
          <w:rFonts w:hint="eastAsia" w:ascii="仿宋" w:hAnsi="仿宋" w:eastAsia="仿宋" w:cs="仿宋"/>
          <w:b/>
          <w:bCs/>
          <w:color w:val="auto"/>
          <w:sz w:val="24"/>
          <w:szCs w:val="24"/>
          <w:highlight w:val="none"/>
        </w:rPr>
      </w:pPr>
    </w:p>
    <w:p w14:paraId="29DB95DA">
      <w:pPr>
        <w:spacing w:line="360" w:lineRule="auto"/>
        <w:ind w:firstLine="453" w:firstLineChars="189"/>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本授权委托书声明：我</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系</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的法定代表人，现授权委托</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的</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为我的代理人，以本单位的名义参加</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投标活动。代理人在参加整个招标投标活动、合同磋商过程中所签署的一切文件和处理与之相关的一切事物，我均予承认。</w:t>
      </w:r>
    </w:p>
    <w:p w14:paraId="10C6FDD1">
      <w:pPr>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代理人：</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 xml:space="preserve">   性别：</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 xml:space="preserve">  年龄：</w:t>
      </w:r>
      <w:r>
        <w:rPr>
          <w:rFonts w:hint="eastAsia" w:ascii="仿宋" w:hAnsi="仿宋" w:eastAsia="仿宋" w:cs="仿宋"/>
          <w:bCs/>
          <w:color w:val="auto"/>
          <w:sz w:val="24"/>
          <w:szCs w:val="24"/>
          <w:highlight w:val="none"/>
          <w:u w:val="single"/>
        </w:rPr>
        <w:t xml:space="preserve">             </w:t>
      </w:r>
    </w:p>
    <w:p w14:paraId="028E8689">
      <w:pPr>
        <w:spacing w:line="360" w:lineRule="auto"/>
        <w:ind w:firstLine="453" w:firstLineChars="189"/>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部  门：</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 xml:space="preserve">  职务：</w:t>
      </w:r>
      <w:r>
        <w:rPr>
          <w:rFonts w:hint="eastAsia" w:ascii="仿宋" w:hAnsi="仿宋" w:eastAsia="仿宋" w:cs="仿宋"/>
          <w:bCs/>
          <w:color w:val="auto"/>
          <w:sz w:val="24"/>
          <w:szCs w:val="24"/>
          <w:highlight w:val="none"/>
          <w:u w:val="single"/>
        </w:rPr>
        <w:t xml:space="preserve">             </w:t>
      </w:r>
    </w:p>
    <w:p w14:paraId="7272D59F">
      <w:pPr>
        <w:spacing w:line="360" w:lineRule="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-92710</wp:posOffset>
                </wp:positionH>
                <wp:positionV relativeFrom="paragraph">
                  <wp:posOffset>122555</wp:posOffset>
                </wp:positionV>
                <wp:extent cx="2971800" cy="1895475"/>
                <wp:effectExtent l="4445" t="4445" r="14605" b="5080"/>
                <wp:wrapNone/>
                <wp:docPr id="4" name="文本框 4"/>
                <wp:cNvGraphicFramePr/>
                <a:graphic xmlns:a="http://schemas.openxmlformats.org/drawingml/2006/main">
                  <a:graphicData uri="http://schemas.microsoft.com/office/word/2010/wordprocessingShape">
                    <wps:wsp>
                      <wps:cNvSpPr txBox="1"/>
                      <wps:spPr>
                        <a:xfrm>
                          <a:off x="0" y="0"/>
                          <a:ext cx="2971800" cy="189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632BF1">
                            <w:pPr>
                              <w:jc w:val="center"/>
                              <w:rPr>
                                <w:rFonts w:ascii="仿宋" w:hAnsi="仿宋" w:eastAsia="仿宋"/>
                                <w:sz w:val="36"/>
                                <w:szCs w:val="36"/>
                              </w:rPr>
                            </w:pPr>
                          </w:p>
                          <w:p w14:paraId="3945C202">
                            <w:pPr>
                              <w:jc w:val="center"/>
                              <w:rPr>
                                <w:rFonts w:ascii="仿宋" w:hAnsi="仿宋" w:eastAsia="仿宋"/>
                                <w:sz w:val="36"/>
                                <w:szCs w:val="36"/>
                              </w:rPr>
                            </w:pPr>
                          </w:p>
                          <w:p w14:paraId="37D78281">
                            <w:pPr>
                              <w:jc w:val="center"/>
                              <w:rPr>
                                <w:sz w:val="32"/>
                                <w:szCs w:val="32"/>
                              </w:rPr>
                            </w:pPr>
                            <w:r>
                              <w:rPr>
                                <w:rFonts w:hint="eastAsia" w:ascii="仿宋" w:hAnsi="仿宋" w:eastAsia="仿宋"/>
                                <w:sz w:val="36"/>
                                <w:szCs w:val="36"/>
                              </w:rPr>
                              <w:t>法定代表人</w:t>
                            </w:r>
                            <w:r>
                              <w:rPr>
                                <w:rFonts w:hint="eastAsia" w:ascii="仿宋" w:hAnsi="仿宋" w:eastAsia="仿宋"/>
                                <w:sz w:val="36"/>
                                <w:szCs w:val="36"/>
                                <w:lang w:eastAsia="zh-CN"/>
                              </w:rPr>
                              <w:t>（</w:t>
                            </w:r>
                            <w:r>
                              <w:rPr>
                                <w:rFonts w:hint="eastAsia" w:ascii="仿宋" w:hAnsi="仿宋" w:eastAsia="仿宋"/>
                                <w:sz w:val="36"/>
                                <w:szCs w:val="36"/>
                                <w:lang w:val="en-US" w:eastAsia="zh-CN"/>
                              </w:rPr>
                              <w:t>负责人</w:t>
                            </w:r>
                            <w:r>
                              <w:rPr>
                                <w:rFonts w:hint="eastAsia" w:ascii="仿宋" w:hAnsi="仿宋" w:eastAsia="仿宋"/>
                                <w:sz w:val="36"/>
                                <w:szCs w:val="36"/>
                                <w:lang w:eastAsia="zh-CN"/>
                              </w:rPr>
                              <w:t>）</w:t>
                            </w:r>
                            <w:r>
                              <w:rPr>
                                <w:rFonts w:hint="eastAsia" w:ascii="仿宋" w:hAnsi="仿宋" w:eastAsia="仿宋"/>
                                <w:sz w:val="36"/>
                                <w:szCs w:val="36"/>
                              </w:rPr>
                              <w:t>身份证复印件（正反面）</w:t>
                            </w:r>
                          </w:p>
                        </w:txbxContent>
                      </wps:txbx>
                      <wps:bodyPr upright="1"/>
                    </wps:wsp>
                  </a:graphicData>
                </a:graphic>
              </wp:anchor>
            </w:drawing>
          </mc:Choice>
          <mc:Fallback>
            <w:pict>
              <v:shape id="_x0000_s1026" o:spid="_x0000_s1026" o:spt="202" type="#_x0000_t202" style="position:absolute;left:0pt;margin-left:-7.3pt;margin-top:9.65pt;height:149.25pt;width:234pt;z-index:251661312;mso-width-relative:page;mso-height-relative:page;" fillcolor="#FFFFFF" filled="t" stroked="t" coordsize="21600,21600" o:gfxdata="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6M8UNkAAAAKAQAADwAAAAAA&#10;AAABACAAAAAiAAAAZHJzL2Rvd25yZXYueG1sUEsBAhQAFAAAAAgAh07iQInh9lMSAgAARQQAAA4A&#10;AAAAAAAAAQAgAAAAKAEAAGRycy9lMm9Eb2MueG1sUEsFBgAAAAAGAAYAWQEAAKwFAAAAAA==&#10;">
                <v:fill on="t" focussize="0,0"/>
                <v:stroke color="#000000" joinstyle="miter"/>
                <v:imagedata o:title=""/>
                <o:lock v:ext="edit" aspectratio="f"/>
                <v:textbox>
                  <w:txbxContent>
                    <w:p w14:paraId="60632BF1">
                      <w:pPr>
                        <w:jc w:val="center"/>
                        <w:rPr>
                          <w:rFonts w:ascii="仿宋" w:hAnsi="仿宋" w:eastAsia="仿宋"/>
                          <w:sz w:val="36"/>
                          <w:szCs w:val="36"/>
                        </w:rPr>
                      </w:pPr>
                    </w:p>
                    <w:p w14:paraId="3945C202">
                      <w:pPr>
                        <w:jc w:val="center"/>
                        <w:rPr>
                          <w:rFonts w:ascii="仿宋" w:hAnsi="仿宋" w:eastAsia="仿宋"/>
                          <w:sz w:val="36"/>
                          <w:szCs w:val="36"/>
                        </w:rPr>
                      </w:pPr>
                    </w:p>
                    <w:p w14:paraId="37D78281">
                      <w:pPr>
                        <w:jc w:val="center"/>
                        <w:rPr>
                          <w:sz w:val="32"/>
                          <w:szCs w:val="32"/>
                        </w:rPr>
                      </w:pPr>
                      <w:r>
                        <w:rPr>
                          <w:rFonts w:hint="eastAsia" w:ascii="仿宋" w:hAnsi="仿宋" w:eastAsia="仿宋"/>
                          <w:sz w:val="36"/>
                          <w:szCs w:val="36"/>
                        </w:rPr>
                        <w:t>法定代表人</w:t>
                      </w:r>
                      <w:r>
                        <w:rPr>
                          <w:rFonts w:hint="eastAsia" w:ascii="仿宋" w:hAnsi="仿宋" w:eastAsia="仿宋"/>
                          <w:sz w:val="36"/>
                          <w:szCs w:val="36"/>
                          <w:lang w:eastAsia="zh-CN"/>
                        </w:rPr>
                        <w:t>（</w:t>
                      </w:r>
                      <w:r>
                        <w:rPr>
                          <w:rFonts w:hint="eastAsia" w:ascii="仿宋" w:hAnsi="仿宋" w:eastAsia="仿宋"/>
                          <w:sz w:val="36"/>
                          <w:szCs w:val="36"/>
                          <w:lang w:val="en-US" w:eastAsia="zh-CN"/>
                        </w:rPr>
                        <w:t>负责人</w:t>
                      </w:r>
                      <w:r>
                        <w:rPr>
                          <w:rFonts w:hint="eastAsia" w:ascii="仿宋" w:hAnsi="仿宋" w:eastAsia="仿宋"/>
                          <w:sz w:val="36"/>
                          <w:szCs w:val="36"/>
                          <w:lang w:eastAsia="zh-CN"/>
                        </w:rPr>
                        <w:t>）</w:t>
                      </w:r>
                      <w:r>
                        <w:rPr>
                          <w:rFonts w:hint="eastAsia" w:ascii="仿宋" w:hAnsi="仿宋" w:eastAsia="仿宋"/>
                          <w:sz w:val="36"/>
                          <w:szCs w:val="36"/>
                        </w:rPr>
                        <w:t>身份证复印件（正反面）</w:t>
                      </w:r>
                    </w:p>
                  </w:txbxContent>
                </v:textbox>
              </v:shape>
            </w:pict>
          </mc:Fallback>
        </mc:AlternateContent>
      </w:r>
      <w:r>
        <w:rPr>
          <w:rFonts w:hint="eastAsia" w:ascii="仿宋" w:hAnsi="仿宋" w:eastAsia="仿宋" w:cs="仿宋"/>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3107690</wp:posOffset>
                </wp:positionH>
                <wp:positionV relativeFrom="paragraph">
                  <wp:posOffset>122555</wp:posOffset>
                </wp:positionV>
                <wp:extent cx="2971800" cy="1895475"/>
                <wp:effectExtent l="4445" t="4445" r="14605" b="5080"/>
                <wp:wrapNone/>
                <wp:docPr id="1" name="文本框 1"/>
                <wp:cNvGraphicFramePr/>
                <a:graphic xmlns:a="http://schemas.openxmlformats.org/drawingml/2006/main">
                  <a:graphicData uri="http://schemas.microsoft.com/office/word/2010/wordprocessingShape">
                    <wps:wsp>
                      <wps:cNvSpPr txBox="1"/>
                      <wps:spPr>
                        <a:xfrm>
                          <a:off x="0" y="0"/>
                          <a:ext cx="2971800" cy="1895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0B7790B">
                            <w:pPr>
                              <w:jc w:val="center"/>
                              <w:rPr>
                                <w:rFonts w:ascii="仿宋" w:hAnsi="仿宋" w:eastAsia="仿宋"/>
                                <w:sz w:val="36"/>
                                <w:szCs w:val="36"/>
                              </w:rPr>
                            </w:pPr>
                          </w:p>
                          <w:p w14:paraId="00883942">
                            <w:pPr>
                              <w:jc w:val="center"/>
                              <w:rPr>
                                <w:rFonts w:ascii="仿宋" w:hAnsi="仿宋" w:eastAsia="仿宋"/>
                                <w:sz w:val="36"/>
                                <w:szCs w:val="36"/>
                              </w:rPr>
                            </w:pPr>
                          </w:p>
                          <w:p w14:paraId="047A8F55">
                            <w:pPr>
                              <w:jc w:val="center"/>
                              <w:rPr>
                                <w:rFonts w:ascii="仿宋" w:hAnsi="仿宋" w:eastAsia="仿宋"/>
                                <w:sz w:val="36"/>
                                <w:szCs w:val="36"/>
                              </w:rPr>
                            </w:pPr>
                            <w:r>
                              <w:rPr>
                                <w:rFonts w:hint="eastAsia" w:ascii="仿宋" w:hAnsi="仿宋" w:eastAsia="仿宋"/>
                                <w:sz w:val="36"/>
                                <w:szCs w:val="36"/>
                              </w:rPr>
                              <w:t>代理人身份证复印件</w:t>
                            </w:r>
                          </w:p>
                          <w:p w14:paraId="449A18BB">
                            <w:pPr>
                              <w:jc w:val="center"/>
                              <w:rPr>
                                <w:rFonts w:ascii="仿宋" w:hAnsi="仿宋" w:eastAsia="仿宋"/>
                                <w:sz w:val="36"/>
                                <w:szCs w:val="36"/>
                              </w:rPr>
                            </w:pPr>
                            <w:r>
                              <w:rPr>
                                <w:rFonts w:hint="eastAsia" w:ascii="仿宋" w:hAnsi="仿宋" w:eastAsia="仿宋"/>
                                <w:sz w:val="36"/>
                                <w:szCs w:val="36"/>
                              </w:rPr>
                              <w:t>（正反面）</w:t>
                            </w:r>
                          </w:p>
                        </w:txbxContent>
                      </wps:txbx>
                      <wps:bodyPr upright="1"/>
                    </wps:wsp>
                  </a:graphicData>
                </a:graphic>
              </wp:anchor>
            </w:drawing>
          </mc:Choice>
          <mc:Fallback>
            <w:pict>
              <v:shape id="_x0000_s1026" o:spid="_x0000_s1026" o:spt="202" type="#_x0000_t202" style="position:absolute;left:0pt;margin-left:244.7pt;margin-top:9.65pt;height:149.25pt;width:234pt;z-index:251662336;mso-width-relative:page;mso-height-relative:page;" fillcolor="#FFFFFF" filled="t" stroked="t" coordsize="21600,21600" o:gfxdata="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aomDjZAAAACgEAAA8AAAAAAAAA&#10;AQAgAAAAIgAAAGRycy9kb3ducmV2LnhtbFBLAQIUABQAAAAIAIdO4kAUI0bxEAIAAEUEAAAOAAAA&#10;AAAAAAEAIAAAACgBAABkcnMvZTJvRG9jLnhtbFBLBQYAAAAABgAGAFkBAACqBQAAAAA=&#10;">
                <v:fill on="t" focussize="0,0"/>
                <v:stroke color="#000000" joinstyle="miter"/>
                <v:imagedata o:title=""/>
                <o:lock v:ext="edit" aspectratio="f"/>
                <v:textbox>
                  <w:txbxContent>
                    <w:p w14:paraId="20B7790B">
                      <w:pPr>
                        <w:jc w:val="center"/>
                        <w:rPr>
                          <w:rFonts w:ascii="仿宋" w:hAnsi="仿宋" w:eastAsia="仿宋"/>
                          <w:sz w:val="36"/>
                          <w:szCs w:val="36"/>
                        </w:rPr>
                      </w:pPr>
                    </w:p>
                    <w:p w14:paraId="00883942">
                      <w:pPr>
                        <w:jc w:val="center"/>
                        <w:rPr>
                          <w:rFonts w:ascii="仿宋" w:hAnsi="仿宋" w:eastAsia="仿宋"/>
                          <w:sz w:val="36"/>
                          <w:szCs w:val="36"/>
                        </w:rPr>
                      </w:pPr>
                    </w:p>
                    <w:p w14:paraId="047A8F55">
                      <w:pPr>
                        <w:jc w:val="center"/>
                        <w:rPr>
                          <w:rFonts w:ascii="仿宋" w:hAnsi="仿宋" w:eastAsia="仿宋"/>
                          <w:sz w:val="36"/>
                          <w:szCs w:val="36"/>
                        </w:rPr>
                      </w:pPr>
                      <w:r>
                        <w:rPr>
                          <w:rFonts w:hint="eastAsia" w:ascii="仿宋" w:hAnsi="仿宋" w:eastAsia="仿宋"/>
                          <w:sz w:val="36"/>
                          <w:szCs w:val="36"/>
                        </w:rPr>
                        <w:t>代理人身份证复印件</w:t>
                      </w:r>
                    </w:p>
                    <w:p w14:paraId="449A18BB">
                      <w:pPr>
                        <w:jc w:val="center"/>
                        <w:rPr>
                          <w:rFonts w:ascii="仿宋" w:hAnsi="仿宋" w:eastAsia="仿宋"/>
                          <w:sz w:val="36"/>
                          <w:szCs w:val="36"/>
                        </w:rPr>
                      </w:pPr>
                      <w:r>
                        <w:rPr>
                          <w:rFonts w:hint="eastAsia" w:ascii="仿宋" w:hAnsi="仿宋" w:eastAsia="仿宋"/>
                          <w:sz w:val="36"/>
                          <w:szCs w:val="36"/>
                        </w:rPr>
                        <w:t>（正反面）</w:t>
                      </w:r>
                    </w:p>
                  </w:txbxContent>
                </v:textbox>
              </v:shape>
            </w:pict>
          </mc:Fallback>
        </mc:AlternateContent>
      </w:r>
    </w:p>
    <w:p w14:paraId="61DBF128">
      <w:pPr>
        <w:spacing w:line="360" w:lineRule="auto"/>
        <w:rPr>
          <w:rFonts w:hint="eastAsia" w:ascii="仿宋" w:hAnsi="仿宋" w:eastAsia="仿宋" w:cs="仿宋"/>
          <w:bCs/>
          <w:color w:val="auto"/>
          <w:sz w:val="24"/>
          <w:szCs w:val="24"/>
          <w:highlight w:val="none"/>
        </w:rPr>
      </w:pPr>
    </w:p>
    <w:p w14:paraId="421D97A3">
      <w:pPr>
        <w:spacing w:line="360" w:lineRule="auto"/>
        <w:rPr>
          <w:rFonts w:hint="eastAsia" w:ascii="仿宋" w:hAnsi="仿宋" w:eastAsia="仿宋" w:cs="仿宋"/>
          <w:bCs/>
          <w:color w:val="auto"/>
          <w:sz w:val="24"/>
          <w:szCs w:val="24"/>
          <w:highlight w:val="none"/>
        </w:rPr>
      </w:pPr>
    </w:p>
    <w:p w14:paraId="6A9E50C2">
      <w:pPr>
        <w:spacing w:line="360" w:lineRule="auto"/>
        <w:rPr>
          <w:rFonts w:hint="eastAsia" w:ascii="仿宋" w:hAnsi="仿宋" w:eastAsia="仿宋" w:cs="仿宋"/>
          <w:bCs/>
          <w:color w:val="auto"/>
          <w:sz w:val="24"/>
          <w:szCs w:val="24"/>
          <w:highlight w:val="none"/>
        </w:rPr>
      </w:pPr>
    </w:p>
    <w:p w14:paraId="74231EA6">
      <w:pPr>
        <w:spacing w:line="360" w:lineRule="auto"/>
        <w:rPr>
          <w:rFonts w:hint="eastAsia" w:ascii="仿宋" w:hAnsi="仿宋" w:eastAsia="仿宋" w:cs="仿宋"/>
          <w:bCs/>
          <w:color w:val="auto"/>
          <w:sz w:val="24"/>
          <w:szCs w:val="24"/>
          <w:highlight w:val="none"/>
        </w:rPr>
      </w:pPr>
    </w:p>
    <w:p w14:paraId="34D62698">
      <w:pPr>
        <w:spacing w:line="360" w:lineRule="auto"/>
        <w:rPr>
          <w:rFonts w:hint="eastAsia" w:ascii="仿宋" w:hAnsi="仿宋" w:eastAsia="仿宋" w:cs="仿宋"/>
          <w:bCs/>
          <w:color w:val="auto"/>
          <w:sz w:val="24"/>
          <w:szCs w:val="24"/>
          <w:highlight w:val="none"/>
        </w:rPr>
      </w:pPr>
    </w:p>
    <w:p w14:paraId="0DDD8774">
      <w:pPr>
        <w:pStyle w:val="25"/>
        <w:spacing w:line="360" w:lineRule="auto"/>
        <w:ind w:left="1620" w:hanging="420"/>
        <w:rPr>
          <w:rFonts w:hint="eastAsia" w:ascii="仿宋" w:hAnsi="仿宋" w:eastAsia="仿宋" w:cs="仿宋"/>
          <w:color w:val="auto"/>
          <w:sz w:val="24"/>
          <w:szCs w:val="24"/>
          <w:highlight w:val="none"/>
        </w:rPr>
      </w:pPr>
    </w:p>
    <w:p w14:paraId="32B9956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  标  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（盖章）</w:t>
      </w:r>
    </w:p>
    <w:p w14:paraId="25348C04">
      <w:pPr>
        <w:spacing w:line="360" w:lineRule="auto"/>
        <w:ind w:firstLine="480" w:firstLineChars="200"/>
        <w:rPr>
          <w:rFonts w:hint="eastAsia" w:ascii="仿宋" w:hAnsi="仿宋" w:eastAsia="仿宋" w:cs="仿宋"/>
          <w:color w:val="auto"/>
          <w:sz w:val="24"/>
          <w:szCs w:val="24"/>
          <w:highlight w:val="none"/>
        </w:rPr>
      </w:pPr>
    </w:p>
    <w:p w14:paraId="5D793F7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法定代表人或其委托代理人：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（签字</w:t>
      </w:r>
      <w:r>
        <w:rPr>
          <w:rFonts w:hint="eastAsia" w:ascii="仿宋" w:hAnsi="仿宋" w:eastAsia="仿宋" w:cs="仿宋"/>
          <w:color w:val="auto"/>
          <w:sz w:val="24"/>
          <w:szCs w:val="24"/>
          <w:highlight w:val="none"/>
          <w:lang w:val="en-US" w:eastAsia="zh-CN"/>
        </w:rPr>
        <w:t>或盖章</w:t>
      </w:r>
      <w:r>
        <w:rPr>
          <w:rFonts w:hint="eastAsia" w:ascii="仿宋" w:hAnsi="仿宋" w:eastAsia="仿宋" w:cs="仿宋"/>
          <w:color w:val="auto"/>
          <w:sz w:val="24"/>
          <w:szCs w:val="24"/>
          <w:highlight w:val="none"/>
        </w:rPr>
        <w:t>）</w:t>
      </w:r>
    </w:p>
    <w:p w14:paraId="5BAE28C1">
      <w:pPr>
        <w:pStyle w:val="14"/>
        <w:rPr>
          <w:rFonts w:hint="eastAsia" w:ascii="仿宋" w:hAnsi="仿宋" w:eastAsia="仿宋" w:cs="仿宋"/>
          <w:color w:val="auto"/>
          <w:sz w:val="24"/>
          <w:szCs w:val="24"/>
          <w:highlight w:val="none"/>
        </w:rPr>
      </w:pPr>
    </w:p>
    <w:p w14:paraId="00503F66">
      <w:pPr>
        <w:pStyle w:val="25"/>
        <w:spacing w:line="360" w:lineRule="auto"/>
        <w:rPr>
          <w:rFonts w:hint="eastAsia" w:ascii="仿宋" w:hAnsi="仿宋" w:eastAsia="仿宋" w:cs="仿宋"/>
          <w:b/>
          <w:bCs/>
          <w:color w:val="auto"/>
          <w:sz w:val="24"/>
          <w:szCs w:val="24"/>
          <w:highlight w:val="none"/>
        </w:rPr>
      </w:pPr>
    </w:p>
    <w:p w14:paraId="38CDD3AE">
      <w:pPr>
        <w:pStyle w:val="25"/>
        <w:spacing w:line="360" w:lineRule="auto"/>
        <w:rPr>
          <w:rFonts w:hint="eastAsia" w:ascii="仿宋" w:hAnsi="仿宋" w:eastAsia="仿宋" w:cs="仿宋"/>
          <w:b/>
          <w:bCs/>
          <w:color w:val="auto"/>
          <w:sz w:val="24"/>
          <w:szCs w:val="24"/>
          <w:highlight w:val="none"/>
        </w:rPr>
      </w:pPr>
    </w:p>
    <w:p w14:paraId="40C28E5C">
      <w:pPr>
        <w:pStyle w:val="25"/>
        <w:spacing w:line="360" w:lineRule="auto"/>
        <w:rPr>
          <w:rFonts w:hint="eastAsia" w:ascii="仿宋" w:hAnsi="仿宋" w:eastAsia="仿宋" w:cs="仿宋"/>
          <w:b/>
          <w:bCs/>
          <w:color w:val="auto"/>
          <w:sz w:val="24"/>
          <w:szCs w:val="24"/>
          <w:highlight w:val="none"/>
        </w:rPr>
      </w:pPr>
    </w:p>
    <w:p w14:paraId="3E1976F5">
      <w:pPr>
        <w:pStyle w:val="25"/>
        <w:spacing w:line="360" w:lineRule="auto"/>
        <w:rPr>
          <w:rFonts w:hint="eastAsia" w:ascii="仿宋" w:hAnsi="仿宋" w:eastAsia="仿宋" w:cs="仿宋"/>
          <w:b/>
          <w:bCs/>
          <w:color w:val="auto"/>
          <w:sz w:val="24"/>
          <w:szCs w:val="24"/>
          <w:highlight w:val="none"/>
        </w:rPr>
      </w:pPr>
    </w:p>
    <w:p w14:paraId="71E48EA0">
      <w:pPr>
        <w:pStyle w:val="25"/>
        <w:spacing w:line="360" w:lineRule="auto"/>
        <w:rPr>
          <w:rFonts w:hint="eastAsia" w:ascii="仿宋" w:hAnsi="仿宋" w:eastAsia="仿宋" w:cs="仿宋"/>
          <w:b/>
          <w:bCs/>
          <w:color w:val="auto"/>
          <w:sz w:val="24"/>
          <w:szCs w:val="24"/>
          <w:highlight w:val="none"/>
        </w:rPr>
      </w:pPr>
    </w:p>
    <w:p w14:paraId="799CF2AD">
      <w:pPr>
        <w:pStyle w:val="25"/>
        <w:spacing w:line="360" w:lineRule="auto"/>
        <w:rPr>
          <w:rFonts w:hint="eastAsia" w:ascii="仿宋" w:hAnsi="仿宋" w:eastAsia="仿宋" w:cs="仿宋"/>
          <w:b/>
          <w:bCs/>
          <w:color w:val="auto"/>
          <w:sz w:val="24"/>
          <w:szCs w:val="24"/>
          <w:highlight w:val="none"/>
        </w:rPr>
      </w:pPr>
    </w:p>
    <w:p w14:paraId="00DDC2A0">
      <w:pPr>
        <w:pStyle w:val="25"/>
        <w:spacing w:line="360" w:lineRule="auto"/>
        <w:rPr>
          <w:rFonts w:hint="eastAsia" w:ascii="仿宋" w:hAnsi="仿宋" w:eastAsia="仿宋" w:cs="仿宋"/>
          <w:b/>
          <w:bCs/>
          <w:color w:val="auto"/>
          <w:sz w:val="24"/>
          <w:szCs w:val="24"/>
          <w:highlight w:val="none"/>
        </w:rPr>
      </w:pPr>
    </w:p>
    <w:p w14:paraId="2C86ECD0">
      <w:pPr>
        <w:pStyle w:val="25"/>
        <w:spacing w:line="360" w:lineRule="auto"/>
        <w:rPr>
          <w:rFonts w:hint="eastAsia" w:ascii="仿宋" w:hAnsi="仿宋" w:eastAsia="仿宋" w:cs="仿宋"/>
          <w:b/>
          <w:bCs/>
          <w:color w:val="auto"/>
          <w:sz w:val="24"/>
          <w:szCs w:val="24"/>
          <w:highlight w:val="none"/>
        </w:rPr>
      </w:pPr>
    </w:p>
    <w:p w14:paraId="7C1362DE">
      <w:pPr>
        <w:pStyle w:val="25"/>
        <w:spacing w:line="360" w:lineRule="auto"/>
        <w:rPr>
          <w:rFonts w:hint="eastAsia" w:ascii="仿宋" w:hAnsi="仿宋" w:eastAsia="仿宋" w:cs="仿宋"/>
          <w:b/>
          <w:bCs/>
          <w:color w:val="auto"/>
          <w:sz w:val="24"/>
          <w:szCs w:val="24"/>
          <w:highlight w:val="none"/>
        </w:rPr>
      </w:pPr>
    </w:p>
    <w:p w14:paraId="56549F1B">
      <w:pPr>
        <w:pStyle w:val="3"/>
        <w:jc w:val="center"/>
        <w:rPr>
          <w:rStyle w:val="40"/>
          <w:rFonts w:hint="eastAsia" w:ascii="仿宋" w:hAnsi="仿宋" w:eastAsia="仿宋" w:cs="仿宋"/>
          <w:b/>
          <w:bCs w:val="0"/>
          <w:color w:val="auto"/>
          <w:sz w:val="24"/>
          <w:szCs w:val="24"/>
          <w:highlight w:val="none"/>
          <w:lang w:val="en-US" w:eastAsia="zh-CN"/>
        </w:rPr>
      </w:pPr>
      <w:bookmarkStart w:id="490" w:name="_Toc50459038"/>
      <w:bookmarkStart w:id="491" w:name="_Toc17805"/>
      <w:bookmarkStart w:id="492" w:name="_Toc28582"/>
      <w:bookmarkStart w:id="493" w:name="_Toc9258"/>
      <w:r>
        <w:rPr>
          <w:rStyle w:val="40"/>
          <w:rFonts w:hint="eastAsia" w:ascii="仿宋" w:hAnsi="仿宋" w:eastAsia="仿宋" w:cs="仿宋"/>
          <w:b/>
          <w:bCs w:val="0"/>
          <w:color w:val="auto"/>
          <w:sz w:val="24"/>
          <w:szCs w:val="24"/>
          <w:highlight w:val="none"/>
          <w:lang w:val="en-US" w:eastAsia="zh-CN"/>
        </w:rPr>
        <w:t>6、</w:t>
      </w:r>
      <w:bookmarkEnd w:id="490"/>
      <w:bookmarkEnd w:id="491"/>
      <w:bookmarkEnd w:id="492"/>
      <w:bookmarkEnd w:id="493"/>
      <w:r>
        <w:rPr>
          <w:rStyle w:val="40"/>
          <w:rFonts w:hint="eastAsia" w:ascii="仿宋" w:hAnsi="仿宋" w:eastAsia="仿宋" w:cs="仿宋"/>
          <w:b/>
          <w:bCs w:val="0"/>
          <w:color w:val="auto"/>
          <w:sz w:val="24"/>
          <w:szCs w:val="24"/>
          <w:highlight w:val="none"/>
          <w:lang w:val="en-US" w:eastAsia="zh-CN"/>
        </w:rPr>
        <w:t>投标保证金</w:t>
      </w:r>
    </w:p>
    <w:p w14:paraId="463E7E28">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（后附</w:t>
      </w:r>
      <w:r>
        <w:rPr>
          <w:rFonts w:hint="eastAsia" w:ascii="仿宋" w:hAnsi="仿宋" w:eastAsia="仿宋" w:cs="仿宋"/>
          <w:b/>
          <w:color w:val="auto"/>
          <w:sz w:val="24"/>
          <w:szCs w:val="24"/>
          <w:highlight w:val="none"/>
          <w:lang w:val="en-US" w:eastAsia="zh-CN"/>
        </w:rPr>
        <w:t>汇款凭证或</w:t>
      </w:r>
      <w:r>
        <w:rPr>
          <w:rFonts w:hint="eastAsia" w:ascii="仿宋" w:hAnsi="仿宋" w:eastAsia="仿宋" w:cs="仿宋"/>
          <w:b/>
          <w:color w:val="auto"/>
          <w:sz w:val="24"/>
          <w:szCs w:val="24"/>
          <w:highlight w:val="none"/>
          <w:lang w:eastAsia="zh-CN"/>
        </w:rPr>
        <w:t>投标保函扫描件</w:t>
      </w:r>
      <w:r>
        <w:rPr>
          <w:rFonts w:hint="eastAsia" w:ascii="仿宋" w:hAnsi="仿宋" w:eastAsia="仿宋" w:cs="仿宋"/>
          <w:b/>
          <w:color w:val="auto"/>
          <w:sz w:val="24"/>
          <w:szCs w:val="24"/>
          <w:highlight w:val="none"/>
        </w:rPr>
        <w:t>）</w:t>
      </w:r>
    </w:p>
    <w:p w14:paraId="0699A5AA">
      <w:pPr>
        <w:spacing w:line="360" w:lineRule="auto"/>
        <w:jc w:val="left"/>
        <w:rPr>
          <w:rFonts w:hint="eastAsia" w:ascii="仿宋" w:hAnsi="仿宋" w:eastAsia="仿宋" w:cs="仿宋"/>
          <w:color w:val="auto"/>
          <w:sz w:val="24"/>
          <w:szCs w:val="24"/>
          <w:highlight w:val="none"/>
        </w:rPr>
      </w:pPr>
    </w:p>
    <w:p w14:paraId="0264767F">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新疆华域建设工程项目管理咨询有限公司</w:t>
      </w:r>
      <w:r>
        <w:rPr>
          <w:rFonts w:hint="eastAsia" w:ascii="仿宋" w:hAnsi="仿宋" w:eastAsia="仿宋" w:cs="仿宋"/>
          <w:color w:val="auto"/>
          <w:sz w:val="24"/>
          <w:szCs w:val="24"/>
          <w:highlight w:val="none"/>
        </w:rPr>
        <w:t>：</w:t>
      </w:r>
    </w:p>
    <w:p w14:paraId="1F213E9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本单位已按</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u w:val="single"/>
        </w:rPr>
        <w:t>（项目名称）</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（采购编号：</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要求，于年月日前以</w:t>
      </w:r>
      <w:r>
        <w:rPr>
          <w:rFonts w:hint="eastAsia" w:ascii="仿宋" w:hAnsi="仿宋" w:eastAsia="仿宋" w:cs="仿宋"/>
          <w:color w:val="auto"/>
          <w:sz w:val="24"/>
          <w:szCs w:val="24"/>
          <w:highlight w:val="none"/>
          <w:u w:val="single"/>
        </w:rPr>
        <w:t xml:space="preserve">  （付款形式 ）</w:t>
      </w:r>
      <w:r>
        <w:rPr>
          <w:rFonts w:hint="eastAsia" w:ascii="仿宋" w:hAnsi="仿宋" w:eastAsia="仿宋" w:cs="仿宋"/>
          <w:color w:val="auto"/>
          <w:sz w:val="24"/>
          <w:szCs w:val="24"/>
          <w:highlight w:val="none"/>
        </w:rPr>
        <w:t>方式汇入指定账户（账户名称：,账号,开户银行：。</w:t>
      </w:r>
    </w:p>
    <w:p w14:paraId="5ED4FF2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投标单位投标保证金的汇款情况：（详见附件一投标保证金进账单）</w:t>
      </w:r>
    </w:p>
    <w:p w14:paraId="334DC52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汇出时间：年月日：</w:t>
      </w:r>
    </w:p>
    <w:p w14:paraId="49BA261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汇款金额：（大写）人民币</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元整</w:t>
      </w:r>
    </w:p>
    <w:p w14:paraId="726F935E">
      <w:pPr>
        <w:spacing w:line="360" w:lineRule="auto"/>
        <w:ind w:firstLine="1680" w:firstLineChars="7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（小写：¥元）</w:t>
      </w:r>
    </w:p>
    <w:p w14:paraId="3FB4A0D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汇款账户名称：</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u w:val="single"/>
        </w:rPr>
        <w:t>（必须是投标时使用的单位名称）</w:t>
      </w:r>
    </w:p>
    <w:p w14:paraId="5201D41A">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帐号：</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u w:val="single"/>
        </w:rPr>
        <w:t>（必须是投标时使用的账号）</w:t>
      </w:r>
    </w:p>
    <w:p w14:paraId="45804860">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开户银行：</w:t>
      </w:r>
      <w:r>
        <w:rPr>
          <w:rFonts w:hint="eastAsia" w:ascii="仿宋" w:hAnsi="仿宋" w:eastAsia="仿宋" w:cs="仿宋"/>
          <w:color w:val="auto"/>
          <w:sz w:val="24"/>
          <w:szCs w:val="24"/>
          <w:highlight w:val="none"/>
          <w:u w:val="single"/>
        </w:rPr>
        <w:t>（银行省市分行/支行）</w:t>
      </w:r>
    </w:p>
    <w:p w14:paraId="7AD72755">
      <w:pPr>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行 号:</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17A65CD9">
      <w:pPr>
        <w:pStyle w:val="14"/>
        <w:rPr>
          <w:rFonts w:hint="eastAsia" w:ascii="仿宋" w:hAnsi="仿宋" w:eastAsia="仿宋" w:cs="仿宋"/>
          <w:color w:val="auto"/>
          <w:sz w:val="24"/>
          <w:szCs w:val="24"/>
          <w:highlight w:val="none"/>
          <w:u w:val="single"/>
        </w:rPr>
      </w:pPr>
    </w:p>
    <w:p w14:paraId="1CB62A0D">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本单位谨承诺上述资料是正确、真实的，如因上述证明与事实不符导致的一切损失，本单位保证承担赔偿等一切法律责任。</w:t>
      </w:r>
    </w:p>
    <w:p w14:paraId="39C3747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投标保证金退回时，请按上述资料退回。</w:t>
      </w:r>
    </w:p>
    <w:p w14:paraId="6BBB5DC2">
      <w:pPr>
        <w:spacing w:line="360" w:lineRule="auto"/>
        <w:ind w:firstLine="480" w:firstLineChars="200"/>
        <w:jc w:val="left"/>
        <w:rPr>
          <w:rFonts w:hint="eastAsia" w:ascii="仿宋" w:hAnsi="仿宋" w:eastAsia="仿宋" w:cs="仿宋"/>
          <w:color w:val="auto"/>
          <w:sz w:val="24"/>
          <w:szCs w:val="24"/>
          <w:highlight w:val="none"/>
        </w:rPr>
      </w:pPr>
    </w:p>
    <w:p w14:paraId="40D74ABC">
      <w:pPr>
        <w:spacing w:line="360" w:lineRule="auto"/>
        <w:ind w:firstLine="5280" w:firstLineChars="2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（单位公章）</w:t>
      </w:r>
    </w:p>
    <w:p w14:paraId="25E49D39">
      <w:pPr>
        <w:spacing w:line="360" w:lineRule="auto"/>
        <w:ind w:firstLine="5280" w:firstLineChars="2200"/>
        <w:jc w:val="left"/>
        <w:rPr>
          <w:rFonts w:hint="eastAsia" w:ascii="仿宋" w:hAnsi="仿宋" w:eastAsia="仿宋" w:cs="仿宋"/>
          <w:color w:val="auto"/>
          <w:sz w:val="24"/>
          <w:szCs w:val="24"/>
          <w:highlight w:val="none"/>
        </w:rPr>
      </w:pPr>
    </w:p>
    <w:p w14:paraId="02C89343">
      <w:pPr>
        <w:spacing w:line="360" w:lineRule="auto"/>
        <w:ind w:firstLine="5280" w:firstLineChars="2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年月日</w:t>
      </w:r>
    </w:p>
    <w:p w14:paraId="0806AE58">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w:t>
      </w:r>
    </w:p>
    <w:p w14:paraId="6EDCF3FF">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单位地址：</w:t>
      </w:r>
    </w:p>
    <w:p w14:paraId="18C54DE3">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p>
    <w:p w14:paraId="1539D7FE">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单位电话：</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ab/>
      </w:r>
    </w:p>
    <w:p w14:paraId="162AEE71">
      <w:pPr>
        <w:pStyle w:val="25"/>
        <w:spacing w:line="360" w:lineRule="auto"/>
        <w:rPr>
          <w:rFonts w:hint="eastAsia" w:ascii="仿宋" w:hAnsi="仿宋" w:eastAsia="仿宋" w:cs="仿宋"/>
          <w:b/>
          <w:bCs/>
          <w:color w:val="auto"/>
          <w:sz w:val="24"/>
          <w:szCs w:val="24"/>
          <w:highlight w:val="none"/>
        </w:rPr>
      </w:pPr>
    </w:p>
    <w:p w14:paraId="232D446B">
      <w:pPr>
        <w:pStyle w:val="25"/>
        <w:spacing w:line="360" w:lineRule="auto"/>
        <w:rPr>
          <w:rFonts w:hint="eastAsia" w:ascii="仿宋" w:hAnsi="仿宋" w:eastAsia="仿宋" w:cs="仿宋"/>
          <w:b/>
          <w:bCs/>
          <w:color w:val="auto"/>
          <w:sz w:val="24"/>
          <w:szCs w:val="24"/>
          <w:highlight w:val="none"/>
        </w:rPr>
      </w:pPr>
    </w:p>
    <w:p w14:paraId="031D9FD1">
      <w:pPr>
        <w:pStyle w:val="3"/>
        <w:jc w:val="center"/>
        <w:rPr>
          <w:rStyle w:val="40"/>
          <w:rFonts w:hint="eastAsia" w:ascii="仿宋" w:hAnsi="仿宋" w:eastAsia="仿宋" w:cs="仿宋"/>
          <w:b/>
          <w:bCs w:val="0"/>
          <w:color w:val="auto"/>
          <w:sz w:val="24"/>
          <w:szCs w:val="24"/>
          <w:highlight w:val="none"/>
          <w:lang w:val="en-US" w:eastAsia="zh-CN"/>
        </w:rPr>
      </w:pPr>
      <w:bookmarkStart w:id="494" w:name="_Toc8056"/>
      <w:r>
        <w:rPr>
          <w:rStyle w:val="40"/>
          <w:rFonts w:hint="eastAsia" w:ascii="仿宋" w:hAnsi="仿宋" w:eastAsia="仿宋" w:cs="仿宋"/>
          <w:b/>
          <w:bCs w:val="0"/>
          <w:color w:val="auto"/>
          <w:sz w:val="24"/>
          <w:szCs w:val="24"/>
          <w:highlight w:val="none"/>
          <w:lang w:val="en-US" w:eastAsia="zh-CN"/>
        </w:rPr>
        <w:t>7、技术条件响应/偏离表</w:t>
      </w:r>
      <w:bookmarkEnd w:id="494"/>
    </w:p>
    <w:p w14:paraId="6A222CFB">
      <w:pPr>
        <w:spacing w:after="156" w:afterLines="50"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投标人名称（公章）：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编号：</w:t>
      </w:r>
      <w:r>
        <w:rPr>
          <w:rFonts w:hint="eastAsia" w:ascii="仿宋" w:hAnsi="仿宋" w:eastAsia="仿宋" w:cs="仿宋"/>
          <w:color w:val="auto"/>
          <w:sz w:val="24"/>
          <w:szCs w:val="24"/>
          <w:highlight w:val="none"/>
          <w:u w:val="single"/>
        </w:rPr>
        <w:t>　　　　　　　　　　</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14:paraId="1310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0" w:hRule="atLeast"/>
        </w:trPr>
        <w:tc>
          <w:tcPr>
            <w:tcW w:w="1704" w:type="dxa"/>
            <w:vAlign w:val="center"/>
          </w:tcPr>
          <w:p w14:paraId="073538F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704" w:type="dxa"/>
            <w:vAlign w:val="center"/>
          </w:tcPr>
          <w:p w14:paraId="00697F0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招标服务要求</w:t>
            </w:r>
          </w:p>
        </w:tc>
        <w:tc>
          <w:tcPr>
            <w:tcW w:w="1704" w:type="dxa"/>
            <w:vAlign w:val="center"/>
          </w:tcPr>
          <w:p w14:paraId="61D1FBB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投标服务响应</w:t>
            </w:r>
          </w:p>
        </w:tc>
        <w:tc>
          <w:tcPr>
            <w:tcW w:w="1705" w:type="dxa"/>
            <w:vAlign w:val="center"/>
          </w:tcPr>
          <w:p w14:paraId="3F5C454C">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响应/偏离</w:t>
            </w:r>
          </w:p>
        </w:tc>
        <w:tc>
          <w:tcPr>
            <w:tcW w:w="1705" w:type="dxa"/>
            <w:vAlign w:val="center"/>
          </w:tcPr>
          <w:p w14:paraId="35CF253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tc>
      </w:tr>
      <w:tr w14:paraId="0955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tcPr>
          <w:p w14:paraId="3AFD26B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704" w:type="dxa"/>
          </w:tcPr>
          <w:p w14:paraId="45609250">
            <w:pPr>
              <w:spacing w:line="360" w:lineRule="auto"/>
              <w:rPr>
                <w:rFonts w:hint="eastAsia" w:ascii="仿宋" w:hAnsi="仿宋" w:eastAsia="仿宋" w:cs="仿宋"/>
                <w:color w:val="auto"/>
                <w:sz w:val="24"/>
                <w:szCs w:val="24"/>
                <w:highlight w:val="none"/>
              </w:rPr>
            </w:pPr>
          </w:p>
        </w:tc>
        <w:tc>
          <w:tcPr>
            <w:tcW w:w="1704" w:type="dxa"/>
          </w:tcPr>
          <w:p w14:paraId="543FD08A">
            <w:pPr>
              <w:spacing w:line="360" w:lineRule="auto"/>
              <w:rPr>
                <w:rFonts w:hint="eastAsia" w:ascii="仿宋" w:hAnsi="仿宋" w:eastAsia="仿宋" w:cs="仿宋"/>
                <w:color w:val="auto"/>
                <w:sz w:val="24"/>
                <w:szCs w:val="24"/>
                <w:highlight w:val="none"/>
              </w:rPr>
            </w:pPr>
          </w:p>
        </w:tc>
        <w:tc>
          <w:tcPr>
            <w:tcW w:w="1705" w:type="dxa"/>
          </w:tcPr>
          <w:p w14:paraId="6B726FF6">
            <w:pPr>
              <w:spacing w:line="360" w:lineRule="auto"/>
              <w:rPr>
                <w:rFonts w:hint="eastAsia" w:ascii="仿宋" w:hAnsi="仿宋" w:eastAsia="仿宋" w:cs="仿宋"/>
                <w:color w:val="auto"/>
                <w:sz w:val="24"/>
                <w:szCs w:val="24"/>
                <w:highlight w:val="none"/>
              </w:rPr>
            </w:pPr>
          </w:p>
        </w:tc>
        <w:tc>
          <w:tcPr>
            <w:tcW w:w="1705" w:type="dxa"/>
          </w:tcPr>
          <w:p w14:paraId="74AE6EF4">
            <w:pPr>
              <w:spacing w:line="360" w:lineRule="auto"/>
              <w:rPr>
                <w:rFonts w:hint="eastAsia" w:ascii="仿宋" w:hAnsi="仿宋" w:eastAsia="仿宋" w:cs="仿宋"/>
                <w:color w:val="auto"/>
                <w:sz w:val="24"/>
                <w:szCs w:val="24"/>
                <w:highlight w:val="none"/>
              </w:rPr>
            </w:pPr>
          </w:p>
        </w:tc>
      </w:tr>
      <w:tr w14:paraId="39E2E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tcPr>
          <w:p w14:paraId="7876EA3D">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704" w:type="dxa"/>
          </w:tcPr>
          <w:p w14:paraId="58E2C720">
            <w:pPr>
              <w:spacing w:line="360" w:lineRule="auto"/>
              <w:rPr>
                <w:rFonts w:hint="eastAsia" w:ascii="仿宋" w:hAnsi="仿宋" w:eastAsia="仿宋" w:cs="仿宋"/>
                <w:color w:val="auto"/>
                <w:sz w:val="24"/>
                <w:szCs w:val="24"/>
                <w:highlight w:val="none"/>
              </w:rPr>
            </w:pPr>
          </w:p>
        </w:tc>
        <w:tc>
          <w:tcPr>
            <w:tcW w:w="1704" w:type="dxa"/>
          </w:tcPr>
          <w:p w14:paraId="7A351DA6">
            <w:pPr>
              <w:spacing w:line="360" w:lineRule="auto"/>
              <w:rPr>
                <w:rFonts w:hint="eastAsia" w:ascii="仿宋" w:hAnsi="仿宋" w:eastAsia="仿宋" w:cs="仿宋"/>
                <w:color w:val="auto"/>
                <w:sz w:val="24"/>
                <w:szCs w:val="24"/>
                <w:highlight w:val="none"/>
              </w:rPr>
            </w:pPr>
          </w:p>
        </w:tc>
        <w:tc>
          <w:tcPr>
            <w:tcW w:w="1705" w:type="dxa"/>
          </w:tcPr>
          <w:p w14:paraId="7C6A0968">
            <w:pPr>
              <w:spacing w:line="360" w:lineRule="auto"/>
              <w:rPr>
                <w:rFonts w:hint="eastAsia" w:ascii="仿宋" w:hAnsi="仿宋" w:eastAsia="仿宋" w:cs="仿宋"/>
                <w:color w:val="auto"/>
                <w:sz w:val="24"/>
                <w:szCs w:val="24"/>
                <w:highlight w:val="none"/>
              </w:rPr>
            </w:pPr>
          </w:p>
        </w:tc>
        <w:tc>
          <w:tcPr>
            <w:tcW w:w="1705" w:type="dxa"/>
          </w:tcPr>
          <w:p w14:paraId="35720B26">
            <w:pPr>
              <w:spacing w:line="360" w:lineRule="auto"/>
              <w:rPr>
                <w:rFonts w:hint="eastAsia" w:ascii="仿宋" w:hAnsi="仿宋" w:eastAsia="仿宋" w:cs="仿宋"/>
                <w:color w:val="auto"/>
                <w:sz w:val="24"/>
                <w:szCs w:val="24"/>
                <w:highlight w:val="none"/>
              </w:rPr>
            </w:pPr>
          </w:p>
        </w:tc>
      </w:tr>
      <w:tr w14:paraId="3E76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tcPr>
          <w:p w14:paraId="30F84723">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704" w:type="dxa"/>
          </w:tcPr>
          <w:p w14:paraId="2A72165E">
            <w:pPr>
              <w:spacing w:line="360" w:lineRule="auto"/>
              <w:rPr>
                <w:rFonts w:hint="eastAsia" w:ascii="仿宋" w:hAnsi="仿宋" w:eastAsia="仿宋" w:cs="仿宋"/>
                <w:color w:val="auto"/>
                <w:sz w:val="24"/>
                <w:szCs w:val="24"/>
                <w:highlight w:val="none"/>
              </w:rPr>
            </w:pPr>
          </w:p>
        </w:tc>
        <w:tc>
          <w:tcPr>
            <w:tcW w:w="1704" w:type="dxa"/>
          </w:tcPr>
          <w:p w14:paraId="38212573">
            <w:pPr>
              <w:spacing w:line="360" w:lineRule="auto"/>
              <w:rPr>
                <w:rFonts w:hint="eastAsia" w:ascii="仿宋" w:hAnsi="仿宋" w:eastAsia="仿宋" w:cs="仿宋"/>
                <w:color w:val="auto"/>
                <w:sz w:val="24"/>
                <w:szCs w:val="24"/>
                <w:highlight w:val="none"/>
              </w:rPr>
            </w:pPr>
          </w:p>
        </w:tc>
        <w:tc>
          <w:tcPr>
            <w:tcW w:w="1705" w:type="dxa"/>
          </w:tcPr>
          <w:p w14:paraId="49BDA897">
            <w:pPr>
              <w:spacing w:line="360" w:lineRule="auto"/>
              <w:rPr>
                <w:rFonts w:hint="eastAsia" w:ascii="仿宋" w:hAnsi="仿宋" w:eastAsia="仿宋" w:cs="仿宋"/>
                <w:color w:val="auto"/>
                <w:sz w:val="24"/>
                <w:szCs w:val="24"/>
                <w:highlight w:val="none"/>
              </w:rPr>
            </w:pPr>
          </w:p>
        </w:tc>
        <w:tc>
          <w:tcPr>
            <w:tcW w:w="1705" w:type="dxa"/>
          </w:tcPr>
          <w:p w14:paraId="17B9DC2A">
            <w:pPr>
              <w:spacing w:line="360" w:lineRule="auto"/>
              <w:rPr>
                <w:rFonts w:hint="eastAsia" w:ascii="仿宋" w:hAnsi="仿宋" w:eastAsia="仿宋" w:cs="仿宋"/>
                <w:color w:val="auto"/>
                <w:sz w:val="24"/>
                <w:szCs w:val="24"/>
                <w:highlight w:val="none"/>
              </w:rPr>
            </w:pPr>
          </w:p>
        </w:tc>
      </w:tr>
      <w:tr w14:paraId="1039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tcPr>
          <w:p w14:paraId="16BBE9C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704" w:type="dxa"/>
          </w:tcPr>
          <w:p w14:paraId="47BDE557">
            <w:pPr>
              <w:spacing w:line="360" w:lineRule="auto"/>
              <w:rPr>
                <w:rFonts w:hint="eastAsia" w:ascii="仿宋" w:hAnsi="仿宋" w:eastAsia="仿宋" w:cs="仿宋"/>
                <w:color w:val="auto"/>
                <w:sz w:val="24"/>
                <w:szCs w:val="24"/>
                <w:highlight w:val="none"/>
              </w:rPr>
            </w:pPr>
          </w:p>
        </w:tc>
        <w:tc>
          <w:tcPr>
            <w:tcW w:w="1704" w:type="dxa"/>
          </w:tcPr>
          <w:p w14:paraId="1546B231">
            <w:pPr>
              <w:spacing w:line="360" w:lineRule="auto"/>
              <w:rPr>
                <w:rFonts w:hint="eastAsia" w:ascii="仿宋" w:hAnsi="仿宋" w:eastAsia="仿宋" w:cs="仿宋"/>
                <w:color w:val="auto"/>
                <w:sz w:val="24"/>
                <w:szCs w:val="24"/>
                <w:highlight w:val="none"/>
              </w:rPr>
            </w:pPr>
          </w:p>
        </w:tc>
        <w:tc>
          <w:tcPr>
            <w:tcW w:w="1705" w:type="dxa"/>
          </w:tcPr>
          <w:p w14:paraId="073AB7B3">
            <w:pPr>
              <w:spacing w:line="360" w:lineRule="auto"/>
              <w:rPr>
                <w:rFonts w:hint="eastAsia" w:ascii="仿宋" w:hAnsi="仿宋" w:eastAsia="仿宋" w:cs="仿宋"/>
                <w:color w:val="auto"/>
                <w:sz w:val="24"/>
                <w:szCs w:val="24"/>
                <w:highlight w:val="none"/>
              </w:rPr>
            </w:pPr>
          </w:p>
        </w:tc>
        <w:tc>
          <w:tcPr>
            <w:tcW w:w="1705" w:type="dxa"/>
          </w:tcPr>
          <w:p w14:paraId="33A247E1">
            <w:pPr>
              <w:spacing w:line="360" w:lineRule="auto"/>
              <w:rPr>
                <w:rFonts w:hint="eastAsia" w:ascii="仿宋" w:hAnsi="仿宋" w:eastAsia="仿宋" w:cs="仿宋"/>
                <w:color w:val="auto"/>
                <w:sz w:val="24"/>
                <w:szCs w:val="24"/>
                <w:highlight w:val="none"/>
              </w:rPr>
            </w:pPr>
          </w:p>
        </w:tc>
      </w:tr>
      <w:tr w14:paraId="11CC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tcPr>
          <w:p w14:paraId="2B848687">
            <w:pPr>
              <w:spacing w:line="360" w:lineRule="auto"/>
              <w:jc w:val="center"/>
              <w:rPr>
                <w:rFonts w:hint="eastAsia" w:ascii="仿宋" w:hAnsi="仿宋" w:eastAsia="仿宋" w:cs="仿宋"/>
                <w:color w:val="auto"/>
                <w:sz w:val="24"/>
                <w:szCs w:val="24"/>
                <w:highlight w:val="none"/>
              </w:rPr>
            </w:pPr>
          </w:p>
        </w:tc>
        <w:tc>
          <w:tcPr>
            <w:tcW w:w="1704" w:type="dxa"/>
          </w:tcPr>
          <w:p w14:paraId="61910654">
            <w:pPr>
              <w:spacing w:line="360" w:lineRule="auto"/>
              <w:rPr>
                <w:rFonts w:hint="eastAsia" w:ascii="仿宋" w:hAnsi="仿宋" w:eastAsia="仿宋" w:cs="仿宋"/>
                <w:color w:val="auto"/>
                <w:sz w:val="24"/>
                <w:szCs w:val="24"/>
                <w:highlight w:val="none"/>
              </w:rPr>
            </w:pPr>
          </w:p>
        </w:tc>
        <w:tc>
          <w:tcPr>
            <w:tcW w:w="1704" w:type="dxa"/>
          </w:tcPr>
          <w:p w14:paraId="2B8D3BC7">
            <w:pPr>
              <w:spacing w:line="360" w:lineRule="auto"/>
              <w:rPr>
                <w:rFonts w:hint="eastAsia" w:ascii="仿宋" w:hAnsi="仿宋" w:eastAsia="仿宋" w:cs="仿宋"/>
                <w:color w:val="auto"/>
                <w:sz w:val="24"/>
                <w:szCs w:val="24"/>
                <w:highlight w:val="none"/>
              </w:rPr>
            </w:pPr>
          </w:p>
        </w:tc>
        <w:tc>
          <w:tcPr>
            <w:tcW w:w="1705" w:type="dxa"/>
          </w:tcPr>
          <w:p w14:paraId="16230C38">
            <w:pPr>
              <w:spacing w:line="360" w:lineRule="auto"/>
              <w:rPr>
                <w:rFonts w:hint="eastAsia" w:ascii="仿宋" w:hAnsi="仿宋" w:eastAsia="仿宋" w:cs="仿宋"/>
                <w:color w:val="auto"/>
                <w:sz w:val="24"/>
                <w:szCs w:val="24"/>
                <w:highlight w:val="none"/>
              </w:rPr>
            </w:pPr>
          </w:p>
        </w:tc>
        <w:tc>
          <w:tcPr>
            <w:tcW w:w="1705" w:type="dxa"/>
          </w:tcPr>
          <w:p w14:paraId="02741DA7">
            <w:pPr>
              <w:spacing w:line="360" w:lineRule="auto"/>
              <w:rPr>
                <w:rFonts w:hint="eastAsia" w:ascii="仿宋" w:hAnsi="仿宋" w:eastAsia="仿宋" w:cs="仿宋"/>
                <w:color w:val="auto"/>
                <w:sz w:val="24"/>
                <w:szCs w:val="24"/>
                <w:highlight w:val="none"/>
              </w:rPr>
            </w:pPr>
          </w:p>
        </w:tc>
      </w:tr>
      <w:tr w14:paraId="6443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tcPr>
          <w:p w14:paraId="2D17D723">
            <w:pPr>
              <w:spacing w:line="360" w:lineRule="auto"/>
              <w:jc w:val="center"/>
              <w:rPr>
                <w:rFonts w:hint="eastAsia" w:ascii="仿宋" w:hAnsi="仿宋" w:eastAsia="仿宋" w:cs="仿宋"/>
                <w:color w:val="auto"/>
                <w:sz w:val="24"/>
                <w:szCs w:val="24"/>
                <w:highlight w:val="none"/>
              </w:rPr>
            </w:pPr>
          </w:p>
        </w:tc>
        <w:tc>
          <w:tcPr>
            <w:tcW w:w="1704" w:type="dxa"/>
          </w:tcPr>
          <w:p w14:paraId="066ECB40">
            <w:pPr>
              <w:spacing w:line="360" w:lineRule="auto"/>
              <w:rPr>
                <w:rFonts w:hint="eastAsia" w:ascii="仿宋" w:hAnsi="仿宋" w:eastAsia="仿宋" w:cs="仿宋"/>
                <w:color w:val="auto"/>
                <w:sz w:val="24"/>
                <w:szCs w:val="24"/>
                <w:highlight w:val="none"/>
              </w:rPr>
            </w:pPr>
          </w:p>
        </w:tc>
        <w:tc>
          <w:tcPr>
            <w:tcW w:w="1704" w:type="dxa"/>
          </w:tcPr>
          <w:p w14:paraId="0204B985">
            <w:pPr>
              <w:spacing w:line="360" w:lineRule="auto"/>
              <w:rPr>
                <w:rFonts w:hint="eastAsia" w:ascii="仿宋" w:hAnsi="仿宋" w:eastAsia="仿宋" w:cs="仿宋"/>
                <w:color w:val="auto"/>
                <w:sz w:val="24"/>
                <w:szCs w:val="24"/>
                <w:highlight w:val="none"/>
              </w:rPr>
            </w:pPr>
          </w:p>
        </w:tc>
        <w:tc>
          <w:tcPr>
            <w:tcW w:w="1705" w:type="dxa"/>
          </w:tcPr>
          <w:p w14:paraId="4FA1E80C">
            <w:pPr>
              <w:spacing w:line="360" w:lineRule="auto"/>
              <w:rPr>
                <w:rFonts w:hint="eastAsia" w:ascii="仿宋" w:hAnsi="仿宋" w:eastAsia="仿宋" w:cs="仿宋"/>
                <w:color w:val="auto"/>
                <w:sz w:val="24"/>
                <w:szCs w:val="24"/>
                <w:highlight w:val="none"/>
              </w:rPr>
            </w:pPr>
          </w:p>
        </w:tc>
        <w:tc>
          <w:tcPr>
            <w:tcW w:w="1705" w:type="dxa"/>
          </w:tcPr>
          <w:p w14:paraId="41ED4C0F">
            <w:pPr>
              <w:spacing w:line="360" w:lineRule="auto"/>
              <w:rPr>
                <w:rFonts w:hint="eastAsia" w:ascii="仿宋" w:hAnsi="仿宋" w:eastAsia="仿宋" w:cs="仿宋"/>
                <w:color w:val="auto"/>
                <w:sz w:val="24"/>
                <w:szCs w:val="24"/>
                <w:highlight w:val="none"/>
              </w:rPr>
            </w:pPr>
          </w:p>
        </w:tc>
      </w:tr>
    </w:tbl>
    <w:p w14:paraId="6D9EC6C9">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注：与</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要求逐条对应填写。</w:t>
      </w:r>
    </w:p>
    <w:p w14:paraId="15194570">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投标人代表签字：</w:t>
      </w:r>
      <w:r>
        <w:rPr>
          <w:rFonts w:hint="eastAsia" w:ascii="仿宋" w:hAnsi="仿宋" w:eastAsia="仿宋" w:cs="仿宋"/>
          <w:color w:val="auto"/>
          <w:sz w:val="24"/>
          <w:szCs w:val="24"/>
          <w:highlight w:val="none"/>
          <w:u w:val="single"/>
        </w:rPr>
        <w:t>　　　　　　　　　　　　　　　</w:t>
      </w:r>
    </w:p>
    <w:p w14:paraId="0BD3E189">
      <w:pPr>
        <w:pStyle w:val="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26392F70">
      <w:pPr>
        <w:pStyle w:val="3"/>
        <w:jc w:val="center"/>
        <w:rPr>
          <w:rStyle w:val="40"/>
          <w:rFonts w:hint="eastAsia" w:ascii="仿宋" w:hAnsi="仿宋" w:eastAsia="仿宋" w:cs="仿宋"/>
          <w:b/>
          <w:bCs w:val="0"/>
          <w:color w:val="auto"/>
          <w:sz w:val="24"/>
          <w:szCs w:val="24"/>
          <w:highlight w:val="none"/>
          <w:lang w:val="en-US" w:eastAsia="zh-CN"/>
        </w:rPr>
      </w:pPr>
      <w:bookmarkStart w:id="495" w:name="_Toc7233"/>
      <w:r>
        <w:rPr>
          <w:rStyle w:val="40"/>
          <w:rFonts w:hint="eastAsia" w:ascii="仿宋" w:hAnsi="仿宋" w:eastAsia="仿宋" w:cs="仿宋"/>
          <w:b/>
          <w:bCs w:val="0"/>
          <w:color w:val="auto"/>
          <w:sz w:val="24"/>
          <w:szCs w:val="24"/>
          <w:highlight w:val="none"/>
          <w:lang w:val="en-US" w:eastAsia="zh-CN"/>
        </w:rPr>
        <w:t>8、商务条件响应/偏离表</w:t>
      </w:r>
      <w:bookmarkEnd w:id="495"/>
    </w:p>
    <w:p w14:paraId="2D393836">
      <w:pPr>
        <w:spacing w:after="156" w:afterLines="50"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投标人名称（公章）：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编号：</w:t>
      </w:r>
      <w:r>
        <w:rPr>
          <w:rFonts w:hint="eastAsia" w:ascii="仿宋" w:hAnsi="仿宋" w:eastAsia="仿宋" w:cs="仿宋"/>
          <w:color w:val="auto"/>
          <w:sz w:val="24"/>
          <w:szCs w:val="24"/>
          <w:highlight w:val="none"/>
          <w:u w:val="single"/>
        </w:rPr>
        <w:t>　　　　　　　　　　</w:t>
      </w:r>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14:paraId="2BE2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vAlign w:val="center"/>
          </w:tcPr>
          <w:p w14:paraId="50980210">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704" w:type="dxa"/>
            <w:vAlign w:val="center"/>
          </w:tcPr>
          <w:p w14:paraId="014A1858">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招标服务要求</w:t>
            </w:r>
          </w:p>
        </w:tc>
        <w:tc>
          <w:tcPr>
            <w:tcW w:w="1704" w:type="dxa"/>
            <w:vAlign w:val="center"/>
          </w:tcPr>
          <w:p w14:paraId="5550E73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投标服务响应</w:t>
            </w:r>
          </w:p>
        </w:tc>
        <w:tc>
          <w:tcPr>
            <w:tcW w:w="1705" w:type="dxa"/>
            <w:vAlign w:val="center"/>
          </w:tcPr>
          <w:p w14:paraId="7A1586F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响应/偏离</w:t>
            </w:r>
          </w:p>
        </w:tc>
        <w:tc>
          <w:tcPr>
            <w:tcW w:w="1705" w:type="dxa"/>
            <w:vAlign w:val="center"/>
          </w:tcPr>
          <w:p w14:paraId="2FE3B35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w:t>
            </w:r>
          </w:p>
        </w:tc>
      </w:tr>
      <w:tr w14:paraId="14AE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tcPr>
          <w:p w14:paraId="6FB0B54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704" w:type="dxa"/>
          </w:tcPr>
          <w:p w14:paraId="63E1A6D9">
            <w:pPr>
              <w:spacing w:line="360" w:lineRule="auto"/>
              <w:rPr>
                <w:rFonts w:hint="eastAsia" w:ascii="仿宋" w:hAnsi="仿宋" w:eastAsia="仿宋" w:cs="仿宋"/>
                <w:color w:val="auto"/>
                <w:sz w:val="24"/>
                <w:szCs w:val="24"/>
                <w:highlight w:val="none"/>
              </w:rPr>
            </w:pPr>
          </w:p>
        </w:tc>
        <w:tc>
          <w:tcPr>
            <w:tcW w:w="1704" w:type="dxa"/>
          </w:tcPr>
          <w:p w14:paraId="2BA0D543">
            <w:pPr>
              <w:spacing w:line="360" w:lineRule="auto"/>
              <w:rPr>
                <w:rFonts w:hint="eastAsia" w:ascii="仿宋" w:hAnsi="仿宋" w:eastAsia="仿宋" w:cs="仿宋"/>
                <w:color w:val="auto"/>
                <w:sz w:val="24"/>
                <w:szCs w:val="24"/>
                <w:highlight w:val="none"/>
              </w:rPr>
            </w:pPr>
          </w:p>
        </w:tc>
        <w:tc>
          <w:tcPr>
            <w:tcW w:w="1705" w:type="dxa"/>
          </w:tcPr>
          <w:p w14:paraId="1558870E">
            <w:pPr>
              <w:spacing w:line="360" w:lineRule="auto"/>
              <w:rPr>
                <w:rFonts w:hint="eastAsia" w:ascii="仿宋" w:hAnsi="仿宋" w:eastAsia="仿宋" w:cs="仿宋"/>
                <w:color w:val="auto"/>
                <w:sz w:val="24"/>
                <w:szCs w:val="24"/>
                <w:highlight w:val="none"/>
              </w:rPr>
            </w:pPr>
          </w:p>
        </w:tc>
        <w:tc>
          <w:tcPr>
            <w:tcW w:w="1705" w:type="dxa"/>
          </w:tcPr>
          <w:p w14:paraId="04E451E5">
            <w:pPr>
              <w:spacing w:line="360" w:lineRule="auto"/>
              <w:rPr>
                <w:rFonts w:hint="eastAsia" w:ascii="仿宋" w:hAnsi="仿宋" w:eastAsia="仿宋" w:cs="仿宋"/>
                <w:color w:val="auto"/>
                <w:sz w:val="24"/>
                <w:szCs w:val="24"/>
                <w:highlight w:val="none"/>
              </w:rPr>
            </w:pPr>
          </w:p>
        </w:tc>
      </w:tr>
      <w:tr w14:paraId="66FE8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tcPr>
          <w:p w14:paraId="3F4F8BB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704" w:type="dxa"/>
          </w:tcPr>
          <w:p w14:paraId="66766DE1">
            <w:pPr>
              <w:spacing w:line="360" w:lineRule="auto"/>
              <w:rPr>
                <w:rFonts w:hint="eastAsia" w:ascii="仿宋" w:hAnsi="仿宋" w:eastAsia="仿宋" w:cs="仿宋"/>
                <w:color w:val="auto"/>
                <w:sz w:val="24"/>
                <w:szCs w:val="24"/>
                <w:highlight w:val="none"/>
              </w:rPr>
            </w:pPr>
          </w:p>
        </w:tc>
        <w:tc>
          <w:tcPr>
            <w:tcW w:w="1704" w:type="dxa"/>
          </w:tcPr>
          <w:p w14:paraId="29EF1F6D">
            <w:pPr>
              <w:spacing w:line="360" w:lineRule="auto"/>
              <w:rPr>
                <w:rFonts w:hint="eastAsia" w:ascii="仿宋" w:hAnsi="仿宋" w:eastAsia="仿宋" w:cs="仿宋"/>
                <w:color w:val="auto"/>
                <w:sz w:val="24"/>
                <w:szCs w:val="24"/>
                <w:highlight w:val="none"/>
              </w:rPr>
            </w:pPr>
          </w:p>
        </w:tc>
        <w:tc>
          <w:tcPr>
            <w:tcW w:w="1705" w:type="dxa"/>
          </w:tcPr>
          <w:p w14:paraId="5E87DEA0">
            <w:pPr>
              <w:spacing w:line="360" w:lineRule="auto"/>
              <w:rPr>
                <w:rFonts w:hint="eastAsia" w:ascii="仿宋" w:hAnsi="仿宋" w:eastAsia="仿宋" w:cs="仿宋"/>
                <w:color w:val="auto"/>
                <w:sz w:val="24"/>
                <w:szCs w:val="24"/>
                <w:highlight w:val="none"/>
              </w:rPr>
            </w:pPr>
          </w:p>
        </w:tc>
        <w:tc>
          <w:tcPr>
            <w:tcW w:w="1705" w:type="dxa"/>
          </w:tcPr>
          <w:p w14:paraId="2BC73D62">
            <w:pPr>
              <w:spacing w:line="360" w:lineRule="auto"/>
              <w:rPr>
                <w:rFonts w:hint="eastAsia" w:ascii="仿宋" w:hAnsi="仿宋" w:eastAsia="仿宋" w:cs="仿宋"/>
                <w:color w:val="auto"/>
                <w:sz w:val="24"/>
                <w:szCs w:val="24"/>
                <w:highlight w:val="none"/>
              </w:rPr>
            </w:pPr>
          </w:p>
        </w:tc>
      </w:tr>
      <w:tr w14:paraId="4CDC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tcPr>
          <w:p w14:paraId="736C7FFA">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704" w:type="dxa"/>
          </w:tcPr>
          <w:p w14:paraId="6DBCBE96">
            <w:pPr>
              <w:spacing w:line="360" w:lineRule="auto"/>
              <w:rPr>
                <w:rFonts w:hint="eastAsia" w:ascii="仿宋" w:hAnsi="仿宋" w:eastAsia="仿宋" w:cs="仿宋"/>
                <w:color w:val="auto"/>
                <w:sz w:val="24"/>
                <w:szCs w:val="24"/>
                <w:highlight w:val="none"/>
              </w:rPr>
            </w:pPr>
          </w:p>
        </w:tc>
        <w:tc>
          <w:tcPr>
            <w:tcW w:w="1704" w:type="dxa"/>
          </w:tcPr>
          <w:p w14:paraId="00C42BF4">
            <w:pPr>
              <w:spacing w:line="360" w:lineRule="auto"/>
              <w:rPr>
                <w:rFonts w:hint="eastAsia" w:ascii="仿宋" w:hAnsi="仿宋" w:eastAsia="仿宋" w:cs="仿宋"/>
                <w:color w:val="auto"/>
                <w:sz w:val="24"/>
                <w:szCs w:val="24"/>
                <w:highlight w:val="none"/>
              </w:rPr>
            </w:pPr>
          </w:p>
        </w:tc>
        <w:tc>
          <w:tcPr>
            <w:tcW w:w="1705" w:type="dxa"/>
          </w:tcPr>
          <w:p w14:paraId="43782B71">
            <w:pPr>
              <w:spacing w:line="360" w:lineRule="auto"/>
              <w:rPr>
                <w:rFonts w:hint="eastAsia" w:ascii="仿宋" w:hAnsi="仿宋" w:eastAsia="仿宋" w:cs="仿宋"/>
                <w:color w:val="auto"/>
                <w:sz w:val="24"/>
                <w:szCs w:val="24"/>
                <w:highlight w:val="none"/>
              </w:rPr>
            </w:pPr>
          </w:p>
        </w:tc>
        <w:tc>
          <w:tcPr>
            <w:tcW w:w="1705" w:type="dxa"/>
          </w:tcPr>
          <w:p w14:paraId="7829B48F">
            <w:pPr>
              <w:spacing w:line="360" w:lineRule="auto"/>
              <w:rPr>
                <w:rFonts w:hint="eastAsia" w:ascii="仿宋" w:hAnsi="仿宋" w:eastAsia="仿宋" w:cs="仿宋"/>
                <w:color w:val="auto"/>
                <w:sz w:val="24"/>
                <w:szCs w:val="24"/>
                <w:highlight w:val="none"/>
              </w:rPr>
            </w:pPr>
          </w:p>
        </w:tc>
      </w:tr>
      <w:tr w14:paraId="131D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tcPr>
          <w:p w14:paraId="0D29BB5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704" w:type="dxa"/>
          </w:tcPr>
          <w:p w14:paraId="74085005">
            <w:pPr>
              <w:spacing w:line="360" w:lineRule="auto"/>
              <w:rPr>
                <w:rFonts w:hint="eastAsia" w:ascii="仿宋" w:hAnsi="仿宋" w:eastAsia="仿宋" w:cs="仿宋"/>
                <w:color w:val="auto"/>
                <w:sz w:val="24"/>
                <w:szCs w:val="24"/>
                <w:highlight w:val="none"/>
              </w:rPr>
            </w:pPr>
          </w:p>
        </w:tc>
        <w:tc>
          <w:tcPr>
            <w:tcW w:w="1704" w:type="dxa"/>
          </w:tcPr>
          <w:p w14:paraId="372EA5AC">
            <w:pPr>
              <w:spacing w:line="360" w:lineRule="auto"/>
              <w:rPr>
                <w:rFonts w:hint="eastAsia" w:ascii="仿宋" w:hAnsi="仿宋" w:eastAsia="仿宋" w:cs="仿宋"/>
                <w:color w:val="auto"/>
                <w:sz w:val="24"/>
                <w:szCs w:val="24"/>
                <w:highlight w:val="none"/>
              </w:rPr>
            </w:pPr>
          </w:p>
        </w:tc>
        <w:tc>
          <w:tcPr>
            <w:tcW w:w="1705" w:type="dxa"/>
          </w:tcPr>
          <w:p w14:paraId="7B2B3F95">
            <w:pPr>
              <w:spacing w:line="360" w:lineRule="auto"/>
              <w:rPr>
                <w:rFonts w:hint="eastAsia" w:ascii="仿宋" w:hAnsi="仿宋" w:eastAsia="仿宋" w:cs="仿宋"/>
                <w:color w:val="auto"/>
                <w:sz w:val="24"/>
                <w:szCs w:val="24"/>
                <w:highlight w:val="none"/>
              </w:rPr>
            </w:pPr>
          </w:p>
        </w:tc>
        <w:tc>
          <w:tcPr>
            <w:tcW w:w="1705" w:type="dxa"/>
          </w:tcPr>
          <w:p w14:paraId="08A1FD5F">
            <w:pPr>
              <w:spacing w:line="360" w:lineRule="auto"/>
              <w:rPr>
                <w:rFonts w:hint="eastAsia" w:ascii="仿宋" w:hAnsi="仿宋" w:eastAsia="仿宋" w:cs="仿宋"/>
                <w:color w:val="auto"/>
                <w:sz w:val="24"/>
                <w:szCs w:val="24"/>
                <w:highlight w:val="none"/>
              </w:rPr>
            </w:pPr>
          </w:p>
        </w:tc>
      </w:tr>
      <w:tr w14:paraId="5FC2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tcPr>
          <w:p w14:paraId="112F8DCA">
            <w:pPr>
              <w:spacing w:line="360" w:lineRule="auto"/>
              <w:jc w:val="center"/>
              <w:rPr>
                <w:rFonts w:hint="eastAsia" w:ascii="仿宋" w:hAnsi="仿宋" w:eastAsia="仿宋" w:cs="仿宋"/>
                <w:color w:val="auto"/>
                <w:sz w:val="24"/>
                <w:szCs w:val="24"/>
                <w:highlight w:val="none"/>
              </w:rPr>
            </w:pPr>
          </w:p>
        </w:tc>
        <w:tc>
          <w:tcPr>
            <w:tcW w:w="1704" w:type="dxa"/>
          </w:tcPr>
          <w:p w14:paraId="778EC4F9">
            <w:pPr>
              <w:spacing w:line="360" w:lineRule="auto"/>
              <w:rPr>
                <w:rFonts w:hint="eastAsia" w:ascii="仿宋" w:hAnsi="仿宋" w:eastAsia="仿宋" w:cs="仿宋"/>
                <w:color w:val="auto"/>
                <w:sz w:val="24"/>
                <w:szCs w:val="24"/>
                <w:highlight w:val="none"/>
              </w:rPr>
            </w:pPr>
          </w:p>
        </w:tc>
        <w:tc>
          <w:tcPr>
            <w:tcW w:w="1704" w:type="dxa"/>
          </w:tcPr>
          <w:p w14:paraId="6655CFDD">
            <w:pPr>
              <w:spacing w:line="360" w:lineRule="auto"/>
              <w:rPr>
                <w:rFonts w:hint="eastAsia" w:ascii="仿宋" w:hAnsi="仿宋" w:eastAsia="仿宋" w:cs="仿宋"/>
                <w:color w:val="auto"/>
                <w:sz w:val="24"/>
                <w:szCs w:val="24"/>
                <w:highlight w:val="none"/>
              </w:rPr>
            </w:pPr>
          </w:p>
        </w:tc>
        <w:tc>
          <w:tcPr>
            <w:tcW w:w="1705" w:type="dxa"/>
          </w:tcPr>
          <w:p w14:paraId="6678D12A">
            <w:pPr>
              <w:spacing w:line="360" w:lineRule="auto"/>
              <w:rPr>
                <w:rFonts w:hint="eastAsia" w:ascii="仿宋" w:hAnsi="仿宋" w:eastAsia="仿宋" w:cs="仿宋"/>
                <w:color w:val="auto"/>
                <w:sz w:val="24"/>
                <w:szCs w:val="24"/>
                <w:highlight w:val="none"/>
              </w:rPr>
            </w:pPr>
          </w:p>
        </w:tc>
        <w:tc>
          <w:tcPr>
            <w:tcW w:w="1705" w:type="dxa"/>
          </w:tcPr>
          <w:p w14:paraId="3D64CCBF">
            <w:pPr>
              <w:spacing w:line="360" w:lineRule="auto"/>
              <w:rPr>
                <w:rFonts w:hint="eastAsia" w:ascii="仿宋" w:hAnsi="仿宋" w:eastAsia="仿宋" w:cs="仿宋"/>
                <w:color w:val="auto"/>
                <w:sz w:val="24"/>
                <w:szCs w:val="24"/>
                <w:highlight w:val="none"/>
              </w:rPr>
            </w:pPr>
          </w:p>
        </w:tc>
      </w:tr>
      <w:tr w14:paraId="3F200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704" w:type="dxa"/>
          </w:tcPr>
          <w:p w14:paraId="5984BDC5">
            <w:pPr>
              <w:spacing w:line="360" w:lineRule="auto"/>
              <w:jc w:val="center"/>
              <w:rPr>
                <w:rFonts w:hint="eastAsia" w:ascii="仿宋" w:hAnsi="仿宋" w:eastAsia="仿宋" w:cs="仿宋"/>
                <w:color w:val="auto"/>
                <w:sz w:val="24"/>
                <w:szCs w:val="24"/>
                <w:highlight w:val="none"/>
              </w:rPr>
            </w:pPr>
          </w:p>
        </w:tc>
        <w:tc>
          <w:tcPr>
            <w:tcW w:w="1704" w:type="dxa"/>
          </w:tcPr>
          <w:p w14:paraId="1669E784">
            <w:pPr>
              <w:spacing w:line="360" w:lineRule="auto"/>
              <w:rPr>
                <w:rFonts w:hint="eastAsia" w:ascii="仿宋" w:hAnsi="仿宋" w:eastAsia="仿宋" w:cs="仿宋"/>
                <w:color w:val="auto"/>
                <w:sz w:val="24"/>
                <w:szCs w:val="24"/>
                <w:highlight w:val="none"/>
              </w:rPr>
            </w:pPr>
          </w:p>
        </w:tc>
        <w:tc>
          <w:tcPr>
            <w:tcW w:w="1704" w:type="dxa"/>
          </w:tcPr>
          <w:p w14:paraId="09114C0B">
            <w:pPr>
              <w:spacing w:line="360" w:lineRule="auto"/>
              <w:rPr>
                <w:rFonts w:hint="eastAsia" w:ascii="仿宋" w:hAnsi="仿宋" w:eastAsia="仿宋" w:cs="仿宋"/>
                <w:color w:val="auto"/>
                <w:sz w:val="24"/>
                <w:szCs w:val="24"/>
                <w:highlight w:val="none"/>
              </w:rPr>
            </w:pPr>
          </w:p>
        </w:tc>
        <w:tc>
          <w:tcPr>
            <w:tcW w:w="1705" w:type="dxa"/>
          </w:tcPr>
          <w:p w14:paraId="6B7CC6C1">
            <w:pPr>
              <w:spacing w:line="360" w:lineRule="auto"/>
              <w:rPr>
                <w:rFonts w:hint="eastAsia" w:ascii="仿宋" w:hAnsi="仿宋" w:eastAsia="仿宋" w:cs="仿宋"/>
                <w:color w:val="auto"/>
                <w:sz w:val="24"/>
                <w:szCs w:val="24"/>
                <w:highlight w:val="none"/>
              </w:rPr>
            </w:pPr>
          </w:p>
        </w:tc>
        <w:tc>
          <w:tcPr>
            <w:tcW w:w="1705" w:type="dxa"/>
          </w:tcPr>
          <w:p w14:paraId="518A977F">
            <w:pPr>
              <w:spacing w:line="360" w:lineRule="auto"/>
              <w:rPr>
                <w:rFonts w:hint="eastAsia" w:ascii="仿宋" w:hAnsi="仿宋" w:eastAsia="仿宋" w:cs="仿宋"/>
                <w:color w:val="auto"/>
                <w:sz w:val="24"/>
                <w:szCs w:val="24"/>
                <w:highlight w:val="none"/>
              </w:rPr>
            </w:pPr>
          </w:p>
        </w:tc>
      </w:tr>
    </w:tbl>
    <w:p w14:paraId="4BF87527">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注：与</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要求逐条对应填写。</w:t>
      </w:r>
    </w:p>
    <w:p w14:paraId="4EF75B23">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投标人代表签字：</w:t>
      </w:r>
      <w:r>
        <w:rPr>
          <w:rFonts w:hint="eastAsia" w:ascii="仿宋" w:hAnsi="仿宋" w:eastAsia="仿宋" w:cs="仿宋"/>
          <w:color w:val="auto"/>
          <w:sz w:val="24"/>
          <w:szCs w:val="24"/>
          <w:highlight w:val="none"/>
          <w:u w:val="single"/>
        </w:rPr>
        <w:t>　　　　　　　　　　　　　　　</w:t>
      </w:r>
    </w:p>
    <w:p w14:paraId="610C5039">
      <w:pPr>
        <w:widowControl/>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p>
    <w:p w14:paraId="7D4D9A64">
      <w:pPr>
        <w:widowControl/>
        <w:jc w:val="left"/>
        <w:rPr>
          <w:rFonts w:hint="eastAsia" w:ascii="仿宋" w:hAnsi="仿宋" w:eastAsia="仿宋" w:cs="仿宋"/>
          <w:b/>
          <w:bCs/>
          <w:color w:val="auto"/>
          <w:sz w:val="24"/>
          <w:szCs w:val="24"/>
          <w:highlight w:val="none"/>
        </w:rPr>
      </w:pPr>
    </w:p>
    <w:p w14:paraId="47E69EC4">
      <w:pPr>
        <w:pStyle w:val="3"/>
        <w:jc w:val="center"/>
        <w:rPr>
          <w:rStyle w:val="40"/>
          <w:rFonts w:hint="eastAsia" w:ascii="仿宋" w:hAnsi="仿宋" w:eastAsia="仿宋" w:cs="仿宋"/>
          <w:b/>
          <w:bCs w:val="0"/>
          <w:color w:val="auto"/>
          <w:sz w:val="24"/>
          <w:szCs w:val="24"/>
          <w:highlight w:val="none"/>
          <w:lang w:val="en-US" w:eastAsia="zh-CN"/>
        </w:rPr>
      </w:pPr>
      <w:bookmarkStart w:id="496" w:name="_Toc16507"/>
      <w:r>
        <w:rPr>
          <w:rStyle w:val="40"/>
          <w:rFonts w:hint="eastAsia" w:ascii="仿宋" w:hAnsi="仿宋" w:eastAsia="仿宋" w:cs="仿宋"/>
          <w:b/>
          <w:bCs w:val="0"/>
          <w:color w:val="auto"/>
          <w:sz w:val="24"/>
          <w:szCs w:val="24"/>
          <w:highlight w:val="none"/>
          <w:lang w:val="en-US" w:eastAsia="zh-CN"/>
        </w:rPr>
        <w:t>9、投标人法人营业执照的证明材料、相关资质证书副本等材料的复印件以及商务因素、技术因素、服务因素所需证明资料（格式自拟）</w:t>
      </w:r>
      <w:bookmarkEnd w:id="496"/>
    </w:p>
    <w:p w14:paraId="74A1836D">
      <w:pPr>
        <w:pStyle w:val="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29EB1C48">
      <w:pPr>
        <w:pStyle w:val="3"/>
        <w:jc w:val="center"/>
        <w:rPr>
          <w:rStyle w:val="40"/>
          <w:rFonts w:hint="eastAsia" w:ascii="仿宋" w:hAnsi="仿宋" w:eastAsia="仿宋" w:cs="仿宋"/>
          <w:b/>
          <w:bCs w:val="0"/>
          <w:color w:val="auto"/>
          <w:sz w:val="24"/>
          <w:szCs w:val="24"/>
          <w:highlight w:val="none"/>
          <w:lang w:val="en-US" w:eastAsia="zh-CN"/>
        </w:rPr>
      </w:pPr>
      <w:bookmarkStart w:id="497" w:name="_Toc5499"/>
      <w:r>
        <w:rPr>
          <w:rStyle w:val="40"/>
          <w:rFonts w:hint="eastAsia" w:ascii="仿宋" w:hAnsi="仿宋" w:eastAsia="仿宋" w:cs="仿宋"/>
          <w:b/>
          <w:bCs w:val="0"/>
          <w:color w:val="auto"/>
          <w:sz w:val="24"/>
          <w:szCs w:val="24"/>
          <w:highlight w:val="none"/>
          <w:lang w:val="en-US" w:eastAsia="zh-CN"/>
        </w:rPr>
        <w:t>10、投标人近三年（2022年1月1日至今）类似项目业绩</w:t>
      </w:r>
      <w:bookmarkEnd w:id="497"/>
    </w:p>
    <w:tbl>
      <w:tblPr>
        <w:tblStyle w:val="34"/>
        <w:tblW w:w="10097" w:type="dxa"/>
        <w:tblInd w:w="-5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2003"/>
        <w:gridCol w:w="1925"/>
        <w:gridCol w:w="1180"/>
        <w:gridCol w:w="1740"/>
        <w:gridCol w:w="2040"/>
        <w:gridCol w:w="677"/>
      </w:tblGrid>
      <w:tr w14:paraId="5233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532" w:type="dxa"/>
            <w:vAlign w:val="center"/>
          </w:tcPr>
          <w:p w14:paraId="27FF4052">
            <w:pPr>
              <w:pStyle w:val="25"/>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2003" w:type="dxa"/>
            <w:vAlign w:val="center"/>
          </w:tcPr>
          <w:p w14:paraId="47C62883">
            <w:pPr>
              <w:pStyle w:val="25"/>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1925" w:type="dxa"/>
            <w:vAlign w:val="center"/>
          </w:tcPr>
          <w:p w14:paraId="43580EB6">
            <w:pPr>
              <w:pStyle w:val="25"/>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项目内容</w:t>
            </w:r>
          </w:p>
        </w:tc>
        <w:tc>
          <w:tcPr>
            <w:tcW w:w="1180" w:type="dxa"/>
            <w:vAlign w:val="center"/>
          </w:tcPr>
          <w:p w14:paraId="1E127519">
            <w:pPr>
              <w:pStyle w:val="25"/>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合同总价</w:t>
            </w:r>
          </w:p>
        </w:tc>
        <w:tc>
          <w:tcPr>
            <w:tcW w:w="1740" w:type="dxa"/>
            <w:vAlign w:val="center"/>
          </w:tcPr>
          <w:p w14:paraId="1C570193">
            <w:pPr>
              <w:pStyle w:val="25"/>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采购服务单位</w:t>
            </w:r>
          </w:p>
        </w:tc>
        <w:tc>
          <w:tcPr>
            <w:tcW w:w="2040" w:type="dxa"/>
            <w:vAlign w:val="center"/>
          </w:tcPr>
          <w:p w14:paraId="6D7F9B7C">
            <w:pPr>
              <w:pStyle w:val="25"/>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医院等级类别</w:t>
            </w:r>
          </w:p>
        </w:tc>
        <w:tc>
          <w:tcPr>
            <w:tcW w:w="677" w:type="dxa"/>
            <w:vAlign w:val="center"/>
          </w:tcPr>
          <w:p w14:paraId="1C686B67">
            <w:pPr>
              <w:pStyle w:val="25"/>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46CB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532" w:type="dxa"/>
            <w:vAlign w:val="center"/>
          </w:tcPr>
          <w:p w14:paraId="2CB21086">
            <w:pPr>
              <w:pStyle w:val="25"/>
              <w:spacing w:line="360" w:lineRule="auto"/>
              <w:jc w:val="center"/>
              <w:rPr>
                <w:rFonts w:hint="eastAsia" w:ascii="仿宋" w:hAnsi="仿宋" w:eastAsia="仿宋" w:cs="仿宋"/>
                <w:color w:val="auto"/>
                <w:sz w:val="24"/>
                <w:szCs w:val="24"/>
                <w:highlight w:val="none"/>
              </w:rPr>
            </w:pPr>
          </w:p>
        </w:tc>
        <w:tc>
          <w:tcPr>
            <w:tcW w:w="2003" w:type="dxa"/>
            <w:vAlign w:val="center"/>
          </w:tcPr>
          <w:p w14:paraId="4871B9A1">
            <w:pPr>
              <w:pStyle w:val="25"/>
              <w:spacing w:line="360" w:lineRule="auto"/>
              <w:jc w:val="center"/>
              <w:rPr>
                <w:rFonts w:hint="eastAsia" w:ascii="仿宋" w:hAnsi="仿宋" w:eastAsia="仿宋" w:cs="仿宋"/>
                <w:color w:val="auto"/>
                <w:sz w:val="24"/>
                <w:szCs w:val="24"/>
                <w:highlight w:val="none"/>
              </w:rPr>
            </w:pPr>
          </w:p>
        </w:tc>
        <w:tc>
          <w:tcPr>
            <w:tcW w:w="1925" w:type="dxa"/>
            <w:vAlign w:val="center"/>
          </w:tcPr>
          <w:p w14:paraId="6078A257">
            <w:pPr>
              <w:pStyle w:val="25"/>
              <w:spacing w:line="360" w:lineRule="auto"/>
              <w:jc w:val="center"/>
              <w:rPr>
                <w:rFonts w:hint="eastAsia" w:ascii="仿宋" w:hAnsi="仿宋" w:eastAsia="仿宋" w:cs="仿宋"/>
                <w:color w:val="auto"/>
                <w:sz w:val="24"/>
                <w:szCs w:val="24"/>
                <w:highlight w:val="none"/>
              </w:rPr>
            </w:pPr>
          </w:p>
        </w:tc>
        <w:tc>
          <w:tcPr>
            <w:tcW w:w="1180" w:type="dxa"/>
            <w:vAlign w:val="center"/>
          </w:tcPr>
          <w:p w14:paraId="7572A772">
            <w:pPr>
              <w:pStyle w:val="25"/>
              <w:spacing w:line="360" w:lineRule="auto"/>
              <w:jc w:val="center"/>
              <w:rPr>
                <w:rFonts w:hint="eastAsia" w:ascii="仿宋" w:hAnsi="仿宋" w:eastAsia="仿宋" w:cs="仿宋"/>
                <w:color w:val="auto"/>
                <w:sz w:val="24"/>
                <w:szCs w:val="24"/>
                <w:highlight w:val="none"/>
              </w:rPr>
            </w:pPr>
          </w:p>
        </w:tc>
        <w:tc>
          <w:tcPr>
            <w:tcW w:w="1740" w:type="dxa"/>
            <w:vAlign w:val="center"/>
          </w:tcPr>
          <w:p w14:paraId="53197ED1">
            <w:pPr>
              <w:pStyle w:val="25"/>
              <w:spacing w:line="360" w:lineRule="auto"/>
              <w:jc w:val="center"/>
              <w:rPr>
                <w:rFonts w:hint="eastAsia" w:ascii="仿宋" w:hAnsi="仿宋" w:eastAsia="仿宋" w:cs="仿宋"/>
                <w:color w:val="auto"/>
                <w:sz w:val="24"/>
                <w:szCs w:val="24"/>
                <w:highlight w:val="none"/>
              </w:rPr>
            </w:pPr>
          </w:p>
        </w:tc>
        <w:tc>
          <w:tcPr>
            <w:tcW w:w="2040" w:type="dxa"/>
            <w:vAlign w:val="center"/>
          </w:tcPr>
          <w:p w14:paraId="5714F2F1">
            <w:pPr>
              <w:pStyle w:val="25"/>
              <w:spacing w:line="360" w:lineRule="auto"/>
              <w:jc w:val="center"/>
              <w:rPr>
                <w:rFonts w:hint="eastAsia" w:ascii="仿宋" w:hAnsi="仿宋" w:eastAsia="仿宋" w:cs="仿宋"/>
                <w:color w:val="auto"/>
                <w:sz w:val="24"/>
                <w:szCs w:val="24"/>
                <w:highlight w:val="none"/>
              </w:rPr>
            </w:pPr>
          </w:p>
        </w:tc>
        <w:tc>
          <w:tcPr>
            <w:tcW w:w="677" w:type="dxa"/>
            <w:vAlign w:val="center"/>
          </w:tcPr>
          <w:p w14:paraId="0ED00C97">
            <w:pPr>
              <w:pStyle w:val="25"/>
              <w:spacing w:line="360" w:lineRule="auto"/>
              <w:jc w:val="center"/>
              <w:rPr>
                <w:rFonts w:hint="eastAsia" w:ascii="仿宋" w:hAnsi="仿宋" w:eastAsia="仿宋" w:cs="仿宋"/>
                <w:color w:val="auto"/>
                <w:sz w:val="24"/>
                <w:szCs w:val="24"/>
                <w:highlight w:val="none"/>
              </w:rPr>
            </w:pPr>
          </w:p>
        </w:tc>
      </w:tr>
      <w:tr w14:paraId="6DF0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532" w:type="dxa"/>
            <w:vAlign w:val="center"/>
          </w:tcPr>
          <w:p w14:paraId="7221A783">
            <w:pPr>
              <w:pStyle w:val="25"/>
              <w:spacing w:line="360" w:lineRule="auto"/>
              <w:jc w:val="center"/>
              <w:rPr>
                <w:rFonts w:hint="eastAsia" w:ascii="仿宋" w:hAnsi="仿宋" w:eastAsia="仿宋" w:cs="仿宋"/>
                <w:color w:val="auto"/>
                <w:sz w:val="24"/>
                <w:szCs w:val="24"/>
                <w:highlight w:val="none"/>
              </w:rPr>
            </w:pPr>
          </w:p>
        </w:tc>
        <w:tc>
          <w:tcPr>
            <w:tcW w:w="2003" w:type="dxa"/>
            <w:vAlign w:val="center"/>
          </w:tcPr>
          <w:p w14:paraId="48FF79B1">
            <w:pPr>
              <w:pStyle w:val="25"/>
              <w:spacing w:line="360" w:lineRule="auto"/>
              <w:jc w:val="center"/>
              <w:rPr>
                <w:rFonts w:hint="eastAsia" w:ascii="仿宋" w:hAnsi="仿宋" w:eastAsia="仿宋" w:cs="仿宋"/>
                <w:color w:val="auto"/>
                <w:sz w:val="24"/>
                <w:szCs w:val="24"/>
                <w:highlight w:val="none"/>
              </w:rPr>
            </w:pPr>
          </w:p>
        </w:tc>
        <w:tc>
          <w:tcPr>
            <w:tcW w:w="1925" w:type="dxa"/>
            <w:vAlign w:val="center"/>
          </w:tcPr>
          <w:p w14:paraId="28AC56F0">
            <w:pPr>
              <w:pStyle w:val="25"/>
              <w:spacing w:line="360" w:lineRule="auto"/>
              <w:jc w:val="center"/>
              <w:rPr>
                <w:rFonts w:hint="eastAsia" w:ascii="仿宋" w:hAnsi="仿宋" w:eastAsia="仿宋" w:cs="仿宋"/>
                <w:color w:val="auto"/>
                <w:sz w:val="24"/>
                <w:szCs w:val="24"/>
                <w:highlight w:val="none"/>
              </w:rPr>
            </w:pPr>
          </w:p>
        </w:tc>
        <w:tc>
          <w:tcPr>
            <w:tcW w:w="1180" w:type="dxa"/>
            <w:vAlign w:val="center"/>
          </w:tcPr>
          <w:p w14:paraId="046130B1">
            <w:pPr>
              <w:pStyle w:val="25"/>
              <w:spacing w:line="360" w:lineRule="auto"/>
              <w:jc w:val="center"/>
              <w:rPr>
                <w:rFonts w:hint="eastAsia" w:ascii="仿宋" w:hAnsi="仿宋" w:eastAsia="仿宋" w:cs="仿宋"/>
                <w:color w:val="auto"/>
                <w:sz w:val="24"/>
                <w:szCs w:val="24"/>
                <w:highlight w:val="none"/>
              </w:rPr>
            </w:pPr>
          </w:p>
        </w:tc>
        <w:tc>
          <w:tcPr>
            <w:tcW w:w="1740" w:type="dxa"/>
            <w:vAlign w:val="center"/>
          </w:tcPr>
          <w:p w14:paraId="3581E3DC">
            <w:pPr>
              <w:pStyle w:val="25"/>
              <w:spacing w:line="360" w:lineRule="auto"/>
              <w:jc w:val="center"/>
              <w:rPr>
                <w:rFonts w:hint="eastAsia" w:ascii="仿宋" w:hAnsi="仿宋" w:eastAsia="仿宋" w:cs="仿宋"/>
                <w:color w:val="auto"/>
                <w:sz w:val="24"/>
                <w:szCs w:val="24"/>
                <w:highlight w:val="none"/>
              </w:rPr>
            </w:pPr>
          </w:p>
        </w:tc>
        <w:tc>
          <w:tcPr>
            <w:tcW w:w="2040" w:type="dxa"/>
            <w:vAlign w:val="center"/>
          </w:tcPr>
          <w:p w14:paraId="3C3C672D">
            <w:pPr>
              <w:pStyle w:val="25"/>
              <w:spacing w:line="360" w:lineRule="auto"/>
              <w:jc w:val="center"/>
              <w:rPr>
                <w:rFonts w:hint="eastAsia" w:ascii="仿宋" w:hAnsi="仿宋" w:eastAsia="仿宋" w:cs="仿宋"/>
                <w:color w:val="auto"/>
                <w:sz w:val="24"/>
                <w:szCs w:val="24"/>
                <w:highlight w:val="none"/>
              </w:rPr>
            </w:pPr>
          </w:p>
        </w:tc>
        <w:tc>
          <w:tcPr>
            <w:tcW w:w="677" w:type="dxa"/>
            <w:vAlign w:val="center"/>
          </w:tcPr>
          <w:p w14:paraId="4EAB5EC1">
            <w:pPr>
              <w:pStyle w:val="25"/>
              <w:spacing w:line="360" w:lineRule="auto"/>
              <w:jc w:val="center"/>
              <w:rPr>
                <w:rFonts w:hint="eastAsia" w:ascii="仿宋" w:hAnsi="仿宋" w:eastAsia="仿宋" w:cs="仿宋"/>
                <w:color w:val="auto"/>
                <w:sz w:val="24"/>
                <w:szCs w:val="24"/>
                <w:highlight w:val="none"/>
              </w:rPr>
            </w:pPr>
          </w:p>
        </w:tc>
      </w:tr>
      <w:tr w14:paraId="7E279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532" w:type="dxa"/>
            <w:vAlign w:val="center"/>
          </w:tcPr>
          <w:p w14:paraId="378D76A4">
            <w:pPr>
              <w:pStyle w:val="25"/>
              <w:spacing w:line="360" w:lineRule="auto"/>
              <w:jc w:val="center"/>
              <w:rPr>
                <w:rFonts w:hint="eastAsia" w:ascii="仿宋" w:hAnsi="仿宋" w:eastAsia="仿宋" w:cs="仿宋"/>
                <w:color w:val="auto"/>
                <w:sz w:val="24"/>
                <w:szCs w:val="24"/>
                <w:highlight w:val="none"/>
              </w:rPr>
            </w:pPr>
          </w:p>
        </w:tc>
        <w:tc>
          <w:tcPr>
            <w:tcW w:w="2003" w:type="dxa"/>
            <w:vAlign w:val="center"/>
          </w:tcPr>
          <w:p w14:paraId="4391FF3B">
            <w:pPr>
              <w:pStyle w:val="25"/>
              <w:spacing w:line="360" w:lineRule="auto"/>
              <w:jc w:val="center"/>
              <w:rPr>
                <w:rFonts w:hint="eastAsia" w:ascii="仿宋" w:hAnsi="仿宋" w:eastAsia="仿宋" w:cs="仿宋"/>
                <w:color w:val="auto"/>
                <w:sz w:val="24"/>
                <w:szCs w:val="24"/>
                <w:highlight w:val="none"/>
              </w:rPr>
            </w:pPr>
          </w:p>
        </w:tc>
        <w:tc>
          <w:tcPr>
            <w:tcW w:w="1925" w:type="dxa"/>
            <w:vAlign w:val="center"/>
          </w:tcPr>
          <w:p w14:paraId="3B7C950F">
            <w:pPr>
              <w:pStyle w:val="25"/>
              <w:spacing w:line="360" w:lineRule="auto"/>
              <w:jc w:val="center"/>
              <w:rPr>
                <w:rFonts w:hint="eastAsia" w:ascii="仿宋" w:hAnsi="仿宋" w:eastAsia="仿宋" w:cs="仿宋"/>
                <w:color w:val="auto"/>
                <w:sz w:val="24"/>
                <w:szCs w:val="24"/>
                <w:highlight w:val="none"/>
              </w:rPr>
            </w:pPr>
          </w:p>
        </w:tc>
        <w:tc>
          <w:tcPr>
            <w:tcW w:w="1180" w:type="dxa"/>
            <w:vAlign w:val="center"/>
          </w:tcPr>
          <w:p w14:paraId="09C82F9C">
            <w:pPr>
              <w:pStyle w:val="25"/>
              <w:spacing w:line="360" w:lineRule="auto"/>
              <w:jc w:val="center"/>
              <w:rPr>
                <w:rFonts w:hint="eastAsia" w:ascii="仿宋" w:hAnsi="仿宋" w:eastAsia="仿宋" w:cs="仿宋"/>
                <w:color w:val="auto"/>
                <w:sz w:val="24"/>
                <w:szCs w:val="24"/>
                <w:highlight w:val="none"/>
              </w:rPr>
            </w:pPr>
          </w:p>
        </w:tc>
        <w:tc>
          <w:tcPr>
            <w:tcW w:w="1740" w:type="dxa"/>
            <w:vAlign w:val="center"/>
          </w:tcPr>
          <w:p w14:paraId="2E098CC4">
            <w:pPr>
              <w:pStyle w:val="25"/>
              <w:spacing w:line="360" w:lineRule="auto"/>
              <w:jc w:val="center"/>
              <w:rPr>
                <w:rFonts w:hint="eastAsia" w:ascii="仿宋" w:hAnsi="仿宋" w:eastAsia="仿宋" w:cs="仿宋"/>
                <w:color w:val="auto"/>
                <w:sz w:val="24"/>
                <w:szCs w:val="24"/>
                <w:highlight w:val="none"/>
              </w:rPr>
            </w:pPr>
          </w:p>
        </w:tc>
        <w:tc>
          <w:tcPr>
            <w:tcW w:w="2040" w:type="dxa"/>
            <w:vAlign w:val="center"/>
          </w:tcPr>
          <w:p w14:paraId="212E7F35">
            <w:pPr>
              <w:pStyle w:val="25"/>
              <w:spacing w:line="360" w:lineRule="auto"/>
              <w:jc w:val="center"/>
              <w:rPr>
                <w:rFonts w:hint="eastAsia" w:ascii="仿宋" w:hAnsi="仿宋" w:eastAsia="仿宋" w:cs="仿宋"/>
                <w:color w:val="auto"/>
                <w:sz w:val="24"/>
                <w:szCs w:val="24"/>
                <w:highlight w:val="none"/>
              </w:rPr>
            </w:pPr>
          </w:p>
        </w:tc>
        <w:tc>
          <w:tcPr>
            <w:tcW w:w="677" w:type="dxa"/>
            <w:vAlign w:val="center"/>
          </w:tcPr>
          <w:p w14:paraId="5593DA9F">
            <w:pPr>
              <w:pStyle w:val="25"/>
              <w:spacing w:line="360" w:lineRule="auto"/>
              <w:jc w:val="center"/>
              <w:rPr>
                <w:rFonts w:hint="eastAsia" w:ascii="仿宋" w:hAnsi="仿宋" w:eastAsia="仿宋" w:cs="仿宋"/>
                <w:color w:val="auto"/>
                <w:sz w:val="24"/>
                <w:szCs w:val="24"/>
                <w:highlight w:val="none"/>
              </w:rPr>
            </w:pPr>
          </w:p>
        </w:tc>
      </w:tr>
      <w:tr w14:paraId="696B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532" w:type="dxa"/>
            <w:vAlign w:val="center"/>
          </w:tcPr>
          <w:p w14:paraId="1E27951B">
            <w:pPr>
              <w:pStyle w:val="25"/>
              <w:spacing w:line="360" w:lineRule="auto"/>
              <w:jc w:val="center"/>
              <w:rPr>
                <w:rFonts w:hint="eastAsia" w:ascii="仿宋" w:hAnsi="仿宋" w:eastAsia="仿宋" w:cs="仿宋"/>
                <w:color w:val="auto"/>
                <w:sz w:val="24"/>
                <w:szCs w:val="24"/>
                <w:highlight w:val="none"/>
              </w:rPr>
            </w:pPr>
          </w:p>
        </w:tc>
        <w:tc>
          <w:tcPr>
            <w:tcW w:w="2003" w:type="dxa"/>
            <w:vAlign w:val="center"/>
          </w:tcPr>
          <w:p w14:paraId="02113184">
            <w:pPr>
              <w:pStyle w:val="25"/>
              <w:spacing w:line="360" w:lineRule="auto"/>
              <w:jc w:val="center"/>
              <w:rPr>
                <w:rFonts w:hint="eastAsia" w:ascii="仿宋" w:hAnsi="仿宋" w:eastAsia="仿宋" w:cs="仿宋"/>
                <w:color w:val="auto"/>
                <w:sz w:val="24"/>
                <w:szCs w:val="24"/>
                <w:highlight w:val="none"/>
              </w:rPr>
            </w:pPr>
          </w:p>
        </w:tc>
        <w:tc>
          <w:tcPr>
            <w:tcW w:w="1925" w:type="dxa"/>
            <w:vAlign w:val="center"/>
          </w:tcPr>
          <w:p w14:paraId="71E0F23B">
            <w:pPr>
              <w:pStyle w:val="25"/>
              <w:spacing w:line="360" w:lineRule="auto"/>
              <w:jc w:val="center"/>
              <w:rPr>
                <w:rFonts w:hint="eastAsia" w:ascii="仿宋" w:hAnsi="仿宋" w:eastAsia="仿宋" w:cs="仿宋"/>
                <w:color w:val="auto"/>
                <w:sz w:val="24"/>
                <w:szCs w:val="24"/>
                <w:highlight w:val="none"/>
              </w:rPr>
            </w:pPr>
          </w:p>
        </w:tc>
        <w:tc>
          <w:tcPr>
            <w:tcW w:w="1180" w:type="dxa"/>
            <w:vAlign w:val="center"/>
          </w:tcPr>
          <w:p w14:paraId="0FEAFB62">
            <w:pPr>
              <w:pStyle w:val="25"/>
              <w:spacing w:line="360" w:lineRule="auto"/>
              <w:jc w:val="center"/>
              <w:rPr>
                <w:rFonts w:hint="eastAsia" w:ascii="仿宋" w:hAnsi="仿宋" w:eastAsia="仿宋" w:cs="仿宋"/>
                <w:color w:val="auto"/>
                <w:sz w:val="24"/>
                <w:szCs w:val="24"/>
                <w:highlight w:val="none"/>
              </w:rPr>
            </w:pPr>
          </w:p>
        </w:tc>
        <w:tc>
          <w:tcPr>
            <w:tcW w:w="1740" w:type="dxa"/>
            <w:vAlign w:val="center"/>
          </w:tcPr>
          <w:p w14:paraId="3FD83BE4">
            <w:pPr>
              <w:pStyle w:val="25"/>
              <w:spacing w:line="360" w:lineRule="auto"/>
              <w:jc w:val="center"/>
              <w:rPr>
                <w:rFonts w:hint="eastAsia" w:ascii="仿宋" w:hAnsi="仿宋" w:eastAsia="仿宋" w:cs="仿宋"/>
                <w:color w:val="auto"/>
                <w:sz w:val="24"/>
                <w:szCs w:val="24"/>
                <w:highlight w:val="none"/>
              </w:rPr>
            </w:pPr>
          </w:p>
        </w:tc>
        <w:tc>
          <w:tcPr>
            <w:tcW w:w="2040" w:type="dxa"/>
            <w:vAlign w:val="center"/>
          </w:tcPr>
          <w:p w14:paraId="4FD64252">
            <w:pPr>
              <w:pStyle w:val="25"/>
              <w:spacing w:line="360" w:lineRule="auto"/>
              <w:jc w:val="center"/>
              <w:rPr>
                <w:rFonts w:hint="eastAsia" w:ascii="仿宋" w:hAnsi="仿宋" w:eastAsia="仿宋" w:cs="仿宋"/>
                <w:color w:val="auto"/>
                <w:sz w:val="24"/>
                <w:szCs w:val="24"/>
                <w:highlight w:val="none"/>
              </w:rPr>
            </w:pPr>
          </w:p>
        </w:tc>
        <w:tc>
          <w:tcPr>
            <w:tcW w:w="677" w:type="dxa"/>
            <w:vAlign w:val="center"/>
          </w:tcPr>
          <w:p w14:paraId="6816685F">
            <w:pPr>
              <w:pStyle w:val="25"/>
              <w:spacing w:line="360" w:lineRule="auto"/>
              <w:jc w:val="center"/>
              <w:rPr>
                <w:rFonts w:hint="eastAsia" w:ascii="仿宋" w:hAnsi="仿宋" w:eastAsia="仿宋" w:cs="仿宋"/>
                <w:color w:val="auto"/>
                <w:sz w:val="24"/>
                <w:szCs w:val="24"/>
                <w:highlight w:val="none"/>
              </w:rPr>
            </w:pPr>
          </w:p>
        </w:tc>
      </w:tr>
      <w:tr w14:paraId="2912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532" w:type="dxa"/>
            <w:vAlign w:val="center"/>
          </w:tcPr>
          <w:p w14:paraId="09C29DEF">
            <w:pPr>
              <w:pStyle w:val="25"/>
              <w:spacing w:line="360" w:lineRule="auto"/>
              <w:jc w:val="center"/>
              <w:rPr>
                <w:rFonts w:hint="eastAsia" w:ascii="仿宋" w:hAnsi="仿宋" w:eastAsia="仿宋" w:cs="仿宋"/>
                <w:color w:val="auto"/>
                <w:sz w:val="24"/>
                <w:szCs w:val="24"/>
                <w:highlight w:val="none"/>
              </w:rPr>
            </w:pPr>
          </w:p>
        </w:tc>
        <w:tc>
          <w:tcPr>
            <w:tcW w:w="2003" w:type="dxa"/>
            <w:vAlign w:val="center"/>
          </w:tcPr>
          <w:p w14:paraId="789A708A">
            <w:pPr>
              <w:pStyle w:val="25"/>
              <w:spacing w:line="360" w:lineRule="auto"/>
              <w:jc w:val="center"/>
              <w:rPr>
                <w:rFonts w:hint="eastAsia" w:ascii="仿宋" w:hAnsi="仿宋" w:eastAsia="仿宋" w:cs="仿宋"/>
                <w:color w:val="auto"/>
                <w:sz w:val="24"/>
                <w:szCs w:val="24"/>
                <w:highlight w:val="none"/>
              </w:rPr>
            </w:pPr>
          </w:p>
        </w:tc>
        <w:tc>
          <w:tcPr>
            <w:tcW w:w="1925" w:type="dxa"/>
            <w:vAlign w:val="center"/>
          </w:tcPr>
          <w:p w14:paraId="4B7E4A49">
            <w:pPr>
              <w:pStyle w:val="25"/>
              <w:spacing w:line="360" w:lineRule="auto"/>
              <w:jc w:val="center"/>
              <w:rPr>
                <w:rFonts w:hint="eastAsia" w:ascii="仿宋" w:hAnsi="仿宋" w:eastAsia="仿宋" w:cs="仿宋"/>
                <w:color w:val="auto"/>
                <w:sz w:val="24"/>
                <w:szCs w:val="24"/>
                <w:highlight w:val="none"/>
              </w:rPr>
            </w:pPr>
          </w:p>
        </w:tc>
        <w:tc>
          <w:tcPr>
            <w:tcW w:w="1180" w:type="dxa"/>
            <w:vAlign w:val="center"/>
          </w:tcPr>
          <w:p w14:paraId="646A8F2B">
            <w:pPr>
              <w:pStyle w:val="25"/>
              <w:spacing w:line="360" w:lineRule="auto"/>
              <w:jc w:val="center"/>
              <w:rPr>
                <w:rFonts w:hint="eastAsia" w:ascii="仿宋" w:hAnsi="仿宋" w:eastAsia="仿宋" w:cs="仿宋"/>
                <w:color w:val="auto"/>
                <w:sz w:val="24"/>
                <w:szCs w:val="24"/>
                <w:highlight w:val="none"/>
              </w:rPr>
            </w:pPr>
          </w:p>
        </w:tc>
        <w:tc>
          <w:tcPr>
            <w:tcW w:w="1740" w:type="dxa"/>
            <w:vAlign w:val="center"/>
          </w:tcPr>
          <w:p w14:paraId="4AE0B4CD">
            <w:pPr>
              <w:pStyle w:val="25"/>
              <w:spacing w:line="360" w:lineRule="auto"/>
              <w:jc w:val="center"/>
              <w:rPr>
                <w:rFonts w:hint="eastAsia" w:ascii="仿宋" w:hAnsi="仿宋" w:eastAsia="仿宋" w:cs="仿宋"/>
                <w:color w:val="auto"/>
                <w:sz w:val="24"/>
                <w:szCs w:val="24"/>
                <w:highlight w:val="none"/>
              </w:rPr>
            </w:pPr>
          </w:p>
        </w:tc>
        <w:tc>
          <w:tcPr>
            <w:tcW w:w="2040" w:type="dxa"/>
            <w:vAlign w:val="center"/>
          </w:tcPr>
          <w:p w14:paraId="0A72354D">
            <w:pPr>
              <w:pStyle w:val="25"/>
              <w:spacing w:line="360" w:lineRule="auto"/>
              <w:jc w:val="center"/>
              <w:rPr>
                <w:rFonts w:hint="eastAsia" w:ascii="仿宋" w:hAnsi="仿宋" w:eastAsia="仿宋" w:cs="仿宋"/>
                <w:color w:val="auto"/>
                <w:sz w:val="24"/>
                <w:szCs w:val="24"/>
                <w:highlight w:val="none"/>
              </w:rPr>
            </w:pPr>
          </w:p>
        </w:tc>
        <w:tc>
          <w:tcPr>
            <w:tcW w:w="677" w:type="dxa"/>
            <w:vAlign w:val="center"/>
          </w:tcPr>
          <w:p w14:paraId="30244959">
            <w:pPr>
              <w:pStyle w:val="25"/>
              <w:spacing w:line="360" w:lineRule="auto"/>
              <w:jc w:val="center"/>
              <w:rPr>
                <w:rFonts w:hint="eastAsia" w:ascii="仿宋" w:hAnsi="仿宋" w:eastAsia="仿宋" w:cs="仿宋"/>
                <w:color w:val="auto"/>
                <w:sz w:val="24"/>
                <w:szCs w:val="24"/>
                <w:highlight w:val="none"/>
              </w:rPr>
            </w:pPr>
          </w:p>
        </w:tc>
      </w:tr>
      <w:tr w14:paraId="10CF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532" w:type="dxa"/>
            <w:vAlign w:val="center"/>
          </w:tcPr>
          <w:p w14:paraId="4FA94607">
            <w:pPr>
              <w:pStyle w:val="25"/>
              <w:spacing w:line="360" w:lineRule="auto"/>
              <w:jc w:val="center"/>
              <w:rPr>
                <w:rFonts w:hint="eastAsia" w:ascii="仿宋" w:hAnsi="仿宋" w:eastAsia="仿宋" w:cs="仿宋"/>
                <w:color w:val="auto"/>
                <w:sz w:val="24"/>
                <w:szCs w:val="24"/>
                <w:highlight w:val="none"/>
              </w:rPr>
            </w:pPr>
          </w:p>
        </w:tc>
        <w:tc>
          <w:tcPr>
            <w:tcW w:w="2003" w:type="dxa"/>
            <w:vAlign w:val="center"/>
          </w:tcPr>
          <w:p w14:paraId="00FC31B5">
            <w:pPr>
              <w:pStyle w:val="25"/>
              <w:spacing w:line="360" w:lineRule="auto"/>
              <w:jc w:val="center"/>
              <w:rPr>
                <w:rFonts w:hint="eastAsia" w:ascii="仿宋" w:hAnsi="仿宋" w:eastAsia="仿宋" w:cs="仿宋"/>
                <w:color w:val="auto"/>
                <w:sz w:val="24"/>
                <w:szCs w:val="24"/>
                <w:highlight w:val="none"/>
              </w:rPr>
            </w:pPr>
          </w:p>
        </w:tc>
        <w:tc>
          <w:tcPr>
            <w:tcW w:w="1925" w:type="dxa"/>
            <w:vAlign w:val="center"/>
          </w:tcPr>
          <w:p w14:paraId="45571772">
            <w:pPr>
              <w:pStyle w:val="25"/>
              <w:spacing w:line="360" w:lineRule="auto"/>
              <w:jc w:val="center"/>
              <w:rPr>
                <w:rFonts w:hint="eastAsia" w:ascii="仿宋" w:hAnsi="仿宋" w:eastAsia="仿宋" w:cs="仿宋"/>
                <w:color w:val="auto"/>
                <w:sz w:val="24"/>
                <w:szCs w:val="24"/>
                <w:highlight w:val="none"/>
              </w:rPr>
            </w:pPr>
          </w:p>
        </w:tc>
        <w:tc>
          <w:tcPr>
            <w:tcW w:w="1180" w:type="dxa"/>
            <w:vAlign w:val="center"/>
          </w:tcPr>
          <w:p w14:paraId="58DCDE28">
            <w:pPr>
              <w:pStyle w:val="25"/>
              <w:spacing w:line="360" w:lineRule="auto"/>
              <w:jc w:val="center"/>
              <w:rPr>
                <w:rFonts w:hint="eastAsia" w:ascii="仿宋" w:hAnsi="仿宋" w:eastAsia="仿宋" w:cs="仿宋"/>
                <w:color w:val="auto"/>
                <w:sz w:val="24"/>
                <w:szCs w:val="24"/>
                <w:highlight w:val="none"/>
              </w:rPr>
            </w:pPr>
          </w:p>
        </w:tc>
        <w:tc>
          <w:tcPr>
            <w:tcW w:w="1740" w:type="dxa"/>
            <w:vAlign w:val="center"/>
          </w:tcPr>
          <w:p w14:paraId="314E1E70">
            <w:pPr>
              <w:pStyle w:val="25"/>
              <w:spacing w:line="360" w:lineRule="auto"/>
              <w:jc w:val="center"/>
              <w:rPr>
                <w:rFonts w:hint="eastAsia" w:ascii="仿宋" w:hAnsi="仿宋" w:eastAsia="仿宋" w:cs="仿宋"/>
                <w:color w:val="auto"/>
                <w:sz w:val="24"/>
                <w:szCs w:val="24"/>
                <w:highlight w:val="none"/>
              </w:rPr>
            </w:pPr>
          </w:p>
        </w:tc>
        <w:tc>
          <w:tcPr>
            <w:tcW w:w="2040" w:type="dxa"/>
            <w:vAlign w:val="center"/>
          </w:tcPr>
          <w:p w14:paraId="4D69D486">
            <w:pPr>
              <w:pStyle w:val="25"/>
              <w:spacing w:line="360" w:lineRule="auto"/>
              <w:jc w:val="center"/>
              <w:rPr>
                <w:rFonts w:hint="eastAsia" w:ascii="仿宋" w:hAnsi="仿宋" w:eastAsia="仿宋" w:cs="仿宋"/>
                <w:color w:val="auto"/>
                <w:sz w:val="24"/>
                <w:szCs w:val="24"/>
                <w:highlight w:val="none"/>
              </w:rPr>
            </w:pPr>
          </w:p>
        </w:tc>
        <w:tc>
          <w:tcPr>
            <w:tcW w:w="677" w:type="dxa"/>
            <w:vAlign w:val="center"/>
          </w:tcPr>
          <w:p w14:paraId="3576B4DA">
            <w:pPr>
              <w:pStyle w:val="25"/>
              <w:spacing w:line="360" w:lineRule="auto"/>
              <w:jc w:val="center"/>
              <w:rPr>
                <w:rFonts w:hint="eastAsia" w:ascii="仿宋" w:hAnsi="仿宋" w:eastAsia="仿宋" w:cs="仿宋"/>
                <w:color w:val="auto"/>
                <w:sz w:val="24"/>
                <w:szCs w:val="24"/>
                <w:highlight w:val="none"/>
              </w:rPr>
            </w:pPr>
          </w:p>
        </w:tc>
      </w:tr>
      <w:tr w14:paraId="6CE85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532" w:type="dxa"/>
            <w:vAlign w:val="center"/>
          </w:tcPr>
          <w:p w14:paraId="7BF8CE3C">
            <w:pPr>
              <w:pStyle w:val="25"/>
              <w:spacing w:line="360" w:lineRule="auto"/>
              <w:jc w:val="center"/>
              <w:rPr>
                <w:rFonts w:hint="eastAsia" w:ascii="仿宋" w:hAnsi="仿宋" w:eastAsia="仿宋" w:cs="仿宋"/>
                <w:color w:val="auto"/>
                <w:sz w:val="24"/>
                <w:szCs w:val="24"/>
                <w:highlight w:val="none"/>
              </w:rPr>
            </w:pPr>
          </w:p>
        </w:tc>
        <w:tc>
          <w:tcPr>
            <w:tcW w:w="2003" w:type="dxa"/>
            <w:vAlign w:val="center"/>
          </w:tcPr>
          <w:p w14:paraId="06BD1C6F">
            <w:pPr>
              <w:pStyle w:val="25"/>
              <w:spacing w:line="360" w:lineRule="auto"/>
              <w:jc w:val="center"/>
              <w:rPr>
                <w:rFonts w:hint="eastAsia" w:ascii="仿宋" w:hAnsi="仿宋" w:eastAsia="仿宋" w:cs="仿宋"/>
                <w:color w:val="auto"/>
                <w:sz w:val="24"/>
                <w:szCs w:val="24"/>
                <w:highlight w:val="none"/>
              </w:rPr>
            </w:pPr>
          </w:p>
        </w:tc>
        <w:tc>
          <w:tcPr>
            <w:tcW w:w="1925" w:type="dxa"/>
            <w:vAlign w:val="center"/>
          </w:tcPr>
          <w:p w14:paraId="7017D09A">
            <w:pPr>
              <w:pStyle w:val="25"/>
              <w:spacing w:line="360" w:lineRule="auto"/>
              <w:jc w:val="center"/>
              <w:rPr>
                <w:rFonts w:hint="eastAsia" w:ascii="仿宋" w:hAnsi="仿宋" w:eastAsia="仿宋" w:cs="仿宋"/>
                <w:color w:val="auto"/>
                <w:sz w:val="24"/>
                <w:szCs w:val="24"/>
                <w:highlight w:val="none"/>
              </w:rPr>
            </w:pPr>
          </w:p>
        </w:tc>
        <w:tc>
          <w:tcPr>
            <w:tcW w:w="1180" w:type="dxa"/>
            <w:vAlign w:val="center"/>
          </w:tcPr>
          <w:p w14:paraId="2CA4D2BC">
            <w:pPr>
              <w:pStyle w:val="25"/>
              <w:spacing w:line="360" w:lineRule="auto"/>
              <w:jc w:val="center"/>
              <w:rPr>
                <w:rFonts w:hint="eastAsia" w:ascii="仿宋" w:hAnsi="仿宋" w:eastAsia="仿宋" w:cs="仿宋"/>
                <w:color w:val="auto"/>
                <w:sz w:val="24"/>
                <w:szCs w:val="24"/>
                <w:highlight w:val="none"/>
              </w:rPr>
            </w:pPr>
          </w:p>
        </w:tc>
        <w:tc>
          <w:tcPr>
            <w:tcW w:w="1740" w:type="dxa"/>
            <w:vAlign w:val="center"/>
          </w:tcPr>
          <w:p w14:paraId="379E47D6">
            <w:pPr>
              <w:pStyle w:val="25"/>
              <w:spacing w:line="360" w:lineRule="auto"/>
              <w:jc w:val="center"/>
              <w:rPr>
                <w:rFonts w:hint="eastAsia" w:ascii="仿宋" w:hAnsi="仿宋" w:eastAsia="仿宋" w:cs="仿宋"/>
                <w:color w:val="auto"/>
                <w:sz w:val="24"/>
                <w:szCs w:val="24"/>
                <w:highlight w:val="none"/>
              </w:rPr>
            </w:pPr>
          </w:p>
        </w:tc>
        <w:tc>
          <w:tcPr>
            <w:tcW w:w="2040" w:type="dxa"/>
            <w:vAlign w:val="center"/>
          </w:tcPr>
          <w:p w14:paraId="3BF88DE8">
            <w:pPr>
              <w:pStyle w:val="25"/>
              <w:spacing w:line="360" w:lineRule="auto"/>
              <w:jc w:val="center"/>
              <w:rPr>
                <w:rFonts w:hint="eastAsia" w:ascii="仿宋" w:hAnsi="仿宋" w:eastAsia="仿宋" w:cs="仿宋"/>
                <w:color w:val="auto"/>
                <w:sz w:val="24"/>
                <w:szCs w:val="24"/>
                <w:highlight w:val="none"/>
              </w:rPr>
            </w:pPr>
          </w:p>
        </w:tc>
        <w:tc>
          <w:tcPr>
            <w:tcW w:w="677" w:type="dxa"/>
            <w:vAlign w:val="center"/>
          </w:tcPr>
          <w:p w14:paraId="7CAF87B0">
            <w:pPr>
              <w:pStyle w:val="25"/>
              <w:spacing w:line="360" w:lineRule="auto"/>
              <w:jc w:val="center"/>
              <w:rPr>
                <w:rFonts w:hint="eastAsia" w:ascii="仿宋" w:hAnsi="仿宋" w:eastAsia="仿宋" w:cs="仿宋"/>
                <w:color w:val="auto"/>
                <w:sz w:val="24"/>
                <w:szCs w:val="24"/>
                <w:highlight w:val="none"/>
              </w:rPr>
            </w:pPr>
          </w:p>
        </w:tc>
      </w:tr>
    </w:tbl>
    <w:p w14:paraId="3C4A0F4F">
      <w:pPr>
        <w:pStyle w:val="25"/>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投标人填写本表的同时，须</w:t>
      </w:r>
      <w:r>
        <w:rPr>
          <w:rFonts w:hint="eastAsia" w:ascii="仿宋" w:hAnsi="仿宋" w:eastAsia="仿宋" w:cs="仿宋"/>
          <w:b w:val="0"/>
          <w:bCs w:val="0"/>
          <w:color w:val="auto"/>
          <w:kern w:val="2"/>
          <w:sz w:val="24"/>
          <w:szCs w:val="24"/>
          <w:highlight w:val="none"/>
          <w:lang w:val="en-US" w:eastAsia="zh-CN" w:bidi="ar-SA"/>
        </w:rPr>
        <w:t>提供中标（成交）通知书或合同复印件加盖公章</w:t>
      </w:r>
      <w:r>
        <w:rPr>
          <w:rFonts w:hint="eastAsia" w:ascii="仿宋" w:hAnsi="仿宋" w:eastAsia="仿宋" w:cs="仿宋"/>
          <w:color w:val="auto"/>
          <w:sz w:val="24"/>
          <w:szCs w:val="24"/>
          <w:highlight w:val="none"/>
        </w:rPr>
        <w:t>；</w:t>
      </w:r>
    </w:p>
    <w:p w14:paraId="2DBB9495">
      <w:pPr>
        <w:pStyle w:val="25"/>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投标人填写的内容必须真实可靠，如有虚假或者隐瞒，一经查实投标将被否决</w:t>
      </w:r>
      <w:r>
        <w:rPr>
          <w:rFonts w:hint="eastAsia" w:ascii="仿宋" w:hAnsi="仿宋" w:eastAsia="仿宋" w:cs="仿宋"/>
          <w:color w:val="auto"/>
          <w:sz w:val="24"/>
          <w:szCs w:val="24"/>
          <w:highlight w:val="none"/>
          <w:lang w:eastAsia="zh-CN"/>
        </w:rPr>
        <w:t>。</w:t>
      </w:r>
    </w:p>
    <w:p w14:paraId="541C84A0">
      <w:pPr>
        <w:pStyle w:val="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4C1360E9">
      <w:pPr>
        <w:pStyle w:val="3"/>
        <w:jc w:val="center"/>
        <w:rPr>
          <w:rStyle w:val="40"/>
          <w:rFonts w:hint="eastAsia" w:ascii="仿宋" w:hAnsi="仿宋" w:eastAsia="仿宋" w:cs="仿宋"/>
          <w:b/>
          <w:bCs w:val="0"/>
          <w:color w:val="auto"/>
          <w:sz w:val="24"/>
          <w:szCs w:val="24"/>
          <w:highlight w:val="none"/>
          <w:lang w:val="en-US" w:eastAsia="zh-CN"/>
        </w:rPr>
      </w:pPr>
      <w:bookmarkStart w:id="498" w:name="_Toc10599_WPSOffice_Level1"/>
      <w:bookmarkStart w:id="499" w:name="_Toc23838"/>
      <w:r>
        <w:rPr>
          <w:rStyle w:val="40"/>
          <w:rFonts w:hint="eastAsia" w:ascii="仿宋" w:hAnsi="仿宋" w:eastAsia="仿宋" w:cs="仿宋"/>
          <w:b/>
          <w:bCs w:val="0"/>
          <w:color w:val="auto"/>
          <w:sz w:val="24"/>
          <w:szCs w:val="24"/>
          <w:highlight w:val="none"/>
          <w:lang w:val="en-US" w:eastAsia="zh-CN"/>
        </w:rPr>
        <w:t>11、</w:t>
      </w:r>
      <w:bookmarkEnd w:id="498"/>
      <w:r>
        <w:rPr>
          <w:rStyle w:val="40"/>
          <w:rFonts w:hint="eastAsia" w:ascii="仿宋" w:hAnsi="仿宋" w:eastAsia="仿宋" w:cs="仿宋"/>
          <w:b/>
          <w:bCs w:val="0"/>
          <w:color w:val="auto"/>
          <w:sz w:val="24"/>
          <w:szCs w:val="24"/>
          <w:highlight w:val="none"/>
          <w:lang w:val="en-US" w:eastAsia="zh-CN"/>
        </w:rPr>
        <w:t>项目服务方案、质量保证措施等内容</w:t>
      </w:r>
      <w:bookmarkEnd w:id="499"/>
    </w:p>
    <w:p w14:paraId="11DD9F6B">
      <w:pPr>
        <w:pStyle w:val="3"/>
        <w:jc w:val="center"/>
        <w:rPr>
          <w:rFonts w:hint="eastAsia" w:ascii="仿宋" w:hAnsi="仿宋" w:eastAsia="仿宋" w:cs="仿宋"/>
          <w:b/>
          <w:color w:val="auto"/>
          <w:sz w:val="24"/>
          <w:szCs w:val="24"/>
          <w:highlight w:val="none"/>
        </w:rPr>
      </w:pPr>
      <w:bookmarkStart w:id="500" w:name="_Toc20286"/>
      <w:r>
        <w:rPr>
          <w:rStyle w:val="40"/>
          <w:rFonts w:hint="eastAsia" w:ascii="仿宋" w:hAnsi="仿宋" w:eastAsia="仿宋" w:cs="仿宋"/>
          <w:b/>
          <w:bCs w:val="0"/>
          <w:color w:val="auto"/>
          <w:sz w:val="24"/>
          <w:szCs w:val="24"/>
          <w:highlight w:val="none"/>
          <w:lang w:val="en-US" w:eastAsia="zh-CN"/>
        </w:rPr>
        <w:t>格式自拟</w:t>
      </w:r>
      <w:bookmarkEnd w:id="500"/>
    </w:p>
    <w:p w14:paraId="1914CC2B">
      <w:pPr>
        <w:widowControl/>
        <w:jc w:val="left"/>
        <w:rPr>
          <w:rFonts w:hint="eastAsia" w:ascii="仿宋" w:hAnsi="仿宋" w:eastAsia="仿宋" w:cs="仿宋"/>
          <w:b/>
          <w:color w:val="auto"/>
          <w:sz w:val="24"/>
          <w:szCs w:val="24"/>
          <w:highlight w:val="none"/>
        </w:rPr>
      </w:pPr>
    </w:p>
    <w:p w14:paraId="302B8968">
      <w:pPr>
        <w:widowControl/>
        <w:spacing w:line="360" w:lineRule="auto"/>
        <w:ind w:firstLine="899"/>
        <w:jc w:val="left"/>
        <w:rPr>
          <w:rFonts w:hint="eastAsia" w:ascii="仿宋" w:hAnsi="仿宋" w:eastAsia="仿宋" w:cs="仿宋"/>
          <w:color w:val="auto"/>
          <w:kern w:val="0"/>
          <w:sz w:val="24"/>
          <w:szCs w:val="24"/>
          <w:highlight w:val="none"/>
        </w:rPr>
      </w:pPr>
    </w:p>
    <w:p w14:paraId="353E9AAE">
      <w:pPr>
        <w:widowControl/>
        <w:spacing w:line="360" w:lineRule="auto"/>
        <w:ind w:firstLine="899"/>
        <w:jc w:val="left"/>
        <w:rPr>
          <w:rFonts w:hint="eastAsia" w:ascii="仿宋" w:hAnsi="仿宋" w:eastAsia="仿宋" w:cs="仿宋"/>
          <w:color w:val="auto"/>
          <w:kern w:val="0"/>
          <w:sz w:val="24"/>
          <w:szCs w:val="24"/>
          <w:highlight w:val="none"/>
        </w:rPr>
      </w:pPr>
    </w:p>
    <w:p w14:paraId="624028B9">
      <w:pPr>
        <w:widowControl/>
        <w:spacing w:line="360" w:lineRule="auto"/>
        <w:ind w:firstLine="899"/>
        <w:jc w:val="left"/>
        <w:rPr>
          <w:rFonts w:hint="eastAsia" w:ascii="仿宋" w:hAnsi="仿宋" w:eastAsia="仿宋" w:cs="仿宋"/>
          <w:color w:val="auto"/>
          <w:kern w:val="0"/>
          <w:sz w:val="24"/>
          <w:szCs w:val="24"/>
          <w:highlight w:val="none"/>
        </w:rPr>
      </w:pPr>
    </w:p>
    <w:p w14:paraId="5EFF8410">
      <w:pPr>
        <w:widowControl/>
        <w:spacing w:line="360" w:lineRule="auto"/>
        <w:ind w:firstLine="899"/>
        <w:jc w:val="left"/>
        <w:rPr>
          <w:rFonts w:hint="eastAsia" w:ascii="仿宋" w:hAnsi="仿宋" w:eastAsia="仿宋" w:cs="仿宋"/>
          <w:color w:val="auto"/>
          <w:kern w:val="0"/>
          <w:sz w:val="24"/>
          <w:szCs w:val="24"/>
          <w:highlight w:val="none"/>
        </w:rPr>
      </w:pPr>
    </w:p>
    <w:p w14:paraId="4401E116">
      <w:pPr>
        <w:widowControl/>
        <w:spacing w:line="360" w:lineRule="auto"/>
        <w:ind w:firstLine="899"/>
        <w:jc w:val="left"/>
        <w:rPr>
          <w:rFonts w:hint="eastAsia" w:ascii="仿宋" w:hAnsi="仿宋" w:eastAsia="仿宋" w:cs="仿宋"/>
          <w:color w:val="auto"/>
          <w:kern w:val="0"/>
          <w:sz w:val="24"/>
          <w:szCs w:val="24"/>
          <w:highlight w:val="none"/>
        </w:rPr>
      </w:pPr>
    </w:p>
    <w:p w14:paraId="0A7B3E37">
      <w:pPr>
        <w:widowControl/>
        <w:spacing w:line="360" w:lineRule="auto"/>
        <w:ind w:firstLine="899"/>
        <w:jc w:val="left"/>
        <w:rPr>
          <w:rFonts w:hint="eastAsia" w:ascii="仿宋" w:hAnsi="仿宋" w:eastAsia="仿宋" w:cs="仿宋"/>
          <w:color w:val="auto"/>
          <w:kern w:val="0"/>
          <w:sz w:val="24"/>
          <w:szCs w:val="24"/>
          <w:highlight w:val="none"/>
        </w:rPr>
      </w:pPr>
    </w:p>
    <w:p w14:paraId="431F2526">
      <w:pPr>
        <w:widowControl/>
        <w:spacing w:line="360" w:lineRule="auto"/>
        <w:ind w:firstLine="899"/>
        <w:jc w:val="left"/>
        <w:rPr>
          <w:rFonts w:hint="eastAsia" w:ascii="仿宋" w:hAnsi="仿宋" w:eastAsia="仿宋" w:cs="仿宋"/>
          <w:color w:val="auto"/>
          <w:kern w:val="0"/>
          <w:sz w:val="24"/>
          <w:szCs w:val="24"/>
          <w:highlight w:val="none"/>
        </w:rPr>
      </w:pPr>
    </w:p>
    <w:p w14:paraId="5C525244">
      <w:pPr>
        <w:widowControl/>
        <w:spacing w:line="360" w:lineRule="auto"/>
        <w:ind w:firstLine="899"/>
        <w:jc w:val="left"/>
        <w:rPr>
          <w:rFonts w:hint="eastAsia" w:ascii="仿宋" w:hAnsi="仿宋" w:eastAsia="仿宋" w:cs="仿宋"/>
          <w:color w:val="auto"/>
          <w:kern w:val="0"/>
          <w:sz w:val="24"/>
          <w:szCs w:val="24"/>
          <w:highlight w:val="none"/>
        </w:rPr>
      </w:pPr>
    </w:p>
    <w:p w14:paraId="0D3A11FC">
      <w:pPr>
        <w:pStyle w:val="20"/>
        <w:rPr>
          <w:rFonts w:hint="eastAsia" w:ascii="仿宋" w:hAnsi="仿宋" w:eastAsia="仿宋" w:cs="仿宋"/>
          <w:color w:val="auto"/>
          <w:sz w:val="24"/>
          <w:szCs w:val="24"/>
          <w:highlight w:val="none"/>
        </w:rPr>
      </w:pPr>
    </w:p>
    <w:p w14:paraId="1D9DFDDB">
      <w:pPr>
        <w:pStyle w:val="20"/>
        <w:rPr>
          <w:rFonts w:hint="eastAsia" w:ascii="仿宋" w:hAnsi="仿宋" w:eastAsia="仿宋" w:cs="仿宋"/>
          <w:color w:val="auto"/>
          <w:sz w:val="24"/>
          <w:szCs w:val="24"/>
          <w:highlight w:val="none"/>
        </w:rPr>
      </w:pPr>
    </w:p>
    <w:p w14:paraId="5E5709DE">
      <w:pPr>
        <w:pStyle w:val="20"/>
        <w:rPr>
          <w:rFonts w:hint="eastAsia" w:ascii="仿宋" w:hAnsi="仿宋" w:eastAsia="仿宋" w:cs="仿宋"/>
          <w:color w:val="auto"/>
          <w:sz w:val="24"/>
          <w:szCs w:val="24"/>
          <w:highlight w:val="none"/>
        </w:rPr>
      </w:pPr>
    </w:p>
    <w:p w14:paraId="008D8741">
      <w:pPr>
        <w:pStyle w:val="20"/>
        <w:rPr>
          <w:rFonts w:hint="eastAsia" w:ascii="仿宋" w:hAnsi="仿宋" w:eastAsia="仿宋" w:cs="仿宋"/>
          <w:color w:val="auto"/>
          <w:sz w:val="24"/>
          <w:szCs w:val="24"/>
          <w:highlight w:val="none"/>
        </w:rPr>
      </w:pPr>
    </w:p>
    <w:p w14:paraId="63BFE7CA">
      <w:pPr>
        <w:pStyle w:val="20"/>
        <w:rPr>
          <w:rFonts w:hint="eastAsia" w:ascii="仿宋" w:hAnsi="仿宋" w:eastAsia="仿宋" w:cs="仿宋"/>
          <w:color w:val="auto"/>
          <w:sz w:val="24"/>
          <w:szCs w:val="24"/>
          <w:highlight w:val="none"/>
        </w:rPr>
      </w:pPr>
    </w:p>
    <w:p w14:paraId="7743632B">
      <w:pPr>
        <w:pStyle w:val="20"/>
        <w:rPr>
          <w:rFonts w:hint="eastAsia" w:ascii="仿宋" w:hAnsi="仿宋" w:eastAsia="仿宋" w:cs="仿宋"/>
          <w:color w:val="auto"/>
          <w:sz w:val="24"/>
          <w:szCs w:val="24"/>
          <w:highlight w:val="none"/>
        </w:rPr>
      </w:pPr>
    </w:p>
    <w:p w14:paraId="033FFE69">
      <w:pPr>
        <w:pStyle w:val="20"/>
        <w:rPr>
          <w:rFonts w:hint="eastAsia" w:ascii="仿宋" w:hAnsi="仿宋" w:eastAsia="仿宋" w:cs="仿宋"/>
          <w:color w:val="auto"/>
          <w:sz w:val="24"/>
          <w:szCs w:val="24"/>
          <w:highlight w:val="none"/>
        </w:rPr>
      </w:pPr>
    </w:p>
    <w:p w14:paraId="63E60679">
      <w:pPr>
        <w:pStyle w:val="20"/>
        <w:rPr>
          <w:rFonts w:hint="eastAsia" w:ascii="仿宋" w:hAnsi="仿宋" w:eastAsia="仿宋" w:cs="仿宋"/>
          <w:color w:val="auto"/>
          <w:sz w:val="24"/>
          <w:szCs w:val="24"/>
          <w:highlight w:val="none"/>
        </w:rPr>
      </w:pPr>
    </w:p>
    <w:p w14:paraId="22FAB36F">
      <w:pPr>
        <w:pStyle w:val="20"/>
        <w:rPr>
          <w:rFonts w:hint="eastAsia" w:ascii="仿宋" w:hAnsi="仿宋" w:eastAsia="仿宋" w:cs="仿宋"/>
          <w:color w:val="auto"/>
          <w:sz w:val="24"/>
          <w:szCs w:val="24"/>
          <w:highlight w:val="none"/>
        </w:rPr>
      </w:pPr>
    </w:p>
    <w:p w14:paraId="65D98D09">
      <w:pPr>
        <w:pStyle w:val="20"/>
        <w:rPr>
          <w:rFonts w:hint="eastAsia" w:ascii="仿宋" w:hAnsi="仿宋" w:eastAsia="仿宋" w:cs="仿宋"/>
          <w:color w:val="auto"/>
          <w:sz w:val="24"/>
          <w:szCs w:val="24"/>
          <w:highlight w:val="none"/>
        </w:rPr>
      </w:pPr>
    </w:p>
    <w:p w14:paraId="031E8BD3">
      <w:pPr>
        <w:pStyle w:val="20"/>
        <w:rPr>
          <w:rFonts w:hint="eastAsia" w:ascii="仿宋" w:hAnsi="仿宋" w:eastAsia="仿宋" w:cs="仿宋"/>
          <w:color w:val="auto"/>
          <w:sz w:val="24"/>
          <w:szCs w:val="24"/>
          <w:highlight w:val="none"/>
        </w:rPr>
      </w:pPr>
    </w:p>
    <w:p w14:paraId="44B3AAB7">
      <w:pPr>
        <w:pStyle w:val="20"/>
        <w:rPr>
          <w:rFonts w:hint="eastAsia" w:ascii="仿宋" w:hAnsi="仿宋" w:eastAsia="仿宋" w:cs="仿宋"/>
          <w:color w:val="auto"/>
          <w:sz w:val="24"/>
          <w:szCs w:val="24"/>
          <w:highlight w:val="none"/>
        </w:rPr>
      </w:pPr>
    </w:p>
    <w:p w14:paraId="19E9A0C9">
      <w:pPr>
        <w:pStyle w:val="20"/>
        <w:rPr>
          <w:rFonts w:hint="eastAsia" w:ascii="仿宋" w:hAnsi="仿宋" w:eastAsia="仿宋" w:cs="仿宋"/>
          <w:color w:val="auto"/>
          <w:sz w:val="24"/>
          <w:szCs w:val="24"/>
          <w:highlight w:val="none"/>
        </w:rPr>
      </w:pPr>
    </w:p>
    <w:p w14:paraId="7CAF2B27">
      <w:pPr>
        <w:pStyle w:val="20"/>
        <w:rPr>
          <w:rFonts w:hint="eastAsia" w:ascii="仿宋" w:hAnsi="仿宋" w:eastAsia="仿宋" w:cs="仿宋"/>
          <w:color w:val="auto"/>
          <w:sz w:val="24"/>
          <w:szCs w:val="24"/>
          <w:highlight w:val="none"/>
        </w:rPr>
      </w:pPr>
    </w:p>
    <w:p w14:paraId="06CF2A28">
      <w:pPr>
        <w:pStyle w:val="20"/>
        <w:rPr>
          <w:rFonts w:hint="eastAsia" w:ascii="仿宋" w:hAnsi="仿宋" w:eastAsia="仿宋" w:cs="仿宋"/>
          <w:color w:val="auto"/>
          <w:sz w:val="24"/>
          <w:szCs w:val="24"/>
          <w:highlight w:val="none"/>
        </w:rPr>
      </w:pPr>
    </w:p>
    <w:p w14:paraId="5256C518">
      <w:pPr>
        <w:pStyle w:val="20"/>
        <w:rPr>
          <w:rFonts w:hint="eastAsia" w:ascii="仿宋" w:hAnsi="仿宋" w:eastAsia="仿宋" w:cs="仿宋"/>
          <w:color w:val="auto"/>
          <w:sz w:val="24"/>
          <w:szCs w:val="24"/>
          <w:highlight w:val="none"/>
        </w:rPr>
      </w:pPr>
    </w:p>
    <w:p w14:paraId="451829FA">
      <w:pPr>
        <w:pStyle w:val="20"/>
        <w:rPr>
          <w:rFonts w:hint="eastAsia" w:ascii="仿宋" w:hAnsi="仿宋" w:eastAsia="仿宋" w:cs="仿宋"/>
          <w:color w:val="auto"/>
          <w:sz w:val="24"/>
          <w:szCs w:val="24"/>
          <w:highlight w:val="none"/>
        </w:rPr>
      </w:pPr>
    </w:p>
    <w:p w14:paraId="593E8017">
      <w:pPr>
        <w:pStyle w:val="20"/>
        <w:rPr>
          <w:rFonts w:hint="eastAsia" w:ascii="仿宋" w:hAnsi="仿宋" w:eastAsia="仿宋" w:cs="仿宋"/>
          <w:color w:val="auto"/>
          <w:sz w:val="24"/>
          <w:szCs w:val="24"/>
          <w:highlight w:val="none"/>
        </w:rPr>
      </w:pPr>
    </w:p>
    <w:p w14:paraId="4ACFA7AD">
      <w:pPr>
        <w:pStyle w:val="20"/>
        <w:rPr>
          <w:rFonts w:hint="eastAsia" w:ascii="仿宋" w:hAnsi="仿宋" w:eastAsia="仿宋" w:cs="仿宋"/>
          <w:color w:val="auto"/>
          <w:sz w:val="24"/>
          <w:szCs w:val="24"/>
          <w:highlight w:val="none"/>
        </w:rPr>
      </w:pPr>
    </w:p>
    <w:p w14:paraId="023B063F">
      <w:pPr>
        <w:pStyle w:val="20"/>
        <w:rPr>
          <w:rFonts w:hint="eastAsia" w:ascii="仿宋" w:hAnsi="仿宋" w:eastAsia="仿宋" w:cs="仿宋"/>
          <w:color w:val="auto"/>
          <w:sz w:val="24"/>
          <w:szCs w:val="24"/>
          <w:highlight w:val="none"/>
        </w:rPr>
      </w:pPr>
    </w:p>
    <w:p w14:paraId="693BAA4D">
      <w:pPr>
        <w:pStyle w:val="20"/>
        <w:rPr>
          <w:rFonts w:hint="eastAsia" w:ascii="仿宋" w:hAnsi="仿宋" w:eastAsia="仿宋" w:cs="仿宋"/>
          <w:color w:val="auto"/>
          <w:sz w:val="24"/>
          <w:szCs w:val="24"/>
          <w:highlight w:val="none"/>
        </w:rPr>
      </w:pPr>
    </w:p>
    <w:p w14:paraId="5BF05514">
      <w:pPr>
        <w:pStyle w:val="20"/>
        <w:rPr>
          <w:rFonts w:hint="eastAsia" w:ascii="仿宋" w:hAnsi="仿宋" w:eastAsia="仿宋" w:cs="仿宋"/>
          <w:color w:val="auto"/>
          <w:sz w:val="24"/>
          <w:szCs w:val="24"/>
          <w:highlight w:val="none"/>
        </w:rPr>
      </w:pPr>
    </w:p>
    <w:p w14:paraId="599C003D">
      <w:pPr>
        <w:widowControl/>
        <w:spacing w:line="360" w:lineRule="auto"/>
        <w:ind w:firstLine="899"/>
        <w:jc w:val="left"/>
        <w:rPr>
          <w:rFonts w:hint="eastAsia" w:ascii="仿宋" w:hAnsi="仿宋" w:eastAsia="仿宋" w:cs="仿宋"/>
          <w:color w:val="auto"/>
          <w:kern w:val="0"/>
          <w:sz w:val="24"/>
          <w:szCs w:val="24"/>
          <w:highlight w:val="none"/>
        </w:rPr>
      </w:pPr>
    </w:p>
    <w:p w14:paraId="0CC6D828">
      <w:pPr>
        <w:pStyle w:val="3"/>
        <w:jc w:val="center"/>
        <w:rPr>
          <w:rStyle w:val="40"/>
          <w:rFonts w:hint="eastAsia" w:ascii="仿宋" w:hAnsi="仿宋" w:eastAsia="仿宋" w:cs="仿宋"/>
          <w:b/>
          <w:bCs w:val="0"/>
          <w:color w:val="auto"/>
          <w:sz w:val="24"/>
          <w:szCs w:val="24"/>
          <w:highlight w:val="none"/>
          <w:lang w:val="en-US" w:eastAsia="zh-CN"/>
        </w:rPr>
      </w:pPr>
      <w:bookmarkStart w:id="501" w:name="_Toc1779"/>
      <w:bookmarkStart w:id="502" w:name="_Toc45795252"/>
      <w:r>
        <w:rPr>
          <w:rStyle w:val="40"/>
          <w:rFonts w:hint="eastAsia" w:ascii="仿宋" w:hAnsi="仿宋" w:eastAsia="仿宋" w:cs="仿宋"/>
          <w:b/>
          <w:bCs w:val="0"/>
          <w:color w:val="auto"/>
          <w:sz w:val="24"/>
          <w:szCs w:val="24"/>
          <w:highlight w:val="none"/>
          <w:lang w:val="en-US" w:eastAsia="zh-CN"/>
        </w:rPr>
        <w:t>12、投标人基本情况说明</w:t>
      </w:r>
      <w:bookmarkEnd w:id="501"/>
    </w:p>
    <w:p w14:paraId="45312237">
      <w:pPr>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一、</w:t>
      </w:r>
      <w:r>
        <w:rPr>
          <w:rFonts w:hint="eastAsia" w:ascii="仿宋" w:hAnsi="仿宋" w:eastAsia="仿宋" w:cs="仿宋"/>
          <w:b/>
          <w:bCs/>
          <w:color w:val="auto"/>
          <w:sz w:val="24"/>
          <w:szCs w:val="24"/>
          <w:highlight w:val="none"/>
          <w:lang w:val="en-US" w:eastAsia="zh-CN"/>
        </w:rPr>
        <w:t>公司简介：</w:t>
      </w:r>
    </w:p>
    <w:p w14:paraId="57A3F982">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二、</w:t>
      </w:r>
    </w:p>
    <w:p w14:paraId="0FC46A70">
      <w:pPr>
        <w:pStyle w:val="20"/>
        <w:jc w:val="cente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企业信息一览表</w:t>
      </w:r>
    </w:p>
    <w:tbl>
      <w:tblPr>
        <w:tblStyle w:val="34"/>
        <w:tblW w:w="9682" w:type="dxa"/>
        <w:tblInd w:w="-5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1217"/>
        <w:gridCol w:w="1217"/>
        <w:gridCol w:w="1217"/>
        <w:gridCol w:w="1218"/>
        <w:gridCol w:w="1218"/>
        <w:gridCol w:w="1859"/>
      </w:tblGrid>
      <w:tr w14:paraId="3840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3" w:hRule="atLeast"/>
        </w:trPr>
        <w:tc>
          <w:tcPr>
            <w:tcW w:w="1736" w:type="dxa"/>
            <w:vAlign w:val="center"/>
          </w:tcPr>
          <w:p w14:paraId="7891CCD6">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投标人名称</w:t>
            </w:r>
          </w:p>
        </w:tc>
        <w:tc>
          <w:tcPr>
            <w:tcW w:w="7946" w:type="dxa"/>
            <w:gridSpan w:val="6"/>
            <w:vAlign w:val="center"/>
          </w:tcPr>
          <w:p w14:paraId="517163E5">
            <w:pPr>
              <w:pStyle w:val="20"/>
              <w:jc w:val="center"/>
              <w:rPr>
                <w:rFonts w:hint="eastAsia" w:ascii="仿宋" w:hAnsi="仿宋" w:eastAsia="仿宋" w:cs="仿宋"/>
                <w:color w:val="auto"/>
                <w:sz w:val="24"/>
                <w:szCs w:val="24"/>
                <w:highlight w:val="none"/>
                <w:vertAlign w:val="baseline"/>
                <w:lang w:eastAsia="zh-CN"/>
              </w:rPr>
            </w:pPr>
          </w:p>
        </w:tc>
      </w:tr>
      <w:tr w14:paraId="6666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736" w:type="dxa"/>
            <w:vAlign w:val="center"/>
          </w:tcPr>
          <w:p w14:paraId="644158D2">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注册地址</w:t>
            </w:r>
          </w:p>
        </w:tc>
        <w:tc>
          <w:tcPr>
            <w:tcW w:w="3651" w:type="dxa"/>
            <w:gridSpan w:val="3"/>
            <w:vAlign w:val="center"/>
          </w:tcPr>
          <w:p w14:paraId="4B3B214D">
            <w:pPr>
              <w:pStyle w:val="20"/>
              <w:jc w:val="center"/>
              <w:rPr>
                <w:rFonts w:hint="eastAsia" w:ascii="仿宋" w:hAnsi="仿宋" w:eastAsia="仿宋" w:cs="仿宋"/>
                <w:color w:val="auto"/>
                <w:sz w:val="24"/>
                <w:szCs w:val="24"/>
                <w:highlight w:val="none"/>
                <w:vertAlign w:val="baseline"/>
                <w:lang w:eastAsia="zh-CN"/>
              </w:rPr>
            </w:pPr>
          </w:p>
        </w:tc>
        <w:tc>
          <w:tcPr>
            <w:tcW w:w="1218" w:type="dxa"/>
            <w:vAlign w:val="center"/>
          </w:tcPr>
          <w:p w14:paraId="72C6F82C">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邮政编码</w:t>
            </w:r>
          </w:p>
        </w:tc>
        <w:tc>
          <w:tcPr>
            <w:tcW w:w="3077" w:type="dxa"/>
            <w:gridSpan w:val="2"/>
            <w:vAlign w:val="center"/>
          </w:tcPr>
          <w:p w14:paraId="24586BDF">
            <w:pPr>
              <w:pStyle w:val="20"/>
              <w:jc w:val="center"/>
              <w:rPr>
                <w:rFonts w:hint="eastAsia" w:ascii="仿宋" w:hAnsi="仿宋" w:eastAsia="仿宋" w:cs="仿宋"/>
                <w:color w:val="auto"/>
                <w:sz w:val="24"/>
                <w:szCs w:val="24"/>
                <w:highlight w:val="none"/>
                <w:vertAlign w:val="baseline"/>
                <w:lang w:eastAsia="zh-CN"/>
              </w:rPr>
            </w:pPr>
          </w:p>
        </w:tc>
      </w:tr>
      <w:tr w14:paraId="1677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736" w:type="dxa"/>
            <w:vMerge w:val="restart"/>
            <w:vAlign w:val="center"/>
          </w:tcPr>
          <w:p w14:paraId="5F02CDA3">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联系方式</w:t>
            </w:r>
          </w:p>
        </w:tc>
        <w:tc>
          <w:tcPr>
            <w:tcW w:w="1217" w:type="dxa"/>
            <w:vAlign w:val="center"/>
          </w:tcPr>
          <w:p w14:paraId="6E9B1327">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联系人</w:t>
            </w:r>
          </w:p>
        </w:tc>
        <w:tc>
          <w:tcPr>
            <w:tcW w:w="2434" w:type="dxa"/>
            <w:gridSpan w:val="2"/>
            <w:vAlign w:val="center"/>
          </w:tcPr>
          <w:p w14:paraId="68108D6F">
            <w:pPr>
              <w:pStyle w:val="20"/>
              <w:jc w:val="center"/>
              <w:rPr>
                <w:rFonts w:hint="eastAsia" w:ascii="仿宋" w:hAnsi="仿宋" w:eastAsia="仿宋" w:cs="仿宋"/>
                <w:color w:val="auto"/>
                <w:sz w:val="24"/>
                <w:szCs w:val="24"/>
                <w:highlight w:val="none"/>
                <w:vertAlign w:val="baseline"/>
                <w:lang w:eastAsia="zh-CN"/>
              </w:rPr>
            </w:pPr>
          </w:p>
        </w:tc>
        <w:tc>
          <w:tcPr>
            <w:tcW w:w="1218" w:type="dxa"/>
            <w:vAlign w:val="center"/>
          </w:tcPr>
          <w:p w14:paraId="0C6E09CF">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联系电话</w:t>
            </w:r>
          </w:p>
        </w:tc>
        <w:tc>
          <w:tcPr>
            <w:tcW w:w="3077" w:type="dxa"/>
            <w:gridSpan w:val="2"/>
            <w:vAlign w:val="center"/>
          </w:tcPr>
          <w:p w14:paraId="6A44F351">
            <w:pPr>
              <w:pStyle w:val="20"/>
              <w:jc w:val="center"/>
              <w:rPr>
                <w:rFonts w:hint="eastAsia" w:ascii="仿宋" w:hAnsi="仿宋" w:eastAsia="仿宋" w:cs="仿宋"/>
                <w:color w:val="auto"/>
                <w:sz w:val="24"/>
                <w:szCs w:val="24"/>
                <w:highlight w:val="none"/>
                <w:vertAlign w:val="baseline"/>
                <w:lang w:eastAsia="zh-CN"/>
              </w:rPr>
            </w:pPr>
          </w:p>
        </w:tc>
      </w:tr>
      <w:tr w14:paraId="71D5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736" w:type="dxa"/>
            <w:vMerge w:val="continue"/>
            <w:vAlign w:val="center"/>
          </w:tcPr>
          <w:p w14:paraId="2795BEBE">
            <w:pPr>
              <w:pStyle w:val="20"/>
              <w:jc w:val="center"/>
              <w:rPr>
                <w:rFonts w:hint="eastAsia" w:ascii="仿宋" w:hAnsi="仿宋" w:eastAsia="仿宋" w:cs="仿宋"/>
                <w:color w:val="auto"/>
                <w:sz w:val="24"/>
                <w:szCs w:val="24"/>
                <w:highlight w:val="none"/>
                <w:vertAlign w:val="baseline"/>
                <w:lang w:val="en-US" w:eastAsia="zh-CN"/>
              </w:rPr>
            </w:pPr>
          </w:p>
        </w:tc>
        <w:tc>
          <w:tcPr>
            <w:tcW w:w="1217" w:type="dxa"/>
            <w:vAlign w:val="center"/>
          </w:tcPr>
          <w:p w14:paraId="5388B417">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传真</w:t>
            </w:r>
          </w:p>
        </w:tc>
        <w:tc>
          <w:tcPr>
            <w:tcW w:w="2434" w:type="dxa"/>
            <w:gridSpan w:val="2"/>
            <w:vAlign w:val="center"/>
          </w:tcPr>
          <w:p w14:paraId="4EBD4E53">
            <w:pPr>
              <w:pStyle w:val="20"/>
              <w:jc w:val="center"/>
              <w:rPr>
                <w:rFonts w:hint="eastAsia" w:ascii="仿宋" w:hAnsi="仿宋" w:eastAsia="仿宋" w:cs="仿宋"/>
                <w:color w:val="auto"/>
                <w:sz w:val="24"/>
                <w:szCs w:val="24"/>
                <w:highlight w:val="none"/>
                <w:vertAlign w:val="baseline"/>
                <w:lang w:eastAsia="zh-CN"/>
              </w:rPr>
            </w:pPr>
          </w:p>
        </w:tc>
        <w:tc>
          <w:tcPr>
            <w:tcW w:w="1218" w:type="dxa"/>
            <w:vAlign w:val="center"/>
          </w:tcPr>
          <w:p w14:paraId="723EB92A">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邮箱</w:t>
            </w:r>
          </w:p>
        </w:tc>
        <w:tc>
          <w:tcPr>
            <w:tcW w:w="3077" w:type="dxa"/>
            <w:gridSpan w:val="2"/>
            <w:vAlign w:val="center"/>
          </w:tcPr>
          <w:p w14:paraId="6606CB72">
            <w:pPr>
              <w:pStyle w:val="20"/>
              <w:jc w:val="center"/>
              <w:rPr>
                <w:rFonts w:hint="eastAsia" w:ascii="仿宋" w:hAnsi="仿宋" w:eastAsia="仿宋" w:cs="仿宋"/>
                <w:color w:val="auto"/>
                <w:sz w:val="24"/>
                <w:szCs w:val="24"/>
                <w:highlight w:val="none"/>
                <w:vertAlign w:val="baseline"/>
                <w:lang w:eastAsia="zh-CN"/>
              </w:rPr>
            </w:pPr>
          </w:p>
        </w:tc>
      </w:tr>
      <w:tr w14:paraId="38A5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736" w:type="dxa"/>
            <w:vAlign w:val="center"/>
          </w:tcPr>
          <w:p w14:paraId="498C4770">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企业性质</w:t>
            </w:r>
          </w:p>
        </w:tc>
        <w:tc>
          <w:tcPr>
            <w:tcW w:w="7946" w:type="dxa"/>
            <w:gridSpan w:val="6"/>
            <w:vAlign w:val="center"/>
          </w:tcPr>
          <w:p w14:paraId="0A139F41">
            <w:pPr>
              <w:pStyle w:val="20"/>
              <w:jc w:val="center"/>
              <w:rPr>
                <w:rFonts w:hint="eastAsia" w:ascii="仿宋" w:hAnsi="仿宋" w:eastAsia="仿宋" w:cs="仿宋"/>
                <w:color w:val="auto"/>
                <w:sz w:val="24"/>
                <w:szCs w:val="24"/>
                <w:highlight w:val="none"/>
                <w:vertAlign w:val="baseline"/>
                <w:lang w:eastAsia="zh-CN"/>
              </w:rPr>
            </w:pPr>
          </w:p>
        </w:tc>
      </w:tr>
      <w:tr w14:paraId="2564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736" w:type="dxa"/>
            <w:vAlign w:val="center"/>
          </w:tcPr>
          <w:p w14:paraId="0615E66C">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法定代表人</w:t>
            </w:r>
          </w:p>
        </w:tc>
        <w:tc>
          <w:tcPr>
            <w:tcW w:w="1217" w:type="dxa"/>
            <w:vAlign w:val="center"/>
          </w:tcPr>
          <w:p w14:paraId="43C4EE85">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姓名</w:t>
            </w:r>
          </w:p>
        </w:tc>
        <w:tc>
          <w:tcPr>
            <w:tcW w:w="1217" w:type="dxa"/>
            <w:vAlign w:val="center"/>
          </w:tcPr>
          <w:p w14:paraId="431129B1">
            <w:pPr>
              <w:pStyle w:val="20"/>
              <w:jc w:val="center"/>
              <w:rPr>
                <w:rFonts w:hint="eastAsia" w:ascii="仿宋" w:hAnsi="仿宋" w:eastAsia="仿宋" w:cs="仿宋"/>
                <w:color w:val="auto"/>
                <w:sz w:val="24"/>
                <w:szCs w:val="24"/>
                <w:highlight w:val="none"/>
                <w:vertAlign w:val="baseline"/>
                <w:lang w:eastAsia="zh-CN"/>
              </w:rPr>
            </w:pPr>
          </w:p>
        </w:tc>
        <w:tc>
          <w:tcPr>
            <w:tcW w:w="1217" w:type="dxa"/>
            <w:vAlign w:val="center"/>
          </w:tcPr>
          <w:p w14:paraId="5FBE7E63">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技术职称</w:t>
            </w:r>
          </w:p>
        </w:tc>
        <w:tc>
          <w:tcPr>
            <w:tcW w:w="1218" w:type="dxa"/>
            <w:vAlign w:val="center"/>
          </w:tcPr>
          <w:p w14:paraId="3786ACA9">
            <w:pPr>
              <w:pStyle w:val="20"/>
              <w:jc w:val="center"/>
              <w:rPr>
                <w:rFonts w:hint="eastAsia" w:ascii="仿宋" w:hAnsi="仿宋" w:eastAsia="仿宋" w:cs="仿宋"/>
                <w:color w:val="auto"/>
                <w:sz w:val="24"/>
                <w:szCs w:val="24"/>
                <w:highlight w:val="none"/>
                <w:vertAlign w:val="baseline"/>
                <w:lang w:eastAsia="zh-CN"/>
              </w:rPr>
            </w:pPr>
          </w:p>
        </w:tc>
        <w:tc>
          <w:tcPr>
            <w:tcW w:w="1218" w:type="dxa"/>
            <w:vAlign w:val="center"/>
          </w:tcPr>
          <w:p w14:paraId="528D507F">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电话</w:t>
            </w:r>
          </w:p>
        </w:tc>
        <w:tc>
          <w:tcPr>
            <w:tcW w:w="1859" w:type="dxa"/>
            <w:vAlign w:val="center"/>
          </w:tcPr>
          <w:p w14:paraId="65EBCC16">
            <w:pPr>
              <w:pStyle w:val="20"/>
              <w:jc w:val="center"/>
              <w:rPr>
                <w:rFonts w:hint="eastAsia" w:ascii="仿宋" w:hAnsi="仿宋" w:eastAsia="仿宋" w:cs="仿宋"/>
                <w:color w:val="auto"/>
                <w:sz w:val="24"/>
                <w:szCs w:val="24"/>
                <w:highlight w:val="none"/>
                <w:vertAlign w:val="baseline"/>
                <w:lang w:eastAsia="zh-CN"/>
              </w:rPr>
            </w:pPr>
          </w:p>
        </w:tc>
      </w:tr>
      <w:tr w14:paraId="6F99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736" w:type="dxa"/>
            <w:vAlign w:val="center"/>
          </w:tcPr>
          <w:p w14:paraId="6328D4C6">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技术负责人</w:t>
            </w:r>
          </w:p>
        </w:tc>
        <w:tc>
          <w:tcPr>
            <w:tcW w:w="1217" w:type="dxa"/>
            <w:vAlign w:val="center"/>
          </w:tcPr>
          <w:p w14:paraId="5F9A6485">
            <w:pPr>
              <w:pStyle w:val="20"/>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姓名</w:t>
            </w:r>
          </w:p>
        </w:tc>
        <w:tc>
          <w:tcPr>
            <w:tcW w:w="1217" w:type="dxa"/>
            <w:vAlign w:val="center"/>
          </w:tcPr>
          <w:p w14:paraId="16C5AD5C">
            <w:pPr>
              <w:pStyle w:val="20"/>
              <w:jc w:val="center"/>
              <w:rPr>
                <w:rFonts w:hint="eastAsia" w:ascii="仿宋" w:hAnsi="仿宋" w:eastAsia="仿宋" w:cs="仿宋"/>
                <w:color w:val="auto"/>
                <w:kern w:val="2"/>
                <w:sz w:val="24"/>
                <w:szCs w:val="24"/>
                <w:highlight w:val="none"/>
                <w:vertAlign w:val="baseline"/>
                <w:lang w:val="en-US" w:eastAsia="zh-CN" w:bidi="ar-SA"/>
              </w:rPr>
            </w:pPr>
          </w:p>
        </w:tc>
        <w:tc>
          <w:tcPr>
            <w:tcW w:w="1217" w:type="dxa"/>
            <w:vAlign w:val="center"/>
          </w:tcPr>
          <w:p w14:paraId="38E3E7E7">
            <w:pPr>
              <w:pStyle w:val="20"/>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技术职称</w:t>
            </w:r>
          </w:p>
        </w:tc>
        <w:tc>
          <w:tcPr>
            <w:tcW w:w="1218" w:type="dxa"/>
            <w:vAlign w:val="center"/>
          </w:tcPr>
          <w:p w14:paraId="2A7B59E6">
            <w:pPr>
              <w:pStyle w:val="20"/>
              <w:jc w:val="center"/>
              <w:rPr>
                <w:rFonts w:hint="eastAsia" w:ascii="仿宋" w:hAnsi="仿宋" w:eastAsia="仿宋" w:cs="仿宋"/>
                <w:color w:val="auto"/>
                <w:kern w:val="2"/>
                <w:sz w:val="24"/>
                <w:szCs w:val="24"/>
                <w:highlight w:val="none"/>
                <w:vertAlign w:val="baseline"/>
                <w:lang w:val="en-US" w:eastAsia="zh-CN" w:bidi="ar-SA"/>
              </w:rPr>
            </w:pPr>
          </w:p>
        </w:tc>
        <w:tc>
          <w:tcPr>
            <w:tcW w:w="1218" w:type="dxa"/>
            <w:vAlign w:val="center"/>
          </w:tcPr>
          <w:p w14:paraId="172D5446">
            <w:pPr>
              <w:pStyle w:val="20"/>
              <w:jc w:val="center"/>
              <w:rPr>
                <w:rFonts w:hint="eastAsia" w:ascii="仿宋" w:hAnsi="仿宋" w:eastAsia="仿宋" w:cs="仿宋"/>
                <w:color w:val="auto"/>
                <w:kern w:val="2"/>
                <w:sz w:val="24"/>
                <w:szCs w:val="24"/>
                <w:highlight w:val="none"/>
                <w:vertAlign w:val="baseline"/>
                <w:lang w:val="en-US" w:eastAsia="zh-CN" w:bidi="ar-SA"/>
              </w:rPr>
            </w:pPr>
            <w:r>
              <w:rPr>
                <w:rFonts w:hint="eastAsia" w:ascii="仿宋" w:hAnsi="仿宋" w:eastAsia="仿宋" w:cs="仿宋"/>
                <w:color w:val="auto"/>
                <w:sz w:val="24"/>
                <w:szCs w:val="24"/>
                <w:highlight w:val="none"/>
                <w:vertAlign w:val="baseline"/>
                <w:lang w:val="en-US" w:eastAsia="zh-CN"/>
              </w:rPr>
              <w:t>电话</w:t>
            </w:r>
          </w:p>
        </w:tc>
        <w:tc>
          <w:tcPr>
            <w:tcW w:w="1859" w:type="dxa"/>
            <w:vAlign w:val="center"/>
          </w:tcPr>
          <w:p w14:paraId="1833E149">
            <w:pPr>
              <w:pStyle w:val="20"/>
              <w:jc w:val="center"/>
              <w:rPr>
                <w:rFonts w:hint="eastAsia" w:ascii="仿宋" w:hAnsi="仿宋" w:eastAsia="仿宋" w:cs="仿宋"/>
                <w:color w:val="auto"/>
                <w:sz w:val="24"/>
                <w:szCs w:val="24"/>
                <w:highlight w:val="none"/>
                <w:vertAlign w:val="baseline"/>
                <w:lang w:eastAsia="zh-CN"/>
              </w:rPr>
            </w:pPr>
          </w:p>
        </w:tc>
      </w:tr>
      <w:tr w14:paraId="5EDA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736" w:type="dxa"/>
            <w:vAlign w:val="center"/>
          </w:tcPr>
          <w:p w14:paraId="69E72F16">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成立时间</w:t>
            </w:r>
          </w:p>
        </w:tc>
        <w:tc>
          <w:tcPr>
            <w:tcW w:w="2434" w:type="dxa"/>
            <w:gridSpan w:val="2"/>
            <w:vAlign w:val="center"/>
          </w:tcPr>
          <w:p w14:paraId="2E21652E">
            <w:pPr>
              <w:pStyle w:val="20"/>
              <w:jc w:val="center"/>
              <w:rPr>
                <w:rFonts w:hint="eastAsia" w:ascii="仿宋" w:hAnsi="仿宋" w:eastAsia="仿宋" w:cs="仿宋"/>
                <w:color w:val="auto"/>
                <w:sz w:val="24"/>
                <w:szCs w:val="24"/>
                <w:highlight w:val="none"/>
                <w:vertAlign w:val="baseline"/>
                <w:lang w:eastAsia="zh-CN"/>
              </w:rPr>
            </w:pPr>
          </w:p>
        </w:tc>
        <w:tc>
          <w:tcPr>
            <w:tcW w:w="5512" w:type="dxa"/>
            <w:gridSpan w:val="4"/>
            <w:vAlign w:val="center"/>
          </w:tcPr>
          <w:p w14:paraId="67218A03">
            <w:pPr>
              <w:pStyle w:val="20"/>
              <w:jc w:val="both"/>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员工总人数：</w:t>
            </w:r>
          </w:p>
        </w:tc>
      </w:tr>
      <w:tr w14:paraId="42DC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736" w:type="dxa"/>
            <w:vAlign w:val="center"/>
          </w:tcPr>
          <w:p w14:paraId="3485A7CB">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营业执照号</w:t>
            </w:r>
          </w:p>
        </w:tc>
        <w:tc>
          <w:tcPr>
            <w:tcW w:w="7946" w:type="dxa"/>
            <w:gridSpan w:val="6"/>
            <w:vAlign w:val="center"/>
          </w:tcPr>
          <w:p w14:paraId="684FB9BB">
            <w:pPr>
              <w:pStyle w:val="20"/>
              <w:jc w:val="center"/>
              <w:rPr>
                <w:rFonts w:hint="eastAsia" w:ascii="仿宋" w:hAnsi="仿宋" w:eastAsia="仿宋" w:cs="仿宋"/>
                <w:color w:val="auto"/>
                <w:sz w:val="24"/>
                <w:szCs w:val="24"/>
                <w:highlight w:val="none"/>
                <w:vertAlign w:val="baseline"/>
                <w:lang w:eastAsia="zh-CN"/>
              </w:rPr>
            </w:pPr>
          </w:p>
        </w:tc>
      </w:tr>
      <w:tr w14:paraId="3C85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736" w:type="dxa"/>
            <w:vAlign w:val="center"/>
          </w:tcPr>
          <w:p w14:paraId="6691BF52">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注册时间</w:t>
            </w:r>
          </w:p>
        </w:tc>
        <w:tc>
          <w:tcPr>
            <w:tcW w:w="7946" w:type="dxa"/>
            <w:gridSpan w:val="6"/>
            <w:vAlign w:val="center"/>
          </w:tcPr>
          <w:p w14:paraId="3455ECDD">
            <w:pPr>
              <w:pStyle w:val="20"/>
              <w:jc w:val="center"/>
              <w:rPr>
                <w:rFonts w:hint="eastAsia" w:ascii="仿宋" w:hAnsi="仿宋" w:eastAsia="仿宋" w:cs="仿宋"/>
                <w:color w:val="auto"/>
                <w:sz w:val="24"/>
                <w:szCs w:val="24"/>
                <w:highlight w:val="none"/>
                <w:vertAlign w:val="baseline"/>
                <w:lang w:eastAsia="zh-CN"/>
              </w:rPr>
            </w:pPr>
          </w:p>
        </w:tc>
      </w:tr>
      <w:tr w14:paraId="6C36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736" w:type="dxa"/>
            <w:vAlign w:val="center"/>
          </w:tcPr>
          <w:p w14:paraId="0E081DA1">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开户银行</w:t>
            </w:r>
          </w:p>
        </w:tc>
        <w:tc>
          <w:tcPr>
            <w:tcW w:w="7946" w:type="dxa"/>
            <w:gridSpan w:val="6"/>
            <w:vAlign w:val="center"/>
          </w:tcPr>
          <w:p w14:paraId="119179EF">
            <w:pPr>
              <w:pStyle w:val="20"/>
              <w:jc w:val="center"/>
              <w:rPr>
                <w:rFonts w:hint="eastAsia" w:ascii="仿宋" w:hAnsi="仿宋" w:eastAsia="仿宋" w:cs="仿宋"/>
                <w:color w:val="auto"/>
                <w:sz w:val="24"/>
                <w:szCs w:val="24"/>
                <w:highlight w:val="none"/>
                <w:vertAlign w:val="baseline"/>
                <w:lang w:eastAsia="zh-CN"/>
              </w:rPr>
            </w:pPr>
          </w:p>
        </w:tc>
      </w:tr>
      <w:tr w14:paraId="33A2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1736" w:type="dxa"/>
            <w:vAlign w:val="center"/>
          </w:tcPr>
          <w:p w14:paraId="6FF6DC56">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银行账号</w:t>
            </w:r>
          </w:p>
        </w:tc>
        <w:tc>
          <w:tcPr>
            <w:tcW w:w="7946" w:type="dxa"/>
            <w:gridSpan w:val="6"/>
            <w:vAlign w:val="center"/>
          </w:tcPr>
          <w:p w14:paraId="16A472FD">
            <w:pPr>
              <w:pStyle w:val="20"/>
              <w:jc w:val="center"/>
              <w:rPr>
                <w:rFonts w:hint="eastAsia" w:ascii="仿宋" w:hAnsi="仿宋" w:eastAsia="仿宋" w:cs="仿宋"/>
                <w:color w:val="auto"/>
                <w:sz w:val="24"/>
                <w:szCs w:val="24"/>
                <w:highlight w:val="none"/>
                <w:vertAlign w:val="baseline"/>
                <w:lang w:eastAsia="zh-CN"/>
              </w:rPr>
            </w:pPr>
          </w:p>
        </w:tc>
      </w:tr>
      <w:tr w14:paraId="41ED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1736" w:type="dxa"/>
            <w:vAlign w:val="center"/>
          </w:tcPr>
          <w:p w14:paraId="78F42C65">
            <w:pPr>
              <w:pStyle w:val="2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经营范围备注</w:t>
            </w:r>
          </w:p>
        </w:tc>
        <w:tc>
          <w:tcPr>
            <w:tcW w:w="7946" w:type="dxa"/>
            <w:gridSpan w:val="6"/>
            <w:vAlign w:val="center"/>
          </w:tcPr>
          <w:p w14:paraId="59632B60">
            <w:pPr>
              <w:pStyle w:val="20"/>
              <w:jc w:val="center"/>
              <w:rPr>
                <w:rFonts w:hint="eastAsia" w:ascii="仿宋" w:hAnsi="仿宋" w:eastAsia="仿宋" w:cs="仿宋"/>
                <w:color w:val="auto"/>
                <w:sz w:val="24"/>
                <w:szCs w:val="24"/>
                <w:highlight w:val="none"/>
                <w:vertAlign w:val="baseline"/>
                <w:lang w:eastAsia="zh-CN"/>
              </w:rPr>
            </w:pPr>
          </w:p>
        </w:tc>
      </w:tr>
    </w:tbl>
    <w:p w14:paraId="49810D59">
      <w:pPr>
        <w:spacing w:line="420" w:lineRule="exact"/>
        <w:ind w:right="561"/>
        <w:rPr>
          <w:rFonts w:hint="eastAsia" w:ascii="仿宋" w:hAnsi="仿宋" w:eastAsia="仿宋" w:cs="仿宋"/>
          <w:color w:val="auto"/>
          <w:sz w:val="24"/>
          <w:szCs w:val="24"/>
          <w:highlight w:val="none"/>
        </w:rPr>
      </w:pPr>
    </w:p>
    <w:p w14:paraId="343BDEFA">
      <w:pPr>
        <w:spacing w:line="420" w:lineRule="exact"/>
        <w:ind w:right="56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名称（加盖公章）：</w:t>
      </w:r>
    </w:p>
    <w:p w14:paraId="1BFF02D3">
      <w:pPr>
        <w:spacing w:line="420" w:lineRule="exact"/>
        <w:ind w:right="56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法定代表人或受委托人（签名或盖私章）：</w:t>
      </w:r>
    </w:p>
    <w:p w14:paraId="181B4ED3">
      <w:pPr>
        <w:spacing w:line="420" w:lineRule="exact"/>
        <w:ind w:right="56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w:t>
      </w:r>
    </w:p>
    <w:p w14:paraId="41617FE9">
      <w:pPr>
        <w:pStyle w:val="3"/>
        <w:jc w:val="center"/>
        <w:rPr>
          <w:rStyle w:val="40"/>
          <w:rFonts w:hint="eastAsia" w:ascii="仿宋" w:hAnsi="仿宋" w:eastAsia="仿宋" w:cs="仿宋"/>
          <w:b/>
          <w:bCs w:val="0"/>
          <w:color w:val="auto"/>
          <w:sz w:val="24"/>
          <w:szCs w:val="24"/>
          <w:highlight w:val="none"/>
          <w:lang w:val="en-US" w:eastAsia="zh-CN"/>
        </w:rPr>
      </w:pPr>
      <w:bookmarkStart w:id="503" w:name="_Toc14849"/>
      <w:r>
        <w:rPr>
          <w:rStyle w:val="40"/>
          <w:rFonts w:hint="eastAsia" w:ascii="仿宋" w:hAnsi="仿宋" w:eastAsia="仿宋" w:cs="仿宋"/>
          <w:b/>
          <w:bCs w:val="0"/>
          <w:color w:val="auto"/>
          <w:sz w:val="24"/>
          <w:szCs w:val="24"/>
          <w:highlight w:val="none"/>
          <w:lang w:val="en-US" w:eastAsia="zh-CN"/>
        </w:rPr>
        <w:t>13、项目人员配置情况表</w:t>
      </w:r>
      <w:bookmarkEnd w:id="503"/>
    </w:p>
    <w:p w14:paraId="10C2E206">
      <w:pPr>
        <w:pStyle w:val="74"/>
        <w:spacing w:line="420" w:lineRule="exact"/>
        <w:ind w:left="638" w:hanging="696" w:hangingChars="2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项目名称：                                项目编号：                 </w:t>
      </w:r>
    </w:p>
    <w:tbl>
      <w:tblPr>
        <w:tblStyle w:val="33"/>
        <w:tblpPr w:leftFromText="180" w:rightFromText="180" w:vertAnchor="text" w:tblpXSpec="center" w:tblpY="1"/>
        <w:tblOverlap w:val="never"/>
        <w:tblW w:w="896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8"/>
        <w:gridCol w:w="1050"/>
        <w:gridCol w:w="1260"/>
        <w:gridCol w:w="1575"/>
        <w:gridCol w:w="1365"/>
        <w:gridCol w:w="1050"/>
        <w:gridCol w:w="1050"/>
        <w:gridCol w:w="876"/>
      </w:tblGrid>
      <w:tr w14:paraId="2D8BFC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8" w:hRule="atLeast"/>
        </w:trPr>
        <w:tc>
          <w:tcPr>
            <w:tcW w:w="738" w:type="dxa"/>
            <w:vMerge w:val="restart"/>
            <w:noWrap w:val="0"/>
            <w:vAlign w:val="center"/>
          </w:tcPr>
          <w:p w14:paraId="3B93B410">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050" w:type="dxa"/>
            <w:vMerge w:val="restart"/>
            <w:noWrap w:val="0"/>
            <w:vAlign w:val="center"/>
          </w:tcPr>
          <w:p w14:paraId="6DF320ED">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姓名</w:t>
            </w:r>
          </w:p>
        </w:tc>
        <w:tc>
          <w:tcPr>
            <w:tcW w:w="1260" w:type="dxa"/>
            <w:vMerge w:val="restart"/>
            <w:noWrap w:val="0"/>
            <w:vAlign w:val="center"/>
          </w:tcPr>
          <w:p w14:paraId="10D984F5">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职务</w:t>
            </w:r>
          </w:p>
        </w:tc>
        <w:tc>
          <w:tcPr>
            <w:tcW w:w="5040" w:type="dxa"/>
            <w:gridSpan w:val="4"/>
            <w:noWrap w:val="0"/>
            <w:vAlign w:val="center"/>
          </w:tcPr>
          <w:p w14:paraId="0DD75C5F">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执业或职业资格证明</w:t>
            </w:r>
          </w:p>
        </w:tc>
        <w:tc>
          <w:tcPr>
            <w:tcW w:w="876" w:type="dxa"/>
            <w:vMerge w:val="restart"/>
            <w:noWrap w:val="0"/>
            <w:vAlign w:val="center"/>
          </w:tcPr>
          <w:p w14:paraId="31C6A284">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经验年限</w:t>
            </w:r>
          </w:p>
        </w:tc>
      </w:tr>
      <w:tr w14:paraId="7DEB6D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4" w:hRule="atLeast"/>
        </w:trPr>
        <w:tc>
          <w:tcPr>
            <w:tcW w:w="738" w:type="dxa"/>
            <w:vMerge w:val="continue"/>
            <w:noWrap w:val="0"/>
            <w:vAlign w:val="center"/>
          </w:tcPr>
          <w:p w14:paraId="1C7D3171">
            <w:pPr>
              <w:jc w:val="center"/>
              <w:rPr>
                <w:rFonts w:hint="eastAsia" w:ascii="仿宋" w:hAnsi="仿宋" w:eastAsia="仿宋" w:cs="仿宋"/>
                <w:b/>
                <w:color w:val="auto"/>
                <w:sz w:val="24"/>
                <w:szCs w:val="24"/>
                <w:highlight w:val="none"/>
              </w:rPr>
            </w:pPr>
          </w:p>
        </w:tc>
        <w:tc>
          <w:tcPr>
            <w:tcW w:w="1050" w:type="dxa"/>
            <w:vMerge w:val="continue"/>
            <w:noWrap w:val="0"/>
            <w:vAlign w:val="center"/>
          </w:tcPr>
          <w:p w14:paraId="42DAA404">
            <w:pPr>
              <w:jc w:val="center"/>
              <w:rPr>
                <w:rFonts w:hint="eastAsia" w:ascii="仿宋" w:hAnsi="仿宋" w:eastAsia="仿宋" w:cs="仿宋"/>
                <w:b/>
                <w:color w:val="auto"/>
                <w:sz w:val="24"/>
                <w:szCs w:val="24"/>
                <w:highlight w:val="none"/>
              </w:rPr>
            </w:pPr>
          </w:p>
        </w:tc>
        <w:tc>
          <w:tcPr>
            <w:tcW w:w="1260" w:type="dxa"/>
            <w:vMerge w:val="continue"/>
            <w:noWrap w:val="0"/>
            <w:vAlign w:val="center"/>
          </w:tcPr>
          <w:p w14:paraId="29298924">
            <w:pPr>
              <w:jc w:val="center"/>
              <w:rPr>
                <w:rFonts w:hint="eastAsia" w:ascii="仿宋" w:hAnsi="仿宋" w:eastAsia="仿宋" w:cs="仿宋"/>
                <w:b/>
                <w:color w:val="auto"/>
                <w:sz w:val="24"/>
                <w:szCs w:val="24"/>
                <w:highlight w:val="none"/>
              </w:rPr>
            </w:pPr>
          </w:p>
        </w:tc>
        <w:tc>
          <w:tcPr>
            <w:tcW w:w="1575" w:type="dxa"/>
            <w:noWrap w:val="0"/>
            <w:vAlign w:val="center"/>
          </w:tcPr>
          <w:p w14:paraId="220ABAD9">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证书名称</w:t>
            </w:r>
          </w:p>
        </w:tc>
        <w:tc>
          <w:tcPr>
            <w:tcW w:w="1365" w:type="dxa"/>
            <w:noWrap w:val="0"/>
            <w:vAlign w:val="center"/>
          </w:tcPr>
          <w:p w14:paraId="07C9FE35">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证号</w:t>
            </w:r>
          </w:p>
        </w:tc>
        <w:tc>
          <w:tcPr>
            <w:tcW w:w="1050" w:type="dxa"/>
            <w:noWrap w:val="0"/>
            <w:vAlign w:val="center"/>
          </w:tcPr>
          <w:p w14:paraId="0D97C051">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级别</w:t>
            </w:r>
          </w:p>
        </w:tc>
        <w:tc>
          <w:tcPr>
            <w:tcW w:w="1050" w:type="dxa"/>
            <w:noWrap w:val="0"/>
            <w:vAlign w:val="center"/>
          </w:tcPr>
          <w:p w14:paraId="74C76ED2">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专业</w:t>
            </w:r>
          </w:p>
        </w:tc>
        <w:tc>
          <w:tcPr>
            <w:tcW w:w="876" w:type="dxa"/>
            <w:vMerge w:val="continue"/>
            <w:noWrap w:val="0"/>
            <w:vAlign w:val="center"/>
          </w:tcPr>
          <w:p w14:paraId="0AFC208C">
            <w:pPr>
              <w:jc w:val="center"/>
              <w:rPr>
                <w:rFonts w:hint="eastAsia" w:ascii="仿宋" w:hAnsi="仿宋" w:eastAsia="仿宋" w:cs="仿宋"/>
                <w:b/>
                <w:color w:val="auto"/>
                <w:sz w:val="24"/>
                <w:szCs w:val="24"/>
                <w:highlight w:val="none"/>
              </w:rPr>
            </w:pPr>
          </w:p>
        </w:tc>
      </w:tr>
      <w:tr w14:paraId="12601A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38" w:type="dxa"/>
            <w:noWrap w:val="0"/>
            <w:vAlign w:val="center"/>
          </w:tcPr>
          <w:p w14:paraId="7289E327">
            <w:pPr>
              <w:jc w:val="center"/>
              <w:rPr>
                <w:rFonts w:hint="eastAsia" w:ascii="仿宋" w:hAnsi="仿宋" w:eastAsia="仿宋" w:cs="仿宋"/>
                <w:color w:val="auto"/>
                <w:sz w:val="24"/>
                <w:szCs w:val="24"/>
                <w:highlight w:val="none"/>
              </w:rPr>
            </w:pPr>
          </w:p>
        </w:tc>
        <w:tc>
          <w:tcPr>
            <w:tcW w:w="1050" w:type="dxa"/>
            <w:noWrap w:val="0"/>
            <w:vAlign w:val="center"/>
          </w:tcPr>
          <w:p w14:paraId="0E81A4AB">
            <w:pPr>
              <w:jc w:val="center"/>
              <w:rPr>
                <w:rFonts w:hint="eastAsia" w:ascii="仿宋" w:hAnsi="仿宋" w:eastAsia="仿宋" w:cs="仿宋"/>
                <w:color w:val="auto"/>
                <w:sz w:val="24"/>
                <w:szCs w:val="24"/>
                <w:highlight w:val="none"/>
              </w:rPr>
            </w:pPr>
          </w:p>
        </w:tc>
        <w:tc>
          <w:tcPr>
            <w:tcW w:w="1260" w:type="dxa"/>
            <w:noWrap w:val="0"/>
            <w:vAlign w:val="center"/>
          </w:tcPr>
          <w:p w14:paraId="43B8EA4E">
            <w:pPr>
              <w:jc w:val="center"/>
              <w:rPr>
                <w:rFonts w:hint="eastAsia" w:ascii="仿宋" w:hAnsi="仿宋" w:eastAsia="仿宋" w:cs="仿宋"/>
                <w:color w:val="auto"/>
                <w:sz w:val="24"/>
                <w:szCs w:val="24"/>
                <w:highlight w:val="none"/>
              </w:rPr>
            </w:pPr>
          </w:p>
        </w:tc>
        <w:tc>
          <w:tcPr>
            <w:tcW w:w="1575" w:type="dxa"/>
            <w:noWrap w:val="0"/>
            <w:vAlign w:val="center"/>
          </w:tcPr>
          <w:p w14:paraId="42F58922">
            <w:pPr>
              <w:jc w:val="center"/>
              <w:rPr>
                <w:rFonts w:hint="eastAsia" w:ascii="仿宋" w:hAnsi="仿宋" w:eastAsia="仿宋" w:cs="仿宋"/>
                <w:color w:val="auto"/>
                <w:sz w:val="24"/>
                <w:szCs w:val="24"/>
                <w:highlight w:val="none"/>
              </w:rPr>
            </w:pPr>
          </w:p>
        </w:tc>
        <w:tc>
          <w:tcPr>
            <w:tcW w:w="1365" w:type="dxa"/>
            <w:noWrap w:val="0"/>
            <w:vAlign w:val="top"/>
          </w:tcPr>
          <w:p w14:paraId="50027A41">
            <w:pPr>
              <w:jc w:val="center"/>
              <w:rPr>
                <w:rFonts w:hint="eastAsia" w:ascii="仿宋" w:hAnsi="仿宋" w:eastAsia="仿宋" w:cs="仿宋"/>
                <w:color w:val="auto"/>
                <w:sz w:val="24"/>
                <w:szCs w:val="24"/>
                <w:highlight w:val="none"/>
              </w:rPr>
            </w:pPr>
          </w:p>
        </w:tc>
        <w:tc>
          <w:tcPr>
            <w:tcW w:w="1050" w:type="dxa"/>
            <w:noWrap w:val="0"/>
            <w:vAlign w:val="center"/>
          </w:tcPr>
          <w:p w14:paraId="3309AB15">
            <w:pPr>
              <w:jc w:val="center"/>
              <w:rPr>
                <w:rFonts w:hint="eastAsia" w:ascii="仿宋" w:hAnsi="仿宋" w:eastAsia="仿宋" w:cs="仿宋"/>
                <w:color w:val="auto"/>
                <w:sz w:val="24"/>
                <w:szCs w:val="24"/>
                <w:highlight w:val="none"/>
              </w:rPr>
            </w:pPr>
          </w:p>
        </w:tc>
        <w:tc>
          <w:tcPr>
            <w:tcW w:w="1050" w:type="dxa"/>
            <w:noWrap w:val="0"/>
            <w:vAlign w:val="center"/>
          </w:tcPr>
          <w:p w14:paraId="2086E430">
            <w:pPr>
              <w:jc w:val="center"/>
              <w:rPr>
                <w:rFonts w:hint="eastAsia" w:ascii="仿宋" w:hAnsi="仿宋" w:eastAsia="仿宋" w:cs="仿宋"/>
                <w:color w:val="auto"/>
                <w:sz w:val="24"/>
                <w:szCs w:val="24"/>
                <w:highlight w:val="none"/>
              </w:rPr>
            </w:pPr>
          </w:p>
        </w:tc>
        <w:tc>
          <w:tcPr>
            <w:tcW w:w="876" w:type="dxa"/>
            <w:noWrap w:val="0"/>
            <w:vAlign w:val="top"/>
          </w:tcPr>
          <w:p w14:paraId="1E91681C">
            <w:pPr>
              <w:jc w:val="center"/>
              <w:rPr>
                <w:rFonts w:hint="eastAsia" w:ascii="仿宋" w:hAnsi="仿宋" w:eastAsia="仿宋" w:cs="仿宋"/>
                <w:color w:val="auto"/>
                <w:sz w:val="24"/>
                <w:szCs w:val="24"/>
                <w:highlight w:val="none"/>
              </w:rPr>
            </w:pPr>
          </w:p>
        </w:tc>
      </w:tr>
      <w:tr w14:paraId="58EF4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38" w:type="dxa"/>
            <w:noWrap w:val="0"/>
            <w:vAlign w:val="center"/>
          </w:tcPr>
          <w:p w14:paraId="44331758">
            <w:pPr>
              <w:jc w:val="center"/>
              <w:rPr>
                <w:rFonts w:hint="eastAsia" w:ascii="仿宋" w:hAnsi="仿宋" w:eastAsia="仿宋" w:cs="仿宋"/>
                <w:color w:val="auto"/>
                <w:sz w:val="24"/>
                <w:szCs w:val="24"/>
                <w:highlight w:val="none"/>
              </w:rPr>
            </w:pPr>
          </w:p>
        </w:tc>
        <w:tc>
          <w:tcPr>
            <w:tcW w:w="1050" w:type="dxa"/>
            <w:noWrap w:val="0"/>
            <w:vAlign w:val="center"/>
          </w:tcPr>
          <w:p w14:paraId="23B9F836">
            <w:pPr>
              <w:jc w:val="center"/>
              <w:rPr>
                <w:rFonts w:hint="eastAsia" w:ascii="仿宋" w:hAnsi="仿宋" w:eastAsia="仿宋" w:cs="仿宋"/>
                <w:color w:val="auto"/>
                <w:sz w:val="24"/>
                <w:szCs w:val="24"/>
                <w:highlight w:val="none"/>
              </w:rPr>
            </w:pPr>
          </w:p>
        </w:tc>
        <w:tc>
          <w:tcPr>
            <w:tcW w:w="1260" w:type="dxa"/>
            <w:noWrap w:val="0"/>
            <w:vAlign w:val="center"/>
          </w:tcPr>
          <w:p w14:paraId="496816F7">
            <w:pPr>
              <w:jc w:val="center"/>
              <w:rPr>
                <w:rFonts w:hint="eastAsia" w:ascii="仿宋" w:hAnsi="仿宋" w:eastAsia="仿宋" w:cs="仿宋"/>
                <w:color w:val="auto"/>
                <w:sz w:val="24"/>
                <w:szCs w:val="24"/>
                <w:highlight w:val="none"/>
              </w:rPr>
            </w:pPr>
          </w:p>
        </w:tc>
        <w:tc>
          <w:tcPr>
            <w:tcW w:w="1575" w:type="dxa"/>
            <w:noWrap w:val="0"/>
            <w:vAlign w:val="center"/>
          </w:tcPr>
          <w:p w14:paraId="328D63DF">
            <w:pPr>
              <w:jc w:val="center"/>
              <w:rPr>
                <w:rFonts w:hint="eastAsia" w:ascii="仿宋" w:hAnsi="仿宋" w:eastAsia="仿宋" w:cs="仿宋"/>
                <w:color w:val="auto"/>
                <w:sz w:val="24"/>
                <w:szCs w:val="24"/>
                <w:highlight w:val="none"/>
              </w:rPr>
            </w:pPr>
          </w:p>
        </w:tc>
        <w:tc>
          <w:tcPr>
            <w:tcW w:w="1365" w:type="dxa"/>
            <w:noWrap w:val="0"/>
            <w:vAlign w:val="top"/>
          </w:tcPr>
          <w:p w14:paraId="4DC7DEC8">
            <w:pPr>
              <w:jc w:val="center"/>
              <w:rPr>
                <w:rFonts w:hint="eastAsia" w:ascii="仿宋" w:hAnsi="仿宋" w:eastAsia="仿宋" w:cs="仿宋"/>
                <w:color w:val="auto"/>
                <w:sz w:val="24"/>
                <w:szCs w:val="24"/>
                <w:highlight w:val="none"/>
              </w:rPr>
            </w:pPr>
          </w:p>
        </w:tc>
        <w:tc>
          <w:tcPr>
            <w:tcW w:w="1050" w:type="dxa"/>
            <w:noWrap w:val="0"/>
            <w:vAlign w:val="center"/>
          </w:tcPr>
          <w:p w14:paraId="5D5D70C6">
            <w:pPr>
              <w:jc w:val="center"/>
              <w:rPr>
                <w:rFonts w:hint="eastAsia" w:ascii="仿宋" w:hAnsi="仿宋" w:eastAsia="仿宋" w:cs="仿宋"/>
                <w:color w:val="auto"/>
                <w:sz w:val="24"/>
                <w:szCs w:val="24"/>
                <w:highlight w:val="none"/>
              </w:rPr>
            </w:pPr>
          </w:p>
        </w:tc>
        <w:tc>
          <w:tcPr>
            <w:tcW w:w="1050" w:type="dxa"/>
            <w:noWrap w:val="0"/>
            <w:vAlign w:val="center"/>
          </w:tcPr>
          <w:p w14:paraId="3A7CB879">
            <w:pPr>
              <w:jc w:val="center"/>
              <w:rPr>
                <w:rFonts w:hint="eastAsia" w:ascii="仿宋" w:hAnsi="仿宋" w:eastAsia="仿宋" w:cs="仿宋"/>
                <w:color w:val="auto"/>
                <w:sz w:val="24"/>
                <w:szCs w:val="24"/>
                <w:highlight w:val="none"/>
              </w:rPr>
            </w:pPr>
          </w:p>
        </w:tc>
        <w:tc>
          <w:tcPr>
            <w:tcW w:w="876" w:type="dxa"/>
            <w:noWrap w:val="0"/>
            <w:vAlign w:val="top"/>
          </w:tcPr>
          <w:p w14:paraId="12C79D91">
            <w:pPr>
              <w:jc w:val="center"/>
              <w:rPr>
                <w:rFonts w:hint="eastAsia" w:ascii="仿宋" w:hAnsi="仿宋" w:eastAsia="仿宋" w:cs="仿宋"/>
                <w:color w:val="auto"/>
                <w:sz w:val="24"/>
                <w:szCs w:val="24"/>
                <w:highlight w:val="none"/>
              </w:rPr>
            </w:pPr>
          </w:p>
        </w:tc>
      </w:tr>
      <w:tr w14:paraId="534DDB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38" w:type="dxa"/>
            <w:noWrap w:val="0"/>
            <w:vAlign w:val="center"/>
          </w:tcPr>
          <w:p w14:paraId="5D08A200">
            <w:pPr>
              <w:jc w:val="center"/>
              <w:rPr>
                <w:rFonts w:hint="eastAsia" w:ascii="仿宋" w:hAnsi="仿宋" w:eastAsia="仿宋" w:cs="仿宋"/>
                <w:color w:val="auto"/>
                <w:sz w:val="24"/>
                <w:szCs w:val="24"/>
                <w:highlight w:val="none"/>
              </w:rPr>
            </w:pPr>
          </w:p>
        </w:tc>
        <w:tc>
          <w:tcPr>
            <w:tcW w:w="1050" w:type="dxa"/>
            <w:noWrap w:val="0"/>
            <w:vAlign w:val="center"/>
          </w:tcPr>
          <w:p w14:paraId="0A7CA1B5">
            <w:pPr>
              <w:jc w:val="center"/>
              <w:rPr>
                <w:rFonts w:hint="eastAsia" w:ascii="仿宋" w:hAnsi="仿宋" w:eastAsia="仿宋" w:cs="仿宋"/>
                <w:color w:val="auto"/>
                <w:sz w:val="24"/>
                <w:szCs w:val="24"/>
                <w:highlight w:val="none"/>
              </w:rPr>
            </w:pPr>
          </w:p>
        </w:tc>
        <w:tc>
          <w:tcPr>
            <w:tcW w:w="1260" w:type="dxa"/>
            <w:noWrap w:val="0"/>
            <w:vAlign w:val="center"/>
          </w:tcPr>
          <w:p w14:paraId="7195A6B9">
            <w:pPr>
              <w:jc w:val="center"/>
              <w:rPr>
                <w:rFonts w:hint="eastAsia" w:ascii="仿宋" w:hAnsi="仿宋" w:eastAsia="仿宋" w:cs="仿宋"/>
                <w:color w:val="auto"/>
                <w:sz w:val="24"/>
                <w:szCs w:val="24"/>
                <w:highlight w:val="none"/>
              </w:rPr>
            </w:pPr>
          </w:p>
        </w:tc>
        <w:tc>
          <w:tcPr>
            <w:tcW w:w="1575" w:type="dxa"/>
            <w:noWrap w:val="0"/>
            <w:vAlign w:val="center"/>
          </w:tcPr>
          <w:p w14:paraId="03086D4F">
            <w:pPr>
              <w:jc w:val="center"/>
              <w:rPr>
                <w:rFonts w:hint="eastAsia" w:ascii="仿宋" w:hAnsi="仿宋" w:eastAsia="仿宋" w:cs="仿宋"/>
                <w:color w:val="auto"/>
                <w:sz w:val="24"/>
                <w:szCs w:val="24"/>
                <w:highlight w:val="none"/>
              </w:rPr>
            </w:pPr>
          </w:p>
        </w:tc>
        <w:tc>
          <w:tcPr>
            <w:tcW w:w="1365" w:type="dxa"/>
            <w:noWrap w:val="0"/>
            <w:vAlign w:val="top"/>
          </w:tcPr>
          <w:p w14:paraId="0FDBD354">
            <w:pPr>
              <w:jc w:val="center"/>
              <w:rPr>
                <w:rFonts w:hint="eastAsia" w:ascii="仿宋" w:hAnsi="仿宋" w:eastAsia="仿宋" w:cs="仿宋"/>
                <w:color w:val="auto"/>
                <w:sz w:val="24"/>
                <w:szCs w:val="24"/>
                <w:highlight w:val="none"/>
              </w:rPr>
            </w:pPr>
          </w:p>
        </w:tc>
        <w:tc>
          <w:tcPr>
            <w:tcW w:w="1050" w:type="dxa"/>
            <w:noWrap w:val="0"/>
            <w:vAlign w:val="center"/>
          </w:tcPr>
          <w:p w14:paraId="4120E187">
            <w:pPr>
              <w:jc w:val="center"/>
              <w:rPr>
                <w:rFonts w:hint="eastAsia" w:ascii="仿宋" w:hAnsi="仿宋" w:eastAsia="仿宋" w:cs="仿宋"/>
                <w:color w:val="auto"/>
                <w:sz w:val="24"/>
                <w:szCs w:val="24"/>
                <w:highlight w:val="none"/>
              </w:rPr>
            </w:pPr>
          </w:p>
        </w:tc>
        <w:tc>
          <w:tcPr>
            <w:tcW w:w="1050" w:type="dxa"/>
            <w:noWrap w:val="0"/>
            <w:vAlign w:val="center"/>
          </w:tcPr>
          <w:p w14:paraId="662D68B0">
            <w:pPr>
              <w:jc w:val="center"/>
              <w:rPr>
                <w:rFonts w:hint="eastAsia" w:ascii="仿宋" w:hAnsi="仿宋" w:eastAsia="仿宋" w:cs="仿宋"/>
                <w:color w:val="auto"/>
                <w:sz w:val="24"/>
                <w:szCs w:val="24"/>
                <w:highlight w:val="none"/>
              </w:rPr>
            </w:pPr>
          </w:p>
        </w:tc>
        <w:tc>
          <w:tcPr>
            <w:tcW w:w="876" w:type="dxa"/>
            <w:noWrap w:val="0"/>
            <w:vAlign w:val="top"/>
          </w:tcPr>
          <w:p w14:paraId="75F8D29A">
            <w:pPr>
              <w:jc w:val="center"/>
              <w:rPr>
                <w:rFonts w:hint="eastAsia" w:ascii="仿宋" w:hAnsi="仿宋" w:eastAsia="仿宋" w:cs="仿宋"/>
                <w:color w:val="auto"/>
                <w:sz w:val="24"/>
                <w:szCs w:val="24"/>
                <w:highlight w:val="none"/>
              </w:rPr>
            </w:pPr>
          </w:p>
        </w:tc>
      </w:tr>
      <w:tr w14:paraId="00E0C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38" w:type="dxa"/>
            <w:noWrap w:val="0"/>
            <w:vAlign w:val="center"/>
          </w:tcPr>
          <w:p w14:paraId="59C16DA7">
            <w:pPr>
              <w:jc w:val="center"/>
              <w:rPr>
                <w:rFonts w:hint="eastAsia" w:ascii="仿宋" w:hAnsi="仿宋" w:eastAsia="仿宋" w:cs="仿宋"/>
                <w:color w:val="auto"/>
                <w:sz w:val="24"/>
                <w:szCs w:val="24"/>
                <w:highlight w:val="none"/>
              </w:rPr>
            </w:pPr>
          </w:p>
        </w:tc>
        <w:tc>
          <w:tcPr>
            <w:tcW w:w="1050" w:type="dxa"/>
            <w:noWrap w:val="0"/>
            <w:vAlign w:val="center"/>
          </w:tcPr>
          <w:p w14:paraId="6E714C76">
            <w:pPr>
              <w:jc w:val="center"/>
              <w:rPr>
                <w:rFonts w:hint="eastAsia" w:ascii="仿宋" w:hAnsi="仿宋" w:eastAsia="仿宋" w:cs="仿宋"/>
                <w:color w:val="auto"/>
                <w:sz w:val="24"/>
                <w:szCs w:val="24"/>
                <w:highlight w:val="none"/>
              </w:rPr>
            </w:pPr>
          </w:p>
        </w:tc>
        <w:tc>
          <w:tcPr>
            <w:tcW w:w="1260" w:type="dxa"/>
            <w:noWrap w:val="0"/>
            <w:vAlign w:val="center"/>
          </w:tcPr>
          <w:p w14:paraId="11ABB164">
            <w:pPr>
              <w:jc w:val="center"/>
              <w:rPr>
                <w:rFonts w:hint="eastAsia" w:ascii="仿宋" w:hAnsi="仿宋" w:eastAsia="仿宋" w:cs="仿宋"/>
                <w:color w:val="auto"/>
                <w:sz w:val="24"/>
                <w:szCs w:val="24"/>
                <w:highlight w:val="none"/>
              </w:rPr>
            </w:pPr>
          </w:p>
        </w:tc>
        <w:tc>
          <w:tcPr>
            <w:tcW w:w="1575" w:type="dxa"/>
            <w:noWrap w:val="0"/>
            <w:vAlign w:val="center"/>
          </w:tcPr>
          <w:p w14:paraId="72C17E8B">
            <w:pPr>
              <w:jc w:val="center"/>
              <w:rPr>
                <w:rFonts w:hint="eastAsia" w:ascii="仿宋" w:hAnsi="仿宋" w:eastAsia="仿宋" w:cs="仿宋"/>
                <w:color w:val="auto"/>
                <w:sz w:val="24"/>
                <w:szCs w:val="24"/>
                <w:highlight w:val="none"/>
              </w:rPr>
            </w:pPr>
          </w:p>
        </w:tc>
        <w:tc>
          <w:tcPr>
            <w:tcW w:w="1365" w:type="dxa"/>
            <w:noWrap w:val="0"/>
            <w:vAlign w:val="top"/>
          </w:tcPr>
          <w:p w14:paraId="338962C2">
            <w:pPr>
              <w:jc w:val="center"/>
              <w:rPr>
                <w:rFonts w:hint="eastAsia" w:ascii="仿宋" w:hAnsi="仿宋" w:eastAsia="仿宋" w:cs="仿宋"/>
                <w:color w:val="auto"/>
                <w:sz w:val="24"/>
                <w:szCs w:val="24"/>
                <w:highlight w:val="none"/>
              </w:rPr>
            </w:pPr>
          </w:p>
        </w:tc>
        <w:tc>
          <w:tcPr>
            <w:tcW w:w="1050" w:type="dxa"/>
            <w:noWrap w:val="0"/>
            <w:vAlign w:val="center"/>
          </w:tcPr>
          <w:p w14:paraId="2489A7DF">
            <w:pPr>
              <w:jc w:val="center"/>
              <w:rPr>
                <w:rFonts w:hint="eastAsia" w:ascii="仿宋" w:hAnsi="仿宋" w:eastAsia="仿宋" w:cs="仿宋"/>
                <w:color w:val="auto"/>
                <w:sz w:val="24"/>
                <w:szCs w:val="24"/>
                <w:highlight w:val="none"/>
              </w:rPr>
            </w:pPr>
          </w:p>
        </w:tc>
        <w:tc>
          <w:tcPr>
            <w:tcW w:w="1050" w:type="dxa"/>
            <w:noWrap w:val="0"/>
            <w:vAlign w:val="center"/>
          </w:tcPr>
          <w:p w14:paraId="372D0BA4">
            <w:pPr>
              <w:jc w:val="center"/>
              <w:rPr>
                <w:rFonts w:hint="eastAsia" w:ascii="仿宋" w:hAnsi="仿宋" w:eastAsia="仿宋" w:cs="仿宋"/>
                <w:color w:val="auto"/>
                <w:sz w:val="24"/>
                <w:szCs w:val="24"/>
                <w:highlight w:val="none"/>
              </w:rPr>
            </w:pPr>
          </w:p>
        </w:tc>
        <w:tc>
          <w:tcPr>
            <w:tcW w:w="876" w:type="dxa"/>
            <w:noWrap w:val="0"/>
            <w:vAlign w:val="top"/>
          </w:tcPr>
          <w:p w14:paraId="5407E578">
            <w:pPr>
              <w:jc w:val="center"/>
              <w:rPr>
                <w:rFonts w:hint="eastAsia" w:ascii="仿宋" w:hAnsi="仿宋" w:eastAsia="仿宋" w:cs="仿宋"/>
                <w:color w:val="auto"/>
                <w:sz w:val="24"/>
                <w:szCs w:val="24"/>
                <w:highlight w:val="none"/>
              </w:rPr>
            </w:pPr>
          </w:p>
        </w:tc>
      </w:tr>
      <w:tr w14:paraId="724BCE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38" w:type="dxa"/>
            <w:noWrap w:val="0"/>
            <w:vAlign w:val="center"/>
          </w:tcPr>
          <w:p w14:paraId="40BE5B58">
            <w:pPr>
              <w:jc w:val="center"/>
              <w:rPr>
                <w:rFonts w:hint="eastAsia" w:ascii="仿宋" w:hAnsi="仿宋" w:eastAsia="仿宋" w:cs="仿宋"/>
                <w:color w:val="auto"/>
                <w:sz w:val="24"/>
                <w:szCs w:val="24"/>
                <w:highlight w:val="none"/>
              </w:rPr>
            </w:pPr>
          </w:p>
        </w:tc>
        <w:tc>
          <w:tcPr>
            <w:tcW w:w="1050" w:type="dxa"/>
            <w:noWrap w:val="0"/>
            <w:vAlign w:val="center"/>
          </w:tcPr>
          <w:p w14:paraId="1F8023FE">
            <w:pPr>
              <w:jc w:val="center"/>
              <w:rPr>
                <w:rFonts w:hint="eastAsia" w:ascii="仿宋" w:hAnsi="仿宋" w:eastAsia="仿宋" w:cs="仿宋"/>
                <w:color w:val="auto"/>
                <w:sz w:val="24"/>
                <w:szCs w:val="24"/>
                <w:highlight w:val="none"/>
              </w:rPr>
            </w:pPr>
          </w:p>
        </w:tc>
        <w:tc>
          <w:tcPr>
            <w:tcW w:w="1260" w:type="dxa"/>
            <w:noWrap w:val="0"/>
            <w:vAlign w:val="center"/>
          </w:tcPr>
          <w:p w14:paraId="294DB446">
            <w:pPr>
              <w:jc w:val="center"/>
              <w:rPr>
                <w:rFonts w:hint="eastAsia" w:ascii="仿宋" w:hAnsi="仿宋" w:eastAsia="仿宋" w:cs="仿宋"/>
                <w:color w:val="auto"/>
                <w:sz w:val="24"/>
                <w:szCs w:val="24"/>
                <w:highlight w:val="none"/>
              </w:rPr>
            </w:pPr>
          </w:p>
        </w:tc>
        <w:tc>
          <w:tcPr>
            <w:tcW w:w="1575" w:type="dxa"/>
            <w:noWrap w:val="0"/>
            <w:vAlign w:val="center"/>
          </w:tcPr>
          <w:p w14:paraId="69D219DE">
            <w:pPr>
              <w:jc w:val="center"/>
              <w:rPr>
                <w:rFonts w:hint="eastAsia" w:ascii="仿宋" w:hAnsi="仿宋" w:eastAsia="仿宋" w:cs="仿宋"/>
                <w:color w:val="auto"/>
                <w:sz w:val="24"/>
                <w:szCs w:val="24"/>
                <w:highlight w:val="none"/>
              </w:rPr>
            </w:pPr>
          </w:p>
        </w:tc>
        <w:tc>
          <w:tcPr>
            <w:tcW w:w="1365" w:type="dxa"/>
            <w:noWrap w:val="0"/>
            <w:vAlign w:val="top"/>
          </w:tcPr>
          <w:p w14:paraId="61BABDD8">
            <w:pPr>
              <w:jc w:val="center"/>
              <w:rPr>
                <w:rFonts w:hint="eastAsia" w:ascii="仿宋" w:hAnsi="仿宋" w:eastAsia="仿宋" w:cs="仿宋"/>
                <w:color w:val="auto"/>
                <w:sz w:val="24"/>
                <w:szCs w:val="24"/>
                <w:highlight w:val="none"/>
              </w:rPr>
            </w:pPr>
          </w:p>
        </w:tc>
        <w:tc>
          <w:tcPr>
            <w:tcW w:w="1050" w:type="dxa"/>
            <w:noWrap w:val="0"/>
            <w:vAlign w:val="center"/>
          </w:tcPr>
          <w:p w14:paraId="54372553">
            <w:pPr>
              <w:jc w:val="center"/>
              <w:rPr>
                <w:rFonts w:hint="eastAsia" w:ascii="仿宋" w:hAnsi="仿宋" w:eastAsia="仿宋" w:cs="仿宋"/>
                <w:color w:val="auto"/>
                <w:sz w:val="24"/>
                <w:szCs w:val="24"/>
                <w:highlight w:val="none"/>
              </w:rPr>
            </w:pPr>
          </w:p>
        </w:tc>
        <w:tc>
          <w:tcPr>
            <w:tcW w:w="1050" w:type="dxa"/>
            <w:noWrap w:val="0"/>
            <w:vAlign w:val="center"/>
          </w:tcPr>
          <w:p w14:paraId="5B588A3A">
            <w:pPr>
              <w:jc w:val="center"/>
              <w:rPr>
                <w:rFonts w:hint="eastAsia" w:ascii="仿宋" w:hAnsi="仿宋" w:eastAsia="仿宋" w:cs="仿宋"/>
                <w:color w:val="auto"/>
                <w:sz w:val="24"/>
                <w:szCs w:val="24"/>
                <w:highlight w:val="none"/>
              </w:rPr>
            </w:pPr>
          </w:p>
        </w:tc>
        <w:tc>
          <w:tcPr>
            <w:tcW w:w="876" w:type="dxa"/>
            <w:noWrap w:val="0"/>
            <w:vAlign w:val="top"/>
          </w:tcPr>
          <w:p w14:paraId="704ECD15">
            <w:pPr>
              <w:jc w:val="center"/>
              <w:rPr>
                <w:rFonts w:hint="eastAsia" w:ascii="仿宋" w:hAnsi="仿宋" w:eastAsia="仿宋" w:cs="仿宋"/>
                <w:color w:val="auto"/>
                <w:sz w:val="24"/>
                <w:szCs w:val="24"/>
                <w:highlight w:val="none"/>
              </w:rPr>
            </w:pPr>
          </w:p>
        </w:tc>
      </w:tr>
      <w:tr w14:paraId="5F4DE8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0" w:hRule="atLeast"/>
        </w:trPr>
        <w:tc>
          <w:tcPr>
            <w:tcW w:w="738" w:type="dxa"/>
            <w:noWrap w:val="0"/>
            <w:vAlign w:val="center"/>
          </w:tcPr>
          <w:p w14:paraId="1AD59759">
            <w:pPr>
              <w:jc w:val="center"/>
              <w:rPr>
                <w:rFonts w:hint="eastAsia" w:ascii="仿宋" w:hAnsi="仿宋" w:eastAsia="仿宋" w:cs="仿宋"/>
                <w:color w:val="auto"/>
                <w:sz w:val="24"/>
                <w:szCs w:val="24"/>
                <w:highlight w:val="none"/>
              </w:rPr>
            </w:pPr>
          </w:p>
        </w:tc>
        <w:tc>
          <w:tcPr>
            <w:tcW w:w="1050" w:type="dxa"/>
            <w:noWrap w:val="0"/>
            <w:vAlign w:val="center"/>
          </w:tcPr>
          <w:p w14:paraId="42269E41">
            <w:pPr>
              <w:jc w:val="center"/>
              <w:rPr>
                <w:rFonts w:hint="eastAsia" w:ascii="仿宋" w:hAnsi="仿宋" w:eastAsia="仿宋" w:cs="仿宋"/>
                <w:color w:val="auto"/>
                <w:sz w:val="24"/>
                <w:szCs w:val="24"/>
                <w:highlight w:val="none"/>
              </w:rPr>
            </w:pPr>
          </w:p>
        </w:tc>
        <w:tc>
          <w:tcPr>
            <w:tcW w:w="1260" w:type="dxa"/>
            <w:noWrap w:val="0"/>
            <w:vAlign w:val="center"/>
          </w:tcPr>
          <w:p w14:paraId="4ED87538">
            <w:pPr>
              <w:jc w:val="center"/>
              <w:rPr>
                <w:rFonts w:hint="eastAsia" w:ascii="仿宋" w:hAnsi="仿宋" w:eastAsia="仿宋" w:cs="仿宋"/>
                <w:color w:val="auto"/>
                <w:sz w:val="24"/>
                <w:szCs w:val="24"/>
                <w:highlight w:val="none"/>
              </w:rPr>
            </w:pPr>
          </w:p>
        </w:tc>
        <w:tc>
          <w:tcPr>
            <w:tcW w:w="1575" w:type="dxa"/>
            <w:noWrap w:val="0"/>
            <w:vAlign w:val="center"/>
          </w:tcPr>
          <w:p w14:paraId="33D3ED56">
            <w:pPr>
              <w:jc w:val="center"/>
              <w:rPr>
                <w:rFonts w:hint="eastAsia" w:ascii="仿宋" w:hAnsi="仿宋" w:eastAsia="仿宋" w:cs="仿宋"/>
                <w:color w:val="auto"/>
                <w:sz w:val="24"/>
                <w:szCs w:val="24"/>
                <w:highlight w:val="none"/>
              </w:rPr>
            </w:pPr>
          </w:p>
        </w:tc>
        <w:tc>
          <w:tcPr>
            <w:tcW w:w="1365" w:type="dxa"/>
            <w:noWrap w:val="0"/>
            <w:vAlign w:val="top"/>
          </w:tcPr>
          <w:p w14:paraId="4F689CDB">
            <w:pPr>
              <w:jc w:val="center"/>
              <w:rPr>
                <w:rFonts w:hint="eastAsia" w:ascii="仿宋" w:hAnsi="仿宋" w:eastAsia="仿宋" w:cs="仿宋"/>
                <w:color w:val="auto"/>
                <w:sz w:val="24"/>
                <w:szCs w:val="24"/>
                <w:highlight w:val="none"/>
              </w:rPr>
            </w:pPr>
          </w:p>
        </w:tc>
        <w:tc>
          <w:tcPr>
            <w:tcW w:w="1050" w:type="dxa"/>
            <w:noWrap w:val="0"/>
            <w:vAlign w:val="center"/>
          </w:tcPr>
          <w:p w14:paraId="4AE8F1F9">
            <w:pPr>
              <w:jc w:val="center"/>
              <w:rPr>
                <w:rFonts w:hint="eastAsia" w:ascii="仿宋" w:hAnsi="仿宋" w:eastAsia="仿宋" w:cs="仿宋"/>
                <w:color w:val="auto"/>
                <w:sz w:val="24"/>
                <w:szCs w:val="24"/>
                <w:highlight w:val="none"/>
              </w:rPr>
            </w:pPr>
          </w:p>
        </w:tc>
        <w:tc>
          <w:tcPr>
            <w:tcW w:w="1050" w:type="dxa"/>
            <w:noWrap w:val="0"/>
            <w:vAlign w:val="center"/>
          </w:tcPr>
          <w:p w14:paraId="110175E7">
            <w:pPr>
              <w:jc w:val="center"/>
              <w:rPr>
                <w:rFonts w:hint="eastAsia" w:ascii="仿宋" w:hAnsi="仿宋" w:eastAsia="仿宋" w:cs="仿宋"/>
                <w:color w:val="auto"/>
                <w:sz w:val="24"/>
                <w:szCs w:val="24"/>
                <w:highlight w:val="none"/>
              </w:rPr>
            </w:pPr>
          </w:p>
        </w:tc>
        <w:tc>
          <w:tcPr>
            <w:tcW w:w="876" w:type="dxa"/>
            <w:noWrap w:val="0"/>
            <w:vAlign w:val="top"/>
          </w:tcPr>
          <w:p w14:paraId="4638B42C">
            <w:pPr>
              <w:jc w:val="center"/>
              <w:rPr>
                <w:rFonts w:hint="eastAsia" w:ascii="仿宋" w:hAnsi="仿宋" w:eastAsia="仿宋" w:cs="仿宋"/>
                <w:color w:val="auto"/>
                <w:sz w:val="24"/>
                <w:szCs w:val="24"/>
                <w:highlight w:val="none"/>
              </w:rPr>
            </w:pPr>
          </w:p>
        </w:tc>
      </w:tr>
    </w:tbl>
    <w:p w14:paraId="22A3D8D2">
      <w:pPr>
        <w:numPr>
          <w:ilvl w:val="0"/>
          <w:numId w:val="61"/>
        </w:num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主要人员简历表</w:t>
      </w:r>
    </w:p>
    <w:p w14:paraId="22C4CAE4">
      <w:pPr>
        <w:pStyle w:val="20"/>
        <w:rPr>
          <w:rFonts w:hint="eastAsia" w:ascii="仿宋" w:hAnsi="仿宋" w:eastAsia="仿宋" w:cs="仿宋"/>
          <w:color w:val="auto"/>
          <w:sz w:val="24"/>
          <w:szCs w:val="24"/>
          <w:highlight w:val="none"/>
        </w:rPr>
      </w:pPr>
    </w:p>
    <w:p w14:paraId="45C8E8BC">
      <w:pPr>
        <w:numPr>
          <w:ilvl w:val="0"/>
          <w:numId w:val="0"/>
        </w:numPr>
        <w:jc w:val="both"/>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项目名称：                                项目编号：</w:t>
      </w:r>
    </w:p>
    <w:tbl>
      <w:tblPr>
        <w:tblStyle w:val="33"/>
        <w:tblpPr w:leftFromText="180" w:rightFromText="180" w:vertAnchor="text" w:horzAnchor="page" w:tblpX="1572" w:tblpY="412"/>
        <w:tblOverlap w:val="never"/>
        <w:tblW w:w="90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425"/>
        <w:gridCol w:w="1354"/>
        <w:gridCol w:w="846"/>
        <w:gridCol w:w="1029"/>
        <w:gridCol w:w="535"/>
        <w:gridCol w:w="15"/>
        <w:gridCol w:w="1463"/>
        <w:gridCol w:w="96"/>
        <w:gridCol w:w="1060"/>
        <w:gridCol w:w="1158"/>
      </w:tblGrid>
      <w:tr w14:paraId="68B6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053" w:type="dxa"/>
            <w:tcBorders>
              <w:top w:val="single" w:color="auto" w:sz="12" w:space="0"/>
              <w:left w:val="single" w:color="auto" w:sz="12" w:space="0"/>
              <w:bottom w:val="single" w:color="auto" w:sz="6" w:space="0"/>
              <w:right w:val="single" w:color="auto" w:sz="6" w:space="0"/>
            </w:tcBorders>
            <w:noWrap w:val="0"/>
            <w:vAlign w:val="center"/>
          </w:tcPr>
          <w:p w14:paraId="00BA158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姓名</w:t>
            </w:r>
          </w:p>
        </w:tc>
        <w:tc>
          <w:tcPr>
            <w:tcW w:w="2625" w:type="dxa"/>
            <w:gridSpan w:val="3"/>
            <w:tcBorders>
              <w:top w:val="single" w:color="auto" w:sz="12" w:space="0"/>
              <w:left w:val="single" w:color="auto" w:sz="6" w:space="0"/>
              <w:bottom w:val="single" w:color="auto" w:sz="6" w:space="0"/>
              <w:right w:val="single" w:color="auto" w:sz="6" w:space="0"/>
            </w:tcBorders>
            <w:noWrap w:val="0"/>
            <w:vAlign w:val="center"/>
          </w:tcPr>
          <w:p w14:paraId="1FCE4045">
            <w:pPr>
              <w:jc w:val="center"/>
              <w:rPr>
                <w:rFonts w:hint="eastAsia" w:ascii="仿宋" w:hAnsi="仿宋" w:eastAsia="仿宋" w:cs="仿宋"/>
                <w:color w:val="auto"/>
                <w:sz w:val="24"/>
                <w:szCs w:val="24"/>
                <w:highlight w:val="none"/>
              </w:rPr>
            </w:pPr>
          </w:p>
        </w:tc>
        <w:tc>
          <w:tcPr>
            <w:tcW w:w="1029" w:type="dxa"/>
            <w:tcBorders>
              <w:top w:val="single" w:color="auto" w:sz="12" w:space="0"/>
              <w:left w:val="single" w:color="auto" w:sz="6" w:space="0"/>
              <w:bottom w:val="single" w:color="auto" w:sz="6" w:space="0"/>
              <w:right w:val="single" w:color="auto" w:sz="6" w:space="0"/>
            </w:tcBorders>
            <w:noWrap w:val="0"/>
            <w:vAlign w:val="center"/>
          </w:tcPr>
          <w:p w14:paraId="2906EFB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性别</w:t>
            </w:r>
          </w:p>
        </w:tc>
        <w:tc>
          <w:tcPr>
            <w:tcW w:w="2013" w:type="dxa"/>
            <w:gridSpan w:val="3"/>
            <w:tcBorders>
              <w:top w:val="single" w:color="auto" w:sz="12" w:space="0"/>
              <w:left w:val="single" w:color="auto" w:sz="6" w:space="0"/>
              <w:bottom w:val="single" w:color="auto" w:sz="6" w:space="0"/>
              <w:right w:val="single" w:color="auto" w:sz="6" w:space="0"/>
            </w:tcBorders>
            <w:noWrap w:val="0"/>
            <w:vAlign w:val="center"/>
          </w:tcPr>
          <w:p w14:paraId="3E742272">
            <w:pPr>
              <w:jc w:val="center"/>
              <w:rPr>
                <w:rFonts w:hint="eastAsia" w:ascii="仿宋" w:hAnsi="仿宋" w:eastAsia="仿宋" w:cs="仿宋"/>
                <w:color w:val="auto"/>
                <w:sz w:val="24"/>
                <w:szCs w:val="24"/>
                <w:highlight w:val="none"/>
              </w:rPr>
            </w:pPr>
          </w:p>
        </w:tc>
        <w:tc>
          <w:tcPr>
            <w:tcW w:w="1156" w:type="dxa"/>
            <w:gridSpan w:val="2"/>
            <w:tcBorders>
              <w:top w:val="single" w:color="auto" w:sz="12" w:space="0"/>
              <w:left w:val="single" w:color="auto" w:sz="6" w:space="0"/>
              <w:bottom w:val="single" w:color="auto" w:sz="6" w:space="0"/>
              <w:right w:val="single" w:color="auto" w:sz="6" w:space="0"/>
            </w:tcBorders>
            <w:noWrap w:val="0"/>
            <w:vAlign w:val="center"/>
          </w:tcPr>
          <w:p w14:paraId="1F20ABA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年龄</w:t>
            </w:r>
          </w:p>
        </w:tc>
        <w:tc>
          <w:tcPr>
            <w:tcW w:w="1158" w:type="dxa"/>
            <w:tcBorders>
              <w:top w:val="single" w:color="auto" w:sz="12" w:space="0"/>
              <w:left w:val="single" w:color="auto" w:sz="6" w:space="0"/>
              <w:bottom w:val="single" w:color="auto" w:sz="6" w:space="0"/>
              <w:right w:val="single" w:color="auto" w:sz="12" w:space="0"/>
            </w:tcBorders>
            <w:noWrap w:val="0"/>
            <w:vAlign w:val="center"/>
          </w:tcPr>
          <w:p w14:paraId="5CB641F3">
            <w:pPr>
              <w:jc w:val="center"/>
              <w:rPr>
                <w:rFonts w:hint="eastAsia" w:ascii="仿宋" w:hAnsi="仿宋" w:eastAsia="仿宋" w:cs="仿宋"/>
                <w:color w:val="auto"/>
                <w:sz w:val="24"/>
                <w:szCs w:val="24"/>
                <w:highlight w:val="none"/>
              </w:rPr>
            </w:pPr>
          </w:p>
        </w:tc>
      </w:tr>
      <w:tr w14:paraId="7CC2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053" w:type="dxa"/>
            <w:tcBorders>
              <w:top w:val="single" w:color="auto" w:sz="6" w:space="0"/>
              <w:left w:val="single" w:color="auto" w:sz="12" w:space="0"/>
              <w:bottom w:val="single" w:color="auto" w:sz="6" w:space="0"/>
              <w:right w:val="single" w:color="auto" w:sz="6" w:space="0"/>
            </w:tcBorders>
            <w:noWrap w:val="0"/>
            <w:vAlign w:val="center"/>
          </w:tcPr>
          <w:p w14:paraId="62A1171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职务</w:t>
            </w:r>
          </w:p>
        </w:tc>
        <w:tc>
          <w:tcPr>
            <w:tcW w:w="2625" w:type="dxa"/>
            <w:gridSpan w:val="3"/>
            <w:tcBorders>
              <w:top w:val="single" w:color="auto" w:sz="6" w:space="0"/>
              <w:left w:val="single" w:color="auto" w:sz="6" w:space="0"/>
              <w:bottom w:val="single" w:color="auto" w:sz="6" w:space="0"/>
              <w:right w:val="single" w:color="auto" w:sz="6" w:space="0"/>
            </w:tcBorders>
            <w:noWrap w:val="0"/>
            <w:vAlign w:val="center"/>
          </w:tcPr>
          <w:p w14:paraId="0B453C2D">
            <w:pPr>
              <w:jc w:val="center"/>
              <w:rPr>
                <w:rFonts w:hint="eastAsia" w:ascii="仿宋" w:hAnsi="仿宋" w:eastAsia="仿宋" w:cs="仿宋"/>
                <w:color w:val="auto"/>
                <w:sz w:val="24"/>
                <w:szCs w:val="24"/>
                <w:highlight w:val="none"/>
              </w:rPr>
            </w:pPr>
          </w:p>
        </w:tc>
        <w:tc>
          <w:tcPr>
            <w:tcW w:w="1029" w:type="dxa"/>
            <w:tcBorders>
              <w:top w:val="single" w:color="auto" w:sz="6" w:space="0"/>
              <w:left w:val="single" w:color="auto" w:sz="6" w:space="0"/>
              <w:bottom w:val="single" w:color="auto" w:sz="6" w:space="0"/>
              <w:right w:val="single" w:color="auto" w:sz="6" w:space="0"/>
            </w:tcBorders>
            <w:noWrap w:val="0"/>
            <w:vAlign w:val="center"/>
          </w:tcPr>
          <w:p w14:paraId="277373D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职称</w:t>
            </w:r>
          </w:p>
        </w:tc>
        <w:tc>
          <w:tcPr>
            <w:tcW w:w="2013" w:type="dxa"/>
            <w:gridSpan w:val="3"/>
            <w:tcBorders>
              <w:top w:val="single" w:color="auto" w:sz="6" w:space="0"/>
              <w:left w:val="single" w:color="auto" w:sz="6" w:space="0"/>
              <w:bottom w:val="single" w:color="auto" w:sz="6" w:space="0"/>
              <w:right w:val="single" w:color="auto" w:sz="6" w:space="0"/>
            </w:tcBorders>
            <w:noWrap w:val="0"/>
            <w:vAlign w:val="center"/>
          </w:tcPr>
          <w:p w14:paraId="2D7390A8">
            <w:pPr>
              <w:jc w:val="center"/>
              <w:rPr>
                <w:rFonts w:hint="eastAsia" w:ascii="仿宋" w:hAnsi="仿宋" w:eastAsia="仿宋" w:cs="仿宋"/>
                <w:color w:val="auto"/>
                <w:sz w:val="24"/>
                <w:szCs w:val="24"/>
                <w:highlight w:val="none"/>
              </w:rPr>
            </w:pPr>
          </w:p>
        </w:tc>
        <w:tc>
          <w:tcPr>
            <w:tcW w:w="1156" w:type="dxa"/>
            <w:gridSpan w:val="2"/>
            <w:tcBorders>
              <w:top w:val="single" w:color="auto" w:sz="6" w:space="0"/>
              <w:left w:val="single" w:color="auto" w:sz="6" w:space="0"/>
              <w:bottom w:val="single" w:color="auto" w:sz="6" w:space="0"/>
              <w:right w:val="single" w:color="auto" w:sz="6" w:space="0"/>
            </w:tcBorders>
            <w:noWrap w:val="0"/>
            <w:vAlign w:val="center"/>
          </w:tcPr>
          <w:p w14:paraId="7E1294C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学历</w:t>
            </w:r>
          </w:p>
        </w:tc>
        <w:tc>
          <w:tcPr>
            <w:tcW w:w="1158" w:type="dxa"/>
            <w:tcBorders>
              <w:top w:val="single" w:color="auto" w:sz="6" w:space="0"/>
              <w:left w:val="single" w:color="auto" w:sz="6" w:space="0"/>
              <w:bottom w:val="single" w:color="auto" w:sz="6" w:space="0"/>
              <w:right w:val="single" w:color="auto" w:sz="12" w:space="0"/>
            </w:tcBorders>
            <w:noWrap w:val="0"/>
            <w:vAlign w:val="center"/>
          </w:tcPr>
          <w:p w14:paraId="2DB07E26">
            <w:pPr>
              <w:jc w:val="center"/>
              <w:rPr>
                <w:rFonts w:hint="eastAsia" w:ascii="仿宋" w:hAnsi="仿宋" w:eastAsia="仿宋" w:cs="仿宋"/>
                <w:color w:val="auto"/>
                <w:sz w:val="24"/>
                <w:szCs w:val="24"/>
                <w:highlight w:val="none"/>
              </w:rPr>
            </w:pPr>
          </w:p>
        </w:tc>
      </w:tr>
      <w:tr w14:paraId="0A1D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832" w:type="dxa"/>
            <w:gridSpan w:val="3"/>
            <w:tcBorders>
              <w:top w:val="single" w:color="auto" w:sz="6" w:space="0"/>
              <w:left w:val="single" w:color="auto" w:sz="12" w:space="0"/>
              <w:bottom w:val="single" w:color="auto" w:sz="6" w:space="0"/>
              <w:right w:val="single" w:color="auto" w:sz="6" w:space="0"/>
            </w:tcBorders>
            <w:noWrap w:val="0"/>
            <w:vAlign w:val="center"/>
          </w:tcPr>
          <w:p w14:paraId="56A7CD3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参加工作时间</w:t>
            </w:r>
          </w:p>
        </w:tc>
        <w:tc>
          <w:tcPr>
            <w:tcW w:w="2410" w:type="dxa"/>
            <w:gridSpan w:val="3"/>
            <w:tcBorders>
              <w:top w:val="single" w:color="auto" w:sz="6" w:space="0"/>
              <w:left w:val="single" w:color="auto" w:sz="6" w:space="0"/>
              <w:bottom w:val="single" w:color="auto" w:sz="6" w:space="0"/>
              <w:right w:val="single" w:color="auto" w:sz="6" w:space="0"/>
            </w:tcBorders>
            <w:noWrap w:val="0"/>
            <w:vAlign w:val="center"/>
          </w:tcPr>
          <w:p w14:paraId="3D142E67">
            <w:pPr>
              <w:jc w:val="center"/>
              <w:rPr>
                <w:rFonts w:hint="eastAsia" w:ascii="仿宋" w:hAnsi="仿宋" w:eastAsia="仿宋" w:cs="仿宋"/>
                <w:color w:val="auto"/>
                <w:sz w:val="24"/>
                <w:szCs w:val="24"/>
                <w:highlight w:val="none"/>
              </w:rPr>
            </w:pPr>
          </w:p>
        </w:tc>
        <w:tc>
          <w:tcPr>
            <w:tcW w:w="2634" w:type="dxa"/>
            <w:gridSpan w:val="4"/>
            <w:tcBorders>
              <w:top w:val="single" w:color="auto" w:sz="6" w:space="0"/>
              <w:left w:val="single" w:color="auto" w:sz="6" w:space="0"/>
              <w:bottom w:val="single" w:color="auto" w:sz="6" w:space="0"/>
              <w:right w:val="single" w:color="auto" w:sz="6" w:space="0"/>
            </w:tcBorders>
            <w:noWrap w:val="0"/>
            <w:vAlign w:val="center"/>
          </w:tcPr>
          <w:p w14:paraId="2DB3C5F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相关经验年限</w:t>
            </w:r>
          </w:p>
        </w:tc>
        <w:tc>
          <w:tcPr>
            <w:tcW w:w="1158" w:type="dxa"/>
            <w:tcBorders>
              <w:top w:val="single" w:color="auto" w:sz="6" w:space="0"/>
              <w:left w:val="single" w:color="auto" w:sz="6" w:space="0"/>
              <w:bottom w:val="single" w:color="auto" w:sz="6" w:space="0"/>
              <w:right w:val="single" w:color="auto" w:sz="12" w:space="0"/>
            </w:tcBorders>
            <w:noWrap w:val="0"/>
            <w:vAlign w:val="center"/>
          </w:tcPr>
          <w:p w14:paraId="17285828">
            <w:pPr>
              <w:jc w:val="center"/>
              <w:rPr>
                <w:rFonts w:hint="eastAsia" w:ascii="仿宋" w:hAnsi="仿宋" w:eastAsia="仿宋" w:cs="仿宋"/>
                <w:color w:val="auto"/>
                <w:sz w:val="24"/>
                <w:szCs w:val="24"/>
                <w:highlight w:val="none"/>
              </w:rPr>
            </w:pPr>
          </w:p>
        </w:tc>
      </w:tr>
      <w:tr w14:paraId="2B1A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2832" w:type="dxa"/>
            <w:gridSpan w:val="3"/>
            <w:tcBorders>
              <w:top w:val="single" w:color="auto" w:sz="6" w:space="0"/>
              <w:left w:val="single" w:color="auto" w:sz="12" w:space="0"/>
              <w:bottom w:val="single" w:color="auto" w:sz="6" w:space="0"/>
              <w:right w:val="single" w:color="auto" w:sz="6" w:space="0"/>
            </w:tcBorders>
            <w:noWrap w:val="0"/>
            <w:vAlign w:val="center"/>
          </w:tcPr>
          <w:p w14:paraId="0399BD7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资格证书名称、编号</w:t>
            </w:r>
          </w:p>
        </w:tc>
        <w:tc>
          <w:tcPr>
            <w:tcW w:w="6202" w:type="dxa"/>
            <w:gridSpan w:val="8"/>
            <w:tcBorders>
              <w:top w:val="single" w:color="auto" w:sz="6" w:space="0"/>
              <w:left w:val="single" w:color="auto" w:sz="6" w:space="0"/>
              <w:bottom w:val="single" w:color="auto" w:sz="6" w:space="0"/>
              <w:right w:val="single" w:color="auto" w:sz="12" w:space="0"/>
            </w:tcBorders>
            <w:noWrap w:val="0"/>
            <w:vAlign w:val="center"/>
          </w:tcPr>
          <w:p w14:paraId="19EAB82A">
            <w:pPr>
              <w:jc w:val="center"/>
              <w:rPr>
                <w:rFonts w:hint="eastAsia" w:ascii="仿宋" w:hAnsi="仿宋" w:eastAsia="仿宋" w:cs="仿宋"/>
                <w:color w:val="auto"/>
                <w:sz w:val="24"/>
                <w:szCs w:val="24"/>
                <w:highlight w:val="none"/>
              </w:rPr>
            </w:pPr>
          </w:p>
        </w:tc>
      </w:tr>
      <w:tr w14:paraId="6553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9034" w:type="dxa"/>
            <w:gridSpan w:val="11"/>
            <w:tcBorders>
              <w:top w:val="single" w:color="auto" w:sz="6" w:space="0"/>
              <w:left w:val="single" w:color="auto" w:sz="12" w:space="0"/>
              <w:bottom w:val="single" w:color="auto" w:sz="6" w:space="0"/>
              <w:right w:val="single" w:color="auto" w:sz="12" w:space="0"/>
            </w:tcBorders>
            <w:noWrap w:val="0"/>
            <w:vAlign w:val="center"/>
          </w:tcPr>
          <w:p w14:paraId="0B70F28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目前在任及以往服务项目情况</w:t>
            </w:r>
          </w:p>
        </w:tc>
      </w:tr>
      <w:tr w14:paraId="6C16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478" w:type="dxa"/>
            <w:gridSpan w:val="2"/>
            <w:tcBorders>
              <w:top w:val="single" w:color="auto" w:sz="6" w:space="0"/>
              <w:left w:val="single" w:color="auto" w:sz="12" w:space="0"/>
              <w:bottom w:val="single" w:color="auto" w:sz="6" w:space="0"/>
              <w:right w:val="single" w:color="auto" w:sz="6" w:space="0"/>
            </w:tcBorders>
            <w:noWrap w:val="0"/>
            <w:vAlign w:val="center"/>
          </w:tcPr>
          <w:p w14:paraId="4DC1F2F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w:t>
            </w:r>
          </w:p>
        </w:tc>
        <w:tc>
          <w:tcPr>
            <w:tcW w:w="2200" w:type="dxa"/>
            <w:gridSpan w:val="2"/>
            <w:tcBorders>
              <w:top w:val="single" w:color="auto" w:sz="6" w:space="0"/>
              <w:left w:val="single" w:color="auto" w:sz="6" w:space="0"/>
              <w:bottom w:val="single" w:color="auto" w:sz="6" w:space="0"/>
              <w:right w:val="single" w:color="auto" w:sz="6" w:space="0"/>
            </w:tcBorders>
            <w:noWrap w:val="0"/>
            <w:vAlign w:val="center"/>
          </w:tcPr>
          <w:p w14:paraId="4019AC7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类似项目名称</w:t>
            </w:r>
          </w:p>
        </w:tc>
        <w:tc>
          <w:tcPr>
            <w:tcW w:w="1579" w:type="dxa"/>
            <w:gridSpan w:val="3"/>
            <w:tcBorders>
              <w:top w:val="single" w:color="auto" w:sz="6" w:space="0"/>
              <w:left w:val="single" w:color="auto" w:sz="6" w:space="0"/>
              <w:bottom w:val="single" w:color="auto" w:sz="6" w:space="0"/>
              <w:right w:val="single" w:color="auto" w:sz="6" w:space="0"/>
            </w:tcBorders>
            <w:noWrap w:val="0"/>
            <w:vAlign w:val="center"/>
          </w:tcPr>
          <w:p w14:paraId="40757EA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项目规模</w:t>
            </w:r>
          </w:p>
        </w:tc>
        <w:tc>
          <w:tcPr>
            <w:tcW w:w="1559" w:type="dxa"/>
            <w:gridSpan w:val="2"/>
            <w:tcBorders>
              <w:top w:val="single" w:color="auto" w:sz="6" w:space="0"/>
              <w:left w:val="single" w:color="auto" w:sz="6" w:space="0"/>
              <w:bottom w:val="single" w:color="auto" w:sz="6" w:space="0"/>
              <w:right w:val="single" w:color="auto" w:sz="6" w:space="0"/>
            </w:tcBorders>
            <w:noWrap w:val="0"/>
            <w:vAlign w:val="center"/>
          </w:tcPr>
          <w:p w14:paraId="75CAC4D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所任职务</w:t>
            </w:r>
          </w:p>
        </w:tc>
        <w:tc>
          <w:tcPr>
            <w:tcW w:w="2218" w:type="dxa"/>
            <w:gridSpan w:val="2"/>
            <w:tcBorders>
              <w:top w:val="single" w:color="auto" w:sz="6" w:space="0"/>
              <w:left w:val="single" w:color="auto" w:sz="6" w:space="0"/>
              <w:bottom w:val="single" w:color="auto" w:sz="6" w:space="0"/>
              <w:right w:val="single" w:color="auto" w:sz="12" w:space="0"/>
            </w:tcBorders>
            <w:noWrap w:val="0"/>
            <w:vAlign w:val="center"/>
          </w:tcPr>
          <w:p w14:paraId="62E2139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起止时间</w:t>
            </w:r>
          </w:p>
        </w:tc>
      </w:tr>
      <w:tr w14:paraId="3E67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78" w:type="dxa"/>
            <w:gridSpan w:val="2"/>
            <w:tcBorders>
              <w:top w:val="single" w:color="auto" w:sz="6" w:space="0"/>
              <w:left w:val="single" w:color="auto" w:sz="12" w:space="0"/>
              <w:bottom w:val="single" w:color="auto" w:sz="6" w:space="0"/>
              <w:right w:val="single" w:color="auto" w:sz="6" w:space="0"/>
            </w:tcBorders>
            <w:noWrap w:val="0"/>
            <w:vAlign w:val="center"/>
          </w:tcPr>
          <w:p w14:paraId="665BF64B">
            <w:pPr>
              <w:jc w:val="center"/>
              <w:rPr>
                <w:rFonts w:hint="eastAsia" w:ascii="仿宋" w:hAnsi="仿宋" w:eastAsia="仿宋" w:cs="仿宋"/>
                <w:color w:val="auto"/>
                <w:sz w:val="24"/>
                <w:szCs w:val="24"/>
                <w:highlight w:val="none"/>
              </w:rPr>
            </w:pPr>
          </w:p>
        </w:tc>
        <w:tc>
          <w:tcPr>
            <w:tcW w:w="2200" w:type="dxa"/>
            <w:gridSpan w:val="2"/>
            <w:tcBorders>
              <w:top w:val="single" w:color="auto" w:sz="6" w:space="0"/>
              <w:left w:val="single" w:color="auto" w:sz="6" w:space="0"/>
              <w:bottom w:val="single" w:color="auto" w:sz="6" w:space="0"/>
              <w:right w:val="single" w:color="auto" w:sz="6" w:space="0"/>
            </w:tcBorders>
            <w:noWrap w:val="0"/>
            <w:vAlign w:val="center"/>
          </w:tcPr>
          <w:p w14:paraId="4C8D1650">
            <w:pPr>
              <w:jc w:val="center"/>
              <w:rPr>
                <w:rFonts w:hint="eastAsia" w:ascii="仿宋" w:hAnsi="仿宋" w:eastAsia="仿宋" w:cs="仿宋"/>
                <w:color w:val="auto"/>
                <w:sz w:val="24"/>
                <w:szCs w:val="24"/>
                <w:highlight w:val="none"/>
              </w:rPr>
            </w:pPr>
          </w:p>
        </w:tc>
        <w:tc>
          <w:tcPr>
            <w:tcW w:w="1579" w:type="dxa"/>
            <w:gridSpan w:val="3"/>
            <w:tcBorders>
              <w:top w:val="single" w:color="auto" w:sz="6" w:space="0"/>
              <w:left w:val="single" w:color="auto" w:sz="6" w:space="0"/>
              <w:bottom w:val="single" w:color="auto" w:sz="6" w:space="0"/>
              <w:right w:val="single" w:color="auto" w:sz="6" w:space="0"/>
            </w:tcBorders>
            <w:noWrap w:val="0"/>
            <w:vAlign w:val="center"/>
          </w:tcPr>
          <w:p w14:paraId="76DD3C7C">
            <w:pPr>
              <w:jc w:val="center"/>
              <w:rPr>
                <w:rFonts w:hint="eastAsia" w:ascii="仿宋" w:hAnsi="仿宋" w:eastAsia="仿宋" w:cs="仿宋"/>
                <w:color w:val="auto"/>
                <w:sz w:val="24"/>
                <w:szCs w:val="24"/>
                <w:highlight w:val="none"/>
              </w:rPr>
            </w:pPr>
          </w:p>
        </w:tc>
        <w:tc>
          <w:tcPr>
            <w:tcW w:w="1559" w:type="dxa"/>
            <w:gridSpan w:val="2"/>
            <w:tcBorders>
              <w:top w:val="single" w:color="auto" w:sz="6" w:space="0"/>
              <w:left w:val="single" w:color="auto" w:sz="6" w:space="0"/>
              <w:bottom w:val="single" w:color="auto" w:sz="6" w:space="0"/>
              <w:right w:val="single" w:color="auto" w:sz="6" w:space="0"/>
            </w:tcBorders>
            <w:noWrap w:val="0"/>
            <w:vAlign w:val="center"/>
          </w:tcPr>
          <w:p w14:paraId="3A30664E">
            <w:pPr>
              <w:jc w:val="center"/>
              <w:rPr>
                <w:rFonts w:hint="eastAsia" w:ascii="仿宋" w:hAnsi="仿宋" w:eastAsia="仿宋" w:cs="仿宋"/>
                <w:color w:val="auto"/>
                <w:sz w:val="24"/>
                <w:szCs w:val="24"/>
                <w:highlight w:val="none"/>
              </w:rPr>
            </w:pPr>
          </w:p>
        </w:tc>
        <w:tc>
          <w:tcPr>
            <w:tcW w:w="2218" w:type="dxa"/>
            <w:gridSpan w:val="2"/>
            <w:tcBorders>
              <w:top w:val="single" w:color="auto" w:sz="6" w:space="0"/>
              <w:left w:val="single" w:color="auto" w:sz="6" w:space="0"/>
              <w:bottom w:val="single" w:color="auto" w:sz="6" w:space="0"/>
              <w:right w:val="single" w:color="auto" w:sz="12" w:space="0"/>
            </w:tcBorders>
            <w:noWrap w:val="0"/>
            <w:vAlign w:val="center"/>
          </w:tcPr>
          <w:p w14:paraId="1422BB5C">
            <w:pPr>
              <w:jc w:val="center"/>
              <w:rPr>
                <w:rFonts w:hint="eastAsia" w:ascii="仿宋" w:hAnsi="仿宋" w:eastAsia="仿宋" w:cs="仿宋"/>
                <w:color w:val="auto"/>
                <w:sz w:val="24"/>
                <w:szCs w:val="24"/>
                <w:highlight w:val="none"/>
              </w:rPr>
            </w:pPr>
          </w:p>
        </w:tc>
      </w:tr>
      <w:tr w14:paraId="71C3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478" w:type="dxa"/>
            <w:gridSpan w:val="2"/>
            <w:tcBorders>
              <w:top w:val="single" w:color="auto" w:sz="6" w:space="0"/>
              <w:left w:val="single" w:color="auto" w:sz="12" w:space="0"/>
              <w:bottom w:val="single" w:color="auto" w:sz="6" w:space="0"/>
              <w:right w:val="single" w:color="auto" w:sz="6" w:space="0"/>
            </w:tcBorders>
            <w:noWrap w:val="0"/>
            <w:vAlign w:val="center"/>
          </w:tcPr>
          <w:p w14:paraId="1FEF6EB9">
            <w:pPr>
              <w:jc w:val="center"/>
              <w:rPr>
                <w:rFonts w:hint="eastAsia" w:ascii="仿宋" w:hAnsi="仿宋" w:eastAsia="仿宋" w:cs="仿宋"/>
                <w:color w:val="auto"/>
                <w:sz w:val="24"/>
                <w:szCs w:val="24"/>
                <w:highlight w:val="none"/>
              </w:rPr>
            </w:pPr>
          </w:p>
        </w:tc>
        <w:tc>
          <w:tcPr>
            <w:tcW w:w="2200" w:type="dxa"/>
            <w:gridSpan w:val="2"/>
            <w:tcBorders>
              <w:top w:val="single" w:color="auto" w:sz="6" w:space="0"/>
              <w:left w:val="single" w:color="auto" w:sz="6" w:space="0"/>
              <w:bottom w:val="single" w:color="auto" w:sz="6" w:space="0"/>
              <w:right w:val="single" w:color="auto" w:sz="6" w:space="0"/>
            </w:tcBorders>
            <w:noWrap w:val="0"/>
            <w:vAlign w:val="center"/>
          </w:tcPr>
          <w:p w14:paraId="7D6A96A5">
            <w:pPr>
              <w:jc w:val="center"/>
              <w:rPr>
                <w:rFonts w:hint="eastAsia" w:ascii="仿宋" w:hAnsi="仿宋" w:eastAsia="仿宋" w:cs="仿宋"/>
                <w:color w:val="auto"/>
                <w:sz w:val="24"/>
                <w:szCs w:val="24"/>
                <w:highlight w:val="none"/>
              </w:rPr>
            </w:pPr>
          </w:p>
        </w:tc>
        <w:tc>
          <w:tcPr>
            <w:tcW w:w="1579" w:type="dxa"/>
            <w:gridSpan w:val="3"/>
            <w:tcBorders>
              <w:top w:val="single" w:color="auto" w:sz="6" w:space="0"/>
              <w:left w:val="single" w:color="auto" w:sz="6" w:space="0"/>
              <w:bottom w:val="single" w:color="auto" w:sz="6" w:space="0"/>
              <w:right w:val="single" w:color="auto" w:sz="6" w:space="0"/>
            </w:tcBorders>
            <w:noWrap w:val="0"/>
            <w:vAlign w:val="center"/>
          </w:tcPr>
          <w:p w14:paraId="771EC7F5">
            <w:pPr>
              <w:jc w:val="center"/>
              <w:rPr>
                <w:rFonts w:hint="eastAsia" w:ascii="仿宋" w:hAnsi="仿宋" w:eastAsia="仿宋" w:cs="仿宋"/>
                <w:color w:val="auto"/>
                <w:sz w:val="24"/>
                <w:szCs w:val="24"/>
                <w:highlight w:val="none"/>
              </w:rPr>
            </w:pPr>
          </w:p>
        </w:tc>
        <w:tc>
          <w:tcPr>
            <w:tcW w:w="1559" w:type="dxa"/>
            <w:gridSpan w:val="2"/>
            <w:tcBorders>
              <w:top w:val="single" w:color="auto" w:sz="6" w:space="0"/>
              <w:left w:val="single" w:color="auto" w:sz="6" w:space="0"/>
              <w:bottom w:val="single" w:color="auto" w:sz="6" w:space="0"/>
              <w:right w:val="single" w:color="auto" w:sz="6" w:space="0"/>
            </w:tcBorders>
            <w:noWrap w:val="0"/>
            <w:vAlign w:val="center"/>
          </w:tcPr>
          <w:p w14:paraId="755CB73C">
            <w:pPr>
              <w:jc w:val="center"/>
              <w:rPr>
                <w:rFonts w:hint="eastAsia" w:ascii="仿宋" w:hAnsi="仿宋" w:eastAsia="仿宋" w:cs="仿宋"/>
                <w:color w:val="auto"/>
                <w:sz w:val="24"/>
                <w:szCs w:val="24"/>
                <w:highlight w:val="none"/>
              </w:rPr>
            </w:pPr>
          </w:p>
        </w:tc>
        <w:tc>
          <w:tcPr>
            <w:tcW w:w="2218" w:type="dxa"/>
            <w:gridSpan w:val="2"/>
            <w:tcBorders>
              <w:top w:val="single" w:color="auto" w:sz="6" w:space="0"/>
              <w:left w:val="single" w:color="auto" w:sz="6" w:space="0"/>
              <w:bottom w:val="single" w:color="auto" w:sz="6" w:space="0"/>
              <w:right w:val="single" w:color="auto" w:sz="12" w:space="0"/>
            </w:tcBorders>
            <w:noWrap w:val="0"/>
            <w:vAlign w:val="center"/>
          </w:tcPr>
          <w:p w14:paraId="554CD45E">
            <w:pPr>
              <w:jc w:val="center"/>
              <w:rPr>
                <w:rFonts w:hint="eastAsia" w:ascii="仿宋" w:hAnsi="仿宋" w:eastAsia="仿宋" w:cs="仿宋"/>
                <w:color w:val="auto"/>
                <w:sz w:val="24"/>
                <w:szCs w:val="24"/>
                <w:highlight w:val="none"/>
              </w:rPr>
            </w:pPr>
          </w:p>
        </w:tc>
      </w:tr>
      <w:tr w14:paraId="4EB3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478" w:type="dxa"/>
            <w:gridSpan w:val="2"/>
            <w:tcBorders>
              <w:top w:val="single" w:color="auto" w:sz="6" w:space="0"/>
              <w:left w:val="single" w:color="auto" w:sz="12" w:space="0"/>
              <w:bottom w:val="single" w:color="auto" w:sz="12" w:space="0"/>
              <w:right w:val="single" w:color="auto" w:sz="6" w:space="0"/>
            </w:tcBorders>
            <w:noWrap w:val="0"/>
            <w:vAlign w:val="center"/>
          </w:tcPr>
          <w:p w14:paraId="328888B9">
            <w:pPr>
              <w:jc w:val="center"/>
              <w:rPr>
                <w:rFonts w:hint="eastAsia" w:ascii="仿宋" w:hAnsi="仿宋" w:eastAsia="仿宋" w:cs="仿宋"/>
                <w:color w:val="auto"/>
                <w:sz w:val="24"/>
                <w:szCs w:val="24"/>
                <w:highlight w:val="none"/>
              </w:rPr>
            </w:pPr>
          </w:p>
        </w:tc>
        <w:tc>
          <w:tcPr>
            <w:tcW w:w="2200" w:type="dxa"/>
            <w:gridSpan w:val="2"/>
            <w:tcBorders>
              <w:top w:val="single" w:color="auto" w:sz="6" w:space="0"/>
              <w:left w:val="single" w:color="auto" w:sz="6" w:space="0"/>
              <w:bottom w:val="single" w:color="auto" w:sz="12" w:space="0"/>
              <w:right w:val="single" w:color="auto" w:sz="6" w:space="0"/>
            </w:tcBorders>
            <w:noWrap w:val="0"/>
            <w:vAlign w:val="center"/>
          </w:tcPr>
          <w:p w14:paraId="3CA9AD1F">
            <w:pPr>
              <w:jc w:val="center"/>
              <w:rPr>
                <w:rFonts w:hint="eastAsia" w:ascii="仿宋" w:hAnsi="仿宋" w:eastAsia="仿宋" w:cs="仿宋"/>
                <w:color w:val="auto"/>
                <w:sz w:val="24"/>
                <w:szCs w:val="24"/>
                <w:highlight w:val="none"/>
              </w:rPr>
            </w:pPr>
          </w:p>
        </w:tc>
        <w:tc>
          <w:tcPr>
            <w:tcW w:w="1579" w:type="dxa"/>
            <w:gridSpan w:val="3"/>
            <w:tcBorders>
              <w:top w:val="single" w:color="auto" w:sz="6" w:space="0"/>
              <w:left w:val="single" w:color="auto" w:sz="6" w:space="0"/>
              <w:bottom w:val="single" w:color="auto" w:sz="12" w:space="0"/>
              <w:right w:val="single" w:color="auto" w:sz="6" w:space="0"/>
            </w:tcBorders>
            <w:noWrap w:val="0"/>
            <w:vAlign w:val="center"/>
          </w:tcPr>
          <w:p w14:paraId="1371FA68">
            <w:pPr>
              <w:jc w:val="center"/>
              <w:rPr>
                <w:rFonts w:hint="eastAsia" w:ascii="仿宋" w:hAnsi="仿宋" w:eastAsia="仿宋" w:cs="仿宋"/>
                <w:color w:val="auto"/>
                <w:sz w:val="24"/>
                <w:szCs w:val="24"/>
                <w:highlight w:val="none"/>
              </w:rPr>
            </w:pPr>
          </w:p>
        </w:tc>
        <w:tc>
          <w:tcPr>
            <w:tcW w:w="1559" w:type="dxa"/>
            <w:gridSpan w:val="2"/>
            <w:tcBorders>
              <w:top w:val="single" w:color="auto" w:sz="6" w:space="0"/>
              <w:left w:val="single" w:color="auto" w:sz="6" w:space="0"/>
              <w:bottom w:val="single" w:color="auto" w:sz="12" w:space="0"/>
              <w:right w:val="single" w:color="auto" w:sz="6" w:space="0"/>
            </w:tcBorders>
            <w:noWrap w:val="0"/>
            <w:vAlign w:val="center"/>
          </w:tcPr>
          <w:p w14:paraId="2DFC0F6A">
            <w:pPr>
              <w:jc w:val="center"/>
              <w:rPr>
                <w:rFonts w:hint="eastAsia" w:ascii="仿宋" w:hAnsi="仿宋" w:eastAsia="仿宋" w:cs="仿宋"/>
                <w:color w:val="auto"/>
                <w:sz w:val="24"/>
                <w:szCs w:val="24"/>
                <w:highlight w:val="none"/>
              </w:rPr>
            </w:pPr>
          </w:p>
        </w:tc>
        <w:tc>
          <w:tcPr>
            <w:tcW w:w="2218" w:type="dxa"/>
            <w:gridSpan w:val="2"/>
            <w:tcBorders>
              <w:top w:val="single" w:color="auto" w:sz="6" w:space="0"/>
              <w:left w:val="single" w:color="auto" w:sz="6" w:space="0"/>
              <w:bottom w:val="single" w:color="auto" w:sz="12" w:space="0"/>
              <w:right w:val="single" w:color="auto" w:sz="12" w:space="0"/>
            </w:tcBorders>
            <w:noWrap w:val="0"/>
            <w:vAlign w:val="center"/>
          </w:tcPr>
          <w:p w14:paraId="3B9CD9C3">
            <w:pPr>
              <w:jc w:val="center"/>
              <w:rPr>
                <w:rFonts w:hint="eastAsia" w:ascii="仿宋" w:hAnsi="仿宋" w:eastAsia="仿宋" w:cs="仿宋"/>
                <w:color w:val="auto"/>
                <w:sz w:val="24"/>
                <w:szCs w:val="24"/>
                <w:highlight w:val="none"/>
              </w:rPr>
            </w:pPr>
          </w:p>
        </w:tc>
      </w:tr>
    </w:tbl>
    <w:p w14:paraId="683197C2">
      <w:pPr>
        <w:pStyle w:val="74"/>
        <w:spacing w:line="420" w:lineRule="exact"/>
        <w:ind w:left="638" w:hanging="696" w:hangingChars="2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76728281">
      <w:pPr>
        <w:pStyle w:val="14"/>
        <w:overflowPunct w:val="0"/>
        <w:spacing w:line="520" w:lineRule="atLeas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我方承诺上述材料真实有效且具备履行合同所必需的专业技术能力。 </w:t>
      </w:r>
    </w:p>
    <w:p w14:paraId="5D52AF9B">
      <w:pPr>
        <w:pStyle w:val="14"/>
        <w:spacing w:after="0" w:line="360" w:lineRule="auto"/>
        <w:rPr>
          <w:rFonts w:hint="eastAsia" w:ascii="仿宋" w:hAnsi="仿宋" w:eastAsia="仿宋" w:cs="仿宋"/>
          <w:color w:val="auto"/>
          <w:sz w:val="24"/>
          <w:szCs w:val="24"/>
          <w:highlight w:val="none"/>
        </w:rPr>
      </w:pPr>
    </w:p>
    <w:p w14:paraId="5A3ECE3B">
      <w:pPr>
        <w:pStyle w:val="14"/>
        <w:spacing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名称（加盖公章）：</w:t>
      </w:r>
    </w:p>
    <w:p w14:paraId="44383642">
      <w:pPr>
        <w:pStyle w:val="14"/>
        <w:spacing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法定代表人或受委托人（签名或盖私章）：</w:t>
      </w:r>
    </w:p>
    <w:p w14:paraId="74B4A41A">
      <w:pPr>
        <w:spacing w:line="480" w:lineRule="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日       期：</w:t>
      </w:r>
    </w:p>
    <w:p w14:paraId="5F27ABE0">
      <w:pPr>
        <w:pStyle w:val="3"/>
        <w:jc w:val="center"/>
        <w:rPr>
          <w:rStyle w:val="40"/>
          <w:rFonts w:hint="eastAsia" w:ascii="仿宋" w:hAnsi="仿宋" w:eastAsia="仿宋" w:cs="仿宋"/>
          <w:b/>
          <w:bCs w:val="0"/>
          <w:color w:val="auto"/>
          <w:sz w:val="24"/>
          <w:szCs w:val="24"/>
          <w:highlight w:val="none"/>
          <w:lang w:val="en-US" w:eastAsia="zh-CN"/>
        </w:rPr>
      </w:pPr>
      <w:bookmarkStart w:id="504" w:name="_Toc17664"/>
      <w:r>
        <w:rPr>
          <w:rStyle w:val="40"/>
          <w:rFonts w:hint="eastAsia" w:ascii="仿宋" w:hAnsi="仿宋" w:eastAsia="仿宋" w:cs="仿宋"/>
          <w:b/>
          <w:bCs w:val="0"/>
          <w:color w:val="auto"/>
          <w:sz w:val="24"/>
          <w:szCs w:val="24"/>
          <w:highlight w:val="none"/>
          <w:lang w:val="en-US" w:eastAsia="zh-CN"/>
        </w:rPr>
        <w:t>14、投标人认为需要提供的其他材料说明</w:t>
      </w:r>
      <w:bookmarkEnd w:id="504"/>
    </w:p>
    <w:p w14:paraId="41B2C69C">
      <w:pPr>
        <w:pStyle w:val="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531E0E36">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附件1、</w:t>
      </w:r>
      <w:r>
        <w:rPr>
          <w:rFonts w:hint="eastAsia" w:ascii="仿宋" w:hAnsi="仿宋" w:eastAsia="仿宋" w:cs="仿宋"/>
          <w:b/>
          <w:color w:val="auto"/>
          <w:sz w:val="24"/>
          <w:szCs w:val="24"/>
          <w:highlight w:val="none"/>
        </w:rPr>
        <w:t xml:space="preserve">在经营活动中没有重大违法记录的书面声明 </w:t>
      </w:r>
    </w:p>
    <w:p w14:paraId="49E8C8D7">
      <w:pPr>
        <w:pStyle w:val="74"/>
        <w:spacing w:line="360" w:lineRule="atLeast"/>
        <w:ind w:firstLine="494"/>
        <w:rPr>
          <w:rFonts w:hint="eastAsia" w:ascii="仿宋" w:hAnsi="仿宋" w:eastAsia="仿宋" w:cs="仿宋"/>
          <w:color w:val="auto"/>
          <w:sz w:val="24"/>
          <w:szCs w:val="24"/>
          <w:highlight w:val="none"/>
        </w:rPr>
      </w:pPr>
    </w:p>
    <w:p w14:paraId="70394A3A">
      <w:pPr>
        <w:spacing w:line="48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新疆华域建设工程项目管理咨询有限公司</w:t>
      </w:r>
      <w:r>
        <w:rPr>
          <w:rFonts w:hint="eastAsia" w:ascii="仿宋" w:hAnsi="仿宋" w:eastAsia="仿宋" w:cs="仿宋"/>
          <w:b/>
          <w:color w:val="auto"/>
          <w:sz w:val="24"/>
          <w:szCs w:val="24"/>
          <w:highlight w:val="none"/>
        </w:rPr>
        <w:t>:</w:t>
      </w:r>
    </w:p>
    <w:p w14:paraId="4E5AC53B">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我方参加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项目（项目编号：　      　　　）的政府采购活动，并声明：</w:t>
      </w:r>
    </w:p>
    <w:p w14:paraId="066CF658">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我方参加本采购项目政府采购前3年内在经营活动中没有因违法经营受到刑事处罚或者责令停产停业、吊销许可证或者执照、较大数额罚款等行政处罚。</w:t>
      </w:r>
    </w:p>
    <w:p w14:paraId="01F64D38">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特此声明！</w:t>
      </w:r>
    </w:p>
    <w:p w14:paraId="7706F677">
      <w:pPr>
        <w:pStyle w:val="74"/>
        <w:spacing w:line="480" w:lineRule="auto"/>
        <w:ind w:firstLine="494"/>
        <w:rPr>
          <w:rFonts w:hint="eastAsia" w:ascii="仿宋" w:hAnsi="仿宋" w:eastAsia="仿宋" w:cs="仿宋"/>
          <w:color w:val="auto"/>
          <w:sz w:val="24"/>
          <w:szCs w:val="24"/>
          <w:highlight w:val="none"/>
        </w:rPr>
      </w:pPr>
    </w:p>
    <w:p w14:paraId="1462E3A4">
      <w:pPr>
        <w:pStyle w:val="74"/>
        <w:spacing w:line="480" w:lineRule="auto"/>
        <w:ind w:firstLine="494"/>
        <w:rPr>
          <w:rFonts w:hint="eastAsia" w:ascii="仿宋" w:hAnsi="仿宋" w:eastAsia="仿宋" w:cs="仿宋"/>
          <w:color w:val="auto"/>
          <w:sz w:val="24"/>
          <w:szCs w:val="24"/>
          <w:highlight w:val="none"/>
        </w:rPr>
      </w:pPr>
    </w:p>
    <w:p w14:paraId="138EC4EE">
      <w:pPr>
        <w:pStyle w:val="74"/>
        <w:spacing w:line="480" w:lineRule="auto"/>
        <w:ind w:firstLine="494"/>
        <w:rPr>
          <w:rFonts w:hint="eastAsia" w:ascii="仿宋" w:hAnsi="仿宋" w:eastAsia="仿宋" w:cs="仿宋"/>
          <w:color w:val="auto"/>
          <w:sz w:val="24"/>
          <w:szCs w:val="24"/>
          <w:highlight w:val="none"/>
        </w:rPr>
      </w:pPr>
    </w:p>
    <w:p w14:paraId="0C091804">
      <w:pPr>
        <w:pStyle w:val="74"/>
        <w:spacing w:line="48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名称（加盖公章）：</w:t>
      </w:r>
    </w:p>
    <w:p w14:paraId="0BBDC041">
      <w:pPr>
        <w:pStyle w:val="74"/>
        <w:spacing w:line="48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法定代表人或受委托人（签名或盖私章）：</w:t>
      </w:r>
    </w:p>
    <w:p w14:paraId="152372E8">
      <w:pPr>
        <w:pStyle w:val="74"/>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w:t>
      </w:r>
    </w:p>
    <w:p w14:paraId="2ABBF504">
      <w:pPr>
        <w:pStyle w:val="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14:paraId="316487EB">
      <w:pPr>
        <w:adjustRightInd w:val="0"/>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附件2、</w:t>
      </w:r>
      <w:r>
        <w:rPr>
          <w:rFonts w:hint="eastAsia" w:ascii="仿宋" w:hAnsi="仿宋" w:eastAsia="仿宋" w:cs="仿宋"/>
          <w:b/>
          <w:color w:val="auto"/>
          <w:sz w:val="24"/>
          <w:szCs w:val="24"/>
          <w:highlight w:val="none"/>
        </w:rPr>
        <w:t>中小企业声明函</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服务</w:t>
      </w:r>
      <w:r>
        <w:rPr>
          <w:rFonts w:hint="eastAsia" w:ascii="仿宋" w:hAnsi="仿宋" w:eastAsia="仿宋" w:cs="仿宋"/>
          <w:b/>
          <w:color w:val="auto"/>
          <w:sz w:val="24"/>
          <w:szCs w:val="24"/>
          <w:highlight w:val="none"/>
          <w:lang w:eastAsia="zh-CN"/>
        </w:rPr>
        <w:t>）</w:t>
      </w:r>
    </w:p>
    <w:p w14:paraId="751ED33D">
      <w:pPr>
        <w:spacing w:line="360" w:lineRule="auto"/>
        <w:ind w:firstLine="480" w:firstLineChars="200"/>
        <w:rPr>
          <w:rFonts w:hint="eastAsia" w:ascii="仿宋" w:hAnsi="仿宋" w:eastAsia="仿宋" w:cs="仿宋"/>
          <w:color w:val="auto"/>
          <w:sz w:val="24"/>
          <w:szCs w:val="24"/>
          <w:highlight w:val="none"/>
        </w:rPr>
      </w:pPr>
    </w:p>
    <w:p w14:paraId="0CD85FB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本公司（联合体）郑重声明，根据《政府采购促进中小企业发展管理办法》(财库[2020]46号)的规定，本公司（联合体）参加</w:t>
      </w:r>
      <w:r>
        <w:rPr>
          <w:rFonts w:hint="eastAsia" w:ascii="仿宋" w:hAnsi="仿宋" w:eastAsia="仿宋" w:cs="仿宋"/>
          <w:color w:val="auto"/>
          <w:sz w:val="24"/>
          <w:szCs w:val="24"/>
          <w:highlight w:val="none"/>
          <w:u w:val="single"/>
        </w:rPr>
        <w:t>（单位名称）</w:t>
      </w:r>
      <w:r>
        <w:rPr>
          <w:rFonts w:hint="eastAsia" w:ascii="仿宋" w:hAnsi="仿宋" w:eastAsia="仿宋" w:cs="仿宋"/>
          <w:color w:val="auto"/>
          <w:sz w:val="24"/>
          <w:szCs w:val="24"/>
          <w:highlight w:val="none"/>
        </w:rPr>
        <w:t xml:space="preserve"> 的</w:t>
      </w:r>
      <w:r>
        <w:rPr>
          <w:rFonts w:hint="eastAsia" w:ascii="仿宋" w:hAnsi="仿宋" w:eastAsia="仿宋" w:cs="仿宋"/>
          <w:color w:val="auto"/>
          <w:sz w:val="24"/>
          <w:szCs w:val="24"/>
          <w:highlight w:val="none"/>
          <w:u w:val="single"/>
        </w:rPr>
        <w:t xml:space="preserve"> （项目名称）</w:t>
      </w:r>
      <w:r>
        <w:rPr>
          <w:rFonts w:hint="eastAsia" w:ascii="仿宋" w:hAnsi="仿宋" w:eastAsia="仿宋" w:cs="仿宋"/>
          <w:color w:val="auto"/>
          <w:sz w:val="24"/>
          <w:szCs w:val="24"/>
          <w:highlight w:val="none"/>
        </w:rPr>
        <w:t xml:space="preserve">  采购活动，服务全部由符合政策要求的中小企业承接。相关企业（含联合体中的中小企业、签订分包意向协议的中小企业）的具体情况如下</w:t>
      </w:r>
    </w:p>
    <w:p w14:paraId="5D615C6E">
      <w:pPr>
        <w:keepNext w:val="0"/>
        <w:keepLines w:val="0"/>
        <w:widowControl w:val="0"/>
        <w:suppressLineNumbers w:val="0"/>
        <w:spacing w:before="0" w:beforeAutospacing="0" w:after="0" w:afterAutospacing="0"/>
        <w:ind w:left="0" w:right="0"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u w:val="single"/>
        </w:rPr>
        <w:t xml:space="preserve">（标的名称）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采购</w:t>
      </w:r>
      <w:r>
        <w:rPr>
          <w:rFonts w:hint="eastAsia" w:ascii="仿宋" w:hAnsi="仿宋" w:eastAsia="仿宋" w:cs="仿宋"/>
          <w:color w:val="auto"/>
          <w:sz w:val="24"/>
          <w:szCs w:val="24"/>
          <w:highlight w:val="none"/>
          <w:u w:val="single"/>
          <w:lang w:eastAsia="zh-CN"/>
        </w:rPr>
        <w:t>文件</w:t>
      </w:r>
      <w:r>
        <w:rPr>
          <w:rFonts w:hint="eastAsia" w:ascii="仿宋" w:hAnsi="仿宋" w:eastAsia="仿宋" w:cs="仿宋"/>
          <w:color w:val="auto"/>
          <w:sz w:val="24"/>
          <w:szCs w:val="24"/>
          <w:highlight w:val="none"/>
          <w:u w:val="single"/>
        </w:rPr>
        <w:t>中明确的所属行业）</w:t>
      </w:r>
      <w:r>
        <w:rPr>
          <w:rFonts w:hint="eastAsia" w:ascii="仿宋" w:hAnsi="仿宋" w:eastAsia="仿宋" w:cs="仿宋"/>
          <w:color w:val="auto"/>
          <w:sz w:val="24"/>
          <w:szCs w:val="24"/>
          <w:highlight w:val="none"/>
        </w:rPr>
        <w:t>行业 ；</w:t>
      </w:r>
      <w:r>
        <w:rPr>
          <w:rFonts w:hint="eastAsia" w:ascii="仿宋" w:hAnsi="仿宋" w:eastAsia="仿宋" w:cs="仿宋"/>
          <w:color w:val="auto"/>
          <w:sz w:val="24"/>
          <w:szCs w:val="24"/>
          <w:highlight w:val="none"/>
          <w:lang w:val="en-US" w:eastAsia="zh-CN"/>
        </w:rPr>
        <w:t>承建（承接）企业</w:t>
      </w:r>
      <w:r>
        <w:rPr>
          <w:rFonts w:hint="eastAsia" w:ascii="仿宋" w:hAnsi="仿宋" w:eastAsia="仿宋" w:cs="仿宋"/>
          <w:color w:val="auto"/>
          <w:sz w:val="24"/>
          <w:szCs w:val="24"/>
          <w:highlight w:val="none"/>
        </w:rPr>
        <w:t>为</w:t>
      </w:r>
      <w:r>
        <w:rPr>
          <w:rFonts w:hint="eastAsia" w:ascii="仿宋" w:hAnsi="仿宋" w:eastAsia="仿宋" w:cs="仿宋"/>
          <w:color w:val="auto"/>
          <w:sz w:val="24"/>
          <w:szCs w:val="24"/>
          <w:highlight w:val="none"/>
          <w:u w:val="single"/>
        </w:rPr>
        <w:t xml:space="preserve"> （企业名称）</w:t>
      </w:r>
      <w:r>
        <w:rPr>
          <w:rFonts w:hint="eastAsia" w:ascii="仿宋" w:hAnsi="仿宋" w:eastAsia="仿宋" w:cs="仿宋"/>
          <w:color w:val="auto"/>
          <w:sz w:val="24"/>
          <w:szCs w:val="24"/>
          <w:highlight w:val="none"/>
        </w:rPr>
        <w:t xml:space="preserve"> ，从业人员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w:t>
      </w:r>
      <w:r>
        <w:rPr>
          <w:rFonts w:hint="eastAsia" w:ascii="仿宋" w:hAnsi="仿宋" w:eastAsia="仿宋" w:cs="仿宋"/>
          <w:kern w:val="2"/>
          <w:sz w:val="24"/>
          <w:szCs w:val="24"/>
          <w:highlight w:val="none"/>
          <w:vertAlign w:val="superscript"/>
          <w:lang w:val="en-US" w:eastAsia="zh-CN" w:bidi="ar"/>
        </w:rPr>
        <w:t>1</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14:paraId="64723E7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u w:val="single"/>
        </w:rPr>
        <w:t xml:space="preserve">（标的名称）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采购</w:t>
      </w:r>
      <w:r>
        <w:rPr>
          <w:rFonts w:hint="eastAsia" w:ascii="仿宋" w:hAnsi="仿宋" w:eastAsia="仿宋" w:cs="仿宋"/>
          <w:color w:val="auto"/>
          <w:sz w:val="24"/>
          <w:szCs w:val="24"/>
          <w:highlight w:val="none"/>
          <w:u w:val="single"/>
          <w:lang w:eastAsia="zh-CN"/>
        </w:rPr>
        <w:t>文件</w:t>
      </w:r>
      <w:r>
        <w:rPr>
          <w:rFonts w:hint="eastAsia" w:ascii="仿宋" w:hAnsi="仿宋" w:eastAsia="仿宋" w:cs="仿宋"/>
          <w:color w:val="auto"/>
          <w:sz w:val="24"/>
          <w:szCs w:val="24"/>
          <w:highlight w:val="none"/>
          <w:u w:val="single"/>
        </w:rPr>
        <w:t>中明确的所属行业）</w:t>
      </w:r>
      <w:r>
        <w:rPr>
          <w:rFonts w:hint="eastAsia" w:ascii="仿宋" w:hAnsi="仿宋" w:eastAsia="仿宋" w:cs="仿宋"/>
          <w:color w:val="auto"/>
          <w:sz w:val="24"/>
          <w:szCs w:val="24"/>
          <w:highlight w:val="none"/>
        </w:rPr>
        <w:t>行业 ；承建（承接）企业为为</w:t>
      </w:r>
      <w:r>
        <w:rPr>
          <w:rFonts w:hint="eastAsia" w:ascii="仿宋" w:hAnsi="仿宋" w:eastAsia="仿宋" w:cs="仿宋"/>
          <w:color w:val="auto"/>
          <w:sz w:val="24"/>
          <w:szCs w:val="24"/>
          <w:highlight w:val="none"/>
          <w:u w:val="single"/>
        </w:rPr>
        <w:t xml:space="preserve"> （企业名称）</w:t>
      </w:r>
      <w:r>
        <w:rPr>
          <w:rFonts w:hint="eastAsia" w:ascii="仿宋" w:hAnsi="仿宋" w:eastAsia="仿宋" w:cs="仿宋"/>
          <w:color w:val="auto"/>
          <w:sz w:val="24"/>
          <w:szCs w:val="24"/>
          <w:highlight w:val="none"/>
        </w:rPr>
        <w:t xml:space="preserve"> ，从业人员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14:paraId="0CF2948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34CE2E7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以上企业，不属于大企业的分支机构，不存在控股股东为大企业的情况，也不存在与大企业的负责人为同一人的情况。</w:t>
      </w:r>
    </w:p>
    <w:p w14:paraId="63528E3D">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14:paraId="3F3BDA3E">
      <w:pPr>
        <w:spacing w:line="360" w:lineRule="auto"/>
        <w:ind w:firstLine="3523" w:firstLineChars="1468"/>
        <w:rPr>
          <w:rFonts w:hint="eastAsia" w:ascii="仿宋" w:hAnsi="仿宋" w:eastAsia="仿宋" w:cs="仿宋"/>
          <w:color w:val="auto"/>
          <w:sz w:val="24"/>
          <w:szCs w:val="24"/>
          <w:highlight w:val="none"/>
        </w:rPr>
      </w:pPr>
    </w:p>
    <w:p w14:paraId="17D2B997">
      <w:pPr>
        <w:spacing w:line="360" w:lineRule="auto"/>
        <w:ind w:firstLine="3523" w:firstLineChars="146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投标单位名称（盖章）：</w:t>
      </w:r>
    </w:p>
    <w:p w14:paraId="2CD85323">
      <w:pPr>
        <w:spacing w:line="360" w:lineRule="auto"/>
        <w:ind w:firstLine="3523" w:firstLineChars="146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p w14:paraId="6B9B4B30">
      <w:pPr>
        <w:spacing w:line="360" w:lineRule="auto"/>
        <w:ind w:firstLine="480" w:firstLineChars="200"/>
        <w:rPr>
          <w:rFonts w:hint="eastAsia" w:ascii="仿宋" w:hAnsi="仿宋" w:eastAsia="仿宋" w:cs="仿宋"/>
          <w:color w:val="auto"/>
          <w:sz w:val="24"/>
          <w:szCs w:val="24"/>
          <w:highlight w:val="none"/>
        </w:rPr>
      </w:pPr>
    </w:p>
    <w:p w14:paraId="00A83911">
      <w:pPr>
        <w:pStyle w:val="68"/>
        <w:spacing w:line="360" w:lineRule="auto"/>
        <w:ind w:firstLine="0" w:firstLineChars="0"/>
        <w:rPr>
          <w:rFonts w:hint="eastAsia" w:ascii="仿宋" w:hAnsi="仿宋" w:eastAsia="仿宋" w:cs="仿宋"/>
          <w:b/>
          <w:color w:val="auto"/>
          <w:sz w:val="24"/>
          <w:szCs w:val="24"/>
          <w:highlight w:val="none"/>
        </w:rPr>
      </w:pPr>
    </w:p>
    <w:p w14:paraId="70374C23">
      <w:pPr>
        <w:pStyle w:val="68"/>
        <w:spacing w:line="360" w:lineRule="auto"/>
        <w:ind w:firstLine="0" w:firstLineChars="0"/>
        <w:rPr>
          <w:rFonts w:hint="eastAsia" w:ascii="仿宋" w:hAnsi="仿宋" w:eastAsia="仿宋" w:cs="仿宋"/>
          <w:b/>
          <w:color w:val="auto"/>
          <w:sz w:val="24"/>
          <w:szCs w:val="24"/>
          <w:highlight w:val="none"/>
        </w:rPr>
      </w:pPr>
    </w:p>
    <w:p w14:paraId="1E88705A">
      <w:pPr>
        <w:pStyle w:val="68"/>
        <w:spacing w:line="360" w:lineRule="auto"/>
        <w:ind w:firstLine="0" w:firstLineChars="0"/>
        <w:rPr>
          <w:rFonts w:hint="eastAsia" w:ascii="仿宋" w:hAnsi="仿宋" w:eastAsia="仿宋" w:cs="仿宋"/>
          <w:b/>
          <w:color w:val="auto"/>
          <w:sz w:val="24"/>
          <w:szCs w:val="24"/>
          <w:highlight w:val="none"/>
        </w:rPr>
      </w:pPr>
    </w:p>
    <w:p w14:paraId="38B2810C">
      <w:pPr>
        <w:pStyle w:val="68"/>
        <w:spacing w:line="360" w:lineRule="auto"/>
        <w:ind w:firstLine="0" w:firstLineChars="0"/>
        <w:rPr>
          <w:rFonts w:hint="eastAsia" w:ascii="仿宋" w:hAnsi="仿宋" w:eastAsia="仿宋" w:cs="仿宋"/>
          <w:b/>
          <w:color w:val="auto"/>
          <w:sz w:val="24"/>
          <w:szCs w:val="24"/>
          <w:highlight w:val="none"/>
        </w:rPr>
      </w:pPr>
    </w:p>
    <w:p w14:paraId="4049005F">
      <w:pPr>
        <w:pStyle w:val="68"/>
        <w:spacing w:line="360" w:lineRule="auto"/>
        <w:ind w:firstLine="0" w:firstLineChars="0"/>
        <w:rPr>
          <w:rFonts w:hint="eastAsia" w:ascii="仿宋" w:hAnsi="仿宋" w:eastAsia="仿宋" w:cs="仿宋"/>
          <w:b/>
          <w:color w:val="auto"/>
          <w:sz w:val="24"/>
          <w:szCs w:val="24"/>
          <w:highlight w:val="none"/>
        </w:rPr>
      </w:pPr>
    </w:p>
    <w:p w14:paraId="1759BC1F">
      <w:pPr>
        <w:pStyle w:val="68"/>
        <w:spacing w:line="360" w:lineRule="auto"/>
        <w:ind w:firstLine="0" w:firstLineChars="0"/>
        <w:rPr>
          <w:rFonts w:hint="eastAsia" w:ascii="仿宋" w:hAnsi="仿宋" w:eastAsia="仿宋" w:cs="仿宋"/>
          <w:b/>
          <w:color w:val="auto"/>
          <w:sz w:val="24"/>
          <w:szCs w:val="24"/>
          <w:highlight w:val="none"/>
        </w:rPr>
      </w:pPr>
    </w:p>
    <w:p w14:paraId="3384B50F">
      <w:pPr>
        <w:pStyle w:val="68"/>
        <w:spacing w:line="360" w:lineRule="auto"/>
        <w:ind w:firstLine="0" w:firstLineChars="0"/>
        <w:rPr>
          <w:rFonts w:hint="eastAsia" w:ascii="仿宋" w:hAnsi="仿宋" w:eastAsia="仿宋" w:cs="仿宋"/>
          <w:b/>
          <w:color w:val="auto"/>
          <w:sz w:val="24"/>
          <w:szCs w:val="24"/>
          <w:highlight w:val="none"/>
        </w:rPr>
      </w:pPr>
    </w:p>
    <w:p w14:paraId="684C1236">
      <w:pPr>
        <w:pStyle w:val="68"/>
        <w:spacing w:line="360" w:lineRule="auto"/>
        <w:ind w:firstLine="0" w:firstLineChars="0"/>
        <w:rPr>
          <w:rFonts w:hint="eastAsia" w:ascii="仿宋" w:hAnsi="仿宋" w:eastAsia="仿宋" w:cs="仿宋"/>
          <w:b/>
          <w:color w:val="auto"/>
          <w:sz w:val="24"/>
          <w:szCs w:val="24"/>
          <w:highlight w:val="none"/>
        </w:rPr>
      </w:pPr>
    </w:p>
    <w:p w14:paraId="12EA3639">
      <w:pPr>
        <w:pStyle w:val="68"/>
        <w:spacing w:line="360" w:lineRule="auto"/>
        <w:ind w:firstLine="0" w:firstLineChars="0"/>
        <w:rPr>
          <w:rFonts w:hint="eastAsia" w:ascii="仿宋" w:hAnsi="仿宋" w:eastAsia="仿宋" w:cs="仿宋"/>
          <w:b/>
          <w:color w:val="auto"/>
          <w:sz w:val="24"/>
          <w:szCs w:val="24"/>
          <w:highlight w:val="none"/>
        </w:rPr>
      </w:pPr>
    </w:p>
    <w:p w14:paraId="69504F93">
      <w:pPr>
        <w:pStyle w:val="68"/>
        <w:spacing w:line="360" w:lineRule="auto"/>
        <w:ind w:firstLine="0" w:firstLineChars="0"/>
        <w:rPr>
          <w:rFonts w:hint="eastAsia" w:ascii="仿宋" w:hAnsi="仿宋" w:eastAsia="仿宋" w:cs="仿宋"/>
          <w:b/>
          <w:color w:val="auto"/>
          <w:sz w:val="24"/>
          <w:szCs w:val="24"/>
          <w:highlight w:val="none"/>
        </w:rPr>
      </w:pPr>
    </w:p>
    <w:p w14:paraId="2D47BEF0">
      <w:pPr>
        <w:jc w:val="center"/>
        <w:rPr>
          <w:rFonts w:hint="eastAsia" w:ascii="仿宋" w:hAnsi="仿宋" w:eastAsia="仿宋" w:cs="仿宋"/>
          <w:b/>
          <w:color w:val="auto"/>
          <w:sz w:val="24"/>
          <w:szCs w:val="24"/>
          <w:highlight w:val="none"/>
        </w:rPr>
      </w:pPr>
    </w:p>
    <w:p w14:paraId="72E7FE22">
      <w:pPr>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val="en-US" w:eastAsia="zh-CN"/>
        </w:rPr>
        <w:t>附件3、</w:t>
      </w:r>
      <w:r>
        <w:rPr>
          <w:rFonts w:hint="eastAsia" w:ascii="仿宋" w:hAnsi="仿宋" w:eastAsia="仿宋" w:cs="仿宋"/>
          <w:b/>
          <w:color w:val="auto"/>
          <w:sz w:val="24"/>
          <w:szCs w:val="24"/>
          <w:highlight w:val="none"/>
        </w:rPr>
        <w:t>残疾人福利性单位声明函</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如有</w:t>
      </w:r>
      <w:r>
        <w:rPr>
          <w:rFonts w:hint="eastAsia" w:ascii="仿宋" w:hAnsi="仿宋" w:eastAsia="仿宋" w:cs="仿宋"/>
          <w:b/>
          <w:color w:val="auto"/>
          <w:sz w:val="24"/>
          <w:szCs w:val="24"/>
          <w:highlight w:val="none"/>
          <w:lang w:eastAsia="zh-CN"/>
        </w:rPr>
        <w:t>）</w:t>
      </w:r>
    </w:p>
    <w:p w14:paraId="2CF0DD01">
      <w:pPr>
        <w:spacing w:line="420" w:lineRule="atLeast"/>
        <w:ind w:firstLine="480" w:firstLineChars="200"/>
        <w:rPr>
          <w:rFonts w:hint="eastAsia" w:ascii="仿宋" w:hAnsi="仿宋" w:eastAsia="仿宋" w:cs="仿宋"/>
          <w:color w:val="auto"/>
          <w:sz w:val="24"/>
          <w:szCs w:val="24"/>
          <w:highlight w:val="none"/>
        </w:rPr>
      </w:pPr>
    </w:p>
    <w:p w14:paraId="0F1191DA">
      <w:pPr>
        <w:spacing w:line="420" w:lineRule="atLeas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szCs w:val="24"/>
          <w:highlight w:val="none"/>
          <w:u w:val="single"/>
        </w:rPr>
        <w:t>____                __</w:t>
      </w:r>
      <w:r>
        <w:rPr>
          <w:rFonts w:hint="eastAsia" w:ascii="仿宋" w:hAnsi="仿宋" w:eastAsia="仿宋" w:cs="仿宋"/>
          <w:color w:val="auto"/>
          <w:sz w:val="24"/>
          <w:szCs w:val="24"/>
          <w:highlight w:val="none"/>
        </w:rPr>
        <w:t>单位的__                    ____项目采购活动提供本单位制造的货物（由本单位承担工程/提供服务），或者提供其他残疾人福利性单位制造的货物（不包括使用非残疾人福利性单位注册商标的货物）。</w:t>
      </w:r>
    </w:p>
    <w:p w14:paraId="5E116D24">
      <w:pPr>
        <w:spacing w:line="420" w:lineRule="atLeas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本单位对上述声明的真实性负责。如有虚假，将依法承担相应责任。</w:t>
      </w:r>
    </w:p>
    <w:p w14:paraId="7E8B6A7A">
      <w:pPr>
        <w:spacing w:line="480" w:lineRule="auto"/>
        <w:rPr>
          <w:rFonts w:hint="eastAsia" w:ascii="仿宋" w:hAnsi="仿宋" w:eastAsia="仿宋" w:cs="仿宋"/>
          <w:b/>
          <w:color w:val="auto"/>
          <w:sz w:val="24"/>
          <w:szCs w:val="24"/>
          <w:highlight w:val="none"/>
        </w:rPr>
      </w:pPr>
    </w:p>
    <w:p w14:paraId="0332D295">
      <w:pPr>
        <w:tabs>
          <w:tab w:val="left" w:pos="465"/>
          <w:tab w:val="left" w:pos="780"/>
        </w:tabs>
        <w:spacing w:line="42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注：此函随同价格文件和技术商务文件一起装订，非残疾人福利性单位投标时</w:t>
      </w:r>
      <w:r>
        <w:rPr>
          <w:rFonts w:hint="eastAsia" w:ascii="仿宋" w:hAnsi="仿宋" w:eastAsia="仿宋" w:cs="仿宋"/>
          <w:b/>
          <w:color w:val="auto"/>
          <w:sz w:val="24"/>
          <w:szCs w:val="24"/>
          <w:highlight w:val="none"/>
        </w:rPr>
        <w:t>不需要提供此声明函。</w:t>
      </w:r>
    </w:p>
    <w:p w14:paraId="20A371DF">
      <w:pPr>
        <w:spacing w:line="480" w:lineRule="auto"/>
        <w:rPr>
          <w:rFonts w:hint="eastAsia" w:ascii="仿宋" w:hAnsi="仿宋" w:eastAsia="仿宋" w:cs="仿宋"/>
          <w:b/>
          <w:color w:val="auto"/>
          <w:sz w:val="24"/>
          <w:szCs w:val="24"/>
          <w:highlight w:val="none"/>
        </w:rPr>
      </w:pPr>
    </w:p>
    <w:p w14:paraId="19E0878B">
      <w:pPr>
        <w:spacing w:line="480" w:lineRule="auto"/>
        <w:rPr>
          <w:rFonts w:hint="eastAsia" w:ascii="仿宋" w:hAnsi="仿宋" w:eastAsia="仿宋" w:cs="仿宋"/>
          <w:b/>
          <w:color w:val="auto"/>
          <w:sz w:val="24"/>
          <w:szCs w:val="24"/>
          <w:highlight w:val="none"/>
        </w:rPr>
      </w:pPr>
    </w:p>
    <w:p w14:paraId="452B8930">
      <w:pPr>
        <w:pStyle w:val="14"/>
        <w:spacing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名称（加盖公章）：</w:t>
      </w:r>
    </w:p>
    <w:p w14:paraId="0E576978">
      <w:pPr>
        <w:pStyle w:val="14"/>
        <w:spacing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法定代表人或受委托人（签名或盖私章）：</w:t>
      </w:r>
    </w:p>
    <w:p w14:paraId="79AF559B">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w:t>
      </w:r>
    </w:p>
    <w:p w14:paraId="08B422BC">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6A536221">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22A3FC51">
      <w:pPr>
        <w:jc w:val="center"/>
        <w:rPr>
          <w:rFonts w:hint="eastAsia" w:ascii="仿宋" w:hAnsi="仿宋" w:eastAsia="仿宋" w:cs="仿宋"/>
          <w:b/>
          <w:color w:val="auto"/>
          <w:sz w:val="24"/>
          <w:szCs w:val="24"/>
          <w:highlight w:val="none"/>
          <w:lang w:val="en-US" w:eastAsia="zh-CN"/>
        </w:rPr>
      </w:pPr>
    </w:p>
    <w:p w14:paraId="2F993086">
      <w:pPr>
        <w:jc w:val="center"/>
        <w:rPr>
          <w:rFonts w:hint="eastAsia" w:ascii="仿宋" w:hAnsi="仿宋" w:eastAsia="仿宋" w:cs="仿宋"/>
          <w:b/>
          <w:color w:val="auto"/>
          <w:sz w:val="24"/>
          <w:szCs w:val="24"/>
          <w:highlight w:val="none"/>
          <w:lang w:val="en-US" w:eastAsia="zh-CN"/>
        </w:rPr>
      </w:pPr>
    </w:p>
    <w:p w14:paraId="32433E78">
      <w:pPr>
        <w:jc w:val="center"/>
        <w:rPr>
          <w:rFonts w:hint="eastAsia" w:ascii="仿宋" w:hAnsi="仿宋" w:eastAsia="仿宋" w:cs="仿宋"/>
          <w:b/>
          <w:color w:val="auto"/>
          <w:sz w:val="24"/>
          <w:szCs w:val="24"/>
          <w:highlight w:val="none"/>
          <w:lang w:val="en-US" w:eastAsia="zh-CN"/>
        </w:rPr>
      </w:pPr>
    </w:p>
    <w:p w14:paraId="6E1ACB42">
      <w:pPr>
        <w:jc w:val="center"/>
        <w:rPr>
          <w:rFonts w:hint="eastAsia" w:ascii="仿宋" w:hAnsi="仿宋" w:eastAsia="仿宋" w:cs="仿宋"/>
          <w:b/>
          <w:color w:val="auto"/>
          <w:sz w:val="24"/>
          <w:szCs w:val="24"/>
          <w:highlight w:val="none"/>
          <w:lang w:val="en-US" w:eastAsia="zh-CN"/>
        </w:rPr>
      </w:pPr>
    </w:p>
    <w:p w14:paraId="3BD1AFF5">
      <w:pPr>
        <w:pStyle w:val="41"/>
        <w:rPr>
          <w:rFonts w:hint="eastAsia" w:ascii="仿宋" w:hAnsi="仿宋" w:eastAsia="仿宋" w:cs="仿宋"/>
          <w:b/>
          <w:color w:val="auto"/>
          <w:sz w:val="24"/>
          <w:szCs w:val="24"/>
          <w:highlight w:val="none"/>
          <w:lang w:val="en-US" w:eastAsia="zh-CN"/>
        </w:rPr>
      </w:pPr>
    </w:p>
    <w:p w14:paraId="03068DBE">
      <w:pPr>
        <w:pStyle w:val="41"/>
        <w:rPr>
          <w:rFonts w:hint="eastAsia" w:ascii="仿宋" w:hAnsi="仿宋" w:eastAsia="仿宋" w:cs="仿宋"/>
          <w:b/>
          <w:color w:val="auto"/>
          <w:sz w:val="24"/>
          <w:szCs w:val="24"/>
          <w:highlight w:val="none"/>
          <w:lang w:val="en-US" w:eastAsia="zh-CN"/>
        </w:rPr>
      </w:pPr>
    </w:p>
    <w:p w14:paraId="2671CA45">
      <w:pPr>
        <w:pStyle w:val="41"/>
        <w:rPr>
          <w:rFonts w:hint="eastAsia" w:ascii="仿宋" w:hAnsi="仿宋" w:eastAsia="仿宋" w:cs="仿宋"/>
          <w:b/>
          <w:color w:val="auto"/>
          <w:sz w:val="24"/>
          <w:szCs w:val="24"/>
          <w:highlight w:val="none"/>
          <w:lang w:val="en-US" w:eastAsia="zh-CN"/>
        </w:rPr>
      </w:pPr>
    </w:p>
    <w:p w14:paraId="637A8F7D">
      <w:pPr>
        <w:pStyle w:val="41"/>
        <w:rPr>
          <w:rFonts w:hint="eastAsia" w:ascii="仿宋" w:hAnsi="仿宋" w:eastAsia="仿宋" w:cs="仿宋"/>
          <w:b/>
          <w:color w:val="auto"/>
          <w:sz w:val="24"/>
          <w:szCs w:val="24"/>
          <w:highlight w:val="none"/>
          <w:lang w:val="en-US" w:eastAsia="zh-CN"/>
        </w:rPr>
      </w:pPr>
    </w:p>
    <w:p w14:paraId="281F87E8">
      <w:pPr>
        <w:pStyle w:val="41"/>
        <w:rPr>
          <w:rFonts w:hint="eastAsia" w:ascii="仿宋" w:hAnsi="仿宋" w:eastAsia="仿宋" w:cs="仿宋"/>
          <w:b/>
          <w:color w:val="auto"/>
          <w:sz w:val="24"/>
          <w:szCs w:val="24"/>
          <w:highlight w:val="none"/>
          <w:lang w:val="en-US" w:eastAsia="zh-CN"/>
        </w:rPr>
      </w:pPr>
    </w:p>
    <w:p w14:paraId="42B61474">
      <w:pPr>
        <w:pStyle w:val="41"/>
        <w:rPr>
          <w:rFonts w:hint="eastAsia" w:ascii="仿宋" w:hAnsi="仿宋" w:eastAsia="仿宋" w:cs="仿宋"/>
          <w:b/>
          <w:color w:val="auto"/>
          <w:sz w:val="24"/>
          <w:szCs w:val="24"/>
          <w:highlight w:val="none"/>
          <w:lang w:val="en-US" w:eastAsia="zh-CN"/>
        </w:rPr>
      </w:pPr>
    </w:p>
    <w:p w14:paraId="0BFB7595">
      <w:pPr>
        <w:pStyle w:val="41"/>
        <w:rPr>
          <w:rFonts w:hint="eastAsia" w:ascii="仿宋" w:hAnsi="仿宋" w:eastAsia="仿宋" w:cs="仿宋"/>
          <w:b/>
          <w:color w:val="auto"/>
          <w:sz w:val="24"/>
          <w:szCs w:val="24"/>
          <w:highlight w:val="none"/>
          <w:lang w:val="en-US" w:eastAsia="zh-CN"/>
        </w:rPr>
      </w:pPr>
    </w:p>
    <w:p w14:paraId="78B170AF">
      <w:pPr>
        <w:jc w:val="center"/>
        <w:rPr>
          <w:rFonts w:hint="eastAsia" w:ascii="仿宋" w:hAnsi="仿宋" w:eastAsia="仿宋" w:cs="仿宋"/>
          <w:b/>
          <w:color w:val="auto"/>
          <w:sz w:val="24"/>
          <w:szCs w:val="24"/>
          <w:highlight w:val="none"/>
          <w:lang w:val="en-US" w:eastAsia="zh-CN"/>
        </w:rPr>
      </w:pPr>
    </w:p>
    <w:p w14:paraId="6641252E">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附件4</w:t>
      </w:r>
      <w:r>
        <w:rPr>
          <w:rFonts w:hint="eastAsia" w:ascii="仿宋" w:hAnsi="仿宋" w:eastAsia="仿宋" w:cs="仿宋"/>
          <w:b/>
          <w:color w:val="auto"/>
          <w:sz w:val="24"/>
          <w:szCs w:val="24"/>
          <w:highlight w:val="none"/>
        </w:rPr>
        <w:t>省级以上监狱管理局、戒毒管理局（含新疆生产建设兵团）出具的属于监狱企业证明文件（格式自拟）</w:t>
      </w:r>
    </w:p>
    <w:p w14:paraId="2085E4FC">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3288C12B">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2E07BFF1">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2939A1D0">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2F6F16F1">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3679FAF7">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75B7EFB0">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44C6C6A7">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44956305">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2F54E307">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p w14:paraId="0A94D296">
      <w:pPr>
        <w:rPr>
          <w:rFonts w:hint="eastAsia"/>
          <w:highlight w:val="none"/>
        </w:rPr>
      </w:pPr>
    </w:p>
    <w:p w14:paraId="066FF55F">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p>
    <w:bookmarkEnd w:id="502"/>
    <w:p w14:paraId="6E502D0A">
      <w:pPr>
        <w:pStyle w:val="2"/>
        <w:keepNext w:val="0"/>
        <w:keepLines w:val="0"/>
        <w:pageBreakBefore w:val="0"/>
        <w:widowControl w:val="0"/>
        <w:kinsoku/>
        <w:overflowPunct/>
        <w:topLinePunct w:val="0"/>
        <w:bidi w:val="0"/>
        <w:adjustRightInd/>
        <w:snapToGrid/>
        <w:textAlignment w:val="auto"/>
        <w:rPr>
          <w:rFonts w:hint="eastAsia" w:ascii="仿宋" w:hAnsi="仿宋" w:eastAsia="仿宋" w:cs="仿宋"/>
          <w:color w:val="auto"/>
          <w:sz w:val="24"/>
          <w:szCs w:val="24"/>
          <w:highlight w:val="none"/>
        </w:rPr>
      </w:pPr>
      <w:bookmarkStart w:id="505" w:name="_Toc24440"/>
      <w:bookmarkStart w:id="506" w:name="_Toc9700"/>
      <w:bookmarkStart w:id="507" w:name="_Toc45795253"/>
      <w:r>
        <w:rPr>
          <w:rFonts w:hint="eastAsia" w:ascii="仿宋" w:hAnsi="仿宋" w:eastAsia="仿宋" w:cs="仿宋"/>
          <w:color w:val="auto"/>
          <w:sz w:val="24"/>
          <w:szCs w:val="24"/>
          <w:highlight w:val="none"/>
        </w:rPr>
        <w:t xml:space="preserve">附表1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初步评审标准表</w:t>
      </w:r>
      <w:bookmarkEnd w:id="505"/>
    </w:p>
    <w:tbl>
      <w:tblPr>
        <w:tblStyle w:val="33"/>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472"/>
        <w:gridCol w:w="6889"/>
        <w:gridCol w:w="799"/>
        <w:gridCol w:w="882"/>
      </w:tblGrid>
      <w:tr w14:paraId="1CC9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517" w:type="dxa"/>
            <w:vMerge w:val="restart"/>
            <w:vAlign w:val="center"/>
          </w:tcPr>
          <w:p w14:paraId="3D79B12A">
            <w:pPr>
              <w:keepNext w:val="0"/>
              <w:keepLines w:val="0"/>
              <w:pageBreakBefore w:val="0"/>
              <w:widowControl w:val="0"/>
              <w:kinsoku/>
              <w:overflowPunct/>
              <w:topLinePunct w:val="0"/>
              <w:autoSpaceDE w:val="0"/>
              <w:autoSpaceDN w:val="0"/>
              <w:bidi w:val="0"/>
              <w:adjustRightInd/>
              <w:snapToGrid/>
              <w:spacing w:line="2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tc>
        <w:tc>
          <w:tcPr>
            <w:tcW w:w="472" w:type="dxa"/>
            <w:vMerge w:val="restart"/>
            <w:vAlign w:val="center"/>
          </w:tcPr>
          <w:p w14:paraId="2743DC10">
            <w:pPr>
              <w:keepNext w:val="0"/>
              <w:keepLines w:val="0"/>
              <w:pageBreakBefore w:val="0"/>
              <w:widowControl w:val="0"/>
              <w:kinsoku/>
              <w:overflowPunct/>
              <w:topLinePunct w:val="0"/>
              <w:autoSpaceDE w:val="0"/>
              <w:autoSpaceDN w:val="0"/>
              <w:bidi w:val="0"/>
              <w:adjustRightInd/>
              <w:snapToGrid/>
              <w:spacing w:line="2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6889" w:type="dxa"/>
            <w:vMerge w:val="restart"/>
            <w:vAlign w:val="center"/>
          </w:tcPr>
          <w:p w14:paraId="387F103B">
            <w:pPr>
              <w:keepNext w:val="0"/>
              <w:keepLines w:val="0"/>
              <w:pageBreakBefore w:val="0"/>
              <w:widowControl w:val="0"/>
              <w:kinsoku/>
              <w:overflowPunct/>
              <w:topLinePunct w:val="0"/>
              <w:autoSpaceDE w:val="0"/>
              <w:autoSpaceDN w:val="0"/>
              <w:bidi w:val="0"/>
              <w:adjustRightInd/>
              <w:snapToGrid/>
              <w:spacing w:line="2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评审内容</w:t>
            </w:r>
          </w:p>
        </w:tc>
        <w:tc>
          <w:tcPr>
            <w:tcW w:w="1681" w:type="dxa"/>
            <w:gridSpan w:val="2"/>
            <w:vAlign w:val="center"/>
          </w:tcPr>
          <w:p w14:paraId="276B602D">
            <w:pPr>
              <w:keepNext w:val="0"/>
              <w:keepLines w:val="0"/>
              <w:pageBreakBefore w:val="0"/>
              <w:widowControl w:val="0"/>
              <w:kinsoku/>
              <w:overflowPunct/>
              <w:topLinePunct w:val="0"/>
              <w:autoSpaceDE w:val="0"/>
              <w:autoSpaceDN w:val="0"/>
              <w:bidi w:val="0"/>
              <w:adjustRightInd/>
              <w:snapToGrid/>
              <w:spacing w:line="2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评审方法</w:t>
            </w:r>
          </w:p>
        </w:tc>
      </w:tr>
      <w:tr w14:paraId="485F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517" w:type="dxa"/>
            <w:vMerge w:val="continue"/>
            <w:vAlign w:val="center"/>
          </w:tcPr>
          <w:p w14:paraId="3B0197CE">
            <w:pPr>
              <w:keepNext w:val="0"/>
              <w:keepLines w:val="0"/>
              <w:pageBreakBefore w:val="0"/>
              <w:widowControl w:val="0"/>
              <w:kinsoku/>
              <w:overflowPunct/>
              <w:topLinePunct w:val="0"/>
              <w:autoSpaceDE w:val="0"/>
              <w:autoSpaceDN w:val="0"/>
              <w:bidi w:val="0"/>
              <w:adjustRightInd/>
              <w:snapToGrid/>
              <w:spacing w:line="240" w:lineRule="exact"/>
              <w:jc w:val="center"/>
              <w:textAlignment w:val="auto"/>
              <w:rPr>
                <w:rFonts w:hint="eastAsia" w:ascii="仿宋" w:hAnsi="仿宋" w:eastAsia="仿宋" w:cs="仿宋"/>
                <w:color w:val="auto"/>
                <w:sz w:val="24"/>
                <w:szCs w:val="24"/>
                <w:highlight w:val="none"/>
              </w:rPr>
            </w:pPr>
          </w:p>
        </w:tc>
        <w:tc>
          <w:tcPr>
            <w:tcW w:w="472" w:type="dxa"/>
            <w:vMerge w:val="continue"/>
            <w:vAlign w:val="center"/>
          </w:tcPr>
          <w:p w14:paraId="55F3046B">
            <w:pPr>
              <w:keepNext w:val="0"/>
              <w:keepLines w:val="0"/>
              <w:pageBreakBefore w:val="0"/>
              <w:widowControl w:val="0"/>
              <w:kinsoku/>
              <w:overflowPunct/>
              <w:topLinePunct w:val="0"/>
              <w:autoSpaceDE w:val="0"/>
              <w:autoSpaceDN w:val="0"/>
              <w:bidi w:val="0"/>
              <w:adjustRightInd/>
              <w:snapToGrid/>
              <w:spacing w:line="240" w:lineRule="exact"/>
              <w:jc w:val="center"/>
              <w:textAlignment w:val="auto"/>
              <w:rPr>
                <w:rFonts w:hint="eastAsia" w:ascii="仿宋" w:hAnsi="仿宋" w:eastAsia="仿宋" w:cs="仿宋"/>
                <w:color w:val="auto"/>
                <w:sz w:val="24"/>
                <w:szCs w:val="24"/>
                <w:highlight w:val="none"/>
              </w:rPr>
            </w:pPr>
          </w:p>
        </w:tc>
        <w:tc>
          <w:tcPr>
            <w:tcW w:w="6889" w:type="dxa"/>
            <w:vMerge w:val="continue"/>
            <w:vAlign w:val="center"/>
          </w:tcPr>
          <w:p w14:paraId="4C1ECD7E">
            <w:pPr>
              <w:keepNext w:val="0"/>
              <w:keepLines w:val="0"/>
              <w:pageBreakBefore w:val="0"/>
              <w:widowControl w:val="0"/>
              <w:kinsoku/>
              <w:overflowPunct/>
              <w:topLinePunct w:val="0"/>
              <w:autoSpaceDE w:val="0"/>
              <w:autoSpaceDN w:val="0"/>
              <w:bidi w:val="0"/>
              <w:adjustRightInd/>
              <w:snapToGrid/>
              <w:spacing w:line="240" w:lineRule="exact"/>
              <w:textAlignment w:val="auto"/>
              <w:rPr>
                <w:rFonts w:hint="eastAsia" w:ascii="仿宋" w:hAnsi="仿宋" w:eastAsia="仿宋" w:cs="仿宋"/>
                <w:color w:val="auto"/>
                <w:sz w:val="24"/>
                <w:szCs w:val="24"/>
                <w:highlight w:val="none"/>
              </w:rPr>
            </w:pPr>
          </w:p>
        </w:tc>
        <w:tc>
          <w:tcPr>
            <w:tcW w:w="799" w:type="dxa"/>
            <w:vAlign w:val="center"/>
          </w:tcPr>
          <w:p w14:paraId="3160A822">
            <w:pPr>
              <w:keepNext w:val="0"/>
              <w:keepLines w:val="0"/>
              <w:pageBreakBefore w:val="0"/>
              <w:widowControl w:val="0"/>
              <w:kinsoku/>
              <w:overflowPunct/>
              <w:topLinePunct w:val="0"/>
              <w:autoSpaceDE w:val="0"/>
              <w:autoSpaceDN w:val="0"/>
              <w:bidi w:val="0"/>
              <w:adjustRightInd/>
              <w:snapToGrid/>
              <w:spacing w:line="2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通过</w:t>
            </w:r>
          </w:p>
        </w:tc>
        <w:tc>
          <w:tcPr>
            <w:tcW w:w="882" w:type="dxa"/>
            <w:vAlign w:val="center"/>
          </w:tcPr>
          <w:p w14:paraId="138B1674">
            <w:pPr>
              <w:keepNext w:val="0"/>
              <w:keepLines w:val="0"/>
              <w:pageBreakBefore w:val="0"/>
              <w:widowControl w:val="0"/>
              <w:kinsoku/>
              <w:overflowPunct/>
              <w:topLinePunct w:val="0"/>
              <w:autoSpaceDE w:val="0"/>
              <w:autoSpaceDN w:val="0"/>
              <w:bidi w:val="0"/>
              <w:adjustRightInd/>
              <w:snapToGrid/>
              <w:spacing w:line="2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不通过</w:t>
            </w:r>
          </w:p>
        </w:tc>
      </w:tr>
      <w:tr w14:paraId="370D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9" w:hRule="atLeast"/>
          <w:jc w:val="center"/>
        </w:trPr>
        <w:tc>
          <w:tcPr>
            <w:tcW w:w="517" w:type="dxa"/>
            <w:vMerge w:val="restart"/>
            <w:vAlign w:val="center"/>
          </w:tcPr>
          <w:p w14:paraId="49065682">
            <w:pPr>
              <w:keepNext w:val="0"/>
              <w:keepLines w:val="0"/>
              <w:pageBreakBefore w:val="0"/>
              <w:widowControl w:val="0"/>
              <w:kinsoku/>
              <w:overflowPunct/>
              <w:topLinePunct w:val="0"/>
              <w:autoSpaceDE w:val="0"/>
              <w:autoSpaceDN w:val="0"/>
              <w:bidi w:val="0"/>
              <w:adjustRightInd/>
              <w:snapToGrid/>
              <w:spacing w:line="3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资格审查</w:t>
            </w:r>
          </w:p>
        </w:tc>
        <w:tc>
          <w:tcPr>
            <w:tcW w:w="472" w:type="dxa"/>
            <w:vAlign w:val="center"/>
          </w:tcPr>
          <w:p w14:paraId="43CBAE67">
            <w:pPr>
              <w:keepNext w:val="0"/>
              <w:keepLines w:val="0"/>
              <w:pageBreakBefore w:val="0"/>
              <w:widowControl w:val="0"/>
              <w:kinsoku/>
              <w:overflowPunct/>
              <w:topLinePunct w:val="0"/>
              <w:autoSpaceDE w:val="0"/>
              <w:autoSpaceDN w:val="0"/>
              <w:bidi w:val="0"/>
              <w:adjustRightInd/>
              <w:snapToGrid/>
              <w:spacing w:line="3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6889" w:type="dxa"/>
            <w:vAlign w:val="center"/>
          </w:tcPr>
          <w:p w14:paraId="13C9EE8E">
            <w:pPr>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投标人为企业法人应提供合法有效的标识有统一社会信用代码的营业执照；事业法人应提供事业单位法人证书；其他组织应提供合法登记证明文件；</w:t>
            </w:r>
          </w:p>
        </w:tc>
        <w:tc>
          <w:tcPr>
            <w:tcW w:w="799" w:type="dxa"/>
          </w:tcPr>
          <w:p w14:paraId="20347C08">
            <w:pPr>
              <w:keepNext w:val="0"/>
              <w:keepLines w:val="0"/>
              <w:pageBreakBefore w:val="0"/>
              <w:widowControl w:val="0"/>
              <w:kinsoku/>
              <w:overflowPunct/>
              <w:topLinePunct w:val="0"/>
              <w:autoSpaceDE w:val="0"/>
              <w:autoSpaceDN w:val="0"/>
              <w:bidi w:val="0"/>
              <w:adjustRightInd/>
              <w:snapToGrid/>
              <w:spacing w:line="340" w:lineRule="exact"/>
              <w:jc w:val="left"/>
              <w:textAlignment w:val="auto"/>
              <w:rPr>
                <w:rFonts w:hint="eastAsia" w:ascii="仿宋" w:hAnsi="仿宋" w:eastAsia="仿宋" w:cs="仿宋"/>
                <w:color w:val="auto"/>
                <w:sz w:val="24"/>
                <w:szCs w:val="24"/>
                <w:highlight w:val="none"/>
              </w:rPr>
            </w:pPr>
          </w:p>
        </w:tc>
        <w:tc>
          <w:tcPr>
            <w:tcW w:w="882" w:type="dxa"/>
          </w:tcPr>
          <w:p w14:paraId="13E4CF41">
            <w:pPr>
              <w:keepNext w:val="0"/>
              <w:keepLines w:val="0"/>
              <w:pageBreakBefore w:val="0"/>
              <w:widowControl w:val="0"/>
              <w:kinsoku/>
              <w:overflowPunct/>
              <w:topLinePunct w:val="0"/>
              <w:autoSpaceDE w:val="0"/>
              <w:autoSpaceDN w:val="0"/>
              <w:bidi w:val="0"/>
              <w:adjustRightInd/>
              <w:snapToGrid/>
              <w:spacing w:line="340" w:lineRule="exact"/>
              <w:jc w:val="left"/>
              <w:textAlignment w:val="auto"/>
              <w:rPr>
                <w:rFonts w:hint="eastAsia" w:ascii="仿宋" w:hAnsi="仿宋" w:eastAsia="仿宋" w:cs="仿宋"/>
                <w:color w:val="auto"/>
                <w:sz w:val="24"/>
                <w:szCs w:val="24"/>
                <w:highlight w:val="none"/>
              </w:rPr>
            </w:pPr>
          </w:p>
        </w:tc>
      </w:tr>
      <w:tr w14:paraId="1830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517" w:type="dxa"/>
            <w:vMerge w:val="continue"/>
            <w:vAlign w:val="center"/>
          </w:tcPr>
          <w:p w14:paraId="7D27924E">
            <w:pPr>
              <w:keepNext w:val="0"/>
              <w:keepLines w:val="0"/>
              <w:pageBreakBefore w:val="0"/>
              <w:widowControl w:val="0"/>
              <w:kinsoku/>
              <w:overflowPunct/>
              <w:topLinePunct w:val="0"/>
              <w:autoSpaceDE w:val="0"/>
              <w:autoSpaceDN w:val="0"/>
              <w:bidi w:val="0"/>
              <w:adjustRightInd/>
              <w:snapToGrid/>
              <w:spacing w:line="340" w:lineRule="exact"/>
              <w:jc w:val="center"/>
              <w:textAlignment w:val="auto"/>
              <w:rPr>
                <w:rFonts w:hint="eastAsia" w:ascii="仿宋" w:hAnsi="仿宋" w:eastAsia="仿宋" w:cs="仿宋"/>
                <w:color w:val="auto"/>
                <w:sz w:val="24"/>
                <w:szCs w:val="24"/>
                <w:highlight w:val="none"/>
              </w:rPr>
            </w:pPr>
          </w:p>
        </w:tc>
        <w:tc>
          <w:tcPr>
            <w:tcW w:w="472" w:type="dxa"/>
            <w:vAlign w:val="center"/>
          </w:tcPr>
          <w:p w14:paraId="010E38CF">
            <w:pPr>
              <w:keepNext w:val="0"/>
              <w:keepLines w:val="0"/>
              <w:pageBreakBefore w:val="0"/>
              <w:widowControl w:val="0"/>
              <w:kinsoku/>
              <w:overflowPunct/>
              <w:topLinePunct w:val="0"/>
              <w:autoSpaceDE w:val="0"/>
              <w:autoSpaceDN w:val="0"/>
              <w:bidi w:val="0"/>
              <w:adjustRightInd/>
              <w:snapToGrid/>
              <w:spacing w:line="3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6889" w:type="dxa"/>
            <w:vAlign w:val="center"/>
          </w:tcPr>
          <w:p w14:paraId="0C9C92F5">
            <w:pPr>
              <w:pStyle w:val="30"/>
              <w:shd w:val="clear" w:color="auto" w:fill="FFFFFF"/>
              <w:spacing w:before="0" w:beforeAutospacing="0" w:after="0" w:afterAutospacing="0" w:line="240" w:lineRule="auto"/>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法定代表人（负责人）参加提供法定代表人（负责人）身份证明书及身份证（授权委托人参加提供法定代表人（负责人）授权委托书及被委托人身份证）；</w:t>
            </w:r>
          </w:p>
        </w:tc>
        <w:tc>
          <w:tcPr>
            <w:tcW w:w="799" w:type="dxa"/>
          </w:tcPr>
          <w:p w14:paraId="76D1E8AF">
            <w:pPr>
              <w:keepNext w:val="0"/>
              <w:keepLines w:val="0"/>
              <w:pageBreakBefore w:val="0"/>
              <w:widowControl w:val="0"/>
              <w:kinsoku/>
              <w:overflowPunct/>
              <w:topLinePunct w:val="0"/>
              <w:autoSpaceDE w:val="0"/>
              <w:autoSpaceDN w:val="0"/>
              <w:bidi w:val="0"/>
              <w:adjustRightInd/>
              <w:snapToGrid/>
              <w:spacing w:line="340" w:lineRule="exact"/>
              <w:jc w:val="left"/>
              <w:textAlignment w:val="auto"/>
              <w:rPr>
                <w:rFonts w:hint="eastAsia" w:ascii="仿宋" w:hAnsi="仿宋" w:eastAsia="仿宋" w:cs="仿宋"/>
                <w:color w:val="auto"/>
                <w:sz w:val="24"/>
                <w:szCs w:val="24"/>
                <w:highlight w:val="none"/>
              </w:rPr>
            </w:pPr>
          </w:p>
        </w:tc>
        <w:tc>
          <w:tcPr>
            <w:tcW w:w="882" w:type="dxa"/>
          </w:tcPr>
          <w:p w14:paraId="29AE91E3">
            <w:pPr>
              <w:keepNext w:val="0"/>
              <w:keepLines w:val="0"/>
              <w:pageBreakBefore w:val="0"/>
              <w:widowControl w:val="0"/>
              <w:kinsoku/>
              <w:overflowPunct/>
              <w:topLinePunct w:val="0"/>
              <w:autoSpaceDE w:val="0"/>
              <w:autoSpaceDN w:val="0"/>
              <w:bidi w:val="0"/>
              <w:adjustRightInd/>
              <w:snapToGrid/>
              <w:spacing w:line="340" w:lineRule="exact"/>
              <w:jc w:val="left"/>
              <w:textAlignment w:val="auto"/>
              <w:rPr>
                <w:rFonts w:hint="eastAsia" w:ascii="仿宋" w:hAnsi="仿宋" w:eastAsia="仿宋" w:cs="仿宋"/>
                <w:color w:val="auto"/>
                <w:sz w:val="24"/>
                <w:szCs w:val="24"/>
                <w:highlight w:val="none"/>
              </w:rPr>
            </w:pPr>
          </w:p>
        </w:tc>
      </w:tr>
      <w:tr w14:paraId="10D3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jc w:val="center"/>
        </w:trPr>
        <w:tc>
          <w:tcPr>
            <w:tcW w:w="517" w:type="dxa"/>
            <w:vMerge w:val="continue"/>
            <w:vAlign w:val="center"/>
          </w:tcPr>
          <w:p w14:paraId="313DDD63">
            <w:pPr>
              <w:keepNext w:val="0"/>
              <w:keepLines w:val="0"/>
              <w:pageBreakBefore w:val="0"/>
              <w:widowControl w:val="0"/>
              <w:kinsoku/>
              <w:overflowPunct/>
              <w:topLinePunct w:val="0"/>
              <w:autoSpaceDE w:val="0"/>
              <w:autoSpaceDN w:val="0"/>
              <w:bidi w:val="0"/>
              <w:adjustRightInd/>
              <w:snapToGrid/>
              <w:spacing w:line="340" w:lineRule="exact"/>
              <w:jc w:val="center"/>
              <w:textAlignment w:val="auto"/>
              <w:rPr>
                <w:rFonts w:hint="eastAsia" w:ascii="仿宋" w:hAnsi="仿宋" w:eastAsia="仿宋" w:cs="仿宋"/>
                <w:color w:val="auto"/>
                <w:sz w:val="24"/>
                <w:szCs w:val="24"/>
                <w:highlight w:val="none"/>
              </w:rPr>
            </w:pPr>
          </w:p>
        </w:tc>
        <w:tc>
          <w:tcPr>
            <w:tcW w:w="472" w:type="dxa"/>
            <w:shd w:val="clear" w:color="auto" w:fill="auto"/>
            <w:vAlign w:val="center"/>
          </w:tcPr>
          <w:p w14:paraId="3D6E05AD">
            <w:pPr>
              <w:keepNext w:val="0"/>
              <w:keepLines w:val="0"/>
              <w:pageBreakBefore w:val="0"/>
              <w:widowControl w:val="0"/>
              <w:kinsoku/>
              <w:overflowPunct/>
              <w:topLinePunct w:val="0"/>
              <w:autoSpaceDE w:val="0"/>
              <w:autoSpaceDN w:val="0"/>
              <w:bidi w:val="0"/>
              <w:adjustRightInd/>
              <w:snapToGrid/>
              <w:spacing w:line="3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3</w:t>
            </w:r>
          </w:p>
        </w:tc>
        <w:tc>
          <w:tcPr>
            <w:tcW w:w="6889" w:type="dxa"/>
            <w:shd w:val="clear" w:color="auto" w:fill="auto"/>
            <w:vAlign w:val="bottom"/>
          </w:tcPr>
          <w:p w14:paraId="1CB4032D">
            <w:pPr>
              <w:spacing w:line="240" w:lineRule="auto"/>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须在“信用中国”（www.creditchina.gov.cn）和中国政府采购网（www.ccgp.gov.cn）以及国家企业信用信息公示系统网站（http://www.gsxt.gov.cn）上未被列入失信被执行人、重大税收违法失信主体、未被列入政府采购严重违法失信行为记录名单里以及未被列入严重违法失信企业名单（黑名单）信息；（网页打印件须自招标文件发布之日起至投标截止时间从上述网站中打印）；</w:t>
            </w:r>
          </w:p>
        </w:tc>
        <w:tc>
          <w:tcPr>
            <w:tcW w:w="799" w:type="dxa"/>
          </w:tcPr>
          <w:p w14:paraId="69A672C5">
            <w:pPr>
              <w:keepNext w:val="0"/>
              <w:keepLines w:val="0"/>
              <w:pageBreakBefore w:val="0"/>
              <w:widowControl w:val="0"/>
              <w:kinsoku/>
              <w:overflowPunct/>
              <w:topLinePunct w:val="0"/>
              <w:autoSpaceDE w:val="0"/>
              <w:autoSpaceDN w:val="0"/>
              <w:bidi w:val="0"/>
              <w:adjustRightInd/>
              <w:snapToGrid/>
              <w:spacing w:line="340" w:lineRule="exact"/>
              <w:jc w:val="left"/>
              <w:textAlignment w:val="auto"/>
              <w:rPr>
                <w:rFonts w:hint="eastAsia" w:ascii="仿宋" w:hAnsi="仿宋" w:eastAsia="仿宋" w:cs="仿宋"/>
                <w:color w:val="auto"/>
                <w:sz w:val="24"/>
                <w:szCs w:val="24"/>
                <w:highlight w:val="none"/>
              </w:rPr>
            </w:pPr>
          </w:p>
        </w:tc>
        <w:tc>
          <w:tcPr>
            <w:tcW w:w="882" w:type="dxa"/>
          </w:tcPr>
          <w:p w14:paraId="5F925988">
            <w:pPr>
              <w:keepNext w:val="0"/>
              <w:keepLines w:val="0"/>
              <w:pageBreakBefore w:val="0"/>
              <w:widowControl w:val="0"/>
              <w:kinsoku/>
              <w:overflowPunct/>
              <w:topLinePunct w:val="0"/>
              <w:autoSpaceDE w:val="0"/>
              <w:autoSpaceDN w:val="0"/>
              <w:bidi w:val="0"/>
              <w:adjustRightInd/>
              <w:snapToGrid/>
              <w:spacing w:line="340" w:lineRule="exact"/>
              <w:jc w:val="left"/>
              <w:textAlignment w:val="auto"/>
              <w:rPr>
                <w:rFonts w:hint="eastAsia" w:ascii="仿宋" w:hAnsi="仿宋" w:eastAsia="仿宋" w:cs="仿宋"/>
                <w:color w:val="auto"/>
                <w:sz w:val="24"/>
                <w:szCs w:val="24"/>
                <w:highlight w:val="none"/>
              </w:rPr>
            </w:pPr>
          </w:p>
        </w:tc>
      </w:tr>
      <w:tr w14:paraId="5363D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1" w:hRule="atLeast"/>
          <w:jc w:val="center"/>
        </w:trPr>
        <w:tc>
          <w:tcPr>
            <w:tcW w:w="517" w:type="dxa"/>
            <w:vMerge w:val="continue"/>
            <w:vAlign w:val="center"/>
          </w:tcPr>
          <w:p w14:paraId="251CC803">
            <w:pPr>
              <w:keepNext w:val="0"/>
              <w:keepLines w:val="0"/>
              <w:pageBreakBefore w:val="0"/>
              <w:widowControl w:val="0"/>
              <w:kinsoku/>
              <w:overflowPunct/>
              <w:topLinePunct w:val="0"/>
              <w:autoSpaceDE w:val="0"/>
              <w:autoSpaceDN w:val="0"/>
              <w:bidi w:val="0"/>
              <w:adjustRightInd/>
              <w:snapToGrid/>
              <w:spacing w:line="340" w:lineRule="exact"/>
              <w:jc w:val="center"/>
              <w:textAlignment w:val="auto"/>
              <w:rPr>
                <w:rFonts w:hint="eastAsia" w:ascii="仿宋" w:hAnsi="仿宋" w:eastAsia="仿宋" w:cs="仿宋"/>
                <w:color w:val="auto"/>
                <w:sz w:val="24"/>
                <w:szCs w:val="24"/>
                <w:highlight w:val="none"/>
              </w:rPr>
            </w:pPr>
          </w:p>
        </w:tc>
        <w:tc>
          <w:tcPr>
            <w:tcW w:w="472" w:type="dxa"/>
            <w:shd w:val="clear" w:color="auto" w:fill="auto"/>
            <w:vAlign w:val="center"/>
          </w:tcPr>
          <w:p w14:paraId="4D98CEE1">
            <w:pPr>
              <w:keepNext w:val="0"/>
              <w:keepLines w:val="0"/>
              <w:pageBreakBefore w:val="0"/>
              <w:widowControl w:val="0"/>
              <w:kinsoku/>
              <w:overflowPunct/>
              <w:topLinePunct w:val="0"/>
              <w:autoSpaceDE w:val="0"/>
              <w:autoSpaceDN w:val="0"/>
              <w:bidi w:val="0"/>
              <w:adjustRightInd/>
              <w:snapToGrid/>
              <w:spacing w:line="3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4</w:t>
            </w:r>
          </w:p>
        </w:tc>
        <w:tc>
          <w:tcPr>
            <w:tcW w:w="6889" w:type="dxa"/>
            <w:shd w:val="clear" w:color="auto" w:fill="auto"/>
            <w:vAlign w:val="center"/>
          </w:tcPr>
          <w:p w14:paraId="1499EF3C">
            <w:pPr>
              <w:pStyle w:val="30"/>
              <w:shd w:val="clear" w:color="auto" w:fill="FFFFFF"/>
              <w:spacing w:before="0" w:beforeAutospacing="0" w:after="0" w:afterAutospacing="0" w:line="240" w:lineRule="auto"/>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投标人提供近半年内已缴存的至少一个月的社会保障资金缴存单据或社保机构开具的社会保险参保缴费情况证明，依法不需要缴纳社会保障资金的投标人应提供相关文件证明；</w:t>
            </w:r>
          </w:p>
        </w:tc>
        <w:tc>
          <w:tcPr>
            <w:tcW w:w="799" w:type="dxa"/>
          </w:tcPr>
          <w:p w14:paraId="5F8A84B8">
            <w:pPr>
              <w:keepNext w:val="0"/>
              <w:keepLines w:val="0"/>
              <w:pageBreakBefore w:val="0"/>
              <w:widowControl w:val="0"/>
              <w:kinsoku/>
              <w:overflowPunct/>
              <w:topLinePunct w:val="0"/>
              <w:autoSpaceDE w:val="0"/>
              <w:autoSpaceDN w:val="0"/>
              <w:bidi w:val="0"/>
              <w:adjustRightInd/>
              <w:snapToGrid/>
              <w:spacing w:line="340" w:lineRule="exact"/>
              <w:jc w:val="left"/>
              <w:textAlignment w:val="auto"/>
              <w:rPr>
                <w:rFonts w:hint="eastAsia" w:ascii="仿宋" w:hAnsi="仿宋" w:eastAsia="仿宋" w:cs="仿宋"/>
                <w:color w:val="auto"/>
                <w:sz w:val="24"/>
                <w:szCs w:val="24"/>
                <w:highlight w:val="none"/>
              </w:rPr>
            </w:pPr>
          </w:p>
        </w:tc>
        <w:tc>
          <w:tcPr>
            <w:tcW w:w="882" w:type="dxa"/>
          </w:tcPr>
          <w:p w14:paraId="2B07888F">
            <w:pPr>
              <w:keepNext w:val="0"/>
              <w:keepLines w:val="0"/>
              <w:pageBreakBefore w:val="0"/>
              <w:widowControl w:val="0"/>
              <w:kinsoku/>
              <w:overflowPunct/>
              <w:topLinePunct w:val="0"/>
              <w:autoSpaceDE w:val="0"/>
              <w:autoSpaceDN w:val="0"/>
              <w:bidi w:val="0"/>
              <w:adjustRightInd/>
              <w:snapToGrid/>
              <w:spacing w:line="340" w:lineRule="exact"/>
              <w:jc w:val="left"/>
              <w:textAlignment w:val="auto"/>
              <w:rPr>
                <w:rFonts w:hint="eastAsia" w:ascii="仿宋" w:hAnsi="仿宋" w:eastAsia="仿宋" w:cs="仿宋"/>
                <w:color w:val="auto"/>
                <w:sz w:val="24"/>
                <w:szCs w:val="24"/>
                <w:highlight w:val="none"/>
              </w:rPr>
            </w:pPr>
          </w:p>
        </w:tc>
      </w:tr>
      <w:tr w14:paraId="0526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517" w:type="dxa"/>
            <w:vMerge w:val="continue"/>
            <w:vAlign w:val="center"/>
          </w:tcPr>
          <w:p w14:paraId="0CF09100">
            <w:pPr>
              <w:keepNext w:val="0"/>
              <w:keepLines w:val="0"/>
              <w:pageBreakBefore w:val="0"/>
              <w:widowControl w:val="0"/>
              <w:kinsoku/>
              <w:overflowPunct/>
              <w:topLinePunct w:val="0"/>
              <w:autoSpaceDE w:val="0"/>
              <w:autoSpaceDN w:val="0"/>
              <w:bidi w:val="0"/>
              <w:adjustRightInd/>
              <w:snapToGrid/>
              <w:spacing w:line="340" w:lineRule="exact"/>
              <w:jc w:val="center"/>
              <w:textAlignment w:val="auto"/>
              <w:rPr>
                <w:rFonts w:hint="eastAsia" w:ascii="仿宋" w:hAnsi="仿宋" w:eastAsia="仿宋" w:cs="仿宋"/>
                <w:color w:val="auto"/>
                <w:sz w:val="24"/>
                <w:szCs w:val="24"/>
                <w:highlight w:val="none"/>
              </w:rPr>
            </w:pPr>
          </w:p>
        </w:tc>
        <w:tc>
          <w:tcPr>
            <w:tcW w:w="472" w:type="dxa"/>
            <w:shd w:val="clear" w:color="auto" w:fill="auto"/>
            <w:vAlign w:val="center"/>
          </w:tcPr>
          <w:p w14:paraId="70370AEF">
            <w:pPr>
              <w:keepNext w:val="0"/>
              <w:keepLines w:val="0"/>
              <w:pageBreakBefore w:val="0"/>
              <w:widowControl w:val="0"/>
              <w:kinsoku/>
              <w:overflowPunct/>
              <w:topLinePunct w:val="0"/>
              <w:autoSpaceDE w:val="0"/>
              <w:autoSpaceDN w:val="0"/>
              <w:bidi w:val="0"/>
              <w:adjustRightInd/>
              <w:snapToGrid/>
              <w:spacing w:line="3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p>
        </w:tc>
        <w:tc>
          <w:tcPr>
            <w:tcW w:w="6889" w:type="dxa"/>
            <w:shd w:val="clear" w:color="auto" w:fill="auto"/>
            <w:vAlign w:val="center"/>
          </w:tcPr>
          <w:p w14:paraId="45A679FB">
            <w:pPr>
              <w:pStyle w:val="30"/>
              <w:shd w:val="clear" w:color="auto" w:fill="FFFFFF"/>
              <w:spacing w:before="0" w:beforeAutospacing="0" w:after="0" w:afterAutospacing="0" w:line="240" w:lineRule="auto"/>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投标人提供2023年的财务审计报告（成立时间至提交投标文件截止时间不足一年的可提供成立后任意时段的资产负债表），或其开标前三个月内基本存款账户开户银行出具的资信证明及基本存款账户开户证明；</w:t>
            </w:r>
          </w:p>
        </w:tc>
        <w:tc>
          <w:tcPr>
            <w:tcW w:w="799" w:type="dxa"/>
          </w:tcPr>
          <w:p w14:paraId="5E113418">
            <w:pPr>
              <w:keepNext w:val="0"/>
              <w:keepLines w:val="0"/>
              <w:pageBreakBefore w:val="0"/>
              <w:widowControl w:val="0"/>
              <w:kinsoku/>
              <w:overflowPunct/>
              <w:topLinePunct w:val="0"/>
              <w:autoSpaceDE w:val="0"/>
              <w:autoSpaceDN w:val="0"/>
              <w:bidi w:val="0"/>
              <w:adjustRightInd/>
              <w:snapToGrid/>
              <w:spacing w:line="340" w:lineRule="exact"/>
              <w:jc w:val="left"/>
              <w:textAlignment w:val="auto"/>
              <w:rPr>
                <w:rFonts w:hint="eastAsia" w:ascii="仿宋" w:hAnsi="仿宋" w:eastAsia="仿宋" w:cs="仿宋"/>
                <w:color w:val="auto"/>
                <w:sz w:val="24"/>
                <w:szCs w:val="24"/>
                <w:highlight w:val="none"/>
              </w:rPr>
            </w:pPr>
          </w:p>
        </w:tc>
        <w:tc>
          <w:tcPr>
            <w:tcW w:w="882" w:type="dxa"/>
          </w:tcPr>
          <w:p w14:paraId="686F3931">
            <w:pPr>
              <w:keepNext w:val="0"/>
              <w:keepLines w:val="0"/>
              <w:pageBreakBefore w:val="0"/>
              <w:widowControl w:val="0"/>
              <w:kinsoku/>
              <w:overflowPunct/>
              <w:topLinePunct w:val="0"/>
              <w:autoSpaceDE w:val="0"/>
              <w:autoSpaceDN w:val="0"/>
              <w:bidi w:val="0"/>
              <w:adjustRightInd/>
              <w:snapToGrid/>
              <w:spacing w:line="340" w:lineRule="exact"/>
              <w:jc w:val="left"/>
              <w:textAlignment w:val="auto"/>
              <w:rPr>
                <w:rFonts w:hint="eastAsia" w:ascii="仿宋" w:hAnsi="仿宋" w:eastAsia="仿宋" w:cs="仿宋"/>
                <w:color w:val="auto"/>
                <w:sz w:val="24"/>
                <w:szCs w:val="24"/>
                <w:highlight w:val="none"/>
              </w:rPr>
            </w:pPr>
          </w:p>
        </w:tc>
      </w:tr>
      <w:tr w14:paraId="6D98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517" w:type="dxa"/>
            <w:vMerge w:val="continue"/>
            <w:vAlign w:val="center"/>
          </w:tcPr>
          <w:p w14:paraId="02317903">
            <w:pPr>
              <w:keepNext w:val="0"/>
              <w:keepLines w:val="0"/>
              <w:pageBreakBefore w:val="0"/>
              <w:widowControl w:val="0"/>
              <w:kinsoku/>
              <w:overflowPunct/>
              <w:topLinePunct w:val="0"/>
              <w:autoSpaceDE w:val="0"/>
              <w:autoSpaceDN w:val="0"/>
              <w:bidi w:val="0"/>
              <w:adjustRightInd/>
              <w:snapToGrid/>
              <w:spacing w:line="340" w:lineRule="exact"/>
              <w:jc w:val="center"/>
              <w:textAlignment w:val="auto"/>
              <w:rPr>
                <w:rFonts w:hint="eastAsia" w:ascii="仿宋" w:hAnsi="仿宋" w:eastAsia="仿宋" w:cs="仿宋"/>
                <w:color w:val="auto"/>
                <w:sz w:val="24"/>
                <w:szCs w:val="24"/>
                <w:highlight w:val="none"/>
              </w:rPr>
            </w:pPr>
          </w:p>
        </w:tc>
        <w:tc>
          <w:tcPr>
            <w:tcW w:w="472" w:type="dxa"/>
            <w:shd w:val="clear" w:color="auto" w:fill="auto"/>
            <w:vAlign w:val="center"/>
          </w:tcPr>
          <w:p w14:paraId="34B655F1">
            <w:pPr>
              <w:keepNext w:val="0"/>
              <w:keepLines w:val="0"/>
              <w:pageBreakBefore w:val="0"/>
              <w:widowControl w:val="0"/>
              <w:kinsoku/>
              <w:overflowPunct/>
              <w:topLinePunct w:val="0"/>
              <w:autoSpaceDE w:val="0"/>
              <w:autoSpaceDN w:val="0"/>
              <w:bidi w:val="0"/>
              <w:adjustRightInd/>
              <w:snapToGrid/>
              <w:spacing w:line="3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c>
          <w:tcPr>
            <w:tcW w:w="6889" w:type="dxa"/>
            <w:shd w:val="clear" w:color="auto" w:fill="auto"/>
            <w:vAlign w:val="center"/>
          </w:tcPr>
          <w:p w14:paraId="5FDFBC4A">
            <w:pPr>
              <w:pStyle w:val="30"/>
              <w:shd w:val="clear" w:color="auto" w:fill="FFFFFF"/>
              <w:spacing w:before="0" w:beforeAutospacing="0" w:after="0" w:afterAutospacing="0" w:line="240" w:lineRule="auto"/>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投标人提供近半年内已缴纳的至少一个月的纳税证明或完税证明，纳税证明或完税证明上应有代收机构或税务机关的公章，依法免税的投标人应提供相关文件证明；</w:t>
            </w:r>
          </w:p>
        </w:tc>
        <w:tc>
          <w:tcPr>
            <w:tcW w:w="799" w:type="dxa"/>
          </w:tcPr>
          <w:p w14:paraId="17A77A61">
            <w:pPr>
              <w:keepNext w:val="0"/>
              <w:keepLines w:val="0"/>
              <w:pageBreakBefore w:val="0"/>
              <w:widowControl w:val="0"/>
              <w:kinsoku/>
              <w:overflowPunct/>
              <w:topLinePunct w:val="0"/>
              <w:autoSpaceDE w:val="0"/>
              <w:autoSpaceDN w:val="0"/>
              <w:bidi w:val="0"/>
              <w:adjustRightInd/>
              <w:snapToGrid/>
              <w:spacing w:line="340" w:lineRule="exact"/>
              <w:jc w:val="left"/>
              <w:textAlignment w:val="auto"/>
              <w:rPr>
                <w:rFonts w:hint="eastAsia" w:ascii="仿宋" w:hAnsi="仿宋" w:eastAsia="仿宋" w:cs="仿宋"/>
                <w:color w:val="auto"/>
                <w:sz w:val="24"/>
                <w:szCs w:val="24"/>
                <w:highlight w:val="none"/>
              </w:rPr>
            </w:pPr>
          </w:p>
        </w:tc>
        <w:tc>
          <w:tcPr>
            <w:tcW w:w="882" w:type="dxa"/>
          </w:tcPr>
          <w:p w14:paraId="1DB6944A">
            <w:pPr>
              <w:keepNext w:val="0"/>
              <w:keepLines w:val="0"/>
              <w:pageBreakBefore w:val="0"/>
              <w:widowControl w:val="0"/>
              <w:kinsoku/>
              <w:overflowPunct/>
              <w:topLinePunct w:val="0"/>
              <w:autoSpaceDE w:val="0"/>
              <w:autoSpaceDN w:val="0"/>
              <w:bidi w:val="0"/>
              <w:adjustRightInd/>
              <w:snapToGrid/>
              <w:spacing w:line="340" w:lineRule="exact"/>
              <w:jc w:val="left"/>
              <w:textAlignment w:val="auto"/>
              <w:rPr>
                <w:rFonts w:hint="eastAsia" w:ascii="仿宋" w:hAnsi="仿宋" w:eastAsia="仿宋" w:cs="仿宋"/>
                <w:color w:val="auto"/>
                <w:sz w:val="24"/>
                <w:szCs w:val="24"/>
                <w:highlight w:val="none"/>
              </w:rPr>
            </w:pPr>
          </w:p>
        </w:tc>
      </w:tr>
      <w:tr w14:paraId="3895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517" w:type="dxa"/>
            <w:vMerge w:val="continue"/>
            <w:vAlign w:val="center"/>
          </w:tcPr>
          <w:p w14:paraId="5FB56527">
            <w:pPr>
              <w:keepNext w:val="0"/>
              <w:keepLines w:val="0"/>
              <w:pageBreakBefore w:val="0"/>
              <w:widowControl w:val="0"/>
              <w:kinsoku/>
              <w:overflowPunct/>
              <w:topLinePunct w:val="0"/>
              <w:autoSpaceDE w:val="0"/>
              <w:autoSpaceDN w:val="0"/>
              <w:bidi w:val="0"/>
              <w:adjustRightInd/>
              <w:snapToGrid/>
              <w:spacing w:line="340" w:lineRule="exact"/>
              <w:jc w:val="center"/>
              <w:textAlignment w:val="auto"/>
              <w:rPr>
                <w:rFonts w:hint="eastAsia" w:ascii="仿宋" w:hAnsi="仿宋" w:eastAsia="仿宋" w:cs="仿宋"/>
                <w:color w:val="auto"/>
                <w:sz w:val="24"/>
                <w:szCs w:val="24"/>
                <w:highlight w:val="none"/>
              </w:rPr>
            </w:pPr>
          </w:p>
        </w:tc>
        <w:tc>
          <w:tcPr>
            <w:tcW w:w="472" w:type="dxa"/>
            <w:shd w:val="clear" w:color="auto" w:fill="auto"/>
            <w:vAlign w:val="center"/>
          </w:tcPr>
          <w:p w14:paraId="2B9E414E">
            <w:pPr>
              <w:keepNext w:val="0"/>
              <w:keepLines w:val="0"/>
              <w:pageBreakBefore w:val="0"/>
              <w:widowControl w:val="0"/>
              <w:kinsoku/>
              <w:overflowPunct/>
              <w:topLinePunct w:val="0"/>
              <w:autoSpaceDE w:val="0"/>
              <w:autoSpaceDN w:val="0"/>
              <w:bidi w:val="0"/>
              <w:adjustRightInd/>
              <w:snapToGrid/>
              <w:spacing w:line="3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7</w:t>
            </w:r>
          </w:p>
        </w:tc>
        <w:tc>
          <w:tcPr>
            <w:tcW w:w="6889" w:type="dxa"/>
            <w:shd w:val="clear" w:color="auto" w:fill="auto"/>
            <w:vAlign w:val="center"/>
          </w:tcPr>
          <w:p w14:paraId="5C5CF553">
            <w:pPr>
              <w:pStyle w:val="30"/>
              <w:shd w:val="clear" w:color="auto" w:fill="FFFFFF"/>
              <w:spacing w:before="0" w:beforeAutospacing="0" w:after="0" w:afterAutospacing="0" w:line="240" w:lineRule="auto"/>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投标人应具备良好的商业信誉，提供参加政府采购活动前3年内在经营活动中没有重大违法记录的书面声明；</w:t>
            </w:r>
          </w:p>
        </w:tc>
        <w:tc>
          <w:tcPr>
            <w:tcW w:w="799" w:type="dxa"/>
          </w:tcPr>
          <w:p w14:paraId="2769099B">
            <w:pPr>
              <w:keepNext w:val="0"/>
              <w:keepLines w:val="0"/>
              <w:pageBreakBefore w:val="0"/>
              <w:widowControl w:val="0"/>
              <w:kinsoku/>
              <w:overflowPunct/>
              <w:topLinePunct w:val="0"/>
              <w:autoSpaceDE w:val="0"/>
              <w:autoSpaceDN w:val="0"/>
              <w:bidi w:val="0"/>
              <w:adjustRightInd/>
              <w:snapToGrid/>
              <w:spacing w:line="340" w:lineRule="exact"/>
              <w:jc w:val="left"/>
              <w:textAlignment w:val="auto"/>
              <w:rPr>
                <w:rFonts w:hint="eastAsia" w:ascii="仿宋" w:hAnsi="仿宋" w:eastAsia="仿宋" w:cs="仿宋"/>
                <w:color w:val="auto"/>
                <w:sz w:val="24"/>
                <w:szCs w:val="24"/>
                <w:highlight w:val="none"/>
              </w:rPr>
            </w:pPr>
          </w:p>
        </w:tc>
        <w:tc>
          <w:tcPr>
            <w:tcW w:w="882" w:type="dxa"/>
          </w:tcPr>
          <w:p w14:paraId="34C93395">
            <w:pPr>
              <w:keepNext w:val="0"/>
              <w:keepLines w:val="0"/>
              <w:pageBreakBefore w:val="0"/>
              <w:widowControl w:val="0"/>
              <w:kinsoku/>
              <w:overflowPunct/>
              <w:topLinePunct w:val="0"/>
              <w:autoSpaceDE w:val="0"/>
              <w:autoSpaceDN w:val="0"/>
              <w:bidi w:val="0"/>
              <w:adjustRightInd/>
              <w:snapToGrid/>
              <w:spacing w:line="340" w:lineRule="exact"/>
              <w:jc w:val="left"/>
              <w:textAlignment w:val="auto"/>
              <w:rPr>
                <w:rFonts w:hint="eastAsia" w:ascii="仿宋" w:hAnsi="仿宋" w:eastAsia="仿宋" w:cs="仿宋"/>
                <w:color w:val="auto"/>
                <w:sz w:val="24"/>
                <w:szCs w:val="24"/>
                <w:highlight w:val="none"/>
              </w:rPr>
            </w:pPr>
          </w:p>
        </w:tc>
      </w:tr>
      <w:tr w14:paraId="732E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517" w:type="dxa"/>
            <w:vMerge w:val="continue"/>
            <w:vAlign w:val="center"/>
          </w:tcPr>
          <w:p w14:paraId="7BBB5747">
            <w:pPr>
              <w:keepNext w:val="0"/>
              <w:keepLines w:val="0"/>
              <w:pageBreakBefore w:val="0"/>
              <w:widowControl w:val="0"/>
              <w:kinsoku/>
              <w:overflowPunct/>
              <w:topLinePunct w:val="0"/>
              <w:autoSpaceDE w:val="0"/>
              <w:autoSpaceDN w:val="0"/>
              <w:bidi w:val="0"/>
              <w:adjustRightInd/>
              <w:snapToGrid/>
              <w:spacing w:line="340" w:lineRule="exact"/>
              <w:jc w:val="center"/>
              <w:textAlignment w:val="auto"/>
              <w:rPr>
                <w:rFonts w:hint="eastAsia" w:ascii="仿宋" w:hAnsi="仿宋" w:eastAsia="仿宋" w:cs="仿宋"/>
                <w:color w:val="auto"/>
                <w:sz w:val="24"/>
                <w:szCs w:val="24"/>
                <w:highlight w:val="none"/>
              </w:rPr>
            </w:pPr>
          </w:p>
        </w:tc>
        <w:tc>
          <w:tcPr>
            <w:tcW w:w="472" w:type="dxa"/>
            <w:shd w:val="clear" w:color="auto" w:fill="auto"/>
            <w:vAlign w:val="center"/>
          </w:tcPr>
          <w:p w14:paraId="372750FA">
            <w:pPr>
              <w:spacing w:line="3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p>
        </w:tc>
        <w:tc>
          <w:tcPr>
            <w:tcW w:w="6889" w:type="dxa"/>
            <w:shd w:val="clear" w:color="auto" w:fill="auto"/>
            <w:vAlign w:val="center"/>
          </w:tcPr>
          <w:p w14:paraId="5F315E62">
            <w:pPr>
              <w:pStyle w:val="30"/>
              <w:shd w:val="clear" w:color="auto" w:fill="FFFFFF"/>
              <w:spacing w:before="0" w:beforeAutospacing="0" w:after="0" w:afterAutospacing="0" w:line="240" w:lineRule="auto"/>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保证金汇款凭证或保函；</w:t>
            </w:r>
          </w:p>
        </w:tc>
        <w:tc>
          <w:tcPr>
            <w:tcW w:w="799" w:type="dxa"/>
          </w:tcPr>
          <w:p w14:paraId="7C3C32F7">
            <w:pPr>
              <w:keepNext w:val="0"/>
              <w:keepLines w:val="0"/>
              <w:pageBreakBefore w:val="0"/>
              <w:widowControl w:val="0"/>
              <w:kinsoku/>
              <w:overflowPunct/>
              <w:topLinePunct w:val="0"/>
              <w:autoSpaceDE w:val="0"/>
              <w:autoSpaceDN w:val="0"/>
              <w:bidi w:val="0"/>
              <w:adjustRightInd/>
              <w:snapToGrid/>
              <w:spacing w:line="340" w:lineRule="exact"/>
              <w:jc w:val="left"/>
              <w:textAlignment w:val="auto"/>
              <w:rPr>
                <w:rFonts w:hint="eastAsia" w:ascii="仿宋" w:hAnsi="仿宋" w:eastAsia="仿宋" w:cs="仿宋"/>
                <w:color w:val="auto"/>
                <w:sz w:val="24"/>
                <w:szCs w:val="24"/>
                <w:highlight w:val="none"/>
              </w:rPr>
            </w:pPr>
          </w:p>
        </w:tc>
        <w:tc>
          <w:tcPr>
            <w:tcW w:w="882" w:type="dxa"/>
          </w:tcPr>
          <w:p w14:paraId="3135A63B">
            <w:pPr>
              <w:keepNext w:val="0"/>
              <w:keepLines w:val="0"/>
              <w:pageBreakBefore w:val="0"/>
              <w:widowControl w:val="0"/>
              <w:kinsoku/>
              <w:overflowPunct/>
              <w:topLinePunct w:val="0"/>
              <w:autoSpaceDE w:val="0"/>
              <w:autoSpaceDN w:val="0"/>
              <w:bidi w:val="0"/>
              <w:adjustRightInd/>
              <w:snapToGrid/>
              <w:spacing w:line="340" w:lineRule="exact"/>
              <w:jc w:val="left"/>
              <w:textAlignment w:val="auto"/>
              <w:rPr>
                <w:rFonts w:hint="eastAsia" w:ascii="仿宋" w:hAnsi="仿宋" w:eastAsia="仿宋" w:cs="仿宋"/>
                <w:color w:val="auto"/>
                <w:sz w:val="24"/>
                <w:szCs w:val="24"/>
                <w:highlight w:val="none"/>
              </w:rPr>
            </w:pPr>
          </w:p>
        </w:tc>
      </w:tr>
      <w:tr w14:paraId="15C2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517" w:type="dxa"/>
            <w:vMerge w:val="continue"/>
            <w:vAlign w:val="center"/>
          </w:tcPr>
          <w:p w14:paraId="3773AED4">
            <w:pPr>
              <w:keepNext w:val="0"/>
              <w:keepLines w:val="0"/>
              <w:pageBreakBefore w:val="0"/>
              <w:widowControl w:val="0"/>
              <w:kinsoku/>
              <w:overflowPunct/>
              <w:topLinePunct w:val="0"/>
              <w:autoSpaceDE w:val="0"/>
              <w:autoSpaceDN w:val="0"/>
              <w:bidi w:val="0"/>
              <w:adjustRightInd/>
              <w:snapToGrid/>
              <w:spacing w:line="340" w:lineRule="exact"/>
              <w:jc w:val="center"/>
              <w:textAlignment w:val="auto"/>
              <w:rPr>
                <w:rFonts w:hint="eastAsia" w:ascii="仿宋" w:hAnsi="仿宋" w:eastAsia="仿宋" w:cs="仿宋"/>
                <w:color w:val="auto"/>
                <w:sz w:val="24"/>
                <w:szCs w:val="24"/>
                <w:highlight w:val="none"/>
              </w:rPr>
            </w:pPr>
          </w:p>
        </w:tc>
        <w:tc>
          <w:tcPr>
            <w:tcW w:w="472" w:type="dxa"/>
            <w:shd w:val="clear" w:color="auto" w:fill="auto"/>
            <w:vAlign w:val="center"/>
          </w:tcPr>
          <w:p w14:paraId="5B9E2DED">
            <w:pPr>
              <w:spacing w:line="34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6889" w:type="dxa"/>
            <w:shd w:val="clear" w:color="auto" w:fill="auto"/>
            <w:vAlign w:val="center"/>
          </w:tcPr>
          <w:p w14:paraId="7727AED0">
            <w:pPr>
              <w:pStyle w:val="30"/>
              <w:shd w:val="clear" w:color="auto" w:fill="FFFFFF"/>
              <w:spacing w:before="0" w:beforeAutospacing="0" w:after="0" w:afterAutospacing="0" w:line="240" w:lineRule="auto"/>
              <w:jc w:val="both"/>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供应商应为中小企业，需提供有效的《中小企业声明函》，格式以采购文件要求为准。</w:t>
            </w:r>
          </w:p>
        </w:tc>
        <w:tc>
          <w:tcPr>
            <w:tcW w:w="799" w:type="dxa"/>
          </w:tcPr>
          <w:p w14:paraId="3306CF44">
            <w:pPr>
              <w:keepNext w:val="0"/>
              <w:keepLines w:val="0"/>
              <w:pageBreakBefore w:val="0"/>
              <w:widowControl w:val="0"/>
              <w:kinsoku/>
              <w:overflowPunct/>
              <w:topLinePunct w:val="0"/>
              <w:autoSpaceDE w:val="0"/>
              <w:autoSpaceDN w:val="0"/>
              <w:bidi w:val="0"/>
              <w:adjustRightInd/>
              <w:snapToGrid/>
              <w:spacing w:line="340" w:lineRule="exact"/>
              <w:jc w:val="left"/>
              <w:textAlignment w:val="auto"/>
              <w:rPr>
                <w:rFonts w:hint="eastAsia" w:ascii="仿宋" w:hAnsi="仿宋" w:eastAsia="仿宋" w:cs="仿宋"/>
                <w:color w:val="auto"/>
                <w:sz w:val="24"/>
                <w:szCs w:val="24"/>
                <w:highlight w:val="none"/>
              </w:rPr>
            </w:pPr>
          </w:p>
        </w:tc>
        <w:tc>
          <w:tcPr>
            <w:tcW w:w="882" w:type="dxa"/>
          </w:tcPr>
          <w:p w14:paraId="01BA7BEF">
            <w:pPr>
              <w:keepNext w:val="0"/>
              <w:keepLines w:val="0"/>
              <w:pageBreakBefore w:val="0"/>
              <w:widowControl w:val="0"/>
              <w:kinsoku/>
              <w:overflowPunct/>
              <w:topLinePunct w:val="0"/>
              <w:autoSpaceDE w:val="0"/>
              <w:autoSpaceDN w:val="0"/>
              <w:bidi w:val="0"/>
              <w:adjustRightInd/>
              <w:snapToGrid/>
              <w:spacing w:line="340" w:lineRule="exact"/>
              <w:jc w:val="left"/>
              <w:textAlignment w:val="auto"/>
              <w:rPr>
                <w:rFonts w:hint="eastAsia" w:ascii="仿宋" w:hAnsi="仿宋" w:eastAsia="仿宋" w:cs="仿宋"/>
                <w:color w:val="auto"/>
                <w:sz w:val="24"/>
                <w:szCs w:val="24"/>
                <w:highlight w:val="none"/>
              </w:rPr>
            </w:pPr>
          </w:p>
        </w:tc>
      </w:tr>
      <w:tr w14:paraId="03D4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9" w:hRule="atLeast"/>
          <w:jc w:val="center"/>
        </w:trPr>
        <w:tc>
          <w:tcPr>
            <w:tcW w:w="517" w:type="dxa"/>
            <w:vMerge w:val="restart"/>
            <w:vAlign w:val="center"/>
          </w:tcPr>
          <w:p w14:paraId="683BAD00">
            <w:pPr>
              <w:autoSpaceDE w:val="0"/>
              <w:autoSpaceDN w:val="0"/>
              <w:spacing w:line="3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w:t>
            </w:r>
          </w:p>
          <w:p w14:paraId="0037653F">
            <w:pPr>
              <w:autoSpaceDE w:val="0"/>
              <w:autoSpaceDN w:val="0"/>
              <w:spacing w:line="3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w:t>
            </w:r>
          </w:p>
        </w:tc>
        <w:tc>
          <w:tcPr>
            <w:tcW w:w="472" w:type="dxa"/>
            <w:vAlign w:val="center"/>
          </w:tcPr>
          <w:p w14:paraId="1115C084">
            <w:pPr>
              <w:autoSpaceDE w:val="0"/>
              <w:autoSpaceDN w:val="0"/>
              <w:spacing w:line="3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6889" w:type="dxa"/>
            <w:vAlign w:val="center"/>
          </w:tcPr>
          <w:p w14:paraId="6D2A87C8">
            <w:pPr>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投标文件是否有投标单位法定代表人或其委托代理人（签字或签章）和加盖了投标单位的盖章；</w:t>
            </w:r>
          </w:p>
        </w:tc>
        <w:tc>
          <w:tcPr>
            <w:tcW w:w="799" w:type="dxa"/>
          </w:tcPr>
          <w:p w14:paraId="5E6CD14E">
            <w:pPr>
              <w:autoSpaceDE w:val="0"/>
              <w:autoSpaceDN w:val="0"/>
              <w:spacing w:line="340" w:lineRule="exact"/>
              <w:jc w:val="left"/>
              <w:rPr>
                <w:rFonts w:hint="eastAsia" w:ascii="仿宋" w:hAnsi="仿宋" w:eastAsia="仿宋" w:cs="仿宋"/>
                <w:color w:val="auto"/>
                <w:sz w:val="24"/>
                <w:szCs w:val="24"/>
                <w:highlight w:val="none"/>
              </w:rPr>
            </w:pPr>
          </w:p>
        </w:tc>
        <w:tc>
          <w:tcPr>
            <w:tcW w:w="882" w:type="dxa"/>
          </w:tcPr>
          <w:p w14:paraId="77A5F78A">
            <w:pPr>
              <w:autoSpaceDE w:val="0"/>
              <w:autoSpaceDN w:val="0"/>
              <w:spacing w:line="340" w:lineRule="exact"/>
              <w:jc w:val="left"/>
              <w:rPr>
                <w:rFonts w:hint="eastAsia" w:ascii="仿宋" w:hAnsi="仿宋" w:eastAsia="仿宋" w:cs="仿宋"/>
                <w:color w:val="auto"/>
                <w:sz w:val="24"/>
                <w:szCs w:val="24"/>
                <w:highlight w:val="none"/>
              </w:rPr>
            </w:pPr>
          </w:p>
        </w:tc>
      </w:tr>
      <w:tr w14:paraId="2D8A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517" w:type="dxa"/>
            <w:vMerge w:val="continue"/>
            <w:vAlign w:val="center"/>
          </w:tcPr>
          <w:p w14:paraId="0D3ECDD0">
            <w:pPr>
              <w:widowControl/>
              <w:spacing w:line="340" w:lineRule="exact"/>
              <w:jc w:val="left"/>
              <w:rPr>
                <w:rFonts w:hint="eastAsia" w:ascii="仿宋" w:hAnsi="仿宋" w:eastAsia="仿宋" w:cs="仿宋"/>
                <w:color w:val="auto"/>
                <w:sz w:val="24"/>
                <w:szCs w:val="24"/>
                <w:highlight w:val="none"/>
              </w:rPr>
            </w:pPr>
          </w:p>
        </w:tc>
        <w:tc>
          <w:tcPr>
            <w:tcW w:w="472" w:type="dxa"/>
            <w:vAlign w:val="center"/>
          </w:tcPr>
          <w:p w14:paraId="3FF326DA">
            <w:pPr>
              <w:autoSpaceDE w:val="0"/>
              <w:autoSpaceDN w:val="0"/>
              <w:spacing w:line="3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6889" w:type="dxa"/>
            <w:vAlign w:val="center"/>
          </w:tcPr>
          <w:p w14:paraId="7DB0CC82">
            <w:pPr>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是否对同一招标项目做出两个以上报价而未明确效力；</w:t>
            </w:r>
          </w:p>
        </w:tc>
        <w:tc>
          <w:tcPr>
            <w:tcW w:w="799" w:type="dxa"/>
          </w:tcPr>
          <w:p w14:paraId="422EB373">
            <w:pPr>
              <w:autoSpaceDE w:val="0"/>
              <w:autoSpaceDN w:val="0"/>
              <w:spacing w:line="340" w:lineRule="exact"/>
              <w:jc w:val="left"/>
              <w:rPr>
                <w:rFonts w:hint="eastAsia" w:ascii="仿宋" w:hAnsi="仿宋" w:eastAsia="仿宋" w:cs="仿宋"/>
                <w:color w:val="auto"/>
                <w:sz w:val="24"/>
                <w:szCs w:val="24"/>
                <w:highlight w:val="none"/>
              </w:rPr>
            </w:pPr>
          </w:p>
        </w:tc>
        <w:tc>
          <w:tcPr>
            <w:tcW w:w="882" w:type="dxa"/>
          </w:tcPr>
          <w:p w14:paraId="0EFB3692">
            <w:pPr>
              <w:autoSpaceDE w:val="0"/>
              <w:autoSpaceDN w:val="0"/>
              <w:spacing w:line="340" w:lineRule="exact"/>
              <w:jc w:val="left"/>
              <w:rPr>
                <w:rFonts w:hint="eastAsia" w:ascii="仿宋" w:hAnsi="仿宋" w:eastAsia="仿宋" w:cs="仿宋"/>
                <w:color w:val="auto"/>
                <w:sz w:val="24"/>
                <w:szCs w:val="24"/>
                <w:highlight w:val="none"/>
              </w:rPr>
            </w:pPr>
          </w:p>
        </w:tc>
      </w:tr>
      <w:tr w14:paraId="50A4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517" w:type="dxa"/>
            <w:vMerge w:val="continue"/>
            <w:vAlign w:val="center"/>
          </w:tcPr>
          <w:p w14:paraId="784C0635">
            <w:pPr>
              <w:widowControl/>
              <w:spacing w:line="340" w:lineRule="exact"/>
              <w:jc w:val="left"/>
              <w:rPr>
                <w:rFonts w:hint="eastAsia" w:ascii="仿宋" w:hAnsi="仿宋" w:eastAsia="仿宋" w:cs="仿宋"/>
                <w:color w:val="auto"/>
                <w:sz w:val="24"/>
                <w:szCs w:val="24"/>
                <w:highlight w:val="none"/>
              </w:rPr>
            </w:pPr>
          </w:p>
        </w:tc>
        <w:tc>
          <w:tcPr>
            <w:tcW w:w="472" w:type="dxa"/>
            <w:vAlign w:val="center"/>
          </w:tcPr>
          <w:p w14:paraId="3E739E86">
            <w:pPr>
              <w:autoSpaceDE w:val="0"/>
              <w:autoSpaceDN w:val="0"/>
              <w:spacing w:line="3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6889" w:type="dxa"/>
            <w:vAlign w:val="center"/>
          </w:tcPr>
          <w:p w14:paraId="5BD0F177">
            <w:pPr>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服务期限是否符合</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要求；</w:t>
            </w:r>
          </w:p>
        </w:tc>
        <w:tc>
          <w:tcPr>
            <w:tcW w:w="799" w:type="dxa"/>
          </w:tcPr>
          <w:p w14:paraId="1D4E9296">
            <w:pPr>
              <w:autoSpaceDE w:val="0"/>
              <w:autoSpaceDN w:val="0"/>
              <w:spacing w:line="340" w:lineRule="exact"/>
              <w:jc w:val="left"/>
              <w:rPr>
                <w:rFonts w:hint="eastAsia" w:ascii="仿宋" w:hAnsi="仿宋" w:eastAsia="仿宋" w:cs="仿宋"/>
                <w:color w:val="auto"/>
                <w:sz w:val="24"/>
                <w:szCs w:val="24"/>
                <w:highlight w:val="none"/>
              </w:rPr>
            </w:pPr>
          </w:p>
        </w:tc>
        <w:tc>
          <w:tcPr>
            <w:tcW w:w="882" w:type="dxa"/>
          </w:tcPr>
          <w:p w14:paraId="127DAB7D">
            <w:pPr>
              <w:autoSpaceDE w:val="0"/>
              <w:autoSpaceDN w:val="0"/>
              <w:spacing w:line="340" w:lineRule="exact"/>
              <w:jc w:val="left"/>
              <w:rPr>
                <w:rFonts w:hint="eastAsia" w:ascii="仿宋" w:hAnsi="仿宋" w:eastAsia="仿宋" w:cs="仿宋"/>
                <w:color w:val="auto"/>
                <w:sz w:val="24"/>
                <w:szCs w:val="24"/>
                <w:highlight w:val="none"/>
              </w:rPr>
            </w:pPr>
          </w:p>
        </w:tc>
      </w:tr>
      <w:tr w14:paraId="78A53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517" w:type="dxa"/>
            <w:vMerge w:val="continue"/>
            <w:vAlign w:val="center"/>
          </w:tcPr>
          <w:p w14:paraId="2F452E3D">
            <w:pPr>
              <w:widowControl/>
              <w:spacing w:line="340" w:lineRule="exact"/>
              <w:jc w:val="left"/>
              <w:rPr>
                <w:rFonts w:hint="eastAsia" w:ascii="仿宋" w:hAnsi="仿宋" w:eastAsia="仿宋" w:cs="仿宋"/>
                <w:color w:val="auto"/>
                <w:sz w:val="24"/>
                <w:szCs w:val="24"/>
                <w:highlight w:val="none"/>
              </w:rPr>
            </w:pPr>
          </w:p>
        </w:tc>
        <w:tc>
          <w:tcPr>
            <w:tcW w:w="472" w:type="dxa"/>
            <w:vAlign w:val="center"/>
          </w:tcPr>
          <w:p w14:paraId="1195C40F">
            <w:pPr>
              <w:autoSpaceDE w:val="0"/>
              <w:autoSpaceDN w:val="0"/>
              <w:spacing w:line="3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6889" w:type="dxa"/>
            <w:vAlign w:val="center"/>
          </w:tcPr>
          <w:p w14:paraId="1BC80D6C">
            <w:pPr>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投标人投标总价是否超出</w:t>
            </w:r>
            <w:r>
              <w:rPr>
                <w:rFonts w:hint="eastAsia" w:ascii="仿宋" w:hAnsi="仿宋" w:eastAsia="仿宋" w:cs="仿宋"/>
                <w:color w:val="auto"/>
                <w:sz w:val="24"/>
                <w:szCs w:val="24"/>
                <w:highlight w:val="none"/>
                <w:lang w:val="en-US" w:eastAsia="zh-CN"/>
              </w:rPr>
              <w:t>最高限价</w:t>
            </w:r>
            <w:r>
              <w:rPr>
                <w:rFonts w:hint="eastAsia" w:ascii="仿宋" w:hAnsi="仿宋" w:eastAsia="仿宋" w:cs="仿宋"/>
                <w:color w:val="auto"/>
                <w:sz w:val="24"/>
                <w:szCs w:val="24"/>
                <w:highlight w:val="none"/>
              </w:rPr>
              <w:t>；</w:t>
            </w:r>
          </w:p>
        </w:tc>
        <w:tc>
          <w:tcPr>
            <w:tcW w:w="799" w:type="dxa"/>
          </w:tcPr>
          <w:p w14:paraId="686DDC5D">
            <w:pPr>
              <w:autoSpaceDE w:val="0"/>
              <w:autoSpaceDN w:val="0"/>
              <w:spacing w:line="340" w:lineRule="exact"/>
              <w:jc w:val="left"/>
              <w:rPr>
                <w:rFonts w:hint="eastAsia" w:ascii="仿宋" w:hAnsi="仿宋" w:eastAsia="仿宋" w:cs="仿宋"/>
                <w:color w:val="auto"/>
                <w:sz w:val="24"/>
                <w:szCs w:val="24"/>
                <w:highlight w:val="none"/>
              </w:rPr>
            </w:pPr>
          </w:p>
        </w:tc>
        <w:tc>
          <w:tcPr>
            <w:tcW w:w="882" w:type="dxa"/>
          </w:tcPr>
          <w:p w14:paraId="5F55BFD6">
            <w:pPr>
              <w:autoSpaceDE w:val="0"/>
              <w:autoSpaceDN w:val="0"/>
              <w:spacing w:line="340" w:lineRule="exact"/>
              <w:jc w:val="left"/>
              <w:rPr>
                <w:rFonts w:hint="eastAsia" w:ascii="仿宋" w:hAnsi="仿宋" w:eastAsia="仿宋" w:cs="仿宋"/>
                <w:color w:val="auto"/>
                <w:sz w:val="24"/>
                <w:szCs w:val="24"/>
                <w:highlight w:val="none"/>
              </w:rPr>
            </w:pPr>
          </w:p>
        </w:tc>
      </w:tr>
      <w:tr w14:paraId="4019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 w:hRule="atLeast"/>
          <w:jc w:val="center"/>
        </w:trPr>
        <w:tc>
          <w:tcPr>
            <w:tcW w:w="517" w:type="dxa"/>
            <w:vMerge w:val="continue"/>
            <w:vAlign w:val="center"/>
          </w:tcPr>
          <w:p w14:paraId="3E558E85">
            <w:pPr>
              <w:widowControl/>
              <w:spacing w:line="340" w:lineRule="exact"/>
              <w:jc w:val="left"/>
              <w:rPr>
                <w:rFonts w:hint="eastAsia" w:ascii="仿宋" w:hAnsi="仿宋" w:eastAsia="仿宋" w:cs="仿宋"/>
                <w:color w:val="auto"/>
                <w:sz w:val="24"/>
                <w:szCs w:val="24"/>
                <w:highlight w:val="none"/>
              </w:rPr>
            </w:pPr>
          </w:p>
        </w:tc>
        <w:tc>
          <w:tcPr>
            <w:tcW w:w="472" w:type="dxa"/>
            <w:vAlign w:val="center"/>
          </w:tcPr>
          <w:p w14:paraId="30EB3876">
            <w:pPr>
              <w:autoSpaceDE w:val="0"/>
              <w:autoSpaceDN w:val="0"/>
              <w:spacing w:line="3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6889" w:type="dxa"/>
            <w:vAlign w:val="center"/>
          </w:tcPr>
          <w:p w14:paraId="23F56E5D">
            <w:pPr>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投标文件是否附有采购人不能接受的条件。</w:t>
            </w:r>
          </w:p>
        </w:tc>
        <w:tc>
          <w:tcPr>
            <w:tcW w:w="799" w:type="dxa"/>
          </w:tcPr>
          <w:p w14:paraId="35179FAB">
            <w:pPr>
              <w:autoSpaceDE w:val="0"/>
              <w:autoSpaceDN w:val="0"/>
              <w:spacing w:line="340" w:lineRule="exact"/>
              <w:jc w:val="left"/>
              <w:rPr>
                <w:rFonts w:hint="eastAsia" w:ascii="仿宋" w:hAnsi="仿宋" w:eastAsia="仿宋" w:cs="仿宋"/>
                <w:color w:val="auto"/>
                <w:sz w:val="24"/>
                <w:szCs w:val="24"/>
                <w:highlight w:val="none"/>
              </w:rPr>
            </w:pPr>
          </w:p>
        </w:tc>
        <w:tc>
          <w:tcPr>
            <w:tcW w:w="882" w:type="dxa"/>
          </w:tcPr>
          <w:p w14:paraId="526015FD">
            <w:pPr>
              <w:autoSpaceDE w:val="0"/>
              <w:autoSpaceDN w:val="0"/>
              <w:spacing w:line="340" w:lineRule="exact"/>
              <w:jc w:val="left"/>
              <w:rPr>
                <w:rFonts w:hint="eastAsia" w:ascii="仿宋" w:hAnsi="仿宋" w:eastAsia="仿宋" w:cs="仿宋"/>
                <w:color w:val="auto"/>
                <w:sz w:val="24"/>
                <w:szCs w:val="24"/>
                <w:highlight w:val="none"/>
              </w:rPr>
            </w:pPr>
          </w:p>
        </w:tc>
      </w:tr>
      <w:tr w14:paraId="4CE8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9559" w:type="dxa"/>
            <w:gridSpan w:val="5"/>
            <w:vAlign w:val="center"/>
          </w:tcPr>
          <w:p w14:paraId="0ABAAA61">
            <w:pPr>
              <w:autoSpaceDE w:val="0"/>
              <w:autoSpaceDN w:val="0"/>
              <w:spacing w:line="24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以上有一项未通过的</w:t>
            </w:r>
            <w:r>
              <w:rPr>
                <w:rFonts w:hint="eastAsia" w:ascii="仿宋" w:hAnsi="仿宋" w:eastAsia="仿宋" w:cs="仿宋"/>
                <w:b/>
                <w:color w:val="auto"/>
                <w:sz w:val="24"/>
                <w:szCs w:val="24"/>
                <w:highlight w:val="none"/>
                <w:lang w:eastAsia="zh-CN"/>
              </w:rPr>
              <w:t>投标人</w:t>
            </w:r>
            <w:r>
              <w:rPr>
                <w:rFonts w:hint="eastAsia" w:ascii="仿宋" w:hAnsi="仿宋" w:eastAsia="仿宋" w:cs="仿宋"/>
                <w:b/>
                <w:color w:val="auto"/>
                <w:sz w:val="24"/>
                <w:szCs w:val="24"/>
                <w:highlight w:val="none"/>
              </w:rPr>
              <w:t>不得进入下阶段评审</w:t>
            </w:r>
          </w:p>
        </w:tc>
      </w:tr>
    </w:tbl>
    <w:p w14:paraId="6BD31C09">
      <w:pPr>
        <w:spacing w:line="240" w:lineRule="auto"/>
        <w:rPr>
          <w:rFonts w:hint="eastAsia" w:ascii="仿宋" w:hAnsi="仿宋" w:eastAsia="仿宋" w:cs="仿宋"/>
          <w:b/>
          <w:bCs/>
          <w:sz w:val="24"/>
          <w:szCs w:val="24"/>
          <w:highlight w:val="none"/>
        </w:rPr>
      </w:pPr>
    </w:p>
    <w:p w14:paraId="3FF5FACF">
      <w:pPr>
        <w:pStyle w:val="16"/>
        <w:rPr>
          <w:rFonts w:hint="eastAsia"/>
          <w:highlight w:val="none"/>
        </w:rPr>
      </w:pPr>
    </w:p>
    <w:p w14:paraId="05B475A8">
      <w:pPr>
        <w:spacing w:line="240" w:lineRule="auto"/>
        <w:rPr>
          <w:rFonts w:hint="eastAsia" w:ascii="仿宋" w:hAnsi="仿宋" w:eastAsia="仿宋" w:cs="仿宋"/>
          <w:b/>
          <w:bCs/>
          <w:sz w:val="24"/>
          <w:szCs w:val="24"/>
          <w:highlight w:val="none"/>
        </w:rPr>
      </w:pPr>
    </w:p>
    <w:p w14:paraId="0C85BD80">
      <w:pPr>
        <w:pStyle w:val="4"/>
        <w:rPr>
          <w:rFonts w:hint="eastAsia" w:ascii="仿宋" w:hAnsi="仿宋" w:eastAsia="仿宋" w:cs="仿宋"/>
          <w:b/>
          <w:bCs/>
          <w:sz w:val="24"/>
          <w:szCs w:val="24"/>
          <w:highlight w:val="none"/>
        </w:rPr>
      </w:pPr>
    </w:p>
    <w:p w14:paraId="66A2CAD9">
      <w:pPr>
        <w:rPr>
          <w:rFonts w:hint="eastAsia" w:ascii="仿宋" w:hAnsi="仿宋" w:eastAsia="仿宋" w:cs="仿宋"/>
          <w:b/>
          <w:bCs/>
          <w:sz w:val="24"/>
          <w:szCs w:val="24"/>
          <w:highlight w:val="none"/>
        </w:rPr>
      </w:pPr>
    </w:p>
    <w:p w14:paraId="0A4A6652">
      <w:pPr>
        <w:pStyle w:val="4"/>
        <w:rPr>
          <w:rFonts w:hint="eastAsia" w:ascii="仿宋" w:hAnsi="仿宋" w:eastAsia="仿宋" w:cs="仿宋"/>
          <w:b/>
          <w:bCs/>
          <w:sz w:val="24"/>
          <w:szCs w:val="24"/>
          <w:highlight w:val="none"/>
        </w:rPr>
      </w:pPr>
    </w:p>
    <w:p w14:paraId="2E229AE5">
      <w:pPr>
        <w:rPr>
          <w:rFonts w:hint="eastAsia" w:ascii="仿宋" w:hAnsi="仿宋" w:eastAsia="仿宋" w:cs="仿宋"/>
          <w:b/>
          <w:bCs/>
          <w:sz w:val="24"/>
          <w:szCs w:val="24"/>
          <w:highlight w:val="none"/>
        </w:rPr>
      </w:pPr>
    </w:p>
    <w:p w14:paraId="3722CE10">
      <w:pPr>
        <w:pStyle w:val="4"/>
        <w:rPr>
          <w:rFonts w:hint="eastAsia" w:ascii="仿宋" w:hAnsi="仿宋" w:eastAsia="仿宋" w:cs="仿宋"/>
          <w:b/>
          <w:bCs/>
          <w:sz w:val="24"/>
          <w:szCs w:val="24"/>
          <w:highlight w:val="none"/>
        </w:rPr>
      </w:pPr>
    </w:p>
    <w:p w14:paraId="720CEF36">
      <w:pPr>
        <w:rPr>
          <w:rFonts w:hint="eastAsia" w:ascii="仿宋" w:hAnsi="仿宋" w:eastAsia="仿宋" w:cs="仿宋"/>
          <w:b/>
          <w:bCs/>
          <w:sz w:val="24"/>
          <w:szCs w:val="24"/>
          <w:highlight w:val="none"/>
        </w:rPr>
      </w:pPr>
    </w:p>
    <w:p w14:paraId="0B205A8C">
      <w:pPr>
        <w:pStyle w:val="4"/>
        <w:rPr>
          <w:rFonts w:hint="eastAsia" w:ascii="仿宋" w:hAnsi="仿宋" w:eastAsia="仿宋" w:cs="仿宋"/>
          <w:b/>
          <w:bCs/>
          <w:sz w:val="24"/>
          <w:szCs w:val="24"/>
          <w:highlight w:val="none"/>
        </w:rPr>
      </w:pPr>
    </w:p>
    <w:p w14:paraId="68A03ADB">
      <w:pPr>
        <w:rPr>
          <w:rFonts w:hint="eastAsia" w:ascii="仿宋" w:hAnsi="仿宋" w:eastAsia="仿宋" w:cs="仿宋"/>
          <w:b/>
          <w:bCs/>
          <w:sz w:val="24"/>
          <w:szCs w:val="24"/>
          <w:highlight w:val="none"/>
        </w:rPr>
      </w:pPr>
    </w:p>
    <w:p w14:paraId="64713705">
      <w:pPr>
        <w:pStyle w:val="4"/>
        <w:rPr>
          <w:rFonts w:hint="eastAsia" w:ascii="仿宋" w:hAnsi="仿宋" w:eastAsia="仿宋" w:cs="仿宋"/>
          <w:b/>
          <w:bCs/>
          <w:sz w:val="24"/>
          <w:szCs w:val="24"/>
          <w:highlight w:val="none"/>
        </w:rPr>
      </w:pPr>
    </w:p>
    <w:p w14:paraId="0CF16CDC">
      <w:pPr>
        <w:rPr>
          <w:rFonts w:hint="eastAsia" w:ascii="仿宋" w:hAnsi="仿宋" w:eastAsia="仿宋" w:cs="仿宋"/>
          <w:b/>
          <w:bCs/>
          <w:sz w:val="24"/>
          <w:szCs w:val="24"/>
          <w:highlight w:val="none"/>
        </w:rPr>
      </w:pPr>
    </w:p>
    <w:p w14:paraId="3629E1DF">
      <w:pPr>
        <w:pStyle w:val="4"/>
        <w:rPr>
          <w:rFonts w:hint="eastAsia" w:ascii="仿宋" w:hAnsi="仿宋" w:eastAsia="仿宋" w:cs="仿宋"/>
          <w:b/>
          <w:bCs/>
          <w:sz w:val="24"/>
          <w:szCs w:val="24"/>
          <w:highlight w:val="none"/>
        </w:rPr>
      </w:pPr>
    </w:p>
    <w:p w14:paraId="002C5B59">
      <w:pPr>
        <w:rPr>
          <w:rFonts w:hint="eastAsia" w:ascii="仿宋" w:hAnsi="仿宋" w:eastAsia="仿宋" w:cs="仿宋"/>
          <w:b/>
          <w:bCs/>
          <w:sz w:val="24"/>
          <w:szCs w:val="24"/>
          <w:highlight w:val="none"/>
        </w:rPr>
      </w:pPr>
    </w:p>
    <w:p w14:paraId="1C082643">
      <w:pPr>
        <w:pStyle w:val="4"/>
        <w:rPr>
          <w:rFonts w:hint="eastAsia" w:ascii="仿宋" w:hAnsi="仿宋" w:eastAsia="仿宋" w:cs="仿宋"/>
          <w:b/>
          <w:bCs/>
          <w:sz w:val="24"/>
          <w:szCs w:val="24"/>
          <w:highlight w:val="none"/>
        </w:rPr>
      </w:pPr>
    </w:p>
    <w:p w14:paraId="13239A04">
      <w:pPr>
        <w:rPr>
          <w:rFonts w:hint="eastAsia" w:ascii="仿宋" w:hAnsi="仿宋" w:eastAsia="仿宋" w:cs="仿宋"/>
          <w:b/>
          <w:bCs/>
          <w:sz w:val="24"/>
          <w:szCs w:val="24"/>
          <w:highlight w:val="none"/>
        </w:rPr>
      </w:pPr>
    </w:p>
    <w:p w14:paraId="07180847">
      <w:pPr>
        <w:pStyle w:val="4"/>
        <w:rPr>
          <w:rFonts w:hint="eastAsia" w:ascii="仿宋" w:hAnsi="仿宋" w:eastAsia="仿宋" w:cs="仿宋"/>
          <w:b/>
          <w:bCs/>
          <w:sz w:val="24"/>
          <w:szCs w:val="24"/>
          <w:highlight w:val="none"/>
        </w:rPr>
      </w:pPr>
    </w:p>
    <w:p w14:paraId="4E40B09D">
      <w:pPr>
        <w:rPr>
          <w:rFonts w:hint="eastAsia" w:ascii="仿宋" w:hAnsi="仿宋" w:eastAsia="仿宋" w:cs="仿宋"/>
          <w:b/>
          <w:bCs/>
          <w:sz w:val="24"/>
          <w:szCs w:val="24"/>
          <w:highlight w:val="none"/>
        </w:rPr>
      </w:pPr>
    </w:p>
    <w:p w14:paraId="54B8360D">
      <w:pPr>
        <w:pStyle w:val="4"/>
        <w:rPr>
          <w:rFonts w:hint="eastAsia" w:ascii="仿宋" w:hAnsi="仿宋" w:eastAsia="仿宋" w:cs="仿宋"/>
          <w:b/>
          <w:bCs/>
          <w:sz w:val="24"/>
          <w:szCs w:val="24"/>
          <w:highlight w:val="none"/>
        </w:rPr>
      </w:pPr>
    </w:p>
    <w:p w14:paraId="651C167B">
      <w:pPr>
        <w:rPr>
          <w:rFonts w:hint="eastAsia" w:ascii="仿宋" w:hAnsi="仿宋" w:eastAsia="仿宋" w:cs="仿宋"/>
          <w:b/>
          <w:bCs/>
          <w:sz w:val="24"/>
          <w:szCs w:val="24"/>
          <w:highlight w:val="none"/>
        </w:rPr>
      </w:pPr>
    </w:p>
    <w:p w14:paraId="00C2CBB4">
      <w:pPr>
        <w:pStyle w:val="18"/>
        <w:rPr>
          <w:rFonts w:hint="eastAsia" w:ascii="仿宋" w:hAnsi="仿宋" w:eastAsia="仿宋" w:cs="仿宋"/>
          <w:b/>
          <w:bCs/>
          <w:sz w:val="24"/>
          <w:szCs w:val="24"/>
          <w:highlight w:val="none"/>
        </w:rPr>
      </w:pPr>
    </w:p>
    <w:p w14:paraId="2592B93C">
      <w:pPr>
        <w:pStyle w:val="19"/>
        <w:widowControl w:val="0"/>
        <w:numPr>
          <w:ilvl w:val="0"/>
          <w:numId w:val="0"/>
        </w:numPr>
        <w:jc w:val="both"/>
        <w:rPr>
          <w:rFonts w:hint="eastAsia" w:ascii="仿宋" w:hAnsi="仿宋" w:eastAsia="仿宋" w:cs="仿宋"/>
          <w:b/>
          <w:bCs/>
          <w:sz w:val="24"/>
          <w:szCs w:val="24"/>
          <w:highlight w:val="none"/>
        </w:rPr>
      </w:pPr>
    </w:p>
    <w:p w14:paraId="5E339CF8">
      <w:pPr>
        <w:pStyle w:val="19"/>
        <w:widowControl w:val="0"/>
        <w:numPr>
          <w:ilvl w:val="0"/>
          <w:numId w:val="0"/>
        </w:numPr>
        <w:jc w:val="both"/>
        <w:rPr>
          <w:rFonts w:hint="eastAsia" w:ascii="仿宋" w:hAnsi="仿宋" w:eastAsia="仿宋" w:cs="仿宋"/>
          <w:b/>
          <w:bCs/>
          <w:sz w:val="24"/>
          <w:szCs w:val="24"/>
          <w:highlight w:val="none"/>
        </w:rPr>
      </w:pPr>
    </w:p>
    <w:p w14:paraId="2497516D">
      <w:pPr>
        <w:pStyle w:val="19"/>
        <w:widowControl w:val="0"/>
        <w:numPr>
          <w:ilvl w:val="0"/>
          <w:numId w:val="0"/>
        </w:numPr>
        <w:jc w:val="both"/>
        <w:rPr>
          <w:rFonts w:hint="eastAsia" w:ascii="仿宋" w:hAnsi="仿宋" w:eastAsia="仿宋" w:cs="仿宋"/>
          <w:b/>
          <w:bCs/>
          <w:sz w:val="24"/>
          <w:szCs w:val="24"/>
          <w:highlight w:val="none"/>
        </w:rPr>
      </w:pPr>
    </w:p>
    <w:p w14:paraId="6B20D44A">
      <w:pPr>
        <w:pStyle w:val="19"/>
        <w:widowControl w:val="0"/>
        <w:numPr>
          <w:ilvl w:val="0"/>
          <w:numId w:val="0"/>
        </w:numPr>
        <w:jc w:val="both"/>
        <w:rPr>
          <w:rFonts w:hint="eastAsia" w:ascii="仿宋" w:hAnsi="仿宋" w:eastAsia="仿宋" w:cs="仿宋"/>
          <w:b/>
          <w:bCs/>
          <w:sz w:val="24"/>
          <w:szCs w:val="24"/>
          <w:highlight w:val="none"/>
        </w:rPr>
      </w:pPr>
    </w:p>
    <w:p w14:paraId="63C6E161">
      <w:pPr>
        <w:pStyle w:val="19"/>
        <w:widowControl w:val="0"/>
        <w:numPr>
          <w:ilvl w:val="0"/>
          <w:numId w:val="0"/>
        </w:numPr>
        <w:jc w:val="both"/>
        <w:rPr>
          <w:rFonts w:hint="eastAsia" w:ascii="仿宋" w:hAnsi="仿宋" w:eastAsia="仿宋" w:cs="仿宋"/>
          <w:b/>
          <w:bCs/>
          <w:sz w:val="24"/>
          <w:szCs w:val="24"/>
          <w:highlight w:val="none"/>
        </w:rPr>
      </w:pPr>
    </w:p>
    <w:p w14:paraId="4A649936">
      <w:pPr>
        <w:pStyle w:val="19"/>
        <w:widowControl w:val="0"/>
        <w:numPr>
          <w:ilvl w:val="0"/>
          <w:numId w:val="0"/>
        </w:numPr>
        <w:jc w:val="both"/>
        <w:rPr>
          <w:rFonts w:hint="eastAsia" w:ascii="仿宋" w:hAnsi="仿宋" w:eastAsia="仿宋" w:cs="仿宋"/>
          <w:b/>
          <w:bCs/>
          <w:sz w:val="24"/>
          <w:szCs w:val="24"/>
          <w:highlight w:val="none"/>
        </w:rPr>
      </w:pPr>
    </w:p>
    <w:p w14:paraId="639D1D97">
      <w:pPr>
        <w:pStyle w:val="19"/>
        <w:widowControl w:val="0"/>
        <w:numPr>
          <w:ilvl w:val="0"/>
          <w:numId w:val="0"/>
        </w:numPr>
        <w:jc w:val="both"/>
        <w:rPr>
          <w:rFonts w:hint="eastAsia" w:ascii="仿宋" w:hAnsi="仿宋" w:eastAsia="仿宋" w:cs="仿宋"/>
          <w:b/>
          <w:bCs/>
          <w:sz w:val="24"/>
          <w:szCs w:val="24"/>
          <w:highlight w:val="none"/>
        </w:rPr>
      </w:pPr>
    </w:p>
    <w:p w14:paraId="1FA8708D">
      <w:pPr>
        <w:pStyle w:val="19"/>
        <w:widowControl w:val="0"/>
        <w:numPr>
          <w:ilvl w:val="0"/>
          <w:numId w:val="0"/>
        </w:numPr>
        <w:jc w:val="both"/>
        <w:rPr>
          <w:rFonts w:hint="eastAsia" w:ascii="仿宋" w:hAnsi="仿宋" w:eastAsia="仿宋" w:cs="仿宋"/>
          <w:b/>
          <w:bCs/>
          <w:sz w:val="24"/>
          <w:szCs w:val="24"/>
          <w:highlight w:val="none"/>
        </w:rPr>
      </w:pPr>
    </w:p>
    <w:p w14:paraId="2E38F811">
      <w:pPr>
        <w:pStyle w:val="4"/>
        <w:rPr>
          <w:rFonts w:hint="eastAsia" w:ascii="仿宋" w:hAnsi="仿宋" w:eastAsia="仿宋" w:cs="仿宋"/>
          <w:b/>
          <w:bCs/>
          <w:sz w:val="24"/>
          <w:szCs w:val="24"/>
          <w:highlight w:val="none"/>
        </w:rPr>
      </w:pPr>
    </w:p>
    <w:p w14:paraId="33D2DC85">
      <w:pPr>
        <w:spacing w:line="24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附表2    </w:t>
      </w:r>
      <w:r>
        <w:rPr>
          <w:rFonts w:hint="eastAsia" w:ascii="仿宋" w:hAnsi="仿宋" w:eastAsia="仿宋" w:cs="仿宋"/>
          <w:b/>
          <w:bCs/>
          <w:sz w:val="24"/>
          <w:szCs w:val="24"/>
          <w:highlight w:val="none"/>
          <w:lang w:val="en-US" w:eastAsia="zh-CN"/>
        </w:rPr>
        <w:t xml:space="preserve">                    </w:t>
      </w:r>
      <w:r>
        <w:rPr>
          <w:rFonts w:hint="eastAsia" w:ascii="仿宋" w:hAnsi="仿宋" w:eastAsia="仿宋" w:cs="仿宋"/>
          <w:b/>
          <w:bCs/>
          <w:sz w:val="24"/>
          <w:szCs w:val="24"/>
          <w:highlight w:val="none"/>
        </w:rPr>
        <w:t>评 分 细 则</w:t>
      </w:r>
    </w:p>
    <w:bookmarkEnd w:id="506"/>
    <w:bookmarkEnd w:id="507"/>
    <w:tbl>
      <w:tblPr>
        <w:tblStyle w:val="33"/>
        <w:tblpPr w:leftFromText="180" w:rightFromText="180" w:vertAnchor="text" w:horzAnchor="page" w:tblpX="1567" w:tblpY="959"/>
        <w:tblOverlap w:val="never"/>
        <w:tblW w:w="9079" w:type="dxa"/>
        <w:tblInd w:w="0" w:type="dxa"/>
        <w:tblLayout w:type="fixed"/>
        <w:tblCellMar>
          <w:top w:w="0" w:type="dxa"/>
          <w:left w:w="108" w:type="dxa"/>
          <w:bottom w:w="0" w:type="dxa"/>
          <w:right w:w="108" w:type="dxa"/>
        </w:tblCellMar>
      </w:tblPr>
      <w:tblGrid>
        <w:gridCol w:w="1213"/>
        <w:gridCol w:w="19"/>
        <w:gridCol w:w="6850"/>
        <w:gridCol w:w="997"/>
      </w:tblGrid>
      <w:tr w14:paraId="211C544F">
        <w:tblPrEx>
          <w:tblCellMar>
            <w:top w:w="0" w:type="dxa"/>
            <w:left w:w="108" w:type="dxa"/>
            <w:bottom w:w="0" w:type="dxa"/>
            <w:right w:w="108" w:type="dxa"/>
          </w:tblCellMar>
        </w:tblPrEx>
        <w:trPr>
          <w:trHeight w:val="689" w:hRule="atLeast"/>
          <w:tblHeader/>
        </w:trPr>
        <w:tc>
          <w:tcPr>
            <w:tcW w:w="1213" w:type="dxa"/>
            <w:tcBorders>
              <w:top w:val="single" w:color="000000" w:sz="4" w:space="0"/>
              <w:left w:val="single" w:color="000000" w:sz="4" w:space="0"/>
              <w:bottom w:val="single" w:color="000000" w:sz="4" w:space="0"/>
              <w:right w:val="single" w:color="000000" w:sz="4" w:space="0"/>
            </w:tcBorders>
            <w:vAlign w:val="center"/>
          </w:tcPr>
          <w:p w14:paraId="70A0AE34">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tc>
        <w:tc>
          <w:tcPr>
            <w:tcW w:w="6869" w:type="dxa"/>
            <w:gridSpan w:val="2"/>
            <w:tcBorders>
              <w:top w:val="single" w:color="000000" w:sz="4" w:space="0"/>
              <w:left w:val="single" w:color="000000" w:sz="4" w:space="0"/>
              <w:bottom w:val="single" w:color="000000" w:sz="4" w:space="0"/>
              <w:right w:val="single" w:color="000000" w:sz="4" w:space="0"/>
            </w:tcBorders>
            <w:noWrap/>
            <w:vAlign w:val="center"/>
          </w:tcPr>
          <w:p w14:paraId="02F26847">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评审内容</w:t>
            </w:r>
          </w:p>
        </w:tc>
        <w:tc>
          <w:tcPr>
            <w:tcW w:w="997" w:type="dxa"/>
            <w:tcBorders>
              <w:top w:val="single" w:color="000000" w:sz="4" w:space="0"/>
              <w:left w:val="single" w:color="000000" w:sz="4" w:space="0"/>
              <w:bottom w:val="single" w:color="000000" w:sz="4" w:space="0"/>
              <w:right w:val="single" w:color="000000" w:sz="4" w:space="0"/>
            </w:tcBorders>
            <w:vAlign w:val="center"/>
          </w:tcPr>
          <w:p w14:paraId="25F65A8B">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r>
      <w:tr w14:paraId="082E7BC9">
        <w:tblPrEx>
          <w:tblCellMar>
            <w:top w:w="0" w:type="dxa"/>
            <w:left w:w="108" w:type="dxa"/>
            <w:bottom w:w="0" w:type="dxa"/>
            <w:right w:w="108" w:type="dxa"/>
          </w:tblCellMar>
        </w:tblPrEx>
        <w:trPr>
          <w:trHeight w:val="487" w:hRule="atLeast"/>
        </w:trPr>
        <w:tc>
          <w:tcPr>
            <w:tcW w:w="9079" w:type="dxa"/>
            <w:gridSpan w:val="4"/>
            <w:tcBorders>
              <w:top w:val="single" w:color="000000" w:sz="4" w:space="0"/>
              <w:left w:val="single" w:color="000000" w:sz="4" w:space="0"/>
              <w:bottom w:val="single" w:color="000000" w:sz="4" w:space="0"/>
              <w:right w:val="single" w:color="000000" w:sz="4" w:space="0"/>
            </w:tcBorders>
            <w:vAlign w:val="center"/>
          </w:tcPr>
          <w:p w14:paraId="1A583425">
            <w:pPr>
              <w:widowControl/>
              <w:jc w:val="left"/>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bidi="ar"/>
              </w:rPr>
              <w:t>价格评分</w:t>
            </w:r>
            <w:r>
              <w:rPr>
                <w:rFonts w:hint="eastAsia" w:ascii="仿宋" w:hAnsi="仿宋" w:eastAsia="仿宋" w:cs="仿宋"/>
                <w:b/>
                <w:bCs/>
                <w:color w:val="auto"/>
                <w:kern w:val="0"/>
                <w:sz w:val="24"/>
                <w:szCs w:val="24"/>
                <w:highlight w:val="none"/>
                <w:lang w:val="en-US" w:eastAsia="zh-CN" w:bidi="ar"/>
              </w:rPr>
              <w:t>20</w:t>
            </w:r>
            <w:r>
              <w:rPr>
                <w:rFonts w:hint="eastAsia" w:ascii="仿宋" w:hAnsi="仿宋" w:eastAsia="仿宋" w:cs="仿宋"/>
                <w:b/>
                <w:bCs/>
                <w:color w:val="auto"/>
                <w:kern w:val="0"/>
                <w:sz w:val="24"/>
                <w:szCs w:val="24"/>
                <w:highlight w:val="none"/>
                <w:lang w:bidi="ar"/>
              </w:rPr>
              <w:t>分</w:t>
            </w:r>
          </w:p>
        </w:tc>
      </w:tr>
      <w:tr w14:paraId="0262679B">
        <w:tblPrEx>
          <w:tblCellMar>
            <w:top w:w="0" w:type="dxa"/>
            <w:left w:w="108" w:type="dxa"/>
            <w:bottom w:w="0" w:type="dxa"/>
            <w:right w:w="108" w:type="dxa"/>
          </w:tblCellMar>
        </w:tblPrEx>
        <w:trPr>
          <w:trHeight w:val="2495" w:hRule="atLeast"/>
        </w:trPr>
        <w:tc>
          <w:tcPr>
            <w:tcW w:w="1213" w:type="dxa"/>
            <w:tcBorders>
              <w:top w:val="single" w:color="000000" w:sz="4" w:space="0"/>
              <w:left w:val="single" w:color="000000" w:sz="4" w:space="0"/>
              <w:bottom w:val="single" w:color="000000" w:sz="4" w:space="0"/>
              <w:right w:val="single" w:color="000000" w:sz="4" w:space="0"/>
            </w:tcBorders>
            <w:vAlign w:val="center"/>
          </w:tcPr>
          <w:p w14:paraId="157FA54E">
            <w:pPr>
              <w:widowControl/>
              <w:ind w:firstLine="240" w:firstLineChars="10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价</w:t>
            </w:r>
            <w:r>
              <w:rPr>
                <w:rFonts w:hint="eastAsia" w:ascii="仿宋" w:hAnsi="仿宋" w:eastAsia="仿宋" w:cs="仿宋"/>
                <w:color w:val="auto"/>
                <w:sz w:val="24"/>
                <w:szCs w:val="24"/>
                <w:highlight w:val="none"/>
              </w:rPr>
              <w:t>格</w:t>
            </w:r>
          </w:p>
        </w:tc>
        <w:tc>
          <w:tcPr>
            <w:tcW w:w="6869" w:type="dxa"/>
            <w:gridSpan w:val="2"/>
            <w:tcBorders>
              <w:top w:val="single" w:color="000000" w:sz="4" w:space="0"/>
              <w:left w:val="single" w:color="000000" w:sz="4" w:space="0"/>
              <w:bottom w:val="single" w:color="000000" w:sz="4" w:space="0"/>
              <w:right w:val="single" w:color="000000" w:sz="4" w:space="0"/>
            </w:tcBorders>
            <w:vAlign w:val="center"/>
          </w:tcPr>
          <w:p w14:paraId="309DA2E8">
            <w:pPr>
              <w:widowControl/>
              <w:spacing w:line="276" w:lineRule="auto"/>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报价得分=(评标基准价/修正后报价)×价格权值×100</w:t>
            </w:r>
          </w:p>
          <w:p w14:paraId="7C56AA07">
            <w:pPr>
              <w:widowControl/>
              <w:spacing w:line="276" w:lineRule="auto"/>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备注：</w:t>
            </w:r>
          </w:p>
          <w:p w14:paraId="666F08FC">
            <w:pPr>
              <w:widowControl/>
              <w:spacing w:line="276" w:lineRule="auto"/>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1.报价评分采用低价优先法计算；</w:t>
            </w:r>
          </w:p>
          <w:p w14:paraId="1E940D65">
            <w:pPr>
              <w:widowControl/>
              <w:spacing w:line="276" w:lineRule="auto"/>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2.评标基准价：满足</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文件要求且经算术修正，依据政府采购政策进行价格扣除后的最低报价为评标基准价；</w:t>
            </w:r>
          </w:p>
          <w:p w14:paraId="31A4E0ED">
            <w:pPr>
              <w:widowControl/>
              <w:spacing w:line="276" w:lineRule="auto"/>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3.修正后报价：评标委员会以报价一览表中报价为基础，对其进行算术修正，依据政府采购政策进行价格扣除后，作为报价计算的依据。</w:t>
            </w:r>
          </w:p>
        </w:tc>
        <w:tc>
          <w:tcPr>
            <w:tcW w:w="997" w:type="dxa"/>
            <w:tcBorders>
              <w:top w:val="single" w:color="000000" w:sz="4" w:space="0"/>
              <w:left w:val="single" w:color="000000" w:sz="4" w:space="0"/>
              <w:bottom w:val="single" w:color="000000" w:sz="4" w:space="0"/>
              <w:right w:val="single" w:color="000000" w:sz="4" w:space="0"/>
            </w:tcBorders>
            <w:vAlign w:val="center"/>
          </w:tcPr>
          <w:p w14:paraId="7A432BF1">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20</w:t>
            </w:r>
            <w:r>
              <w:rPr>
                <w:rFonts w:hint="eastAsia" w:ascii="仿宋" w:hAnsi="仿宋" w:eastAsia="仿宋" w:cs="仿宋"/>
                <w:color w:val="auto"/>
                <w:kern w:val="0"/>
                <w:sz w:val="24"/>
                <w:szCs w:val="24"/>
                <w:highlight w:val="none"/>
                <w:lang w:bidi="ar"/>
              </w:rPr>
              <w:t>分</w:t>
            </w:r>
          </w:p>
        </w:tc>
      </w:tr>
      <w:tr w14:paraId="7485BA53">
        <w:tblPrEx>
          <w:tblCellMar>
            <w:top w:w="0" w:type="dxa"/>
            <w:left w:w="108" w:type="dxa"/>
            <w:bottom w:w="0" w:type="dxa"/>
            <w:right w:w="108" w:type="dxa"/>
          </w:tblCellMar>
        </w:tblPrEx>
        <w:trPr>
          <w:trHeight w:val="946" w:hRule="atLeast"/>
        </w:trPr>
        <w:tc>
          <w:tcPr>
            <w:tcW w:w="9079" w:type="dxa"/>
            <w:gridSpan w:val="4"/>
            <w:tcBorders>
              <w:top w:val="single" w:color="000000" w:sz="4" w:space="0"/>
              <w:left w:val="single" w:color="000000" w:sz="4" w:space="0"/>
              <w:bottom w:val="single" w:color="000000" w:sz="4" w:space="0"/>
              <w:right w:val="single" w:color="000000" w:sz="4" w:space="0"/>
            </w:tcBorders>
            <w:vAlign w:val="center"/>
          </w:tcPr>
          <w:p w14:paraId="6FB90DA9">
            <w:pPr>
              <w:widowControl/>
              <w:jc w:val="left"/>
              <w:textAlignment w:val="center"/>
              <w:rPr>
                <w:rFonts w:hint="eastAsia" w:ascii="仿宋" w:hAnsi="仿宋" w:eastAsia="仿宋" w:cs="仿宋"/>
                <w:b/>
                <w:bCs/>
                <w:color w:val="auto"/>
                <w:kern w:val="0"/>
                <w:sz w:val="24"/>
                <w:szCs w:val="24"/>
                <w:highlight w:val="none"/>
                <w:lang w:bidi="ar"/>
              </w:rPr>
            </w:pPr>
            <w:r>
              <w:rPr>
                <w:rFonts w:hint="eastAsia" w:ascii="仿宋" w:hAnsi="仿宋" w:eastAsia="仿宋" w:cs="仿宋"/>
                <w:b/>
                <w:bCs/>
                <w:color w:val="auto"/>
                <w:kern w:val="0"/>
                <w:sz w:val="24"/>
                <w:szCs w:val="24"/>
                <w:highlight w:val="none"/>
                <w:lang w:bidi="ar"/>
              </w:rPr>
              <w:t>商务部分评分</w:t>
            </w:r>
            <w:r>
              <w:rPr>
                <w:rFonts w:hint="eastAsia" w:ascii="仿宋" w:hAnsi="仿宋" w:eastAsia="仿宋" w:cs="仿宋"/>
                <w:b/>
                <w:bCs/>
                <w:color w:val="auto"/>
                <w:kern w:val="0"/>
                <w:sz w:val="24"/>
                <w:szCs w:val="24"/>
                <w:highlight w:val="none"/>
                <w:lang w:val="en-US" w:eastAsia="zh-CN" w:bidi="ar"/>
              </w:rPr>
              <w:t>20</w:t>
            </w:r>
            <w:r>
              <w:rPr>
                <w:rFonts w:hint="eastAsia" w:ascii="仿宋" w:hAnsi="仿宋" w:eastAsia="仿宋" w:cs="仿宋"/>
                <w:b/>
                <w:bCs/>
                <w:color w:val="auto"/>
                <w:kern w:val="0"/>
                <w:sz w:val="24"/>
                <w:szCs w:val="24"/>
                <w:highlight w:val="none"/>
                <w:lang w:bidi="ar"/>
              </w:rPr>
              <w:t>分</w:t>
            </w:r>
          </w:p>
        </w:tc>
      </w:tr>
      <w:tr w14:paraId="3BE68601">
        <w:tblPrEx>
          <w:tblCellMar>
            <w:top w:w="0" w:type="dxa"/>
            <w:left w:w="108" w:type="dxa"/>
            <w:bottom w:w="0" w:type="dxa"/>
            <w:right w:w="108" w:type="dxa"/>
          </w:tblCellMar>
        </w:tblPrEx>
        <w:trPr>
          <w:trHeight w:val="1570" w:hRule="atLeast"/>
        </w:trPr>
        <w:tc>
          <w:tcPr>
            <w:tcW w:w="1232" w:type="dxa"/>
            <w:gridSpan w:val="2"/>
            <w:tcBorders>
              <w:top w:val="single" w:color="000000" w:sz="4" w:space="0"/>
              <w:left w:val="single" w:color="000000" w:sz="4" w:space="0"/>
              <w:bottom w:val="single" w:color="000000" w:sz="4" w:space="0"/>
              <w:right w:val="single" w:color="auto" w:sz="4" w:space="0"/>
            </w:tcBorders>
            <w:vAlign w:val="center"/>
          </w:tcPr>
          <w:p w14:paraId="43AFC17C">
            <w:pPr>
              <w:widowControl/>
              <w:jc w:val="center"/>
              <w:textAlignment w:val="center"/>
              <w:rPr>
                <w:rFonts w:hint="eastAsia" w:ascii="仿宋" w:hAnsi="仿宋" w:eastAsia="仿宋" w:cs="仿宋"/>
                <w:b/>
                <w:bCs/>
                <w:color w:val="auto"/>
                <w:kern w:val="0"/>
                <w:sz w:val="24"/>
                <w:szCs w:val="24"/>
                <w:highlight w:val="none"/>
                <w:lang w:bidi="ar"/>
              </w:rPr>
            </w:pPr>
            <w:r>
              <w:rPr>
                <w:rFonts w:hint="eastAsia" w:ascii="仿宋" w:hAnsi="仿宋" w:eastAsia="仿宋" w:cs="仿宋"/>
                <w:color w:val="auto"/>
                <w:sz w:val="24"/>
                <w:szCs w:val="24"/>
                <w:highlight w:val="none"/>
                <w:lang w:val="en-US" w:eastAsia="zh-CN"/>
              </w:rPr>
              <w:t>业绩</w:t>
            </w:r>
          </w:p>
        </w:tc>
        <w:tc>
          <w:tcPr>
            <w:tcW w:w="6850" w:type="dxa"/>
            <w:tcBorders>
              <w:top w:val="single" w:color="000000" w:sz="4" w:space="0"/>
              <w:left w:val="single" w:color="auto" w:sz="4" w:space="0"/>
              <w:bottom w:val="single" w:color="000000" w:sz="4" w:space="0"/>
              <w:right w:val="single" w:color="auto" w:sz="4" w:space="0"/>
            </w:tcBorders>
            <w:vAlign w:val="center"/>
          </w:tcPr>
          <w:p w14:paraId="4998DFFA">
            <w:pPr>
              <w:widowControl/>
              <w:spacing w:line="276" w:lineRule="auto"/>
              <w:textAlignment w:val="center"/>
              <w:rPr>
                <w:rFonts w:hint="eastAsia" w:ascii="仿宋" w:hAnsi="仿宋" w:eastAsia="仿宋" w:cs="仿宋"/>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投标人提供近3年（2022年1月1日至今）承接并完成的类似项目业绩，每个得3分，最多6分。（提供中标（成交）通知书或合同复印件加盖公章）未提供或提供不符合上述要求者不得分。</w:t>
            </w:r>
          </w:p>
        </w:tc>
        <w:tc>
          <w:tcPr>
            <w:tcW w:w="997" w:type="dxa"/>
            <w:tcBorders>
              <w:top w:val="single" w:color="000000" w:sz="4" w:space="0"/>
              <w:left w:val="single" w:color="auto" w:sz="4" w:space="0"/>
              <w:bottom w:val="single" w:color="000000" w:sz="4" w:space="0"/>
              <w:right w:val="single" w:color="000000" w:sz="4" w:space="0"/>
            </w:tcBorders>
            <w:vAlign w:val="center"/>
          </w:tcPr>
          <w:p w14:paraId="13A502F7">
            <w:pPr>
              <w:widowControl/>
              <w:jc w:val="center"/>
              <w:textAlignment w:val="center"/>
              <w:rPr>
                <w:rFonts w:hint="eastAsia" w:ascii="仿宋" w:hAnsi="仿宋" w:eastAsia="仿宋" w:cs="仿宋"/>
                <w:b/>
                <w:bCs/>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6分</w:t>
            </w:r>
          </w:p>
        </w:tc>
      </w:tr>
      <w:tr w14:paraId="2E4D88AB">
        <w:tblPrEx>
          <w:tblCellMar>
            <w:top w:w="0" w:type="dxa"/>
            <w:left w:w="108" w:type="dxa"/>
            <w:bottom w:w="0" w:type="dxa"/>
            <w:right w:w="108" w:type="dxa"/>
          </w:tblCellMar>
        </w:tblPrEx>
        <w:trPr>
          <w:trHeight w:val="1327" w:hRule="atLeast"/>
        </w:trPr>
        <w:tc>
          <w:tcPr>
            <w:tcW w:w="1232" w:type="dxa"/>
            <w:gridSpan w:val="2"/>
            <w:tcBorders>
              <w:top w:val="single" w:color="000000" w:sz="4" w:space="0"/>
              <w:left w:val="single" w:color="000000" w:sz="4" w:space="0"/>
              <w:bottom w:val="single" w:color="000000" w:sz="4" w:space="0"/>
              <w:right w:val="single" w:color="auto" w:sz="4" w:space="0"/>
            </w:tcBorders>
            <w:vAlign w:val="center"/>
          </w:tcPr>
          <w:p w14:paraId="5F6E8532">
            <w:pPr>
              <w:widowControl/>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bidi="ar"/>
              </w:rPr>
              <w:t>项目人员配备</w:t>
            </w:r>
          </w:p>
        </w:tc>
        <w:tc>
          <w:tcPr>
            <w:tcW w:w="6850" w:type="dxa"/>
            <w:tcBorders>
              <w:top w:val="single" w:color="000000" w:sz="4" w:space="0"/>
              <w:left w:val="single" w:color="auto" w:sz="4" w:space="0"/>
              <w:bottom w:val="single" w:color="000000" w:sz="4" w:space="0"/>
              <w:right w:val="single" w:color="auto" w:sz="4" w:space="0"/>
            </w:tcBorders>
            <w:vAlign w:val="center"/>
          </w:tcPr>
          <w:p w14:paraId="48CF33D6">
            <w:pPr>
              <w:widowControl/>
              <w:spacing w:line="276" w:lineRule="auto"/>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供应商应当为本项目设置专属服务团队，团队中应当包括项目负责人、设计人员，配送安装人员等，符合上述要求的得8分。每增加一类服务岗位的加2分（如：审核校对等），最高得14分（以上内容需提供身份证，劳动合同或社保缴纳证明等相关证明材料，未按要求提供相关材料的不得分）。</w:t>
            </w:r>
          </w:p>
        </w:tc>
        <w:tc>
          <w:tcPr>
            <w:tcW w:w="997" w:type="dxa"/>
            <w:tcBorders>
              <w:top w:val="single" w:color="000000" w:sz="4" w:space="0"/>
              <w:left w:val="single" w:color="auto" w:sz="4" w:space="0"/>
              <w:bottom w:val="single" w:color="000000" w:sz="4" w:space="0"/>
              <w:right w:val="single" w:color="000000" w:sz="4" w:space="0"/>
            </w:tcBorders>
            <w:vAlign w:val="center"/>
          </w:tcPr>
          <w:p w14:paraId="39A74BF7">
            <w:pPr>
              <w:widowControl/>
              <w:jc w:val="center"/>
              <w:textAlignment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14分</w:t>
            </w:r>
          </w:p>
        </w:tc>
      </w:tr>
      <w:tr w14:paraId="41AE388B">
        <w:tblPrEx>
          <w:tblCellMar>
            <w:top w:w="0" w:type="dxa"/>
            <w:left w:w="108" w:type="dxa"/>
            <w:bottom w:w="0" w:type="dxa"/>
            <w:right w:w="108" w:type="dxa"/>
          </w:tblCellMar>
        </w:tblPrEx>
        <w:trPr>
          <w:trHeight w:val="730" w:hRule="atLeast"/>
        </w:trPr>
        <w:tc>
          <w:tcPr>
            <w:tcW w:w="9079" w:type="dxa"/>
            <w:gridSpan w:val="4"/>
            <w:tcBorders>
              <w:top w:val="single" w:color="000000" w:sz="4" w:space="0"/>
              <w:left w:val="single" w:color="000000" w:sz="4" w:space="0"/>
              <w:bottom w:val="single" w:color="000000" w:sz="4" w:space="0"/>
              <w:right w:val="single" w:color="000000" w:sz="4" w:space="0"/>
            </w:tcBorders>
            <w:vAlign w:val="center"/>
          </w:tcPr>
          <w:p w14:paraId="689057BD">
            <w:pPr>
              <w:widowControl/>
              <w:jc w:val="left"/>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bidi="ar"/>
              </w:rPr>
              <w:t>技术部分评分</w:t>
            </w:r>
            <w:r>
              <w:rPr>
                <w:rFonts w:hint="eastAsia" w:ascii="仿宋" w:hAnsi="仿宋" w:eastAsia="仿宋" w:cs="仿宋"/>
                <w:b/>
                <w:bCs/>
                <w:color w:val="auto"/>
                <w:kern w:val="0"/>
                <w:sz w:val="24"/>
                <w:szCs w:val="24"/>
                <w:highlight w:val="none"/>
                <w:lang w:val="en-US" w:eastAsia="zh-CN" w:bidi="ar"/>
              </w:rPr>
              <w:t>60</w:t>
            </w:r>
            <w:r>
              <w:rPr>
                <w:rFonts w:hint="eastAsia" w:ascii="仿宋" w:hAnsi="仿宋" w:eastAsia="仿宋" w:cs="仿宋"/>
                <w:b/>
                <w:bCs/>
                <w:color w:val="auto"/>
                <w:kern w:val="0"/>
                <w:sz w:val="24"/>
                <w:szCs w:val="24"/>
                <w:highlight w:val="none"/>
                <w:lang w:bidi="ar"/>
              </w:rPr>
              <w:t>分</w:t>
            </w:r>
          </w:p>
        </w:tc>
      </w:tr>
      <w:tr w14:paraId="259491B0">
        <w:tblPrEx>
          <w:tblCellMar>
            <w:top w:w="0" w:type="dxa"/>
            <w:left w:w="108" w:type="dxa"/>
            <w:bottom w:w="0" w:type="dxa"/>
            <w:right w:w="108" w:type="dxa"/>
          </w:tblCellMar>
        </w:tblPrEx>
        <w:trPr>
          <w:trHeight w:val="480" w:hRule="atLeast"/>
        </w:trPr>
        <w:tc>
          <w:tcPr>
            <w:tcW w:w="1213" w:type="dxa"/>
            <w:tcBorders>
              <w:top w:val="single" w:color="000000" w:sz="4" w:space="0"/>
              <w:left w:val="single" w:color="000000" w:sz="4" w:space="0"/>
              <w:bottom w:val="single" w:color="000000" w:sz="4" w:space="0"/>
              <w:right w:val="single" w:color="000000" w:sz="4" w:space="0"/>
            </w:tcBorders>
            <w:vAlign w:val="center"/>
          </w:tcPr>
          <w:p w14:paraId="0E707ADA">
            <w:pPr>
              <w:widowControl/>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服务方案</w:t>
            </w:r>
          </w:p>
        </w:tc>
        <w:tc>
          <w:tcPr>
            <w:tcW w:w="6869" w:type="dxa"/>
            <w:gridSpan w:val="2"/>
            <w:tcBorders>
              <w:top w:val="single" w:color="000000" w:sz="4" w:space="0"/>
              <w:left w:val="single" w:color="000000" w:sz="4" w:space="0"/>
              <w:bottom w:val="single" w:color="000000" w:sz="4" w:space="0"/>
              <w:right w:val="single" w:color="000000" w:sz="4" w:space="0"/>
            </w:tcBorders>
            <w:noWrap/>
            <w:vAlign w:val="center"/>
          </w:tcPr>
          <w:p w14:paraId="72EA93E1">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服务方案（方案中须包括整体服务流程、设计及制作流程、运输及安装流程），服务方案完整、包含括号中全部内容的得18分；提供的方案中每有一处具有缺陷（缺陷是指：存在不适用项目实际情况的情形、凭空编造、方案中内容前后不一致、前后逻辑错误、涉及的规范及标准错误、地点区域错误、内容缺失、不符合项目实际情况等）的扣2分，扣完为止。</w:t>
            </w:r>
          </w:p>
        </w:tc>
        <w:tc>
          <w:tcPr>
            <w:tcW w:w="997" w:type="dxa"/>
            <w:tcBorders>
              <w:top w:val="single" w:color="000000" w:sz="4" w:space="0"/>
              <w:left w:val="single" w:color="000000" w:sz="4" w:space="0"/>
              <w:bottom w:val="single" w:color="000000" w:sz="4" w:space="0"/>
              <w:right w:val="single" w:color="000000" w:sz="4" w:space="0"/>
            </w:tcBorders>
            <w:vAlign w:val="center"/>
          </w:tcPr>
          <w:p w14:paraId="753A0BBF">
            <w:pPr>
              <w:widowControl/>
              <w:jc w:val="center"/>
              <w:textAlignment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18分</w:t>
            </w:r>
          </w:p>
        </w:tc>
      </w:tr>
      <w:tr w14:paraId="33E00809">
        <w:tblPrEx>
          <w:tblCellMar>
            <w:top w:w="0" w:type="dxa"/>
            <w:left w:w="108" w:type="dxa"/>
            <w:bottom w:w="0" w:type="dxa"/>
            <w:right w:w="108" w:type="dxa"/>
          </w:tblCellMar>
        </w:tblPrEx>
        <w:trPr>
          <w:trHeight w:val="462" w:hRule="atLeast"/>
        </w:trPr>
        <w:tc>
          <w:tcPr>
            <w:tcW w:w="1213" w:type="dxa"/>
            <w:tcBorders>
              <w:top w:val="single" w:color="000000" w:sz="4" w:space="0"/>
              <w:left w:val="single" w:color="000000" w:sz="4" w:space="0"/>
              <w:bottom w:val="single" w:color="000000" w:sz="4" w:space="0"/>
              <w:right w:val="single" w:color="000000" w:sz="4" w:space="0"/>
            </w:tcBorders>
            <w:vAlign w:val="center"/>
          </w:tcPr>
          <w:p w14:paraId="5416877E">
            <w:pPr>
              <w:widowControl/>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质量保证措施</w:t>
            </w:r>
          </w:p>
        </w:tc>
        <w:tc>
          <w:tcPr>
            <w:tcW w:w="6869" w:type="dxa"/>
            <w:gridSpan w:val="2"/>
            <w:tcBorders>
              <w:top w:val="single" w:color="000000" w:sz="4" w:space="0"/>
              <w:left w:val="single" w:color="000000" w:sz="4" w:space="0"/>
              <w:bottom w:val="single" w:color="000000" w:sz="4" w:space="0"/>
              <w:right w:val="single" w:color="000000" w:sz="4" w:space="0"/>
            </w:tcBorders>
            <w:vAlign w:val="center"/>
          </w:tcPr>
          <w:p w14:paraId="5B16B21A">
            <w:pPr>
              <w:widowControl/>
              <w:jc w:val="left"/>
              <w:textAlignment w:val="center"/>
              <w:rPr>
                <w:rFonts w:hint="eastAsia" w:ascii="仿宋" w:hAnsi="仿宋" w:eastAsia="仿宋" w:cs="仿宋"/>
                <w:color w:val="auto"/>
                <w:kern w:val="0"/>
                <w:sz w:val="24"/>
                <w:szCs w:val="24"/>
                <w:highlight w:val="none"/>
                <w:lang w:val="en-US" w:eastAsia="zh-CN" w:bidi="ar"/>
              </w:rPr>
            </w:pPr>
            <w:r>
              <w:rPr>
                <w:rFonts w:hint="default" w:ascii="仿宋" w:hAnsi="仿宋" w:eastAsia="仿宋" w:cs="仿宋"/>
                <w:color w:val="auto"/>
                <w:kern w:val="0"/>
                <w:sz w:val="24"/>
                <w:szCs w:val="24"/>
                <w:highlight w:val="none"/>
                <w:lang w:val="en-US" w:eastAsia="zh-CN" w:bidi="ar"/>
              </w:rPr>
              <w:t>针对项目性质和采购人的工作性质，针对性的制定质量保证措施。措施中应当包含：1.印刷色彩准确质量保证措施；2.文字准确性质量保证措施；3.文字和图像清晰度质量保证措施；4.材料质量和耐久性质量保证措施；5.材料无毒害质量保证措施；每包含一项措施的得</w:t>
            </w:r>
            <w:r>
              <w:rPr>
                <w:rFonts w:hint="eastAsia" w:ascii="仿宋" w:hAnsi="仿宋" w:eastAsia="仿宋" w:cs="仿宋"/>
                <w:color w:val="auto"/>
                <w:kern w:val="0"/>
                <w:sz w:val="24"/>
                <w:szCs w:val="24"/>
                <w:highlight w:val="none"/>
                <w:lang w:val="en-US" w:eastAsia="zh-CN" w:bidi="ar"/>
              </w:rPr>
              <w:t>3</w:t>
            </w:r>
            <w:r>
              <w:rPr>
                <w:rFonts w:hint="default" w:ascii="仿宋" w:hAnsi="仿宋" w:eastAsia="仿宋" w:cs="仿宋"/>
                <w:color w:val="auto"/>
                <w:kern w:val="0"/>
                <w:sz w:val="24"/>
                <w:szCs w:val="24"/>
                <w:highlight w:val="none"/>
                <w:lang w:val="en-US" w:eastAsia="zh-CN" w:bidi="ar"/>
              </w:rPr>
              <w:t>分</w:t>
            </w:r>
            <w:r>
              <w:rPr>
                <w:rFonts w:hint="eastAsia" w:ascii="仿宋" w:hAnsi="仿宋" w:eastAsia="仿宋" w:cs="仿宋"/>
                <w:color w:val="auto"/>
                <w:kern w:val="0"/>
                <w:sz w:val="24"/>
                <w:szCs w:val="24"/>
                <w:highlight w:val="none"/>
                <w:lang w:val="en-US" w:eastAsia="zh-CN" w:bidi="ar"/>
              </w:rPr>
              <w:t>，最高得15分。</w:t>
            </w:r>
            <w:r>
              <w:rPr>
                <w:rFonts w:hint="default" w:ascii="仿宋" w:hAnsi="仿宋" w:eastAsia="仿宋" w:cs="仿宋"/>
                <w:color w:val="auto"/>
                <w:kern w:val="0"/>
                <w:sz w:val="24"/>
                <w:szCs w:val="24"/>
                <w:highlight w:val="none"/>
                <w:lang w:val="en-US" w:eastAsia="zh-CN" w:bidi="ar"/>
              </w:rPr>
              <w:t>提供的</w:t>
            </w:r>
            <w:r>
              <w:rPr>
                <w:rFonts w:hint="eastAsia" w:ascii="仿宋" w:hAnsi="仿宋" w:eastAsia="仿宋" w:cs="仿宋"/>
                <w:color w:val="auto"/>
                <w:kern w:val="0"/>
                <w:sz w:val="24"/>
                <w:szCs w:val="24"/>
                <w:highlight w:val="none"/>
                <w:lang w:val="en-US" w:eastAsia="zh-CN" w:bidi="ar"/>
              </w:rPr>
              <w:t>措施</w:t>
            </w:r>
            <w:r>
              <w:rPr>
                <w:rFonts w:hint="default" w:ascii="仿宋" w:hAnsi="仿宋" w:eastAsia="仿宋" w:cs="仿宋"/>
                <w:color w:val="auto"/>
                <w:kern w:val="0"/>
                <w:sz w:val="24"/>
                <w:szCs w:val="24"/>
                <w:highlight w:val="none"/>
                <w:lang w:val="en-US" w:eastAsia="zh-CN" w:bidi="ar"/>
              </w:rPr>
              <w:t>中每有一处具有缺陷（缺陷是指：存在不适用项目实际情况的情形、凭空编造、方案中内容前后不一致、前后逻辑错误、涉及的规范及标准错误、地点区域错误、内容缺失、不符合项目实际情况等）的扣</w:t>
            </w:r>
            <w:r>
              <w:rPr>
                <w:rFonts w:hint="eastAsia" w:ascii="仿宋" w:hAnsi="仿宋" w:eastAsia="仿宋" w:cs="仿宋"/>
                <w:color w:val="auto"/>
                <w:kern w:val="0"/>
                <w:sz w:val="24"/>
                <w:szCs w:val="24"/>
                <w:highlight w:val="none"/>
                <w:lang w:val="en-US" w:eastAsia="zh-CN" w:bidi="ar"/>
              </w:rPr>
              <w:t>1</w:t>
            </w:r>
            <w:r>
              <w:rPr>
                <w:rFonts w:hint="default" w:ascii="仿宋" w:hAnsi="仿宋" w:eastAsia="仿宋" w:cs="仿宋"/>
                <w:color w:val="auto"/>
                <w:kern w:val="0"/>
                <w:sz w:val="24"/>
                <w:szCs w:val="24"/>
                <w:highlight w:val="none"/>
                <w:lang w:val="en-US" w:eastAsia="zh-CN" w:bidi="ar"/>
              </w:rPr>
              <w:t>分，扣完为止。</w:t>
            </w:r>
          </w:p>
        </w:tc>
        <w:tc>
          <w:tcPr>
            <w:tcW w:w="997" w:type="dxa"/>
            <w:tcBorders>
              <w:top w:val="single" w:color="000000" w:sz="4" w:space="0"/>
              <w:left w:val="single" w:color="000000" w:sz="4" w:space="0"/>
              <w:bottom w:val="single" w:color="000000" w:sz="4" w:space="0"/>
              <w:right w:val="single" w:color="000000" w:sz="4" w:space="0"/>
            </w:tcBorders>
            <w:vAlign w:val="center"/>
          </w:tcPr>
          <w:p w14:paraId="4D8ABE0D">
            <w:pPr>
              <w:widowControl/>
              <w:jc w:val="center"/>
              <w:textAlignment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15分</w:t>
            </w:r>
          </w:p>
        </w:tc>
      </w:tr>
      <w:tr w14:paraId="44D67DCA">
        <w:tblPrEx>
          <w:tblCellMar>
            <w:top w:w="0" w:type="dxa"/>
            <w:left w:w="108" w:type="dxa"/>
            <w:bottom w:w="0" w:type="dxa"/>
            <w:right w:w="108" w:type="dxa"/>
          </w:tblCellMar>
        </w:tblPrEx>
        <w:trPr>
          <w:trHeight w:val="635" w:hRule="atLeast"/>
        </w:trPr>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700B7">
            <w:pPr>
              <w:widowControl/>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工作进度 控制措施</w:t>
            </w:r>
          </w:p>
        </w:tc>
        <w:tc>
          <w:tcPr>
            <w:tcW w:w="68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26B0CA">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合理规划项目进度且符合招标文件项目需求，进度计划科学合理</w:t>
            </w:r>
          </w:p>
          <w:p w14:paraId="318D06A1">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且有进度控制计划表，确保工作优质、高效、如期完成，得8分；</w:t>
            </w:r>
          </w:p>
          <w:p w14:paraId="40960CC9">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进度控制方法可行、控制措施大致合理，基本能完成工作任务，</w:t>
            </w:r>
          </w:p>
          <w:p w14:paraId="6BE0A0F0">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得5分；</w:t>
            </w:r>
          </w:p>
          <w:p w14:paraId="20D765FA">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进度控制不合理，措施内容不详实，得3分。</w:t>
            </w:r>
          </w:p>
          <w:p w14:paraId="5FE53756">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未提供，不得分。</w:t>
            </w:r>
          </w:p>
        </w:tc>
        <w:tc>
          <w:tcPr>
            <w:tcW w:w="9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004E">
            <w:pPr>
              <w:widowControl/>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8分</w:t>
            </w:r>
          </w:p>
        </w:tc>
      </w:tr>
      <w:tr w14:paraId="436121AC">
        <w:tblPrEx>
          <w:tblCellMar>
            <w:top w:w="0" w:type="dxa"/>
            <w:left w:w="108" w:type="dxa"/>
            <w:bottom w:w="0" w:type="dxa"/>
            <w:right w:w="108" w:type="dxa"/>
          </w:tblCellMar>
        </w:tblPrEx>
        <w:trPr>
          <w:trHeight w:val="2510" w:hRule="atLeast"/>
        </w:trPr>
        <w:tc>
          <w:tcPr>
            <w:tcW w:w="1213" w:type="dxa"/>
            <w:tcBorders>
              <w:top w:val="single" w:color="000000" w:sz="4" w:space="0"/>
              <w:left w:val="single" w:color="000000" w:sz="4" w:space="0"/>
              <w:bottom w:val="single" w:color="000000" w:sz="4" w:space="0"/>
              <w:right w:val="single" w:color="000000" w:sz="4" w:space="0"/>
            </w:tcBorders>
            <w:vAlign w:val="center"/>
          </w:tcPr>
          <w:p w14:paraId="32196A7B">
            <w:pPr>
              <w:widowControl/>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应急服务响应与处理方案</w:t>
            </w:r>
          </w:p>
        </w:tc>
        <w:tc>
          <w:tcPr>
            <w:tcW w:w="6869" w:type="dxa"/>
            <w:gridSpan w:val="2"/>
            <w:tcBorders>
              <w:top w:val="single" w:color="000000" w:sz="4" w:space="0"/>
              <w:left w:val="single" w:color="000000" w:sz="4" w:space="0"/>
              <w:bottom w:val="single" w:color="000000" w:sz="4" w:space="0"/>
              <w:right w:val="single" w:color="000000" w:sz="4" w:space="0"/>
            </w:tcBorders>
            <w:vAlign w:val="center"/>
          </w:tcPr>
          <w:p w14:paraId="04166257">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①遇到货源短缺的应急预案；②产品质量问题处理预案；③运输应急预案；④ 突发事件或极端天气应急预案；⑤退换保证应急预案；每具有一项得2分，最高得10分，提供的方案中每有一处具有缺陷（缺陷是指：存在不适用项目实际情况的情形、凭空编造、方案中内容前后不一致、前后逻辑错误、涉及的规范及标准错误、地点区域错误、内容缺失、不符合项目实际情况等）的扣1分，扣完为止。</w:t>
            </w:r>
          </w:p>
        </w:tc>
        <w:tc>
          <w:tcPr>
            <w:tcW w:w="997" w:type="dxa"/>
            <w:tcBorders>
              <w:top w:val="single" w:color="000000" w:sz="4" w:space="0"/>
              <w:left w:val="single" w:color="000000" w:sz="4" w:space="0"/>
              <w:bottom w:val="single" w:color="000000" w:sz="4" w:space="0"/>
              <w:right w:val="single" w:color="000000" w:sz="4" w:space="0"/>
            </w:tcBorders>
            <w:vAlign w:val="center"/>
          </w:tcPr>
          <w:p w14:paraId="3D4E6491">
            <w:pPr>
              <w:widowControl/>
              <w:jc w:val="center"/>
              <w:textAlignment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10分</w:t>
            </w:r>
          </w:p>
        </w:tc>
      </w:tr>
      <w:tr w14:paraId="759467A4">
        <w:tblPrEx>
          <w:tblCellMar>
            <w:top w:w="0" w:type="dxa"/>
            <w:left w:w="108" w:type="dxa"/>
            <w:bottom w:w="0" w:type="dxa"/>
            <w:right w:w="108" w:type="dxa"/>
          </w:tblCellMar>
        </w:tblPrEx>
        <w:trPr>
          <w:trHeight w:val="1691" w:hRule="atLeast"/>
        </w:trPr>
        <w:tc>
          <w:tcPr>
            <w:tcW w:w="1213" w:type="dxa"/>
            <w:tcBorders>
              <w:top w:val="single" w:color="000000" w:sz="4" w:space="0"/>
              <w:left w:val="single" w:color="000000" w:sz="4" w:space="0"/>
              <w:bottom w:val="single" w:color="000000" w:sz="4" w:space="0"/>
              <w:right w:val="single" w:color="000000" w:sz="4" w:space="0"/>
            </w:tcBorders>
            <w:vAlign w:val="center"/>
          </w:tcPr>
          <w:p w14:paraId="4FBAA0AB">
            <w:pPr>
              <w:widowControl/>
              <w:jc w:val="center"/>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售后服务方案</w:t>
            </w:r>
          </w:p>
        </w:tc>
        <w:tc>
          <w:tcPr>
            <w:tcW w:w="6869" w:type="dxa"/>
            <w:gridSpan w:val="2"/>
            <w:tcBorders>
              <w:top w:val="single" w:color="000000" w:sz="4" w:space="0"/>
              <w:left w:val="single" w:color="000000" w:sz="4" w:space="0"/>
              <w:bottom w:val="single" w:color="000000" w:sz="4" w:space="0"/>
              <w:right w:val="single" w:color="000000" w:sz="4" w:space="0"/>
            </w:tcBorders>
            <w:vAlign w:val="center"/>
          </w:tcPr>
          <w:p w14:paraId="11875BDC">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针对本项目制定完善的售后服务方案（如依托自身保障资源和渠道为采购人提供与本项目采购需求范围有关的其它服务或建立服务工作档案等），并提供合理化建议。</w:t>
            </w:r>
            <w:r>
              <w:rPr>
                <w:rFonts w:hint="eastAsia" w:ascii="仿宋" w:hAnsi="仿宋" w:eastAsia="仿宋" w:cs="仿宋"/>
                <w:color w:val="auto"/>
                <w:kern w:val="0"/>
                <w:sz w:val="24"/>
                <w:szCs w:val="24"/>
                <w:highlight w:val="none"/>
                <w:lang w:val="en-US" w:eastAsia="zh-CN" w:bidi="ar"/>
              </w:rPr>
              <w:br w:type="textWrapping"/>
            </w:r>
            <w:r>
              <w:rPr>
                <w:rFonts w:hint="eastAsia" w:ascii="仿宋" w:hAnsi="仿宋" w:eastAsia="仿宋" w:cs="仿宋"/>
                <w:color w:val="auto"/>
                <w:kern w:val="0"/>
                <w:sz w:val="24"/>
                <w:szCs w:val="24"/>
                <w:highlight w:val="none"/>
                <w:lang w:val="en-US" w:eastAsia="zh-CN" w:bidi="ar"/>
              </w:rPr>
              <w:t>售后服务方案详细、可操作性强，售后服务经验、技术人员配备情况明确规范、充分满足项目要求的得9分；</w:t>
            </w:r>
            <w:r>
              <w:rPr>
                <w:rFonts w:hint="eastAsia" w:ascii="仿宋" w:hAnsi="仿宋" w:eastAsia="仿宋" w:cs="仿宋"/>
                <w:color w:val="auto"/>
                <w:kern w:val="0"/>
                <w:sz w:val="24"/>
                <w:szCs w:val="24"/>
                <w:highlight w:val="none"/>
                <w:lang w:val="en-US" w:eastAsia="zh-CN" w:bidi="ar"/>
              </w:rPr>
              <w:br w:type="textWrapping"/>
            </w:r>
            <w:r>
              <w:rPr>
                <w:rFonts w:hint="eastAsia" w:ascii="仿宋" w:hAnsi="仿宋" w:eastAsia="仿宋" w:cs="仿宋"/>
                <w:color w:val="auto"/>
                <w:kern w:val="0"/>
                <w:sz w:val="24"/>
                <w:szCs w:val="24"/>
                <w:highlight w:val="none"/>
                <w:lang w:val="en-US" w:eastAsia="zh-CN" w:bidi="ar"/>
              </w:rPr>
              <w:t>售后服务方案一般、可操作性一般，售后服务经验、技术人员配备情况一般、基本满足项目要求的得4分；</w:t>
            </w:r>
          </w:p>
          <w:p w14:paraId="0F199FD6">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售后服务方案较差、没有实际的可操作性，售后服务经验、技术人员配备少或没经验、不能完全满足项目要求的得2分；</w:t>
            </w:r>
          </w:p>
          <w:p w14:paraId="1A1C1395">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未提供的不得分。</w:t>
            </w:r>
          </w:p>
          <w:p w14:paraId="13AEFC59">
            <w:pPr>
              <w:widowControl/>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提供的方案中每有一处具有缺陷（缺陷是指：存在不适用项目实际情况的情形、凭空编造、方案中内容前后不一致、前后逻辑错误、涉及的规范及标准错误、地点区域错误、内容缺失、不符合项目实际情况等）的扣1分，扣完为止。</w:t>
            </w:r>
          </w:p>
        </w:tc>
        <w:tc>
          <w:tcPr>
            <w:tcW w:w="997" w:type="dxa"/>
            <w:tcBorders>
              <w:top w:val="single" w:color="000000" w:sz="4" w:space="0"/>
              <w:left w:val="single" w:color="000000" w:sz="4" w:space="0"/>
              <w:bottom w:val="single" w:color="000000" w:sz="4" w:space="0"/>
              <w:right w:val="single" w:color="000000" w:sz="4" w:space="0"/>
            </w:tcBorders>
            <w:vAlign w:val="center"/>
          </w:tcPr>
          <w:p w14:paraId="61F652AC">
            <w:pPr>
              <w:widowControl/>
              <w:jc w:val="center"/>
              <w:textAlignment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9分</w:t>
            </w:r>
          </w:p>
        </w:tc>
      </w:tr>
    </w:tbl>
    <w:p w14:paraId="1C30E704">
      <w:pPr>
        <w:pStyle w:val="25"/>
        <w:spacing w:line="360" w:lineRule="auto"/>
        <w:rPr>
          <w:rFonts w:hint="eastAsia" w:ascii="仿宋" w:hAnsi="仿宋" w:eastAsia="仿宋" w:cs="仿宋"/>
          <w:color w:val="auto"/>
          <w:sz w:val="24"/>
          <w:szCs w:val="24"/>
          <w:highlight w:val="none"/>
        </w:rPr>
      </w:pPr>
      <w:bookmarkStart w:id="508" w:name="_GoBack"/>
      <w:bookmarkEnd w:id="508"/>
    </w:p>
    <w:sectPr>
      <w:headerReference r:id="rId5" w:type="default"/>
      <w:type w:val="continuous"/>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 w:fontKey="{D32A25E5-05C1-414B-8ED2-734E9772DB1E}"/>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2" w:fontKey="{65102001-4821-49F4-B894-A0B34031C137}"/>
  </w:font>
  <w:font w:name="Copperplate Gothic Bold">
    <w:altName w:val="Segoe Print"/>
    <w:panose1 w:val="020E0705020206020404"/>
    <w:charset w:val="00"/>
    <w:family w:val="auto"/>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方正小标宋简体">
    <w:panose1 w:val="02000000000000000000"/>
    <w:charset w:val="86"/>
    <w:family w:val="auto"/>
    <w:pitch w:val="default"/>
    <w:sig w:usb0="00000001" w:usb1="08000000" w:usb2="00000000" w:usb3="00000000" w:csb0="00040000" w:csb1="00000000"/>
    <w:embedRegular r:id="rId3" w:fontKey="{39CA606F-ECDD-493E-9D75-8A2767F8B7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2ABC8">
    <w:pPr>
      <w:pStyle w:val="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8E8F4E">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C8E8F4E">
                    <w:pPr>
                      <w:pStyle w:val="20"/>
                    </w:pPr>
                    <w:r>
                      <w:fldChar w:fldCharType="begin"/>
                    </w:r>
                    <w:r>
                      <w:instrText xml:space="preserve"> PAGE  \* MERGEFORMAT </w:instrText>
                    </w:r>
                    <w:r>
                      <w:fldChar w:fldCharType="separate"/>
                    </w:r>
                    <w:r>
                      <w:t>1</w:t>
                    </w:r>
                    <w:r>
                      <w:fldChar w:fldCharType="end"/>
                    </w:r>
                  </w:p>
                </w:txbxContent>
              </v:textbox>
            </v:shape>
          </w:pict>
        </mc:Fallback>
      </mc:AlternateContent>
    </w:r>
  </w:p>
  <w:p w14:paraId="22ACF1A3">
    <w:pPr>
      <w:pStyle w:val="2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E0E9F">
    <w:pPr>
      <w:pStyle w:val="22"/>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C7E7A">
    <w:pPr>
      <w:autoSpaceDE w:val="0"/>
      <w:autoSpaceDN w:val="0"/>
      <w:adjustRightInd w:val="0"/>
      <w:spacing w:line="360" w:lineRule="auto"/>
      <w:ind w:left="420" w:hanging="420" w:hangingChars="200"/>
      <w:jc w:val="both"/>
      <w:rPr>
        <w:rFonts w:hint="default" w:eastAsia="宋体"/>
        <w:u w:val="double"/>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6569D"/>
    <w:multiLevelType w:val="multilevel"/>
    <w:tmpl w:val="8096569D"/>
    <w:lvl w:ilvl="0" w:tentative="0">
      <w:start w:val="1"/>
      <w:numFmt w:val="decimal"/>
      <w:lvlText w:val="%1."/>
      <w:lvlJc w:val="left"/>
      <w:pPr>
        <w:tabs>
          <w:tab w:val="left" w:pos="907"/>
        </w:tabs>
        <w:ind w:left="907" w:hanging="907"/>
      </w:pPr>
      <w:rPr>
        <w:rFonts w:hint="eastAsia"/>
        <w:b/>
      </w:rPr>
    </w:lvl>
    <w:lvl w:ilvl="1" w:tentative="0">
      <w:start w:val="1"/>
      <w:numFmt w:val="decimal"/>
      <w:isLgl/>
      <w:lvlText w:val="10.%2."/>
      <w:lvlJc w:val="left"/>
      <w:pPr>
        <w:tabs>
          <w:tab w:val="left" w:pos="907"/>
        </w:tabs>
        <w:ind w:left="907" w:hanging="907"/>
      </w:pPr>
      <w:rPr>
        <w:rFonts w:hint="default" w:ascii="宋体" w:hAnsi="宋体" w:eastAsia="宋体" w:cs="宋体"/>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
    <w:nsid w:val="8411DE99"/>
    <w:multiLevelType w:val="singleLevel"/>
    <w:tmpl w:val="8411DE99"/>
    <w:lvl w:ilvl="0" w:tentative="0">
      <w:start w:val="1"/>
      <w:numFmt w:val="decimal"/>
      <w:suff w:val="nothing"/>
      <w:lvlText w:val="%1、"/>
      <w:lvlJc w:val="left"/>
    </w:lvl>
  </w:abstractNum>
  <w:abstractNum w:abstractNumId="2">
    <w:nsid w:val="8E1E9932"/>
    <w:multiLevelType w:val="singleLevel"/>
    <w:tmpl w:val="8E1E9932"/>
    <w:lvl w:ilvl="0" w:tentative="0">
      <w:start w:val="1"/>
      <w:numFmt w:val="decimal"/>
      <w:pStyle w:val="19"/>
      <w:lvlText w:val="%1."/>
      <w:lvlJc w:val="left"/>
      <w:pPr>
        <w:tabs>
          <w:tab w:val="left" w:pos="2040"/>
        </w:tabs>
        <w:ind w:left="2040" w:hanging="360"/>
      </w:pPr>
    </w:lvl>
  </w:abstractNum>
  <w:abstractNum w:abstractNumId="3">
    <w:nsid w:val="92333B14"/>
    <w:multiLevelType w:val="multilevel"/>
    <w:tmpl w:val="92333B14"/>
    <w:lvl w:ilvl="0" w:tentative="0">
      <w:start w:val="1"/>
      <w:numFmt w:val="decimal"/>
      <w:lvlText w:val="17.5.%1"/>
      <w:lvlJc w:val="left"/>
      <w:pPr>
        <w:tabs>
          <w:tab w:val="left" w:pos="907"/>
        </w:tabs>
        <w:ind w:left="907" w:hanging="907"/>
      </w:pPr>
      <w:rPr>
        <w:rFonts w:hint="default" w:ascii="宋体" w:hAnsi="宋体" w:eastAsia="宋体" w:cs="宋体"/>
        <w:b w:val="0"/>
      </w:rPr>
    </w:lvl>
    <w:lvl w:ilvl="1" w:tentative="0">
      <w:start w:val="1"/>
      <w:numFmt w:val="decimal"/>
      <w:isLgl/>
      <w:lvlText w:val="18.%2."/>
      <w:lvlJc w:val="left"/>
      <w:pPr>
        <w:tabs>
          <w:tab w:val="left" w:pos="907"/>
        </w:tabs>
        <w:ind w:left="907" w:hanging="907"/>
      </w:pPr>
      <w:rPr>
        <w:rFonts w:hint="default" w:ascii="宋体" w:hAnsi="宋体" w:eastAsia="宋体" w:cs="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9954953A"/>
    <w:multiLevelType w:val="multilevel"/>
    <w:tmpl w:val="9954953A"/>
    <w:lvl w:ilvl="0" w:tentative="0">
      <w:start w:val="1"/>
      <w:numFmt w:val="decimal"/>
      <w:lvlText w:val="%1."/>
      <w:lvlJc w:val="left"/>
      <w:pPr>
        <w:tabs>
          <w:tab w:val="left" w:pos="907"/>
        </w:tabs>
        <w:ind w:left="907" w:hanging="907"/>
      </w:pPr>
      <w:rPr>
        <w:rFonts w:hint="eastAsia"/>
        <w:b/>
      </w:rPr>
    </w:lvl>
    <w:lvl w:ilvl="1" w:tentative="0">
      <w:start w:val="1"/>
      <w:numFmt w:val="decimal"/>
      <w:isLgl/>
      <w:lvlText w:val="36.%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9E1A86F1"/>
    <w:multiLevelType w:val="multilevel"/>
    <w:tmpl w:val="9E1A86F1"/>
    <w:lvl w:ilvl="0" w:tentative="0">
      <w:start w:val="1"/>
      <w:numFmt w:val="decimal"/>
      <w:lvlText w:val="%1."/>
      <w:lvlJc w:val="left"/>
      <w:pPr>
        <w:tabs>
          <w:tab w:val="left" w:pos="907"/>
        </w:tabs>
        <w:ind w:left="907" w:hanging="907"/>
      </w:pPr>
      <w:rPr>
        <w:rFonts w:hint="eastAsia"/>
        <w:b/>
      </w:rPr>
    </w:lvl>
    <w:lvl w:ilvl="1" w:tentative="0">
      <w:start w:val="1"/>
      <w:numFmt w:val="decimal"/>
      <w:isLgl/>
      <w:lvlText w:val="42.%2."/>
      <w:lvlJc w:val="left"/>
      <w:pPr>
        <w:tabs>
          <w:tab w:val="left" w:pos="907"/>
        </w:tabs>
        <w:ind w:left="907" w:hanging="907"/>
      </w:pPr>
      <w:rPr>
        <w:rFonts w:hint="eastAsia" w:eastAsia="宋体"/>
        <w:b w:val="0"/>
      </w:rPr>
    </w:lvl>
    <w:lvl w:ilvl="2" w:tentative="0">
      <w:start w:val="1"/>
      <w:numFmt w:val="decimal"/>
      <w:lvlText w:val="43.3.%3."/>
      <w:lvlJc w:val="left"/>
      <w:pPr>
        <w:tabs>
          <w:tab w:val="left" w:pos="907"/>
        </w:tabs>
        <w:ind w:left="907" w:hanging="907"/>
      </w:pPr>
      <w:rPr>
        <w:rFonts w:hint="default" w:ascii="宋体" w:hAnsi="宋体" w:eastAsia="宋体" w:cs="宋体"/>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A3E133D2"/>
    <w:multiLevelType w:val="singleLevel"/>
    <w:tmpl w:val="A3E133D2"/>
    <w:lvl w:ilvl="0" w:tentative="0">
      <w:start w:val="6"/>
      <w:numFmt w:val="chineseCounting"/>
      <w:suff w:val="nothing"/>
      <w:lvlText w:val="%1、"/>
      <w:lvlJc w:val="left"/>
      <w:rPr>
        <w:rFonts w:hint="eastAsia"/>
      </w:rPr>
    </w:lvl>
  </w:abstractNum>
  <w:abstractNum w:abstractNumId="7">
    <w:nsid w:val="A48F9CC7"/>
    <w:multiLevelType w:val="multilevel"/>
    <w:tmpl w:val="A48F9CC7"/>
    <w:lvl w:ilvl="0" w:tentative="0">
      <w:start w:val="1"/>
      <w:numFmt w:val="decimal"/>
      <w:lvlText w:val="%1."/>
      <w:lvlJc w:val="left"/>
      <w:pPr>
        <w:tabs>
          <w:tab w:val="left" w:pos="907"/>
        </w:tabs>
        <w:ind w:left="907" w:hanging="907"/>
      </w:pPr>
      <w:rPr>
        <w:rFonts w:hint="eastAsia"/>
        <w:b/>
      </w:rPr>
    </w:lvl>
    <w:lvl w:ilvl="1" w:tentative="0">
      <w:start w:val="1"/>
      <w:numFmt w:val="decimal"/>
      <w:isLgl/>
      <w:lvlText w:val="34.%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A7A2FB09"/>
    <w:multiLevelType w:val="multilevel"/>
    <w:tmpl w:val="A7A2FB09"/>
    <w:lvl w:ilvl="0" w:tentative="0">
      <w:start w:val="1"/>
      <w:numFmt w:val="decimal"/>
      <w:lvlText w:val="%1."/>
      <w:lvlJc w:val="left"/>
      <w:pPr>
        <w:tabs>
          <w:tab w:val="left" w:pos="907"/>
        </w:tabs>
        <w:ind w:left="907" w:hanging="907"/>
      </w:pPr>
      <w:rPr>
        <w:rFonts w:hint="eastAsia"/>
        <w:b/>
      </w:rPr>
    </w:lvl>
    <w:lvl w:ilvl="1" w:tentative="0">
      <w:start w:val="1"/>
      <w:numFmt w:val="decimal"/>
      <w:isLgl/>
      <w:lvlText w:val="27.%2."/>
      <w:lvlJc w:val="left"/>
      <w:pPr>
        <w:tabs>
          <w:tab w:val="left" w:pos="907"/>
        </w:tabs>
        <w:ind w:left="907" w:hanging="907"/>
      </w:pPr>
      <w:rPr>
        <w:rFonts w:hint="default" w:ascii="宋体" w:hAnsi="宋体" w:eastAsia="宋体" w:cs="宋体"/>
        <w:b w:val="0"/>
      </w:rPr>
    </w:lvl>
    <w:lvl w:ilvl="2" w:tentative="0">
      <w:start w:val="1"/>
      <w:numFmt w:val="decimal"/>
      <w:lvlText w:val="29.%2.%3."/>
      <w:lvlJc w:val="left"/>
      <w:pPr>
        <w:tabs>
          <w:tab w:val="left" w:pos="907"/>
        </w:tabs>
        <w:ind w:left="907" w:hanging="907"/>
      </w:pPr>
      <w:rPr>
        <w:rFonts w:hint="eastAsia"/>
      </w:rPr>
    </w:lvl>
    <w:lvl w:ilvl="3" w:tentative="0">
      <w:start w:val="1"/>
      <w:numFmt w:val="decimal"/>
      <w:lvlText w:val="29.1.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A9E10F71"/>
    <w:multiLevelType w:val="multilevel"/>
    <w:tmpl w:val="A9E10F71"/>
    <w:lvl w:ilvl="0" w:tentative="0">
      <w:start w:val="1"/>
      <w:numFmt w:val="decimal"/>
      <w:lvlText w:val="%1."/>
      <w:lvlJc w:val="left"/>
      <w:pPr>
        <w:tabs>
          <w:tab w:val="left" w:pos="907"/>
        </w:tabs>
        <w:ind w:left="907" w:hanging="907"/>
      </w:pPr>
      <w:rPr>
        <w:rFonts w:hint="eastAsia"/>
        <w:b/>
      </w:rPr>
    </w:lvl>
    <w:lvl w:ilvl="1" w:tentative="0">
      <w:start w:val="1"/>
      <w:numFmt w:val="decimal"/>
      <w:isLgl/>
      <w:lvlText w:val="33.%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AA4DD313"/>
    <w:multiLevelType w:val="multilevel"/>
    <w:tmpl w:val="AA4DD313"/>
    <w:lvl w:ilvl="0" w:tentative="0">
      <w:start w:val="1"/>
      <w:numFmt w:val="decimal"/>
      <w:lvlText w:val="%1."/>
      <w:lvlJc w:val="left"/>
      <w:pPr>
        <w:tabs>
          <w:tab w:val="left" w:pos="907"/>
        </w:tabs>
        <w:ind w:left="907" w:hanging="907"/>
      </w:pPr>
      <w:rPr>
        <w:rFonts w:hint="eastAsia"/>
        <w:b/>
      </w:rPr>
    </w:lvl>
    <w:lvl w:ilvl="1" w:tentative="0">
      <w:start w:val="1"/>
      <w:numFmt w:val="decimal"/>
      <w:isLgl/>
      <w:lvlText w:val="12.%2."/>
      <w:lvlJc w:val="left"/>
      <w:pPr>
        <w:tabs>
          <w:tab w:val="left" w:pos="907"/>
        </w:tabs>
        <w:ind w:left="907" w:hanging="907"/>
      </w:pPr>
      <w:rPr>
        <w:rFonts w:hint="default" w:ascii="宋体" w:hAnsi="宋体" w:eastAsia="宋体" w:cs="宋体"/>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
    <w:nsid w:val="AF9868AF"/>
    <w:multiLevelType w:val="multilevel"/>
    <w:tmpl w:val="AF9868AF"/>
    <w:lvl w:ilvl="0" w:tentative="0">
      <w:start w:val="1"/>
      <w:numFmt w:val="decimal"/>
      <w:lvlText w:val="20.%1"/>
      <w:lvlJc w:val="left"/>
      <w:pPr>
        <w:tabs>
          <w:tab w:val="left" w:pos="907"/>
        </w:tabs>
        <w:ind w:left="907" w:hanging="907"/>
      </w:pPr>
      <w:rPr>
        <w:rFonts w:hint="default" w:ascii="宋体" w:hAnsi="宋体" w:eastAsia="宋体" w:cs="宋体"/>
        <w:b w:val="0"/>
      </w:rPr>
    </w:lvl>
    <w:lvl w:ilvl="1" w:tentative="0">
      <w:start w:val="1"/>
      <w:numFmt w:val="decimal"/>
      <w:isLgl/>
      <w:lvlText w:val="19.%2."/>
      <w:lvlJc w:val="left"/>
      <w:pPr>
        <w:tabs>
          <w:tab w:val="left" w:pos="907"/>
        </w:tabs>
        <w:ind w:left="907" w:hanging="907"/>
      </w:pPr>
      <w:rPr>
        <w:rFonts w:hint="eastAsia" w:eastAsia="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
    <w:nsid w:val="AFD2DA23"/>
    <w:multiLevelType w:val="multilevel"/>
    <w:tmpl w:val="AFD2DA23"/>
    <w:lvl w:ilvl="0" w:tentative="0">
      <w:start w:val="1"/>
      <w:numFmt w:val="decimal"/>
      <w:lvlText w:val="%1."/>
      <w:lvlJc w:val="left"/>
      <w:pPr>
        <w:tabs>
          <w:tab w:val="left" w:pos="907"/>
        </w:tabs>
        <w:ind w:left="907" w:hanging="907"/>
      </w:pPr>
      <w:rPr>
        <w:rFonts w:hint="eastAsia"/>
        <w:b/>
      </w:rPr>
    </w:lvl>
    <w:lvl w:ilvl="1" w:tentative="0">
      <w:start w:val="1"/>
      <w:numFmt w:val="decimal"/>
      <w:isLgl/>
      <w:lvlText w:val="21.%2."/>
      <w:lvlJc w:val="left"/>
      <w:pPr>
        <w:tabs>
          <w:tab w:val="left" w:pos="907"/>
        </w:tabs>
        <w:ind w:left="907" w:hanging="907"/>
      </w:pPr>
      <w:rPr>
        <w:rFonts w:hint="default" w:ascii="宋体" w:hAnsi="宋体" w:eastAsia="宋体" w:cs="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3">
    <w:nsid w:val="B00E335D"/>
    <w:multiLevelType w:val="multilevel"/>
    <w:tmpl w:val="B00E335D"/>
    <w:lvl w:ilvl="0" w:tentative="0">
      <w:start w:val="1"/>
      <w:numFmt w:val="decimal"/>
      <w:lvlText w:val="%1."/>
      <w:lvlJc w:val="left"/>
      <w:pPr>
        <w:tabs>
          <w:tab w:val="left" w:pos="907"/>
        </w:tabs>
        <w:ind w:left="907" w:hanging="907"/>
      </w:pPr>
      <w:rPr>
        <w:rFonts w:hint="eastAsia"/>
        <w:b/>
      </w:rPr>
    </w:lvl>
    <w:lvl w:ilvl="1" w:tentative="0">
      <w:start w:val="1"/>
      <w:numFmt w:val="decimal"/>
      <w:isLgl/>
      <w:lvlText w:val="6.%2."/>
      <w:lvlJc w:val="left"/>
      <w:pPr>
        <w:tabs>
          <w:tab w:val="left" w:pos="907"/>
        </w:tabs>
        <w:ind w:left="907" w:hanging="907"/>
      </w:pPr>
      <w:rPr>
        <w:rFonts w:hint="default" w:ascii="宋体" w:hAnsi="宋体" w:eastAsia="宋体" w:cs="宋体"/>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4">
    <w:nsid w:val="B8EACBA9"/>
    <w:multiLevelType w:val="multilevel"/>
    <w:tmpl w:val="B8EACBA9"/>
    <w:lvl w:ilvl="0" w:tentative="0">
      <w:start w:val="1"/>
      <w:numFmt w:val="decimal"/>
      <w:lvlText w:val="%1."/>
      <w:lvlJc w:val="left"/>
      <w:pPr>
        <w:tabs>
          <w:tab w:val="left" w:pos="907"/>
        </w:tabs>
        <w:ind w:left="907" w:hanging="907"/>
      </w:pPr>
      <w:rPr>
        <w:rFonts w:hint="eastAsia"/>
        <w:b/>
      </w:rPr>
    </w:lvl>
    <w:lvl w:ilvl="1" w:tentative="0">
      <w:start w:val="1"/>
      <w:numFmt w:val="decimal"/>
      <w:isLgl/>
      <w:lvlText w:val="22.%2."/>
      <w:lvlJc w:val="left"/>
      <w:pPr>
        <w:tabs>
          <w:tab w:val="left" w:pos="907"/>
        </w:tabs>
        <w:ind w:left="907" w:hanging="907"/>
      </w:pPr>
      <w:rPr>
        <w:rFonts w:hint="default" w:ascii="宋体" w:hAnsi="宋体" w:eastAsia="宋体" w:cs="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5">
    <w:nsid w:val="BC19AF0D"/>
    <w:multiLevelType w:val="multilevel"/>
    <w:tmpl w:val="BC19AF0D"/>
    <w:lvl w:ilvl="0" w:tentative="0">
      <w:start w:val="1"/>
      <w:numFmt w:val="decimal"/>
      <w:lvlText w:val="%1."/>
      <w:lvlJc w:val="left"/>
      <w:pPr>
        <w:tabs>
          <w:tab w:val="left" w:pos="907"/>
        </w:tabs>
        <w:ind w:left="907" w:hanging="907"/>
      </w:pPr>
      <w:rPr>
        <w:rFonts w:hint="eastAsia"/>
        <w:b/>
      </w:rPr>
    </w:lvl>
    <w:lvl w:ilvl="1" w:tentative="0">
      <w:start w:val="1"/>
      <w:numFmt w:val="decimal"/>
      <w:isLgl/>
      <w:lvlText w:val="32.%2."/>
      <w:lvlJc w:val="left"/>
      <w:pPr>
        <w:tabs>
          <w:tab w:val="left" w:pos="907"/>
        </w:tabs>
        <w:ind w:left="907" w:hanging="907"/>
      </w:pPr>
      <w:rPr>
        <w:rFonts w:hint="default" w:ascii="宋体" w:hAnsi="宋体" w:eastAsia="宋体" w:cs="宋体"/>
        <w:b w:val="0"/>
      </w:rPr>
    </w:lvl>
    <w:lvl w:ilvl="2" w:tentative="0">
      <w:start w:val="1"/>
      <w:numFmt w:val="decimal"/>
      <w:lvlText w:val="29.%2.%3."/>
      <w:lvlJc w:val="left"/>
      <w:pPr>
        <w:tabs>
          <w:tab w:val="left" w:pos="907"/>
        </w:tabs>
        <w:ind w:left="907" w:hanging="907"/>
      </w:pPr>
      <w:rPr>
        <w:rFonts w:hint="eastAsia"/>
      </w:rPr>
    </w:lvl>
    <w:lvl w:ilvl="3" w:tentative="0">
      <w:start w:val="1"/>
      <w:numFmt w:val="decimal"/>
      <w:lvlText w:val="29.1.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6">
    <w:nsid w:val="C0CBC2A9"/>
    <w:multiLevelType w:val="multilevel"/>
    <w:tmpl w:val="C0CBC2A9"/>
    <w:lvl w:ilvl="0" w:tentative="0">
      <w:start w:val="1"/>
      <w:numFmt w:val="decimal"/>
      <w:lvlText w:val="%1."/>
      <w:lvlJc w:val="left"/>
      <w:pPr>
        <w:tabs>
          <w:tab w:val="left" w:pos="907"/>
        </w:tabs>
        <w:ind w:left="907" w:hanging="907"/>
      </w:pPr>
      <w:rPr>
        <w:rFonts w:hint="eastAsia"/>
        <w:b/>
      </w:rPr>
    </w:lvl>
    <w:lvl w:ilvl="1" w:tentative="0">
      <w:start w:val="1"/>
      <w:numFmt w:val="decimal"/>
      <w:isLgl/>
      <w:lvlText w:val="13.%2."/>
      <w:lvlJc w:val="left"/>
      <w:pPr>
        <w:tabs>
          <w:tab w:val="left" w:pos="907"/>
        </w:tabs>
        <w:ind w:left="907" w:hanging="907"/>
      </w:pPr>
      <w:rPr>
        <w:rFonts w:hint="default" w:ascii="宋体" w:hAnsi="宋体" w:eastAsia="宋体" w:cs="宋体"/>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7">
    <w:nsid w:val="C22701CE"/>
    <w:multiLevelType w:val="multilevel"/>
    <w:tmpl w:val="C22701CE"/>
    <w:lvl w:ilvl="0" w:tentative="0">
      <w:start w:val="1"/>
      <w:numFmt w:val="decimal"/>
      <w:lvlText w:val="%1."/>
      <w:lvlJc w:val="left"/>
      <w:pPr>
        <w:tabs>
          <w:tab w:val="left" w:pos="907"/>
        </w:tabs>
        <w:ind w:left="907" w:hanging="907"/>
      </w:pPr>
      <w:rPr>
        <w:rFonts w:hint="default" w:ascii="宋体" w:hAnsi="宋体" w:eastAsia="宋体" w:cs="宋体"/>
        <w:b/>
      </w:rPr>
    </w:lvl>
    <w:lvl w:ilvl="1" w:tentative="0">
      <w:start w:val="1"/>
      <w:numFmt w:val="decimal"/>
      <w:isLgl/>
      <w:lvlText w:val="29.%2."/>
      <w:lvlJc w:val="left"/>
      <w:pPr>
        <w:tabs>
          <w:tab w:val="left" w:pos="907"/>
        </w:tabs>
        <w:ind w:left="907" w:hanging="907"/>
      </w:pPr>
      <w:rPr>
        <w:rFonts w:hint="default" w:ascii="宋体" w:hAnsi="宋体" w:eastAsia="宋体" w:cs="宋体"/>
        <w:b w:val="0"/>
      </w:rPr>
    </w:lvl>
    <w:lvl w:ilvl="2" w:tentative="0">
      <w:start w:val="1"/>
      <w:numFmt w:val="decimal"/>
      <w:lvlText w:val="34.1.%3."/>
      <w:lvlJc w:val="left"/>
      <w:pPr>
        <w:tabs>
          <w:tab w:val="left" w:pos="907"/>
        </w:tabs>
        <w:ind w:left="907" w:hanging="907"/>
      </w:pPr>
      <w:rPr>
        <w:rFonts w:hint="default" w:ascii="宋体" w:hAnsi="宋体" w:eastAsia="宋体" w:cs="宋体"/>
      </w:rPr>
    </w:lvl>
    <w:lvl w:ilvl="3" w:tentative="0">
      <w:start w:val="1"/>
      <w:numFmt w:val="decimal"/>
      <w:lvlText w:val="29.1.3.%4."/>
      <w:lvlJc w:val="left"/>
      <w:pPr>
        <w:tabs>
          <w:tab w:val="left" w:pos="907"/>
        </w:tabs>
        <w:ind w:left="907" w:hanging="907"/>
      </w:pPr>
      <w:rPr>
        <w:rFonts w:hint="default" w:ascii="宋体" w:hAnsi="宋体" w:eastAsia="宋体" w:cs="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8">
    <w:nsid w:val="C2417F32"/>
    <w:multiLevelType w:val="multilevel"/>
    <w:tmpl w:val="C2417F32"/>
    <w:lvl w:ilvl="0" w:tentative="0">
      <w:start w:val="1"/>
      <w:numFmt w:val="decimal"/>
      <w:lvlText w:val="%1."/>
      <w:lvlJc w:val="left"/>
      <w:pPr>
        <w:tabs>
          <w:tab w:val="left" w:pos="907"/>
        </w:tabs>
        <w:ind w:left="907" w:hanging="907"/>
      </w:pPr>
      <w:rPr>
        <w:rFonts w:hint="eastAsia"/>
        <w:b/>
      </w:rPr>
    </w:lvl>
    <w:lvl w:ilvl="1" w:tentative="0">
      <w:start w:val="1"/>
      <w:numFmt w:val="decimal"/>
      <w:isLgl/>
      <w:lvlText w:val="43.%2."/>
      <w:lvlJc w:val="left"/>
      <w:pPr>
        <w:tabs>
          <w:tab w:val="left" w:pos="907"/>
        </w:tabs>
        <w:ind w:left="907" w:hanging="907"/>
      </w:pPr>
      <w:rPr>
        <w:rFonts w:hint="default" w:ascii="宋体" w:hAnsi="宋体" w:eastAsia="宋体" w:cs="宋体"/>
        <w:b w:val="0"/>
      </w:rPr>
    </w:lvl>
    <w:lvl w:ilvl="2" w:tentative="0">
      <w:start w:val="1"/>
      <w:numFmt w:val="decimal"/>
      <w:lvlText w:val="4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9">
    <w:nsid w:val="D002ECE8"/>
    <w:multiLevelType w:val="multilevel"/>
    <w:tmpl w:val="D002ECE8"/>
    <w:lvl w:ilvl="0" w:tentative="0">
      <w:start w:val="1"/>
      <w:numFmt w:val="decimal"/>
      <w:lvlText w:val="%1."/>
      <w:lvlJc w:val="left"/>
      <w:pPr>
        <w:tabs>
          <w:tab w:val="left" w:pos="907"/>
        </w:tabs>
        <w:ind w:left="907" w:hanging="907"/>
      </w:pPr>
      <w:rPr>
        <w:rFonts w:hint="eastAsia"/>
        <w:b/>
      </w:rPr>
    </w:lvl>
    <w:lvl w:ilvl="1" w:tentative="0">
      <w:start w:val="1"/>
      <w:numFmt w:val="decimal"/>
      <w:isLgl/>
      <w:lvlText w:val="38.%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0">
    <w:nsid w:val="D228F261"/>
    <w:multiLevelType w:val="multilevel"/>
    <w:tmpl w:val="D228F261"/>
    <w:lvl w:ilvl="0" w:tentative="0">
      <w:start w:val="1"/>
      <w:numFmt w:val="decimal"/>
      <w:lvlText w:val="%1."/>
      <w:lvlJc w:val="left"/>
      <w:pPr>
        <w:tabs>
          <w:tab w:val="left" w:pos="907"/>
        </w:tabs>
        <w:ind w:left="907" w:hanging="907"/>
      </w:pPr>
      <w:rPr>
        <w:rFonts w:hint="default" w:ascii="宋体" w:hAnsi="宋体" w:eastAsia="宋体" w:cs="宋体"/>
        <w:b/>
      </w:rPr>
    </w:lvl>
    <w:lvl w:ilvl="1" w:tentative="0">
      <w:start w:val="1"/>
      <w:numFmt w:val="decimal"/>
      <w:isLgl/>
      <w:lvlText w:val="29.%2."/>
      <w:lvlJc w:val="left"/>
      <w:pPr>
        <w:tabs>
          <w:tab w:val="left" w:pos="907"/>
        </w:tabs>
        <w:ind w:left="907" w:hanging="907"/>
      </w:pPr>
      <w:rPr>
        <w:rFonts w:hint="default" w:ascii="宋体" w:hAnsi="宋体" w:eastAsia="宋体" w:cs="宋体"/>
        <w:b w:val="0"/>
      </w:rPr>
    </w:lvl>
    <w:lvl w:ilvl="2" w:tentative="0">
      <w:start w:val="1"/>
      <w:numFmt w:val="decimal"/>
      <w:lvlText w:val="31.2.%3."/>
      <w:lvlJc w:val="left"/>
      <w:pPr>
        <w:tabs>
          <w:tab w:val="left" w:pos="907"/>
        </w:tabs>
        <w:ind w:left="907" w:hanging="907"/>
      </w:pPr>
      <w:rPr>
        <w:rFonts w:hint="default" w:ascii="宋体" w:hAnsi="宋体" w:eastAsia="宋体" w:cs="宋体"/>
      </w:rPr>
    </w:lvl>
    <w:lvl w:ilvl="3" w:tentative="0">
      <w:start w:val="1"/>
      <w:numFmt w:val="decimal"/>
      <w:lvlText w:val="29.1.3.%4."/>
      <w:lvlJc w:val="left"/>
      <w:pPr>
        <w:tabs>
          <w:tab w:val="left" w:pos="907"/>
        </w:tabs>
        <w:ind w:left="907" w:hanging="907"/>
      </w:pPr>
      <w:rPr>
        <w:rFonts w:hint="default" w:ascii="宋体" w:hAnsi="宋体" w:eastAsia="宋体" w:cs="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1">
    <w:nsid w:val="D2D509F7"/>
    <w:multiLevelType w:val="multilevel"/>
    <w:tmpl w:val="D2D509F7"/>
    <w:lvl w:ilvl="0" w:tentative="0">
      <w:start w:val="1"/>
      <w:numFmt w:val="decimal"/>
      <w:lvlText w:val="%1."/>
      <w:lvlJc w:val="left"/>
      <w:pPr>
        <w:tabs>
          <w:tab w:val="left" w:pos="907"/>
        </w:tabs>
        <w:ind w:left="907" w:hanging="907"/>
      </w:pPr>
      <w:rPr>
        <w:rFonts w:hint="eastAsia"/>
        <w:b/>
      </w:rPr>
    </w:lvl>
    <w:lvl w:ilvl="1" w:tentative="0">
      <w:start w:val="1"/>
      <w:numFmt w:val="decimal"/>
      <w:isLgl/>
      <w:lvlText w:val="37.%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2">
    <w:nsid w:val="D82FDC4F"/>
    <w:multiLevelType w:val="multilevel"/>
    <w:tmpl w:val="D82FDC4F"/>
    <w:lvl w:ilvl="0" w:tentative="0">
      <w:start w:val="1"/>
      <w:numFmt w:val="decimal"/>
      <w:lvlText w:val="%1."/>
      <w:lvlJc w:val="left"/>
      <w:pPr>
        <w:tabs>
          <w:tab w:val="left" w:pos="907"/>
        </w:tabs>
        <w:ind w:left="907" w:hanging="907"/>
      </w:pPr>
      <w:rPr>
        <w:rFonts w:hint="eastAsia"/>
        <w:b/>
      </w:rPr>
    </w:lvl>
    <w:lvl w:ilvl="1" w:tentative="0">
      <w:start w:val="1"/>
      <w:numFmt w:val="decimal"/>
      <w:isLgl/>
      <w:lvlText w:val="31.%2."/>
      <w:lvlJc w:val="left"/>
      <w:pPr>
        <w:tabs>
          <w:tab w:val="left" w:pos="907"/>
        </w:tabs>
        <w:ind w:left="907" w:hanging="907"/>
      </w:pPr>
      <w:rPr>
        <w:rFonts w:hint="default" w:ascii="宋体" w:hAnsi="宋体" w:eastAsia="宋体" w:cs="宋体"/>
        <w:b w:val="0"/>
      </w:rPr>
    </w:lvl>
    <w:lvl w:ilvl="2" w:tentative="0">
      <w:start w:val="1"/>
      <w:numFmt w:val="decimal"/>
      <w:lvlText w:val="29.%2.%3."/>
      <w:lvlJc w:val="left"/>
      <w:pPr>
        <w:tabs>
          <w:tab w:val="left" w:pos="907"/>
        </w:tabs>
        <w:ind w:left="907" w:hanging="907"/>
      </w:pPr>
      <w:rPr>
        <w:rFonts w:hint="eastAsia"/>
      </w:rPr>
    </w:lvl>
    <w:lvl w:ilvl="3" w:tentative="0">
      <w:start w:val="1"/>
      <w:numFmt w:val="decimal"/>
      <w:lvlText w:val="29.1.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3">
    <w:nsid w:val="DA854457"/>
    <w:multiLevelType w:val="multilevel"/>
    <w:tmpl w:val="DA854457"/>
    <w:lvl w:ilvl="0" w:tentative="0">
      <w:start w:val="1"/>
      <w:numFmt w:val="decimal"/>
      <w:lvlText w:val="%1."/>
      <w:lvlJc w:val="left"/>
      <w:pPr>
        <w:tabs>
          <w:tab w:val="left" w:pos="907"/>
        </w:tabs>
        <w:ind w:left="907" w:hanging="907"/>
      </w:pPr>
      <w:rPr>
        <w:rFonts w:hint="eastAsia"/>
        <w:b/>
      </w:rPr>
    </w:lvl>
    <w:lvl w:ilvl="1" w:tentative="0">
      <w:start w:val="1"/>
      <w:numFmt w:val="decimal"/>
      <w:isLgl/>
      <w:lvlText w:val="17.%2."/>
      <w:lvlJc w:val="left"/>
      <w:pPr>
        <w:tabs>
          <w:tab w:val="left" w:pos="907"/>
        </w:tabs>
        <w:ind w:left="907" w:hanging="907"/>
      </w:pPr>
      <w:rPr>
        <w:rFonts w:hint="default" w:ascii="宋体" w:hAnsi="宋体" w:eastAsia="宋体" w:cs="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4">
    <w:nsid w:val="DB667128"/>
    <w:multiLevelType w:val="multilevel"/>
    <w:tmpl w:val="DB667128"/>
    <w:lvl w:ilvl="0" w:tentative="0">
      <w:start w:val="1"/>
      <w:numFmt w:val="decimal"/>
      <w:lvlText w:val="%1."/>
      <w:lvlJc w:val="left"/>
      <w:pPr>
        <w:tabs>
          <w:tab w:val="left" w:pos="907"/>
        </w:tabs>
        <w:ind w:left="907" w:hanging="907"/>
      </w:pPr>
      <w:rPr>
        <w:rFonts w:hint="eastAsia"/>
        <w:b/>
      </w:rPr>
    </w:lvl>
    <w:lvl w:ilvl="1" w:tentative="0">
      <w:start w:val="1"/>
      <w:numFmt w:val="decimal"/>
      <w:isLgl/>
      <w:lvlText w:val="39.%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5">
    <w:nsid w:val="E6A74FC1"/>
    <w:multiLevelType w:val="multilevel"/>
    <w:tmpl w:val="E6A74FC1"/>
    <w:lvl w:ilvl="0" w:tentative="0">
      <w:start w:val="1"/>
      <w:numFmt w:val="decimal"/>
      <w:lvlText w:val="%1."/>
      <w:lvlJc w:val="left"/>
      <w:pPr>
        <w:tabs>
          <w:tab w:val="left" w:pos="907"/>
        </w:tabs>
        <w:ind w:left="907" w:hanging="907"/>
      </w:pPr>
      <w:rPr>
        <w:rFonts w:hint="eastAsia"/>
        <w:b/>
      </w:rPr>
    </w:lvl>
    <w:lvl w:ilvl="1" w:tentative="0">
      <w:start w:val="1"/>
      <w:numFmt w:val="decimal"/>
      <w:isLgl/>
      <w:lvlText w:val="30.%2."/>
      <w:lvlJc w:val="left"/>
      <w:pPr>
        <w:tabs>
          <w:tab w:val="left" w:pos="907"/>
        </w:tabs>
        <w:ind w:left="907" w:hanging="907"/>
      </w:pPr>
      <w:rPr>
        <w:rFonts w:hint="default" w:ascii="宋体" w:hAnsi="宋体" w:eastAsia="宋体" w:cs="宋体"/>
        <w:b w:val="0"/>
      </w:rPr>
    </w:lvl>
    <w:lvl w:ilvl="2" w:tentative="0">
      <w:start w:val="1"/>
      <w:numFmt w:val="decimal"/>
      <w:lvlText w:val="29.%2.%3."/>
      <w:lvlJc w:val="left"/>
      <w:pPr>
        <w:tabs>
          <w:tab w:val="left" w:pos="907"/>
        </w:tabs>
        <w:ind w:left="907" w:hanging="907"/>
      </w:pPr>
      <w:rPr>
        <w:rFonts w:hint="eastAsia"/>
      </w:rPr>
    </w:lvl>
    <w:lvl w:ilvl="3" w:tentative="0">
      <w:start w:val="1"/>
      <w:numFmt w:val="decimal"/>
      <w:lvlText w:val="29.1.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6">
    <w:nsid w:val="F0530013"/>
    <w:multiLevelType w:val="multilevel"/>
    <w:tmpl w:val="F0530013"/>
    <w:lvl w:ilvl="0" w:tentative="0">
      <w:start w:val="1"/>
      <w:numFmt w:val="decimal"/>
      <w:lvlText w:val="%1."/>
      <w:lvlJc w:val="left"/>
      <w:pPr>
        <w:tabs>
          <w:tab w:val="left" w:pos="907"/>
        </w:tabs>
        <w:ind w:left="907" w:hanging="907"/>
      </w:pPr>
      <w:rPr>
        <w:rFonts w:hint="eastAsia"/>
        <w:b/>
      </w:rPr>
    </w:lvl>
    <w:lvl w:ilvl="1" w:tentative="0">
      <w:start w:val="1"/>
      <w:numFmt w:val="decimal"/>
      <w:isLgl/>
      <w:lvlText w:val="28.%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7">
    <w:nsid w:val="F204C63F"/>
    <w:multiLevelType w:val="multilevel"/>
    <w:tmpl w:val="F204C63F"/>
    <w:lvl w:ilvl="0" w:tentative="0">
      <w:start w:val="1"/>
      <w:numFmt w:val="decimal"/>
      <w:lvlText w:val="%1."/>
      <w:lvlJc w:val="left"/>
      <w:pPr>
        <w:tabs>
          <w:tab w:val="left" w:pos="907"/>
        </w:tabs>
        <w:ind w:left="907" w:hanging="907"/>
      </w:pPr>
      <w:rPr>
        <w:rFonts w:hint="eastAsia"/>
        <w:b/>
      </w:rPr>
    </w:lvl>
    <w:lvl w:ilvl="1" w:tentative="0">
      <w:start w:val="1"/>
      <w:numFmt w:val="decimal"/>
      <w:isLgl/>
      <w:lvlText w:val="42.%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8">
    <w:nsid w:val="FD3D99E3"/>
    <w:multiLevelType w:val="multilevel"/>
    <w:tmpl w:val="FD3D99E3"/>
    <w:lvl w:ilvl="0" w:tentative="0">
      <w:start w:val="1"/>
      <w:numFmt w:val="decimal"/>
      <w:lvlText w:val="%1."/>
      <w:lvlJc w:val="left"/>
      <w:pPr>
        <w:tabs>
          <w:tab w:val="left" w:pos="907"/>
        </w:tabs>
        <w:ind w:left="907" w:hanging="907"/>
      </w:pPr>
      <w:rPr>
        <w:rFonts w:hint="default" w:ascii="宋体" w:hAnsi="宋体" w:eastAsia="宋体" w:cs="宋体"/>
        <w:b/>
      </w:rPr>
    </w:lvl>
    <w:lvl w:ilvl="1" w:tentative="0">
      <w:start w:val="1"/>
      <w:numFmt w:val="decimal"/>
      <w:isLgl/>
      <w:lvlText w:val="29.%2."/>
      <w:lvlJc w:val="left"/>
      <w:pPr>
        <w:tabs>
          <w:tab w:val="left" w:pos="907"/>
        </w:tabs>
        <w:ind w:left="907" w:hanging="907"/>
      </w:pPr>
      <w:rPr>
        <w:rFonts w:hint="default" w:ascii="宋体" w:hAnsi="宋体" w:eastAsia="宋体" w:cs="宋体"/>
        <w:b w:val="0"/>
      </w:rPr>
    </w:lvl>
    <w:lvl w:ilvl="2" w:tentative="0">
      <w:start w:val="1"/>
      <w:numFmt w:val="decimal"/>
      <w:lvlText w:val="34.2.%3."/>
      <w:lvlJc w:val="left"/>
      <w:pPr>
        <w:tabs>
          <w:tab w:val="left" w:pos="907"/>
        </w:tabs>
        <w:ind w:left="907" w:hanging="907"/>
      </w:pPr>
      <w:rPr>
        <w:rFonts w:hint="default" w:ascii="宋体" w:hAnsi="宋体" w:eastAsia="宋体" w:cs="宋体"/>
      </w:rPr>
    </w:lvl>
    <w:lvl w:ilvl="3" w:tentative="0">
      <w:start w:val="1"/>
      <w:numFmt w:val="decimal"/>
      <w:lvlText w:val="29.1.3.%4."/>
      <w:lvlJc w:val="left"/>
      <w:pPr>
        <w:tabs>
          <w:tab w:val="left" w:pos="907"/>
        </w:tabs>
        <w:ind w:left="907" w:hanging="907"/>
      </w:pPr>
      <w:rPr>
        <w:rFonts w:hint="default" w:ascii="宋体" w:hAnsi="宋体" w:eastAsia="宋体" w:cs="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9">
    <w:nsid w:val="FF5CA5AF"/>
    <w:multiLevelType w:val="multilevel"/>
    <w:tmpl w:val="FF5CA5AF"/>
    <w:lvl w:ilvl="0" w:tentative="0">
      <w:start w:val="1"/>
      <w:numFmt w:val="decimal"/>
      <w:lvlText w:val="%1."/>
      <w:lvlJc w:val="left"/>
      <w:pPr>
        <w:tabs>
          <w:tab w:val="left" w:pos="907"/>
        </w:tabs>
        <w:ind w:left="907" w:hanging="907"/>
      </w:pPr>
      <w:rPr>
        <w:rFonts w:hint="default" w:ascii="宋体" w:hAnsi="宋体" w:eastAsia="宋体" w:cs="宋体"/>
        <w:b/>
      </w:rPr>
    </w:lvl>
    <w:lvl w:ilvl="1" w:tentative="0">
      <w:start w:val="1"/>
      <w:numFmt w:val="decimal"/>
      <w:isLgl/>
      <w:lvlText w:val="29.%2."/>
      <w:lvlJc w:val="left"/>
      <w:pPr>
        <w:tabs>
          <w:tab w:val="left" w:pos="907"/>
        </w:tabs>
        <w:ind w:left="907" w:hanging="907"/>
      </w:pPr>
      <w:rPr>
        <w:rFonts w:hint="default" w:ascii="宋体" w:hAnsi="宋体" w:eastAsia="宋体" w:cs="宋体"/>
        <w:b w:val="0"/>
      </w:rPr>
    </w:lvl>
    <w:lvl w:ilvl="2" w:tentative="0">
      <w:start w:val="1"/>
      <w:numFmt w:val="decimal"/>
      <w:lvlText w:val="26.1.%3."/>
      <w:lvlJc w:val="left"/>
      <w:pPr>
        <w:tabs>
          <w:tab w:val="left" w:pos="907"/>
        </w:tabs>
        <w:ind w:left="907" w:hanging="907"/>
      </w:pPr>
      <w:rPr>
        <w:rFonts w:hint="default" w:ascii="宋体" w:hAnsi="宋体" w:eastAsia="宋体" w:cs="宋体"/>
      </w:rPr>
    </w:lvl>
    <w:lvl w:ilvl="3" w:tentative="0">
      <w:start w:val="1"/>
      <w:numFmt w:val="decimal"/>
      <w:lvlText w:val="29.1.3.%4."/>
      <w:lvlJc w:val="left"/>
      <w:pPr>
        <w:tabs>
          <w:tab w:val="left" w:pos="907"/>
        </w:tabs>
        <w:ind w:left="907" w:hanging="907"/>
      </w:pPr>
      <w:rPr>
        <w:rFonts w:hint="default" w:ascii="宋体" w:hAnsi="宋体" w:eastAsia="宋体" w:cs="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0">
    <w:nsid w:val="00000028"/>
    <w:multiLevelType w:val="multilevel"/>
    <w:tmpl w:val="00000028"/>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1">
    <w:nsid w:val="0000003A"/>
    <w:multiLevelType w:val="multilevel"/>
    <w:tmpl w:val="0000003A"/>
    <w:lvl w:ilvl="0" w:tentative="0">
      <w:start w:val="1"/>
      <w:numFmt w:val="decimal"/>
      <w:lvlText w:val="%1."/>
      <w:lvlJc w:val="left"/>
      <w:pPr>
        <w:tabs>
          <w:tab w:val="left" w:pos="907"/>
        </w:tabs>
        <w:ind w:left="907" w:hanging="907"/>
      </w:pPr>
      <w:rPr>
        <w:rFonts w:hint="eastAsia"/>
        <w:b/>
      </w:rPr>
    </w:lvl>
    <w:lvl w:ilvl="1" w:tentative="0">
      <w:start w:val="1"/>
      <w:numFmt w:val="decimal"/>
      <w:isLgl/>
      <w:lvlText w:val="4.%2."/>
      <w:lvlJc w:val="left"/>
      <w:pPr>
        <w:tabs>
          <w:tab w:val="left" w:pos="907"/>
        </w:tabs>
        <w:ind w:left="907" w:hanging="907"/>
      </w:pPr>
      <w:rPr>
        <w:rFonts w:hint="eastAsia"/>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2">
    <w:nsid w:val="0000004F"/>
    <w:multiLevelType w:val="multilevel"/>
    <w:tmpl w:val="0000004F"/>
    <w:lvl w:ilvl="0" w:tentative="0">
      <w:start w:val="1"/>
      <w:numFmt w:val="decimal"/>
      <w:lvlText w:val="%1."/>
      <w:lvlJc w:val="left"/>
      <w:pPr>
        <w:tabs>
          <w:tab w:val="left" w:pos="907"/>
        </w:tabs>
        <w:ind w:left="907" w:hanging="907"/>
      </w:pPr>
      <w:rPr>
        <w:rFonts w:hint="eastAsia"/>
        <w:b/>
      </w:rPr>
    </w:lvl>
    <w:lvl w:ilvl="1" w:tentative="0">
      <w:start w:val="1"/>
      <w:numFmt w:val="decimal"/>
      <w:isLgl/>
      <w:lvlText w:val="2.%2."/>
      <w:lvlJc w:val="left"/>
      <w:pPr>
        <w:tabs>
          <w:tab w:val="left" w:pos="907"/>
        </w:tabs>
        <w:ind w:left="907" w:hanging="907"/>
      </w:pPr>
      <w:rPr>
        <w:rFonts w:hint="eastAsia"/>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3">
    <w:nsid w:val="04944B75"/>
    <w:multiLevelType w:val="multilevel"/>
    <w:tmpl w:val="04944B75"/>
    <w:lvl w:ilvl="0" w:tentative="0">
      <w:start w:val="1"/>
      <w:numFmt w:val="decimal"/>
      <w:lvlText w:val="%1."/>
      <w:lvlJc w:val="left"/>
      <w:pPr>
        <w:tabs>
          <w:tab w:val="left" w:pos="907"/>
        </w:tabs>
        <w:ind w:left="907" w:hanging="907"/>
      </w:pPr>
      <w:rPr>
        <w:rFonts w:hint="eastAsia"/>
        <w:b/>
      </w:rPr>
    </w:lvl>
    <w:lvl w:ilvl="1" w:tentative="0">
      <w:start w:val="1"/>
      <w:numFmt w:val="decimal"/>
      <w:isLgl/>
      <w:lvlText w:val="11.%2."/>
      <w:lvlJc w:val="left"/>
      <w:pPr>
        <w:tabs>
          <w:tab w:val="left" w:pos="907"/>
        </w:tabs>
        <w:ind w:left="907" w:hanging="907"/>
      </w:pPr>
      <w:rPr>
        <w:rFonts w:hint="default" w:ascii="宋体" w:hAnsi="宋体" w:eastAsia="宋体" w:cs="宋体"/>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4">
    <w:nsid w:val="0609AC39"/>
    <w:multiLevelType w:val="singleLevel"/>
    <w:tmpl w:val="0609AC39"/>
    <w:lvl w:ilvl="0" w:tentative="0">
      <w:start w:val="2"/>
      <w:numFmt w:val="chineseCounting"/>
      <w:suff w:val="nothing"/>
      <w:lvlText w:val="（%1）"/>
      <w:lvlJc w:val="left"/>
      <w:rPr>
        <w:rFonts w:hint="eastAsia"/>
      </w:rPr>
    </w:lvl>
  </w:abstractNum>
  <w:abstractNum w:abstractNumId="35">
    <w:nsid w:val="09DB2046"/>
    <w:multiLevelType w:val="multilevel"/>
    <w:tmpl w:val="09DB2046"/>
    <w:lvl w:ilvl="0" w:tentative="0">
      <w:start w:val="1"/>
      <w:numFmt w:val="decimal"/>
      <w:lvlText w:val="%1."/>
      <w:lvlJc w:val="left"/>
      <w:pPr>
        <w:tabs>
          <w:tab w:val="left" w:pos="907"/>
        </w:tabs>
        <w:ind w:left="907" w:hanging="907"/>
      </w:pPr>
      <w:rPr>
        <w:rFonts w:hint="default" w:ascii="宋体" w:hAnsi="宋体" w:eastAsia="宋体" w:cs="宋体"/>
        <w:b/>
      </w:rPr>
    </w:lvl>
    <w:lvl w:ilvl="1" w:tentative="0">
      <w:start w:val="1"/>
      <w:numFmt w:val="decimal"/>
      <w:isLgl/>
      <w:lvlText w:val="29.%2."/>
      <w:lvlJc w:val="left"/>
      <w:pPr>
        <w:tabs>
          <w:tab w:val="left" w:pos="907"/>
        </w:tabs>
        <w:ind w:left="907" w:hanging="907"/>
      </w:pPr>
      <w:rPr>
        <w:rFonts w:hint="default" w:ascii="宋体" w:hAnsi="宋体" w:eastAsia="宋体" w:cs="宋体"/>
        <w:b w:val="0"/>
      </w:rPr>
    </w:lvl>
    <w:lvl w:ilvl="2" w:tentative="0">
      <w:start w:val="1"/>
      <w:numFmt w:val="decimal"/>
      <w:lvlText w:val="27.4.%3"/>
      <w:lvlJc w:val="left"/>
      <w:pPr>
        <w:tabs>
          <w:tab w:val="left" w:pos="907"/>
        </w:tabs>
        <w:ind w:left="907" w:hanging="907"/>
      </w:pPr>
      <w:rPr>
        <w:rFonts w:hint="default" w:ascii="宋体" w:hAnsi="宋体" w:eastAsia="宋体" w:cs="宋体"/>
      </w:rPr>
    </w:lvl>
    <w:lvl w:ilvl="3" w:tentative="0">
      <w:start w:val="1"/>
      <w:numFmt w:val="decimal"/>
      <w:lvlText w:val="29.1.3.%4."/>
      <w:lvlJc w:val="left"/>
      <w:pPr>
        <w:tabs>
          <w:tab w:val="left" w:pos="907"/>
        </w:tabs>
        <w:ind w:left="907" w:hanging="907"/>
      </w:pPr>
      <w:rPr>
        <w:rFonts w:hint="default" w:ascii="宋体" w:hAnsi="宋体" w:eastAsia="宋体" w:cs="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6">
    <w:nsid w:val="1175E00E"/>
    <w:multiLevelType w:val="multilevel"/>
    <w:tmpl w:val="1175E00E"/>
    <w:lvl w:ilvl="0" w:tentative="0">
      <w:start w:val="1"/>
      <w:numFmt w:val="decimal"/>
      <w:lvlText w:val="%1."/>
      <w:lvlJc w:val="left"/>
      <w:pPr>
        <w:tabs>
          <w:tab w:val="left" w:pos="907"/>
        </w:tabs>
        <w:ind w:left="907" w:hanging="907"/>
      </w:pPr>
      <w:rPr>
        <w:rFonts w:hint="eastAsia"/>
        <w:b/>
      </w:rPr>
    </w:lvl>
    <w:lvl w:ilvl="1" w:tentative="0">
      <w:start w:val="1"/>
      <w:numFmt w:val="decimal"/>
      <w:isLgl/>
      <w:lvlText w:val="29.%2."/>
      <w:lvlJc w:val="left"/>
      <w:pPr>
        <w:tabs>
          <w:tab w:val="left" w:pos="907"/>
        </w:tabs>
        <w:ind w:left="907" w:hanging="907"/>
      </w:pPr>
      <w:rPr>
        <w:rFonts w:hint="default" w:ascii="宋体" w:hAnsi="宋体" w:eastAsia="宋体" w:cs="宋体"/>
        <w:b w:val="0"/>
      </w:rPr>
    </w:lvl>
    <w:lvl w:ilvl="2" w:tentative="0">
      <w:start w:val="1"/>
      <w:numFmt w:val="decimal"/>
      <w:lvlText w:val="29.%2.%3."/>
      <w:lvlJc w:val="left"/>
      <w:pPr>
        <w:tabs>
          <w:tab w:val="left" w:pos="907"/>
        </w:tabs>
        <w:ind w:left="907" w:hanging="907"/>
      </w:pPr>
      <w:rPr>
        <w:rFonts w:hint="eastAsia"/>
      </w:rPr>
    </w:lvl>
    <w:lvl w:ilvl="3" w:tentative="0">
      <w:start w:val="1"/>
      <w:numFmt w:val="decimal"/>
      <w:lvlText w:val="29.1.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7">
    <w:nsid w:val="11AE64C4"/>
    <w:multiLevelType w:val="multilevel"/>
    <w:tmpl w:val="11AE64C4"/>
    <w:lvl w:ilvl="0" w:tentative="0">
      <w:start w:val="1"/>
      <w:numFmt w:val="none"/>
      <w:lvlText w:val="3.1."/>
      <w:lvlJc w:val="left"/>
      <w:pPr>
        <w:tabs>
          <w:tab w:val="left" w:pos="907"/>
        </w:tabs>
        <w:ind w:left="907" w:hanging="907"/>
      </w:pPr>
      <w:rPr>
        <w:rFonts w:hint="eastAsia"/>
        <w:b/>
      </w:rPr>
    </w:lvl>
    <w:lvl w:ilvl="1" w:tentative="0">
      <w:start w:val="1"/>
      <w:numFmt w:val="none"/>
      <w:isLgl/>
      <w:lvlText w:val="3.1."/>
      <w:lvlJc w:val="left"/>
      <w:pPr>
        <w:tabs>
          <w:tab w:val="left" w:pos="907"/>
        </w:tabs>
        <w:ind w:left="907" w:hanging="907"/>
      </w:pPr>
      <w:rPr>
        <w:rFonts w:hint="eastAsia"/>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8">
    <w:nsid w:val="12CE74D2"/>
    <w:multiLevelType w:val="multilevel"/>
    <w:tmpl w:val="12CE74D2"/>
    <w:lvl w:ilvl="0" w:tentative="0">
      <w:start w:val="1"/>
      <w:numFmt w:val="chineseCounting"/>
      <w:suff w:val="nothing"/>
      <w:lvlText w:val="第%1章 "/>
      <w:lvlJc w:val="left"/>
      <w:pPr>
        <w:ind w:left="432" w:hanging="432"/>
      </w:pPr>
      <w:rPr>
        <w:rFonts w:hint="eastAsia"/>
      </w:rPr>
    </w:lvl>
    <w:lvl w:ilvl="1" w:tentative="0">
      <w:start w:val="1"/>
      <w:numFmt w:val="decimal"/>
      <w:isLgl/>
      <w:lvlText w:val="%1.%2."/>
      <w:lvlJc w:val="left"/>
      <w:pPr>
        <w:ind w:left="575" w:hanging="575"/>
      </w:pPr>
      <w:rPr>
        <w:rFonts w:hint="eastAsia"/>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39">
    <w:nsid w:val="2358F3A8"/>
    <w:multiLevelType w:val="multilevel"/>
    <w:tmpl w:val="2358F3A8"/>
    <w:lvl w:ilvl="0" w:tentative="0">
      <w:start w:val="1"/>
      <w:numFmt w:val="decimal"/>
      <w:lvlText w:val="%1."/>
      <w:lvlJc w:val="left"/>
      <w:pPr>
        <w:tabs>
          <w:tab w:val="left" w:pos="907"/>
        </w:tabs>
        <w:ind w:left="907" w:hanging="907"/>
      </w:pPr>
      <w:rPr>
        <w:rFonts w:hint="eastAsia"/>
        <w:b/>
      </w:rPr>
    </w:lvl>
    <w:lvl w:ilvl="1" w:tentative="0">
      <w:start w:val="1"/>
      <w:numFmt w:val="decimal"/>
      <w:isLgl/>
      <w:lvlText w:val="14.%2."/>
      <w:lvlJc w:val="left"/>
      <w:pPr>
        <w:tabs>
          <w:tab w:val="left" w:pos="907"/>
        </w:tabs>
        <w:ind w:left="907" w:hanging="907"/>
      </w:pPr>
      <w:rPr>
        <w:rFonts w:hint="default" w:ascii="宋体" w:hAnsi="宋体" w:eastAsia="宋体" w:cs="宋体"/>
        <w:b w:val="0"/>
      </w:rPr>
    </w:lvl>
    <w:lvl w:ilvl="2" w:tentative="0">
      <w:start w:val="1"/>
      <w:numFmt w:val="decimal"/>
      <w:lvlText w:val="14.%2.%3."/>
      <w:lvlJc w:val="left"/>
      <w:pPr>
        <w:tabs>
          <w:tab w:val="left" w:pos="907"/>
        </w:tabs>
        <w:ind w:left="907" w:hanging="907"/>
      </w:pPr>
      <w:rPr>
        <w:rFonts w:hint="default" w:ascii="宋体" w:hAnsi="宋体" w:eastAsia="宋体" w:cs="宋体"/>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0">
    <w:nsid w:val="29A13BAF"/>
    <w:multiLevelType w:val="multilevel"/>
    <w:tmpl w:val="29A13BAF"/>
    <w:lvl w:ilvl="0" w:tentative="0">
      <w:start w:val="1"/>
      <w:numFmt w:val="bullet"/>
      <w:lvlText w:val=""/>
      <w:lvlJc w:val="left"/>
      <w:pPr>
        <w:ind w:left="421" w:hanging="420"/>
      </w:pPr>
      <w:rPr>
        <w:rFonts w:hint="default" w:ascii="Wingdings" w:hAnsi="Wingdings"/>
      </w:rPr>
    </w:lvl>
    <w:lvl w:ilvl="1" w:tentative="0">
      <w:start w:val="1"/>
      <w:numFmt w:val="decimal"/>
      <w:lvlText w:val="%2、"/>
      <w:lvlJc w:val="left"/>
      <w:pPr>
        <w:ind w:left="786" w:hanging="360"/>
      </w:pPr>
      <w:rPr>
        <w:rFonts w:hint="default"/>
      </w:rPr>
    </w:lvl>
    <w:lvl w:ilvl="2" w:tentative="0">
      <w:start w:val="1"/>
      <w:numFmt w:val="japaneseCounting"/>
      <w:lvlText w:val="（%3）"/>
      <w:lvlJc w:val="left"/>
      <w:pPr>
        <w:ind w:left="1561" w:hanging="720"/>
      </w:pPr>
      <w:rPr>
        <w:rFonts w:hint="default"/>
      </w:rPr>
    </w:lvl>
    <w:lvl w:ilvl="3" w:tentative="0">
      <w:start w:val="1"/>
      <w:numFmt w:val="decimal"/>
      <w:lvlText w:val="%4."/>
      <w:lvlJc w:val="left"/>
      <w:pPr>
        <w:ind w:left="1681" w:hanging="420"/>
      </w:pPr>
    </w:lvl>
    <w:lvl w:ilvl="4" w:tentative="0">
      <w:start w:val="1"/>
      <w:numFmt w:val="lowerLetter"/>
      <w:lvlText w:val="%5)"/>
      <w:lvlJc w:val="left"/>
      <w:pPr>
        <w:ind w:left="2101" w:hanging="420"/>
      </w:pPr>
    </w:lvl>
    <w:lvl w:ilvl="5" w:tentative="0">
      <w:start w:val="1"/>
      <w:numFmt w:val="lowerRoman"/>
      <w:lvlText w:val="%6."/>
      <w:lvlJc w:val="right"/>
      <w:pPr>
        <w:ind w:left="2521" w:hanging="420"/>
      </w:pPr>
    </w:lvl>
    <w:lvl w:ilvl="6" w:tentative="0">
      <w:start w:val="1"/>
      <w:numFmt w:val="decimal"/>
      <w:lvlText w:val="%7."/>
      <w:lvlJc w:val="left"/>
      <w:pPr>
        <w:ind w:left="2941" w:hanging="420"/>
      </w:pPr>
    </w:lvl>
    <w:lvl w:ilvl="7" w:tentative="0">
      <w:start w:val="1"/>
      <w:numFmt w:val="lowerLetter"/>
      <w:lvlText w:val="%8)"/>
      <w:lvlJc w:val="left"/>
      <w:pPr>
        <w:ind w:left="3361" w:hanging="420"/>
      </w:pPr>
    </w:lvl>
    <w:lvl w:ilvl="8" w:tentative="0">
      <w:start w:val="1"/>
      <w:numFmt w:val="lowerRoman"/>
      <w:lvlText w:val="%9."/>
      <w:lvlJc w:val="right"/>
      <w:pPr>
        <w:ind w:left="3781" w:hanging="420"/>
      </w:pPr>
    </w:lvl>
  </w:abstractNum>
  <w:abstractNum w:abstractNumId="41">
    <w:nsid w:val="2C48416B"/>
    <w:multiLevelType w:val="multilevel"/>
    <w:tmpl w:val="2C48416B"/>
    <w:lvl w:ilvl="0" w:tentative="0">
      <w:start w:val="1"/>
      <w:numFmt w:val="decimal"/>
      <w:lvlText w:val="4.1.%1"/>
      <w:lvlJc w:val="left"/>
      <w:pPr>
        <w:tabs>
          <w:tab w:val="left" w:pos="907"/>
        </w:tabs>
        <w:ind w:left="907" w:hanging="907"/>
      </w:pPr>
      <w:rPr>
        <w:rFonts w:hint="default" w:ascii="宋体" w:hAnsi="宋体" w:eastAsia="宋体" w:cs="宋体"/>
        <w:b w:val="0"/>
      </w:rPr>
    </w:lvl>
    <w:lvl w:ilvl="1" w:tentative="0">
      <w:start w:val="1"/>
      <w:numFmt w:val="decimal"/>
      <w:lvlText w:val="6.2.%2"/>
      <w:lvlJc w:val="left"/>
      <w:pPr>
        <w:tabs>
          <w:tab w:val="left" w:pos="907"/>
        </w:tabs>
        <w:ind w:left="907" w:hanging="907"/>
      </w:pPr>
      <w:rPr>
        <w:rFonts w:hint="default" w:ascii="宋体" w:hAnsi="宋体" w:eastAsia="宋体" w:cs="宋体"/>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2">
    <w:nsid w:val="302D8F68"/>
    <w:multiLevelType w:val="singleLevel"/>
    <w:tmpl w:val="302D8F68"/>
    <w:lvl w:ilvl="0" w:tentative="0">
      <w:start w:val="2"/>
      <w:numFmt w:val="chineseCounting"/>
      <w:suff w:val="nothing"/>
      <w:lvlText w:val="%1、"/>
      <w:lvlJc w:val="left"/>
      <w:rPr>
        <w:rFonts w:hint="eastAsia"/>
      </w:rPr>
    </w:lvl>
  </w:abstractNum>
  <w:abstractNum w:abstractNumId="43">
    <w:nsid w:val="3165F6A4"/>
    <w:multiLevelType w:val="multilevel"/>
    <w:tmpl w:val="3165F6A4"/>
    <w:lvl w:ilvl="0" w:tentative="0">
      <w:start w:val="1"/>
      <w:numFmt w:val="decimal"/>
      <w:lvlText w:val="%1."/>
      <w:lvlJc w:val="left"/>
      <w:pPr>
        <w:tabs>
          <w:tab w:val="left" w:pos="907"/>
        </w:tabs>
        <w:ind w:left="907" w:hanging="907"/>
      </w:pPr>
      <w:rPr>
        <w:rFonts w:hint="eastAsia"/>
        <w:b/>
      </w:rPr>
    </w:lvl>
    <w:lvl w:ilvl="1" w:tentative="0">
      <w:start w:val="1"/>
      <w:numFmt w:val="decimal"/>
      <w:isLgl/>
      <w:lvlText w:val="26.%2."/>
      <w:lvlJc w:val="left"/>
      <w:pPr>
        <w:tabs>
          <w:tab w:val="left" w:pos="907"/>
        </w:tabs>
        <w:ind w:left="907" w:hanging="907"/>
      </w:pPr>
      <w:rPr>
        <w:rFonts w:hint="default" w:ascii="宋体" w:hAnsi="宋体" w:eastAsia="宋体" w:cs="宋体"/>
        <w:b w:val="0"/>
      </w:rPr>
    </w:lvl>
    <w:lvl w:ilvl="2" w:tentative="0">
      <w:start w:val="1"/>
      <w:numFmt w:val="decimal"/>
      <w:lvlText w:val="29.%2.%3."/>
      <w:lvlJc w:val="left"/>
      <w:pPr>
        <w:tabs>
          <w:tab w:val="left" w:pos="907"/>
        </w:tabs>
        <w:ind w:left="907" w:hanging="907"/>
      </w:pPr>
      <w:rPr>
        <w:rFonts w:hint="eastAsia"/>
      </w:rPr>
    </w:lvl>
    <w:lvl w:ilvl="3" w:tentative="0">
      <w:start w:val="1"/>
      <w:numFmt w:val="decimal"/>
      <w:lvlText w:val="29.1.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4">
    <w:nsid w:val="389572DE"/>
    <w:multiLevelType w:val="multilevel"/>
    <w:tmpl w:val="389572DE"/>
    <w:lvl w:ilvl="0" w:tentative="0">
      <w:start w:val="1"/>
      <w:numFmt w:val="japaneseCounting"/>
      <w:lvlText w:val="第%1章"/>
      <w:lvlJc w:val="left"/>
      <w:pPr>
        <w:ind w:left="1170" w:hanging="117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5">
    <w:nsid w:val="3E8846B6"/>
    <w:multiLevelType w:val="multilevel"/>
    <w:tmpl w:val="3E8846B6"/>
    <w:lvl w:ilvl="0" w:tentative="0">
      <w:start w:val="1"/>
      <w:numFmt w:val="decimal"/>
      <w:lvlText w:val="%1."/>
      <w:lvlJc w:val="left"/>
      <w:pPr>
        <w:tabs>
          <w:tab w:val="left" w:pos="907"/>
        </w:tabs>
        <w:ind w:left="907" w:hanging="907"/>
      </w:pPr>
      <w:rPr>
        <w:rFonts w:hint="eastAsia"/>
        <w:b/>
      </w:rPr>
    </w:lvl>
    <w:lvl w:ilvl="1" w:tentative="0">
      <w:start w:val="1"/>
      <w:numFmt w:val="decimal"/>
      <w:isLgl/>
      <w:lvlText w:val="25.%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6">
    <w:nsid w:val="3F8DA08C"/>
    <w:multiLevelType w:val="multilevel"/>
    <w:tmpl w:val="3F8DA08C"/>
    <w:lvl w:ilvl="0" w:tentative="0">
      <w:start w:val="1"/>
      <w:numFmt w:val="decimal"/>
      <w:lvlText w:val="%1."/>
      <w:lvlJc w:val="left"/>
      <w:pPr>
        <w:tabs>
          <w:tab w:val="left" w:pos="907"/>
        </w:tabs>
        <w:ind w:left="907" w:hanging="907"/>
      </w:pPr>
      <w:rPr>
        <w:rFonts w:hint="default" w:ascii="宋体" w:hAnsi="宋体" w:eastAsia="宋体" w:cs="宋体"/>
        <w:b/>
      </w:rPr>
    </w:lvl>
    <w:lvl w:ilvl="1" w:tentative="0">
      <w:start w:val="1"/>
      <w:numFmt w:val="decimal"/>
      <w:isLgl/>
      <w:lvlText w:val="29.%2."/>
      <w:lvlJc w:val="left"/>
      <w:pPr>
        <w:tabs>
          <w:tab w:val="left" w:pos="907"/>
        </w:tabs>
        <w:ind w:left="907" w:hanging="907"/>
      </w:pPr>
      <w:rPr>
        <w:rFonts w:hint="default" w:ascii="宋体" w:hAnsi="宋体" w:eastAsia="宋体" w:cs="宋体"/>
        <w:b w:val="0"/>
      </w:rPr>
    </w:lvl>
    <w:lvl w:ilvl="2" w:tentative="0">
      <w:start w:val="1"/>
      <w:numFmt w:val="decimal"/>
      <w:lvlText w:val="31.1.%3."/>
      <w:lvlJc w:val="left"/>
      <w:pPr>
        <w:tabs>
          <w:tab w:val="left" w:pos="907"/>
        </w:tabs>
        <w:ind w:left="907" w:hanging="907"/>
      </w:pPr>
      <w:rPr>
        <w:rFonts w:hint="default" w:ascii="宋体" w:hAnsi="宋体" w:eastAsia="宋体" w:cs="宋体"/>
      </w:rPr>
    </w:lvl>
    <w:lvl w:ilvl="3" w:tentative="0">
      <w:start w:val="1"/>
      <w:numFmt w:val="decimal"/>
      <w:lvlText w:val="29.1.3.%4."/>
      <w:lvlJc w:val="left"/>
      <w:pPr>
        <w:tabs>
          <w:tab w:val="left" w:pos="907"/>
        </w:tabs>
        <w:ind w:left="907" w:hanging="907"/>
      </w:pPr>
      <w:rPr>
        <w:rFonts w:hint="default" w:ascii="宋体" w:hAnsi="宋体" w:eastAsia="宋体" w:cs="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7">
    <w:nsid w:val="401A4206"/>
    <w:multiLevelType w:val="multilevel"/>
    <w:tmpl w:val="401A4206"/>
    <w:lvl w:ilvl="0" w:tentative="0">
      <w:start w:val="1"/>
      <w:numFmt w:val="decimal"/>
      <w:lvlText w:val="%1."/>
      <w:lvlJc w:val="left"/>
      <w:pPr>
        <w:tabs>
          <w:tab w:val="left" w:pos="907"/>
        </w:tabs>
        <w:ind w:left="907" w:hanging="907"/>
      </w:pPr>
      <w:rPr>
        <w:rFonts w:hint="eastAsia"/>
        <w:b/>
      </w:rPr>
    </w:lvl>
    <w:lvl w:ilvl="1" w:tentative="0">
      <w:start w:val="1"/>
      <w:numFmt w:val="decimal"/>
      <w:isLgl/>
      <w:lvlText w:val="40.%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8">
    <w:nsid w:val="48024D8F"/>
    <w:multiLevelType w:val="multilevel"/>
    <w:tmpl w:val="48024D8F"/>
    <w:lvl w:ilvl="0" w:tentative="0">
      <w:start w:val="1"/>
      <w:numFmt w:val="decimal"/>
      <w:lvlText w:val="%1."/>
      <w:lvlJc w:val="left"/>
      <w:pPr>
        <w:tabs>
          <w:tab w:val="left" w:pos="907"/>
        </w:tabs>
        <w:ind w:left="907" w:hanging="907"/>
      </w:pPr>
      <w:rPr>
        <w:rFonts w:hint="eastAsia"/>
        <w:b/>
      </w:rPr>
    </w:lvl>
    <w:lvl w:ilvl="1" w:tentative="0">
      <w:start w:val="1"/>
      <w:numFmt w:val="decimal"/>
      <w:isLgl/>
      <w:lvlText w:val="7.%2."/>
      <w:lvlJc w:val="left"/>
      <w:pPr>
        <w:tabs>
          <w:tab w:val="left" w:pos="907"/>
        </w:tabs>
        <w:ind w:left="907" w:hanging="907"/>
      </w:pPr>
      <w:rPr>
        <w:rFonts w:hint="default" w:ascii="宋体" w:hAnsi="宋体" w:eastAsia="宋体" w:cs="宋体"/>
        <w:b w:val="0"/>
      </w:rPr>
    </w:lvl>
    <w:lvl w:ilvl="2" w:tentative="0">
      <w:start w:val="1"/>
      <w:numFmt w:val="decimal"/>
      <w:lvlText w:val="2.%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9">
    <w:nsid w:val="4A8B0558"/>
    <w:multiLevelType w:val="multilevel"/>
    <w:tmpl w:val="4A8B0558"/>
    <w:lvl w:ilvl="0" w:tentative="0">
      <w:start w:val="1"/>
      <w:numFmt w:val="decimal"/>
      <w:lvlText w:val="%1）"/>
      <w:lvlJc w:val="left"/>
      <w:pPr>
        <w:tabs>
          <w:tab w:val="left" w:pos="1920"/>
        </w:tabs>
        <w:ind w:left="192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0">
    <w:nsid w:val="4C56676A"/>
    <w:multiLevelType w:val="multilevel"/>
    <w:tmpl w:val="4C56676A"/>
    <w:lvl w:ilvl="0" w:tentative="0">
      <w:start w:val="1"/>
      <w:numFmt w:val="decimal"/>
      <w:lvlText w:val="19.%1"/>
      <w:lvlJc w:val="left"/>
      <w:pPr>
        <w:tabs>
          <w:tab w:val="left" w:pos="907"/>
        </w:tabs>
        <w:ind w:left="907" w:hanging="907"/>
      </w:pPr>
      <w:rPr>
        <w:rFonts w:hint="default" w:ascii="宋体" w:hAnsi="宋体" w:eastAsia="宋体" w:cs="宋体"/>
        <w:b w:val="0"/>
      </w:rPr>
    </w:lvl>
    <w:lvl w:ilvl="1" w:tentative="0">
      <w:start w:val="1"/>
      <w:numFmt w:val="decimal"/>
      <w:isLgl/>
      <w:lvlText w:val="19.%2."/>
      <w:lvlJc w:val="left"/>
      <w:pPr>
        <w:tabs>
          <w:tab w:val="left" w:pos="907"/>
        </w:tabs>
        <w:ind w:left="907" w:hanging="907"/>
      </w:pPr>
      <w:rPr>
        <w:rFonts w:hint="eastAsia" w:eastAsia="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1">
    <w:nsid w:val="4D4FE455"/>
    <w:multiLevelType w:val="multilevel"/>
    <w:tmpl w:val="4D4FE455"/>
    <w:lvl w:ilvl="0" w:tentative="0">
      <w:start w:val="1"/>
      <w:numFmt w:val="decimal"/>
      <w:lvlText w:val="%1."/>
      <w:lvlJc w:val="left"/>
      <w:pPr>
        <w:tabs>
          <w:tab w:val="left" w:pos="907"/>
        </w:tabs>
        <w:ind w:left="907" w:hanging="907"/>
      </w:pPr>
      <w:rPr>
        <w:rFonts w:hint="eastAsia"/>
        <w:b/>
      </w:rPr>
    </w:lvl>
    <w:lvl w:ilvl="1" w:tentative="0">
      <w:start w:val="1"/>
      <w:numFmt w:val="decimal"/>
      <w:isLgl/>
      <w:lvlText w:val="16.%2."/>
      <w:lvlJc w:val="left"/>
      <w:pPr>
        <w:tabs>
          <w:tab w:val="left" w:pos="907"/>
        </w:tabs>
        <w:ind w:left="907" w:hanging="907"/>
      </w:pPr>
      <w:rPr>
        <w:rFonts w:hint="default" w:ascii="宋体" w:hAnsi="宋体" w:eastAsia="宋体" w:cs="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2">
    <w:nsid w:val="57FDEF10"/>
    <w:multiLevelType w:val="multilevel"/>
    <w:tmpl w:val="57FDEF10"/>
    <w:lvl w:ilvl="0" w:tentative="0">
      <w:start w:val="1"/>
      <w:numFmt w:val="decimal"/>
      <w:lvlText w:val="24.4.%1"/>
      <w:lvlJc w:val="left"/>
      <w:pPr>
        <w:ind w:left="425" w:hanging="425"/>
      </w:pPr>
      <w:rPr>
        <w:rFonts w:hint="default" w:ascii="宋体" w:hAnsi="宋体" w:eastAsia="宋体" w:cs="宋体"/>
        <w:w w:val="100"/>
        <w:lang w:val="zh-CN" w:eastAsia="zh-CN" w:bidi="zh-CN"/>
      </w:rPr>
    </w:lvl>
    <w:lvl w:ilvl="1" w:tentative="0">
      <w:start w:val="1"/>
      <w:numFmt w:val="decimal"/>
      <w:lvlText w:val="%1.%2."/>
      <w:lvlJc w:val="left"/>
      <w:pPr>
        <w:ind w:left="566" w:hanging="567"/>
      </w:pPr>
      <w:rPr>
        <w:rFonts w:hint="default"/>
        <w:w w:val="100"/>
        <w:lang w:val="zh-CN" w:eastAsia="zh-CN" w:bidi="zh-CN"/>
      </w:rPr>
    </w:lvl>
    <w:lvl w:ilvl="2" w:tentative="0">
      <w:start w:val="1"/>
      <w:numFmt w:val="decimal"/>
      <w:lvlText w:val="27.2.%3"/>
      <w:lvlJc w:val="left"/>
      <w:pPr>
        <w:ind w:left="708" w:hanging="567"/>
      </w:pPr>
      <w:rPr>
        <w:rFonts w:hint="default" w:ascii="宋体" w:hAnsi="宋体" w:eastAsia="宋体" w:cs="宋体"/>
        <w:w w:val="100"/>
        <w:sz w:val="21"/>
        <w:szCs w:val="21"/>
        <w:lang w:val="zh-CN" w:eastAsia="zh-CN" w:bidi="zh-CN"/>
      </w:rPr>
    </w:lvl>
    <w:lvl w:ilvl="3" w:tentative="0">
      <w:start w:val="0"/>
      <w:numFmt w:val="bullet"/>
      <w:lvlText w:val="•"/>
      <w:lvlJc w:val="left"/>
      <w:pPr>
        <w:ind w:left="1850" w:hanging="567"/>
      </w:pPr>
      <w:rPr>
        <w:rFonts w:hint="default"/>
        <w:lang w:val="zh-CN" w:eastAsia="zh-CN" w:bidi="zh-CN"/>
      </w:rPr>
    </w:lvl>
    <w:lvl w:ilvl="4" w:tentative="0">
      <w:start w:val="0"/>
      <w:numFmt w:val="bullet"/>
      <w:lvlText w:val="•"/>
      <w:lvlJc w:val="left"/>
      <w:pPr>
        <w:ind w:left="3001" w:hanging="567"/>
      </w:pPr>
      <w:rPr>
        <w:rFonts w:hint="default"/>
        <w:lang w:val="zh-CN" w:eastAsia="zh-CN" w:bidi="zh-CN"/>
      </w:rPr>
    </w:lvl>
    <w:lvl w:ilvl="5" w:tentative="0">
      <w:start w:val="0"/>
      <w:numFmt w:val="bullet"/>
      <w:lvlText w:val="•"/>
      <w:lvlJc w:val="left"/>
      <w:pPr>
        <w:ind w:left="4152" w:hanging="567"/>
      </w:pPr>
      <w:rPr>
        <w:rFonts w:hint="default"/>
        <w:lang w:val="zh-CN" w:eastAsia="zh-CN" w:bidi="zh-CN"/>
      </w:rPr>
    </w:lvl>
    <w:lvl w:ilvl="6" w:tentative="0">
      <w:start w:val="0"/>
      <w:numFmt w:val="bullet"/>
      <w:lvlText w:val="•"/>
      <w:lvlJc w:val="left"/>
      <w:pPr>
        <w:ind w:left="5303" w:hanging="567"/>
      </w:pPr>
      <w:rPr>
        <w:rFonts w:hint="default"/>
        <w:lang w:val="zh-CN" w:eastAsia="zh-CN" w:bidi="zh-CN"/>
      </w:rPr>
    </w:lvl>
    <w:lvl w:ilvl="7" w:tentative="0">
      <w:start w:val="0"/>
      <w:numFmt w:val="bullet"/>
      <w:lvlText w:val="•"/>
      <w:lvlJc w:val="left"/>
      <w:pPr>
        <w:ind w:left="6454" w:hanging="567"/>
      </w:pPr>
      <w:rPr>
        <w:rFonts w:hint="default"/>
        <w:lang w:val="zh-CN" w:eastAsia="zh-CN" w:bidi="zh-CN"/>
      </w:rPr>
    </w:lvl>
    <w:lvl w:ilvl="8" w:tentative="0">
      <w:start w:val="0"/>
      <w:numFmt w:val="bullet"/>
      <w:lvlText w:val="•"/>
      <w:lvlJc w:val="left"/>
      <w:pPr>
        <w:ind w:left="7604" w:hanging="567"/>
      </w:pPr>
      <w:rPr>
        <w:rFonts w:hint="default"/>
        <w:lang w:val="zh-CN" w:eastAsia="zh-CN" w:bidi="zh-CN"/>
      </w:rPr>
    </w:lvl>
  </w:abstractNum>
  <w:abstractNum w:abstractNumId="53">
    <w:nsid w:val="5F8F954A"/>
    <w:multiLevelType w:val="multilevel"/>
    <w:tmpl w:val="5F8F954A"/>
    <w:lvl w:ilvl="0" w:tentative="0">
      <w:start w:val="1"/>
      <w:numFmt w:val="decimal"/>
      <w:lvlText w:val="%1."/>
      <w:lvlJc w:val="left"/>
      <w:pPr>
        <w:tabs>
          <w:tab w:val="left" w:pos="907"/>
        </w:tabs>
        <w:ind w:left="907" w:hanging="907"/>
      </w:pPr>
      <w:rPr>
        <w:rFonts w:hint="eastAsia"/>
        <w:b/>
      </w:rPr>
    </w:lvl>
    <w:lvl w:ilvl="1" w:tentative="0">
      <w:start w:val="1"/>
      <w:numFmt w:val="decimal"/>
      <w:isLgl/>
      <w:lvlText w:val="41.%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4">
    <w:nsid w:val="6639293E"/>
    <w:multiLevelType w:val="multilevel"/>
    <w:tmpl w:val="6639293E"/>
    <w:lvl w:ilvl="0" w:tentative="0">
      <w:start w:val="1"/>
      <w:numFmt w:val="decimal"/>
      <w:lvlText w:val="%1."/>
      <w:lvlJc w:val="left"/>
      <w:pPr>
        <w:tabs>
          <w:tab w:val="left" w:pos="907"/>
        </w:tabs>
        <w:ind w:left="907" w:hanging="907"/>
      </w:pPr>
      <w:rPr>
        <w:rFonts w:hint="eastAsia"/>
        <w:b/>
      </w:rPr>
    </w:lvl>
    <w:lvl w:ilvl="1" w:tentative="0">
      <w:start w:val="1"/>
      <w:numFmt w:val="decimal"/>
      <w:isLgl/>
      <w:lvlText w:val="24.%2."/>
      <w:lvlJc w:val="left"/>
      <w:pPr>
        <w:tabs>
          <w:tab w:val="left" w:pos="907"/>
        </w:tabs>
        <w:ind w:left="907" w:hanging="907"/>
      </w:pPr>
      <w:rPr>
        <w:rFonts w:hint="default" w:ascii="宋体" w:hAnsi="宋体" w:eastAsia="宋体" w:cs="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5">
    <w:nsid w:val="671913AA"/>
    <w:multiLevelType w:val="multilevel"/>
    <w:tmpl w:val="671913AA"/>
    <w:lvl w:ilvl="0" w:tentative="0">
      <w:start w:val="1"/>
      <w:numFmt w:val="decimal"/>
      <w:lvlText w:val="%1."/>
      <w:lvlJc w:val="left"/>
      <w:pPr>
        <w:tabs>
          <w:tab w:val="left" w:pos="907"/>
        </w:tabs>
        <w:ind w:left="907" w:hanging="907"/>
      </w:pPr>
      <w:rPr>
        <w:rFonts w:hint="default" w:ascii="宋体" w:hAnsi="宋体" w:eastAsia="宋体" w:cs="宋体"/>
        <w:b/>
      </w:rPr>
    </w:lvl>
    <w:lvl w:ilvl="1" w:tentative="0">
      <w:start w:val="1"/>
      <w:numFmt w:val="decimal"/>
      <w:isLgl/>
      <w:lvlText w:val="29.%2."/>
      <w:lvlJc w:val="left"/>
      <w:pPr>
        <w:tabs>
          <w:tab w:val="left" w:pos="907"/>
        </w:tabs>
        <w:ind w:left="907" w:hanging="907"/>
      </w:pPr>
      <w:rPr>
        <w:rFonts w:hint="default" w:ascii="宋体" w:hAnsi="宋体" w:eastAsia="宋体" w:cs="宋体"/>
        <w:b w:val="0"/>
      </w:rPr>
    </w:lvl>
    <w:lvl w:ilvl="2" w:tentative="0">
      <w:start w:val="1"/>
      <w:numFmt w:val="decimal"/>
      <w:lvlText w:val="31.3.%3."/>
      <w:lvlJc w:val="left"/>
      <w:pPr>
        <w:tabs>
          <w:tab w:val="left" w:pos="907"/>
        </w:tabs>
        <w:ind w:left="907" w:hanging="907"/>
      </w:pPr>
      <w:rPr>
        <w:rFonts w:hint="default" w:ascii="宋体" w:hAnsi="宋体" w:eastAsia="宋体" w:cs="宋体"/>
      </w:rPr>
    </w:lvl>
    <w:lvl w:ilvl="3" w:tentative="0">
      <w:start w:val="1"/>
      <w:numFmt w:val="decimal"/>
      <w:lvlText w:val="29.1.3.%4."/>
      <w:lvlJc w:val="left"/>
      <w:pPr>
        <w:tabs>
          <w:tab w:val="left" w:pos="907"/>
        </w:tabs>
        <w:ind w:left="907" w:hanging="907"/>
      </w:pPr>
      <w:rPr>
        <w:rFonts w:hint="default" w:ascii="宋体" w:hAnsi="宋体" w:eastAsia="宋体" w:cs="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6">
    <w:nsid w:val="67CD9943"/>
    <w:multiLevelType w:val="multilevel"/>
    <w:tmpl w:val="67CD9943"/>
    <w:lvl w:ilvl="0" w:tentative="0">
      <w:start w:val="1"/>
      <w:numFmt w:val="decimal"/>
      <w:lvlText w:val="23.1.%1"/>
      <w:lvlJc w:val="left"/>
      <w:pPr>
        <w:tabs>
          <w:tab w:val="left" w:pos="907"/>
        </w:tabs>
        <w:ind w:left="907" w:hanging="907"/>
      </w:pPr>
      <w:rPr>
        <w:rFonts w:hint="default" w:ascii="宋体" w:hAnsi="宋体" w:eastAsia="宋体" w:cs="宋体"/>
        <w:b w:val="0"/>
      </w:rPr>
    </w:lvl>
    <w:lvl w:ilvl="1" w:tentative="0">
      <w:start w:val="1"/>
      <w:numFmt w:val="decimal"/>
      <w:isLgl/>
      <w:lvlText w:val="27.%2."/>
      <w:lvlJc w:val="left"/>
      <w:pPr>
        <w:tabs>
          <w:tab w:val="left" w:pos="907"/>
        </w:tabs>
        <w:ind w:left="907" w:hanging="907"/>
      </w:pPr>
      <w:rPr>
        <w:rFonts w:hint="eastAsia" w:eastAsia="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7">
    <w:nsid w:val="6CE7ABAE"/>
    <w:multiLevelType w:val="singleLevel"/>
    <w:tmpl w:val="6CE7ABAE"/>
    <w:lvl w:ilvl="0" w:tentative="0">
      <w:start w:val="2"/>
      <w:numFmt w:val="decimal"/>
      <w:suff w:val="nothing"/>
      <w:lvlText w:val="%1、"/>
      <w:lvlJc w:val="left"/>
    </w:lvl>
  </w:abstractNum>
  <w:abstractNum w:abstractNumId="58">
    <w:nsid w:val="71BCB1A9"/>
    <w:multiLevelType w:val="multilevel"/>
    <w:tmpl w:val="71BCB1A9"/>
    <w:lvl w:ilvl="0" w:tentative="0">
      <w:start w:val="1"/>
      <w:numFmt w:val="decimal"/>
      <w:lvlText w:val="28.1.%1"/>
      <w:lvlJc w:val="left"/>
      <w:pPr>
        <w:tabs>
          <w:tab w:val="left" w:pos="907"/>
        </w:tabs>
        <w:ind w:left="907" w:hanging="907"/>
      </w:pPr>
      <w:rPr>
        <w:rFonts w:hint="default" w:ascii="宋体" w:hAnsi="宋体" w:eastAsia="宋体" w:cs="宋体"/>
        <w:b w:val="0"/>
      </w:rPr>
    </w:lvl>
    <w:lvl w:ilvl="1" w:tentative="0">
      <w:start w:val="1"/>
      <w:numFmt w:val="decimal"/>
      <w:isLgl/>
      <w:lvlText w:val="23.%2."/>
      <w:lvlJc w:val="left"/>
      <w:pPr>
        <w:tabs>
          <w:tab w:val="left" w:pos="907"/>
        </w:tabs>
        <w:ind w:left="907" w:hanging="907"/>
      </w:pPr>
      <w:rPr>
        <w:rFonts w:hint="eastAsia" w:eastAsia="宋体" w:cs="宋体"/>
        <w:b w:val="0"/>
      </w:rPr>
    </w:lvl>
    <w:lvl w:ilvl="2" w:tentative="0">
      <w:start w:val="1"/>
      <w:numFmt w:val="decimal"/>
      <w:lvlText w:val="17.%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9">
    <w:nsid w:val="74A59161"/>
    <w:multiLevelType w:val="multilevel"/>
    <w:tmpl w:val="74A59161"/>
    <w:lvl w:ilvl="0" w:tentative="0">
      <w:start w:val="1"/>
      <w:numFmt w:val="decimal"/>
      <w:lvlText w:val="%1."/>
      <w:lvlJc w:val="left"/>
      <w:pPr>
        <w:tabs>
          <w:tab w:val="left" w:pos="907"/>
        </w:tabs>
        <w:ind w:left="907" w:hanging="907"/>
      </w:pPr>
      <w:rPr>
        <w:rFonts w:hint="eastAsia"/>
        <w:b/>
      </w:rPr>
    </w:lvl>
    <w:lvl w:ilvl="1" w:tentative="0">
      <w:start w:val="1"/>
      <w:numFmt w:val="decimal"/>
      <w:isLgl/>
      <w:lvlText w:val="15.%2."/>
      <w:lvlJc w:val="left"/>
      <w:pPr>
        <w:tabs>
          <w:tab w:val="left" w:pos="907"/>
        </w:tabs>
        <w:ind w:left="907" w:hanging="907"/>
      </w:pPr>
      <w:rPr>
        <w:rFonts w:hint="default" w:ascii="宋体" w:hAnsi="宋体" w:eastAsia="宋体" w:cs="宋体"/>
        <w:b w:val="0"/>
      </w:rPr>
    </w:lvl>
    <w:lvl w:ilvl="2" w:tentative="0">
      <w:start w:val="1"/>
      <w:numFmt w:val="decimal"/>
      <w:lvlText w:val="15.%2.%3."/>
      <w:lvlJc w:val="left"/>
      <w:pPr>
        <w:tabs>
          <w:tab w:val="left" w:pos="907"/>
        </w:tabs>
        <w:ind w:left="907" w:hanging="907"/>
      </w:pPr>
      <w:rPr>
        <w:rFonts w:hint="default" w:ascii="宋体" w:hAnsi="宋体" w:eastAsia="宋体" w:cs="宋体"/>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0">
    <w:nsid w:val="7E212080"/>
    <w:multiLevelType w:val="multilevel"/>
    <w:tmpl w:val="7E212080"/>
    <w:lvl w:ilvl="0" w:tentative="0">
      <w:start w:val="1"/>
      <w:numFmt w:val="decimal"/>
      <w:lvlText w:val="%1."/>
      <w:lvlJc w:val="left"/>
      <w:pPr>
        <w:tabs>
          <w:tab w:val="left" w:pos="907"/>
        </w:tabs>
        <w:ind w:left="907" w:hanging="907"/>
      </w:pPr>
      <w:rPr>
        <w:rFonts w:hint="eastAsia"/>
        <w:b/>
      </w:rPr>
    </w:lvl>
    <w:lvl w:ilvl="1" w:tentative="0">
      <w:start w:val="1"/>
      <w:numFmt w:val="decimal"/>
      <w:isLgl/>
      <w:lvlText w:val="35.%2."/>
      <w:lvlJc w:val="left"/>
      <w:pPr>
        <w:tabs>
          <w:tab w:val="left" w:pos="907"/>
        </w:tabs>
        <w:ind w:left="907" w:hanging="907"/>
      </w:pPr>
      <w:rPr>
        <w:rFonts w:hint="default" w:ascii="宋体" w:hAnsi="宋体" w:eastAsia="宋体" w:cs="宋体"/>
        <w:b w:val="0"/>
      </w:rPr>
    </w:lvl>
    <w:lvl w:ilvl="2" w:tentative="0">
      <w:start w:val="1"/>
      <w:numFmt w:val="decimal"/>
      <w:lvlText w:val="28.%2.%3."/>
      <w:lvlJc w:val="left"/>
      <w:pPr>
        <w:tabs>
          <w:tab w:val="left" w:pos="907"/>
        </w:tabs>
        <w:ind w:left="907" w:hanging="907"/>
      </w:pPr>
      <w:rPr>
        <w:rFonts w:hint="eastAsia"/>
      </w:rPr>
    </w:lvl>
    <w:lvl w:ilvl="3" w:tentative="0">
      <w:start w:val="1"/>
      <w:numFmt w:val="decimal"/>
      <w:lvlText w:val="%1.%2.%3.%4."/>
      <w:lvlJc w:val="left"/>
      <w:pPr>
        <w:tabs>
          <w:tab w:val="left" w:pos="907"/>
        </w:tabs>
        <w:ind w:left="907" w:hanging="90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38"/>
  </w:num>
  <w:num w:numId="2">
    <w:abstractNumId w:val="2"/>
  </w:num>
  <w:num w:numId="3">
    <w:abstractNumId w:val="44"/>
  </w:num>
  <w:num w:numId="4">
    <w:abstractNumId w:val="6"/>
  </w:num>
  <w:num w:numId="5">
    <w:abstractNumId w:val="1"/>
  </w:num>
  <w:num w:numId="6">
    <w:abstractNumId w:val="57"/>
  </w:num>
  <w:num w:numId="7">
    <w:abstractNumId w:val="30"/>
  </w:num>
  <w:num w:numId="8">
    <w:abstractNumId w:val="40"/>
  </w:num>
  <w:num w:numId="9">
    <w:abstractNumId w:val="32"/>
  </w:num>
  <w:num w:numId="10">
    <w:abstractNumId w:val="37"/>
  </w:num>
  <w:num w:numId="11">
    <w:abstractNumId w:val="31"/>
  </w:num>
  <w:num w:numId="12">
    <w:abstractNumId w:val="41"/>
  </w:num>
  <w:num w:numId="13">
    <w:abstractNumId w:val="13"/>
  </w:num>
  <w:num w:numId="14">
    <w:abstractNumId w:val="48"/>
  </w:num>
  <w:num w:numId="15">
    <w:abstractNumId w:val="0"/>
  </w:num>
  <w:num w:numId="16">
    <w:abstractNumId w:val="33"/>
  </w:num>
  <w:num w:numId="17">
    <w:abstractNumId w:val="10"/>
  </w:num>
  <w:num w:numId="18">
    <w:abstractNumId w:val="16"/>
  </w:num>
  <w:num w:numId="19">
    <w:abstractNumId w:val="39"/>
  </w:num>
  <w:num w:numId="20">
    <w:abstractNumId w:val="59"/>
  </w:num>
  <w:num w:numId="21">
    <w:abstractNumId w:val="51"/>
  </w:num>
  <w:num w:numId="22">
    <w:abstractNumId w:val="23"/>
  </w:num>
  <w:num w:numId="23">
    <w:abstractNumId w:val="3"/>
  </w:num>
  <w:num w:numId="24">
    <w:abstractNumId w:val="50"/>
  </w:num>
  <w:num w:numId="25">
    <w:abstractNumId w:val="11"/>
  </w:num>
  <w:num w:numId="26">
    <w:abstractNumId w:val="12"/>
  </w:num>
  <w:num w:numId="27">
    <w:abstractNumId w:val="14"/>
  </w:num>
  <w:num w:numId="28">
    <w:abstractNumId w:val="58"/>
  </w:num>
  <w:num w:numId="29">
    <w:abstractNumId w:val="56"/>
  </w:num>
  <w:num w:numId="30">
    <w:abstractNumId w:val="54"/>
  </w:num>
  <w:num w:numId="31">
    <w:abstractNumId w:val="52"/>
  </w:num>
  <w:num w:numId="32">
    <w:abstractNumId w:val="45"/>
  </w:num>
  <w:num w:numId="33">
    <w:abstractNumId w:val="43"/>
  </w:num>
  <w:num w:numId="34">
    <w:abstractNumId w:val="29"/>
  </w:num>
  <w:num w:numId="35">
    <w:abstractNumId w:val="8"/>
  </w:num>
  <w:num w:numId="36">
    <w:abstractNumId w:val="35"/>
  </w:num>
  <w:num w:numId="37">
    <w:abstractNumId w:val="26"/>
  </w:num>
  <w:num w:numId="38">
    <w:abstractNumId w:val="36"/>
  </w:num>
  <w:num w:numId="39">
    <w:abstractNumId w:val="25"/>
  </w:num>
  <w:num w:numId="40">
    <w:abstractNumId w:val="22"/>
  </w:num>
  <w:num w:numId="41">
    <w:abstractNumId w:val="46"/>
  </w:num>
  <w:num w:numId="42">
    <w:abstractNumId w:val="20"/>
  </w:num>
  <w:num w:numId="43">
    <w:abstractNumId w:val="55"/>
  </w:num>
  <w:num w:numId="44">
    <w:abstractNumId w:val="15"/>
  </w:num>
  <w:num w:numId="45">
    <w:abstractNumId w:val="9"/>
  </w:num>
  <w:num w:numId="46">
    <w:abstractNumId w:val="7"/>
  </w:num>
  <w:num w:numId="47">
    <w:abstractNumId w:val="17"/>
  </w:num>
  <w:num w:numId="48">
    <w:abstractNumId w:val="28"/>
  </w:num>
  <w:num w:numId="49">
    <w:abstractNumId w:val="49"/>
  </w:num>
  <w:num w:numId="50">
    <w:abstractNumId w:val="60"/>
  </w:num>
  <w:num w:numId="51">
    <w:abstractNumId w:val="4"/>
  </w:num>
  <w:num w:numId="52">
    <w:abstractNumId w:val="21"/>
  </w:num>
  <w:num w:numId="53">
    <w:abstractNumId w:val="19"/>
  </w:num>
  <w:num w:numId="54">
    <w:abstractNumId w:val="24"/>
  </w:num>
  <w:num w:numId="55">
    <w:abstractNumId w:val="47"/>
  </w:num>
  <w:num w:numId="56">
    <w:abstractNumId w:val="53"/>
  </w:num>
  <w:num w:numId="57">
    <w:abstractNumId w:val="27"/>
  </w:num>
  <w:num w:numId="58">
    <w:abstractNumId w:val="18"/>
  </w:num>
  <w:num w:numId="59">
    <w:abstractNumId w:val="5"/>
  </w:num>
  <w:num w:numId="60">
    <w:abstractNumId w:val="42"/>
  </w:num>
  <w:num w:numId="6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I5ZDlhOWIwOWU2NDBmZWU2YWIxNTQ1OGNkM2E1MWIifQ=="/>
    <w:docVar w:name="KSO_WPS_MARK_KEY" w:val="d5523776-c68f-4319-8b5a-3238f7280179"/>
  </w:docVars>
  <w:rsids>
    <w:rsidRoot w:val="004D745D"/>
    <w:rsid w:val="0002561E"/>
    <w:rsid w:val="000268AB"/>
    <w:rsid w:val="00040642"/>
    <w:rsid w:val="00062C58"/>
    <w:rsid w:val="000630E8"/>
    <w:rsid w:val="000755AA"/>
    <w:rsid w:val="000A1C5F"/>
    <w:rsid w:val="000D1780"/>
    <w:rsid w:val="000F7605"/>
    <w:rsid w:val="00124A8F"/>
    <w:rsid w:val="00131EFB"/>
    <w:rsid w:val="001445B4"/>
    <w:rsid w:val="00195545"/>
    <w:rsid w:val="002039FE"/>
    <w:rsid w:val="002232B4"/>
    <w:rsid w:val="002520CC"/>
    <w:rsid w:val="00255931"/>
    <w:rsid w:val="00271920"/>
    <w:rsid w:val="003916CF"/>
    <w:rsid w:val="003F6C93"/>
    <w:rsid w:val="004243B5"/>
    <w:rsid w:val="004B7BE0"/>
    <w:rsid w:val="004D4324"/>
    <w:rsid w:val="004D745D"/>
    <w:rsid w:val="005140A0"/>
    <w:rsid w:val="00536F1D"/>
    <w:rsid w:val="005A18F3"/>
    <w:rsid w:val="005D7312"/>
    <w:rsid w:val="00636825"/>
    <w:rsid w:val="006A122F"/>
    <w:rsid w:val="006A1773"/>
    <w:rsid w:val="006C5C9E"/>
    <w:rsid w:val="0075366B"/>
    <w:rsid w:val="007538CE"/>
    <w:rsid w:val="007C1288"/>
    <w:rsid w:val="00831EB2"/>
    <w:rsid w:val="0086078F"/>
    <w:rsid w:val="00883C54"/>
    <w:rsid w:val="009A078B"/>
    <w:rsid w:val="009F2A63"/>
    <w:rsid w:val="00A11027"/>
    <w:rsid w:val="00A4483F"/>
    <w:rsid w:val="00A758B8"/>
    <w:rsid w:val="00AC7EC5"/>
    <w:rsid w:val="00AD63BD"/>
    <w:rsid w:val="00B24090"/>
    <w:rsid w:val="00B62A93"/>
    <w:rsid w:val="00B95B2D"/>
    <w:rsid w:val="00BC3E67"/>
    <w:rsid w:val="00BF50F3"/>
    <w:rsid w:val="00C01EBD"/>
    <w:rsid w:val="00C106BE"/>
    <w:rsid w:val="00C16B46"/>
    <w:rsid w:val="00C33D60"/>
    <w:rsid w:val="00CA2485"/>
    <w:rsid w:val="00CC41B7"/>
    <w:rsid w:val="00CF1D1F"/>
    <w:rsid w:val="00D2762D"/>
    <w:rsid w:val="00D44368"/>
    <w:rsid w:val="00D931B2"/>
    <w:rsid w:val="00DD0E0A"/>
    <w:rsid w:val="00E35776"/>
    <w:rsid w:val="00EA0245"/>
    <w:rsid w:val="00EB23BF"/>
    <w:rsid w:val="00EF38D6"/>
    <w:rsid w:val="00F77098"/>
    <w:rsid w:val="00F96F6D"/>
    <w:rsid w:val="011D29D3"/>
    <w:rsid w:val="011F2306"/>
    <w:rsid w:val="01B053DC"/>
    <w:rsid w:val="01E21263"/>
    <w:rsid w:val="022402D8"/>
    <w:rsid w:val="033267EB"/>
    <w:rsid w:val="039B6A7A"/>
    <w:rsid w:val="03B44D43"/>
    <w:rsid w:val="04284DF7"/>
    <w:rsid w:val="04934A97"/>
    <w:rsid w:val="04BB67EA"/>
    <w:rsid w:val="05045E17"/>
    <w:rsid w:val="052B7D68"/>
    <w:rsid w:val="053C7EE8"/>
    <w:rsid w:val="054B722E"/>
    <w:rsid w:val="05CD1A66"/>
    <w:rsid w:val="05DD405D"/>
    <w:rsid w:val="065A4F71"/>
    <w:rsid w:val="06712BB6"/>
    <w:rsid w:val="06F92A76"/>
    <w:rsid w:val="07B03476"/>
    <w:rsid w:val="08813251"/>
    <w:rsid w:val="091B505B"/>
    <w:rsid w:val="09710ACA"/>
    <w:rsid w:val="097148FC"/>
    <w:rsid w:val="09B2776D"/>
    <w:rsid w:val="09BC676A"/>
    <w:rsid w:val="09F77F16"/>
    <w:rsid w:val="0A564260"/>
    <w:rsid w:val="0ADD43C6"/>
    <w:rsid w:val="0B5C2B1E"/>
    <w:rsid w:val="0B6C4C4F"/>
    <w:rsid w:val="0B8B36A6"/>
    <w:rsid w:val="0BBA6DAD"/>
    <w:rsid w:val="0BDB7443"/>
    <w:rsid w:val="0C0D4DBB"/>
    <w:rsid w:val="0C9C64B3"/>
    <w:rsid w:val="0D103128"/>
    <w:rsid w:val="0D807ECA"/>
    <w:rsid w:val="0DEC55AB"/>
    <w:rsid w:val="0EB421D9"/>
    <w:rsid w:val="0EF32D02"/>
    <w:rsid w:val="0F21471A"/>
    <w:rsid w:val="0F28222B"/>
    <w:rsid w:val="0FC71A98"/>
    <w:rsid w:val="0FCD5301"/>
    <w:rsid w:val="0FEE5277"/>
    <w:rsid w:val="10946D5B"/>
    <w:rsid w:val="113969C6"/>
    <w:rsid w:val="1186727F"/>
    <w:rsid w:val="11A62133"/>
    <w:rsid w:val="11E81540"/>
    <w:rsid w:val="11F537E4"/>
    <w:rsid w:val="1230739F"/>
    <w:rsid w:val="125300E4"/>
    <w:rsid w:val="12695089"/>
    <w:rsid w:val="12737232"/>
    <w:rsid w:val="129739A4"/>
    <w:rsid w:val="13795061"/>
    <w:rsid w:val="13B77AAE"/>
    <w:rsid w:val="140212F1"/>
    <w:rsid w:val="14AB2A04"/>
    <w:rsid w:val="14B35AE2"/>
    <w:rsid w:val="151A7A0E"/>
    <w:rsid w:val="15810DF6"/>
    <w:rsid w:val="15CF32C4"/>
    <w:rsid w:val="162C2DA3"/>
    <w:rsid w:val="16612C47"/>
    <w:rsid w:val="16C65BD4"/>
    <w:rsid w:val="16D50F3F"/>
    <w:rsid w:val="179359CE"/>
    <w:rsid w:val="17AD3752"/>
    <w:rsid w:val="17F11DA8"/>
    <w:rsid w:val="17FE78E9"/>
    <w:rsid w:val="1871436F"/>
    <w:rsid w:val="187273DD"/>
    <w:rsid w:val="18C63235"/>
    <w:rsid w:val="18CD1B93"/>
    <w:rsid w:val="196B6A67"/>
    <w:rsid w:val="19C40DBE"/>
    <w:rsid w:val="1A036844"/>
    <w:rsid w:val="1A21456C"/>
    <w:rsid w:val="1A845156"/>
    <w:rsid w:val="1AF220BF"/>
    <w:rsid w:val="1B0D6D1D"/>
    <w:rsid w:val="1B7E7A42"/>
    <w:rsid w:val="1C790EA2"/>
    <w:rsid w:val="1CBB4733"/>
    <w:rsid w:val="1CCD3F1F"/>
    <w:rsid w:val="1CFE11EF"/>
    <w:rsid w:val="1D721295"/>
    <w:rsid w:val="1E0B405F"/>
    <w:rsid w:val="1E135B88"/>
    <w:rsid w:val="1E2A66BB"/>
    <w:rsid w:val="1E94348E"/>
    <w:rsid w:val="1F6F7E60"/>
    <w:rsid w:val="1F775289"/>
    <w:rsid w:val="1FD13B1D"/>
    <w:rsid w:val="1FD618FC"/>
    <w:rsid w:val="20341B32"/>
    <w:rsid w:val="20436F19"/>
    <w:rsid w:val="20A429B6"/>
    <w:rsid w:val="20BF6817"/>
    <w:rsid w:val="210C2083"/>
    <w:rsid w:val="21321990"/>
    <w:rsid w:val="21342863"/>
    <w:rsid w:val="21DE185B"/>
    <w:rsid w:val="222B5EB7"/>
    <w:rsid w:val="22616361"/>
    <w:rsid w:val="22771648"/>
    <w:rsid w:val="22E96105"/>
    <w:rsid w:val="22F62592"/>
    <w:rsid w:val="238D2F89"/>
    <w:rsid w:val="23AE6E53"/>
    <w:rsid w:val="243B67B0"/>
    <w:rsid w:val="24672DFE"/>
    <w:rsid w:val="247F6640"/>
    <w:rsid w:val="24FB0BDF"/>
    <w:rsid w:val="25063990"/>
    <w:rsid w:val="252B0548"/>
    <w:rsid w:val="256C7C30"/>
    <w:rsid w:val="25BD73D6"/>
    <w:rsid w:val="262302AF"/>
    <w:rsid w:val="26263565"/>
    <w:rsid w:val="26753BA5"/>
    <w:rsid w:val="27BE32D0"/>
    <w:rsid w:val="27D564EC"/>
    <w:rsid w:val="27E835B4"/>
    <w:rsid w:val="2842528D"/>
    <w:rsid w:val="28437DE4"/>
    <w:rsid w:val="28585435"/>
    <w:rsid w:val="287B1BD9"/>
    <w:rsid w:val="28B53DD7"/>
    <w:rsid w:val="29A92FCA"/>
    <w:rsid w:val="2A77438F"/>
    <w:rsid w:val="2AA131BA"/>
    <w:rsid w:val="2B231E21"/>
    <w:rsid w:val="2B3F4073"/>
    <w:rsid w:val="2B626552"/>
    <w:rsid w:val="2C0A43BD"/>
    <w:rsid w:val="2D3A2629"/>
    <w:rsid w:val="2D781B6D"/>
    <w:rsid w:val="2E873790"/>
    <w:rsid w:val="2E877731"/>
    <w:rsid w:val="2E9C7239"/>
    <w:rsid w:val="2EB01C1E"/>
    <w:rsid w:val="2ED26038"/>
    <w:rsid w:val="2F176141"/>
    <w:rsid w:val="2FD55B62"/>
    <w:rsid w:val="2FF27415"/>
    <w:rsid w:val="2FF40230"/>
    <w:rsid w:val="2FF46B54"/>
    <w:rsid w:val="30A25EDE"/>
    <w:rsid w:val="311952BE"/>
    <w:rsid w:val="31AD0696"/>
    <w:rsid w:val="3273487A"/>
    <w:rsid w:val="32DA54BB"/>
    <w:rsid w:val="332B3F69"/>
    <w:rsid w:val="3392111C"/>
    <w:rsid w:val="33F51DC1"/>
    <w:rsid w:val="33F7090C"/>
    <w:rsid w:val="34186EB1"/>
    <w:rsid w:val="342655A2"/>
    <w:rsid w:val="343A1627"/>
    <w:rsid w:val="34BB18DF"/>
    <w:rsid w:val="350A151B"/>
    <w:rsid w:val="353F4D9A"/>
    <w:rsid w:val="35836DF6"/>
    <w:rsid w:val="35984464"/>
    <w:rsid w:val="361D0069"/>
    <w:rsid w:val="36392E40"/>
    <w:rsid w:val="36410489"/>
    <w:rsid w:val="36BB706D"/>
    <w:rsid w:val="36CD288E"/>
    <w:rsid w:val="36D47C20"/>
    <w:rsid w:val="377D6AA9"/>
    <w:rsid w:val="38691290"/>
    <w:rsid w:val="38784439"/>
    <w:rsid w:val="388957C2"/>
    <w:rsid w:val="38AB52B9"/>
    <w:rsid w:val="38EA4F9B"/>
    <w:rsid w:val="39022224"/>
    <w:rsid w:val="391C3471"/>
    <w:rsid w:val="3958538C"/>
    <w:rsid w:val="39A727C0"/>
    <w:rsid w:val="39FB1F96"/>
    <w:rsid w:val="3A35183F"/>
    <w:rsid w:val="3AFE45A9"/>
    <w:rsid w:val="3B314355"/>
    <w:rsid w:val="3B9C1459"/>
    <w:rsid w:val="3BED7720"/>
    <w:rsid w:val="3C4B567C"/>
    <w:rsid w:val="3C4E0CC8"/>
    <w:rsid w:val="3CDD7527"/>
    <w:rsid w:val="3D7F382F"/>
    <w:rsid w:val="3D8E5820"/>
    <w:rsid w:val="3DB23EAA"/>
    <w:rsid w:val="3DC329AA"/>
    <w:rsid w:val="3E340A57"/>
    <w:rsid w:val="3E4610DE"/>
    <w:rsid w:val="3E5C0C91"/>
    <w:rsid w:val="3E8B7504"/>
    <w:rsid w:val="3E924A3A"/>
    <w:rsid w:val="3EDB6353"/>
    <w:rsid w:val="3FA579C0"/>
    <w:rsid w:val="3FBC52EF"/>
    <w:rsid w:val="405014B2"/>
    <w:rsid w:val="40546445"/>
    <w:rsid w:val="40656146"/>
    <w:rsid w:val="407B1E6C"/>
    <w:rsid w:val="40B27A77"/>
    <w:rsid w:val="416A65A4"/>
    <w:rsid w:val="4185309F"/>
    <w:rsid w:val="421309EA"/>
    <w:rsid w:val="42240501"/>
    <w:rsid w:val="427174BE"/>
    <w:rsid w:val="427B0595"/>
    <w:rsid w:val="42AE2961"/>
    <w:rsid w:val="42B0448A"/>
    <w:rsid w:val="42F51E9D"/>
    <w:rsid w:val="4306653F"/>
    <w:rsid w:val="43122A4F"/>
    <w:rsid w:val="441D11B2"/>
    <w:rsid w:val="448B5355"/>
    <w:rsid w:val="45392515"/>
    <w:rsid w:val="45F13F14"/>
    <w:rsid w:val="464A5501"/>
    <w:rsid w:val="47E464E1"/>
    <w:rsid w:val="489108BA"/>
    <w:rsid w:val="489804DA"/>
    <w:rsid w:val="49530909"/>
    <w:rsid w:val="49D91065"/>
    <w:rsid w:val="49FD08B7"/>
    <w:rsid w:val="4A041EBB"/>
    <w:rsid w:val="4A132597"/>
    <w:rsid w:val="4A2159B7"/>
    <w:rsid w:val="4A22313A"/>
    <w:rsid w:val="4B545D45"/>
    <w:rsid w:val="4B800849"/>
    <w:rsid w:val="4BB328F5"/>
    <w:rsid w:val="4BB618E9"/>
    <w:rsid w:val="4BF90C50"/>
    <w:rsid w:val="4C4A6CDD"/>
    <w:rsid w:val="4CA24E44"/>
    <w:rsid w:val="4CD117F4"/>
    <w:rsid w:val="4CDD50FF"/>
    <w:rsid w:val="4D1C7CE2"/>
    <w:rsid w:val="4DBF66C9"/>
    <w:rsid w:val="4E3B3D74"/>
    <w:rsid w:val="4E6B4C82"/>
    <w:rsid w:val="4E736C23"/>
    <w:rsid w:val="4E9844D8"/>
    <w:rsid w:val="4EEF40A5"/>
    <w:rsid w:val="4F152BAE"/>
    <w:rsid w:val="4F351F9F"/>
    <w:rsid w:val="4F8C3B89"/>
    <w:rsid w:val="4F9F1B0F"/>
    <w:rsid w:val="508E2130"/>
    <w:rsid w:val="509052E3"/>
    <w:rsid w:val="51175E41"/>
    <w:rsid w:val="51A52CE0"/>
    <w:rsid w:val="51D25A47"/>
    <w:rsid w:val="520E24F1"/>
    <w:rsid w:val="52DA0E9A"/>
    <w:rsid w:val="52F6742E"/>
    <w:rsid w:val="535624E4"/>
    <w:rsid w:val="5371638D"/>
    <w:rsid w:val="53F200E2"/>
    <w:rsid w:val="55532D28"/>
    <w:rsid w:val="55CA71B9"/>
    <w:rsid w:val="55EE796A"/>
    <w:rsid w:val="56606E23"/>
    <w:rsid w:val="57F16C7F"/>
    <w:rsid w:val="58082C12"/>
    <w:rsid w:val="58511E7C"/>
    <w:rsid w:val="58984200"/>
    <w:rsid w:val="58E660B8"/>
    <w:rsid w:val="58F05189"/>
    <w:rsid w:val="58F5454D"/>
    <w:rsid w:val="59ED51E1"/>
    <w:rsid w:val="5A750890"/>
    <w:rsid w:val="5AB05476"/>
    <w:rsid w:val="5AC30E2E"/>
    <w:rsid w:val="5AED1980"/>
    <w:rsid w:val="5AFA0244"/>
    <w:rsid w:val="5B2A2BD4"/>
    <w:rsid w:val="5B3E042E"/>
    <w:rsid w:val="5B9B691A"/>
    <w:rsid w:val="5BA3015F"/>
    <w:rsid w:val="5C43724B"/>
    <w:rsid w:val="5C682135"/>
    <w:rsid w:val="5D1523DC"/>
    <w:rsid w:val="5D7D2FEA"/>
    <w:rsid w:val="5DB1283B"/>
    <w:rsid w:val="5DB33FE7"/>
    <w:rsid w:val="5DEF1EB3"/>
    <w:rsid w:val="5E367682"/>
    <w:rsid w:val="5E4E4F75"/>
    <w:rsid w:val="5F2469C3"/>
    <w:rsid w:val="5F8D4FB7"/>
    <w:rsid w:val="5FB962D5"/>
    <w:rsid w:val="60440664"/>
    <w:rsid w:val="60664036"/>
    <w:rsid w:val="60771CEC"/>
    <w:rsid w:val="60B51B11"/>
    <w:rsid w:val="60B80169"/>
    <w:rsid w:val="60C020EB"/>
    <w:rsid w:val="60D618C6"/>
    <w:rsid w:val="6105535C"/>
    <w:rsid w:val="614C4F26"/>
    <w:rsid w:val="614E0E03"/>
    <w:rsid w:val="616D55C9"/>
    <w:rsid w:val="62067841"/>
    <w:rsid w:val="624D6221"/>
    <w:rsid w:val="625B3673"/>
    <w:rsid w:val="62ED6B99"/>
    <w:rsid w:val="631D6B7A"/>
    <w:rsid w:val="63EC14BE"/>
    <w:rsid w:val="641C5C65"/>
    <w:rsid w:val="64373C6C"/>
    <w:rsid w:val="646E7959"/>
    <w:rsid w:val="647D5E76"/>
    <w:rsid w:val="64D92F75"/>
    <w:rsid w:val="651D1F50"/>
    <w:rsid w:val="653B0AC5"/>
    <w:rsid w:val="65464707"/>
    <w:rsid w:val="65B533A0"/>
    <w:rsid w:val="662E109F"/>
    <w:rsid w:val="67233350"/>
    <w:rsid w:val="67780823"/>
    <w:rsid w:val="67961104"/>
    <w:rsid w:val="67AD62C7"/>
    <w:rsid w:val="691E53FA"/>
    <w:rsid w:val="696F71F1"/>
    <w:rsid w:val="69737CA8"/>
    <w:rsid w:val="69AF0748"/>
    <w:rsid w:val="69B83AA1"/>
    <w:rsid w:val="69BD315D"/>
    <w:rsid w:val="69D501AF"/>
    <w:rsid w:val="6A52585A"/>
    <w:rsid w:val="6A582B8E"/>
    <w:rsid w:val="6A776C4C"/>
    <w:rsid w:val="6A9A6CFD"/>
    <w:rsid w:val="6AAB1A1A"/>
    <w:rsid w:val="6AD00976"/>
    <w:rsid w:val="6BEA3CBA"/>
    <w:rsid w:val="6C1379F3"/>
    <w:rsid w:val="6C2A798D"/>
    <w:rsid w:val="6CB26586"/>
    <w:rsid w:val="6DA57E98"/>
    <w:rsid w:val="6E0D7137"/>
    <w:rsid w:val="6E1A0886"/>
    <w:rsid w:val="6E781A51"/>
    <w:rsid w:val="6EA84BC9"/>
    <w:rsid w:val="6EC72CAC"/>
    <w:rsid w:val="6F205CAD"/>
    <w:rsid w:val="6F797372"/>
    <w:rsid w:val="6FDB57EB"/>
    <w:rsid w:val="6FDB5DF3"/>
    <w:rsid w:val="6FF60E93"/>
    <w:rsid w:val="701E3F32"/>
    <w:rsid w:val="707E2326"/>
    <w:rsid w:val="710F6A7D"/>
    <w:rsid w:val="719C2A2E"/>
    <w:rsid w:val="72356C99"/>
    <w:rsid w:val="727B1B10"/>
    <w:rsid w:val="72AC5157"/>
    <w:rsid w:val="733C1156"/>
    <w:rsid w:val="73546D6E"/>
    <w:rsid w:val="73F94F64"/>
    <w:rsid w:val="74235DC1"/>
    <w:rsid w:val="74336552"/>
    <w:rsid w:val="7456013E"/>
    <w:rsid w:val="748E3F2E"/>
    <w:rsid w:val="75587EE6"/>
    <w:rsid w:val="764741F6"/>
    <w:rsid w:val="765D3979"/>
    <w:rsid w:val="768935A6"/>
    <w:rsid w:val="76E008C5"/>
    <w:rsid w:val="76FB6D7B"/>
    <w:rsid w:val="773504DF"/>
    <w:rsid w:val="77E70A98"/>
    <w:rsid w:val="77F547F3"/>
    <w:rsid w:val="78060B96"/>
    <w:rsid w:val="784F29CE"/>
    <w:rsid w:val="79183842"/>
    <w:rsid w:val="79362FB2"/>
    <w:rsid w:val="79C21DD2"/>
    <w:rsid w:val="7A552EF7"/>
    <w:rsid w:val="7AFE5AFB"/>
    <w:rsid w:val="7B0477F0"/>
    <w:rsid w:val="7BD65017"/>
    <w:rsid w:val="7C2E19A1"/>
    <w:rsid w:val="7C471C13"/>
    <w:rsid w:val="7CAF680C"/>
    <w:rsid w:val="7D8306B2"/>
    <w:rsid w:val="7DB4237D"/>
    <w:rsid w:val="7DB46CA6"/>
    <w:rsid w:val="7DB4751F"/>
    <w:rsid w:val="7E2C3203"/>
    <w:rsid w:val="7EC56E34"/>
    <w:rsid w:val="7F1909F8"/>
    <w:rsid w:val="7F224D4A"/>
    <w:rsid w:val="7F445A11"/>
    <w:rsid w:val="7F833DB1"/>
    <w:rsid w:val="7FE23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iPriority="99"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99"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0"/>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5"/>
    <w:semiHidden/>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tabs>
        <w:tab w:val="left" w:pos="540"/>
      </w:tabs>
      <w:adjustRightInd w:val="0"/>
      <w:snapToGrid w:val="0"/>
      <w:spacing w:line="360" w:lineRule="auto"/>
      <w:jc w:val="left"/>
      <w:outlineLvl w:val="2"/>
    </w:pPr>
    <w:rPr>
      <w:b/>
      <w:sz w:val="24"/>
      <w:szCs w:val="20"/>
    </w:rPr>
  </w:style>
  <w:style w:type="paragraph" w:styleId="5">
    <w:name w:val="heading 4"/>
    <w:basedOn w:val="1"/>
    <w:next w:val="1"/>
    <w:qFormat/>
    <w:uiPriority w:val="0"/>
    <w:pPr>
      <w:keepNext/>
      <w:keepLines/>
      <w:jc w:val="left"/>
      <w:outlineLvl w:val="3"/>
    </w:pPr>
    <w:rPr>
      <w:rFonts w:hint="eastAsia" w:ascii="Arial" w:hAnsi="Arial"/>
      <w:b/>
      <w:sz w:val="32"/>
    </w:rPr>
  </w:style>
  <w:style w:type="paragraph" w:styleId="6">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8">
    <w:name w:val="List 3"/>
    <w:basedOn w:val="1"/>
    <w:qFormat/>
    <w:uiPriority w:val="0"/>
    <w:pPr>
      <w:ind w:left="100" w:leftChars="400" w:hanging="200" w:hangingChars="200"/>
      <w:contextualSpacing/>
    </w:pPr>
  </w:style>
  <w:style w:type="paragraph" w:styleId="9">
    <w:name w:val="table of authorities"/>
    <w:basedOn w:val="1"/>
    <w:next w:val="1"/>
    <w:qFormat/>
    <w:uiPriority w:val="0"/>
    <w:pPr>
      <w:ind w:left="420" w:leftChars="200"/>
    </w:pPr>
  </w:style>
  <w:style w:type="paragraph" w:styleId="10">
    <w:name w:val="Normal Indent"/>
    <w:basedOn w:val="1"/>
    <w:next w:val="1"/>
    <w:qFormat/>
    <w:uiPriority w:val="99"/>
    <w:pPr>
      <w:widowControl w:val="0"/>
      <w:adjustRightInd w:val="0"/>
      <w:spacing w:line="360" w:lineRule="atLeast"/>
      <w:ind w:firstLine="482"/>
    </w:pPr>
    <w:rPr>
      <w:color w:val="auto"/>
      <w:sz w:val="24"/>
    </w:rPr>
  </w:style>
  <w:style w:type="paragraph" w:styleId="11">
    <w:name w:val="caption"/>
    <w:basedOn w:val="1"/>
    <w:next w:val="1"/>
    <w:semiHidden/>
    <w:unhideWhenUsed/>
    <w:qFormat/>
    <w:uiPriority w:val="0"/>
    <w:pPr>
      <w:spacing w:before="152" w:after="160"/>
    </w:pPr>
    <w:rPr>
      <w:rFonts w:ascii="Arial" w:hAnsi="Arial" w:eastAsia="黑体" w:cs="Arial"/>
      <w:sz w:val="20"/>
    </w:rPr>
  </w:style>
  <w:style w:type="paragraph" w:styleId="12">
    <w:name w:val="annotation text"/>
    <w:basedOn w:val="1"/>
    <w:link w:val="58"/>
    <w:qFormat/>
    <w:uiPriority w:val="0"/>
    <w:pPr>
      <w:adjustRightInd w:val="0"/>
      <w:spacing w:line="360" w:lineRule="atLeast"/>
      <w:jc w:val="left"/>
      <w:textAlignment w:val="baseline"/>
    </w:pPr>
    <w:rPr>
      <w:kern w:val="0"/>
      <w:sz w:val="24"/>
    </w:rPr>
  </w:style>
  <w:style w:type="paragraph" w:styleId="13">
    <w:name w:val="Salutation"/>
    <w:basedOn w:val="1"/>
    <w:next w:val="1"/>
    <w:link w:val="55"/>
    <w:qFormat/>
    <w:uiPriority w:val="0"/>
    <w:rPr>
      <w:sz w:val="24"/>
    </w:rPr>
  </w:style>
  <w:style w:type="paragraph" w:styleId="14">
    <w:name w:val="Body Text"/>
    <w:basedOn w:val="1"/>
    <w:next w:val="1"/>
    <w:link w:val="62"/>
    <w:qFormat/>
    <w:uiPriority w:val="0"/>
    <w:pPr>
      <w:spacing w:after="120"/>
    </w:pPr>
    <w:rPr>
      <w:rFonts w:asciiTheme="minorHAnsi" w:hAnsiTheme="minorHAnsi" w:cstheme="minorBidi"/>
      <w:szCs w:val="24"/>
    </w:rPr>
  </w:style>
  <w:style w:type="paragraph" w:styleId="15">
    <w:name w:val="Body Text Indent"/>
    <w:basedOn w:val="1"/>
    <w:next w:val="16"/>
    <w:qFormat/>
    <w:uiPriority w:val="99"/>
    <w:pPr>
      <w:adjustRightInd w:val="0"/>
      <w:snapToGrid w:val="0"/>
      <w:spacing w:line="460" w:lineRule="exact"/>
      <w:ind w:firstLine="560" w:firstLineChars="200"/>
    </w:pPr>
    <w:rPr>
      <w:rFonts w:ascii="仿宋_GB2312" w:hAnsi="Tahoma" w:eastAsia="仿宋_GB2312"/>
      <w:sz w:val="28"/>
    </w:rPr>
  </w:style>
  <w:style w:type="paragraph" w:styleId="16">
    <w:name w:val="Body Text First Indent 2"/>
    <w:basedOn w:val="15"/>
    <w:next w:val="1"/>
    <w:unhideWhenUsed/>
    <w:qFormat/>
    <w:uiPriority w:val="0"/>
    <w:pPr>
      <w:adjustRightInd/>
      <w:snapToGrid/>
      <w:spacing w:after="120" w:line="360" w:lineRule="auto"/>
      <w:ind w:left="420" w:leftChars="200" w:firstLine="420"/>
    </w:pPr>
    <w:rPr>
      <w:rFonts w:ascii="Calibri" w:hAnsi="Calibri" w:eastAsia="宋体"/>
      <w:sz w:val="24"/>
      <w:szCs w:val="22"/>
    </w:rPr>
  </w:style>
  <w:style w:type="paragraph" w:styleId="17">
    <w:name w:val="List 2"/>
    <w:basedOn w:val="1"/>
    <w:qFormat/>
    <w:uiPriority w:val="0"/>
    <w:pPr>
      <w:ind w:left="100" w:leftChars="200" w:hanging="200" w:hangingChars="200"/>
    </w:pPr>
    <w:rPr>
      <w:szCs w:val="24"/>
    </w:rPr>
  </w:style>
  <w:style w:type="paragraph" w:styleId="18">
    <w:name w:val="Plain Text"/>
    <w:basedOn w:val="1"/>
    <w:next w:val="19"/>
    <w:link w:val="53"/>
    <w:qFormat/>
    <w:uiPriority w:val="0"/>
    <w:rPr>
      <w:rFonts w:ascii="宋体" w:hAnsi="Courier New"/>
    </w:rPr>
  </w:style>
  <w:style w:type="paragraph" w:styleId="19">
    <w:name w:val="List Number 5"/>
    <w:basedOn w:val="1"/>
    <w:qFormat/>
    <w:uiPriority w:val="0"/>
    <w:pPr>
      <w:numPr>
        <w:ilvl w:val="0"/>
        <w:numId w:val="2"/>
      </w:numPr>
    </w:pPr>
  </w:style>
  <w:style w:type="paragraph" w:styleId="20">
    <w:name w:val="footer"/>
    <w:basedOn w:val="1"/>
    <w:link w:val="48"/>
    <w:qFormat/>
    <w:uiPriority w:val="0"/>
    <w:pPr>
      <w:tabs>
        <w:tab w:val="center" w:pos="4153"/>
        <w:tab w:val="right" w:pos="8306"/>
      </w:tabs>
      <w:snapToGrid w:val="0"/>
      <w:jc w:val="left"/>
    </w:pPr>
    <w:rPr>
      <w:sz w:val="18"/>
      <w:szCs w:val="18"/>
    </w:rPr>
  </w:style>
  <w:style w:type="paragraph" w:styleId="21">
    <w:name w:val="envelope return"/>
    <w:basedOn w:val="1"/>
    <w:semiHidden/>
    <w:qFormat/>
    <w:uiPriority w:val="0"/>
    <w:pPr>
      <w:snapToGrid w:val="0"/>
      <w:spacing w:after="200" w:line="276" w:lineRule="auto"/>
    </w:pPr>
    <w:rPr>
      <w:rFonts w:ascii="Arial" w:hAnsi="Arial" w:cs="Arial"/>
      <w:sz w:val="22"/>
      <w:szCs w:val="22"/>
      <w:lang w:eastAsia="en-US" w:bidi="en-US"/>
    </w:rPr>
  </w:style>
  <w:style w:type="paragraph" w:styleId="22">
    <w:name w:val="header"/>
    <w:basedOn w:val="1"/>
    <w:link w:val="49"/>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0"/>
    <w:pPr>
      <w:tabs>
        <w:tab w:val="right" w:leader="dot" w:pos="9628"/>
      </w:tabs>
      <w:spacing w:line="360" w:lineRule="auto"/>
    </w:pPr>
    <w:rPr>
      <w:szCs w:val="24"/>
    </w:rPr>
  </w:style>
  <w:style w:type="paragraph" w:styleId="24">
    <w:name w:val="List"/>
    <w:basedOn w:val="1"/>
    <w:qFormat/>
    <w:uiPriority w:val="0"/>
    <w:pPr>
      <w:spacing w:line="360" w:lineRule="exact"/>
      <w:ind w:left="420" w:hanging="420"/>
      <w:jc w:val="left"/>
    </w:pPr>
    <w:rPr>
      <w:szCs w:val="21"/>
    </w:rPr>
  </w:style>
  <w:style w:type="paragraph" w:styleId="25">
    <w:name w:val="footnote text"/>
    <w:basedOn w:val="1"/>
    <w:link w:val="43"/>
    <w:qFormat/>
    <w:uiPriority w:val="99"/>
    <w:pPr>
      <w:snapToGrid w:val="0"/>
      <w:jc w:val="left"/>
    </w:pPr>
    <w:rPr>
      <w:rFonts w:asciiTheme="minorHAnsi" w:hAnsiTheme="minorHAnsi" w:eastAsiaTheme="minorEastAsia" w:cstheme="minorBidi"/>
      <w:sz w:val="18"/>
      <w:szCs w:val="22"/>
    </w:rPr>
  </w:style>
  <w:style w:type="paragraph" w:styleId="26">
    <w:name w:val="index 7"/>
    <w:basedOn w:val="1"/>
    <w:next w:val="1"/>
    <w:unhideWhenUsed/>
    <w:qFormat/>
    <w:uiPriority w:val="99"/>
  </w:style>
  <w:style w:type="paragraph" w:styleId="27">
    <w:name w:val="toc 2"/>
    <w:basedOn w:val="1"/>
    <w:next w:val="1"/>
    <w:qFormat/>
    <w:uiPriority w:val="0"/>
    <w:pPr>
      <w:adjustRightInd w:val="0"/>
      <w:spacing w:line="360" w:lineRule="auto"/>
      <w:ind w:left="240" w:firstLine="425"/>
      <w:jc w:val="left"/>
      <w:textAlignment w:val="baseline"/>
    </w:pPr>
    <w:rPr>
      <w:smallCaps/>
      <w:sz w:val="20"/>
    </w:rPr>
  </w:style>
  <w:style w:type="paragraph" w:styleId="28">
    <w:name w:val="Body Text 2"/>
    <w:basedOn w:val="1"/>
    <w:qFormat/>
    <w:uiPriority w:val="0"/>
    <w:pPr>
      <w:keepNext w:val="0"/>
      <w:keepLines w:val="0"/>
      <w:widowControl w:val="0"/>
      <w:suppressLineNumbers w:val="0"/>
      <w:spacing w:before="0" w:beforeAutospacing="0" w:after="0" w:afterAutospacing="0"/>
      <w:ind w:left="0" w:right="0"/>
      <w:jc w:val="both"/>
    </w:pPr>
    <w:rPr>
      <w:rFonts w:hint="default" w:ascii="楷体_GB2312" w:hAnsi="Copperplate Gothic Bold" w:eastAsia="楷体_GB2312" w:cs="Times New Roman"/>
      <w:kern w:val="2"/>
      <w:sz w:val="28"/>
      <w:szCs w:val="28"/>
      <w:lang w:val="en-US" w:eastAsia="zh-CN" w:bidi="ar"/>
    </w:rPr>
  </w:style>
  <w:style w:type="paragraph" w:styleId="2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rPr>
  </w:style>
  <w:style w:type="paragraph" w:styleId="30">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31">
    <w:name w:val="Title"/>
    <w:basedOn w:val="1"/>
    <w:next w:val="1"/>
    <w:link w:val="44"/>
    <w:qFormat/>
    <w:uiPriority w:val="0"/>
    <w:pPr>
      <w:adjustRightInd w:val="0"/>
      <w:snapToGrid w:val="0"/>
      <w:spacing w:before="120" w:after="120" w:line="520" w:lineRule="exact"/>
      <w:jc w:val="center"/>
      <w:outlineLvl w:val="0"/>
    </w:pPr>
    <w:rPr>
      <w:rFonts w:ascii="黑体" w:hAnsiTheme="minorHAnsi" w:eastAsiaTheme="minorEastAsia" w:cstheme="minorBidi"/>
      <w:b/>
      <w:snapToGrid w:val="0"/>
      <w:sz w:val="44"/>
      <w:szCs w:val="22"/>
    </w:rPr>
  </w:style>
  <w:style w:type="paragraph" w:styleId="32">
    <w:name w:val="Body Text First Indent"/>
    <w:basedOn w:val="14"/>
    <w:next w:val="16"/>
    <w:qFormat/>
    <w:uiPriority w:val="99"/>
    <w:pPr>
      <w:spacing w:after="120"/>
      <w:ind w:firstLine="420" w:firstLineChars="100"/>
    </w:p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0"/>
    <w:rPr>
      <w:rFonts w:ascii="Calibri" w:hAnsi="Calibri" w:eastAsia="宋体" w:cs="Times New Roman"/>
      <w:b/>
      <w:bCs/>
    </w:rPr>
  </w:style>
  <w:style w:type="character" w:styleId="37">
    <w:name w:val="Hyperlink"/>
    <w:qFormat/>
    <w:uiPriority w:val="0"/>
    <w:rPr>
      <w:color w:val="0000FF"/>
      <w:u w:val="single"/>
    </w:rPr>
  </w:style>
  <w:style w:type="paragraph" w:customStyle="1" w:styleId="38">
    <w:name w:val="Default"/>
    <w:next w:val="39"/>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39">
    <w:name w:val="大标题"/>
    <w:basedOn w:val="1"/>
    <w:next w:val="16"/>
    <w:qFormat/>
    <w:uiPriority w:val="0"/>
    <w:pPr>
      <w:pageBreakBefore/>
      <w:spacing w:after="200" w:line="720" w:lineRule="auto"/>
      <w:jc w:val="center"/>
      <w:outlineLvl w:val="0"/>
    </w:pPr>
    <w:rPr>
      <w:rFonts w:ascii="黑体" w:hAnsi="Calibri" w:eastAsia="黑体"/>
      <w:sz w:val="32"/>
      <w:szCs w:val="30"/>
      <w:lang w:eastAsia="en-US" w:bidi="en-US"/>
    </w:rPr>
  </w:style>
  <w:style w:type="character" w:customStyle="1" w:styleId="40">
    <w:name w:val="标题 3 Char"/>
    <w:qFormat/>
    <w:uiPriority w:val="0"/>
    <w:rPr>
      <w:rFonts w:eastAsia="宋体"/>
      <w:b/>
      <w:bCs/>
      <w:kern w:val="2"/>
      <w:sz w:val="32"/>
      <w:szCs w:val="32"/>
      <w:lang w:val="en-US" w:eastAsia="zh-CN" w:bidi="ar-SA"/>
    </w:rPr>
  </w:style>
  <w:style w:type="paragraph" w:customStyle="1" w:styleId="41">
    <w:name w:val="首行缩进"/>
    <w:basedOn w:val="1"/>
    <w:qFormat/>
    <w:uiPriority w:val="99"/>
    <w:pPr>
      <w:ind w:firstLine="480" w:firstLineChars="200"/>
    </w:pPr>
    <w:rPr>
      <w:lang w:val="zh-CN"/>
    </w:rPr>
  </w:style>
  <w:style w:type="paragraph" w:customStyle="1" w:styleId="42">
    <w:name w:val="默认段落字体 Para Char Char Char Char Char Char Char Char Char Char"/>
    <w:basedOn w:val="1"/>
    <w:qFormat/>
    <w:uiPriority w:val="0"/>
    <w:rPr>
      <w:rFonts w:ascii="Tahoma" w:hAnsi="Tahoma"/>
      <w:sz w:val="24"/>
    </w:rPr>
  </w:style>
  <w:style w:type="character" w:customStyle="1" w:styleId="43">
    <w:name w:val="脚注文本 Char"/>
    <w:link w:val="25"/>
    <w:qFormat/>
    <w:uiPriority w:val="99"/>
    <w:rPr>
      <w:sz w:val="18"/>
    </w:rPr>
  </w:style>
  <w:style w:type="character" w:customStyle="1" w:styleId="44">
    <w:name w:val="标题 Char"/>
    <w:link w:val="31"/>
    <w:qFormat/>
    <w:uiPriority w:val="0"/>
    <w:rPr>
      <w:rFonts w:ascii="黑体"/>
      <w:b/>
      <w:snapToGrid w:val="0"/>
      <w:sz w:val="44"/>
    </w:rPr>
  </w:style>
  <w:style w:type="character" w:customStyle="1" w:styleId="45">
    <w:name w:val="标题 Char1"/>
    <w:basedOn w:val="35"/>
    <w:qFormat/>
    <w:uiPriority w:val="10"/>
    <w:rPr>
      <w:rFonts w:eastAsia="宋体" w:asciiTheme="majorHAnsi" w:hAnsiTheme="majorHAnsi" w:cstheme="majorBidi"/>
      <w:b/>
      <w:bCs/>
      <w:sz w:val="32"/>
      <w:szCs w:val="32"/>
    </w:rPr>
  </w:style>
  <w:style w:type="character" w:customStyle="1" w:styleId="46">
    <w:name w:val="脚注文本 Char1"/>
    <w:basedOn w:val="35"/>
    <w:semiHidden/>
    <w:qFormat/>
    <w:uiPriority w:val="99"/>
    <w:rPr>
      <w:rFonts w:ascii="Times New Roman" w:hAnsi="Times New Roman" w:eastAsia="宋体" w:cs="Times New Roman"/>
      <w:sz w:val="18"/>
      <w:szCs w:val="18"/>
    </w:rPr>
  </w:style>
  <w:style w:type="paragraph" w:customStyle="1" w:styleId="47">
    <w:name w:val="缺省文本"/>
    <w:qFormat/>
    <w:uiPriority w:val="0"/>
    <w:pPr>
      <w:widowControl w:val="0"/>
      <w:autoSpaceDE w:val="0"/>
      <w:autoSpaceDN w:val="0"/>
      <w:adjustRightInd w:val="0"/>
    </w:pPr>
    <w:rPr>
      <w:rFonts w:ascii="Times New Roman" w:hAnsi="Times New Roman" w:eastAsia="宋体" w:cs="Times New Roman"/>
      <w:color w:val="000000"/>
      <w:lang w:val="en-US" w:eastAsia="zh-CN" w:bidi="ar-SA"/>
    </w:rPr>
  </w:style>
  <w:style w:type="character" w:customStyle="1" w:styleId="48">
    <w:name w:val="页脚 Char"/>
    <w:basedOn w:val="35"/>
    <w:link w:val="20"/>
    <w:qFormat/>
    <w:uiPriority w:val="0"/>
    <w:rPr>
      <w:rFonts w:ascii="Times New Roman" w:hAnsi="Times New Roman" w:eastAsia="宋体" w:cs="Times New Roman"/>
      <w:sz w:val="18"/>
      <w:szCs w:val="18"/>
    </w:rPr>
  </w:style>
  <w:style w:type="character" w:customStyle="1" w:styleId="49">
    <w:name w:val="页眉 Char"/>
    <w:basedOn w:val="35"/>
    <w:link w:val="22"/>
    <w:qFormat/>
    <w:uiPriority w:val="0"/>
    <w:rPr>
      <w:rFonts w:ascii="Times New Roman" w:hAnsi="Times New Roman" w:eastAsia="宋体" w:cs="Times New Roman"/>
      <w:sz w:val="18"/>
      <w:szCs w:val="18"/>
    </w:rPr>
  </w:style>
  <w:style w:type="character" w:customStyle="1" w:styleId="50">
    <w:name w:val="页脚 Char1"/>
    <w:basedOn w:val="35"/>
    <w:semiHidden/>
    <w:qFormat/>
    <w:uiPriority w:val="99"/>
    <w:rPr>
      <w:sz w:val="18"/>
      <w:szCs w:val="18"/>
    </w:rPr>
  </w:style>
  <w:style w:type="character" w:customStyle="1" w:styleId="51">
    <w:name w:val="Default Text Char Char"/>
    <w:link w:val="52"/>
    <w:qFormat/>
    <w:uiPriority w:val="0"/>
    <w:rPr>
      <w:color w:val="000000"/>
      <w:sz w:val="24"/>
    </w:rPr>
  </w:style>
  <w:style w:type="paragraph" w:customStyle="1" w:styleId="52">
    <w:name w:val="Default Text"/>
    <w:link w:val="51"/>
    <w:qFormat/>
    <w:uiPriority w:val="0"/>
    <w:pPr>
      <w:widowControl w:val="0"/>
      <w:autoSpaceDE w:val="0"/>
      <w:autoSpaceDN w:val="0"/>
      <w:adjustRightInd w:val="0"/>
    </w:pPr>
    <w:rPr>
      <w:rFonts w:asciiTheme="minorHAnsi" w:hAnsiTheme="minorHAnsi" w:eastAsiaTheme="minorEastAsia" w:cstheme="minorBidi"/>
      <w:color w:val="000000"/>
      <w:kern w:val="2"/>
      <w:sz w:val="24"/>
      <w:szCs w:val="22"/>
      <w:lang w:val="en-US" w:eastAsia="zh-CN" w:bidi="ar-SA"/>
    </w:rPr>
  </w:style>
  <w:style w:type="character" w:customStyle="1" w:styleId="53">
    <w:name w:val="纯文本 Char1"/>
    <w:link w:val="18"/>
    <w:qFormat/>
    <w:uiPriority w:val="0"/>
    <w:rPr>
      <w:rFonts w:ascii="宋体" w:hAnsi="Courier New" w:eastAsia="宋体" w:cs="Times New Roman"/>
      <w:szCs w:val="20"/>
    </w:rPr>
  </w:style>
  <w:style w:type="character" w:customStyle="1" w:styleId="54">
    <w:name w:val="15"/>
    <w:qFormat/>
    <w:uiPriority w:val="0"/>
    <w:rPr>
      <w:rFonts w:hint="default" w:ascii="Times New Roman" w:hAnsi="Times New Roman" w:cs="Times New Roman"/>
    </w:rPr>
  </w:style>
  <w:style w:type="character" w:customStyle="1" w:styleId="55">
    <w:name w:val="称呼 Char"/>
    <w:link w:val="13"/>
    <w:qFormat/>
    <w:uiPriority w:val="0"/>
    <w:rPr>
      <w:rFonts w:ascii="Times New Roman" w:hAnsi="Times New Roman" w:eastAsia="宋体" w:cs="Times New Roman"/>
      <w:sz w:val="24"/>
      <w:szCs w:val="20"/>
    </w:rPr>
  </w:style>
  <w:style w:type="character" w:customStyle="1" w:styleId="56">
    <w:name w:val="称呼 Char1"/>
    <w:basedOn w:val="35"/>
    <w:semiHidden/>
    <w:qFormat/>
    <w:uiPriority w:val="99"/>
    <w:rPr>
      <w:rFonts w:ascii="Times New Roman" w:hAnsi="Times New Roman" w:eastAsia="宋体" w:cs="Times New Roman"/>
      <w:szCs w:val="20"/>
    </w:rPr>
  </w:style>
  <w:style w:type="character" w:customStyle="1" w:styleId="57">
    <w:name w:val="纯文本 Char"/>
    <w:basedOn w:val="35"/>
    <w:semiHidden/>
    <w:qFormat/>
    <w:uiPriority w:val="99"/>
    <w:rPr>
      <w:rFonts w:ascii="宋体" w:hAnsi="Courier New" w:eastAsia="宋体" w:cs="Courier New"/>
      <w:szCs w:val="21"/>
    </w:rPr>
  </w:style>
  <w:style w:type="character" w:customStyle="1" w:styleId="58">
    <w:name w:val="批注文字 Char"/>
    <w:link w:val="12"/>
    <w:qFormat/>
    <w:uiPriority w:val="0"/>
    <w:rPr>
      <w:rFonts w:ascii="Times New Roman" w:hAnsi="Times New Roman" w:eastAsia="宋体" w:cs="Times New Roman"/>
      <w:kern w:val="0"/>
      <w:sz w:val="24"/>
      <w:szCs w:val="20"/>
    </w:rPr>
  </w:style>
  <w:style w:type="character" w:customStyle="1" w:styleId="59">
    <w:name w:val="批注文字 Char1"/>
    <w:basedOn w:val="35"/>
    <w:semiHidden/>
    <w:qFormat/>
    <w:uiPriority w:val="99"/>
    <w:rPr>
      <w:rFonts w:ascii="Times New Roman" w:hAnsi="Times New Roman" w:eastAsia="宋体" w:cs="Times New Roman"/>
      <w:szCs w:val="20"/>
    </w:rPr>
  </w:style>
  <w:style w:type="character" w:customStyle="1" w:styleId="60">
    <w:name w:val="标题 1 Char"/>
    <w:basedOn w:val="35"/>
    <w:link w:val="2"/>
    <w:qFormat/>
    <w:uiPriority w:val="0"/>
    <w:rPr>
      <w:rFonts w:ascii="Times New Roman" w:hAnsi="Times New Roman" w:eastAsia="宋体" w:cs="Times New Roman"/>
      <w:b/>
      <w:bCs/>
      <w:kern w:val="44"/>
      <w:sz w:val="44"/>
      <w:szCs w:val="44"/>
    </w:rPr>
  </w:style>
  <w:style w:type="character" w:customStyle="1" w:styleId="61">
    <w:name w:val="标题 3 Char Char"/>
    <w:qFormat/>
    <w:uiPriority w:val="0"/>
    <w:rPr>
      <w:rFonts w:ascii="黑体" w:eastAsia="黑体"/>
      <w:bCs/>
      <w:sz w:val="30"/>
    </w:rPr>
  </w:style>
  <w:style w:type="character" w:customStyle="1" w:styleId="62">
    <w:name w:val="正文文本 Char"/>
    <w:link w:val="14"/>
    <w:qFormat/>
    <w:uiPriority w:val="0"/>
    <w:rPr>
      <w:rFonts w:eastAsia="宋体"/>
      <w:szCs w:val="24"/>
    </w:rPr>
  </w:style>
  <w:style w:type="character" w:customStyle="1" w:styleId="63">
    <w:name w:val="正文文本 Char1"/>
    <w:basedOn w:val="35"/>
    <w:semiHidden/>
    <w:qFormat/>
    <w:uiPriority w:val="99"/>
    <w:rPr>
      <w:rFonts w:ascii="Times New Roman" w:hAnsi="Times New Roman" w:eastAsia="宋体" w:cs="Times New Roman"/>
      <w:szCs w:val="20"/>
    </w:rPr>
  </w:style>
  <w:style w:type="paragraph" w:customStyle="1" w:styleId="64">
    <w:name w:val="列出段落1"/>
    <w:basedOn w:val="1"/>
    <w:qFormat/>
    <w:uiPriority w:val="34"/>
    <w:pPr>
      <w:ind w:firstLine="420" w:firstLineChars="200"/>
    </w:pPr>
  </w:style>
  <w:style w:type="character" w:customStyle="1" w:styleId="65">
    <w:name w:val="标题 2 Char"/>
    <w:basedOn w:val="35"/>
    <w:link w:val="3"/>
    <w:qFormat/>
    <w:uiPriority w:val="0"/>
    <w:rPr>
      <w:rFonts w:ascii="Arial" w:hAnsi="Arial" w:eastAsia="黑体" w:cs="Times New Roman"/>
      <w:b/>
      <w:bCs/>
      <w:sz w:val="32"/>
      <w:szCs w:val="32"/>
    </w:rPr>
  </w:style>
  <w:style w:type="paragraph" w:customStyle="1" w:styleId="66">
    <w:name w:val="_Style 2"/>
    <w:basedOn w:val="2"/>
    <w:next w:val="1"/>
    <w:qFormat/>
    <w:uiPriority w:val="39"/>
    <w:pPr>
      <w:widowControl/>
      <w:spacing w:before="480" w:line="276" w:lineRule="auto"/>
      <w:jc w:val="left"/>
      <w:outlineLvl w:val="9"/>
    </w:pPr>
    <w:rPr>
      <w:rFonts w:ascii="Cambria" w:hAnsi="Cambria"/>
      <w:b w:val="0"/>
      <w:color w:val="365F91"/>
      <w:kern w:val="0"/>
      <w:szCs w:val="28"/>
    </w:rPr>
  </w:style>
  <w:style w:type="character" w:customStyle="1" w:styleId="67">
    <w:name w:val="font61"/>
    <w:basedOn w:val="35"/>
    <w:qFormat/>
    <w:uiPriority w:val="0"/>
    <w:rPr>
      <w:rFonts w:hint="eastAsia" w:ascii="微软雅黑" w:hAnsi="微软雅黑" w:eastAsia="微软雅黑" w:cs="微软雅黑"/>
      <w:b/>
      <w:color w:val="000000"/>
      <w:sz w:val="21"/>
      <w:szCs w:val="21"/>
      <w:u w:val="none"/>
    </w:rPr>
  </w:style>
  <w:style w:type="paragraph" w:customStyle="1" w:styleId="68">
    <w:name w:val="5）标书正文 首行缩进2字符"/>
    <w:basedOn w:val="1"/>
    <w:qFormat/>
    <w:uiPriority w:val="99"/>
    <w:pPr>
      <w:spacing w:line="480" w:lineRule="exact"/>
      <w:ind w:firstLine="200" w:firstLineChars="200"/>
    </w:pPr>
    <w:rPr>
      <w:rFonts w:ascii="仿宋_GB2312" w:eastAsia="仿宋_GB2312"/>
      <w:sz w:val="28"/>
    </w:rPr>
  </w:style>
  <w:style w:type="paragraph" w:customStyle="1" w:styleId="69">
    <w:name w:val="È¡ÀÊ¡ÎÄ¡À¾"/>
    <w:basedOn w:val="1"/>
    <w:qFormat/>
    <w:uiPriority w:val="99"/>
    <w:pPr>
      <w:overflowPunct w:val="0"/>
      <w:autoSpaceDE w:val="0"/>
      <w:autoSpaceDN w:val="0"/>
      <w:textAlignment w:val="baseline"/>
    </w:pPr>
    <w:rPr>
      <w:rFonts w:ascii="Calibri" w:hAnsi="Calibri"/>
      <w:sz w:val="24"/>
    </w:rPr>
  </w:style>
  <w:style w:type="character" w:customStyle="1" w:styleId="70">
    <w:name w:val="标题1"/>
    <w:qFormat/>
    <w:uiPriority w:val="0"/>
  </w:style>
  <w:style w:type="paragraph" w:customStyle="1" w:styleId="71">
    <w:name w:val="其他"/>
    <w:basedOn w:val="1"/>
    <w:qFormat/>
    <w:uiPriority w:val="0"/>
    <w:pPr>
      <w:shd w:val="clear" w:color="auto" w:fill="FFFFFF"/>
      <w:spacing w:line="303" w:lineRule="exact"/>
      <w:jc w:val="left"/>
    </w:pPr>
    <w:rPr>
      <w:rFonts w:ascii="黑体" w:hAnsi="黑体" w:eastAsia="黑体" w:cs="黑体"/>
      <w:sz w:val="19"/>
      <w:szCs w:val="19"/>
      <w:lang w:val="zh-CN" w:bidi="zh-CN"/>
    </w:rPr>
  </w:style>
  <w:style w:type="paragraph" w:styleId="72">
    <w:name w:val="List Paragraph"/>
    <w:basedOn w:val="1"/>
    <w:unhideWhenUsed/>
    <w:qFormat/>
    <w:uiPriority w:val="99"/>
    <w:pPr>
      <w:ind w:firstLine="420" w:firstLineChars="200"/>
    </w:pPr>
  </w:style>
  <w:style w:type="character" w:customStyle="1" w:styleId="73">
    <w:name w:val="正文缩进2格 Char"/>
    <w:link w:val="74"/>
    <w:qFormat/>
    <w:uiPriority w:val="0"/>
    <w:rPr>
      <w:rFonts w:ascii="仿宋_GB2312" w:hAnsi="宋体" w:eastAsia="仿宋_GB2312"/>
      <w:kern w:val="2"/>
      <w:sz w:val="31"/>
      <w:szCs w:val="28"/>
    </w:rPr>
  </w:style>
  <w:style w:type="paragraph" w:customStyle="1" w:styleId="74">
    <w:name w:val="正文缩进2格"/>
    <w:basedOn w:val="1"/>
    <w:link w:val="73"/>
    <w:qFormat/>
    <w:uiPriority w:val="0"/>
    <w:pPr>
      <w:spacing w:line="600" w:lineRule="exact"/>
      <w:ind w:firstLine="639" w:firstLineChars="206"/>
    </w:pPr>
    <w:rPr>
      <w:rFonts w:ascii="仿宋_GB2312" w:hAnsi="宋体" w:eastAsia="仿宋_GB2312"/>
      <w:sz w:val="31"/>
      <w:szCs w:val="28"/>
    </w:rPr>
  </w:style>
  <w:style w:type="paragraph" w:customStyle="1" w:styleId="75">
    <w:name w:val="正文缩进1"/>
    <w:basedOn w:val="1"/>
    <w:qFormat/>
    <w:uiPriority w:val="0"/>
    <w:pPr>
      <w:ind w:firstLine="420" w:firstLineChars="200"/>
    </w:pPr>
  </w:style>
  <w:style w:type="paragraph" w:customStyle="1" w:styleId="76">
    <w:name w:val="索引 11"/>
    <w:basedOn w:val="1"/>
    <w:next w:val="1"/>
    <w:qFormat/>
    <w:uiPriority w:val="0"/>
    <w:pPr>
      <w:spacing w:line="360" w:lineRule="auto"/>
    </w:pPr>
    <w:rPr>
      <w:rFonts w:ascii="仿宋_GB2312" w:eastAsia="仿宋_GB2312"/>
      <w:sz w:val="24"/>
      <w:szCs w:val="20"/>
    </w:rPr>
  </w:style>
  <w:style w:type="paragraph" w:customStyle="1" w:styleId="77">
    <w:name w:val="纯文本1"/>
    <w:basedOn w:val="1"/>
    <w:qFormat/>
    <w:uiPriority w:val="0"/>
    <w:rPr>
      <w:rFonts w:ascii="宋体" w:hAnsi="Courier New" w:eastAsiaTheme="minorEastAsia" w:cstheme="minorBidi"/>
      <w:szCs w:val="22"/>
    </w:rPr>
  </w:style>
  <w:style w:type="character" w:customStyle="1" w:styleId="78">
    <w:name w:val="NormalCharacter"/>
    <w:qFormat/>
    <w:uiPriority w:val="0"/>
  </w:style>
  <w:style w:type="paragraph" w:customStyle="1" w:styleId="79">
    <w:name w:val="正文-无缩进"/>
    <w:basedOn w:val="1"/>
    <w:qFormat/>
    <w:uiPriority w:val="0"/>
  </w:style>
  <w:style w:type="paragraph" w:customStyle="1" w:styleId="80">
    <w:name w:val="正文 A"/>
    <w:qFormat/>
    <w:uiPriority w:val="0"/>
    <w:pPr>
      <w:widowControl w:val="0"/>
      <w:jc w:val="both"/>
    </w:pPr>
    <w:rPr>
      <w:rFonts w:hint="eastAsia" w:ascii="Arial Unicode MS" w:hAnsi="Arial Unicode MS" w:eastAsia="Arial Unicode MS" w:cs="Arial Unicode MS"/>
      <w:color w:val="000000"/>
      <w:kern w:val="2"/>
      <w:sz w:val="21"/>
      <w:szCs w:val="21"/>
      <w:u w:val="none" w:color="000000"/>
      <w:lang w:val="en-US" w:eastAsia="zh-CN" w:bidi="ar-SA"/>
    </w:rPr>
  </w:style>
  <w:style w:type="paragraph" w:customStyle="1" w:styleId="81">
    <w:name w:val="列表段落1"/>
    <w:basedOn w:val="1"/>
    <w:qFormat/>
    <w:uiPriority w:val="34"/>
    <w:pPr>
      <w:ind w:firstLine="420" w:firstLineChars="200"/>
    </w:pPr>
    <w:rPr>
      <w:rFonts w:ascii="Calibri" w:hAnsi="Calibri"/>
      <w:szCs w:val="22"/>
    </w:rPr>
  </w:style>
  <w:style w:type="paragraph" w:customStyle="1" w:styleId="82">
    <w:name w:val="i正文"/>
    <w:basedOn w:val="1"/>
    <w:qFormat/>
    <w:uiPriority w:val="0"/>
    <w:rPr>
      <w:rFonts w:ascii="仿宋" w:hAnsi="仿宋" w:eastAsia="仿宋"/>
    </w:rPr>
  </w:style>
  <w:style w:type="paragraph" w:customStyle="1" w:styleId="83">
    <w:name w:val="样式 正文缩进 + 首行缩进:  2 字符"/>
    <w:basedOn w:val="10"/>
    <w:qFormat/>
    <w:uiPriority w:val="0"/>
    <w:pPr>
      <w:spacing w:line="360" w:lineRule="auto"/>
      <w:ind w:firstLine="200"/>
    </w:pPr>
    <w:rPr>
      <w:rFonts w:ascii="Calibri" w:hAnsi="Calibri" w:eastAsia="宋体" w:cs="Times New Roman"/>
      <w:kern w:val="0"/>
      <w:sz w:val="24"/>
      <w:szCs w:val="20"/>
    </w:rPr>
  </w:style>
  <w:style w:type="paragraph" w:customStyle="1" w:styleId="84">
    <w:name w:val="正文首行缩进1(Crlf+Shift+M)"/>
    <w:qFormat/>
    <w:uiPriority w:val="0"/>
    <w:pPr>
      <w:spacing w:before="120" w:after="120" w:line="360" w:lineRule="auto"/>
      <w:ind w:firstLine="420" w:firstLineChars="200"/>
    </w:pPr>
    <w:rPr>
      <w:rFonts w:ascii="Arial" w:hAnsi="Arial" w:eastAsia="宋体" w:cs="Times New Roman"/>
      <w:kern w:val="2"/>
      <w:sz w:val="21"/>
      <w:szCs w:val="24"/>
      <w:lang w:val="en-US" w:eastAsia="zh-CN" w:bidi="ar-SA"/>
    </w:rPr>
  </w:style>
  <w:style w:type="paragraph" w:customStyle="1" w:styleId="85">
    <w:name w:val="_正文段落"/>
    <w:basedOn w:val="1"/>
    <w:qFormat/>
    <w:uiPriority w:val="0"/>
    <w:pPr>
      <w:spacing w:line="360" w:lineRule="auto"/>
    </w:pPr>
    <w:rPr>
      <w:rFonts w:ascii="宋体" w:hAnsi="Times New Roman" w:eastAsia="仿宋_GB2312" w:cs="Times New Roman"/>
      <w:kern w:val="0"/>
      <w:sz w:val="28"/>
      <w:szCs w:val="24"/>
    </w:rPr>
  </w:style>
  <w:style w:type="character" w:customStyle="1" w:styleId="86">
    <w:name w:val="font31"/>
    <w:basedOn w:val="35"/>
    <w:qFormat/>
    <w:uiPriority w:val="0"/>
    <w:rPr>
      <w:rFonts w:hint="eastAsia" w:ascii="微软雅黑" w:hAnsi="微软雅黑" w:eastAsia="微软雅黑" w:cs="微软雅黑"/>
      <w:color w:val="404040"/>
      <w:sz w:val="20"/>
      <w:szCs w:val="20"/>
      <w:u w:val="none"/>
    </w:rPr>
  </w:style>
  <w:style w:type="paragraph" w:customStyle="1" w:styleId="87">
    <w:name w:val="p0"/>
    <w:basedOn w:val="1"/>
    <w:qFormat/>
    <w:uiPriority w:val="0"/>
    <w:pPr>
      <w:widowControl/>
    </w:pPr>
    <w:rPr>
      <w:kern w:val="0"/>
      <w:szCs w:val="21"/>
    </w:rPr>
  </w:style>
  <w:style w:type="paragraph" w:customStyle="1" w:styleId="88">
    <w:name w:val="正文（缩进）"/>
    <w:basedOn w:val="1"/>
    <w:qFormat/>
    <w:uiPriority w:val="0"/>
    <w:pPr>
      <w:spacing w:beforeLines="50" w:afterLines="50"/>
      <w:ind w:firstLine="480"/>
    </w:pPr>
    <w:rPr>
      <w:sz w:val="24"/>
    </w:rPr>
  </w:style>
  <w:style w:type="paragraph" w:customStyle="1" w:styleId="89">
    <w:name w:val="Other|1"/>
    <w:basedOn w:val="1"/>
    <w:qFormat/>
    <w:uiPriority w:val="0"/>
    <w:pPr>
      <w:widowControl w:val="0"/>
      <w:shd w:val="clear" w:color="auto" w:fill="auto"/>
    </w:pPr>
    <w:rPr>
      <w:rFonts w:ascii="宋体" w:hAnsi="宋体" w:eastAsia="宋体"/>
      <w:sz w:val="19"/>
      <w:szCs w:val="19"/>
      <w:u w:val="none"/>
      <w:shd w:val="clear" w:color="auto" w:fill="auto"/>
      <w:lang w:val="zh-TW" w:eastAsia="zh-TW" w:bidi="zh-TW"/>
    </w:rPr>
  </w:style>
  <w:style w:type="paragraph" w:customStyle="1" w:styleId="9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header" Target="header2.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72</Pages>
  <Words>5512</Words>
  <Characters>6380</Characters>
  <Lines>1</Lines>
  <Paragraphs>1</Paragraphs>
  <TotalTime>0</TotalTime>
  <ScaleCrop>false</ScaleCrop>
  <LinksUpToDate>false</LinksUpToDate>
  <CharactersWithSpaces>6582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2020-12-11T09:06:00Z</dcterms:created>
  <dc:creator>ASUS</dc:creator>
  <cp:lastModifiedBy>李小na</cp:lastModifiedBy>
  <cp:lastPrinted>2022-12-23T03:48:00Z</cp:lastPrinted>
  <dcterms:modified xsi:type="dcterms:W3CDTF">2025-07-07T11:18:30Z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EDB4C4644EA34A8DA16F00DB6F734A0A_13</vt:lpwstr>
  </property>
  <property fmtid="{D5CDD505-2E9C-101B-9397-08002B2CF9AE}" pid="4" name="KSOTemplateDocerSaveRecord">
    <vt:lpwstr>eyJoZGlkIjoiYmQxMWQ3NzEwY2RmNzE5ZGYyMTk2Mzc2ZTZhNzdkMTEiLCJ1c2VySWQiOiI1NTc0MDA2MTEifQ==</vt:lpwstr>
  </property>
</Properties>
</file>