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pageBreakBefore w:val="0"/>
        <w:widowControl/>
        <w:suppressLineNumbers w:val="0"/>
        <w:kinsoku/>
        <w:wordWrap/>
        <w:overflowPunct/>
        <w:topLinePunct w:val="0"/>
        <w:autoSpaceDE/>
        <w:autoSpaceDN/>
        <w:bidi w:val="0"/>
        <w:adjustRightInd/>
        <w:snapToGrid/>
        <w:spacing w:line="360" w:lineRule="exact"/>
        <w:ind w:firstLine="1044" w:firstLineChars="200"/>
        <w:jc w:val="right"/>
        <w:textAlignment w:val="auto"/>
        <w:rPr>
          <w:rFonts w:hint="default" w:eastAsia="宋体" w:cs="宋体"/>
          <w:b/>
          <w:color w:val="auto"/>
          <w:sz w:val="24"/>
          <w:szCs w:val="24"/>
          <w:lang w:val="en-US" w:eastAsia="zh-CN"/>
        </w:rPr>
      </w:pPr>
      <w:r>
        <w:rPr>
          <w:rFonts w:hint="eastAsia" w:ascii="宋体" w:hAnsi="宋体" w:cs="方正小标宋简体"/>
          <w:b/>
          <w:color w:val="auto"/>
          <w:kern w:val="0"/>
          <w:sz w:val="52"/>
          <w:szCs w:val="52"/>
          <w:highlight w:val="none"/>
          <w:lang w:val="en-US" w:eastAsia="zh-CN" w:bidi="ar"/>
        </w:rPr>
        <w:t xml:space="preserve"> </w:t>
      </w:r>
      <w:r>
        <w:rPr>
          <w:rFonts w:hint="eastAsia" w:ascii="宋体" w:hAnsi="宋体" w:cs="宋体"/>
          <w:b/>
          <w:color w:val="auto"/>
          <w:sz w:val="24"/>
          <w:szCs w:val="24"/>
        </w:rPr>
        <w:t>项目编码：HYYL-2025-02</w:t>
      </w:r>
      <w:r>
        <w:rPr>
          <w:rFonts w:hint="eastAsia" w:cs="宋体"/>
          <w:b/>
          <w:color w:val="auto"/>
          <w:sz w:val="24"/>
          <w:szCs w:val="24"/>
          <w:lang w:val="en-US" w:eastAsia="zh-CN"/>
        </w:rPr>
        <w:t>7-1</w:t>
      </w:r>
    </w:p>
    <w:p>
      <w:pPr>
        <w:pStyle w:val="41"/>
        <w:spacing w:line="360" w:lineRule="auto"/>
        <w:ind w:left="0" w:leftChars="0" w:firstLine="0" w:firstLineChars="0"/>
        <w:rPr>
          <w:rFonts w:hint="eastAsia" w:ascii="宋体" w:hAnsi="宋体" w:cs="宋体"/>
          <w:b/>
          <w:color w:val="auto"/>
          <w:sz w:val="44"/>
          <w:szCs w:val="44"/>
          <w:lang w:val="en-US" w:eastAsia="zh-CN"/>
        </w:rPr>
      </w:pPr>
    </w:p>
    <w:p>
      <w:pPr>
        <w:pStyle w:val="41"/>
        <w:spacing w:line="360" w:lineRule="auto"/>
        <w:ind w:left="0" w:leftChars="0" w:firstLine="0" w:firstLineChars="0"/>
        <w:rPr>
          <w:rFonts w:hint="eastAsia" w:ascii="宋体" w:hAnsi="宋体" w:cs="宋体"/>
          <w:b/>
          <w:color w:val="auto"/>
          <w:sz w:val="44"/>
          <w:szCs w:val="44"/>
          <w:lang w:val="en-US" w:eastAsia="zh-CN"/>
        </w:rPr>
      </w:pPr>
    </w:p>
    <w:p>
      <w:pPr>
        <w:pStyle w:val="41"/>
        <w:spacing w:line="360" w:lineRule="auto"/>
        <w:ind w:left="0" w:leftChars="0" w:firstLine="0" w:firstLineChars="0"/>
        <w:jc w:val="center"/>
        <w:rPr>
          <w:rFonts w:ascii="宋体"/>
          <w:b/>
          <w:color w:val="auto"/>
          <w:sz w:val="36"/>
          <w:szCs w:val="36"/>
          <w:lang w:val="en-US"/>
        </w:rPr>
      </w:pPr>
      <w:r>
        <w:rPr>
          <w:rFonts w:hint="eastAsia" w:ascii="宋体" w:hAnsi="宋体" w:cs="宋体"/>
          <w:b/>
          <w:color w:val="auto"/>
          <w:sz w:val="44"/>
          <w:szCs w:val="44"/>
          <w:lang w:val="en-US" w:eastAsia="zh-CN"/>
        </w:rPr>
        <w:t>特克斯县人民医院设备、后勤维保服务项目（二次）（标项一）</w:t>
      </w:r>
    </w:p>
    <w:p>
      <w:pPr>
        <w:pStyle w:val="41"/>
        <w:spacing w:line="360" w:lineRule="auto"/>
        <w:ind w:firstLine="723"/>
        <w:rPr>
          <w:rFonts w:ascii="宋体"/>
          <w:b/>
          <w:color w:val="auto"/>
          <w:sz w:val="36"/>
          <w:szCs w:val="36"/>
          <w:lang w:val="en-US"/>
        </w:rPr>
      </w:pPr>
    </w:p>
    <w:p>
      <w:pPr>
        <w:pStyle w:val="41"/>
        <w:spacing w:line="360" w:lineRule="auto"/>
        <w:ind w:left="0" w:leftChars="0" w:firstLine="0" w:firstLineChars="0"/>
        <w:rPr>
          <w:rFonts w:ascii="宋体"/>
          <w:b/>
          <w:color w:val="auto"/>
          <w:sz w:val="36"/>
          <w:szCs w:val="36"/>
          <w:lang w:val="en-US"/>
        </w:rPr>
      </w:pPr>
    </w:p>
    <w:p>
      <w:pPr>
        <w:autoSpaceDE w:val="0"/>
        <w:autoSpaceDN w:val="0"/>
        <w:adjustRightInd w:val="0"/>
        <w:spacing w:line="360" w:lineRule="auto"/>
        <w:jc w:val="center"/>
        <w:rPr>
          <w:rFonts w:hint="eastAsia" w:ascii="宋体" w:hAnsi="宋体" w:cs="宋体"/>
          <w:b/>
          <w:color w:val="auto"/>
          <w:sz w:val="84"/>
          <w:szCs w:val="84"/>
        </w:rPr>
      </w:pPr>
      <w:r>
        <w:rPr>
          <w:rFonts w:ascii="宋体" w:hAnsi="宋体" w:cs="宋体"/>
          <w:b/>
          <w:color w:val="auto"/>
          <w:sz w:val="84"/>
          <w:szCs w:val="84"/>
        </w:rPr>
        <w:t xml:space="preserve"> </w:t>
      </w:r>
      <w:r>
        <w:rPr>
          <w:rFonts w:hint="eastAsia" w:ascii="宋体" w:hAnsi="宋体" w:cs="宋体"/>
          <w:b/>
          <w:color w:val="auto"/>
          <w:sz w:val="84"/>
          <w:szCs w:val="84"/>
        </w:rPr>
        <w:t>招</w:t>
      </w:r>
      <w:r>
        <w:rPr>
          <w:rFonts w:ascii="宋体" w:hAnsi="宋体" w:cs="宋体"/>
          <w:b/>
          <w:color w:val="auto"/>
          <w:sz w:val="84"/>
          <w:szCs w:val="84"/>
        </w:rPr>
        <w:t xml:space="preserve"> </w:t>
      </w:r>
      <w:r>
        <w:rPr>
          <w:rFonts w:hint="eastAsia" w:ascii="宋体" w:hAnsi="宋体" w:cs="宋体"/>
          <w:b/>
          <w:color w:val="auto"/>
          <w:sz w:val="84"/>
          <w:szCs w:val="84"/>
        </w:rPr>
        <w:t>标</w:t>
      </w:r>
      <w:r>
        <w:rPr>
          <w:rFonts w:ascii="宋体" w:hAnsi="宋体" w:cs="宋体"/>
          <w:b/>
          <w:color w:val="auto"/>
          <w:sz w:val="84"/>
          <w:szCs w:val="84"/>
        </w:rPr>
        <w:t xml:space="preserve"> </w:t>
      </w:r>
      <w:r>
        <w:rPr>
          <w:rFonts w:hint="eastAsia" w:ascii="宋体" w:hAnsi="宋体" w:cs="宋体"/>
          <w:b/>
          <w:color w:val="auto"/>
          <w:sz w:val="84"/>
          <w:szCs w:val="84"/>
        </w:rPr>
        <w:t>文</w:t>
      </w:r>
      <w:r>
        <w:rPr>
          <w:rFonts w:ascii="宋体" w:hAnsi="宋体" w:cs="宋体"/>
          <w:b/>
          <w:color w:val="auto"/>
          <w:sz w:val="84"/>
          <w:szCs w:val="84"/>
        </w:rPr>
        <w:t xml:space="preserve"> </w:t>
      </w:r>
      <w:r>
        <w:rPr>
          <w:rFonts w:hint="eastAsia" w:ascii="宋体" w:hAnsi="宋体" w:cs="宋体"/>
          <w:b/>
          <w:color w:val="auto"/>
          <w:sz w:val="84"/>
          <w:szCs w:val="84"/>
        </w:rPr>
        <w:t>件</w:t>
      </w:r>
    </w:p>
    <w:p>
      <w:pPr>
        <w:pStyle w:val="7"/>
        <w:rPr>
          <w:rFonts w:hint="eastAsia"/>
        </w:rPr>
      </w:pPr>
    </w:p>
    <w:p>
      <w:pPr>
        <w:pStyle w:val="18"/>
        <w:rPr>
          <w:rFonts w:hint="eastAsia" w:ascii="宋体" w:hAnsi="宋体" w:cs="宋体"/>
          <w:b/>
          <w:color w:val="auto"/>
          <w:sz w:val="84"/>
          <w:szCs w:val="84"/>
        </w:rPr>
      </w:pPr>
    </w:p>
    <w:p>
      <w:pPr>
        <w:autoSpaceDN w:val="0"/>
        <w:spacing w:before="100" w:beforeLines="0" w:beforeAutospacing="1" w:after="100" w:afterLines="0" w:afterAutospacing="1" w:line="360" w:lineRule="auto"/>
        <w:ind w:firstLine="562" w:firstLineChars="200"/>
        <w:rPr>
          <w:rFonts w:hint="eastAsia" w:ascii="宋体" w:hAnsi="宋体"/>
          <w:b/>
          <w:sz w:val="28"/>
          <w:szCs w:val="28"/>
          <w:u w:val="single"/>
        </w:rPr>
      </w:pPr>
      <w:r>
        <w:rPr>
          <w:rFonts w:hint="eastAsia"/>
          <w:b/>
          <w:sz w:val="28"/>
          <w:szCs w:val="28"/>
        </w:rPr>
        <w:t>采购</w:t>
      </w:r>
      <w:r>
        <w:rPr>
          <w:rFonts w:hint="eastAsia" w:ascii="宋体" w:hAnsi="宋体"/>
          <w:b/>
          <w:sz w:val="28"/>
          <w:szCs w:val="28"/>
        </w:rPr>
        <w:t>人:</w:t>
      </w:r>
      <w:r>
        <w:rPr>
          <w:rFonts w:hint="eastAsia" w:ascii="宋体" w:hAnsi="宋体" w:eastAsia="宋体" w:cs="Times New Roman"/>
          <w:b/>
          <w:sz w:val="28"/>
          <w:szCs w:val="28"/>
          <w:u w:val="single"/>
          <w:lang w:val="en-US" w:eastAsia="zh-CN"/>
        </w:rPr>
        <w:t xml:space="preserve">  </w:t>
      </w:r>
      <w:r>
        <w:rPr>
          <w:rFonts w:hint="eastAsia" w:ascii="宋体" w:hAnsi="宋体" w:cs="Times New Roman"/>
          <w:b/>
          <w:sz w:val="28"/>
          <w:szCs w:val="28"/>
          <w:u w:val="single"/>
          <w:lang w:val="en-US" w:eastAsia="zh-CN"/>
        </w:rPr>
        <w:t>特克斯县人民医院</w:t>
      </w:r>
      <w:r>
        <w:rPr>
          <w:rFonts w:hint="eastAsia" w:ascii="宋体" w:hAnsi="宋体" w:eastAsia="宋体" w:cs="Times New Roman"/>
          <w:b/>
          <w:sz w:val="28"/>
          <w:szCs w:val="28"/>
          <w:u w:val="single"/>
          <w:lang w:val="en-US" w:eastAsia="zh-CN"/>
        </w:rPr>
        <w:t xml:space="preserve">    </w:t>
      </w:r>
      <w:r>
        <w:rPr>
          <w:rFonts w:hint="eastAsia" w:ascii="宋体" w:hAnsi="宋体" w:cs="Times New Roman"/>
          <w:b/>
          <w:sz w:val="28"/>
          <w:szCs w:val="28"/>
          <w:u w:val="single"/>
          <w:lang w:val="en-US" w:eastAsia="zh-CN"/>
        </w:rPr>
        <w:t xml:space="preserve">       </w:t>
      </w:r>
      <w:r>
        <w:rPr>
          <w:rFonts w:hint="eastAsia" w:ascii="宋体" w:hAnsi="宋体" w:eastAsia="宋体" w:cs="Times New Roman"/>
          <w:b/>
          <w:sz w:val="28"/>
          <w:szCs w:val="28"/>
          <w:u w:val="single"/>
          <w:lang w:val="en-US" w:eastAsia="zh-CN"/>
        </w:rPr>
        <w:t xml:space="preserve">     </w:t>
      </w:r>
      <w:r>
        <w:rPr>
          <w:rFonts w:hint="eastAsia" w:ascii="宋体" w:hAnsi="宋体"/>
          <w:b/>
          <w:sz w:val="28"/>
          <w:szCs w:val="28"/>
        </w:rPr>
        <w:t>（盖章）</w:t>
      </w:r>
    </w:p>
    <w:p>
      <w:pPr>
        <w:autoSpaceDN w:val="0"/>
        <w:spacing w:before="100" w:beforeLines="0" w:beforeAutospacing="1" w:after="100" w:afterLines="0" w:afterAutospacing="1" w:line="360" w:lineRule="auto"/>
        <w:ind w:firstLine="562" w:firstLineChars="200"/>
        <w:rPr>
          <w:rFonts w:hint="eastAsia" w:ascii="宋体" w:hAnsi="宋体"/>
          <w:b/>
          <w:sz w:val="28"/>
          <w:szCs w:val="28"/>
          <w:u w:val="single" w:color="auto"/>
        </w:rPr>
      </w:pPr>
      <w:r>
        <w:rPr>
          <w:rFonts w:hint="eastAsia" w:ascii="宋体" w:hAnsi="宋体"/>
          <w:b/>
          <w:sz w:val="28"/>
          <w:szCs w:val="28"/>
        </w:rPr>
        <w:t>联系人：</w:t>
      </w:r>
      <w:r>
        <w:rPr>
          <w:rFonts w:hint="eastAsia" w:ascii="宋体" w:hAnsi="宋体" w:eastAsia="宋体" w:cs="Times New Roman"/>
          <w:b/>
          <w:sz w:val="28"/>
          <w:szCs w:val="28"/>
          <w:u w:val="single"/>
          <w:lang w:val="en-US" w:eastAsia="zh-CN"/>
        </w:rPr>
        <w:t xml:space="preserve"> </w:t>
      </w:r>
      <w:r>
        <w:rPr>
          <w:rFonts w:hint="eastAsia" w:ascii="宋体" w:hAnsi="宋体" w:cs="Times New Roman"/>
          <w:b/>
          <w:sz w:val="28"/>
          <w:szCs w:val="28"/>
          <w:u w:val="single"/>
          <w:lang w:val="en-US" w:eastAsia="zh-CN"/>
        </w:rPr>
        <w:t>庞主任</w:t>
      </w:r>
      <w:r>
        <w:rPr>
          <w:rFonts w:hint="eastAsia" w:ascii="宋体" w:hAnsi="宋体" w:eastAsia="宋体" w:cs="Times New Roman"/>
          <w:b/>
          <w:sz w:val="28"/>
          <w:szCs w:val="28"/>
          <w:u w:val="single"/>
          <w:lang w:val="en-US" w:eastAsia="zh-CN"/>
        </w:rPr>
        <w:t xml:space="preserve"> </w:t>
      </w:r>
      <w:r>
        <w:rPr>
          <w:rFonts w:hint="eastAsia" w:ascii="宋体" w:hAnsi="宋体"/>
          <w:b/>
          <w:sz w:val="28"/>
          <w:szCs w:val="28"/>
        </w:rPr>
        <w:t xml:space="preserve"> </w:t>
      </w:r>
      <w:r>
        <w:rPr>
          <w:rFonts w:hint="eastAsia"/>
          <w:b/>
          <w:sz w:val="28"/>
          <w:szCs w:val="28"/>
        </w:rPr>
        <w:t xml:space="preserve"> </w:t>
      </w:r>
      <w:r>
        <w:rPr>
          <w:rFonts w:hint="eastAsia"/>
          <w:b/>
          <w:sz w:val="28"/>
          <w:szCs w:val="28"/>
          <w:lang w:val="en-US" w:eastAsia="zh-CN"/>
        </w:rPr>
        <w:t xml:space="preserve">      </w:t>
      </w:r>
      <w:r>
        <w:rPr>
          <w:rFonts w:hint="eastAsia" w:ascii="宋体" w:hAnsi="宋体"/>
          <w:b/>
          <w:sz w:val="28"/>
          <w:szCs w:val="28"/>
        </w:rPr>
        <w:t>联系电话：</w:t>
      </w:r>
      <w:r>
        <w:rPr>
          <w:rFonts w:hint="eastAsia" w:ascii="宋体" w:hAnsi="宋体" w:cs="Times New Roman"/>
          <w:b/>
          <w:sz w:val="28"/>
          <w:szCs w:val="28"/>
          <w:u w:val="single"/>
          <w:lang w:val="en-US" w:eastAsia="zh-CN"/>
        </w:rPr>
        <w:t>0999-6626455</w:t>
      </w:r>
    </w:p>
    <w:p>
      <w:pPr>
        <w:autoSpaceDN w:val="0"/>
        <w:spacing w:before="100" w:beforeLines="0" w:beforeAutospacing="1" w:after="100" w:afterLines="0" w:afterAutospacing="1" w:line="360" w:lineRule="auto"/>
        <w:ind w:firstLine="562" w:firstLineChars="200"/>
        <w:rPr>
          <w:rFonts w:hint="eastAsia" w:ascii="宋体" w:hAnsi="宋体"/>
          <w:b/>
          <w:sz w:val="28"/>
          <w:szCs w:val="28"/>
          <w:u w:val="thick"/>
        </w:rPr>
      </w:pPr>
      <w:r>
        <w:rPr>
          <w:rFonts w:hint="eastAsia"/>
          <w:b/>
          <w:sz w:val="28"/>
          <w:szCs w:val="28"/>
        </w:rPr>
        <w:t>采购</w:t>
      </w:r>
      <w:r>
        <w:rPr>
          <w:rFonts w:hint="eastAsia" w:ascii="宋体" w:hAnsi="宋体"/>
          <w:b/>
          <w:sz w:val="28"/>
          <w:szCs w:val="28"/>
        </w:rPr>
        <w:t>代理机构:</w:t>
      </w:r>
      <w:r>
        <w:rPr>
          <w:rFonts w:hint="eastAsia" w:ascii="宋体" w:hAnsi="宋体" w:cs="Times New Roman"/>
          <w:b/>
          <w:sz w:val="28"/>
          <w:szCs w:val="28"/>
          <w:u w:val="single"/>
          <w:lang w:val="en-US" w:eastAsia="zh-CN"/>
        </w:rPr>
        <w:t>新疆华域建设工程项目管理咨询有限公司</w:t>
      </w:r>
      <w:r>
        <w:rPr>
          <w:rFonts w:hint="eastAsia" w:ascii="宋体" w:hAnsi="宋体" w:eastAsia="宋体" w:cs="Times New Roman"/>
          <w:b/>
          <w:sz w:val="28"/>
          <w:szCs w:val="28"/>
          <w:u w:val="single"/>
          <w:lang w:val="en-US" w:eastAsia="zh-CN"/>
        </w:rPr>
        <w:t>（</w:t>
      </w:r>
      <w:r>
        <w:rPr>
          <w:rFonts w:hint="eastAsia" w:ascii="宋体" w:hAnsi="宋体"/>
          <w:b/>
          <w:sz w:val="28"/>
          <w:szCs w:val="28"/>
        </w:rPr>
        <w:t>盖章）</w:t>
      </w:r>
    </w:p>
    <w:p>
      <w:pPr>
        <w:pStyle w:val="2"/>
        <w:ind w:firstLine="562" w:firstLineChars="200"/>
        <w:jc w:val="both"/>
        <w:rPr>
          <w:rFonts w:hint="eastAsia"/>
          <w:b/>
          <w:sz w:val="28"/>
          <w:szCs w:val="28"/>
          <w:u w:val="single" w:color="auto"/>
        </w:rPr>
      </w:pPr>
      <w:r>
        <w:rPr>
          <w:rFonts w:hint="eastAsia"/>
          <w:b/>
          <w:sz w:val="28"/>
          <w:szCs w:val="28"/>
        </w:rPr>
        <w:t>联系人</w:t>
      </w:r>
      <w:r>
        <w:rPr>
          <w:rFonts w:hint="eastAsia" w:ascii="宋体" w:hAnsi="宋体"/>
          <w:b/>
          <w:sz w:val="28"/>
          <w:szCs w:val="28"/>
        </w:rPr>
        <w:t>：</w:t>
      </w:r>
      <w:r>
        <w:rPr>
          <w:rFonts w:hint="eastAsia" w:hAnsi="宋体"/>
          <w:b/>
          <w:sz w:val="28"/>
          <w:szCs w:val="28"/>
          <w:u w:val="single"/>
          <w:lang w:eastAsia="zh-CN"/>
        </w:rPr>
        <w:t>薛迎</w:t>
      </w:r>
      <w:r>
        <w:rPr>
          <w:rFonts w:hint="eastAsia" w:ascii="宋体" w:hAnsi="宋体"/>
          <w:b/>
          <w:sz w:val="28"/>
          <w:szCs w:val="28"/>
          <w:u w:val="single"/>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b/>
          <w:sz w:val="28"/>
          <w:szCs w:val="28"/>
        </w:rPr>
        <w:t xml:space="preserve"> </w:t>
      </w:r>
      <w:r>
        <w:rPr>
          <w:rFonts w:hint="eastAsia" w:ascii="宋体" w:hAnsi="宋体"/>
          <w:b/>
          <w:sz w:val="28"/>
          <w:szCs w:val="28"/>
        </w:rPr>
        <w:t>联系电话：</w:t>
      </w:r>
      <w:r>
        <w:rPr>
          <w:rFonts w:hint="eastAsia" w:hAnsi="宋体"/>
          <w:b/>
          <w:sz w:val="28"/>
          <w:szCs w:val="28"/>
          <w:u w:val="single" w:color="auto"/>
          <w:lang w:eastAsia="zh-CN"/>
        </w:rPr>
        <w:t>18699973005</w:t>
      </w:r>
    </w:p>
    <w:p>
      <w:pPr>
        <w:pStyle w:val="2"/>
        <w:jc w:val="center"/>
        <w:rPr>
          <w:rFonts w:hint="eastAsia"/>
          <w:b/>
          <w:sz w:val="36"/>
          <w:szCs w:val="36"/>
          <w:lang w:val="en-US" w:eastAsia="zh-CN"/>
        </w:rPr>
      </w:pPr>
    </w:p>
    <w:p>
      <w:pPr>
        <w:pStyle w:val="2"/>
        <w:jc w:val="center"/>
        <w:rPr>
          <w:b/>
          <w:color w:val="auto"/>
          <w:sz w:val="20"/>
          <w:szCs w:val="18"/>
          <w:highlight w:val="none"/>
          <w:lang w:val="zh-CN"/>
        </w:rPr>
      </w:pPr>
      <w:r>
        <w:rPr>
          <w:rFonts w:hint="eastAsia"/>
          <w:b/>
          <w:sz w:val="32"/>
          <w:szCs w:val="32"/>
          <w:lang w:val="en-US" w:eastAsia="zh-CN"/>
        </w:rPr>
        <w:t>2025</w:t>
      </w:r>
      <w:r>
        <w:rPr>
          <w:rFonts w:hint="eastAsia"/>
          <w:b/>
          <w:sz w:val="32"/>
          <w:szCs w:val="32"/>
          <w:lang w:eastAsia="zh-CN"/>
        </w:rPr>
        <w:t>年</w:t>
      </w:r>
      <w:r>
        <w:rPr>
          <w:rFonts w:hint="eastAsia"/>
          <w:b/>
          <w:sz w:val="32"/>
          <w:szCs w:val="32"/>
          <w:lang w:val="en-US" w:eastAsia="zh-CN"/>
        </w:rPr>
        <w:t>06</w:t>
      </w:r>
      <w:r>
        <w:rPr>
          <w:rFonts w:hint="eastAsia"/>
          <w:b/>
          <w:sz w:val="32"/>
          <w:szCs w:val="32"/>
          <w:lang w:eastAsia="zh-CN"/>
        </w:rPr>
        <w:t>月</w:t>
      </w:r>
    </w:p>
    <w:p>
      <w:pPr>
        <w:pStyle w:val="66"/>
        <w:adjustRightInd w:val="0"/>
        <w:snapToGrid w:val="0"/>
        <w:jc w:val="center"/>
        <w:rPr>
          <w:b/>
          <w:color w:val="auto"/>
          <w:highlight w:val="none"/>
          <w:lang w:val="zh-CN"/>
        </w:rPr>
        <w:sectPr>
          <w:headerReference r:id="rId3" w:type="default"/>
          <w:footerReference r:id="rId4" w:type="default"/>
          <w:type w:val="continuous"/>
          <w:pgSz w:w="11907" w:h="16840"/>
          <w:pgMar w:top="1474" w:right="1417" w:bottom="1474" w:left="1417" w:header="851" w:footer="851" w:gutter="0"/>
          <w:pgNumType w:fmt="decimal" w:start="1"/>
          <w:cols w:space="720" w:num="1"/>
          <w:docGrid w:linePitch="462" w:charSpace="0"/>
        </w:sectPr>
      </w:pPr>
    </w:p>
    <w:p>
      <w:pPr>
        <w:pStyle w:val="66"/>
        <w:adjustRightInd w:val="0"/>
        <w:snapToGrid w:val="0"/>
        <w:jc w:val="center"/>
        <w:rPr>
          <w:b/>
          <w:color w:val="auto"/>
          <w:highlight w:val="none"/>
        </w:rPr>
      </w:pPr>
      <w:r>
        <w:rPr>
          <w:b/>
          <w:color w:val="auto"/>
          <w:highlight w:val="none"/>
          <w:lang w:val="zh-CN"/>
        </w:rPr>
        <w:t>目</w:t>
      </w:r>
      <w:r>
        <w:rPr>
          <w:rFonts w:hint="eastAsia"/>
          <w:b/>
          <w:color w:val="auto"/>
          <w:highlight w:val="none"/>
          <w:lang w:val="zh-CN"/>
        </w:rPr>
        <w:t xml:space="preserve">  </w:t>
      </w:r>
      <w:r>
        <w:rPr>
          <w:b/>
          <w:color w:val="auto"/>
          <w:highlight w:val="none"/>
          <w:lang w:val="zh-CN"/>
        </w:rPr>
        <w:t>录</w:t>
      </w:r>
    </w:p>
    <w:p>
      <w:pPr>
        <w:pStyle w:val="41"/>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_Toc20454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第一章 </w:t>
      </w:r>
      <w:r>
        <w:rPr>
          <w:rFonts w:hint="eastAsia" w:ascii="宋体" w:hAnsi="宋体" w:eastAsia="宋体" w:cs="宋体"/>
          <w:kern w:val="2"/>
          <w:sz w:val="21"/>
          <w:szCs w:val="21"/>
          <w:highlight w:val="none"/>
          <w:lang w:val="en-US" w:eastAsia="zh-CN" w:bidi="ar-SA"/>
        </w:rPr>
        <w:t>招标公告.</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lang w:val="en-US" w:eastAsia="zh-CN"/>
        </w:rPr>
        <w:t>5</w:t>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_Toc22786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第二章 投标须知前附表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_Toc22786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_Toc3096 </w:instrText>
      </w:r>
      <w:r>
        <w:rPr>
          <w:rFonts w:hint="eastAsia" w:ascii="宋体" w:hAnsi="宋体" w:eastAsia="宋体" w:cs="宋体"/>
          <w:sz w:val="21"/>
          <w:szCs w:val="21"/>
          <w:highlight w:val="none"/>
        </w:rPr>
        <w:fldChar w:fldCharType="separate"/>
      </w:r>
      <w:r>
        <w:rPr>
          <w:rFonts w:hint="eastAsia" w:ascii="宋体" w:hAnsi="宋体" w:eastAsia="宋体" w:cs="宋体"/>
          <w:kern w:val="44"/>
          <w:sz w:val="21"/>
          <w:szCs w:val="21"/>
          <w:highlight w:val="none"/>
        </w:rPr>
        <w:t>第三章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_Toc26890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一、说明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_Toc26890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_Toc2890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 </w:t>
      </w:r>
      <w:r>
        <w:rPr>
          <w:rFonts w:hint="eastAsia" w:ascii="宋体" w:hAnsi="宋体" w:eastAsia="宋体" w:cs="宋体"/>
          <w:bCs/>
          <w:kern w:val="44"/>
          <w:sz w:val="21"/>
          <w:szCs w:val="21"/>
          <w:highlight w:val="none"/>
        </w:rPr>
        <w:t>说明：本</w:t>
      </w:r>
      <w:r>
        <w:rPr>
          <w:rFonts w:hint="eastAsia" w:ascii="宋体" w:hAnsi="宋体" w:eastAsia="宋体" w:cs="宋体"/>
          <w:bCs/>
          <w:kern w:val="44"/>
          <w:sz w:val="21"/>
          <w:szCs w:val="21"/>
          <w:highlight w:val="none"/>
          <w:lang w:eastAsia="zh-CN"/>
        </w:rPr>
        <w:t>招标文件</w:t>
      </w:r>
      <w:r>
        <w:rPr>
          <w:rFonts w:hint="eastAsia" w:ascii="宋体" w:hAnsi="宋体" w:eastAsia="宋体" w:cs="宋体"/>
          <w:bCs/>
          <w:kern w:val="44"/>
          <w:sz w:val="21"/>
          <w:szCs w:val="21"/>
          <w:highlight w:val="none"/>
        </w:rPr>
        <w:t>使用的词语有如下定义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_Toc2890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_Toc26165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 </w:t>
      </w:r>
      <w:r>
        <w:rPr>
          <w:rFonts w:hint="eastAsia" w:ascii="宋体" w:hAnsi="宋体" w:eastAsia="宋体" w:cs="宋体"/>
          <w:bCs/>
          <w:kern w:val="44"/>
          <w:sz w:val="21"/>
          <w:szCs w:val="21"/>
          <w:highlight w:val="none"/>
        </w:rPr>
        <w:t>合格的投标人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_Toc26165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_Toc2463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rPr>
        <w:t xml:space="preserve">3. </w:t>
      </w:r>
      <w:r>
        <w:rPr>
          <w:rFonts w:hint="eastAsia" w:ascii="宋体" w:hAnsi="宋体" w:eastAsia="宋体" w:cs="宋体"/>
          <w:bCs/>
          <w:sz w:val="21"/>
          <w:szCs w:val="21"/>
          <w:highlight w:val="none"/>
        </w:rPr>
        <w:t>投标费用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_Toc2463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_Toc22355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rPr>
        <w:t xml:space="preserve">4. </w:t>
      </w:r>
      <w:r>
        <w:rPr>
          <w:rFonts w:hint="eastAsia" w:ascii="宋体" w:hAnsi="宋体" w:eastAsia="宋体" w:cs="宋体"/>
          <w:bCs w:val="0"/>
          <w:sz w:val="21"/>
          <w:szCs w:val="21"/>
          <w:highlight w:val="none"/>
        </w:rPr>
        <w:t>现场考察或者召开开标前答疑会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_Toc22355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_Toc2323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5. </w:t>
      </w:r>
      <w:r>
        <w:rPr>
          <w:rFonts w:hint="eastAsia" w:ascii="宋体" w:hAnsi="宋体" w:eastAsia="宋体" w:cs="宋体"/>
          <w:bCs/>
          <w:kern w:val="44"/>
          <w:sz w:val="21"/>
          <w:szCs w:val="21"/>
          <w:highlight w:val="none"/>
        </w:rPr>
        <w:t>开标的资质要求、时间及地点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_Toc2323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_Toc6954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6. </w:t>
      </w:r>
      <w:r>
        <w:rPr>
          <w:rFonts w:hint="eastAsia" w:ascii="宋体" w:hAnsi="宋体" w:eastAsia="宋体" w:cs="宋体"/>
          <w:bCs/>
          <w:kern w:val="44"/>
          <w:sz w:val="21"/>
          <w:szCs w:val="21"/>
          <w:highlight w:val="none"/>
        </w:rPr>
        <w:t>纪律与保密事项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_Toc6954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_Toc18189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7. </w:t>
      </w:r>
      <w:r>
        <w:rPr>
          <w:rFonts w:hint="eastAsia" w:ascii="宋体" w:hAnsi="宋体" w:eastAsia="宋体" w:cs="宋体"/>
          <w:bCs/>
          <w:kern w:val="44"/>
          <w:sz w:val="21"/>
          <w:szCs w:val="21"/>
          <w:highlight w:val="none"/>
        </w:rPr>
        <w:t>保证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_Toc18189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_Toc21599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二、招标文件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_Toc21599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_Toc4904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8. </w:t>
      </w:r>
      <w:r>
        <w:rPr>
          <w:rFonts w:hint="eastAsia" w:ascii="宋体" w:hAnsi="宋体" w:eastAsia="宋体" w:cs="宋体"/>
          <w:bCs/>
          <w:kern w:val="44"/>
          <w:sz w:val="21"/>
          <w:szCs w:val="21"/>
          <w:highlight w:val="none"/>
        </w:rPr>
        <w:t>招标文件的编制依据与构成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_Toc4904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_Toc5501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9. </w:t>
      </w:r>
      <w:r>
        <w:rPr>
          <w:rFonts w:hint="eastAsia" w:ascii="宋体" w:hAnsi="宋体" w:eastAsia="宋体" w:cs="宋体"/>
          <w:kern w:val="44"/>
          <w:sz w:val="21"/>
          <w:szCs w:val="21"/>
          <w:highlight w:val="none"/>
        </w:rPr>
        <w:t>招标文件的澄清或修改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_Toc5501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_Toc14750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三、投标文件的编制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_Toc14750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_Toc22093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rPr>
        <w:t xml:space="preserve">10. </w:t>
      </w:r>
      <w:r>
        <w:rPr>
          <w:rFonts w:hint="eastAsia" w:ascii="宋体" w:hAnsi="宋体" w:eastAsia="宋体" w:cs="宋体"/>
          <w:bCs/>
          <w:sz w:val="21"/>
          <w:szCs w:val="21"/>
          <w:highlight w:val="none"/>
        </w:rPr>
        <w:t>投标的语言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_Toc22093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_Toc1469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11. </w:t>
      </w:r>
      <w:r>
        <w:rPr>
          <w:rFonts w:hint="eastAsia" w:ascii="宋体" w:hAnsi="宋体" w:eastAsia="宋体" w:cs="宋体"/>
          <w:bCs/>
          <w:kern w:val="44"/>
          <w:sz w:val="21"/>
          <w:szCs w:val="21"/>
          <w:highlight w:val="none"/>
        </w:rPr>
        <w:t>投标文件的构成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_Toc1469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_Toc17632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12. </w:t>
      </w:r>
      <w:r>
        <w:rPr>
          <w:rFonts w:hint="eastAsia" w:ascii="宋体" w:hAnsi="宋体" w:eastAsia="宋体" w:cs="宋体"/>
          <w:bCs/>
          <w:kern w:val="44"/>
          <w:sz w:val="21"/>
          <w:szCs w:val="21"/>
          <w:highlight w:val="none"/>
        </w:rPr>
        <w:t>投标文件电子文档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_Toc17632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_Toc17740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13. </w:t>
      </w:r>
      <w:r>
        <w:rPr>
          <w:rFonts w:hint="eastAsia" w:ascii="宋体" w:hAnsi="宋体" w:eastAsia="宋体" w:cs="宋体"/>
          <w:bCs/>
          <w:kern w:val="44"/>
          <w:sz w:val="21"/>
          <w:szCs w:val="21"/>
          <w:highlight w:val="none"/>
        </w:rPr>
        <w:t>投标文件的编写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_Toc17740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_Toc22522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14. </w:t>
      </w:r>
      <w:r>
        <w:rPr>
          <w:rFonts w:hint="eastAsia" w:ascii="宋体" w:hAnsi="宋体" w:eastAsia="宋体" w:cs="宋体"/>
          <w:bCs/>
          <w:kern w:val="44"/>
          <w:sz w:val="21"/>
          <w:szCs w:val="21"/>
          <w:highlight w:val="none"/>
        </w:rPr>
        <w:t>投标报价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_Toc22522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_Toc15306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15. </w:t>
      </w:r>
      <w:r>
        <w:rPr>
          <w:rFonts w:hint="eastAsia" w:ascii="宋体" w:hAnsi="宋体" w:eastAsia="宋体" w:cs="宋体"/>
          <w:bCs/>
          <w:kern w:val="44"/>
          <w:sz w:val="21"/>
          <w:szCs w:val="21"/>
          <w:highlight w:val="none"/>
        </w:rPr>
        <w:t>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_Toc15306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_Toc30142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16. </w:t>
      </w:r>
      <w:r>
        <w:rPr>
          <w:rFonts w:hint="eastAsia" w:ascii="宋体" w:hAnsi="宋体" w:eastAsia="宋体" w:cs="宋体"/>
          <w:bCs/>
          <w:kern w:val="44"/>
          <w:sz w:val="21"/>
          <w:szCs w:val="21"/>
          <w:highlight w:val="none"/>
        </w:rPr>
        <w:t>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_Toc30142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_Toc11497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17. </w:t>
      </w:r>
      <w:r>
        <w:rPr>
          <w:rFonts w:hint="eastAsia" w:ascii="宋体" w:hAnsi="宋体" w:eastAsia="宋体" w:cs="宋体"/>
          <w:bCs/>
          <w:kern w:val="44"/>
          <w:sz w:val="21"/>
          <w:szCs w:val="21"/>
          <w:highlight w:val="none"/>
        </w:rPr>
        <w:t>投标文件的式样和签署、密封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_Toc11497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_Toc22727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四、投标文件的递交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_Toc22727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_Toc8124 </w:instrText>
      </w:r>
      <w:r>
        <w:rPr>
          <w:rFonts w:hint="eastAsia" w:ascii="宋体" w:hAnsi="宋体" w:eastAsia="宋体" w:cs="宋体"/>
          <w:sz w:val="21"/>
          <w:szCs w:val="21"/>
          <w:highlight w:val="none"/>
        </w:rPr>
        <w:fldChar w:fldCharType="separate"/>
      </w:r>
      <w:r>
        <w:rPr>
          <w:rFonts w:hint="eastAsia" w:ascii="宋体" w:hAnsi="宋体" w:eastAsia="宋体" w:cs="宋体"/>
          <w:kern w:val="44"/>
          <w:sz w:val="21"/>
          <w:szCs w:val="21"/>
        </w:rPr>
        <w:t xml:space="preserve">18. </w:t>
      </w:r>
      <w:r>
        <w:rPr>
          <w:rFonts w:hint="eastAsia" w:ascii="宋体" w:hAnsi="宋体" w:eastAsia="宋体" w:cs="宋体"/>
          <w:kern w:val="44"/>
          <w:sz w:val="21"/>
          <w:szCs w:val="21"/>
          <w:highlight w:val="none"/>
        </w:rPr>
        <w:t>投标文件递交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_Toc8124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_Toc28446 </w:instrText>
      </w:r>
      <w:r>
        <w:rPr>
          <w:rFonts w:hint="eastAsia" w:ascii="宋体" w:hAnsi="宋体" w:eastAsia="宋体" w:cs="宋体"/>
          <w:sz w:val="21"/>
          <w:szCs w:val="21"/>
          <w:highlight w:val="none"/>
        </w:rPr>
        <w:fldChar w:fldCharType="separate"/>
      </w:r>
      <w:r>
        <w:rPr>
          <w:rFonts w:hint="eastAsia" w:ascii="宋体" w:hAnsi="宋体" w:eastAsia="宋体" w:cs="宋体"/>
          <w:kern w:val="44"/>
          <w:sz w:val="21"/>
          <w:szCs w:val="21"/>
        </w:rPr>
        <w:t xml:space="preserve">19. </w:t>
      </w:r>
      <w:r>
        <w:rPr>
          <w:rFonts w:hint="eastAsia" w:ascii="宋体" w:hAnsi="宋体" w:eastAsia="宋体" w:cs="宋体"/>
          <w:kern w:val="44"/>
          <w:sz w:val="21"/>
          <w:szCs w:val="21"/>
          <w:highlight w:val="none"/>
        </w:rPr>
        <w:t>投标截止时间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_Toc28446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_Toc2461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20. </w:t>
      </w:r>
      <w:r>
        <w:rPr>
          <w:rFonts w:hint="eastAsia" w:ascii="宋体" w:hAnsi="宋体" w:eastAsia="宋体" w:cs="宋体"/>
          <w:kern w:val="44"/>
          <w:sz w:val="21"/>
          <w:szCs w:val="21"/>
          <w:highlight w:val="none"/>
        </w:rPr>
        <w:t>迟交的投标文件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_Toc10185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21. </w:t>
      </w:r>
      <w:r>
        <w:rPr>
          <w:rFonts w:hint="eastAsia" w:ascii="宋体" w:hAnsi="宋体" w:eastAsia="宋体" w:cs="宋体"/>
          <w:bCs/>
          <w:kern w:val="44"/>
          <w:sz w:val="21"/>
          <w:szCs w:val="21"/>
          <w:highlight w:val="none"/>
        </w:rPr>
        <w:t>投标文件的修改和撤回、撤销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_Toc10185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_Toc30087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五、开标与评标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_Toc30087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_Toc19246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22. </w:t>
      </w:r>
      <w:r>
        <w:rPr>
          <w:rFonts w:hint="eastAsia" w:ascii="宋体" w:hAnsi="宋体" w:eastAsia="宋体" w:cs="宋体"/>
          <w:bCs/>
          <w:kern w:val="44"/>
          <w:sz w:val="21"/>
          <w:szCs w:val="21"/>
          <w:highlight w:val="none"/>
        </w:rPr>
        <w:t>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_Toc19246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_Toc10826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23. </w:t>
      </w:r>
      <w:r>
        <w:rPr>
          <w:rFonts w:hint="eastAsia" w:ascii="宋体" w:hAnsi="宋体" w:eastAsia="宋体" w:cs="宋体"/>
          <w:kern w:val="44"/>
          <w:sz w:val="21"/>
          <w:szCs w:val="21"/>
          <w:highlight w:val="none"/>
        </w:rPr>
        <w:t>公开招标失败后的处理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_Toc10826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color w:val="auto"/>
          <w:sz w:val="21"/>
          <w:szCs w:val="21"/>
          <w:highlight w:val="none"/>
        </w:rPr>
        <w:sectPr>
          <w:footerReference r:id="rId5" w:type="default"/>
          <w:pgSz w:w="11907" w:h="16840"/>
          <w:pgMar w:top="1474" w:right="1417" w:bottom="1474" w:left="1417" w:header="851" w:footer="851" w:gutter="0"/>
          <w:pgNumType w:fmt="decimal"/>
          <w:cols w:space="720" w:num="1"/>
          <w:docGrid w:linePitch="462" w:charSpace="0"/>
        </w:sectPr>
      </w:pP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_Toc22191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24. </w:t>
      </w:r>
      <w:r>
        <w:rPr>
          <w:rFonts w:hint="eastAsia" w:ascii="宋体" w:hAnsi="宋体" w:eastAsia="宋体" w:cs="宋体"/>
          <w:bCs/>
          <w:kern w:val="44"/>
          <w:sz w:val="21"/>
          <w:szCs w:val="21"/>
          <w:highlight w:val="none"/>
        </w:rPr>
        <w:t>评标小组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_Toc22191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_Toc30337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25. </w:t>
      </w:r>
      <w:r>
        <w:rPr>
          <w:rFonts w:hint="eastAsia" w:ascii="宋体" w:hAnsi="宋体" w:eastAsia="宋体" w:cs="宋体"/>
          <w:kern w:val="44"/>
          <w:sz w:val="21"/>
          <w:szCs w:val="21"/>
          <w:highlight w:val="none"/>
        </w:rPr>
        <w:t>评标原则及评标方法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_Toc30337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_Toc24957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26. </w:t>
      </w:r>
      <w:r>
        <w:rPr>
          <w:rFonts w:hint="eastAsia" w:ascii="宋体" w:hAnsi="宋体" w:eastAsia="宋体" w:cs="宋体"/>
          <w:kern w:val="44"/>
          <w:sz w:val="21"/>
          <w:szCs w:val="21"/>
          <w:highlight w:val="none"/>
        </w:rPr>
        <w:t>初步评审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_Toc24957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_Toc21733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27. </w:t>
      </w:r>
      <w:r>
        <w:rPr>
          <w:rFonts w:hint="eastAsia" w:ascii="宋体" w:hAnsi="宋体" w:eastAsia="宋体" w:cs="宋体"/>
          <w:bCs/>
          <w:kern w:val="44"/>
          <w:sz w:val="21"/>
          <w:szCs w:val="21"/>
          <w:highlight w:val="none"/>
        </w:rPr>
        <w:t>详细评审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_Toc21733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_Toc25223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28. </w:t>
      </w:r>
      <w:r>
        <w:rPr>
          <w:rFonts w:hint="eastAsia" w:ascii="宋体" w:hAnsi="宋体" w:eastAsia="宋体" w:cs="宋体"/>
          <w:kern w:val="44"/>
          <w:sz w:val="21"/>
          <w:szCs w:val="21"/>
          <w:highlight w:val="none"/>
        </w:rPr>
        <w:t>投标文件的修正和澄清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_Toc25223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_Toc13122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29. </w:t>
      </w:r>
      <w:r>
        <w:rPr>
          <w:rFonts w:hint="eastAsia" w:ascii="宋体" w:hAnsi="宋体" w:eastAsia="宋体" w:cs="宋体"/>
          <w:bCs/>
          <w:kern w:val="44"/>
          <w:sz w:val="21"/>
          <w:szCs w:val="21"/>
          <w:highlight w:val="none"/>
        </w:rPr>
        <w:t>评标总得分统计及推荐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_Toc13122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_Toc160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30. </w:t>
      </w:r>
      <w:r>
        <w:rPr>
          <w:rFonts w:hint="eastAsia" w:ascii="宋体" w:hAnsi="宋体" w:eastAsia="宋体" w:cs="宋体"/>
          <w:kern w:val="44"/>
          <w:sz w:val="21"/>
          <w:szCs w:val="21"/>
          <w:highlight w:val="none"/>
        </w:rPr>
        <w:t>定标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_Toc5256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31. </w:t>
      </w:r>
      <w:r>
        <w:rPr>
          <w:rFonts w:hint="eastAsia" w:ascii="宋体" w:hAnsi="宋体" w:eastAsia="宋体" w:cs="宋体"/>
          <w:bCs/>
          <w:kern w:val="44"/>
          <w:sz w:val="21"/>
          <w:szCs w:val="21"/>
          <w:highlight w:val="none"/>
        </w:rPr>
        <w:t>特别说明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_Toc5256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_Toc29878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32. </w:t>
      </w:r>
      <w:r>
        <w:rPr>
          <w:rFonts w:hint="eastAsia" w:ascii="宋体" w:hAnsi="宋体" w:eastAsia="宋体" w:cs="宋体"/>
          <w:bCs/>
          <w:kern w:val="44"/>
          <w:sz w:val="21"/>
          <w:szCs w:val="21"/>
          <w:highlight w:val="none"/>
        </w:rPr>
        <w:t>与采购代理机构和采购人的接触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_Toc29878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_Toc4267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六、质疑与投诉</w:t>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smallCaps w:val="0"/>
          <w:kern w:val="2"/>
          <w:sz w:val="21"/>
          <w:szCs w:val="21"/>
          <w:lang w:val="en-US" w:eastAsia="zh-CN" w:bidi="ar-SA"/>
        </w:rPr>
        <w:t>7</w:t>
      </w:r>
    </w:p>
    <w:p>
      <w:pPr>
        <w:pStyle w:val="23"/>
        <w:tabs>
          <w:tab w:val="right" w:leader="dot" w:pos="8306"/>
          <w:tab w:val="clear" w:pos="9628"/>
        </w:tabs>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_Toc5828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33. </w:t>
      </w:r>
      <w:r>
        <w:rPr>
          <w:rFonts w:hint="eastAsia" w:ascii="宋体" w:hAnsi="宋体" w:eastAsia="宋体" w:cs="宋体"/>
          <w:bCs/>
          <w:kern w:val="44"/>
          <w:sz w:val="21"/>
          <w:szCs w:val="21"/>
          <w:highlight w:val="none"/>
        </w:rPr>
        <w:t>询问</w:t>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sz w:val="21"/>
          <w:szCs w:val="21"/>
          <w:lang w:val="en-US" w:eastAsia="zh-CN"/>
        </w:rPr>
        <w:t>7</w:t>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_Toc2109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34. </w:t>
      </w:r>
      <w:r>
        <w:rPr>
          <w:rFonts w:hint="eastAsia" w:ascii="宋体" w:hAnsi="宋体" w:eastAsia="宋体" w:cs="宋体"/>
          <w:bCs/>
          <w:kern w:val="44"/>
          <w:sz w:val="21"/>
          <w:szCs w:val="21"/>
          <w:highlight w:val="none"/>
        </w:rPr>
        <w:t>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_Toc2109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_Toc13170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35. </w:t>
      </w:r>
      <w:r>
        <w:rPr>
          <w:rFonts w:hint="eastAsia" w:ascii="宋体" w:hAnsi="宋体" w:eastAsia="宋体" w:cs="宋体"/>
          <w:bCs/>
          <w:kern w:val="44"/>
          <w:sz w:val="21"/>
          <w:szCs w:val="21"/>
          <w:highlight w:val="none"/>
        </w:rPr>
        <w:t>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_Toc13170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7"/>
        <w:tabs>
          <w:tab w:val="right" w:leader="dot" w:pos="8306"/>
        </w:tabs>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_Toc21033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七、授予合同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_Toc21033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_Toc30579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36. </w:t>
      </w:r>
      <w:r>
        <w:rPr>
          <w:rFonts w:hint="eastAsia" w:ascii="宋体" w:hAnsi="宋体" w:eastAsia="宋体" w:cs="宋体"/>
          <w:bCs/>
          <w:kern w:val="44"/>
          <w:sz w:val="21"/>
          <w:szCs w:val="21"/>
          <w:highlight w:val="none"/>
        </w:rPr>
        <w:t>确定中标人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_Toc30579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_Toc7161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37. </w:t>
      </w:r>
      <w:r>
        <w:rPr>
          <w:rFonts w:hint="eastAsia" w:ascii="宋体" w:hAnsi="宋体" w:eastAsia="宋体" w:cs="宋体"/>
          <w:bCs/>
          <w:kern w:val="44"/>
          <w:sz w:val="21"/>
          <w:szCs w:val="21"/>
          <w:highlight w:val="none"/>
        </w:rPr>
        <w:t>接受和拒绝任何或所有投标的权力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_Toc7161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_Toc26407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38. </w:t>
      </w:r>
      <w:r>
        <w:rPr>
          <w:rFonts w:hint="eastAsia" w:ascii="宋体" w:hAnsi="宋体" w:eastAsia="宋体" w:cs="宋体"/>
          <w:bCs/>
          <w:kern w:val="44"/>
          <w:sz w:val="21"/>
          <w:szCs w:val="21"/>
          <w:highlight w:val="none"/>
        </w:rPr>
        <w:t>中标通知书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_Toc26407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_Toc14729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39. </w:t>
      </w:r>
      <w:r>
        <w:rPr>
          <w:rFonts w:hint="eastAsia" w:ascii="宋体" w:hAnsi="宋体" w:eastAsia="宋体" w:cs="宋体"/>
          <w:bCs/>
          <w:kern w:val="44"/>
          <w:sz w:val="21"/>
          <w:szCs w:val="21"/>
          <w:highlight w:val="none"/>
        </w:rPr>
        <w:t>合同的订立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_Toc14729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_Toc19474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40. </w:t>
      </w:r>
      <w:r>
        <w:rPr>
          <w:rFonts w:hint="eastAsia" w:ascii="宋体" w:hAnsi="宋体" w:eastAsia="宋体" w:cs="宋体"/>
          <w:bCs/>
          <w:kern w:val="44"/>
          <w:sz w:val="21"/>
          <w:szCs w:val="21"/>
          <w:highlight w:val="none"/>
        </w:rPr>
        <w:t>合同的履行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_Toc19474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_Toc18199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41. </w:t>
      </w:r>
      <w:r>
        <w:rPr>
          <w:rFonts w:hint="eastAsia" w:ascii="宋体" w:hAnsi="宋体" w:eastAsia="宋体" w:cs="宋体"/>
          <w:bCs/>
          <w:kern w:val="44"/>
          <w:sz w:val="21"/>
          <w:szCs w:val="21"/>
          <w:highlight w:val="none"/>
        </w:rPr>
        <w:t>采购代理服务费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_Toc18199 \h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_Toc3865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42. </w:t>
      </w:r>
      <w:r>
        <w:rPr>
          <w:rFonts w:hint="eastAsia" w:ascii="宋体" w:hAnsi="宋体" w:eastAsia="宋体" w:cs="宋体"/>
          <w:bCs/>
          <w:kern w:val="44"/>
          <w:sz w:val="21"/>
          <w:szCs w:val="21"/>
          <w:highlight w:val="none"/>
        </w:rPr>
        <w:t>适用法律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_Toc3865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_Toc22798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rPr>
        <w:t xml:space="preserve">43. </w:t>
      </w:r>
      <w:r>
        <w:rPr>
          <w:rFonts w:hint="eastAsia" w:ascii="宋体" w:hAnsi="宋体" w:eastAsia="宋体" w:cs="宋体"/>
          <w:bCs/>
          <w:kern w:val="44"/>
          <w:sz w:val="21"/>
          <w:szCs w:val="21"/>
          <w:highlight w:val="none"/>
        </w:rPr>
        <w:t>政府采购政策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_Toc22798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_Toc28078 </w:instrText>
      </w:r>
      <w:r>
        <w:rPr>
          <w:rFonts w:hint="eastAsia" w:ascii="宋体" w:hAnsi="宋体" w:eastAsia="宋体" w:cs="宋体"/>
          <w:sz w:val="21"/>
          <w:szCs w:val="21"/>
          <w:highlight w:val="none"/>
        </w:rPr>
        <w:fldChar w:fldCharType="separate"/>
      </w:r>
      <w:r>
        <w:rPr>
          <w:rFonts w:hint="eastAsia" w:ascii="宋体" w:hAnsi="宋体" w:eastAsia="宋体" w:cs="宋体"/>
          <w:bCs/>
          <w:kern w:val="44"/>
          <w:sz w:val="21"/>
          <w:szCs w:val="21"/>
          <w:highlight w:val="none"/>
        </w:rPr>
        <w:t>第四章 合同格式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_Toc28078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_Toc3845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rPr>
        <w:t xml:space="preserve">第五章 </w:t>
      </w:r>
      <w:r>
        <w:rPr>
          <w:rFonts w:hint="eastAsia" w:ascii="宋体" w:hAnsi="宋体" w:eastAsia="宋体" w:cs="宋体"/>
          <w:sz w:val="21"/>
          <w:szCs w:val="21"/>
          <w:highlight w:val="none"/>
        </w:rPr>
        <w:t>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_Toc3845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9628"/>
        </w:tabs>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_Toc10572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第六章   投标文件部分格式</w:t>
      </w:r>
      <w:r>
        <w:rPr>
          <w:rFonts w:hint="eastAsia" w:ascii="宋体" w:hAnsi="宋体" w:eastAsia="宋体" w:cs="宋体"/>
          <w:sz w:val="21"/>
          <w:szCs w:val="21"/>
        </w:rPr>
        <w:tab/>
      </w:r>
      <w:r>
        <w:rPr>
          <w:rFonts w:hint="eastAsia" w:ascii="宋体" w:hAnsi="宋体" w:cs="宋体"/>
          <w:sz w:val="21"/>
          <w:szCs w:val="21"/>
          <w:lang w:val="en-US" w:eastAsia="zh-CN"/>
        </w:rPr>
        <w:t>5</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pPr>
        <w:pStyle w:val="23"/>
        <w:tabs>
          <w:tab w:val="right" w:leader="dot" w:pos="8306"/>
          <w:tab w:val="clear" w:pos="9628"/>
        </w:tabs>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_Toc24440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附表1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初步评审标准表</w:t>
      </w:r>
      <w:r>
        <w:rPr>
          <w:rFonts w:hint="eastAsia" w:ascii="宋体" w:hAnsi="宋体" w:eastAsia="宋体" w:cs="宋体"/>
          <w:sz w:val="21"/>
          <w:szCs w:val="21"/>
        </w:rPr>
        <w:tab/>
      </w:r>
      <w:r>
        <w:rPr>
          <w:rFonts w:hint="eastAsia" w:ascii="宋体" w:hAnsi="宋体" w:cs="宋体"/>
          <w:sz w:val="21"/>
          <w:szCs w:val="21"/>
          <w:lang w:val="en-US" w:eastAsia="zh-CN"/>
        </w:rPr>
        <w:t>7</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5</w:t>
      </w:r>
    </w:p>
    <w:p>
      <w:pPr>
        <w:pStyle w:val="23"/>
        <w:tabs>
          <w:tab w:val="right" w:leader="dot" w:pos="8306"/>
          <w:tab w:val="clear" w:pos="9628"/>
        </w:tabs>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_Toc9700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附表2 </w:t>
      </w:r>
      <w:r>
        <w:rPr>
          <w:rFonts w:hint="eastAsia" w:ascii="宋体" w:hAnsi="宋体" w:eastAsia="宋体" w:cs="宋体"/>
          <w:bCs w:val="0"/>
          <w:sz w:val="21"/>
          <w:szCs w:val="21"/>
          <w:highlight w:val="none"/>
        </w:rPr>
        <w:t>评 分 细 则</w:t>
      </w:r>
      <w:r>
        <w:rPr>
          <w:rFonts w:hint="eastAsia" w:ascii="宋体" w:hAnsi="宋体" w:eastAsia="宋体" w:cs="宋体"/>
          <w:sz w:val="21"/>
          <w:szCs w:val="21"/>
        </w:rPr>
        <w:tab/>
      </w:r>
      <w:r>
        <w:rPr>
          <w:rFonts w:hint="eastAsia" w:ascii="宋体" w:hAnsi="宋体" w:cs="宋体"/>
          <w:sz w:val="21"/>
          <w:szCs w:val="21"/>
          <w:lang w:val="en-US" w:eastAsia="zh-CN"/>
        </w:rPr>
        <w:t>7</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6</w:t>
      </w:r>
    </w:p>
    <w:p>
      <w:pPr>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end"/>
      </w:r>
    </w:p>
    <w:p>
      <w:pPr>
        <w:pStyle w:val="25"/>
        <w:rPr>
          <w:rFonts w:hint="eastAsia" w:ascii="宋体" w:hAnsi="宋体" w:eastAsia="宋体" w:cs="宋体"/>
          <w:color w:val="auto"/>
          <w:sz w:val="21"/>
          <w:szCs w:val="21"/>
          <w:highlight w:val="none"/>
        </w:rPr>
      </w:pPr>
    </w:p>
    <w:p>
      <w:pPr>
        <w:pStyle w:val="31"/>
        <w:spacing w:line="276" w:lineRule="auto"/>
        <w:rPr>
          <w:rFonts w:hint="eastAsia" w:ascii="宋体" w:hAnsi="宋体" w:eastAsia="宋体" w:cs="宋体"/>
          <w:color w:val="auto"/>
          <w:sz w:val="21"/>
          <w:szCs w:val="21"/>
          <w:highlight w:val="none"/>
        </w:rPr>
      </w:pPr>
    </w:p>
    <w:p>
      <w:pPr>
        <w:rPr>
          <w:color w:val="auto"/>
          <w:highlight w:val="none"/>
        </w:rPr>
      </w:pPr>
    </w:p>
    <w:p>
      <w:pPr>
        <w:pStyle w:val="31"/>
        <w:spacing w:line="276" w:lineRule="auto"/>
        <w:rPr>
          <w:rFonts w:asciiTheme="minorEastAsia" w:hAnsiTheme="minorEastAsia" w:cstheme="minorEastAsia"/>
          <w:color w:val="auto"/>
          <w:sz w:val="28"/>
          <w:szCs w:val="28"/>
          <w:highlight w:val="none"/>
        </w:rPr>
      </w:pPr>
    </w:p>
    <w:p>
      <w:pPr>
        <w:rPr>
          <w:rFonts w:asciiTheme="minorEastAsia" w:hAnsiTheme="minorEastAsia" w:cstheme="minorEastAsia"/>
          <w:color w:val="auto"/>
          <w:sz w:val="28"/>
          <w:szCs w:val="28"/>
          <w:highlight w:val="none"/>
        </w:rPr>
      </w:pPr>
    </w:p>
    <w:p>
      <w:pPr>
        <w:pStyle w:val="41"/>
        <w:rPr>
          <w:rFonts w:asciiTheme="minorEastAsia" w:hAnsiTheme="minorEastAsia" w:cstheme="minorEastAsia"/>
          <w:color w:val="auto"/>
          <w:sz w:val="28"/>
          <w:szCs w:val="28"/>
          <w:highlight w:val="none"/>
        </w:rPr>
      </w:pPr>
    </w:p>
    <w:p>
      <w:pPr>
        <w:widowControl w:val="0"/>
        <w:numPr>
          <w:ilvl w:val="0"/>
          <w:numId w:val="3"/>
        </w:numPr>
        <w:snapToGrid w:val="0"/>
        <w:spacing w:beforeLines="100" w:afterLines="50" w:line="240" w:lineRule="auto"/>
        <w:jc w:val="center"/>
        <w:textAlignment w:val="baseline"/>
        <w:outlineLvl w:val="0"/>
        <w:rPr>
          <w:rFonts w:hint="eastAsia" w:ascii="仿宋" w:hAnsi="仿宋" w:eastAsia="仿宋" w:cs="仿宋"/>
          <w:b/>
          <w:bCs/>
          <w:color w:val="auto"/>
          <w:kern w:val="0"/>
          <w:sz w:val="32"/>
          <w:szCs w:val="32"/>
          <w:u w:color="000000"/>
        </w:rPr>
      </w:pPr>
      <w:bookmarkStart w:id="0" w:name="_Toc20454"/>
      <w:r>
        <w:rPr>
          <w:rFonts w:hint="eastAsia" w:ascii="仿宋" w:hAnsi="仿宋" w:eastAsia="仿宋" w:cs="仿宋"/>
          <w:b/>
          <w:bCs/>
          <w:color w:val="auto"/>
          <w:kern w:val="0"/>
          <w:sz w:val="32"/>
          <w:szCs w:val="32"/>
          <w:u w:color="000000"/>
          <w:lang w:eastAsia="zh-CN"/>
        </w:rPr>
        <w:t>招标公告</w:t>
      </w:r>
      <w:r>
        <w:rPr>
          <w:rFonts w:hint="eastAsia" w:ascii="仿宋" w:hAnsi="仿宋" w:eastAsia="仿宋" w:cs="仿宋"/>
          <w:b/>
          <w:bCs/>
          <w:color w:val="auto"/>
          <w:kern w:val="0"/>
          <w:sz w:val="32"/>
          <w:szCs w:val="32"/>
          <w:u w:color="000000"/>
        </w:rPr>
        <w:t xml:space="preserve"> </w:t>
      </w:r>
    </w:p>
    <w:bookmarkEnd w:id="0"/>
    <w:p>
      <w:pPr>
        <w:spacing w:line="360" w:lineRule="auto"/>
        <w:jc w:val="center"/>
        <w:rPr>
          <w:rFonts w:hint="eastAsia" w:cs="Times New Roman"/>
          <w:b/>
          <w:bCs/>
          <w:sz w:val="24"/>
          <w:szCs w:val="32"/>
          <w:lang w:val="en-US" w:eastAsia="zh-CN"/>
        </w:rPr>
      </w:pPr>
      <w:bookmarkStart w:id="1" w:name="_Toc22786"/>
      <w:bookmarkStart w:id="2" w:name="_Toc3096"/>
      <w:r>
        <w:rPr>
          <w:rFonts w:hint="eastAsia" w:cs="Times New Roman"/>
          <w:b/>
          <w:bCs/>
          <w:sz w:val="24"/>
          <w:szCs w:val="32"/>
          <w:lang w:val="en-US" w:eastAsia="zh-CN"/>
        </w:rPr>
        <w:t>特克斯县人民医院设备、后勤维保服务项目（二次）</w:t>
      </w:r>
    </w:p>
    <w:p>
      <w:pPr>
        <w:spacing w:line="360" w:lineRule="auto"/>
        <w:jc w:val="center"/>
        <w:rPr>
          <w:rFonts w:hint="eastAsia" w:ascii="Times New Roman" w:hAnsi="Times New Roman" w:eastAsia="宋体" w:cs="Times New Roman"/>
          <w:b/>
          <w:bCs/>
          <w:sz w:val="24"/>
          <w:szCs w:val="32"/>
          <w:lang w:eastAsia="zh-CN"/>
        </w:rPr>
      </w:pPr>
      <w:r>
        <w:rPr>
          <w:rFonts w:ascii="Times New Roman" w:hAnsi="Times New Roman" w:eastAsia="宋体" w:cs="Times New Roman"/>
          <w:b/>
          <w:bCs/>
          <w:sz w:val="24"/>
          <w:szCs w:val="32"/>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244475</wp:posOffset>
                </wp:positionV>
                <wp:extent cx="5792470" cy="808990"/>
                <wp:effectExtent l="12700" t="12700" r="24130" b="16510"/>
                <wp:wrapNone/>
                <wp:docPr id="5" name="矩形 5"/>
                <wp:cNvGraphicFramePr/>
                <a:graphic xmlns:a="http://schemas.openxmlformats.org/drawingml/2006/main">
                  <a:graphicData uri="http://schemas.microsoft.com/office/word/2010/wordprocessingShape">
                    <wps:wsp>
                      <wps:cNvSpPr/>
                      <wps:spPr>
                        <a:xfrm>
                          <a:off x="1048385" y="2022475"/>
                          <a:ext cx="5792470" cy="80899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9.25pt;height:63.7pt;width:456.1pt;z-index:251663360;v-text-anchor:middle;mso-width-relative:page;mso-height-relative:page;" filled="f" stroked="t" coordsize="21600,21600" o:gfxdata="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zpfk2QAAAAkBAAAPAAAAAAAAAAEAIAAAACIAAABkcnMvZG93bnJl&#10;di54bWxQSwECFAAUAAAACACHTuJA3pwNTG4CAADOBAAADgAAAAAAAAABACAAAAAoAQAAZHJzL2Uy&#10;b0RvYy54bWxQSwUGAAAAAAYABgBZAQAACAYAAAAA&#10;">
                <v:fill on="f" focussize="0,0"/>
                <v:stroke weight="2pt" color="#000000" joinstyle="round"/>
                <v:imagedata o:title=""/>
                <o:lock v:ext="edit" aspectratio="f"/>
              </v:rect>
            </w:pict>
          </mc:Fallback>
        </mc:AlternateContent>
      </w:r>
      <w:r>
        <w:rPr>
          <w:rFonts w:ascii="Times New Roman" w:hAnsi="Times New Roman" w:eastAsia="宋体" w:cs="Times New Roman"/>
          <w:b/>
          <w:bCs/>
          <w:sz w:val="24"/>
          <w:szCs w:val="32"/>
        </w:rPr>
        <w:t>公开招标公告</w:t>
      </w:r>
    </w:p>
    <w:p>
      <w:pPr>
        <w:spacing w:line="360" w:lineRule="auto"/>
        <w:rPr>
          <w:rFonts w:hint="eastAsia"/>
        </w:rPr>
      </w:pPr>
      <w:r>
        <w:rPr>
          <w:rFonts w:hint="eastAsia"/>
        </w:rPr>
        <w:t>项目概况</w:t>
      </w:r>
    </w:p>
    <w:p>
      <w:pPr>
        <w:spacing w:line="360" w:lineRule="auto"/>
        <w:ind w:firstLine="420" w:firstLineChars="200"/>
        <w:rPr>
          <w:rFonts w:hint="eastAsia"/>
          <w:lang w:eastAsia="zh-CN"/>
        </w:rPr>
      </w:pPr>
      <w:r>
        <w:rPr>
          <w:rFonts w:hint="eastAsia"/>
          <w:lang w:eastAsia="zh-CN"/>
        </w:rPr>
        <w:t>特克斯县人民医院设备、后勤维保服务项目（二次）招标项目的潜在投标人应在政采云平台线上获取招标文件，并于2025年</w:t>
      </w:r>
      <w:r>
        <w:rPr>
          <w:rFonts w:hint="eastAsia"/>
          <w:lang w:val="en-US" w:eastAsia="zh-CN"/>
        </w:rPr>
        <w:t>07</w:t>
      </w:r>
      <w:r>
        <w:rPr>
          <w:rFonts w:hint="eastAsia"/>
          <w:lang w:eastAsia="zh-CN"/>
        </w:rPr>
        <w:t>月</w:t>
      </w:r>
      <w:r>
        <w:rPr>
          <w:rFonts w:hint="eastAsia"/>
          <w:lang w:val="en-US" w:eastAsia="zh-CN"/>
        </w:rPr>
        <w:t>08</w:t>
      </w:r>
      <w:r>
        <w:rPr>
          <w:rFonts w:hint="eastAsia"/>
          <w:lang w:eastAsia="zh-CN"/>
        </w:rPr>
        <w:t xml:space="preserve">日 </w:t>
      </w:r>
      <w:r>
        <w:rPr>
          <w:rFonts w:hint="eastAsia"/>
          <w:lang w:val="en-US" w:eastAsia="zh-CN"/>
        </w:rPr>
        <w:t>12</w:t>
      </w:r>
      <w:r>
        <w:rPr>
          <w:rFonts w:hint="eastAsia"/>
          <w:lang w:eastAsia="zh-CN"/>
        </w:rPr>
        <w:t>:</w:t>
      </w:r>
      <w:r>
        <w:rPr>
          <w:rFonts w:hint="eastAsia"/>
          <w:lang w:val="en-US" w:eastAsia="zh-CN"/>
        </w:rPr>
        <w:t>00</w:t>
      </w:r>
      <w:r>
        <w:rPr>
          <w:rFonts w:hint="eastAsia"/>
          <w:lang w:eastAsia="zh-CN"/>
        </w:rPr>
        <w:t>（北京时间）前递交投标文件。</w:t>
      </w:r>
    </w:p>
    <w:p>
      <w:pPr>
        <w:spacing w:line="360" w:lineRule="auto"/>
        <w:rPr>
          <w:b/>
          <w:bCs/>
        </w:rPr>
      </w:pPr>
      <w:r>
        <w:rPr>
          <w:b/>
          <w:bCs/>
        </w:rPr>
        <w:t>一、项目基本情况</w:t>
      </w:r>
    </w:p>
    <w:p>
      <w:pPr>
        <w:spacing w:line="360" w:lineRule="auto"/>
        <w:rPr>
          <w:rFonts w:hint="default" w:eastAsia="宋体"/>
          <w:lang w:val="en-US" w:eastAsia="zh-CN"/>
        </w:rPr>
      </w:pPr>
      <w:r>
        <w:rPr>
          <w:rFonts w:hint="eastAsia"/>
        </w:rPr>
        <w:t>项目编号：</w:t>
      </w:r>
      <w:r>
        <w:rPr>
          <w:rFonts w:hint="eastAsia"/>
          <w:lang w:eastAsia="zh-CN"/>
        </w:rPr>
        <w:t>HYYL-2025-0</w:t>
      </w:r>
      <w:r>
        <w:rPr>
          <w:rFonts w:hint="eastAsia"/>
          <w:lang w:val="en-US" w:eastAsia="zh-CN"/>
        </w:rPr>
        <w:t>27</w:t>
      </w:r>
    </w:p>
    <w:p>
      <w:pPr>
        <w:spacing w:line="360" w:lineRule="auto"/>
        <w:rPr>
          <w:rFonts w:hint="eastAsia" w:eastAsia="宋体"/>
          <w:lang w:eastAsia="zh-CN"/>
        </w:rPr>
      </w:pPr>
      <w:r>
        <w:rPr>
          <w:rFonts w:hint="eastAsia"/>
        </w:rPr>
        <w:t>项目名称：特克斯县人民医院设备、后勤维保服务项目（二次）</w:t>
      </w:r>
    </w:p>
    <w:p>
      <w:pPr>
        <w:spacing w:line="360" w:lineRule="auto"/>
      </w:pPr>
      <w:r>
        <w:rPr>
          <w:rFonts w:hint="eastAsia"/>
        </w:rPr>
        <w:t>采购方式：公开招标</w:t>
      </w:r>
    </w:p>
    <w:p>
      <w:pPr>
        <w:spacing w:line="360" w:lineRule="auto"/>
        <w:rPr>
          <w:rFonts w:hint="default" w:eastAsia="宋体"/>
          <w:lang w:val="en-US" w:eastAsia="zh-CN"/>
        </w:rPr>
      </w:pPr>
      <w:r>
        <w:rPr>
          <w:rFonts w:hint="eastAsia"/>
        </w:rPr>
        <w:t>预算金额（元）：</w:t>
      </w:r>
      <w:r>
        <w:rPr>
          <w:rFonts w:hint="eastAsia"/>
          <w:lang w:val="en-US" w:eastAsia="zh-CN"/>
        </w:rPr>
        <w:t>1480000.00</w:t>
      </w:r>
    </w:p>
    <w:p>
      <w:pPr>
        <w:spacing w:line="360" w:lineRule="auto"/>
        <w:rPr>
          <w:rFonts w:hint="eastAsia" w:ascii="仿宋" w:hAnsi="仿宋" w:eastAsia="宋体" w:cs="仿宋"/>
          <w:i w:val="0"/>
          <w:iCs w:val="0"/>
          <w:caps w:val="0"/>
          <w:color w:val="000000"/>
          <w:spacing w:val="0"/>
          <w:sz w:val="27"/>
          <w:szCs w:val="27"/>
          <w:lang w:val="en-US" w:eastAsia="zh-CN"/>
        </w:rPr>
      </w:pPr>
      <w:r>
        <w:rPr>
          <w:rFonts w:hint="eastAsia"/>
        </w:rPr>
        <w:t>最高限价（元）：</w:t>
      </w:r>
      <w:r>
        <w:rPr>
          <w:rFonts w:hint="eastAsia"/>
          <w:lang w:val="en-US" w:eastAsia="zh-CN"/>
        </w:rPr>
        <w:t>13</w:t>
      </w:r>
      <w:r>
        <w:rPr>
          <w:rFonts w:hint="eastAsia"/>
        </w:rPr>
        <w:t>0000,</w:t>
      </w:r>
      <w:r>
        <w:rPr>
          <w:rFonts w:hint="eastAsia"/>
          <w:lang w:val="en-US" w:eastAsia="zh-CN"/>
        </w:rPr>
        <w:t>15</w:t>
      </w:r>
      <w:r>
        <w:rPr>
          <w:rFonts w:hint="eastAsia"/>
        </w:rPr>
        <w:t>0000,</w:t>
      </w:r>
      <w:r>
        <w:rPr>
          <w:rFonts w:hint="eastAsia"/>
          <w:lang w:val="en-US" w:eastAsia="zh-CN"/>
        </w:rPr>
        <w:t>120</w:t>
      </w:r>
      <w:r>
        <w:rPr>
          <w:rFonts w:hint="eastAsia"/>
        </w:rPr>
        <w:t>0000</w:t>
      </w:r>
    </w:p>
    <w:p>
      <w:pPr>
        <w:spacing w:line="360" w:lineRule="auto"/>
      </w:pPr>
      <w:r>
        <w:rPr>
          <w:rFonts w:hint="eastAsia"/>
        </w:rPr>
        <w:t>采购需求：</w:t>
      </w:r>
    </w:p>
    <w:p>
      <w:pPr>
        <w:spacing w:line="360" w:lineRule="auto"/>
        <w:rPr>
          <w:rFonts w:hint="eastAsia"/>
          <w:highlight w:val="none"/>
          <w:lang w:eastAsia="zh-CN"/>
        </w:rPr>
      </w:pPr>
      <w:r>
        <w:rPr>
          <w:rFonts w:hint="eastAsia"/>
          <w:highlight w:val="none"/>
          <w:lang w:eastAsia="zh-CN"/>
        </w:rPr>
        <w:t>标项一</w:t>
      </w:r>
    </w:p>
    <w:p>
      <w:pPr>
        <w:spacing w:line="360" w:lineRule="auto"/>
        <w:rPr>
          <w:rFonts w:hint="eastAsia" w:eastAsia="宋体"/>
          <w:highlight w:val="none"/>
          <w:lang w:eastAsia="zh-CN"/>
        </w:rPr>
      </w:pPr>
      <w:r>
        <w:rPr>
          <w:rFonts w:hint="eastAsia"/>
          <w:highlight w:val="none"/>
        </w:rPr>
        <w:t>标项名称</w:t>
      </w:r>
      <w:r>
        <w:rPr>
          <w:rFonts w:hint="eastAsia"/>
          <w:highlight w:val="none"/>
          <w:lang w:eastAsia="zh-CN"/>
        </w:rPr>
        <w:t>：</w:t>
      </w:r>
      <w:r>
        <w:rPr>
          <w:rFonts w:hint="eastAsia"/>
        </w:rPr>
        <w:t>特克斯县人民医院设备、后勤维保服务项目（二次）</w:t>
      </w:r>
      <w:r>
        <w:rPr>
          <w:rFonts w:hint="eastAsia"/>
          <w:highlight w:val="none"/>
          <w:lang w:eastAsia="zh-CN"/>
        </w:rPr>
        <w:t>（标项一）</w:t>
      </w:r>
    </w:p>
    <w:p>
      <w:pPr>
        <w:spacing w:line="360" w:lineRule="auto"/>
        <w:rPr>
          <w:rFonts w:hint="default" w:eastAsia="宋体"/>
          <w:highlight w:val="none"/>
          <w:lang w:val="en-US" w:eastAsia="zh-CN"/>
        </w:rPr>
      </w:pPr>
      <w:r>
        <w:rPr>
          <w:rFonts w:hint="eastAsia"/>
          <w:highlight w:val="none"/>
        </w:rPr>
        <w:t>数量</w:t>
      </w:r>
      <w:r>
        <w:rPr>
          <w:rFonts w:hint="eastAsia"/>
          <w:highlight w:val="none"/>
          <w:lang w:eastAsia="zh-CN"/>
        </w:rPr>
        <w:t>：</w:t>
      </w:r>
      <w:r>
        <w:rPr>
          <w:rFonts w:hint="eastAsia"/>
          <w:highlight w:val="none"/>
          <w:lang w:val="en-US" w:eastAsia="zh-CN"/>
        </w:rPr>
        <w:t>1</w:t>
      </w:r>
    </w:p>
    <w:p>
      <w:pPr>
        <w:spacing w:line="360" w:lineRule="auto"/>
        <w:rPr>
          <w:rFonts w:hint="default" w:eastAsia="宋体"/>
          <w:highlight w:val="none"/>
          <w:lang w:val="en-US" w:eastAsia="zh-CN"/>
        </w:rPr>
      </w:pPr>
      <w:r>
        <w:rPr>
          <w:rFonts w:hint="eastAsia"/>
          <w:highlight w:val="none"/>
        </w:rPr>
        <w:t>预算金额（元）</w:t>
      </w:r>
      <w:r>
        <w:rPr>
          <w:rFonts w:hint="eastAsia"/>
          <w:highlight w:val="none"/>
          <w:lang w:eastAsia="zh-CN"/>
        </w:rPr>
        <w:t>：</w:t>
      </w:r>
      <w:r>
        <w:rPr>
          <w:rFonts w:hint="eastAsia"/>
          <w:highlight w:val="none"/>
          <w:lang w:val="en-US" w:eastAsia="zh-CN"/>
        </w:rPr>
        <w:t>13</w:t>
      </w:r>
      <w:r>
        <w:rPr>
          <w:rFonts w:hint="eastAsia"/>
          <w:highlight w:val="none"/>
          <w:lang w:eastAsia="zh-CN"/>
        </w:rPr>
        <w:t>0000</w:t>
      </w:r>
    </w:p>
    <w:p>
      <w:pPr>
        <w:spacing w:line="360" w:lineRule="auto"/>
        <w:rPr>
          <w:rFonts w:hint="eastAsia"/>
          <w:highlight w:val="none"/>
        </w:rPr>
      </w:pPr>
      <w:r>
        <w:rPr>
          <w:rFonts w:hint="eastAsia"/>
          <w:highlight w:val="none"/>
        </w:rPr>
        <w:t xml:space="preserve">单位：年 </w:t>
      </w:r>
    </w:p>
    <w:p>
      <w:pPr>
        <w:spacing w:line="360" w:lineRule="auto"/>
        <w:rPr>
          <w:rFonts w:hint="default" w:eastAsia="宋体"/>
          <w:highlight w:val="none"/>
          <w:lang w:val="en-US" w:eastAsia="zh-CN"/>
        </w:rPr>
      </w:pPr>
      <w:r>
        <w:rPr>
          <w:rFonts w:hint="eastAsia"/>
          <w:highlight w:val="none"/>
        </w:rPr>
        <w:t>简要规格描述或项目基本概况介绍、用途：</w:t>
      </w:r>
      <w:r>
        <w:rPr>
          <w:rFonts w:hint="eastAsia"/>
          <w:highlight w:val="none"/>
          <w:lang w:val="en-US" w:eastAsia="zh-CN"/>
        </w:rPr>
        <w:t>消防维保，具体内容详见招标文件。</w:t>
      </w:r>
    </w:p>
    <w:p>
      <w:pPr>
        <w:spacing w:line="360" w:lineRule="auto"/>
        <w:rPr>
          <w:rFonts w:hint="eastAsia"/>
          <w:highlight w:val="none"/>
        </w:rPr>
      </w:pPr>
      <w:r>
        <w:rPr>
          <w:rFonts w:hint="eastAsia"/>
          <w:highlight w:val="none"/>
        </w:rPr>
        <w:t>备注：</w:t>
      </w:r>
    </w:p>
    <w:p>
      <w:pPr>
        <w:spacing w:line="360" w:lineRule="auto"/>
        <w:rPr>
          <w:rFonts w:hint="eastAsia"/>
          <w:lang w:eastAsia="zh-CN"/>
        </w:rPr>
      </w:pPr>
      <w:r>
        <w:rPr>
          <w:rFonts w:hint="eastAsia"/>
          <w:lang w:eastAsia="zh-CN"/>
        </w:rPr>
        <w:t>标项</w:t>
      </w:r>
      <w:r>
        <w:rPr>
          <w:rFonts w:hint="eastAsia"/>
          <w:lang w:val="en-US" w:eastAsia="zh-CN"/>
        </w:rPr>
        <w:t>二</w:t>
      </w:r>
    </w:p>
    <w:p>
      <w:pPr>
        <w:spacing w:line="360" w:lineRule="auto"/>
        <w:rPr>
          <w:rFonts w:hint="eastAsia" w:eastAsia="宋体"/>
          <w:lang w:eastAsia="zh-CN"/>
        </w:rPr>
      </w:pPr>
      <w:r>
        <w:rPr>
          <w:rFonts w:hint="eastAsia"/>
        </w:rPr>
        <w:t>标项名称</w:t>
      </w:r>
      <w:r>
        <w:rPr>
          <w:rFonts w:hint="eastAsia"/>
          <w:lang w:eastAsia="zh-CN"/>
        </w:rPr>
        <w:t>：</w:t>
      </w:r>
      <w:r>
        <w:rPr>
          <w:rFonts w:hint="eastAsia"/>
        </w:rPr>
        <w:t>特克斯县人民医院设备、后勤维保服务项目（二次）</w:t>
      </w:r>
      <w:r>
        <w:rPr>
          <w:rFonts w:hint="eastAsia"/>
          <w:lang w:eastAsia="zh-CN"/>
        </w:rPr>
        <w:t>（标项</w:t>
      </w:r>
      <w:r>
        <w:rPr>
          <w:rFonts w:hint="eastAsia"/>
          <w:lang w:val="en-US" w:eastAsia="zh-CN"/>
        </w:rPr>
        <w:t>二</w:t>
      </w:r>
      <w:r>
        <w:rPr>
          <w:rFonts w:hint="eastAsia"/>
          <w:lang w:eastAsia="zh-CN"/>
        </w:rPr>
        <w:t>）</w:t>
      </w:r>
    </w:p>
    <w:p>
      <w:pPr>
        <w:spacing w:line="360" w:lineRule="auto"/>
        <w:rPr>
          <w:rFonts w:hint="default" w:eastAsia="宋体"/>
          <w:lang w:val="en-US" w:eastAsia="zh-CN"/>
        </w:rPr>
      </w:pPr>
      <w:r>
        <w:rPr>
          <w:rFonts w:hint="eastAsia"/>
        </w:rPr>
        <w:t>数量</w:t>
      </w:r>
      <w:r>
        <w:rPr>
          <w:rFonts w:hint="eastAsia"/>
          <w:lang w:eastAsia="zh-CN"/>
        </w:rPr>
        <w:t>：</w:t>
      </w:r>
      <w:r>
        <w:rPr>
          <w:rFonts w:hint="eastAsia"/>
          <w:lang w:val="en-US" w:eastAsia="zh-CN"/>
        </w:rPr>
        <w:t>1</w:t>
      </w:r>
    </w:p>
    <w:p>
      <w:pPr>
        <w:spacing w:line="360" w:lineRule="auto"/>
        <w:rPr>
          <w:rFonts w:hint="default" w:eastAsia="宋体"/>
          <w:lang w:val="en-US" w:eastAsia="zh-CN"/>
        </w:rPr>
      </w:pPr>
      <w:r>
        <w:rPr>
          <w:rFonts w:hint="eastAsia"/>
        </w:rPr>
        <w:t>预算金额（元）</w:t>
      </w:r>
      <w:r>
        <w:rPr>
          <w:rFonts w:hint="eastAsia"/>
          <w:lang w:eastAsia="zh-CN"/>
        </w:rPr>
        <w:t>：</w:t>
      </w:r>
      <w:r>
        <w:rPr>
          <w:rFonts w:hint="eastAsia"/>
          <w:lang w:val="en-US" w:eastAsia="zh-CN"/>
        </w:rPr>
        <w:t>15</w:t>
      </w:r>
      <w:r>
        <w:rPr>
          <w:rFonts w:hint="eastAsia"/>
        </w:rPr>
        <w:t>0000</w:t>
      </w:r>
    </w:p>
    <w:p>
      <w:pPr>
        <w:spacing w:line="360" w:lineRule="auto"/>
        <w:rPr>
          <w:rFonts w:hint="eastAsia"/>
        </w:rPr>
      </w:pPr>
      <w:r>
        <w:rPr>
          <w:rFonts w:hint="eastAsia"/>
        </w:rPr>
        <w:t xml:space="preserve">单位：年 </w:t>
      </w:r>
    </w:p>
    <w:p>
      <w:pPr>
        <w:spacing w:line="360" w:lineRule="auto"/>
        <w:rPr>
          <w:rFonts w:hint="default" w:eastAsia="宋体"/>
          <w:lang w:val="en-US" w:eastAsia="zh-CN"/>
        </w:rPr>
      </w:pPr>
      <w:r>
        <w:rPr>
          <w:rFonts w:hint="eastAsia"/>
        </w:rPr>
        <w:t>简要规格描述或项目基本概况介绍、用途：电梯维保</w:t>
      </w:r>
      <w:r>
        <w:rPr>
          <w:rFonts w:hint="eastAsia"/>
          <w:lang w:val="en-US" w:eastAsia="zh-CN"/>
        </w:rPr>
        <w:t>，具体内容详见招标文件。</w:t>
      </w:r>
    </w:p>
    <w:p>
      <w:pPr>
        <w:spacing w:line="360" w:lineRule="auto"/>
        <w:rPr>
          <w:rFonts w:hint="eastAsia"/>
        </w:rPr>
      </w:pPr>
      <w:r>
        <w:rPr>
          <w:rFonts w:hint="eastAsia"/>
        </w:rPr>
        <w:t>备注：</w:t>
      </w:r>
    </w:p>
    <w:p>
      <w:pPr>
        <w:spacing w:line="360" w:lineRule="auto"/>
        <w:rPr>
          <w:rFonts w:hint="eastAsia"/>
          <w:lang w:eastAsia="zh-CN"/>
        </w:rPr>
      </w:pPr>
      <w:r>
        <w:rPr>
          <w:rFonts w:hint="eastAsia"/>
          <w:lang w:eastAsia="zh-CN"/>
        </w:rPr>
        <w:t>标项</w:t>
      </w:r>
      <w:r>
        <w:rPr>
          <w:rFonts w:hint="eastAsia"/>
          <w:lang w:val="en-US" w:eastAsia="zh-CN"/>
        </w:rPr>
        <w:t>三</w:t>
      </w:r>
    </w:p>
    <w:p>
      <w:pPr>
        <w:spacing w:line="360" w:lineRule="auto"/>
        <w:rPr>
          <w:rFonts w:hint="eastAsia" w:eastAsia="宋体"/>
          <w:lang w:eastAsia="zh-CN"/>
        </w:rPr>
      </w:pPr>
      <w:r>
        <w:rPr>
          <w:rFonts w:hint="eastAsia"/>
        </w:rPr>
        <w:t>标项名称</w:t>
      </w:r>
      <w:r>
        <w:rPr>
          <w:rFonts w:hint="eastAsia"/>
          <w:lang w:eastAsia="zh-CN"/>
        </w:rPr>
        <w:t>：</w:t>
      </w:r>
      <w:r>
        <w:rPr>
          <w:rFonts w:hint="eastAsia"/>
        </w:rPr>
        <w:t>特克斯县人民医院设备、后勤维保服务项目（二次）</w:t>
      </w:r>
      <w:r>
        <w:rPr>
          <w:rFonts w:hint="eastAsia"/>
          <w:lang w:eastAsia="zh-CN"/>
        </w:rPr>
        <w:t>（标项</w:t>
      </w:r>
      <w:r>
        <w:rPr>
          <w:rFonts w:hint="eastAsia"/>
          <w:lang w:val="en-US" w:eastAsia="zh-CN"/>
        </w:rPr>
        <w:t>五</w:t>
      </w:r>
      <w:r>
        <w:rPr>
          <w:rFonts w:hint="eastAsia"/>
          <w:lang w:eastAsia="zh-CN"/>
        </w:rPr>
        <w:t>）</w:t>
      </w:r>
    </w:p>
    <w:p>
      <w:pPr>
        <w:spacing w:line="360" w:lineRule="auto"/>
        <w:rPr>
          <w:rFonts w:hint="default" w:eastAsia="宋体"/>
          <w:lang w:val="en-US" w:eastAsia="zh-CN"/>
        </w:rPr>
      </w:pPr>
      <w:r>
        <w:rPr>
          <w:rFonts w:hint="eastAsia"/>
        </w:rPr>
        <w:t>数量</w:t>
      </w:r>
      <w:r>
        <w:rPr>
          <w:rFonts w:hint="eastAsia"/>
          <w:lang w:eastAsia="zh-CN"/>
        </w:rPr>
        <w:t>：</w:t>
      </w:r>
      <w:r>
        <w:rPr>
          <w:rFonts w:hint="eastAsia"/>
          <w:lang w:val="en-US" w:eastAsia="zh-CN"/>
        </w:rPr>
        <w:t>1</w:t>
      </w:r>
    </w:p>
    <w:p>
      <w:pPr>
        <w:spacing w:line="360" w:lineRule="auto"/>
        <w:rPr>
          <w:rFonts w:hint="default" w:eastAsia="宋体"/>
          <w:lang w:val="en-US" w:eastAsia="zh-CN"/>
        </w:rPr>
      </w:pPr>
      <w:r>
        <w:rPr>
          <w:rFonts w:hint="eastAsia"/>
        </w:rPr>
        <w:t>预算金额（元）</w:t>
      </w:r>
      <w:r>
        <w:rPr>
          <w:rFonts w:hint="eastAsia"/>
          <w:lang w:eastAsia="zh-CN"/>
        </w:rPr>
        <w:t>：1200000</w:t>
      </w:r>
    </w:p>
    <w:p>
      <w:pPr>
        <w:spacing w:line="360" w:lineRule="auto"/>
        <w:rPr>
          <w:rFonts w:hint="eastAsia" w:eastAsia="宋体"/>
          <w:lang w:val="en-US" w:eastAsia="zh-CN"/>
        </w:rPr>
      </w:pPr>
      <w:r>
        <w:rPr>
          <w:rFonts w:hint="eastAsia"/>
        </w:rPr>
        <w:t>单位：</w:t>
      </w:r>
      <w:r>
        <w:rPr>
          <w:rFonts w:hint="eastAsia"/>
          <w:lang w:val="en-US" w:eastAsia="zh-CN"/>
        </w:rPr>
        <w:t>批</w:t>
      </w:r>
    </w:p>
    <w:p>
      <w:pPr>
        <w:spacing w:line="360" w:lineRule="auto"/>
        <w:rPr>
          <w:rFonts w:hint="default" w:eastAsia="宋体"/>
          <w:lang w:val="en-US" w:eastAsia="zh-CN"/>
        </w:rPr>
      </w:pPr>
      <w:r>
        <w:rPr>
          <w:rFonts w:hint="eastAsia"/>
        </w:rPr>
        <w:t>简要规格描述或项目基本概况介绍、用途：</w:t>
      </w:r>
      <w:r>
        <w:rPr>
          <w:rFonts w:hint="eastAsia"/>
          <w:lang w:val="en-US" w:eastAsia="zh-CN"/>
        </w:rPr>
        <w:t>采购制氧站设备，具体参数详见招标文件。</w:t>
      </w:r>
    </w:p>
    <w:p>
      <w:pPr>
        <w:spacing w:line="360" w:lineRule="auto"/>
        <w:rPr>
          <w:rFonts w:hint="default" w:eastAsia="宋体"/>
          <w:lang w:val="en-US" w:eastAsia="zh-CN"/>
        </w:rPr>
      </w:pPr>
      <w:r>
        <w:rPr>
          <w:rFonts w:hint="eastAsia"/>
        </w:rPr>
        <w:t>备注：</w:t>
      </w:r>
    </w:p>
    <w:p>
      <w:pPr>
        <w:pStyle w:val="11"/>
        <w:ind w:left="0" w:leftChars="0" w:firstLine="0" w:firstLine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合同履约期限：标项 1、2，</w:t>
      </w:r>
      <w:r>
        <w:rPr>
          <w:rFonts w:hint="eastAsia" w:cs="Times New Roman"/>
          <w:kern w:val="2"/>
          <w:sz w:val="21"/>
          <w:lang w:val="en-US" w:eastAsia="zh-CN" w:bidi="ar-SA"/>
        </w:rPr>
        <w:t>1</w:t>
      </w:r>
      <w:r>
        <w:rPr>
          <w:rFonts w:hint="eastAsia" w:ascii="Times New Roman" w:hAnsi="Times New Roman" w:eastAsia="宋体" w:cs="Times New Roman"/>
          <w:kern w:val="2"/>
          <w:sz w:val="21"/>
          <w:lang w:val="en-US" w:eastAsia="zh-CN" w:bidi="ar-SA"/>
        </w:rPr>
        <w:t>年；标项</w:t>
      </w:r>
      <w:r>
        <w:rPr>
          <w:rFonts w:hint="eastAsia" w:cs="Times New Roman"/>
          <w:kern w:val="2"/>
          <w:sz w:val="21"/>
          <w:lang w:val="en-US" w:eastAsia="zh-CN" w:bidi="ar-SA"/>
        </w:rPr>
        <w:t>3</w:t>
      </w:r>
      <w:r>
        <w:rPr>
          <w:rFonts w:hint="eastAsia" w:ascii="Times New Roman" w:hAnsi="Times New Roman" w:eastAsia="宋体" w:cs="Times New Roman"/>
          <w:kern w:val="2"/>
          <w:sz w:val="21"/>
          <w:lang w:val="en-US" w:eastAsia="zh-CN" w:bidi="ar-SA"/>
        </w:rPr>
        <w:t>，合同签订之日起30个日历日</w:t>
      </w:r>
      <w:r>
        <w:rPr>
          <w:rFonts w:hint="eastAsia" w:cs="Times New Roman"/>
          <w:kern w:val="2"/>
          <w:sz w:val="21"/>
          <w:lang w:val="en-US" w:eastAsia="zh-CN" w:bidi="ar-SA"/>
        </w:rPr>
        <w:t>；</w:t>
      </w:r>
    </w:p>
    <w:p>
      <w:pPr>
        <w:spacing w:line="360" w:lineRule="auto"/>
      </w:pPr>
      <w:r>
        <w:rPr>
          <w:rFonts w:hint="eastAsia"/>
        </w:rPr>
        <w:t>本项目（否）接受联合体投标。</w:t>
      </w:r>
    </w:p>
    <w:p>
      <w:pPr>
        <w:spacing w:line="360" w:lineRule="auto"/>
        <w:rPr>
          <w:b/>
          <w:bCs/>
        </w:rPr>
      </w:pPr>
      <w:r>
        <w:rPr>
          <w:rFonts w:hint="eastAsia"/>
          <w:b/>
          <w:bCs/>
          <w:lang w:val="en-US" w:eastAsia="zh-CN"/>
        </w:rPr>
        <w:t>二、</w:t>
      </w:r>
      <w:r>
        <w:rPr>
          <w:b/>
          <w:bCs/>
        </w:rPr>
        <w:t>申请人的资格要求：</w:t>
      </w:r>
    </w:p>
    <w:p>
      <w:pPr>
        <w:spacing w:line="360" w:lineRule="auto"/>
        <w:rPr>
          <w:rFonts w:hint="eastAsia"/>
          <w:lang w:val="en-US" w:eastAsia="zh-CN"/>
        </w:rPr>
      </w:pPr>
      <w:r>
        <w:rPr>
          <w:rFonts w:hint="eastAsia"/>
          <w:lang w:val="en-US" w:eastAsia="zh-CN"/>
        </w:rPr>
        <w:t>1.满足《中华人民共和国政府采购法》第二十二条规定；</w:t>
      </w:r>
    </w:p>
    <w:p>
      <w:pPr>
        <w:spacing w:line="360" w:lineRule="auto"/>
        <w:rPr>
          <w:rFonts w:hint="default" w:ascii="Times New Roman" w:hAnsi="Times New Roman" w:eastAsia="宋体" w:cs="Times New Roman"/>
          <w:highlight w:val="none"/>
          <w:lang w:val="en-US" w:eastAsia="zh-CN"/>
        </w:rPr>
      </w:pPr>
      <w:r>
        <w:rPr>
          <w:rFonts w:hint="eastAsia"/>
          <w:highlight w:val="none"/>
          <w:lang w:val="en-US" w:eastAsia="zh-CN"/>
        </w:rPr>
        <w:t>2.落实政府采购政策需满足的资格要求：标项1、2：专门面向中小企业采购；标项3：不专门面向中小企业采购；</w:t>
      </w:r>
    </w:p>
    <w:p>
      <w:pPr>
        <w:spacing w:line="360" w:lineRule="auto"/>
        <w:rPr>
          <w:rFonts w:hint="eastAsia"/>
          <w:lang w:val="en-US" w:eastAsia="zh-CN"/>
        </w:rPr>
      </w:pPr>
      <w:r>
        <w:rPr>
          <w:rFonts w:hint="eastAsia"/>
          <w:lang w:val="en-US" w:eastAsia="zh-CN"/>
        </w:rPr>
        <w:t>3.本项目的特定资格要求：</w:t>
      </w:r>
    </w:p>
    <w:p>
      <w:pPr>
        <w:spacing w:line="360" w:lineRule="auto"/>
        <w:rPr>
          <w:rFonts w:hint="eastAsia"/>
          <w:lang w:val="en-US" w:eastAsia="zh-CN"/>
        </w:rPr>
      </w:pPr>
      <w:r>
        <w:rPr>
          <w:rFonts w:hint="eastAsia"/>
          <w:lang w:val="en-US" w:eastAsia="zh-CN"/>
        </w:rPr>
        <w:t>【标项2】</w:t>
      </w:r>
    </w:p>
    <w:p>
      <w:pPr>
        <w:spacing w:line="360" w:lineRule="auto"/>
        <w:rPr>
          <w:rFonts w:hint="eastAsia"/>
          <w:lang w:val="en-US" w:eastAsia="zh-CN"/>
        </w:rPr>
      </w:pPr>
      <w:r>
        <w:rPr>
          <w:rFonts w:hint="eastAsia"/>
          <w:lang w:val="en-US" w:eastAsia="zh-CN"/>
        </w:rPr>
        <w:t>供应商须具有有效期内的《中华人民共和国特种设备生产许可证》，许可项目包含电梯制造（含安装、修理、改造）或《中华人民共和国特种设备安装改造修理许可证》，许可项目包含电梯安装、修理或国家行政主管部门新颁发的《中华人民共和国特种设备生产许可证》，许可项目包含电梯安装（含修理）。</w:t>
      </w:r>
    </w:p>
    <w:p>
      <w:pPr>
        <w:spacing w:line="360" w:lineRule="auto"/>
        <w:rPr>
          <w:rFonts w:hint="eastAsia"/>
          <w:lang w:val="en-US" w:eastAsia="zh-CN"/>
        </w:rPr>
      </w:pPr>
      <w:r>
        <w:rPr>
          <w:rFonts w:hint="eastAsia"/>
          <w:lang w:val="en-US" w:eastAsia="zh-CN"/>
        </w:rPr>
        <w:t>【标项3】</w:t>
      </w:r>
    </w:p>
    <w:p>
      <w:pPr>
        <w:numPr>
          <w:ilvl w:val="0"/>
          <w:numId w:val="0"/>
        </w:numPr>
        <w:spacing w:line="360" w:lineRule="auto"/>
      </w:pPr>
      <w:r>
        <w:rPr>
          <w:rFonts w:hint="eastAsia"/>
          <w:lang w:val="en-US" w:eastAsia="zh-CN"/>
        </w:rPr>
        <w:t>投标人为经销商的，须提供医疗器械经营许可证或二类医疗器械经营备案证（投标产品须在其经营范围内）、投标产品属于医疗器械管理的提供医疗器械注册证；投标人为制造厂家须提供医疗器械生产许可证或医疗器械生产备案证、投标产品属于医疗器械管理的提供医疗器械注册证；</w:t>
      </w:r>
    </w:p>
    <w:p>
      <w:pPr>
        <w:numPr>
          <w:ilvl w:val="0"/>
          <w:numId w:val="0"/>
        </w:numPr>
        <w:spacing w:line="360" w:lineRule="auto"/>
        <w:rPr>
          <w:b/>
          <w:bCs/>
        </w:rPr>
      </w:pPr>
      <w:r>
        <w:rPr>
          <w:b/>
          <w:bCs/>
        </w:rPr>
        <w:t>三、获取招标文件</w:t>
      </w:r>
    </w:p>
    <w:p>
      <w:pPr>
        <w:spacing w:line="360" w:lineRule="auto"/>
        <w:rPr>
          <w:rFonts w:hint="eastAsia"/>
          <w:highlight w:val="none"/>
          <w:lang w:val="en-US" w:eastAsia="zh-CN"/>
        </w:rPr>
      </w:pPr>
      <w:r>
        <w:rPr>
          <w:rFonts w:hint="eastAsia"/>
          <w:highlight w:val="none"/>
          <w:lang w:val="en-US" w:eastAsia="zh-CN"/>
        </w:rPr>
        <w:t>时间：2025年06月18日至2025年06月25日，每天上午10:00至14:00，下午16:00至20:00（北京时间，法定节假日除外）；</w:t>
      </w:r>
    </w:p>
    <w:p>
      <w:pPr>
        <w:spacing w:line="360" w:lineRule="auto"/>
        <w:rPr>
          <w:rFonts w:hint="eastAsia"/>
          <w:highlight w:val="none"/>
          <w:lang w:val="en-US" w:eastAsia="zh-CN"/>
        </w:rPr>
      </w:pPr>
      <w:r>
        <w:rPr>
          <w:rFonts w:hint="eastAsia"/>
          <w:highlight w:val="none"/>
          <w:lang w:val="en-US" w:eastAsia="zh-CN"/>
        </w:rPr>
        <w:t>地点：政采云系统平台（https://www.zcygov.cn/）；</w:t>
      </w:r>
    </w:p>
    <w:p>
      <w:pPr>
        <w:spacing w:line="360" w:lineRule="auto"/>
        <w:rPr>
          <w:rFonts w:hint="eastAsia"/>
          <w:highlight w:val="none"/>
          <w:lang w:val="en-US" w:eastAsia="zh-CN"/>
        </w:rPr>
      </w:pPr>
      <w:r>
        <w:rPr>
          <w:rFonts w:hint="eastAsia"/>
          <w:highlight w:val="none"/>
          <w:lang w:val="en-US" w:eastAsia="zh-CN"/>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pPr>
        <w:spacing w:line="360" w:lineRule="auto"/>
        <w:rPr>
          <w:rFonts w:hint="eastAsia"/>
          <w:highlight w:val="none"/>
          <w:lang w:val="en-US" w:eastAsia="zh-CN"/>
        </w:rPr>
      </w:pPr>
      <w:r>
        <w:rPr>
          <w:rFonts w:hint="eastAsia"/>
          <w:highlight w:val="none"/>
          <w:lang w:val="en-US" w:eastAsia="zh-CN"/>
        </w:rPr>
        <w:t>售价（元）：0</w:t>
      </w:r>
    </w:p>
    <w:p>
      <w:pPr>
        <w:spacing w:line="360" w:lineRule="auto"/>
        <w:rPr>
          <w:b/>
          <w:bCs/>
          <w:highlight w:val="none"/>
        </w:rPr>
      </w:pPr>
      <w:r>
        <w:rPr>
          <w:b/>
          <w:bCs/>
          <w:highlight w:val="none"/>
        </w:rPr>
        <w:t>四、提交投标文件截止时间、开标时间和地点</w:t>
      </w:r>
    </w:p>
    <w:p>
      <w:pPr>
        <w:spacing w:line="360" w:lineRule="auto"/>
        <w:rPr>
          <w:rFonts w:hint="eastAsia"/>
          <w:highlight w:val="none"/>
          <w:lang w:val="en-US" w:eastAsia="zh-CN"/>
        </w:rPr>
      </w:pPr>
      <w:r>
        <w:rPr>
          <w:rFonts w:hint="eastAsia"/>
          <w:highlight w:val="none"/>
          <w:lang w:val="en-US" w:eastAsia="zh-CN"/>
        </w:rPr>
        <w:t>提交投标文件截止时间：</w:t>
      </w:r>
      <w:r>
        <w:rPr>
          <w:rFonts w:hint="eastAsia"/>
          <w:lang w:eastAsia="zh-CN"/>
        </w:rPr>
        <w:t>2025年</w:t>
      </w:r>
      <w:r>
        <w:rPr>
          <w:rFonts w:hint="eastAsia"/>
          <w:lang w:val="en-US" w:eastAsia="zh-CN"/>
        </w:rPr>
        <w:t>07</w:t>
      </w:r>
      <w:r>
        <w:rPr>
          <w:rFonts w:hint="eastAsia"/>
          <w:lang w:eastAsia="zh-CN"/>
        </w:rPr>
        <w:t>月</w:t>
      </w:r>
      <w:r>
        <w:rPr>
          <w:rFonts w:hint="eastAsia"/>
          <w:lang w:val="en-US" w:eastAsia="zh-CN"/>
        </w:rPr>
        <w:t>08</w:t>
      </w:r>
      <w:r>
        <w:rPr>
          <w:rFonts w:hint="eastAsia"/>
          <w:lang w:eastAsia="zh-CN"/>
        </w:rPr>
        <w:t>日</w:t>
      </w:r>
      <w:r>
        <w:rPr>
          <w:rFonts w:hint="eastAsia"/>
          <w:lang w:val="en-US" w:eastAsia="zh-CN"/>
        </w:rPr>
        <w:t>12：00</w:t>
      </w:r>
      <w:r>
        <w:rPr>
          <w:rFonts w:hint="eastAsia"/>
          <w:lang w:eastAsia="zh-CN"/>
        </w:rPr>
        <w:t>（北京时间）</w:t>
      </w:r>
    </w:p>
    <w:p>
      <w:pPr>
        <w:spacing w:line="360" w:lineRule="auto"/>
        <w:rPr>
          <w:rFonts w:hint="eastAsia"/>
          <w:highlight w:val="none"/>
          <w:lang w:val="en-US" w:eastAsia="zh-CN"/>
        </w:rPr>
      </w:pPr>
      <w:r>
        <w:rPr>
          <w:rFonts w:hint="eastAsia"/>
          <w:highlight w:val="none"/>
          <w:lang w:val="en-US" w:eastAsia="zh-CN"/>
        </w:rPr>
        <w:t>地点：政采云平台客户端投标（逾期上传或者未上传指定地点的投标文件，采购人不予受理）。</w:t>
      </w:r>
    </w:p>
    <w:p>
      <w:pPr>
        <w:spacing w:line="360" w:lineRule="auto"/>
        <w:rPr>
          <w:rFonts w:hint="eastAsia"/>
          <w:highlight w:val="none"/>
          <w:lang w:val="en-US" w:eastAsia="zh-CN"/>
        </w:rPr>
      </w:pPr>
      <w:r>
        <w:rPr>
          <w:rFonts w:hint="eastAsia"/>
          <w:highlight w:val="none"/>
          <w:lang w:val="en-US" w:eastAsia="zh-CN"/>
        </w:rPr>
        <w:t>开标时间：</w:t>
      </w:r>
      <w:r>
        <w:rPr>
          <w:rFonts w:hint="eastAsia"/>
          <w:lang w:eastAsia="zh-CN"/>
        </w:rPr>
        <w:t>2025年</w:t>
      </w:r>
      <w:r>
        <w:rPr>
          <w:rFonts w:hint="eastAsia"/>
          <w:lang w:val="en-US" w:eastAsia="zh-CN"/>
        </w:rPr>
        <w:t>07</w:t>
      </w:r>
      <w:r>
        <w:rPr>
          <w:rFonts w:hint="eastAsia"/>
          <w:lang w:eastAsia="zh-CN"/>
        </w:rPr>
        <w:t>月</w:t>
      </w:r>
      <w:r>
        <w:rPr>
          <w:rFonts w:hint="eastAsia"/>
          <w:lang w:val="en-US" w:eastAsia="zh-CN"/>
        </w:rPr>
        <w:t>08</w:t>
      </w:r>
      <w:r>
        <w:rPr>
          <w:rFonts w:hint="eastAsia"/>
          <w:lang w:eastAsia="zh-CN"/>
        </w:rPr>
        <w:t>日</w:t>
      </w:r>
      <w:r>
        <w:rPr>
          <w:rFonts w:hint="eastAsia"/>
          <w:lang w:val="en-US" w:eastAsia="zh-CN"/>
        </w:rPr>
        <w:t>12：00</w:t>
      </w:r>
      <w:r>
        <w:rPr>
          <w:rFonts w:hint="eastAsia"/>
          <w:lang w:eastAsia="zh-CN"/>
        </w:rPr>
        <w:t>（北京时间）</w:t>
      </w:r>
    </w:p>
    <w:p>
      <w:pPr>
        <w:spacing w:line="360" w:lineRule="auto"/>
        <w:rPr>
          <w:rFonts w:hint="eastAsia"/>
          <w:lang w:val="en-US" w:eastAsia="zh-CN"/>
        </w:rPr>
      </w:pPr>
      <w:r>
        <w:rPr>
          <w:rFonts w:hint="eastAsia"/>
          <w:lang w:val="en-US" w:eastAsia="zh-CN"/>
        </w:rPr>
        <w:t>开标地点：投标人登录政采云平台https://www.zcygov.cn/，进入“项目采购-开标评标-右边选择对应项目点击“进入项目”进入开标大厅。</w:t>
      </w:r>
    </w:p>
    <w:p>
      <w:pPr>
        <w:spacing w:line="360" w:lineRule="auto"/>
        <w:rPr>
          <w:b/>
          <w:bCs/>
        </w:rPr>
      </w:pPr>
      <w:r>
        <w:rPr>
          <w:b/>
          <w:bCs/>
        </w:rPr>
        <w:t>五、公告期限</w:t>
      </w:r>
    </w:p>
    <w:p>
      <w:pPr>
        <w:spacing w:line="360" w:lineRule="auto"/>
      </w:pPr>
      <w:r>
        <w:rPr>
          <w:rFonts w:hint="eastAsia"/>
        </w:rPr>
        <w:t>自本公告发布之日起5个工作日。</w:t>
      </w:r>
    </w:p>
    <w:p>
      <w:pPr>
        <w:numPr>
          <w:ilvl w:val="0"/>
          <w:numId w:val="4"/>
        </w:numPr>
        <w:spacing w:line="360" w:lineRule="auto"/>
        <w:rPr>
          <w:b/>
          <w:bCs/>
        </w:rPr>
      </w:pPr>
      <w:r>
        <w:rPr>
          <w:b/>
          <w:bCs/>
        </w:rPr>
        <w:t>其他补充事宜</w:t>
      </w:r>
    </w:p>
    <w:p>
      <w:pPr>
        <w:numPr>
          <w:ilvl w:val="0"/>
          <w:numId w:val="5"/>
        </w:numPr>
        <w:spacing w:line="360" w:lineRule="auto"/>
        <w:rPr>
          <w:rFonts w:hint="eastAsia"/>
          <w:highlight w:val="none"/>
          <w:lang w:val="en-US" w:eastAsia="zh-CN"/>
        </w:rPr>
      </w:pPr>
      <w:r>
        <w:rPr>
          <w:rFonts w:hint="eastAsia"/>
          <w:highlight w:val="none"/>
          <w:lang w:val="en-US" w:eastAsia="zh-CN"/>
        </w:rPr>
        <w:t>本项目实行网上投标，采用电子投标文件。</w:t>
      </w:r>
    </w:p>
    <w:p>
      <w:pPr>
        <w:numPr>
          <w:ilvl w:val="0"/>
          <w:numId w:val="0"/>
        </w:numPr>
        <w:spacing w:line="360" w:lineRule="auto"/>
        <w:rPr>
          <w:rFonts w:hint="eastAsia"/>
          <w:highlight w:val="none"/>
          <w:lang w:val="en-US" w:eastAsia="zh-CN"/>
        </w:rPr>
      </w:pPr>
      <w:r>
        <w:rPr>
          <w:rFonts w:hint="eastAsia"/>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pPr>
        <w:pStyle w:val="30"/>
        <w:keepNext w:val="0"/>
        <w:keepLines w:val="0"/>
        <w:widowControl/>
        <w:suppressLineNumbers w:val="0"/>
        <w:wordWrap w:val="0"/>
        <w:spacing w:before="75" w:beforeAutospacing="0" w:after="75" w:afterAutospacing="0"/>
        <w:ind w:left="0" w:right="0" w:firstLine="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    3、供应商将政采云电子交易客户端下载、安装完成后，可通过账号密码或CA登录客户端进行投标文件的制作。在使用政采云投标客户端时，建议使用WIN7及以上操作系统。</w:t>
      </w:r>
    </w:p>
    <w:p>
      <w:pPr>
        <w:spacing w:line="360" w:lineRule="auto"/>
        <w:rPr>
          <w:b/>
          <w:bCs/>
        </w:rPr>
      </w:pPr>
      <w:r>
        <w:rPr>
          <w:b/>
          <w:bCs/>
        </w:rPr>
        <w:t>七、对本次采购提出询问，请按以下方式联系</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1.采购人信息</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名 称：特克斯县人民医院</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地 址：特克斯县</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联系方式：</w:t>
      </w:r>
      <w:r>
        <w:rPr>
          <w:rFonts w:hint="eastAsia" w:ascii="宋体" w:hAnsi="宋体" w:cs="宋体"/>
          <w:i w:val="0"/>
          <w:iCs w:val="0"/>
          <w:sz w:val="21"/>
          <w:szCs w:val="21"/>
          <w:highlight w:val="none"/>
          <w:u w:val="none"/>
          <w:lang w:val="en-US" w:eastAsia="zh-CN"/>
        </w:rPr>
        <w:t>0999-6626455</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2.采购代理机构信息</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名 称：新疆华域建设工程项目管理咨询有限公司</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地 址：伊宁市经济合作区北京路一品墅新房大厦10楼1004号</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rPr>
      </w:pPr>
      <w:r>
        <w:rPr>
          <w:rFonts w:hint="eastAsia" w:ascii="宋体" w:hAnsi="宋体" w:eastAsia="宋体" w:cs="宋体"/>
          <w:i w:val="0"/>
          <w:iCs w:val="0"/>
          <w:sz w:val="21"/>
          <w:szCs w:val="21"/>
          <w:highlight w:val="none"/>
          <w:u w:val="none"/>
        </w:rPr>
        <w:t>3.项目联系方式</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lang w:eastAsia="zh-CN"/>
        </w:rPr>
      </w:pPr>
      <w:r>
        <w:rPr>
          <w:rFonts w:hint="eastAsia" w:ascii="宋体" w:hAnsi="宋体" w:eastAsia="宋体" w:cs="宋体"/>
          <w:i w:val="0"/>
          <w:iCs w:val="0"/>
          <w:sz w:val="21"/>
          <w:szCs w:val="21"/>
          <w:highlight w:val="none"/>
          <w:u w:val="none"/>
        </w:rPr>
        <w:t>项目联系人：</w:t>
      </w:r>
      <w:r>
        <w:rPr>
          <w:rFonts w:hint="eastAsia" w:ascii="宋体" w:hAnsi="宋体" w:cs="宋体"/>
          <w:i w:val="0"/>
          <w:iCs w:val="0"/>
          <w:sz w:val="21"/>
          <w:szCs w:val="21"/>
          <w:highlight w:val="none"/>
          <w:u w:val="none"/>
          <w:lang w:eastAsia="zh-CN"/>
        </w:rPr>
        <w:t>薛迎</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firstLine="420" w:firstLineChars="200"/>
        <w:jc w:val="left"/>
        <w:textAlignment w:val="auto"/>
        <w:rPr>
          <w:rFonts w:hint="eastAsia" w:ascii="宋体" w:hAnsi="宋体" w:eastAsia="宋体" w:cs="宋体"/>
          <w:i w:val="0"/>
          <w:iCs w:val="0"/>
          <w:sz w:val="21"/>
          <w:szCs w:val="21"/>
          <w:highlight w:val="none"/>
          <w:u w:val="none"/>
          <w:lang w:eastAsia="zh-CN"/>
        </w:rPr>
      </w:pPr>
      <w:r>
        <w:rPr>
          <w:rFonts w:hint="eastAsia" w:ascii="宋体" w:hAnsi="宋体" w:eastAsia="宋体" w:cs="宋体"/>
          <w:i w:val="0"/>
          <w:iCs w:val="0"/>
          <w:sz w:val="21"/>
          <w:szCs w:val="21"/>
          <w:highlight w:val="none"/>
          <w:u w:val="none"/>
        </w:rPr>
        <w:t>电 话：</w:t>
      </w:r>
      <w:r>
        <w:rPr>
          <w:rFonts w:hint="eastAsia" w:ascii="宋体" w:hAnsi="宋体" w:cs="宋体"/>
          <w:i w:val="0"/>
          <w:iCs w:val="0"/>
          <w:sz w:val="21"/>
          <w:szCs w:val="21"/>
          <w:highlight w:val="none"/>
          <w:u w:val="none"/>
          <w:lang w:eastAsia="zh-CN"/>
        </w:rPr>
        <w:t>18699973005</w:t>
      </w: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p>
    <w:p>
      <w:pPr>
        <w:pStyle w:val="3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第二章 </w:t>
      </w:r>
      <w:bookmarkStart w:id="3" w:name="_Toc5345_WPSOffice_Level1"/>
      <w:r>
        <w:rPr>
          <w:rFonts w:hint="eastAsia" w:ascii="仿宋" w:hAnsi="仿宋" w:eastAsia="仿宋" w:cs="仿宋"/>
          <w:color w:val="auto"/>
          <w:sz w:val="32"/>
          <w:szCs w:val="32"/>
          <w:highlight w:val="none"/>
        </w:rPr>
        <w:t>投标须知前附表</w:t>
      </w:r>
      <w:bookmarkEnd w:id="1"/>
      <w:bookmarkEnd w:id="3"/>
    </w:p>
    <w:tbl>
      <w:tblPr>
        <w:tblStyle w:val="33"/>
        <w:tblW w:w="10533" w:type="dxa"/>
        <w:tblInd w:w="-7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2"/>
        <w:gridCol w:w="1664"/>
        <w:gridCol w:w="1293"/>
        <w:gridCol w:w="454"/>
        <w:gridCol w:w="2204"/>
        <w:gridCol w:w="186"/>
        <w:gridCol w:w="1703"/>
        <w:gridCol w:w="24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条款名称</w:t>
            </w:r>
          </w:p>
        </w:tc>
        <w:tc>
          <w:tcPr>
            <w:tcW w:w="8337" w:type="dxa"/>
            <w:gridSpan w:val="6"/>
            <w:tcBorders>
              <w:bottom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664"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1293"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7044" w:type="dxa"/>
            <w:gridSpan w:val="5"/>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7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特克斯县人民医院设备、后勤维保服务项目（二次）（标项一）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293" w:type="dxa"/>
            <w:tcBorders>
              <w:top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编号</w:t>
            </w:r>
          </w:p>
        </w:tc>
        <w:tc>
          <w:tcPr>
            <w:tcW w:w="7044" w:type="dxa"/>
            <w:gridSpan w:val="5"/>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line="37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HYYL-2025-027-1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664"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1293" w:type="dxa"/>
            <w:tcBorders>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7044" w:type="dxa"/>
            <w:gridSpan w:val="5"/>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7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特克斯县人民医院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293"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w:t>
            </w:r>
          </w:p>
        </w:tc>
        <w:tc>
          <w:tcPr>
            <w:tcW w:w="265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7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庞主任</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7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联系电话</w:t>
            </w:r>
          </w:p>
        </w:tc>
        <w:tc>
          <w:tcPr>
            <w:tcW w:w="249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7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0999-6626455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293" w:type="dxa"/>
            <w:tcBorders>
              <w:top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地址</w:t>
            </w:r>
          </w:p>
        </w:tc>
        <w:tc>
          <w:tcPr>
            <w:tcW w:w="7044" w:type="dxa"/>
            <w:gridSpan w:val="5"/>
            <w:tcBorders>
              <w:top w:val="single" w:color="auto" w:sz="4" w:space="0"/>
              <w:left w:val="single" w:color="auto" w:sz="4" w:space="0"/>
            </w:tcBorders>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特克斯县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664"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1293" w:type="dxa"/>
            <w:tcBorders>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7044" w:type="dxa"/>
            <w:gridSpan w:val="5"/>
            <w:tcBorders>
              <w:left w:val="single" w:color="auto" w:sz="4" w:space="0"/>
              <w:bottom w:val="single" w:color="auto" w:sz="4" w:space="0"/>
            </w:tcBorders>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宋体"/>
                <w:sz w:val="24"/>
                <w:szCs w:val="24"/>
                <w:u w:val="none"/>
                <w:lang w:val="zh-CN" w:eastAsia="zh-CN"/>
              </w:rPr>
              <w:t>新疆华域建设工程项目管理咨询有限公司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293"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w:t>
            </w:r>
          </w:p>
        </w:tc>
        <w:tc>
          <w:tcPr>
            <w:tcW w:w="26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薛迎</w:t>
            </w:r>
          </w:p>
        </w:tc>
        <w:tc>
          <w:tcPr>
            <w:tcW w:w="18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97" w:type="dxa"/>
            <w:tcBorders>
              <w:top w:val="single" w:color="auto" w:sz="4" w:space="0"/>
              <w:left w:val="single" w:color="auto" w:sz="4" w:space="0"/>
              <w:bottom w:val="single" w:color="auto" w:sz="4" w:space="0"/>
            </w:tcBorders>
            <w:vAlign w:val="center"/>
          </w:tcPr>
          <w:p>
            <w:pPr>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18699973005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293" w:type="dxa"/>
            <w:tcBorders>
              <w:top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地址</w:t>
            </w:r>
          </w:p>
        </w:tc>
        <w:tc>
          <w:tcPr>
            <w:tcW w:w="7044" w:type="dxa"/>
            <w:gridSpan w:val="5"/>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伊宁市经济合作区北京路一品墅新房大厦10楼1004号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83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消防维保，具体内容详见招标文件。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w:t>
            </w:r>
          </w:p>
        </w:tc>
        <w:tc>
          <w:tcPr>
            <w:tcW w:w="1664" w:type="dxa"/>
            <w:vMerge w:val="restart"/>
            <w:vAlign w:val="center"/>
          </w:tcPr>
          <w:p>
            <w:pPr>
              <w:widowControl/>
              <w:adjustRightInd w:val="0"/>
              <w:snapToGrid w:val="0"/>
              <w:spacing w:before="100" w:beforeAutospacing="1" w:after="100" w:afterAutospacing="1"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最高限价金额</w:t>
            </w:r>
          </w:p>
        </w:tc>
        <w:tc>
          <w:tcPr>
            <w:tcW w:w="4137" w:type="dxa"/>
            <w:gridSpan w:val="4"/>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小写（元）：130000.00</w:t>
            </w:r>
          </w:p>
        </w:tc>
        <w:tc>
          <w:tcPr>
            <w:tcW w:w="4200"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大写：壹拾叁万元整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widowControl/>
              <w:adjustRightInd w:val="0"/>
              <w:snapToGrid w:val="0"/>
              <w:spacing w:before="100" w:beforeAutospacing="1" w:after="100" w:afterAutospacing="1" w:line="360" w:lineRule="auto"/>
              <w:jc w:val="center"/>
              <w:rPr>
                <w:rFonts w:hint="eastAsia" w:ascii="仿宋" w:hAnsi="仿宋" w:eastAsia="仿宋" w:cs="仿宋"/>
                <w:b/>
                <w:color w:val="auto"/>
                <w:kern w:val="0"/>
                <w:sz w:val="24"/>
                <w:szCs w:val="24"/>
                <w:highlight w:val="none"/>
              </w:rPr>
            </w:pPr>
          </w:p>
        </w:tc>
        <w:tc>
          <w:tcPr>
            <w:tcW w:w="8337" w:type="dxa"/>
            <w:gridSpan w:val="6"/>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各投标人的投标总报价不得高于最高限价金额，否则将否决其投标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shd w:val="clear" w:color="auto" w:fill="FFFFFF"/>
              </w:rPr>
            </w:pPr>
            <w:r>
              <w:rPr>
                <w:rFonts w:hint="eastAsia" w:ascii="仿宋" w:hAnsi="仿宋" w:eastAsia="仿宋" w:cs="仿宋"/>
                <w:b/>
                <w:color w:val="auto"/>
                <w:kern w:val="0"/>
                <w:sz w:val="24"/>
                <w:szCs w:val="24"/>
                <w:highlight w:val="none"/>
                <w:shd w:val="clear" w:color="auto" w:fill="FFFFFF"/>
              </w:rPr>
              <w:t>资金来源</w:t>
            </w:r>
          </w:p>
        </w:tc>
        <w:tc>
          <w:tcPr>
            <w:tcW w:w="83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shd w:val="clear" w:color="auto" w:fill="FFFFFF"/>
              </w:rPr>
            </w:pPr>
            <w:r>
              <w:rPr>
                <w:rFonts w:hint="eastAsia" w:ascii="仿宋" w:hAnsi="仿宋" w:eastAsia="仿宋" w:cs="仿宋"/>
                <w:b/>
                <w:color w:val="auto"/>
                <w:kern w:val="0"/>
                <w:sz w:val="24"/>
                <w:szCs w:val="24"/>
                <w:highlight w:val="none"/>
                <w:shd w:val="clear" w:color="auto" w:fill="FFFFFF"/>
              </w:rPr>
              <w:t>采购方式</w:t>
            </w:r>
          </w:p>
        </w:tc>
        <w:tc>
          <w:tcPr>
            <w:tcW w:w="83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公开招标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shd w:val="clear" w:color="auto" w:fill="FFFFFF"/>
              </w:rPr>
              <w:t>服务期限</w:t>
            </w:r>
          </w:p>
        </w:tc>
        <w:tc>
          <w:tcPr>
            <w:tcW w:w="83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服务地点</w:t>
            </w:r>
          </w:p>
        </w:tc>
        <w:tc>
          <w:tcPr>
            <w:tcW w:w="83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付款方式</w:t>
            </w:r>
          </w:p>
        </w:tc>
        <w:tc>
          <w:tcPr>
            <w:tcW w:w="8337" w:type="dxa"/>
            <w:gridSpan w:val="6"/>
            <w:vAlign w:val="center"/>
          </w:tcPr>
          <w:p>
            <w:pPr>
              <w:pStyle w:val="12"/>
              <w:ind w:firstLine="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以甲乙双方合同约定执行。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采购</w:t>
            </w:r>
            <w:r>
              <w:rPr>
                <w:rFonts w:hint="eastAsia" w:ascii="仿宋" w:hAnsi="仿宋" w:eastAsia="仿宋" w:cs="仿宋"/>
                <w:b/>
                <w:color w:val="auto"/>
                <w:kern w:val="0"/>
                <w:sz w:val="24"/>
                <w:szCs w:val="24"/>
                <w:highlight w:val="none"/>
              </w:rPr>
              <w:t>要求</w:t>
            </w:r>
          </w:p>
        </w:tc>
        <w:tc>
          <w:tcPr>
            <w:tcW w:w="8337" w:type="dxa"/>
            <w:gridSpan w:val="6"/>
            <w:vAlign w:val="center"/>
          </w:tcPr>
          <w:p>
            <w:pPr>
              <w:widowControl/>
              <w:spacing w:line="360" w:lineRule="auto"/>
              <w:ind w:hanging="10"/>
              <w:jc w:val="left"/>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具体详见第五章采购需求。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投标人</w:t>
            </w:r>
            <w:r>
              <w:rPr>
                <w:rFonts w:hint="eastAsia" w:ascii="仿宋" w:hAnsi="仿宋" w:eastAsia="仿宋" w:cs="仿宋"/>
                <w:b/>
                <w:color w:val="auto"/>
                <w:kern w:val="0"/>
                <w:sz w:val="24"/>
                <w:szCs w:val="24"/>
                <w:highlight w:val="none"/>
              </w:rPr>
              <w:t>资格</w:t>
            </w:r>
          </w:p>
        </w:tc>
        <w:tc>
          <w:tcPr>
            <w:tcW w:w="8337" w:type="dxa"/>
            <w:gridSpan w:val="6"/>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详见第一章 采购公告，第二条申请人的资格要求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w:t>
            </w:r>
          </w:p>
        </w:tc>
        <w:tc>
          <w:tcPr>
            <w:tcW w:w="1664"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缴纳投标</w:t>
            </w:r>
          </w:p>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保证金</w:t>
            </w:r>
          </w:p>
        </w:tc>
        <w:tc>
          <w:tcPr>
            <w:tcW w:w="8337" w:type="dxa"/>
            <w:gridSpan w:val="6"/>
            <w:tcBorders>
              <w:bottom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投标保证金的缴纳形式：投标保证金的缴纳形式：投标人必须以支票、汇票、本票或者金融机构、担保机构出具的保函（电子保函、保险保函、银行保函等）等非现金形式提交。</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投标保证金的金额：</w:t>
            </w:r>
            <w:r>
              <w:rPr>
                <w:rFonts w:hint="eastAsia" w:ascii="仿宋" w:hAnsi="仿宋" w:eastAsia="仿宋" w:cs="仿宋"/>
                <w:color w:val="auto"/>
                <w:sz w:val="24"/>
                <w:szCs w:val="24"/>
                <w:highlight w:val="none"/>
                <w:lang w:val="en-US" w:eastAsia="zh-CN"/>
              </w:rPr>
              <w:t>2600.00</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en-US" w:eastAsia="zh-CN"/>
              </w:rPr>
              <w:t>大写：贰仟陆佰元整</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7"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8337" w:type="dxa"/>
            <w:gridSpan w:val="6"/>
            <w:tcBorders>
              <w:top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(1)指定账户：</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单位名称：新疆华域建设工程项目管理咨询有限公司伊犁分公司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开户银行：中国工商银行股份有限公司伊宁阿合买提江街支行</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银行账号：3006023109200131786</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(2)以政采云电子保函形式递交的，按照以下形式在线申请并在投标截止时间前办理完成:新疆政府采购网-“电子保函”页面，在线完成保函的申请、审核出函等环节。如遇问题可拨打政府采购咨询热线:95763。</w:t>
            </w:r>
          </w:p>
          <w:p>
            <w:pPr>
              <w:snapToGrid w:val="0"/>
              <w:spacing w:line="360" w:lineRule="auto"/>
              <w:rPr>
                <w:rFonts w:hint="eastAsia" w:ascii="仿宋" w:hAnsi="仿宋" w:eastAsia="仿宋" w:cs="仿宋"/>
                <w:b/>
                <w:color w:val="auto"/>
                <w:kern w:val="0"/>
                <w:sz w:val="24"/>
                <w:szCs w:val="24"/>
                <w:highlight w:val="none"/>
                <w:u w:val="single"/>
              </w:rPr>
            </w:pPr>
            <w:r>
              <w:rPr>
                <w:rFonts w:hint="eastAsia" w:ascii="仿宋" w:hAnsi="仿宋" w:eastAsia="仿宋" w:cs="仿宋"/>
                <w:color w:val="auto"/>
                <w:sz w:val="24"/>
                <w:szCs w:val="24"/>
                <w:highlight w:val="none"/>
              </w:rPr>
              <w:t>（3）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退付</w:t>
            </w:r>
          </w:p>
        </w:tc>
        <w:tc>
          <w:tcPr>
            <w:tcW w:w="8337" w:type="dxa"/>
            <w:gridSpan w:val="6"/>
            <w:tcBorders>
              <w:top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在中标（成交）通知书发出后5个工作日退还；</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在合同签订后5个工作日退还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投标有</w:t>
            </w:r>
          </w:p>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效期</w:t>
            </w:r>
          </w:p>
        </w:tc>
        <w:tc>
          <w:tcPr>
            <w:tcW w:w="8337" w:type="dxa"/>
            <w:gridSpan w:val="6"/>
            <w:vAlign w:val="center"/>
          </w:tcPr>
          <w:p>
            <w:pPr>
              <w:autoSpaceDE w:val="0"/>
              <w:autoSpaceDN w:val="0"/>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90日历日（自投标截止时间起开始计算）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评标办法</w:t>
            </w:r>
          </w:p>
        </w:tc>
        <w:tc>
          <w:tcPr>
            <w:tcW w:w="8337" w:type="dxa"/>
            <w:gridSpan w:val="6"/>
            <w:vAlign w:val="center"/>
          </w:tcPr>
          <w:p>
            <w:pPr>
              <w:autoSpaceDE w:val="0"/>
              <w:autoSpaceDN w:val="0"/>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4"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投标文件份数</w:t>
            </w:r>
          </w:p>
        </w:tc>
        <w:tc>
          <w:tcPr>
            <w:tcW w:w="8337" w:type="dxa"/>
            <w:gridSpan w:val="6"/>
            <w:vAlign w:val="center"/>
          </w:tcPr>
          <w:p>
            <w:pPr>
              <w:autoSpaceDE w:val="0"/>
              <w:autoSpaceDN w:val="0"/>
              <w:adjustRightInd w:val="0"/>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bCs/>
                <w:sz w:val="24"/>
                <w:szCs w:val="24"/>
              </w:rPr>
              <w:t>加密的电子投标文件壹份(.jmbs格式)在</w:t>
            </w:r>
            <w:r>
              <w:rPr>
                <w:rFonts w:hint="eastAsia" w:ascii="仿宋" w:hAnsi="仿宋" w:eastAsia="仿宋" w:cs="仿宋"/>
                <w:bCs/>
                <w:sz w:val="24"/>
                <w:szCs w:val="24"/>
                <w:lang w:val="en-US" w:eastAsia="zh-CN"/>
              </w:rPr>
              <w:t>新疆政府</w:t>
            </w:r>
            <w:r>
              <w:rPr>
                <w:rFonts w:hint="eastAsia" w:ascii="仿宋" w:hAnsi="仿宋" w:eastAsia="仿宋" w:cs="仿宋"/>
                <w:bCs/>
                <w:sz w:val="24"/>
                <w:szCs w:val="24"/>
              </w:rPr>
              <w:t>采购网指定位置上传</w:t>
            </w:r>
            <w:r>
              <w:rPr>
                <w:rFonts w:hint="eastAsia" w:ascii="仿宋" w:hAnsi="仿宋" w:eastAsia="仿宋" w:cs="仿宋"/>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532" w:type="dxa"/>
            <w:vAlign w:val="center"/>
          </w:tcPr>
          <w:p>
            <w:pPr>
              <w:autoSpaceDE w:val="0"/>
              <w:autoSpaceDN w:val="0"/>
              <w:adjustRightInd w:val="0"/>
              <w:snapToGri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664"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rPr>
              <w:t>投标文件解密时间</w:t>
            </w:r>
          </w:p>
        </w:tc>
        <w:tc>
          <w:tcPr>
            <w:tcW w:w="8337" w:type="dxa"/>
            <w:gridSpan w:val="6"/>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开标时间后</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分钟内投标人可以登录“政采云”平台，用“项目采购-开标评标”功能进行解密投标文件。若投标人在规定时间内未按时解密的，视为无效投标。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32" w:type="dxa"/>
            <w:vAlign w:val="center"/>
          </w:tcPr>
          <w:p>
            <w:pPr>
              <w:autoSpaceDE w:val="0"/>
              <w:autoSpaceDN w:val="0"/>
              <w:adjustRightInd w:val="0"/>
              <w:snapToGri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664" w:type="dxa"/>
            <w:vAlign w:val="center"/>
          </w:tcPr>
          <w:p>
            <w:pPr>
              <w:overflowPunct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政府采购政策</w:t>
            </w:r>
          </w:p>
        </w:tc>
        <w:tc>
          <w:tcPr>
            <w:tcW w:w="8337" w:type="dxa"/>
            <w:gridSpan w:val="6"/>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）财政部、工业和信息化部《关于印发《政府采购促进中小企业发展管理办法》（财库[2020]46号文）、《关于落实好政府采购支持中小企业发展的通知》（新财购 〔2022〕22号）；</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）财政部、民政部、中国残疾人联合会《关于促进残疾人就业政府采购政策的通知》（财库[2017]141号）；</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）财政部、司法部《关于政府采购支持监狱企业发展有关问题的通知》（财库[2014]68号文）。</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（4）本项目专门面向中小企业采购；</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）专门面向中小企业采购的项目或者采购包，不再执行价格评审优惠的扶持政策。</w:t>
            </w:r>
          </w:p>
          <w:p>
            <w:pPr>
              <w:pStyle w:val="7"/>
              <w:rPr>
                <w:rFonts w:hint="eastAsia"/>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）价格扣除比例：</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10</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宋体" w:hAnsi="宋体" w:eastAsia="宋体" w:cs="宋体"/>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532" w:type="dxa"/>
            <w:vAlign w:val="center"/>
          </w:tcPr>
          <w:p>
            <w:pPr>
              <w:autoSpaceDE w:val="0"/>
              <w:autoSpaceDN w:val="0"/>
              <w:adjustRightInd w:val="0"/>
              <w:snapToGri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20</w:t>
            </w:r>
          </w:p>
        </w:tc>
        <w:tc>
          <w:tcPr>
            <w:tcW w:w="1664"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评标小组组成</w:t>
            </w:r>
          </w:p>
        </w:tc>
        <w:tc>
          <w:tcPr>
            <w:tcW w:w="8337" w:type="dxa"/>
            <w:gridSpan w:val="6"/>
            <w:vAlign w:val="center"/>
          </w:tcPr>
          <w:p>
            <w:pPr>
              <w:autoSpaceDE w:val="0"/>
              <w:autoSpaceDN w:val="0"/>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小组成员由</w:t>
            </w:r>
            <w:r>
              <w:rPr>
                <w:rFonts w:hint="eastAsia" w:ascii="仿宋" w:hAnsi="仿宋" w:eastAsia="仿宋" w:cs="仿宋"/>
                <w:b/>
                <w:color w:val="auto"/>
                <w:kern w:val="0"/>
                <w:sz w:val="24"/>
                <w:szCs w:val="24"/>
                <w:highlight w:val="none"/>
                <w:u w:val="single"/>
              </w:rPr>
              <w:t xml:space="preserve"> </w:t>
            </w:r>
            <w:r>
              <w:rPr>
                <w:rFonts w:hint="eastAsia" w:ascii="仿宋" w:hAnsi="仿宋" w:eastAsia="仿宋" w:cs="仿宋"/>
                <w:b/>
                <w:color w:val="auto"/>
                <w:kern w:val="0"/>
                <w:sz w:val="24"/>
                <w:szCs w:val="24"/>
                <w:highlight w:val="none"/>
                <w:u w:val="single"/>
                <w:lang w:val="en-US" w:eastAsia="zh-CN"/>
              </w:rPr>
              <w:t xml:space="preserve"> </w:t>
            </w:r>
            <w:r>
              <w:rPr>
                <w:rFonts w:hint="eastAsia" w:ascii="仿宋" w:hAnsi="仿宋" w:eastAsia="仿宋" w:cs="仿宋"/>
                <w:b/>
                <w:color w:val="auto"/>
                <w:kern w:val="0"/>
                <w:sz w:val="24"/>
                <w:szCs w:val="24"/>
                <w:highlight w:val="none"/>
                <w:u w:val="single"/>
              </w:rPr>
              <w:t xml:space="preserve">5 </w:t>
            </w:r>
            <w:r>
              <w:rPr>
                <w:rFonts w:hint="eastAsia" w:ascii="仿宋" w:hAnsi="仿宋" w:eastAsia="仿宋" w:cs="仿宋"/>
                <w:color w:val="auto"/>
                <w:kern w:val="0"/>
                <w:sz w:val="24"/>
                <w:szCs w:val="24"/>
                <w:highlight w:val="none"/>
              </w:rPr>
              <w:t>人组成，其中采购方代表</w:t>
            </w:r>
            <w:r>
              <w:rPr>
                <w:rFonts w:hint="eastAsia" w:ascii="仿宋" w:hAnsi="仿宋" w:eastAsia="仿宋" w:cs="仿宋"/>
                <w:b/>
                <w:color w:val="auto"/>
                <w:kern w:val="0"/>
                <w:sz w:val="24"/>
                <w:szCs w:val="24"/>
                <w:highlight w:val="none"/>
                <w:u w:val="single"/>
              </w:rPr>
              <w:t xml:space="preserve">  1 </w:t>
            </w:r>
            <w:r>
              <w:rPr>
                <w:rFonts w:hint="eastAsia" w:ascii="仿宋" w:hAnsi="仿宋" w:eastAsia="仿宋" w:cs="仿宋"/>
                <w:color w:val="auto"/>
                <w:kern w:val="0"/>
                <w:sz w:val="24"/>
                <w:szCs w:val="24"/>
                <w:highlight w:val="none"/>
              </w:rPr>
              <w:t>人，从</w:t>
            </w:r>
            <w:r>
              <w:rPr>
                <w:rFonts w:hint="eastAsia" w:ascii="仿宋" w:hAnsi="仿宋" w:eastAsia="仿宋" w:cs="仿宋"/>
                <w:color w:val="auto"/>
                <w:kern w:val="0"/>
                <w:sz w:val="24"/>
                <w:szCs w:val="24"/>
                <w:highlight w:val="none"/>
                <w:lang w:eastAsia="zh-CN"/>
              </w:rPr>
              <w:t>新疆政采云</w:t>
            </w:r>
            <w:r>
              <w:rPr>
                <w:rFonts w:hint="eastAsia" w:ascii="仿宋" w:hAnsi="仿宋" w:eastAsia="仿宋" w:cs="仿宋"/>
                <w:color w:val="auto"/>
                <w:kern w:val="0"/>
                <w:sz w:val="24"/>
                <w:szCs w:val="24"/>
                <w:highlight w:val="none"/>
              </w:rPr>
              <w:t>专家库中随机抽取的方式确定</w:t>
            </w:r>
            <w:r>
              <w:rPr>
                <w:rFonts w:hint="eastAsia" w:ascii="仿宋" w:hAnsi="仿宋" w:eastAsia="仿宋" w:cs="仿宋"/>
                <w:b/>
                <w:color w:val="auto"/>
                <w:kern w:val="0"/>
                <w:sz w:val="24"/>
                <w:szCs w:val="24"/>
                <w:highlight w:val="none"/>
                <w:u w:val="single"/>
              </w:rPr>
              <w:t xml:space="preserve">  4  </w:t>
            </w:r>
            <w:r>
              <w:rPr>
                <w:rFonts w:hint="eastAsia" w:ascii="仿宋" w:hAnsi="仿宋" w:eastAsia="仿宋" w:cs="仿宋"/>
                <w:color w:val="auto"/>
                <w:kern w:val="0"/>
                <w:sz w:val="24"/>
                <w:szCs w:val="24"/>
                <w:highlight w:val="none"/>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1</w:t>
            </w:r>
          </w:p>
        </w:tc>
        <w:tc>
          <w:tcPr>
            <w:tcW w:w="3411" w:type="dxa"/>
            <w:gridSpan w:val="3"/>
            <w:vMerge w:val="restart"/>
            <w:tcBorders>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投标截止（开标）时间及地点</w:t>
            </w:r>
          </w:p>
        </w:tc>
        <w:tc>
          <w:tcPr>
            <w:tcW w:w="6590" w:type="dxa"/>
            <w:gridSpan w:val="4"/>
            <w:tcBorders>
              <w:left w:val="single" w:color="auto" w:sz="4" w:space="0"/>
              <w:bottom w:val="single" w:color="auto" w:sz="4" w:space="0"/>
            </w:tcBorders>
            <w:vAlign w:val="center"/>
          </w:tcPr>
          <w:p>
            <w:pPr>
              <w:autoSpaceDE w:val="0"/>
              <w:autoSpaceDN w:val="0"/>
              <w:adjustRightInd w:val="0"/>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color w:val="auto"/>
                <w:kern w:val="0"/>
                <w:sz w:val="24"/>
                <w:szCs w:val="24"/>
                <w:highlight w:val="none"/>
              </w:rPr>
              <w:t>投标截止（开标）时间：2025年07月0</w:t>
            </w:r>
            <w:r>
              <w:rPr>
                <w:rFonts w:hint="eastAsia" w:ascii="仿宋" w:hAnsi="仿宋" w:eastAsia="仿宋" w:cs="仿宋"/>
                <w:b/>
                <w:color w:val="auto"/>
                <w:kern w:val="0"/>
                <w:sz w:val="24"/>
                <w:szCs w:val="24"/>
                <w:highlight w:val="none"/>
                <w:lang w:val="en-US" w:eastAsia="zh-CN"/>
              </w:rPr>
              <w:t>8</w:t>
            </w:r>
            <w:r>
              <w:rPr>
                <w:rFonts w:hint="eastAsia" w:ascii="仿宋" w:hAnsi="仿宋" w:eastAsia="仿宋" w:cs="仿宋"/>
                <w:b/>
                <w:color w:val="auto"/>
                <w:kern w:val="0"/>
                <w:sz w:val="24"/>
                <w:szCs w:val="24"/>
                <w:highlight w:val="none"/>
              </w:rPr>
              <w:t>日12：00（北京时间）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3411" w:type="dxa"/>
            <w:gridSpan w:val="3"/>
            <w:vMerge w:val="continue"/>
            <w:tcBorders>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6590" w:type="dxa"/>
            <w:gridSpan w:val="4"/>
            <w:tcBorders>
              <w:top w:val="single" w:color="auto" w:sz="4" w:space="0"/>
              <w:left w:val="single" w:color="auto" w:sz="4" w:space="0"/>
            </w:tcBorders>
            <w:vAlign w:val="center"/>
          </w:tcPr>
          <w:p>
            <w:pPr>
              <w:autoSpaceDE w:val="0"/>
              <w:autoSpaceDN w:val="0"/>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地点:</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000000"/>
                <w:sz w:val="24"/>
                <w:szCs w:val="24"/>
              </w:rPr>
              <w:t>请登录政采云投标客户端，在截止时间前将加密的电子</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文件（.jmbs）上传到新疆政府采购网对应的位置（逾期上传或者未上传指定地点的</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文件，采购人不予受理）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2</w:t>
            </w:r>
          </w:p>
        </w:tc>
        <w:tc>
          <w:tcPr>
            <w:tcW w:w="1664" w:type="dxa"/>
            <w:tcBorders>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eastAsia="zh-CN"/>
              </w:rPr>
              <w:t>投标人资格</w:t>
            </w:r>
          </w:p>
        </w:tc>
        <w:tc>
          <w:tcPr>
            <w:tcW w:w="8337" w:type="dxa"/>
            <w:gridSpan w:val="6"/>
            <w:tcBorders>
              <w:left w:val="single" w:color="auto" w:sz="4" w:space="0"/>
            </w:tcBorders>
            <w:vAlign w:val="center"/>
          </w:tcPr>
          <w:p>
            <w:pPr>
              <w:pStyle w:val="30"/>
              <w:keepNext w:val="0"/>
              <w:keepLines w:val="0"/>
              <w:pageBreakBefore w:val="0"/>
              <w:widowControl/>
              <w:numPr>
                <w:ilvl w:val="0"/>
                <w:numId w:val="0"/>
              </w:numPr>
              <w:suppressLineNumbers w:val="0"/>
              <w:kinsoku/>
              <w:wordWrap/>
              <w:overflowPunct/>
              <w:topLinePunct w:val="0"/>
              <w:bidi w:val="0"/>
              <w:spacing w:before="75" w:beforeAutospacing="0" w:after="75" w:afterAutospacing="0" w:line="300" w:lineRule="atLeast"/>
              <w:ind w:right="0" w:rightChars="0"/>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满足《中华人民共和国政府采购法》第二十二条规定；</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（1）投标人为企业法人应提供合法有效的标识有统一社会信用代码的营业执照；事业法人应提供事业单位法人证书；其他组织应提供合法登记证明文件；</w:t>
            </w:r>
          </w:p>
          <w:p>
            <w:pPr>
              <w:keepNext w:val="0"/>
              <w:keepLines w:val="0"/>
              <w:pageBreakBefore w:val="0"/>
              <w:kinsoku/>
              <w:wordWrap/>
              <w:overflowPunct/>
              <w:topLinePunct w:val="0"/>
              <w:bidi w:val="0"/>
              <w:adjustRightInd w:val="0"/>
              <w:snapToGrid w:val="0"/>
              <w:spacing w:line="240" w:lineRule="atLeast"/>
              <w:textAlignment w:val="auto"/>
              <w:rPr>
                <w:rFonts w:hint="default" w:ascii="仿宋" w:hAnsi="仿宋" w:eastAsia="仿宋" w:cs="仿宋"/>
                <w:b w:val="0"/>
                <w:i w:val="0"/>
                <w:iCs w:val="0"/>
                <w:caps w:val="0"/>
                <w:color w:val="000000"/>
                <w:spacing w:val="0"/>
                <w:kern w:val="2"/>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（2）法定代表人（负责人）参加提供法定代表人（负责人）身份证明书及身份证（授权委托人参加提供法定代表人（负责人）授权委托书及被委托人身份证）；</w:t>
            </w:r>
          </w:p>
          <w:p>
            <w:pPr>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（4）投标人提供近半年内已缴存的至少一个月的社会保障资金缴存单据或社保机构开具的社会保险参保缴费情况证明，依法不需要缴纳社会保障资金的投标人应提供相关文件证明；</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5）投标人提供2023年的财务审计报告（成立时间至提交投标文件截止时间不足一年的可提供成立后任意时段的资产负债表），或其开标前三个月内基本存款账户开户银行出具的资信证明及基本存款账户开户证明；</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（6）投标人提供近半年内已缴纳的至少一个月的纳税证明或完税证明，纳税证明或完税证明上应有代收机构或税务机关的公章，依法免税的投标人应提供相关文件证明；</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（7）投标人应具备良好的商业信誉，提供参加政府采购活动前3年内在经营活动中没有重大违法记录的书面声明；</w:t>
            </w:r>
          </w:p>
          <w:p>
            <w:pPr>
              <w:pStyle w:val="29"/>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（8）保证金汇款凭证或保函；</w:t>
            </w:r>
          </w:p>
          <w:p>
            <w:pPr>
              <w:pStyle w:val="29"/>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（9）供应商应为中小企业，需提供有效的《中小企业声明函》，格式以采购文件要求为准。</w:t>
            </w:r>
          </w:p>
          <w:p>
            <w:pPr>
              <w:pStyle w:val="29"/>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10）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keepNext w:val="0"/>
              <w:keepLines w:val="0"/>
              <w:pageBreakBefore w:val="0"/>
              <w:kinsoku/>
              <w:wordWrap/>
              <w:overflowPunct/>
              <w:topLinePunct w:val="0"/>
              <w:bidi w:val="0"/>
              <w:adjustRightInd w:val="0"/>
              <w:snapToGrid w:val="0"/>
              <w:spacing w:line="240" w:lineRule="atLeast"/>
              <w:textAlignment w:val="auto"/>
              <w:rPr>
                <w:rFonts w:hint="eastAsia" w:ascii="仿宋" w:hAnsi="仿宋" w:eastAsia="仿宋" w:cs="仿宋"/>
                <w:i w:val="0"/>
                <w:iCs w:val="0"/>
                <w:caps w:val="0"/>
                <w:color w:val="000000"/>
                <w:spacing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bidi="ar-SA"/>
              </w:rPr>
              <w:t>（11）本项目不接受联合体投标。</w:t>
            </w:r>
          </w:p>
          <w:p>
            <w:pPr>
              <w:keepNext w:val="0"/>
              <w:keepLines w:val="0"/>
              <w:pageBreakBefore w:val="0"/>
              <w:kinsoku/>
              <w:wordWrap/>
              <w:overflowPunct/>
              <w:topLinePunct w:val="0"/>
              <w:bidi w:val="0"/>
              <w:spacing w:line="360" w:lineRule="exact"/>
              <w:ind w:firstLine="442" w:firstLineChars="200"/>
              <w:textAlignment w:val="auto"/>
              <w:rPr>
                <w:rFonts w:hint="eastAsia" w:ascii="宋体" w:hAnsi="宋体" w:eastAsia="宋体" w:cs="Times New Roman"/>
                <w:b/>
                <w:sz w:val="22"/>
                <w:szCs w:val="22"/>
                <w:lang w:val="en-US" w:eastAsia="zh-CN"/>
              </w:rPr>
            </w:pPr>
            <w:r>
              <w:rPr>
                <w:rFonts w:hint="eastAsia" w:ascii="宋体" w:hAnsi="宋体"/>
                <w:b/>
                <w:sz w:val="22"/>
                <w:szCs w:val="22"/>
              </w:rPr>
              <w:t>说明：1、上述1-</w:t>
            </w:r>
            <w:r>
              <w:rPr>
                <w:rFonts w:hint="eastAsia" w:ascii="宋体" w:hAnsi="宋体"/>
                <w:b/>
                <w:sz w:val="22"/>
                <w:szCs w:val="22"/>
                <w:lang w:val="en-US" w:eastAsia="zh-CN"/>
              </w:rPr>
              <w:t>9</w:t>
            </w:r>
            <w:r>
              <w:rPr>
                <w:rFonts w:hint="eastAsia" w:ascii="宋体" w:hAnsi="宋体"/>
                <w:b/>
                <w:sz w:val="22"/>
                <w:szCs w:val="22"/>
              </w:rPr>
              <w:t>条资料为开标时资格审查的必备条件，如果缺项或不符合要求则视为对招标文件资格审查内容的不响应，投标将被拒绝（电子版投标文件内所有资格</w:t>
            </w:r>
            <w:r>
              <w:rPr>
                <w:rFonts w:hint="eastAsia" w:ascii="仿宋" w:hAnsi="仿宋" w:eastAsia="仿宋" w:cs="仿宋"/>
                <w:b/>
                <w:color w:val="auto"/>
                <w:kern w:val="0"/>
                <w:sz w:val="24"/>
                <w:szCs w:val="24"/>
                <w:highlight w:val="none"/>
              </w:rPr>
              <w:t>证</w:t>
            </w:r>
            <w:r>
              <w:rPr>
                <w:rFonts w:hint="eastAsia" w:ascii="宋体" w:hAnsi="宋体" w:eastAsia="宋体" w:cs="Times New Roman"/>
                <w:b/>
                <w:sz w:val="22"/>
                <w:szCs w:val="22"/>
                <w:lang w:val="en-US" w:eastAsia="zh-CN"/>
              </w:rPr>
              <w:t>明文件，投标人须逐页加盖电子签章）。</w:t>
            </w:r>
          </w:p>
          <w:p>
            <w:pPr>
              <w:keepNext w:val="0"/>
              <w:keepLines w:val="0"/>
              <w:pageBreakBefore w:val="0"/>
              <w:kinsoku/>
              <w:wordWrap/>
              <w:overflowPunct/>
              <w:topLinePunct w:val="0"/>
              <w:bidi w:val="0"/>
              <w:spacing w:line="360" w:lineRule="exact"/>
              <w:ind w:firstLine="442" w:firstLineChars="200"/>
              <w:textAlignment w:val="auto"/>
              <w:rPr>
                <w:rFonts w:hint="eastAsia"/>
              </w:rPr>
            </w:pPr>
            <w:r>
              <w:rPr>
                <w:rFonts w:hint="eastAsia" w:ascii="宋体" w:hAnsi="宋体" w:eastAsia="宋体" w:cs="Times New Roman"/>
                <w:b/>
                <w:sz w:val="22"/>
                <w:szCs w:val="22"/>
                <w:lang w:val="en-US" w:eastAsia="zh-CN"/>
              </w:rPr>
              <w:t>2、开标前，请各投标人将上述有效证件的扫描件上传到“政采云”平台待开标时查验，上述证件的公证件本次采购不予认可。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532" w:type="dxa"/>
            <w:vMerge w:val="restart"/>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3</w:t>
            </w:r>
          </w:p>
        </w:tc>
        <w:tc>
          <w:tcPr>
            <w:tcW w:w="1664" w:type="dxa"/>
            <w:vMerge w:val="restart"/>
            <w:tcBorders>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公告及</w:t>
            </w:r>
            <w:r>
              <w:rPr>
                <w:rFonts w:hint="eastAsia" w:ascii="仿宋" w:hAnsi="仿宋" w:eastAsia="仿宋" w:cs="仿宋"/>
                <w:b/>
                <w:color w:val="auto"/>
                <w:kern w:val="0"/>
                <w:sz w:val="24"/>
                <w:szCs w:val="24"/>
                <w:highlight w:val="none"/>
                <w:lang w:eastAsia="zh-CN"/>
              </w:rPr>
              <w:t>中标</w:t>
            </w:r>
            <w:r>
              <w:rPr>
                <w:rFonts w:hint="eastAsia" w:ascii="仿宋" w:hAnsi="仿宋" w:eastAsia="仿宋" w:cs="仿宋"/>
                <w:b/>
                <w:color w:val="auto"/>
                <w:kern w:val="0"/>
                <w:sz w:val="24"/>
                <w:szCs w:val="24"/>
                <w:highlight w:val="none"/>
              </w:rPr>
              <w:t>公示发布媒介</w:t>
            </w:r>
          </w:p>
        </w:tc>
        <w:tc>
          <w:tcPr>
            <w:tcW w:w="8337" w:type="dxa"/>
            <w:gridSpan w:val="6"/>
            <w:tcBorders>
              <w:left w:val="single" w:color="auto" w:sz="4" w:space="0"/>
              <w:bottom w:val="single" w:color="auto" w:sz="4" w:space="0"/>
            </w:tcBorders>
            <w:vAlign w:val="center"/>
          </w:tcPr>
          <w:p>
            <w:pPr>
              <w:adjustRightInd w:val="0"/>
              <w:snapToGrid w:val="0"/>
              <w:spacing w:line="360" w:lineRule="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新疆政府采购网（http://www.ccgp-xinjiang.gov.cn/）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532" w:type="dxa"/>
            <w:vMerge w:val="continue"/>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1664" w:type="dxa"/>
            <w:vMerge w:val="continue"/>
            <w:tcBorders>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rPr>
            </w:pPr>
          </w:p>
        </w:tc>
        <w:tc>
          <w:tcPr>
            <w:tcW w:w="8337" w:type="dxa"/>
            <w:gridSpan w:val="6"/>
            <w:tcBorders>
              <w:top w:val="single" w:color="auto" w:sz="4" w:space="0"/>
              <w:left w:val="single" w:color="auto" w:sz="4" w:space="0"/>
            </w:tcBorders>
            <w:vAlign w:val="center"/>
          </w:tcPr>
          <w:p>
            <w:pPr>
              <w:autoSpaceDE w:val="0"/>
              <w:autoSpaceDN w:val="0"/>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公示期不少于1工作日，公示期内无异议将向第一中标候选人发出</w:t>
            </w:r>
            <w:r>
              <w:rPr>
                <w:rFonts w:hint="eastAsia" w:ascii="仿宋" w:hAnsi="仿宋" w:eastAsia="仿宋" w:cs="仿宋"/>
                <w:color w:val="auto"/>
                <w:kern w:val="0"/>
                <w:sz w:val="24"/>
                <w:szCs w:val="24"/>
                <w:highlight w:val="none"/>
                <w:lang w:eastAsia="zh-CN"/>
              </w:rPr>
              <w:t>中标</w:t>
            </w:r>
            <w:r>
              <w:rPr>
                <w:rFonts w:hint="eastAsia" w:ascii="仿宋" w:hAnsi="仿宋" w:eastAsia="仿宋" w:cs="仿宋"/>
                <w:color w:val="auto"/>
                <w:kern w:val="0"/>
                <w:sz w:val="24"/>
                <w:szCs w:val="24"/>
                <w:highlight w:val="none"/>
              </w:rPr>
              <w:t>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4</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w:t>
            </w:r>
          </w:p>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通知书</w:t>
            </w:r>
          </w:p>
        </w:tc>
        <w:tc>
          <w:tcPr>
            <w:tcW w:w="8337" w:type="dxa"/>
            <w:gridSpan w:val="6"/>
            <w:vAlign w:val="center"/>
          </w:tcPr>
          <w:p>
            <w:pPr>
              <w:widowControl/>
              <w:spacing w:line="360" w:lineRule="auto"/>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中标公示</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工作日无异议后发放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5</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签订合同时间</w:t>
            </w:r>
          </w:p>
        </w:tc>
        <w:tc>
          <w:tcPr>
            <w:tcW w:w="8337" w:type="dxa"/>
            <w:gridSpan w:val="6"/>
            <w:vAlign w:val="center"/>
          </w:tcPr>
          <w:p>
            <w:pPr>
              <w:widowControl/>
              <w:spacing w:line="360" w:lineRule="auto"/>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w:t>
            </w:r>
            <w:r>
              <w:rPr>
                <w:rFonts w:hint="eastAsia" w:ascii="仿宋" w:hAnsi="仿宋" w:eastAsia="仿宋" w:cs="仿宋"/>
                <w:b/>
                <w:color w:val="auto"/>
                <w:sz w:val="24"/>
                <w:szCs w:val="24"/>
                <w:highlight w:val="none"/>
              </w:rPr>
              <w:t>30</w:t>
            </w:r>
            <w:r>
              <w:rPr>
                <w:rFonts w:hint="eastAsia" w:ascii="仿宋" w:hAnsi="仿宋" w:eastAsia="仿宋" w:cs="仿宋"/>
                <w:color w:val="auto"/>
                <w:sz w:val="24"/>
                <w:szCs w:val="24"/>
                <w:highlight w:val="none"/>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6</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代理</w:t>
            </w:r>
          </w:p>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服务费</w:t>
            </w:r>
          </w:p>
        </w:tc>
        <w:tc>
          <w:tcPr>
            <w:tcW w:w="8337" w:type="dxa"/>
            <w:gridSpan w:val="6"/>
            <w:vAlign w:val="center"/>
          </w:tcPr>
          <w:p>
            <w:pPr>
              <w:widowControl/>
              <w:spacing w:line="360" w:lineRule="auto"/>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服务商在收到</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通知书后，须支付代理服务费，</w:t>
            </w:r>
            <w:r>
              <w:rPr>
                <w:rFonts w:hint="eastAsia" w:ascii="仿宋" w:hAnsi="仿宋" w:eastAsia="仿宋" w:cs="仿宋"/>
                <w:color w:val="auto"/>
                <w:sz w:val="24"/>
                <w:szCs w:val="24"/>
                <w:highlight w:val="none"/>
                <w:lang w:eastAsia="zh-CN"/>
              </w:rPr>
              <w:t>参照参照《国家发展改革委关于进一步放开建设项目专业服务价格的通知》(发改价格〔2015〕299号)文件规定执行按标（包）计取，向新疆华域建设工程项目管理咨询有限公司交纳招标服务费。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7</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文件</w:t>
            </w:r>
          </w:p>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解释权</w:t>
            </w:r>
          </w:p>
        </w:tc>
        <w:tc>
          <w:tcPr>
            <w:tcW w:w="8337" w:type="dxa"/>
            <w:gridSpan w:val="6"/>
            <w:vAlign w:val="center"/>
          </w:tcPr>
          <w:p>
            <w:pPr>
              <w:widowControl/>
              <w:spacing w:line="360" w:lineRule="auto"/>
              <w:ind w:left="14" w:leftChars="-45" w:hanging="108" w:hangingChars="45"/>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的解释权归</w:t>
            </w:r>
            <w:r>
              <w:rPr>
                <w:rFonts w:hint="eastAsia" w:ascii="仿宋" w:hAnsi="仿宋" w:eastAsia="仿宋" w:cs="仿宋"/>
                <w:b/>
                <w:color w:val="auto"/>
                <w:sz w:val="24"/>
                <w:szCs w:val="24"/>
                <w:highlight w:val="none"/>
                <w:lang w:eastAsia="zh-CN"/>
              </w:rPr>
              <w:t>特克斯县人民医院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532" w:type="dxa"/>
            <w:vAlign w:val="center"/>
          </w:tcPr>
          <w:p>
            <w:pPr>
              <w:autoSpaceDE w:val="0"/>
              <w:autoSpaceDN w:val="0"/>
              <w:adjustRightInd w:val="0"/>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8</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其他要求</w:t>
            </w:r>
          </w:p>
        </w:tc>
        <w:tc>
          <w:tcPr>
            <w:tcW w:w="8337" w:type="dxa"/>
            <w:gridSpan w:val="6"/>
            <w:vAlign w:val="center"/>
          </w:tcPr>
          <w:p>
            <w:pPr>
              <w:widowControl/>
              <w:spacing w:line="360" w:lineRule="auto"/>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承担所有相关责任的同时不得耽误本项目</w:t>
            </w:r>
            <w:r>
              <w:rPr>
                <w:rFonts w:hint="eastAsia" w:ascii="仿宋" w:hAnsi="仿宋" w:eastAsia="仿宋" w:cs="仿宋"/>
                <w:color w:val="auto"/>
                <w:sz w:val="24"/>
                <w:szCs w:val="24"/>
                <w:highlight w:val="none"/>
                <w:lang w:val="en-US" w:eastAsia="zh-CN"/>
              </w:rPr>
              <w:t>的服务</w:t>
            </w: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4" w:hRule="atLeast"/>
        </w:trPr>
        <w:tc>
          <w:tcPr>
            <w:tcW w:w="532" w:type="dxa"/>
            <w:vAlign w:val="center"/>
          </w:tcPr>
          <w:p>
            <w:pPr>
              <w:autoSpaceDE w:val="0"/>
              <w:autoSpaceDN w:val="0"/>
              <w:adjustRightInd w:val="0"/>
              <w:snapToGri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重要说明</w:t>
            </w:r>
          </w:p>
        </w:tc>
        <w:tc>
          <w:tcPr>
            <w:tcW w:w="8337" w:type="dxa"/>
            <w:gridSpan w:val="6"/>
            <w:vAlign w:val="center"/>
          </w:tcPr>
          <w:p>
            <w:pPr>
              <w:keepNext w:val="0"/>
              <w:keepLines w:val="0"/>
              <w:pageBreakBefore w:val="0"/>
              <w:kinsoku/>
              <w:wordWrap/>
              <w:overflowPunct/>
              <w:topLinePunct w:val="0"/>
              <w:autoSpaceDE/>
              <w:autoSpaceDN/>
              <w:bidi w:val="0"/>
              <w:spacing w:line="440" w:lineRule="exact"/>
              <w:ind w:right="105" w:rightChars="50"/>
              <w:textAlignment w:val="auto"/>
              <w:rPr>
                <w:rFonts w:hint="eastAsia" w:ascii="仿宋" w:hAnsi="仿宋" w:eastAsia="仿宋" w:cs="Times New Roman"/>
                <w:sz w:val="24"/>
                <w:lang w:val="en-US" w:eastAsia="zh-CN"/>
              </w:rPr>
            </w:pPr>
            <w:r>
              <w:rPr>
                <w:rFonts w:hint="eastAsia" w:ascii="仿宋" w:hAnsi="仿宋" w:eastAsia="仿宋" w:cs="Times New Roman"/>
                <w:b w:val="0"/>
                <w:bCs w:val="0"/>
                <w:sz w:val="24"/>
                <w:lang w:val="en-US" w:eastAsia="zh-CN"/>
              </w:rPr>
              <w:t>本项目采用电子招标投标：</w:t>
            </w:r>
            <w:r>
              <w:rPr>
                <w:rFonts w:hint="eastAsia" w:ascii="仿宋" w:hAnsi="仿宋" w:eastAsia="仿宋" w:cs="Times New Roman"/>
                <w:sz w:val="24"/>
                <w:lang w:val="en-US" w:eastAsia="zh-CN"/>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pPr>
              <w:keepNext w:val="0"/>
              <w:keepLines w:val="0"/>
              <w:pageBreakBefore w:val="0"/>
              <w:numPr>
                <w:ilvl w:val="0"/>
                <w:numId w:val="6"/>
              </w:numPr>
              <w:kinsoku/>
              <w:wordWrap/>
              <w:overflowPunct/>
              <w:topLinePunct w:val="0"/>
              <w:autoSpaceDE/>
              <w:autoSpaceDN/>
              <w:bidi w:val="0"/>
              <w:spacing w:line="440" w:lineRule="exact"/>
              <w:ind w:right="105" w:rightChars="5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供应商报价CA签字确认：报价文件开启后将开启签字时段，供应商须在20分钟内用CA证书对报价进行签字确认。</w:t>
            </w:r>
          </w:p>
          <w:p>
            <w:pPr>
              <w:keepNext w:val="0"/>
              <w:keepLines w:val="0"/>
              <w:pageBreakBefore w:val="0"/>
              <w:numPr>
                <w:ilvl w:val="0"/>
                <w:numId w:val="0"/>
              </w:numPr>
              <w:kinsoku/>
              <w:wordWrap/>
              <w:overflowPunct/>
              <w:topLinePunct w:val="0"/>
              <w:autoSpaceDE/>
              <w:autoSpaceDN/>
              <w:bidi w:val="0"/>
              <w:spacing w:line="440" w:lineRule="exact"/>
              <w:ind w:right="105" w:rightChars="50"/>
              <w:textAlignment w:val="auto"/>
              <w:rPr>
                <w:rFonts w:hint="eastAsia" w:ascii="仿宋" w:hAnsi="仿宋" w:eastAsia="仿宋"/>
                <w:sz w:val="24"/>
              </w:rPr>
            </w:pPr>
            <w:r>
              <w:rPr>
                <w:rFonts w:hint="eastAsia" w:ascii="仿宋" w:hAnsi="仿宋" w:eastAsia="仿宋"/>
                <w:sz w:val="24"/>
                <w:lang w:val="en-US" w:eastAsia="zh-CN"/>
              </w:rPr>
              <w:t>备注：</w:t>
            </w:r>
            <w:r>
              <w:rPr>
                <w:rFonts w:hint="eastAsia" w:ascii="仿宋" w:hAnsi="仿宋" w:eastAsia="仿宋"/>
                <w:sz w:val="24"/>
              </w:rPr>
              <w:t>1、本次采购采用电子交易方式，电子交易平台为“</w:t>
            </w:r>
            <w:r>
              <w:rPr>
                <w:rFonts w:hint="eastAsia" w:ascii="仿宋" w:hAnsi="仿宋" w:eastAsia="仿宋" w:cs="仿宋"/>
                <w:color w:val="000000"/>
                <w:kern w:val="2"/>
                <w:sz w:val="24"/>
                <w:szCs w:val="24"/>
                <w:lang w:val="en-US" w:eastAsia="zh-CN" w:bidi="ar-SA"/>
              </w:rPr>
              <w:t>政府采购云平台（www.zcygov.cn）</w:t>
            </w:r>
            <w:r>
              <w:rPr>
                <w:rFonts w:hint="eastAsia" w:ascii="仿宋" w:hAnsi="仿宋" w:eastAsia="仿宋"/>
                <w:sz w:val="24"/>
              </w:rPr>
              <w:t>”。供应商参与本项目电子交易活动前，应注册成为</w:t>
            </w:r>
            <w:r>
              <w:rPr>
                <w:rFonts w:hint="eastAsia" w:ascii="仿宋" w:hAnsi="仿宋" w:eastAsia="仿宋" w:cs="仿宋"/>
                <w:color w:val="000000"/>
                <w:kern w:val="2"/>
                <w:sz w:val="24"/>
                <w:szCs w:val="24"/>
                <w:lang w:val="en-US" w:eastAsia="zh-CN" w:bidi="ar-SA"/>
              </w:rPr>
              <w:t>政府采购云平台供应商</w:t>
            </w:r>
            <w:r>
              <w:rPr>
                <w:rFonts w:hint="eastAsia" w:ascii="仿宋" w:hAnsi="仿宋" w:eastAsia="仿宋"/>
                <w:sz w:val="24"/>
              </w:rPr>
              <w:t>。编制电子投标文件前还需申领CA证书并绑定帐号。供应商应充分考虑完成平台注册、申领CA证书等所需的时间。因未注册入库、未办理CA数字证书等原因造成无法投标或投标失败等后果由供应商自行承担。</w:t>
            </w:r>
          </w:p>
          <w:p>
            <w:pPr>
              <w:keepNext w:val="0"/>
              <w:keepLines w:val="0"/>
              <w:pageBreakBefore w:val="0"/>
              <w:kinsoku/>
              <w:wordWrap/>
              <w:overflowPunct/>
              <w:topLinePunct w:val="0"/>
              <w:autoSpaceDE/>
              <w:autoSpaceDN/>
              <w:bidi w:val="0"/>
              <w:spacing w:line="440" w:lineRule="exact"/>
              <w:ind w:right="105" w:rightChars="50"/>
              <w:textAlignment w:val="auto"/>
              <w:rPr>
                <w:rFonts w:hint="eastAsia" w:ascii="仿宋" w:hAnsi="仿宋" w:eastAsia="仿宋"/>
                <w:sz w:val="24"/>
              </w:rPr>
            </w:pPr>
            <w:r>
              <w:rPr>
                <w:rFonts w:hint="eastAsia" w:ascii="仿宋" w:hAnsi="仿宋" w:eastAsia="仿宋"/>
                <w:sz w:val="24"/>
              </w:rPr>
              <w:t>2、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w:t>
            </w:r>
            <w:r>
              <w:rPr>
                <w:rFonts w:hint="eastAsia" w:ascii="仿宋" w:hAnsi="仿宋" w:eastAsia="仿宋"/>
                <w:sz w:val="24"/>
                <w:lang w:val="en-US" w:eastAsia="zh-CN"/>
              </w:rPr>
              <w:t>30</w:t>
            </w:r>
            <w:r>
              <w:rPr>
                <w:rFonts w:hint="eastAsia" w:ascii="仿宋" w:hAnsi="仿宋" w:eastAsia="仿宋"/>
                <w:sz w:val="24"/>
              </w:rPr>
              <w:t>分钟，如因供应商自身原因导致无法正常解密，后果由供应商自行承担。</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sz w:val="24"/>
              </w:rPr>
            </w:pPr>
            <w:r>
              <w:rPr>
                <w:rFonts w:hint="eastAsia" w:ascii="仿宋" w:hAnsi="仿宋" w:eastAsia="仿宋"/>
                <w:sz w:val="24"/>
              </w:rPr>
              <w:t>3、</w:t>
            </w:r>
            <w:r>
              <w:rPr>
                <w:rFonts w:hint="eastAsia" w:ascii="仿宋" w:hAnsi="仿宋" w:eastAsia="仿宋" w:cs="Times New Roman"/>
                <w:kern w:val="2"/>
                <w:sz w:val="24"/>
                <w:szCs w:val="22"/>
                <w:lang w:val="en-US" w:eastAsia="zh-CN" w:bidi="ar-SA"/>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w:t>
            </w:r>
            <w:r>
              <w:rPr>
                <w:rFonts w:hint="eastAsia" w:ascii="仿宋" w:hAnsi="仿宋" w:eastAsia="仿宋" w:cs="仿宋"/>
                <w:color w:val="000000"/>
                <w:sz w:val="24"/>
                <w:szCs w:val="24"/>
                <w:lang w:val="en-US" w:eastAsia="zh-CN"/>
              </w:rPr>
              <w:t>95763</w:t>
            </w:r>
            <w:r>
              <w:rPr>
                <w:rFonts w:hint="eastAsia" w:ascii="仿宋" w:hAnsi="仿宋" w:eastAsia="仿宋" w:cs="Times New Roman"/>
                <w:kern w:val="2"/>
                <w:sz w:val="24"/>
                <w:szCs w:val="22"/>
                <w:lang w:val="en-US" w:eastAsia="zh-CN" w:bidi="ar-SA"/>
              </w:rPr>
              <w:t>（工作时间：工作日08:00~20：00）   。</w:t>
            </w:r>
          </w:p>
          <w:p>
            <w:pPr>
              <w:keepNext w:val="0"/>
              <w:keepLines w:val="0"/>
              <w:pageBreakBefore w:val="0"/>
              <w:kinsoku/>
              <w:wordWrap/>
              <w:overflowPunct/>
              <w:topLinePunct w:val="0"/>
              <w:autoSpaceDE/>
              <w:autoSpaceDN/>
              <w:bidi w:val="0"/>
              <w:spacing w:line="440" w:lineRule="exact"/>
              <w:ind w:right="105" w:rightChars="50"/>
              <w:textAlignment w:val="auto"/>
              <w:rPr>
                <w:rFonts w:hint="eastAsia" w:ascii="仿宋" w:hAnsi="仿宋" w:eastAsia="仿宋" w:cs="仿宋"/>
                <w:kern w:val="2"/>
                <w:sz w:val="24"/>
                <w:szCs w:val="24"/>
                <w:lang w:val="en-US" w:eastAsia="zh-CN" w:bidi="ar-SA"/>
              </w:rPr>
            </w:pPr>
            <w:r>
              <w:rPr>
                <w:rFonts w:hint="eastAsia" w:ascii="仿宋" w:hAnsi="仿宋" w:eastAsia="仿宋"/>
                <w:sz w:val="24"/>
                <w:lang w:val="en-US" w:eastAsia="zh-CN"/>
              </w:rPr>
              <w:t>4、</w:t>
            </w:r>
            <w:r>
              <w:rPr>
                <w:rFonts w:hint="eastAsia" w:ascii="仿宋" w:hAnsi="仿宋" w:eastAsia="仿宋"/>
                <w:sz w:val="24"/>
              </w:rPr>
              <w:t>须知前附表与正文描述不一致时，以须知前附表中为主。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532" w:type="dxa"/>
            <w:vAlign w:val="center"/>
          </w:tcPr>
          <w:p>
            <w:pPr>
              <w:autoSpaceDE w:val="0"/>
              <w:autoSpaceDN w:val="0"/>
              <w:adjustRightInd w:val="0"/>
              <w:snapToGri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664" w:type="dxa"/>
            <w:vAlign w:val="center"/>
          </w:tcPr>
          <w:p>
            <w:pPr>
              <w:overflowPunct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所属行业</w:t>
            </w:r>
          </w:p>
        </w:tc>
        <w:tc>
          <w:tcPr>
            <w:tcW w:w="8337" w:type="dxa"/>
            <w:gridSpan w:val="6"/>
            <w:vAlign w:val="center"/>
          </w:tcPr>
          <w:p>
            <w:pPr>
              <w:keepNext w:val="0"/>
              <w:keepLines w:val="0"/>
              <w:pageBreakBefore w:val="0"/>
              <w:kinsoku/>
              <w:wordWrap/>
              <w:overflowPunct/>
              <w:topLinePunct w:val="0"/>
              <w:autoSpaceDE/>
              <w:autoSpaceDN/>
              <w:bidi w:val="0"/>
              <w:spacing w:line="440" w:lineRule="exact"/>
              <w:ind w:right="105" w:rightChars="50"/>
              <w:textAlignment w:val="auto"/>
              <w:rPr>
                <w:rFonts w:hint="default" w:ascii="仿宋" w:hAnsi="仿宋" w:eastAsia="仿宋"/>
                <w:sz w:val="24"/>
                <w:u w:val="single"/>
                <w:lang w:val="en-US" w:eastAsia="zh-CN"/>
              </w:rPr>
            </w:pPr>
            <w:r>
              <w:rPr>
                <w:rFonts w:hint="eastAsia" w:ascii="仿宋" w:hAnsi="仿宋" w:eastAsia="仿宋"/>
                <w:sz w:val="24"/>
                <w:highlight w:val="none"/>
                <w:lang w:val="en-US" w:eastAsia="zh-CN"/>
              </w:rPr>
              <w:t>本项目采购标的所属行业为：</w:t>
            </w:r>
            <w:r>
              <w:rPr>
                <w:rFonts w:hint="eastAsia" w:ascii="仿宋" w:hAnsi="仿宋" w:eastAsia="仿宋"/>
                <w:sz w:val="24"/>
                <w:highlight w:val="none"/>
                <w:u w:val="single"/>
                <w:lang w:val="en-US" w:eastAsia="zh-CN"/>
              </w:rPr>
              <w:t xml:space="preserve">  </w:t>
            </w:r>
            <w:r>
              <w:rPr>
                <w:rFonts w:hint="eastAsia" w:ascii="仿宋" w:hAnsi="仿宋" w:eastAsia="仿宋"/>
                <w:b/>
                <w:bCs/>
                <w:sz w:val="24"/>
                <w:highlight w:val="none"/>
                <w:u w:val="single"/>
                <w:lang w:val="en-US" w:eastAsia="zh-CN"/>
              </w:rPr>
              <w:t xml:space="preserve">其他未列明行业； </w:t>
            </w:r>
            <w:r>
              <w:rPr>
                <w:rFonts w:hint="eastAsia" w:ascii="仿宋" w:hAnsi="仿宋" w:eastAsia="仿宋"/>
                <w:sz w:val="24"/>
                <w:highlight w:val="none"/>
                <w:u w:val="single"/>
                <w:lang w:val="en-US" w:eastAsia="zh-CN"/>
              </w:rPr>
              <w:t xml:space="preserve"> </w:t>
            </w:r>
          </w:p>
        </w:tc>
      </w:tr>
    </w:tbl>
    <w:p>
      <w:pPr>
        <w:rPr>
          <w:rFonts w:hint="eastAsia" w:ascii="仿宋" w:hAnsi="仿宋" w:eastAsia="仿宋" w:cs="仿宋"/>
          <w:b/>
          <w:color w:val="auto"/>
          <w:kern w:val="44"/>
          <w:sz w:val="32"/>
          <w:szCs w:val="32"/>
          <w:highlight w:val="none"/>
        </w:rPr>
      </w:pPr>
      <w:r>
        <w:rPr>
          <w:rFonts w:hint="eastAsia" w:ascii="仿宋" w:hAnsi="仿宋" w:eastAsia="仿宋" w:cs="仿宋"/>
          <w:b/>
          <w:color w:val="auto"/>
          <w:kern w:val="44"/>
          <w:sz w:val="32"/>
          <w:szCs w:val="32"/>
          <w:highlight w:val="none"/>
        </w:rPr>
        <w:br w:type="page"/>
      </w:r>
    </w:p>
    <w:p>
      <w:pPr>
        <w:spacing w:line="360" w:lineRule="auto"/>
        <w:jc w:val="center"/>
        <w:outlineLvl w:val="0"/>
        <w:rPr>
          <w:rFonts w:hint="eastAsia" w:ascii="仿宋" w:hAnsi="仿宋" w:eastAsia="仿宋" w:cs="仿宋"/>
          <w:b/>
          <w:color w:val="auto"/>
          <w:kern w:val="44"/>
          <w:sz w:val="32"/>
          <w:szCs w:val="32"/>
          <w:highlight w:val="none"/>
        </w:rPr>
      </w:pPr>
      <w:r>
        <w:rPr>
          <w:rFonts w:hint="eastAsia" w:ascii="仿宋" w:hAnsi="仿宋" w:eastAsia="仿宋" w:cs="仿宋"/>
          <w:b/>
          <w:color w:val="auto"/>
          <w:kern w:val="44"/>
          <w:sz w:val="32"/>
          <w:szCs w:val="32"/>
          <w:highlight w:val="none"/>
        </w:rPr>
        <w:t>第三章　投标人须知</w:t>
      </w:r>
      <w:bookmarkEnd w:id="2"/>
    </w:p>
    <w:p>
      <w:pPr>
        <w:spacing w:line="360" w:lineRule="auto"/>
        <w:jc w:val="center"/>
        <w:outlineLvl w:val="1"/>
        <w:rPr>
          <w:rFonts w:hint="eastAsia" w:ascii="仿宋" w:hAnsi="仿宋" w:eastAsia="仿宋" w:cs="仿宋"/>
          <w:b/>
          <w:color w:val="auto"/>
          <w:sz w:val="24"/>
          <w:szCs w:val="24"/>
          <w:highlight w:val="none"/>
        </w:rPr>
      </w:pPr>
      <w:bookmarkStart w:id="4" w:name="_Toc26890"/>
      <w:bookmarkStart w:id="5" w:name="_Toc737"/>
      <w:bookmarkStart w:id="6" w:name="_Toc18475"/>
      <w:r>
        <w:rPr>
          <w:rFonts w:hint="eastAsia" w:ascii="仿宋" w:hAnsi="仿宋" w:eastAsia="仿宋" w:cs="仿宋"/>
          <w:b/>
          <w:color w:val="auto"/>
          <w:sz w:val="24"/>
          <w:szCs w:val="24"/>
          <w:highlight w:val="none"/>
        </w:rPr>
        <w:t>一、说明</w:t>
      </w:r>
      <w:bookmarkEnd w:id="4"/>
      <w:bookmarkEnd w:id="5"/>
      <w:bookmarkEnd w:id="6"/>
    </w:p>
    <w:p>
      <w:pPr>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7" w:name="_Toc11143"/>
      <w:bookmarkStart w:id="8" w:name="_Toc28947"/>
      <w:bookmarkStart w:id="9" w:name="_Toc19092"/>
      <w:bookmarkStart w:id="10" w:name="_Toc2890"/>
      <w:bookmarkStart w:id="11" w:name="_Toc32718"/>
      <w:r>
        <w:rPr>
          <w:rFonts w:hint="eastAsia" w:ascii="仿宋" w:hAnsi="仿宋" w:eastAsia="仿宋" w:cs="仿宋"/>
          <w:b/>
          <w:bCs/>
          <w:color w:val="auto"/>
          <w:kern w:val="44"/>
          <w:sz w:val="24"/>
          <w:szCs w:val="24"/>
          <w:highlight w:val="none"/>
        </w:rPr>
        <w:t>说明：本</w:t>
      </w:r>
      <w:r>
        <w:rPr>
          <w:rFonts w:hint="eastAsia" w:ascii="仿宋" w:hAnsi="仿宋" w:eastAsia="仿宋" w:cs="仿宋"/>
          <w:b/>
          <w:bCs/>
          <w:color w:val="auto"/>
          <w:kern w:val="44"/>
          <w:sz w:val="24"/>
          <w:szCs w:val="24"/>
          <w:highlight w:val="none"/>
          <w:lang w:eastAsia="zh-CN"/>
        </w:rPr>
        <w:t>招标文件</w:t>
      </w:r>
      <w:r>
        <w:rPr>
          <w:rFonts w:hint="eastAsia" w:ascii="仿宋" w:hAnsi="仿宋" w:eastAsia="仿宋" w:cs="仿宋"/>
          <w:b/>
          <w:bCs/>
          <w:color w:val="auto"/>
          <w:kern w:val="44"/>
          <w:sz w:val="24"/>
          <w:szCs w:val="24"/>
          <w:highlight w:val="none"/>
        </w:rPr>
        <w:t>使用的词语有如下定义</w:t>
      </w:r>
      <w:bookmarkEnd w:id="7"/>
      <w:bookmarkEnd w:id="8"/>
      <w:bookmarkEnd w:id="9"/>
      <w:bookmarkEnd w:id="10"/>
      <w:bookmarkEnd w:id="11"/>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“采购人”系指依法进行政府采购的国家机关、事业单位、团体组织。系指： </w:t>
      </w:r>
      <w:r>
        <w:rPr>
          <w:rFonts w:hint="eastAsia" w:ascii="仿宋" w:hAnsi="仿宋" w:eastAsia="仿宋" w:cs="仿宋"/>
          <w:color w:val="auto"/>
          <w:sz w:val="24"/>
          <w:szCs w:val="24"/>
          <w:highlight w:val="none"/>
          <w:u w:val="single"/>
          <w:lang w:val="zh-CN"/>
        </w:rPr>
        <w:t xml:space="preserve">特克斯县人民医院 </w:t>
      </w:r>
      <w:r>
        <w:rPr>
          <w:rFonts w:hint="eastAsia" w:ascii="仿宋" w:hAnsi="仿宋" w:eastAsia="仿宋" w:cs="仿宋"/>
          <w:color w:val="auto"/>
          <w:sz w:val="24"/>
          <w:szCs w:val="24"/>
          <w:highlight w:val="none"/>
          <w:lang w:val="zh-CN"/>
        </w:rPr>
        <w:t>。</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“采购代理机构”系指： </w:t>
      </w:r>
      <w:r>
        <w:rPr>
          <w:rFonts w:hint="eastAsia" w:ascii="仿宋" w:hAnsi="仿宋" w:eastAsia="仿宋" w:cs="仿宋"/>
          <w:color w:val="auto"/>
          <w:sz w:val="24"/>
          <w:szCs w:val="24"/>
          <w:highlight w:val="none"/>
          <w:u w:val="single"/>
          <w:lang w:val="zh-CN"/>
        </w:rPr>
        <w:t>新疆华域建设工程项目管理咨询有限公司</w:t>
      </w:r>
      <w:r>
        <w:rPr>
          <w:rFonts w:hint="eastAsia" w:ascii="仿宋" w:hAnsi="仿宋" w:eastAsia="仿宋" w:cs="仿宋"/>
          <w:color w:val="auto"/>
          <w:sz w:val="24"/>
          <w:szCs w:val="24"/>
          <w:highlight w:val="none"/>
          <w:lang w:val="zh-CN"/>
        </w:rPr>
        <w:t>。</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“投标人”系指响应采购、参加投标竞争的当事人。</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“成交人”系指由评标小组评审推荐，经法定程序确定获得本项目中标资格的投标人。</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“评标小组” 系指依法组建，负责本次采购的评标工作机构。</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“甲方”系指在合同条款中指明的采购人。</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“乙方”系指在合同条款中指明的本合同项下提供服务的公司或实体。</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“招标文件”系指由采购代理机构发出的本招标文件，包括全部章节和附件。</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“投标文件”系指投标人根据本招标文件向采购代理机构提交的全部文件。</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“书面函件” 系指手写、打字或印刷的函件，包括电传、电报和传真。</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 系指由本次采购所产生的合同或合约文件。</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“日期”系指公历日。</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“时间”系指北京时间。</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“货物”系指投标人须向采购人提供的符合招标文件要求的货。</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“服务”系指投标人须向采购人提供的符合招标文件要求的服务。</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“实质性响应”系指符合招标文件的所有要求、条款、条件和规定，且没有不利于项目实施质量效果和服务保障的重大偏离或保留。</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“重大偏离或保留”系指影响到招标文件规定的范围、质量和性能或限制了采购人的权力和投标人义务的规定，而纠正这些偏离将影响到其它投标人的公平竞争地位。</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盖章：一般情况指盖投标人的法定公章，除招标文件特别说明外，使用财务专用章、合同章、投标专用章等非公章的盖章，均作无效盖章处理。</w:t>
      </w:r>
    </w:p>
    <w:p>
      <w:pPr>
        <w:numPr>
          <w:ilvl w:val="0"/>
          <w:numId w:val="8"/>
        </w:numPr>
        <w:autoSpaceDE w:val="0"/>
        <w:autoSpaceDN w:val="0"/>
        <w:adjustRightInd w:val="0"/>
        <w:snapToGrid w:val="0"/>
        <w:spacing w:line="360" w:lineRule="auto"/>
        <w:ind w:left="794" w:hanging="79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签署：一般情况指亲笔签字或使用盖私章方式，除招标文件特别说明外，其他方式均作无效签署处理。</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2" w:name="_Toc55778675"/>
      <w:r>
        <w:rPr>
          <w:rFonts w:hint="eastAsia" w:ascii="仿宋" w:hAnsi="仿宋" w:eastAsia="仿宋" w:cs="仿宋"/>
          <w:b/>
          <w:bCs/>
          <w:color w:val="auto"/>
          <w:kern w:val="44"/>
          <w:sz w:val="24"/>
          <w:szCs w:val="24"/>
          <w:highlight w:val="none"/>
        </w:rPr>
        <w:t xml:space="preserve">    </w:t>
      </w:r>
      <w:bookmarkStart w:id="13" w:name="_Toc10541"/>
      <w:bookmarkStart w:id="14" w:name="_Toc19223"/>
      <w:bookmarkStart w:id="15" w:name="_Toc30404"/>
      <w:bookmarkStart w:id="16" w:name="_Toc2235"/>
      <w:bookmarkStart w:id="17" w:name="_Toc26165"/>
      <w:r>
        <w:rPr>
          <w:rFonts w:hint="eastAsia" w:ascii="仿宋" w:hAnsi="仿宋" w:eastAsia="仿宋" w:cs="仿宋"/>
          <w:b/>
          <w:bCs/>
          <w:color w:val="auto"/>
          <w:kern w:val="44"/>
          <w:sz w:val="24"/>
          <w:szCs w:val="24"/>
          <w:highlight w:val="none"/>
        </w:rPr>
        <w:t>合格的投标人</w:t>
      </w:r>
      <w:bookmarkEnd w:id="12"/>
      <w:bookmarkEnd w:id="13"/>
      <w:bookmarkEnd w:id="14"/>
      <w:bookmarkEnd w:id="15"/>
      <w:bookmarkEnd w:id="16"/>
      <w:bookmarkEnd w:id="17"/>
    </w:p>
    <w:p>
      <w:pPr>
        <w:numPr>
          <w:ilvl w:val="1"/>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除非另有规定，凡是在中华人民共和国境内注册且为人民币流通区域内的供货人均可投标。</w:t>
      </w:r>
    </w:p>
    <w:p>
      <w:pPr>
        <w:numPr>
          <w:ilvl w:val="1"/>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投标人符合《中华人民共和国政府采购法》第22条和《中华人民共和国政府采购法实施条例》第17条规定的条件。</w:t>
      </w:r>
    </w:p>
    <w:p>
      <w:pPr>
        <w:numPr>
          <w:ilvl w:val="1"/>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与采购人存在利害关系可能影响公正性的法人或其他组织或自然人不得参加投标。</w:t>
      </w:r>
    </w:p>
    <w:p>
      <w:pPr>
        <w:numPr>
          <w:ilvl w:val="1"/>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招标文件要求的其他条件。</w:t>
      </w:r>
    </w:p>
    <w:p>
      <w:pPr>
        <w:pStyle w:val="4"/>
        <w:numPr>
          <w:ilvl w:val="0"/>
          <w:numId w:val="7"/>
        </w:numPr>
        <w:tabs>
          <w:tab w:val="left" w:pos="900"/>
          <w:tab w:val="clear" w:pos="425"/>
        </w:tabs>
        <w:spacing w:before="0" w:after="0" w:line="360" w:lineRule="auto"/>
        <w:ind w:left="924" w:hanging="924"/>
        <w:rPr>
          <w:rStyle w:val="61"/>
          <w:rFonts w:hint="eastAsia" w:ascii="仿宋" w:hAnsi="仿宋" w:eastAsia="仿宋" w:cs="仿宋"/>
          <w:bCs/>
          <w:color w:val="auto"/>
          <w:sz w:val="24"/>
          <w:szCs w:val="24"/>
          <w:highlight w:val="none"/>
        </w:rPr>
      </w:pPr>
      <w:bookmarkStart w:id="18" w:name="_Toc2463"/>
      <w:bookmarkStart w:id="19" w:name="_Toc15216"/>
      <w:bookmarkStart w:id="20" w:name="_Toc28554"/>
      <w:bookmarkStart w:id="21" w:name="_Toc20782"/>
      <w:bookmarkStart w:id="22" w:name="_Toc25107"/>
      <w:bookmarkStart w:id="23" w:name="_Toc2653"/>
      <w:bookmarkStart w:id="24" w:name="_Toc55778677"/>
      <w:r>
        <w:rPr>
          <w:rStyle w:val="61"/>
          <w:rFonts w:hint="eastAsia" w:ascii="仿宋" w:hAnsi="仿宋" w:eastAsia="仿宋" w:cs="仿宋"/>
          <w:bCs/>
          <w:color w:val="auto"/>
          <w:sz w:val="24"/>
          <w:szCs w:val="24"/>
          <w:highlight w:val="none"/>
        </w:rPr>
        <w:t>投标费用</w:t>
      </w:r>
      <w:bookmarkEnd w:id="18"/>
      <w:bookmarkEnd w:id="19"/>
      <w:bookmarkEnd w:id="20"/>
      <w:bookmarkEnd w:id="21"/>
      <w:bookmarkEnd w:id="22"/>
      <w:bookmarkEnd w:id="23"/>
      <w:bookmarkEnd w:id="24"/>
    </w:p>
    <w:p>
      <w:pPr>
        <w:pStyle w:val="64"/>
        <w:numPr>
          <w:ilvl w:val="0"/>
          <w:numId w:val="10"/>
        </w:numP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投标人应承担所有与准备和参加投标有关的费用。不论投标的结果如何，采购代理机构和采购人均无义务和责任承担这些费用。</w:t>
      </w:r>
    </w:p>
    <w:p>
      <w:pPr>
        <w:pStyle w:val="4"/>
        <w:numPr>
          <w:ilvl w:val="0"/>
          <w:numId w:val="7"/>
        </w:numPr>
        <w:tabs>
          <w:tab w:val="left" w:pos="900"/>
          <w:tab w:val="clear" w:pos="425"/>
        </w:tabs>
        <w:spacing w:before="0" w:after="0" w:line="360" w:lineRule="auto"/>
        <w:ind w:left="924" w:hanging="924"/>
        <w:rPr>
          <w:rFonts w:hint="eastAsia" w:ascii="仿宋" w:hAnsi="仿宋" w:eastAsia="仿宋" w:cs="仿宋"/>
          <w:color w:val="auto"/>
          <w:sz w:val="24"/>
          <w:szCs w:val="24"/>
          <w:highlight w:val="none"/>
        </w:rPr>
      </w:pPr>
      <w:bookmarkStart w:id="25" w:name="_Toc9407"/>
      <w:bookmarkStart w:id="26" w:name="_Toc19746"/>
      <w:bookmarkStart w:id="27" w:name="_Toc14265"/>
      <w:bookmarkStart w:id="28" w:name="_Toc22355"/>
      <w:bookmarkStart w:id="29" w:name="_Toc55778678"/>
      <w:bookmarkStart w:id="30" w:name="_Toc2722"/>
      <w:r>
        <w:rPr>
          <w:rStyle w:val="61"/>
          <w:rFonts w:hint="eastAsia" w:ascii="仿宋" w:hAnsi="仿宋" w:eastAsia="仿宋" w:cs="仿宋"/>
          <w:bCs w:val="0"/>
          <w:color w:val="auto"/>
          <w:sz w:val="24"/>
          <w:szCs w:val="24"/>
          <w:highlight w:val="none"/>
        </w:rPr>
        <w:t>现场考察或者召开开标前答疑会</w:t>
      </w:r>
      <w:bookmarkEnd w:id="25"/>
      <w:bookmarkEnd w:id="26"/>
      <w:bookmarkEnd w:id="27"/>
      <w:bookmarkEnd w:id="28"/>
      <w:bookmarkEnd w:id="29"/>
      <w:bookmarkEnd w:id="30"/>
    </w:p>
    <w:p>
      <w:pPr>
        <w:numPr>
          <w:ilvl w:val="1"/>
          <w:numId w:val="11"/>
        </w:numPr>
        <w:spacing w:line="360" w:lineRule="auto"/>
        <w:rPr>
          <w:rFonts w:hint="eastAsia" w:ascii="仿宋" w:hAnsi="仿宋" w:eastAsia="仿宋" w:cs="仿宋"/>
          <w:color w:val="auto"/>
          <w:sz w:val="24"/>
          <w:szCs w:val="24"/>
          <w:highlight w:val="none"/>
        </w:rPr>
      </w:pPr>
      <w:bookmarkStart w:id="31" w:name="_Ref179620557"/>
      <w:r>
        <w:rPr>
          <w:rFonts w:hint="eastAsia" w:ascii="仿宋" w:hAnsi="仿宋" w:eastAsia="仿宋" w:cs="仿宋"/>
          <w:color w:val="auto"/>
          <w:sz w:val="24"/>
          <w:szCs w:val="24"/>
          <w:highlight w:val="none"/>
        </w:rPr>
        <w:t>除非另有规定，不举行项目现场考察或者召开开标前答疑会，如举行现场考察或者召开开标前答疑会的，则按以下规定</w:t>
      </w:r>
      <w:bookmarkEnd w:id="31"/>
      <w:r>
        <w:rPr>
          <w:rFonts w:hint="eastAsia" w:ascii="仿宋" w:hAnsi="仿宋" w:eastAsia="仿宋" w:cs="仿宋"/>
          <w:color w:val="auto"/>
          <w:sz w:val="24"/>
          <w:szCs w:val="24"/>
          <w:highlight w:val="none"/>
        </w:rPr>
        <w:t>：</w:t>
      </w:r>
    </w:p>
    <w:p>
      <w:pPr>
        <w:numPr>
          <w:ilvl w:val="0"/>
          <w:numId w:val="1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在《投标须知前附表》中规定的日期、时间和地点组织现场考察或者召开开标前答疑会，以便投标人获取须自己负责的有关编制投标文件和签署合同所需的所有资料。踏勘现场所发生的费用由投标人自己承担</w:t>
      </w:r>
    </w:p>
    <w:p>
      <w:pPr>
        <w:numPr>
          <w:ilvl w:val="0"/>
          <w:numId w:val="1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对本项目提出的疑问，可在现场考察或者召开开标前答疑会召开日前至少一个工作日将问题清单以书面形式（加盖公章）提交至采购代理机构。</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32" w:name="_Toc55778679"/>
      <w:r>
        <w:rPr>
          <w:rFonts w:hint="eastAsia" w:ascii="仿宋" w:hAnsi="仿宋" w:eastAsia="仿宋" w:cs="仿宋"/>
          <w:b/>
          <w:bCs/>
          <w:color w:val="auto"/>
          <w:kern w:val="44"/>
          <w:sz w:val="24"/>
          <w:szCs w:val="24"/>
          <w:highlight w:val="none"/>
        </w:rPr>
        <w:t xml:space="preserve">    </w:t>
      </w:r>
      <w:bookmarkStart w:id="33" w:name="_Toc10763"/>
      <w:bookmarkStart w:id="34" w:name="_Toc27748"/>
      <w:bookmarkStart w:id="35" w:name="_Toc16839"/>
      <w:bookmarkStart w:id="36" w:name="_Toc15619"/>
      <w:bookmarkStart w:id="37" w:name="_Toc2323"/>
      <w:r>
        <w:rPr>
          <w:rFonts w:hint="eastAsia" w:ascii="仿宋" w:hAnsi="仿宋" w:eastAsia="仿宋" w:cs="仿宋"/>
          <w:b/>
          <w:bCs/>
          <w:color w:val="auto"/>
          <w:kern w:val="44"/>
          <w:sz w:val="24"/>
          <w:szCs w:val="24"/>
          <w:highlight w:val="none"/>
        </w:rPr>
        <w:t>开标的资质要求、时间及地点</w:t>
      </w:r>
      <w:bookmarkEnd w:id="32"/>
      <w:bookmarkEnd w:id="33"/>
      <w:bookmarkEnd w:id="34"/>
      <w:bookmarkEnd w:id="35"/>
      <w:bookmarkEnd w:id="36"/>
      <w:bookmarkEnd w:id="37"/>
    </w:p>
    <w:p>
      <w:pPr>
        <w:numPr>
          <w:ilvl w:val="1"/>
          <w:numId w:val="7"/>
        </w:numPr>
        <w:tabs>
          <w:tab w:val="left" w:pos="907"/>
          <w:tab w:val="clear" w:pos="992"/>
        </w:tabs>
        <w:spacing w:line="360" w:lineRule="auto"/>
        <w:ind w:left="992" w:leftChars="0" w:hanging="567" w:firstLineChars="0"/>
        <w:rPr>
          <w:rFonts w:hint="eastAsia" w:ascii="仿宋" w:hAnsi="仿宋" w:eastAsia="仿宋" w:cs="仿宋"/>
          <w:color w:val="auto"/>
          <w:sz w:val="24"/>
          <w:szCs w:val="24"/>
          <w:highlight w:val="none"/>
        </w:rPr>
      </w:pPr>
      <w:bookmarkStart w:id="38" w:name="_Toc55778680"/>
      <w:r>
        <w:rPr>
          <w:rFonts w:hint="eastAsia" w:ascii="仿宋" w:hAnsi="仿宋" w:eastAsia="仿宋" w:cs="仿宋"/>
          <w:color w:val="auto"/>
          <w:sz w:val="24"/>
          <w:szCs w:val="24"/>
          <w:highlight w:val="none"/>
        </w:rPr>
        <w:t xml:space="preserve"> 本项目开标的时间、地点已在第二章《投标须知前附表》列清。</w:t>
      </w:r>
    </w:p>
    <w:p>
      <w:pPr>
        <w:numPr>
          <w:ilvl w:val="1"/>
          <w:numId w:val="7"/>
        </w:numPr>
        <w:tabs>
          <w:tab w:val="left" w:pos="907"/>
          <w:tab w:val="clear" w:pos="992"/>
        </w:tabs>
        <w:spacing w:line="360" w:lineRule="auto"/>
        <w:ind w:left="992"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本项目采用不见面开标，投标人需要递交电子投标文件。加密的电子投标文件，在投标截止时间前通过政采云平台上传到指定位置，无需递交纸质文件。开标当日，投标人无需到达开标现场，仅需通过政采云系统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政采云平台发生故障，导致无法按时完成投标文件解密或开、评标工作无法进行的，可根据实际情况相应延迟解密时间或调整开、评标时间。</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39" w:name="_Toc2052"/>
      <w:bookmarkStart w:id="40" w:name="_Toc6954"/>
      <w:bookmarkStart w:id="41" w:name="_Toc18733"/>
      <w:bookmarkStart w:id="42" w:name="_Toc23617"/>
      <w:bookmarkStart w:id="43" w:name="_Toc12859"/>
      <w:r>
        <w:rPr>
          <w:rFonts w:hint="eastAsia" w:ascii="仿宋" w:hAnsi="仿宋" w:eastAsia="仿宋" w:cs="仿宋"/>
          <w:b/>
          <w:bCs/>
          <w:color w:val="auto"/>
          <w:kern w:val="44"/>
          <w:sz w:val="24"/>
          <w:szCs w:val="24"/>
          <w:highlight w:val="none"/>
        </w:rPr>
        <w:t>纪律与保密事项</w:t>
      </w:r>
      <w:bookmarkEnd w:id="38"/>
      <w:bookmarkEnd w:id="39"/>
      <w:bookmarkEnd w:id="40"/>
      <w:bookmarkEnd w:id="41"/>
      <w:bookmarkEnd w:id="42"/>
      <w:bookmarkEnd w:id="43"/>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凡参与招标工作的有关人员均应自觉接受有关主管部门的监督，不得向他人透露已获得招标文件的潜在投标人的名称、数量以及可能影响公平竞争的有关招标投标的其他情况。</w:t>
      </w:r>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开标后，直至向中标的投标人发出《中标通知书》时止，凡与审查、澄清、评价和比较投标的有关资料以及授标意见等，均不得向投标人及与评标无关的其他人透露。</w:t>
      </w:r>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除投标人被要求对投标文件进行澄清外，从开标至签订合同期间，投标人不得就与其投标文件有关的事项主动与评标小组、采购代理机构以及采购人联系。</w:t>
      </w:r>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从开标至签订合同期间，投标人试图在投标文件审查、澄清、比较和评价时对评标小组和招标机构施加任何影响或对采购人的比较及授予合同的决定进行影响，都可能导致其投标文件被拒绝。</w:t>
      </w:r>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投标人不得串通作弊，以不正当的手段妨碍、排挤其他投标人，扰乱招标市场，破坏公平竞争原则。</w:t>
      </w:r>
    </w:p>
    <w:p>
      <w:pPr>
        <w:numPr>
          <w:ilvl w:val="1"/>
          <w:numId w:val="1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获得本招标文件者，应对文件进行保密，不得用作本次投标以外的任何用途。若有要求，开标后，投标人应归还招标文件中的保密的文件和资料。</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44" w:name="_Toc55778681"/>
      <w:r>
        <w:rPr>
          <w:rFonts w:hint="eastAsia" w:ascii="仿宋" w:hAnsi="仿宋" w:eastAsia="仿宋" w:cs="仿宋"/>
          <w:b/>
          <w:bCs/>
          <w:color w:val="auto"/>
          <w:kern w:val="44"/>
          <w:sz w:val="24"/>
          <w:szCs w:val="24"/>
          <w:highlight w:val="none"/>
        </w:rPr>
        <w:t xml:space="preserve">    </w:t>
      </w:r>
      <w:bookmarkStart w:id="45" w:name="_Toc5873"/>
      <w:bookmarkStart w:id="46" w:name="_Toc18189"/>
      <w:bookmarkStart w:id="47" w:name="_Toc20462"/>
      <w:bookmarkStart w:id="48" w:name="_Toc17472"/>
      <w:bookmarkStart w:id="49" w:name="_Toc20913"/>
      <w:r>
        <w:rPr>
          <w:rFonts w:hint="eastAsia" w:ascii="仿宋" w:hAnsi="仿宋" w:eastAsia="仿宋" w:cs="仿宋"/>
          <w:b/>
          <w:bCs/>
          <w:color w:val="auto"/>
          <w:kern w:val="44"/>
          <w:sz w:val="24"/>
          <w:szCs w:val="24"/>
          <w:highlight w:val="none"/>
        </w:rPr>
        <w:t>保证</w:t>
      </w:r>
      <w:bookmarkEnd w:id="44"/>
      <w:bookmarkEnd w:id="45"/>
      <w:bookmarkEnd w:id="46"/>
      <w:bookmarkEnd w:id="47"/>
      <w:bookmarkEnd w:id="48"/>
      <w:bookmarkEnd w:id="49"/>
    </w:p>
    <w:p>
      <w:pPr>
        <w:numPr>
          <w:ilvl w:val="1"/>
          <w:numId w:val="1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投标人必须保证所提交给采购代理机构、采购人的资料和数据是真实的，并承担相应的法律责任。</w:t>
      </w:r>
    </w:p>
    <w:p>
      <w:pPr>
        <w:pStyle w:val="20"/>
        <w:jc w:val="center"/>
        <w:rPr>
          <w:rFonts w:hint="eastAsia" w:ascii="仿宋" w:hAnsi="仿宋" w:eastAsia="仿宋" w:cs="仿宋"/>
          <w:b/>
          <w:bCs/>
          <w:color w:val="auto"/>
          <w:sz w:val="24"/>
          <w:szCs w:val="24"/>
          <w:highlight w:val="none"/>
        </w:rPr>
      </w:pPr>
      <w:bookmarkStart w:id="50" w:name="_Toc30778"/>
      <w:bookmarkStart w:id="51" w:name="_Toc55778682"/>
      <w:bookmarkStart w:id="52" w:name="_Toc21599"/>
      <w:r>
        <w:rPr>
          <w:rFonts w:hint="eastAsia" w:ascii="仿宋" w:hAnsi="仿宋" w:eastAsia="仿宋" w:cs="仿宋"/>
          <w:b/>
          <w:bCs/>
          <w:color w:val="auto"/>
          <w:sz w:val="24"/>
          <w:szCs w:val="24"/>
          <w:highlight w:val="none"/>
        </w:rPr>
        <w:t>二、招标文件</w:t>
      </w:r>
      <w:bookmarkEnd w:id="50"/>
      <w:bookmarkEnd w:id="51"/>
      <w:bookmarkEnd w:id="52"/>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53" w:name="_Toc25851"/>
      <w:bookmarkStart w:id="54" w:name="_Toc55778683"/>
      <w:r>
        <w:rPr>
          <w:rFonts w:hint="eastAsia" w:ascii="仿宋" w:hAnsi="仿宋" w:eastAsia="仿宋" w:cs="仿宋"/>
          <w:b/>
          <w:bCs/>
          <w:color w:val="auto"/>
          <w:kern w:val="44"/>
          <w:sz w:val="24"/>
          <w:szCs w:val="24"/>
          <w:highlight w:val="none"/>
        </w:rPr>
        <w:t xml:space="preserve">   </w:t>
      </w:r>
      <w:bookmarkStart w:id="55" w:name="_Toc5513"/>
      <w:bookmarkStart w:id="56" w:name="_Toc6970"/>
      <w:bookmarkStart w:id="57" w:name="_Toc7611"/>
      <w:bookmarkStart w:id="58" w:name="_Toc4904"/>
      <w:bookmarkStart w:id="59" w:name="_Toc6842"/>
      <w:r>
        <w:rPr>
          <w:rFonts w:hint="eastAsia" w:ascii="仿宋" w:hAnsi="仿宋" w:eastAsia="仿宋" w:cs="仿宋"/>
          <w:b/>
          <w:bCs/>
          <w:color w:val="auto"/>
          <w:kern w:val="44"/>
          <w:sz w:val="24"/>
          <w:szCs w:val="24"/>
          <w:highlight w:val="none"/>
        </w:rPr>
        <w:t>招标文件的编制依据与构成</w:t>
      </w:r>
      <w:bookmarkEnd w:id="53"/>
      <w:bookmarkEnd w:id="54"/>
      <w:bookmarkEnd w:id="55"/>
      <w:bookmarkEnd w:id="56"/>
      <w:bookmarkEnd w:id="57"/>
      <w:bookmarkEnd w:id="58"/>
      <w:bookmarkEnd w:id="59"/>
    </w:p>
    <w:p>
      <w:pPr>
        <w:tabs>
          <w:tab w:val="left" w:pos="907"/>
        </w:tabs>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本招标文件的编制依据是《中华人民共和国政府采购法》、《中华人民共和国政府采购法实施条例》、《政府采购货物和服务招标投标管理办法》及其配套的法规、规章、政策等。</w:t>
      </w:r>
    </w:p>
    <w:p>
      <w:pPr>
        <w:tabs>
          <w:tab w:val="left" w:pos="907"/>
        </w:tabs>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招标文件以中文文字编写。招标文件共六章。招标文件由下列文件以及在招标过程中发出的澄清、修改和补充文件组成，内容如下：</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公告</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投标须知前附表</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投标人须知</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合同格式</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pPr>
        <w:tabs>
          <w:tab w:val="left" w:pos="907"/>
        </w:tabs>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投标人应仔细阅读招标文件的全部内容，按照招标文件要求编制投标文件。任何对招标文件的忽略或误解不能作为投标文件存在缺陷或瑕疵的理由，其风险由投标人承担。投标人对招标文件有疑问的请以书面形式向采购人、采购代理机构提出,提出后，请投标人及时通过</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政采云平台查看答疑文件或澄清文件。投标人应及时注意</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政采云发布的澄清或修改通知并下载，因投标人原因未及时获知澄清、修改或补充内容而导致的任何后果将由投标人自行承担。</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60" w:name="_Toc55778684"/>
      <w:r>
        <w:rPr>
          <w:rFonts w:hint="eastAsia" w:ascii="仿宋" w:hAnsi="仿宋" w:eastAsia="仿宋" w:cs="仿宋"/>
          <w:b/>
          <w:color w:val="auto"/>
          <w:kern w:val="44"/>
          <w:sz w:val="24"/>
          <w:szCs w:val="24"/>
          <w:highlight w:val="none"/>
        </w:rPr>
        <w:t xml:space="preserve">   </w:t>
      </w:r>
      <w:bookmarkStart w:id="61" w:name="_Toc28706"/>
      <w:bookmarkStart w:id="62" w:name="_Toc22484"/>
      <w:bookmarkStart w:id="63" w:name="_Toc18515"/>
      <w:bookmarkStart w:id="64" w:name="_Toc5501"/>
      <w:bookmarkStart w:id="65" w:name="_Toc24522"/>
      <w:r>
        <w:rPr>
          <w:rFonts w:hint="eastAsia" w:ascii="仿宋" w:hAnsi="仿宋" w:eastAsia="仿宋" w:cs="仿宋"/>
          <w:b/>
          <w:color w:val="auto"/>
          <w:kern w:val="44"/>
          <w:sz w:val="24"/>
          <w:szCs w:val="24"/>
          <w:highlight w:val="none"/>
        </w:rPr>
        <w:t>招标文件的澄清或修改</w:t>
      </w:r>
      <w:bookmarkEnd w:id="60"/>
      <w:bookmarkEnd w:id="61"/>
      <w:bookmarkEnd w:id="62"/>
      <w:bookmarkEnd w:id="63"/>
      <w:bookmarkEnd w:id="64"/>
      <w:bookmarkEnd w:id="65"/>
    </w:p>
    <w:p>
      <w:pPr>
        <w:tabs>
          <w:tab w:val="left" w:pos="907"/>
        </w:tabs>
        <w:spacing w:line="360" w:lineRule="auto"/>
        <w:ind w:left="720"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投标人应仔细阅读和检查招标文件的全部内容。投标人若对招标文件有任何疑问，应按照招标文件</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向采购代理机构提出。提出后，请投标人及时通过</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政采云平台查看答疑文件或澄清文件。必要时，采购代理机构将组织相关专家召开答疑会，如召开，答疑会安排另行通知。并在</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政采云平台发布更正公告。</w:t>
      </w:r>
      <w:r>
        <w:rPr>
          <w:rFonts w:hint="eastAsia" w:ascii="仿宋" w:hAnsi="仿宋" w:eastAsia="仿宋" w:cs="仿宋"/>
          <w:color w:val="auto"/>
          <w:sz w:val="24"/>
          <w:szCs w:val="24"/>
          <w:highlight w:val="none"/>
          <w:lang w:val="en-US" w:eastAsia="zh-CN"/>
        </w:rPr>
        <w:t>投标人在规定的时间内未对招标文件提出疑问或要求澄清的，采购代理机构将视其为同意，对在“答疑接受时间”后就招标文件内容提出的疑问及澄清要求将不予受理。</w:t>
      </w:r>
    </w:p>
    <w:p>
      <w:pPr>
        <w:tabs>
          <w:tab w:val="left" w:pos="907"/>
        </w:tabs>
        <w:spacing w:line="360" w:lineRule="auto"/>
        <w:ind w:left="720"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　如果澄清或者修改时间距本章投标人须知前附表规定的投标截止时间不足15日，将相应顺延提交投标文件的截止时间，澄清或者修改时间具体见投标人须知前附表。</w:t>
      </w:r>
    </w:p>
    <w:p>
      <w:pPr>
        <w:tabs>
          <w:tab w:val="left" w:pos="907"/>
        </w:tabs>
        <w:spacing w:line="360" w:lineRule="auto"/>
        <w:ind w:left="720"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　澄清或者修改内容为招标文件的组成部分，对所有领取了招标文件的潜在投标人均具有约束力。</w:t>
      </w:r>
    </w:p>
    <w:p>
      <w:pPr>
        <w:tabs>
          <w:tab w:val="left" w:pos="907"/>
        </w:tabs>
        <w:spacing w:line="360" w:lineRule="auto"/>
        <w:ind w:left="720"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  投标人应注意及时新疆政采云发布的澄清或修改通知并下载，因投标人原因未及时获知澄清、修改或补充内容而导致的任何后果将由投标人自行承担。</w:t>
      </w:r>
    </w:p>
    <w:p>
      <w:pPr>
        <w:tabs>
          <w:tab w:val="left" w:pos="907"/>
        </w:tabs>
        <w:spacing w:line="360" w:lineRule="auto"/>
        <w:ind w:left="720" w:hanging="720" w:hangingChars="300"/>
        <w:rPr>
          <w:rFonts w:hint="eastAsia" w:ascii="仿宋" w:hAnsi="仿宋" w:eastAsia="仿宋" w:cs="仿宋"/>
          <w:color w:val="auto"/>
          <w:sz w:val="24"/>
          <w:szCs w:val="24"/>
          <w:highlight w:val="none"/>
        </w:rPr>
      </w:pPr>
    </w:p>
    <w:p>
      <w:pPr>
        <w:pStyle w:val="5"/>
        <w:spacing w:before="0" w:after="0" w:line="360" w:lineRule="auto"/>
        <w:jc w:val="center"/>
        <w:rPr>
          <w:rFonts w:hint="eastAsia" w:ascii="仿宋" w:hAnsi="仿宋" w:eastAsia="仿宋" w:cs="仿宋"/>
          <w:color w:val="auto"/>
          <w:sz w:val="24"/>
          <w:szCs w:val="24"/>
          <w:highlight w:val="none"/>
        </w:rPr>
      </w:pPr>
      <w:bookmarkStart w:id="66" w:name="_Toc14750"/>
      <w:bookmarkStart w:id="67" w:name="_Toc55778685"/>
      <w:r>
        <w:rPr>
          <w:rFonts w:hint="eastAsia" w:ascii="仿宋" w:hAnsi="仿宋" w:eastAsia="仿宋" w:cs="仿宋"/>
          <w:color w:val="auto"/>
          <w:sz w:val="24"/>
          <w:szCs w:val="24"/>
          <w:highlight w:val="none"/>
        </w:rPr>
        <w:t>三、投标文件的编制</w:t>
      </w:r>
      <w:bookmarkEnd w:id="66"/>
      <w:bookmarkEnd w:id="67"/>
    </w:p>
    <w:p>
      <w:pPr>
        <w:pStyle w:val="4"/>
        <w:numPr>
          <w:ilvl w:val="0"/>
          <w:numId w:val="7"/>
        </w:numPr>
        <w:tabs>
          <w:tab w:val="left" w:pos="900"/>
          <w:tab w:val="clear" w:pos="425"/>
        </w:tabs>
        <w:spacing w:before="0" w:after="0" w:line="360" w:lineRule="auto"/>
        <w:ind w:left="924" w:hanging="924"/>
        <w:rPr>
          <w:rStyle w:val="61"/>
          <w:rFonts w:hint="eastAsia" w:ascii="仿宋" w:hAnsi="仿宋" w:eastAsia="仿宋" w:cs="仿宋"/>
          <w:bCs/>
          <w:color w:val="auto"/>
          <w:sz w:val="24"/>
          <w:szCs w:val="24"/>
          <w:highlight w:val="none"/>
        </w:rPr>
      </w:pPr>
      <w:bookmarkStart w:id="68" w:name="_Toc22093"/>
      <w:bookmarkStart w:id="69" w:name="_Toc55778686"/>
      <w:bookmarkStart w:id="70" w:name="_Toc887"/>
      <w:bookmarkStart w:id="71" w:name="_Toc25330"/>
      <w:bookmarkStart w:id="72" w:name="_Toc19464"/>
      <w:bookmarkStart w:id="73" w:name="_Toc4795"/>
      <w:r>
        <w:rPr>
          <w:rStyle w:val="61"/>
          <w:rFonts w:hint="eastAsia" w:ascii="仿宋" w:hAnsi="仿宋" w:eastAsia="仿宋" w:cs="仿宋"/>
          <w:bCs/>
          <w:color w:val="auto"/>
          <w:sz w:val="24"/>
          <w:szCs w:val="24"/>
          <w:highlight w:val="none"/>
        </w:rPr>
        <w:t>投标的语言</w:t>
      </w:r>
      <w:bookmarkEnd w:id="68"/>
      <w:bookmarkEnd w:id="69"/>
      <w:bookmarkEnd w:id="70"/>
      <w:bookmarkEnd w:id="71"/>
      <w:bookmarkEnd w:id="72"/>
      <w:bookmarkEnd w:id="73"/>
    </w:p>
    <w:p>
      <w:pPr>
        <w:numPr>
          <w:ilvl w:val="1"/>
          <w:numId w:val="15"/>
        </w:numPr>
        <w:spacing w:line="360" w:lineRule="auto"/>
        <w:rPr>
          <w:rFonts w:hint="eastAsia" w:ascii="仿宋" w:hAnsi="仿宋" w:eastAsia="仿宋" w:cs="仿宋"/>
          <w:color w:val="auto"/>
          <w:sz w:val="24"/>
          <w:szCs w:val="24"/>
          <w:highlight w:val="none"/>
        </w:rPr>
      </w:pPr>
      <w:bookmarkStart w:id="74" w:name="_Ref179620571"/>
      <w:r>
        <w:rPr>
          <w:rFonts w:hint="eastAsia" w:ascii="仿宋" w:hAnsi="仿宋" w:eastAsia="仿宋" w:cs="仿宋"/>
          <w:color w:val="auto"/>
          <w:sz w:val="24"/>
          <w:szCs w:val="24"/>
          <w:highlight w:val="none"/>
        </w:rPr>
        <w:t>投标人提交的投标文件以及投标人与采购代理机构和采购人就有关投标的所有来往函电均应使用</w:t>
      </w:r>
      <w:r>
        <w:rPr>
          <w:rFonts w:hint="eastAsia" w:ascii="仿宋" w:hAnsi="仿宋" w:eastAsia="仿宋" w:cs="仿宋"/>
          <w:bCs/>
          <w:color w:val="auto"/>
          <w:sz w:val="24"/>
          <w:szCs w:val="24"/>
          <w:highlight w:val="none"/>
        </w:rPr>
        <w:t>中文书写。投标人提交的支持文件或印刷的资料可以用另一种语言，但相应内容应附有中文翻译本</w:t>
      </w:r>
      <w:r>
        <w:rPr>
          <w:rFonts w:hint="eastAsia" w:ascii="仿宋" w:hAnsi="仿宋" w:eastAsia="仿宋" w:cs="仿宋"/>
          <w:color w:val="auto"/>
          <w:sz w:val="24"/>
          <w:szCs w:val="24"/>
          <w:highlight w:val="none"/>
        </w:rPr>
        <w:t>，在解释投标文件时以翻译本为准。</w:t>
      </w:r>
      <w:bookmarkEnd w:id="74"/>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75" w:name="_Toc15173"/>
      <w:bookmarkStart w:id="76" w:name="_Toc55778688"/>
      <w:r>
        <w:rPr>
          <w:rFonts w:hint="eastAsia" w:ascii="仿宋" w:hAnsi="仿宋" w:eastAsia="仿宋" w:cs="仿宋"/>
          <w:b/>
          <w:bCs/>
          <w:color w:val="auto"/>
          <w:kern w:val="44"/>
          <w:sz w:val="24"/>
          <w:szCs w:val="24"/>
          <w:highlight w:val="none"/>
        </w:rPr>
        <w:t xml:space="preserve">    </w:t>
      </w:r>
      <w:bookmarkStart w:id="77" w:name="_Toc1469"/>
      <w:bookmarkStart w:id="78" w:name="_Toc23086"/>
      <w:bookmarkStart w:id="79" w:name="_Toc21704"/>
      <w:bookmarkStart w:id="80" w:name="_Toc2079"/>
      <w:r>
        <w:rPr>
          <w:rFonts w:hint="eastAsia" w:ascii="仿宋" w:hAnsi="仿宋" w:eastAsia="仿宋" w:cs="仿宋"/>
          <w:b/>
          <w:bCs/>
          <w:color w:val="auto"/>
          <w:kern w:val="44"/>
          <w:sz w:val="24"/>
          <w:szCs w:val="24"/>
          <w:highlight w:val="none"/>
        </w:rPr>
        <w:t>投标文件的构成</w:t>
      </w:r>
      <w:bookmarkEnd w:id="75"/>
      <w:bookmarkEnd w:id="76"/>
      <w:bookmarkEnd w:id="77"/>
      <w:bookmarkEnd w:id="78"/>
      <w:bookmarkEnd w:id="79"/>
      <w:bookmarkEnd w:id="80"/>
    </w:p>
    <w:p>
      <w:pPr>
        <w:numPr>
          <w:ilvl w:val="1"/>
          <w:numId w:val="1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详见招标文件第六章《投标文件格式》</w:t>
      </w:r>
    </w:p>
    <w:p>
      <w:pPr>
        <w:numPr>
          <w:ilvl w:val="1"/>
          <w:numId w:val="1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投标人有义务按照以上构成要求将投标文件编上唯一的页码并装订成册，不可出现缺页或重页的现象。</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81" w:name="_Toc55778689"/>
      <w:bookmarkStart w:id="82" w:name="_Toc30134"/>
      <w:r>
        <w:rPr>
          <w:rFonts w:hint="eastAsia" w:ascii="仿宋" w:hAnsi="仿宋" w:eastAsia="仿宋" w:cs="仿宋"/>
          <w:b/>
          <w:bCs/>
          <w:color w:val="auto"/>
          <w:kern w:val="44"/>
          <w:sz w:val="24"/>
          <w:szCs w:val="24"/>
          <w:highlight w:val="none"/>
        </w:rPr>
        <w:t xml:space="preserve">    </w:t>
      </w:r>
      <w:bookmarkStart w:id="83" w:name="_Toc24925"/>
      <w:bookmarkStart w:id="84" w:name="_Toc23426"/>
      <w:bookmarkStart w:id="85" w:name="_Toc17632"/>
      <w:bookmarkStart w:id="86" w:name="_Toc24782"/>
      <w:r>
        <w:rPr>
          <w:rFonts w:hint="eastAsia" w:ascii="仿宋" w:hAnsi="仿宋" w:eastAsia="仿宋" w:cs="仿宋"/>
          <w:b/>
          <w:bCs/>
          <w:color w:val="auto"/>
          <w:kern w:val="44"/>
          <w:sz w:val="24"/>
          <w:szCs w:val="24"/>
          <w:highlight w:val="none"/>
        </w:rPr>
        <w:t>投标文件电子文档</w:t>
      </w:r>
      <w:bookmarkEnd w:id="81"/>
      <w:bookmarkEnd w:id="82"/>
      <w:bookmarkEnd w:id="83"/>
      <w:bookmarkEnd w:id="84"/>
      <w:bookmarkEnd w:id="85"/>
      <w:bookmarkEnd w:id="86"/>
    </w:p>
    <w:p>
      <w:pPr>
        <w:numPr>
          <w:ilvl w:val="1"/>
          <w:numId w:val="17"/>
        </w:numPr>
        <w:spacing w:line="360" w:lineRule="auto"/>
        <w:rPr>
          <w:rFonts w:hint="eastAsia" w:ascii="仿宋" w:hAnsi="仿宋" w:eastAsia="仿宋" w:cs="仿宋"/>
          <w:kern w:val="0"/>
          <w:sz w:val="24"/>
          <w:szCs w:val="24"/>
        </w:rPr>
      </w:pPr>
      <w:bookmarkStart w:id="87" w:name="_Toc22266"/>
      <w:bookmarkStart w:id="88" w:name="_Toc55778690"/>
      <w:r>
        <w:rPr>
          <w:rFonts w:hint="eastAsia" w:ascii="仿宋" w:hAnsi="仿宋" w:eastAsia="仿宋" w:cs="仿宋"/>
          <w:sz w:val="24"/>
          <w:szCs w:val="24"/>
        </w:rPr>
        <w:t>投标文件应采用电子形式</w:t>
      </w:r>
      <w:r>
        <w:rPr>
          <w:rFonts w:hint="eastAsia" w:ascii="仿宋" w:hAnsi="仿宋" w:eastAsia="仿宋" w:cs="仿宋"/>
          <w:color w:val="000000"/>
          <w:sz w:val="24"/>
          <w:szCs w:val="24"/>
        </w:rPr>
        <w:t>。</w:t>
      </w:r>
    </w:p>
    <w:p>
      <w:pPr>
        <w:numPr>
          <w:ilvl w:val="1"/>
          <w:numId w:val="17"/>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电子投标文件制作时，应按照统一的“投标文件制作工具”和招标文件中明确的投标文件目录和投标技术规格、参数及相关要求格式进行编制，保证目录清晰、内容完整。</w:t>
      </w:r>
    </w:p>
    <w:p>
      <w:pPr>
        <w:numPr>
          <w:ilvl w:val="1"/>
          <w:numId w:val="17"/>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投标人因自身原因导致电子投标文件无法导入电子评标系统的，该投标文件视为无效文件。 </w:t>
      </w:r>
    </w:p>
    <w:p>
      <w:pPr>
        <w:numPr>
          <w:ilvl w:val="1"/>
          <w:numId w:val="17"/>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电子投标文件具有法律效力,与其他形式的投标文件在内容和格式上等同，若投标文件与招标文件要求不一致，其内容影响成交结果时，责任由投标人自行承担。 </w:t>
      </w:r>
    </w:p>
    <w:p>
      <w:pPr>
        <w:numPr>
          <w:ilvl w:val="1"/>
          <w:numId w:val="17"/>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为了保证电子标书的合法性、安全性和完整性，电子投标文件应在规定区域加盖单位和法定代表人CA印章。电子投标文件若无 CA电子签章，则视为无效文件。</w:t>
      </w:r>
    </w:p>
    <w:p>
      <w:pPr>
        <w:numPr>
          <w:ilvl w:val="1"/>
          <w:numId w:val="17"/>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投标人应完整地填写招标文件中提供的《</w:t>
      </w:r>
      <w:r>
        <w:rPr>
          <w:rFonts w:hint="eastAsia" w:ascii="仿宋" w:hAnsi="仿宋" w:eastAsia="仿宋" w:cs="仿宋"/>
          <w:kern w:val="0"/>
          <w:sz w:val="24"/>
          <w:szCs w:val="24"/>
          <w:lang w:val="en-US" w:eastAsia="zh-CN"/>
        </w:rPr>
        <w:t>报价</w:t>
      </w:r>
      <w:r>
        <w:rPr>
          <w:rFonts w:hint="eastAsia" w:ascii="仿宋" w:hAnsi="仿宋" w:eastAsia="仿宋" w:cs="仿宋"/>
          <w:kern w:val="0"/>
          <w:sz w:val="24"/>
          <w:szCs w:val="24"/>
        </w:rPr>
        <w:t>一览表》、《报价</w:t>
      </w:r>
      <w:r>
        <w:rPr>
          <w:rFonts w:hint="eastAsia" w:ascii="仿宋" w:hAnsi="仿宋" w:eastAsia="仿宋" w:cs="仿宋"/>
          <w:kern w:val="0"/>
          <w:sz w:val="24"/>
          <w:szCs w:val="24"/>
          <w:lang w:val="en-US" w:eastAsia="zh-CN"/>
        </w:rPr>
        <w:t>一览</w:t>
      </w:r>
      <w:r>
        <w:rPr>
          <w:rFonts w:hint="eastAsia" w:ascii="仿宋" w:hAnsi="仿宋" w:eastAsia="仿宋" w:cs="仿宋"/>
          <w:kern w:val="0"/>
          <w:sz w:val="24"/>
          <w:szCs w:val="24"/>
        </w:rPr>
        <w:t xml:space="preserve">明细表》等招标文件中规定的所有内容。 </w:t>
      </w:r>
    </w:p>
    <w:p>
      <w:pPr>
        <w:numPr>
          <w:ilvl w:val="1"/>
          <w:numId w:val="17"/>
        </w:numPr>
        <w:spacing w:line="360" w:lineRule="auto"/>
        <w:rPr>
          <w:rFonts w:ascii="宋体" w:hAnsi="宋体"/>
          <w:kern w:val="0"/>
          <w:sz w:val="24"/>
          <w:szCs w:val="24"/>
        </w:rPr>
      </w:pPr>
      <w:r>
        <w:rPr>
          <w:rFonts w:hint="eastAsia" w:ascii="仿宋" w:hAnsi="仿宋" w:eastAsia="仿宋" w:cs="仿宋"/>
          <w:kern w:val="0"/>
          <w:sz w:val="24"/>
          <w:szCs w:val="24"/>
        </w:rPr>
        <w:t xml:space="preserve">投标人必须保证投标人文件所提供的全部资料真实可靠，并接受采购单位对其中任何资料进一步核实的要求。 </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89" w:name="_Toc17740"/>
      <w:bookmarkStart w:id="90" w:name="_Toc30931"/>
      <w:bookmarkStart w:id="91" w:name="_Toc17013"/>
      <w:bookmarkStart w:id="92" w:name="_Toc16689"/>
      <w:r>
        <w:rPr>
          <w:rFonts w:hint="eastAsia" w:ascii="仿宋" w:hAnsi="仿宋" w:eastAsia="仿宋" w:cs="仿宋"/>
          <w:b/>
          <w:bCs/>
          <w:color w:val="auto"/>
          <w:kern w:val="44"/>
          <w:sz w:val="24"/>
          <w:szCs w:val="24"/>
          <w:highlight w:val="none"/>
        </w:rPr>
        <w:t>投标文件的编写</w:t>
      </w:r>
      <w:bookmarkEnd w:id="87"/>
      <w:bookmarkEnd w:id="88"/>
      <w:bookmarkEnd w:id="89"/>
      <w:bookmarkEnd w:id="90"/>
      <w:bookmarkEnd w:id="91"/>
      <w:bookmarkEnd w:id="92"/>
    </w:p>
    <w:p>
      <w:pPr>
        <w:numPr>
          <w:ilvl w:val="1"/>
          <w:numId w:val="1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投标人应按招标文件的规定，及附件要求的内容和格式完整地填写和提供资料，并保证所提供的全部资料的真实性。</w:t>
      </w:r>
    </w:p>
    <w:p>
      <w:pPr>
        <w:numPr>
          <w:ilvl w:val="1"/>
          <w:numId w:val="1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投标人应当按照招标文件要求编制投标文件，并根据自已的商务能力、技术水平等对招标文件提出的要求和条件作出真实的响应。</w:t>
      </w:r>
    </w:p>
    <w:p>
      <w:pPr>
        <w:numPr>
          <w:ilvl w:val="1"/>
          <w:numId w:val="1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本项目只允许投标人提供一个投标方案，否则，其投标将被拒绝。</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93" w:name="_Toc11544"/>
      <w:bookmarkStart w:id="94" w:name="_Toc55778691"/>
      <w:r>
        <w:rPr>
          <w:rFonts w:hint="eastAsia" w:ascii="仿宋" w:hAnsi="仿宋" w:eastAsia="仿宋" w:cs="仿宋"/>
          <w:b/>
          <w:bCs/>
          <w:color w:val="auto"/>
          <w:kern w:val="44"/>
          <w:sz w:val="24"/>
          <w:szCs w:val="24"/>
          <w:highlight w:val="none"/>
        </w:rPr>
        <w:t xml:space="preserve">    </w:t>
      </w:r>
      <w:bookmarkStart w:id="95" w:name="_Toc22427"/>
      <w:bookmarkStart w:id="96" w:name="_Toc3854"/>
      <w:bookmarkStart w:id="97" w:name="_Toc15231"/>
      <w:bookmarkStart w:id="98" w:name="_Toc22522"/>
      <w:r>
        <w:rPr>
          <w:rFonts w:hint="eastAsia" w:ascii="仿宋" w:hAnsi="仿宋" w:eastAsia="仿宋" w:cs="仿宋"/>
          <w:b/>
          <w:bCs/>
          <w:color w:val="auto"/>
          <w:kern w:val="44"/>
          <w:sz w:val="24"/>
          <w:szCs w:val="24"/>
          <w:highlight w:val="none"/>
        </w:rPr>
        <w:t>投标报价</w:t>
      </w:r>
      <w:bookmarkEnd w:id="93"/>
      <w:bookmarkEnd w:id="94"/>
      <w:bookmarkEnd w:id="95"/>
      <w:bookmarkEnd w:id="96"/>
      <w:bookmarkEnd w:id="97"/>
      <w:bookmarkEnd w:id="98"/>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投标人的投标报价应符合《中华人民共和国价格法》的有关规定。</w:t>
      </w:r>
    </w:p>
    <w:p>
      <w:pPr>
        <w:numPr>
          <w:ilvl w:val="1"/>
          <w:numId w:val="19"/>
        </w:numPr>
        <w:spacing w:line="360" w:lineRule="auto"/>
        <w:rPr>
          <w:rFonts w:hint="eastAsia" w:ascii="仿宋" w:hAnsi="仿宋" w:eastAsia="仿宋" w:cs="仿宋"/>
          <w:color w:val="auto"/>
          <w:sz w:val="24"/>
          <w:szCs w:val="24"/>
          <w:highlight w:val="none"/>
        </w:rPr>
      </w:pPr>
      <w:bookmarkStart w:id="99" w:name="_Ref179619251"/>
      <w:r>
        <w:rPr>
          <w:rFonts w:hint="eastAsia" w:ascii="仿宋" w:hAnsi="仿宋" w:eastAsia="仿宋" w:cs="仿宋"/>
          <w:color w:val="auto"/>
          <w:sz w:val="24"/>
          <w:szCs w:val="24"/>
          <w:highlight w:val="none"/>
        </w:rPr>
        <w:t>投标人应按照“采购内容”中要求规定的内容、责任范围进行报价。投标价格应包括投标人为完成本合同所约定的《招标及合同文件》规定的全部责任和义务所发生的各种开支。并认为此项费用已包含在投标报价中并按《报价一览表》及《</w:t>
      </w:r>
      <w:r>
        <w:rPr>
          <w:rFonts w:hint="eastAsia" w:ascii="仿宋" w:hAnsi="仿宋" w:eastAsia="仿宋" w:cs="仿宋"/>
          <w:color w:val="auto"/>
          <w:sz w:val="24"/>
          <w:szCs w:val="24"/>
          <w:highlight w:val="none"/>
          <w:lang w:val="en-US" w:eastAsia="zh-CN"/>
        </w:rPr>
        <w:t>报价一览明细表</w:t>
      </w:r>
      <w:r>
        <w:rPr>
          <w:rFonts w:hint="eastAsia" w:ascii="仿宋" w:hAnsi="仿宋" w:eastAsia="仿宋" w:cs="仿宋"/>
          <w:color w:val="auto"/>
          <w:sz w:val="24"/>
          <w:szCs w:val="24"/>
          <w:highlight w:val="none"/>
        </w:rPr>
        <w:t>》（如适用）的要求报出总价和分项价格。投标总价中不得包含招标文件要求以外的内容，否则，在评标时不予核减。投标总价中也不得缺漏招标文件所要求的内容，否则，被视为包含在投标报价中。</w:t>
      </w:r>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投标明细报价表内容应包含：</w:t>
      </w:r>
    </w:p>
    <w:p>
      <w:pPr>
        <w:numPr>
          <w:ilvl w:val="2"/>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按招标文件的要求全部服务内容所需的所有费用；</w:t>
      </w:r>
    </w:p>
    <w:p>
      <w:pPr>
        <w:numPr>
          <w:ilvl w:val="2"/>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对于报价免费的内容须标明“免费”；</w:t>
      </w:r>
    </w:p>
    <w:p>
      <w:pPr>
        <w:numPr>
          <w:ilvl w:val="2"/>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投标报价均应包含所有的税费；</w:t>
      </w:r>
    </w:p>
    <w:p>
      <w:pPr>
        <w:numPr>
          <w:ilvl w:val="2"/>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其他一切隐含及不可预见的费用。</w:t>
      </w:r>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另有规定，投标人所报的投标价在合同执行过程中是固定不变的，不得以任何理由予以变更。任何包含价格调整要求的投标被认为是非实质性响应投标而予以拒绝。</w:t>
      </w:r>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投标文件中的总价金额与单价计算出的结果不一致的，以单价金额为准修正总价，但单价金额小数点有明显错误的除外。</w:t>
      </w:r>
    </w:p>
    <w:bookmarkEnd w:id="99"/>
    <w:p>
      <w:pPr>
        <w:numPr>
          <w:ilvl w:val="1"/>
          <w:numId w:val="19"/>
        </w:numPr>
        <w:spacing w:line="360" w:lineRule="auto"/>
        <w:rPr>
          <w:rFonts w:hint="eastAsia" w:ascii="仿宋" w:hAnsi="仿宋" w:eastAsia="仿宋" w:cs="仿宋"/>
          <w:color w:val="auto"/>
          <w:sz w:val="24"/>
          <w:szCs w:val="24"/>
          <w:highlight w:val="none"/>
        </w:rPr>
      </w:pPr>
      <w:bookmarkStart w:id="100" w:name="_Ref179620595"/>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允许有备选方案外，本次招标不接受选择性报价，否则将被视为无效投标。</w:t>
      </w:r>
      <w:bookmarkEnd w:id="100"/>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 xml:space="preserve">另有规定外，本次招标不接受具有附加条件的报价，否则将被视为无效投标。 </w:t>
      </w:r>
    </w:p>
    <w:p>
      <w:pPr>
        <w:numPr>
          <w:ilvl w:val="1"/>
          <w:numId w:val="1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投标人应以人民币为单位进行报价。</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01" w:name="_Toc24908"/>
      <w:bookmarkStart w:id="102" w:name="_Toc55778694"/>
      <w:r>
        <w:rPr>
          <w:rFonts w:hint="eastAsia" w:ascii="仿宋" w:hAnsi="仿宋" w:eastAsia="仿宋" w:cs="仿宋"/>
          <w:b/>
          <w:bCs/>
          <w:color w:val="auto"/>
          <w:kern w:val="44"/>
          <w:sz w:val="24"/>
          <w:szCs w:val="24"/>
          <w:highlight w:val="none"/>
        </w:rPr>
        <w:t xml:space="preserve">    </w:t>
      </w:r>
      <w:bookmarkStart w:id="103" w:name="_Toc15306"/>
      <w:bookmarkStart w:id="104" w:name="_Toc22983"/>
      <w:bookmarkStart w:id="105" w:name="_Toc10724"/>
      <w:bookmarkStart w:id="106" w:name="_Toc14790"/>
      <w:r>
        <w:rPr>
          <w:rFonts w:hint="eastAsia" w:ascii="仿宋" w:hAnsi="仿宋" w:eastAsia="仿宋" w:cs="仿宋"/>
          <w:b/>
          <w:bCs/>
          <w:color w:val="auto"/>
          <w:kern w:val="44"/>
          <w:sz w:val="24"/>
          <w:szCs w:val="24"/>
          <w:highlight w:val="none"/>
        </w:rPr>
        <w:t>投标保证金</w:t>
      </w:r>
      <w:bookmarkEnd w:id="101"/>
      <w:bookmarkEnd w:id="102"/>
      <w:bookmarkEnd w:id="103"/>
      <w:bookmarkEnd w:id="104"/>
      <w:bookmarkEnd w:id="105"/>
      <w:bookmarkEnd w:id="106"/>
    </w:p>
    <w:p>
      <w:pPr>
        <w:numPr>
          <w:ilvl w:val="1"/>
          <w:numId w:val="20"/>
        </w:numPr>
        <w:spacing w:line="360" w:lineRule="auto"/>
        <w:rPr>
          <w:rFonts w:hint="eastAsia" w:ascii="仿宋" w:hAnsi="仿宋" w:eastAsia="仿宋" w:cs="仿宋"/>
          <w:color w:val="auto"/>
          <w:sz w:val="24"/>
          <w:szCs w:val="24"/>
          <w:highlight w:val="none"/>
        </w:rPr>
      </w:pPr>
      <w:bookmarkStart w:id="107" w:name="_Ref179619405"/>
      <w:r>
        <w:rPr>
          <w:rFonts w:hint="eastAsia" w:ascii="仿宋" w:hAnsi="仿宋" w:eastAsia="仿宋" w:cs="仿宋"/>
          <w:color w:val="auto"/>
          <w:sz w:val="24"/>
          <w:szCs w:val="24"/>
          <w:highlight w:val="none"/>
        </w:rPr>
        <w:t>投标人必须按招标文件的规定缴纳投标保证金，并作为其投标文件的组成部分。</w:t>
      </w:r>
      <w:bookmarkEnd w:id="107"/>
    </w:p>
    <w:p>
      <w:pPr>
        <w:numPr>
          <w:ilvl w:val="1"/>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投标保证金是为了保护采购代理机构和采购人免遭因投标人的行为而蒙受损失。采购代理机构和采购人在因投标人的行为受到损害时可根据本须知的规定没收投标人的投标保证金。</w:t>
      </w:r>
    </w:p>
    <w:p>
      <w:pPr>
        <w:spacing w:line="360" w:lineRule="auto"/>
        <w:ind w:left="840" w:leftChars="4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为保证本采购工作的顺利进行，各投标人应向采购人缴纳不少于</w:t>
      </w:r>
      <w:r>
        <w:rPr>
          <w:rFonts w:hint="eastAsia" w:ascii="仿宋" w:hAnsi="仿宋" w:eastAsia="仿宋" w:cs="仿宋"/>
          <w:b/>
          <w:bCs/>
          <w:color w:val="auto"/>
          <w:sz w:val="24"/>
          <w:szCs w:val="24"/>
          <w:highlight w:val="none"/>
        </w:rPr>
        <w:t>第二章《投标须知前附表》</w:t>
      </w:r>
      <w:r>
        <w:rPr>
          <w:rFonts w:hint="eastAsia" w:ascii="仿宋" w:hAnsi="仿宋" w:eastAsia="仿宋" w:cs="仿宋"/>
          <w:b/>
          <w:color w:val="auto"/>
          <w:sz w:val="24"/>
          <w:szCs w:val="24"/>
          <w:highlight w:val="none"/>
        </w:rPr>
        <w:t>规定数额的保证金，保证金金额及缴纳方式详见</w:t>
      </w:r>
      <w:r>
        <w:rPr>
          <w:rFonts w:hint="eastAsia" w:ascii="仿宋" w:hAnsi="仿宋" w:eastAsia="仿宋" w:cs="仿宋"/>
          <w:b/>
          <w:bCs/>
          <w:color w:val="auto"/>
          <w:sz w:val="24"/>
          <w:szCs w:val="24"/>
          <w:highlight w:val="none"/>
        </w:rPr>
        <w:t>第二章《投标须知前附表》</w:t>
      </w:r>
      <w:r>
        <w:rPr>
          <w:rFonts w:hint="eastAsia" w:ascii="仿宋" w:hAnsi="仿宋" w:eastAsia="仿宋" w:cs="仿宋"/>
          <w:b/>
          <w:color w:val="auto"/>
          <w:sz w:val="24"/>
          <w:szCs w:val="24"/>
          <w:highlight w:val="none"/>
        </w:rPr>
        <w:t>序号13（缴纳投标保证金）</w:t>
      </w:r>
    </w:p>
    <w:p>
      <w:pPr>
        <w:numPr>
          <w:ilvl w:val="1"/>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凡没有按照招标文件要求提交有效的投标保证金的投标，将视为非响应性投标予以拒绝。</w:t>
      </w:r>
    </w:p>
    <w:p>
      <w:pPr>
        <w:numPr>
          <w:ilvl w:val="1"/>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凡投标人在投标截止时间前撤回已提交的投标文件的，自收到投标人书面撤回通知之日起5个工作日内，退还已收取的投标保证金，但因投标人自身原因导致无法及时退还的除外。</w:t>
      </w:r>
    </w:p>
    <w:p>
      <w:pPr>
        <w:numPr>
          <w:ilvl w:val="1"/>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自中标通知书发出之日起5个工作日内退还未中标人的投标保证金，但因投标人自身原因导致无法及时退还的除外。</w:t>
      </w:r>
    </w:p>
    <w:p>
      <w:pPr>
        <w:numPr>
          <w:ilvl w:val="1"/>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中标人的投标保证金的退还必须同时满足以下要求（但因中标人自身原因导致无法及时退还的除外）：</w:t>
      </w:r>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中标人按</w:t>
      </w:r>
      <w:bookmarkStart w:id="108" w:name="_Hlt507937599"/>
      <w:bookmarkEnd w:id="108"/>
      <w:r>
        <w:rPr>
          <w:rFonts w:hint="eastAsia" w:ascii="仿宋" w:hAnsi="仿宋" w:eastAsia="仿宋" w:cs="仿宋"/>
          <w:color w:val="auto"/>
          <w:sz w:val="24"/>
          <w:szCs w:val="24"/>
          <w:highlight w:val="none"/>
        </w:rPr>
        <w:t>《投标人须知前附表》规定签订合同的，自合同上传自</w:t>
      </w:r>
      <w:r>
        <w:rPr>
          <w:rFonts w:hint="eastAsia" w:ascii="仿宋" w:hAnsi="仿宋" w:eastAsia="仿宋" w:cs="仿宋"/>
          <w:b/>
          <w:color w:val="auto"/>
          <w:sz w:val="24"/>
          <w:szCs w:val="24"/>
          <w:highlight w:val="none"/>
          <w:u w:val="single"/>
        </w:rPr>
        <w:t>新疆政府采购网http://www.ccgp-xinjiang.gov.cn/</w:t>
      </w:r>
      <w:r>
        <w:rPr>
          <w:rFonts w:hint="eastAsia" w:ascii="仿宋" w:hAnsi="仿宋" w:eastAsia="仿宋" w:cs="仿宋"/>
          <w:color w:val="auto"/>
          <w:sz w:val="24"/>
          <w:szCs w:val="24"/>
          <w:highlight w:val="none"/>
        </w:rPr>
        <w:t>起5个工作日内退还</w:t>
      </w:r>
    </w:p>
    <w:p>
      <w:pPr>
        <w:numPr>
          <w:ilvl w:val="1"/>
          <w:numId w:val="20"/>
        </w:numPr>
        <w:spacing w:line="360" w:lineRule="auto"/>
        <w:rPr>
          <w:rFonts w:hint="eastAsia" w:ascii="仿宋" w:hAnsi="仿宋" w:eastAsia="仿宋" w:cs="仿宋"/>
          <w:color w:val="auto"/>
          <w:sz w:val="24"/>
          <w:szCs w:val="24"/>
          <w:highlight w:val="none"/>
        </w:rPr>
      </w:pPr>
      <w:bookmarkStart w:id="109" w:name="_Ref179619371"/>
      <w:r>
        <w:rPr>
          <w:rFonts w:hint="eastAsia" w:ascii="仿宋" w:hAnsi="仿宋" w:eastAsia="仿宋" w:cs="仿宋"/>
          <w:color w:val="auto"/>
          <w:sz w:val="24"/>
          <w:szCs w:val="24"/>
          <w:highlight w:val="none"/>
        </w:rPr>
        <w:t>下列任何情况发生时，投标保证金将被没收：</w:t>
      </w:r>
      <w:bookmarkEnd w:id="109"/>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投标人在招标文件中规定的投标有效期内撤销其投标文件；</w:t>
      </w:r>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中标后无正当理由放弃中标或中标人拒绝与采购人签订合同；</w:t>
      </w:r>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中标人在规定期限内未能根据本须知规定签订合同；</w:t>
      </w:r>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依法取消中标资格；</w:t>
      </w:r>
    </w:p>
    <w:p>
      <w:pPr>
        <w:numPr>
          <w:ilvl w:val="2"/>
          <w:numId w:val="2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法律法规规定的其它情况；</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10" w:name="_Toc55778695"/>
      <w:bookmarkStart w:id="111" w:name="_Toc10359"/>
      <w:r>
        <w:rPr>
          <w:rFonts w:hint="eastAsia" w:ascii="仿宋" w:hAnsi="仿宋" w:eastAsia="仿宋" w:cs="仿宋"/>
          <w:b/>
          <w:bCs/>
          <w:color w:val="auto"/>
          <w:kern w:val="44"/>
          <w:sz w:val="24"/>
          <w:szCs w:val="24"/>
          <w:highlight w:val="none"/>
        </w:rPr>
        <w:t xml:space="preserve">    </w:t>
      </w:r>
      <w:bookmarkStart w:id="112" w:name="_Toc30142"/>
      <w:bookmarkStart w:id="113" w:name="_Toc1720"/>
      <w:bookmarkStart w:id="114" w:name="_Toc2453"/>
      <w:bookmarkStart w:id="115" w:name="_Toc32410"/>
      <w:r>
        <w:rPr>
          <w:rFonts w:hint="eastAsia" w:ascii="仿宋" w:hAnsi="仿宋" w:eastAsia="仿宋" w:cs="仿宋"/>
          <w:b/>
          <w:bCs/>
          <w:color w:val="auto"/>
          <w:kern w:val="44"/>
          <w:sz w:val="24"/>
          <w:szCs w:val="24"/>
          <w:highlight w:val="none"/>
        </w:rPr>
        <w:t>投标有效期</w:t>
      </w:r>
      <w:bookmarkEnd w:id="110"/>
      <w:bookmarkEnd w:id="111"/>
      <w:bookmarkEnd w:id="112"/>
      <w:bookmarkEnd w:id="113"/>
      <w:bookmarkEnd w:id="114"/>
      <w:bookmarkEnd w:id="115"/>
    </w:p>
    <w:p>
      <w:pPr>
        <w:numPr>
          <w:ilvl w:val="1"/>
          <w:numId w:val="21"/>
        </w:numPr>
        <w:spacing w:line="360" w:lineRule="auto"/>
        <w:rPr>
          <w:rFonts w:hint="eastAsia" w:ascii="仿宋" w:hAnsi="仿宋" w:eastAsia="仿宋" w:cs="仿宋"/>
          <w:color w:val="auto"/>
          <w:sz w:val="24"/>
          <w:szCs w:val="24"/>
          <w:highlight w:val="none"/>
        </w:rPr>
      </w:pPr>
      <w:bookmarkStart w:id="116" w:name="_Ref179620893"/>
      <w:r>
        <w:rPr>
          <w:rFonts w:hint="eastAsia" w:ascii="仿宋" w:hAnsi="仿宋" w:eastAsia="仿宋" w:cs="仿宋"/>
          <w:b/>
          <w:bCs/>
          <w:color w:val="auto"/>
          <w:sz w:val="24"/>
          <w:szCs w:val="24"/>
          <w:highlight w:val="none"/>
        </w:rPr>
        <w:t>投标文件应在投标截止日后90日历天内保持有效。</w:t>
      </w:r>
    </w:p>
    <w:p>
      <w:pPr>
        <w:numPr>
          <w:ilvl w:val="1"/>
          <w:numId w:val="2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中标人投标有效期则顺延至项目完成验收之日，在此有效期内未经采购人同意，投标文件的一切内容和补充承诺均为持续有效且不予改变。</w:t>
      </w:r>
      <w:bookmarkEnd w:id="116"/>
    </w:p>
    <w:p>
      <w:pPr>
        <w:numPr>
          <w:ilvl w:val="1"/>
          <w:numId w:val="21"/>
        </w:num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投标有效期从提交投标文件的截止之日起算</w:t>
      </w:r>
      <w:r>
        <w:rPr>
          <w:rFonts w:hint="eastAsia" w:ascii="仿宋" w:hAnsi="仿宋" w:eastAsia="仿宋" w:cs="仿宋"/>
          <w:color w:val="auto"/>
          <w:sz w:val="24"/>
          <w:szCs w:val="24"/>
          <w:highlight w:val="none"/>
        </w:rPr>
        <w:t>。投标文件中承诺的投标有效期应当不少于招标文件中载明的投标有效期。投标有效期不足的投标将被视为非实质性响应，视为无效投标。</w:t>
      </w:r>
    </w:p>
    <w:p>
      <w:pPr>
        <w:numPr>
          <w:ilvl w:val="1"/>
          <w:numId w:val="2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17" w:name="_Toc55778696"/>
      <w:r>
        <w:rPr>
          <w:rFonts w:hint="eastAsia" w:ascii="仿宋" w:hAnsi="仿宋" w:eastAsia="仿宋" w:cs="仿宋"/>
          <w:b/>
          <w:bCs/>
          <w:color w:val="auto"/>
          <w:kern w:val="44"/>
          <w:sz w:val="24"/>
          <w:szCs w:val="24"/>
          <w:highlight w:val="none"/>
        </w:rPr>
        <w:t xml:space="preserve">    </w:t>
      </w:r>
      <w:bookmarkStart w:id="118" w:name="_Toc11497"/>
      <w:bookmarkStart w:id="119" w:name="_Toc8626"/>
      <w:bookmarkStart w:id="120" w:name="_Toc32144"/>
      <w:bookmarkStart w:id="121" w:name="_Toc30820"/>
      <w:r>
        <w:rPr>
          <w:rFonts w:hint="eastAsia" w:ascii="仿宋" w:hAnsi="仿宋" w:eastAsia="仿宋" w:cs="仿宋"/>
          <w:b/>
          <w:bCs/>
          <w:color w:val="auto"/>
          <w:kern w:val="44"/>
          <w:sz w:val="24"/>
          <w:szCs w:val="24"/>
          <w:highlight w:val="none"/>
        </w:rPr>
        <w:t>投标文件的式样和签署、密封</w:t>
      </w:r>
      <w:bookmarkEnd w:id="117"/>
      <w:bookmarkEnd w:id="118"/>
      <w:bookmarkEnd w:id="119"/>
      <w:bookmarkEnd w:id="120"/>
      <w:bookmarkEnd w:id="121"/>
    </w:p>
    <w:p>
      <w:pPr>
        <w:numPr>
          <w:ilvl w:val="1"/>
          <w:numId w:val="22"/>
        </w:numPr>
        <w:spacing w:line="360" w:lineRule="auto"/>
        <w:rPr>
          <w:rFonts w:hint="eastAsia" w:ascii="仿宋" w:hAnsi="仿宋" w:eastAsia="仿宋" w:cs="仿宋"/>
          <w:sz w:val="24"/>
          <w:szCs w:val="24"/>
        </w:rPr>
      </w:pPr>
      <w:bookmarkStart w:id="122" w:name="_Toc22727"/>
      <w:r>
        <w:rPr>
          <w:rFonts w:hint="eastAsia" w:ascii="仿宋" w:hAnsi="仿宋" w:eastAsia="仿宋" w:cs="仿宋"/>
          <w:color w:val="000000"/>
          <w:sz w:val="24"/>
          <w:szCs w:val="24"/>
        </w:rPr>
        <w:t>投标人应根据投标人须知前附表规定提交投标文件</w:t>
      </w:r>
    </w:p>
    <w:p>
      <w:pPr>
        <w:numPr>
          <w:ilvl w:val="1"/>
          <w:numId w:val="22"/>
        </w:numPr>
        <w:spacing w:line="360" w:lineRule="auto"/>
        <w:rPr>
          <w:rFonts w:hint="eastAsia" w:ascii="仿宋" w:hAnsi="仿宋" w:eastAsia="仿宋" w:cs="仿宋"/>
          <w:sz w:val="24"/>
          <w:szCs w:val="24"/>
        </w:rPr>
      </w:pPr>
      <w:r>
        <w:rPr>
          <w:rFonts w:hint="eastAsia" w:ascii="仿宋" w:hAnsi="仿宋" w:eastAsia="仿宋" w:cs="仿宋"/>
          <w:sz w:val="24"/>
          <w:szCs w:val="24"/>
        </w:rPr>
        <w:t>投标人应根据投标人须知前附表规定提交投标文件。</w:t>
      </w:r>
      <w:r>
        <w:rPr>
          <w:rFonts w:hint="eastAsia" w:ascii="仿宋" w:hAnsi="仿宋" w:eastAsia="仿宋" w:cs="仿宋"/>
          <w:kern w:val="0"/>
          <w:sz w:val="24"/>
          <w:szCs w:val="24"/>
        </w:rPr>
        <w:t>为了保证电子标书的合法性、安全性和完整性，电子投标文件应在规定区域加盖单位和法定代表人CA印章。电子投标文件若无 CA电子签章，则视为无效文件。</w:t>
      </w:r>
    </w:p>
    <w:p>
      <w:pPr>
        <w:numPr>
          <w:ilvl w:val="1"/>
          <w:numId w:val="22"/>
        </w:numPr>
        <w:spacing w:line="360" w:lineRule="auto"/>
        <w:rPr>
          <w:rFonts w:hint="eastAsia" w:ascii="仿宋" w:hAnsi="仿宋" w:eastAsia="仿宋" w:cs="仿宋"/>
          <w:sz w:val="24"/>
          <w:szCs w:val="24"/>
        </w:rPr>
      </w:pPr>
      <w:r>
        <w:rPr>
          <w:rFonts w:hint="eastAsia" w:ascii="仿宋" w:hAnsi="仿宋" w:eastAsia="仿宋" w:cs="仿宋"/>
          <w:sz w:val="24"/>
          <w:szCs w:val="24"/>
        </w:rPr>
        <w:t>电子投标文件的内容通过数字证书进行加密并签章。未按要求加密和数字证书认证的投标文件，电子评标系统将无法接受,采购单位不予受理。</w:t>
      </w:r>
    </w:p>
    <w:p>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四、投标文件的递交</w:t>
      </w:r>
      <w:bookmarkEnd w:id="122"/>
    </w:p>
    <w:p>
      <w:pPr>
        <w:keepNext/>
        <w:keepLines/>
        <w:numPr>
          <w:ilvl w:val="0"/>
          <w:numId w:val="7"/>
        </w:numPr>
        <w:tabs>
          <w:tab w:val="left" w:pos="900"/>
        </w:tabs>
        <w:spacing w:line="360" w:lineRule="auto"/>
        <w:ind w:left="924" w:hanging="924"/>
        <w:outlineLvl w:val="0"/>
        <w:rPr>
          <w:rFonts w:hint="eastAsia" w:ascii="仿宋" w:hAnsi="仿宋" w:eastAsia="仿宋" w:cs="仿宋"/>
          <w:b/>
          <w:color w:val="auto"/>
          <w:kern w:val="44"/>
          <w:sz w:val="24"/>
          <w:szCs w:val="24"/>
          <w:highlight w:val="none"/>
        </w:rPr>
      </w:pPr>
      <w:bookmarkStart w:id="123" w:name="_Toc55778697"/>
      <w:r>
        <w:rPr>
          <w:rFonts w:hint="eastAsia" w:ascii="仿宋" w:hAnsi="仿宋" w:eastAsia="仿宋" w:cs="仿宋"/>
          <w:b/>
          <w:color w:val="auto"/>
          <w:kern w:val="44"/>
          <w:sz w:val="24"/>
          <w:szCs w:val="24"/>
          <w:highlight w:val="none"/>
        </w:rPr>
        <w:t xml:space="preserve">    </w:t>
      </w:r>
      <w:bookmarkStart w:id="124" w:name="_Toc24917"/>
      <w:bookmarkStart w:id="125" w:name="_Toc2542"/>
      <w:bookmarkStart w:id="126" w:name="_Toc5633"/>
      <w:bookmarkStart w:id="127" w:name="_Toc8124"/>
      <w:r>
        <w:rPr>
          <w:rFonts w:hint="eastAsia" w:ascii="仿宋" w:hAnsi="仿宋" w:eastAsia="仿宋" w:cs="仿宋"/>
          <w:b/>
          <w:color w:val="auto"/>
          <w:kern w:val="44"/>
          <w:sz w:val="24"/>
          <w:szCs w:val="24"/>
          <w:highlight w:val="none"/>
        </w:rPr>
        <w:t>投标文件递交</w:t>
      </w:r>
      <w:bookmarkEnd w:id="123"/>
      <w:bookmarkEnd w:id="124"/>
      <w:bookmarkEnd w:id="125"/>
      <w:bookmarkEnd w:id="126"/>
      <w:bookmarkEnd w:id="127"/>
    </w:p>
    <w:p>
      <w:pPr>
        <w:numPr>
          <w:ilvl w:val="1"/>
          <w:numId w:val="23"/>
        </w:numPr>
        <w:spacing w:line="360" w:lineRule="auto"/>
        <w:rPr>
          <w:rFonts w:hint="eastAsia" w:ascii="仿宋" w:hAnsi="仿宋" w:eastAsia="仿宋" w:cs="仿宋"/>
          <w:color w:val="auto"/>
          <w:sz w:val="24"/>
          <w:szCs w:val="24"/>
          <w:highlight w:val="none"/>
        </w:rPr>
      </w:pPr>
      <w:bookmarkStart w:id="128" w:name="_Toc55778698"/>
      <w:bookmarkStart w:id="129" w:name="_Toc20929"/>
      <w:r>
        <w:rPr>
          <w:rFonts w:hint="eastAsia" w:ascii="仿宋" w:hAnsi="仿宋" w:eastAsia="仿宋" w:cs="仿宋"/>
          <w:color w:val="auto"/>
          <w:sz w:val="24"/>
          <w:szCs w:val="24"/>
          <w:highlight w:val="none"/>
        </w:rPr>
        <w:t>本项目采用不见面开标、投标人需要递交电子</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文件，加密的电子</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文件，在投标截止时间前通过政采云平台上传到指定位置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无需递交纸质文件。</w:t>
      </w:r>
    </w:p>
    <w:p>
      <w:pPr>
        <w:keepNext/>
        <w:keepLines/>
        <w:numPr>
          <w:ilvl w:val="0"/>
          <w:numId w:val="7"/>
        </w:numPr>
        <w:tabs>
          <w:tab w:val="left" w:pos="900"/>
        </w:tabs>
        <w:spacing w:line="360" w:lineRule="auto"/>
        <w:ind w:left="924" w:hanging="924"/>
        <w:outlineLvl w:val="0"/>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rPr>
        <w:t xml:space="preserve">    </w:t>
      </w:r>
      <w:bookmarkStart w:id="130" w:name="_Toc12495"/>
      <w:bookmarkStart w:id="131" w:name="_Toc20702"/>
      <w:bookmarkStart w:id="132" w:name="_Toc4909"/>
      <w:bookmarkStart w:id="133" w:name="_Toc28446"/>
      <w:r>
        <w:rPr>
          <w:rFonts w:hint="eastAsia" w:ascii="仿宋" w:hAnsi="仿宋" w:eastAsia="仿宋" w:cs="仿宋"/>
          <w:b/>
          <w:color w:val="auto"/>
          <w:kern w:val="44"/>
          <w:sz w:val="24"/>
          <w:szCs w:val="24"/>
          <w:highlight w:val="none"/>
        </w:rPr>
        <w:t>投标截止时间</w:t>
      </w:r>
      <w:bookmarkEnd w:id="128"/>
      <w:bookmarkEnd w:id="130"/>
      <w:bookmarkEnd w:id="131"/>
      <w:bookmarkEnd w:id="132"/>
      <w:bookmarkEnd w:id="133"/>
    </w:p>
    <w:p>
      <w:pPr>
        <w:keepNext/>
        <w:keepLines/>
        <w:numPr>
          <w:ilvl w:val="0"/>
          <w:numId w:val="24"/>
        </w:numPr>
        <w:tabs>
          <w:tab w:val="left" w:pos="900"/>
          <w:tab w:val="clear" w:pos="907"/>
        </w:tabs>
        <w:spacing w:line="360" w:lineRule="auto"/>
        <w:outlineLvl w:val="0"/>
        <w:rPr>
          <w:rFonts w:hint="eastAsia" w:ascii="仿宋" w:hAnsi="仿宋" w:eastAsia="仿宋" w:cs="仿宋"/>
          <w:color w:val="auto"/>
          <w:kern w:val="44"/>
          <w:sz w:val="24"/>
          <w:szCs w:val="24"/>
          <w:highlight w:val="none"/>
        </w:rPr>
      </w:pPr>
      <w:bookmarkStart w:id="134" w:name="_Toc55778699"/>
      <w:bookmarkStart w:id="135" w:name="_Toc18539"/>
      <w:bookmarkStart w:id="136" w:name="_Toc10314"/>
      <w:bookmarkStart w:id="137" w:name="_Toc30090"/>
      <w:bookmarkStart w:id="138" w:name="_Toc5154"/>
      <w:r>
        <w:rPr>
          <w:rFonts w:hint="eastAsia" w:ascii="仿宋" w:hAnsi="仿宋" w:eastAsia="仿宋" w:cs="仿宋"/>
          <w:color w:val="auto"/>
          <w:kern w:val="44"/>
          <w:sz w:val="24"/>
          <w:szCs w:val="24"/>
          <w:highlight w:val="none"/>
        </w:rPr>
        <w:t>本次招标的投标截止时间见第二章《投标须知前附表》的规定。</w:t>
      </w:r>
      <w:bookmarkEnd w:id="134"/>
      <w:bookmarkEnd w:id="135"/>
      <w:bookmarkEnd w:id="136"/>
      <w:bookmarkEnd w:id="137"/>
      <w:bookmarkEnd w:id="138"/>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39" w:name="_Toc55778700"/>
      <w:r>
        <w:rPr>
          <w:rFonts w:hint="eastAsia" w:ascii="仿宋" w:hAnsi="仿宋" w:eastAsia="仿宋" w:cs="仿宋"/>
          <w:b/>
          <w:color w:val="auto"/>
          <w:kern w:val="44"/>
          <w:sz w:val="24"/>
          <w:szCs w:val="24"/>
          <w:highlight w:val="none"/>
        </w:rPr>
        <w:t xml:space="preserve">    </w:t>
      </w:r>
      <w:bookmarkStart w:id="140" w:name="_Toc1876"/>
      <w:bookmarkStart w:id="141" w:name="_Toc28929"/>
      <w:bookmarkStart w:id="142" w:name="_Toc9155"/>
      <w:bookmarkStart w:id="143" w:name="_Toc2461"/>
      <w:r>
        <w:rPr>
          <w:rFonts w:hint="eastAsia" w:ascii="仿宋" w:hAnsi="仿宋" w:eastAsia="仿宋" w:cs="仿宋"/>
          <w:b/>
          <w:color w:val="auto"/>
          <w:kern w:val="44"/>
          <w:sz w:val="24"/>
          <w:szCs w:val="24"/>
          <w:highlight w:val="none"/>
        </w:rPr>
        <w:t>迟交的投标文件</w:t>
      </w:r>
      <w:bookmarkEnd w:id="139"/>
      <w:bookmarkEnd w:id="140"/>
      <w:bookmarkEnd w:id="141"/>
      <w:bookmarkEnd w:id="142"/>
      <w:bookmarkEnd w:id="143"/>
    </w:p>
    <w:p>
      <w:pPr>
        <w:keepNext/>
        <w:keepLines/>
        <w:numPr>
          <w:ilvl w:val="0"/>
          <w:numId w:val="25"/>
        </w:numPr>
        <w:tabs>
          <w:tab w:val="left" w:pos="900"/>
          <w:tab w:val="clear" w:pos="907"/>
        </w:tabs>
        <w:spacing w:line="360" w:lineRule="auto"/>
        <w:outlineLvl w:val="0"/>
        <w:rPr>
          <w:rFonts w:hint="eastAsia" w:ascii="仿宋" w:hAnsi="仿宋" w:eastAsia="仿宋" w:cs="仿宋"/>
          <w:color w:val="auto"/>
          <w:kern w:val="44"/>
          <w:sz w:val="24"/>
          <w:szCs w:val="24"/>
          <w:highlight w:val="none"/>
        </w:rPr>
      </w:pPr>
      <w:bookmarkStart w:id="144" w:name="_Toc24301"/>
      <w:bookmarkStart w:id="145" w:name="_Toc55778701"/>
      <w:bookmarkStart w:id="146" w:name="_Toc13418"/>
      <w:bookmarkStart w:id="147" w:name="_Toc94"/>
      <w:bookmarkStart w:id="148" w:name="_Toc7900"/>
      <w:r>
        <w:rPr>
          <w:rFonts w:hint="eastAsia" w:ascii="仿宋" w:hAnsi="仿宋" w:eastAsia="仿宋" w:cs="仿宋"/>
          <w:color w:val="auto"/>
          <w:kern w:val="44"/>
          <w:sz w:val="24"/>
          <w:szCs w:val="24"/>
          <w:highlight w:val="none"/>
        </w:rPr>
        <w:t>采购代理机构将拒绝并原封退回在其规定的投标截止时刻后收到的任何投标文件（包括相关的原件资料）。</w:t>
      </w:r>
      <w:bookmarkEnd w:id="144"/>
      <w:bookmarkEnd w:id="145"/>
      <w:bookmarkEnd w:id="146"/>
      <w:bookmarkEnd w:id="147"/>
      <w:bookmarkEnd w:id="148"/>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49" w:name="_Toc55778702"/>
      <w:r>
        <w:rPr>
          <w:rFonts w:hint="eastAsia" w:ascii="仿宋" w:hAnsi="仿宋" w:eastAsia="仿宋" w:cs="仿宋"/>
          <w:b/>
          <w:bCs/>
          <w:color w:val="auto"/>
          <w:kern w:val="44"/>
          <w:sz w:val="24"/>
          <w:szCs w:val="24"/>
          <w:highlight w:val="none"/>
        </w:rPr>
        <w:t xml:space="preserve">    </w:t>
      </w:r>
      <w:bookmarkStart w:id="150" w:name="_Toc19255"/>
      <w:bookmarkStart w:id="151" w:name="_Toc21101"/>
      <w:bookmarkStart w:id="152" w:name="_Toc27265"/>
      <w:bookmarkStart w:id="153" w:name="_Toc10185"/>
      <w:r>
        <w:rPr>
          <w:rFonts w:hint="eastAsia" w:ascii="仿宋" w:hAnsi="仿宋" w:eastAsia="仿宋" w:cs="仿宋"/>
          <w:b/>
          <w:bCs/>
          <w:color w:val="auto"/>
          <w:kern w:val="44"/>
          <w:sz w:val="24"/>
          <w:szCs w:val="24"/>
          <w:highlight w:val="none"/>
        </w:rPr>
        <w:t>投</w:t>
      </w:r>
      <w:bookmarkEnd w:id="129"/>
      <w:r>
        <w:rPr>
          <w:rFonts w:hint="eastAsia" w:ascii="仿宋" w:hAnsi="仿宋" w:eastAsia="仿宋" w:cs="仿宋"/>
          <w:b/>
          <w:bCs/>
          <w:color w:val="auto"/>
          <w:kern w:val="44"/>
          <w:sz w:val="24"/>
          <w:szCs w:val="24"/>
          <w:highlight w:val="none"/>
        </w:rPr>
        <w:t>标文件的修改和撤回、撤销</w:t>
      </w:r>
      <w:bookmarkEnd w:id="149"/>
      <w:bookmarkEnd w:id="150"/>
      <w:bookmarkEnd w:id="151"/>
      <w:bookmarkEnd w:id="152"/>
      <w:bookmarkEnd w:id="153"/>
    </w:p>
    <w:p>
      <w:pPr>
        <w:numPr>
          <w:ilvl w:val="1"/>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除非招标文件另有规定或说明，投标人所提交的投标文件在评标结束后，无论中标与否都不退还。</w:t>
      </w:r>
    </w:p>
    <w:p>
      <w:pPr>
        <w:numPr>
          <w:ilvl w:val="1"/>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投标截止后，投标人不得撤销其投标，否则其投标保证金将按照本须知规定被没收。</w:t>
      </w:r>
    </w:p>
    <w:p>
      <w:pPr>
        <w:keepNext/>
        <w:keepLines/>
        <w:spacing w:line="360" w:lineRule="auto"/>
        <w:jc w:val="center"/>
        <w:outlineLvl w:val="1"/>
        <w:rPr>
          <w:rFonts w:hint="eastAsia" w:ascii="仿宋" w:hAnsi="仿宋" w:eastAsia="仿宋" w:cs="仿宋"/>
          <w:b/>
          <w:bCs/>
          <w:color w:val="auto"/>
          <w:sz w:val="24"/>
          <w:szCs w:val="24"/>
          <w:highlight w:val="none"/>
        </w:rPr>
      </w:pPr>
      <w:bookmarkStart w:id="154" w:name="_Toc30087"/>
      <w:bookmarkStart w:id="155" w:name="_Toc55778703"/>
      <w:bookmarkStart w:id="156" w:name="_Toc14523"/>
      <w:r>
        <w:rPr>
          <w:rFonts w:hint="eastAsia" w:ascii="仿宋" w:hAnsi="仿宋" w:eastAsia="仿宋" w:cs="仿宋"/>
          <w:b/>
          <w:bCs/>
          <w:color w:val="auto"/>
          <w:sz w:val="24"/>
          <w:szCs w:val="24"/>
          <w:highlight w:val="none"/>
        </w:rPr>
        <w:t>五、开标与评标</w:t>
      </w:r>
      <w:bookmarkEnd w:id="154"/>
      <w:bookmarkEnd w:id="155"/>
      <w:bookmarkEnd w:id="156"/>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57" w:name="_Toc55778704"/>
      <w:bookmarkStart w:id="158" w:name="_Toc21732"/>
      <w:r>
        <w:rPr>
          <w:rFonts w:hint="eastAsia" w:ascii="仿宋" w:hAnsi="仿宋" w:eastAsia="仿宋" w:cs="仿宋"/>
          <w:b/>
          <w:bCs/>
          <w:color w:val="auto"/>
          <w:kern w:val="44"/>
          <w:sz w:val="24"/>
          <w:szCs w:val="24"/>
          <w:highlight w:val="none"/>
        </w:rPr>
        <w:t xml:space="preserve">    </w:t>
      </w:r>
      <w:bookmarkStart w:id="159" w:name="_Toc26238"/>
      <w:bookmarkStart w:id="160" w:name="_Toc4602"/>
      <w:bookmarkStart w:id="161" w:name="_Toc930"/>
      <w:bookmarkStart w:id="162" w:name="_Toc19246"/>
      <w:r>
        <w:rPr>
          <w:rFonts w:hint="eastAsia" w:ascii="仿宋" w:hAnsi="仿宋" w:eastAsia="仿宋" w:cs="仿宋"/>
          <w:b/>
          <w:bCs/>
          <w:color w:val="auto"/>
          <w:kern w:val="44"/>
          <w:sz w:val="24"/>
          <w:szCs w:val="24"/>
          <w:highlight w:val="none"/>
        </w:rPr>
        <w:t>开标</w:t>
      </w:r>
      <w:bookmarkEnd w:id="157"/>
      <w:bookmarkEnd w:id="158"/>
      <w:bookmarkEnd w:id="159"/>
      <w:bookmarkEnd w:id="160"/>
      <w:bookmarkEnd w:id="161"/>
      <w:bookmarkEnd w:id="162"/>
    </w:p>
    <w:p>
      <w:pPr>
        <w:numPr>
          <w:ilvl w:val="0"/>
          <w:numId w:val="27"/>
        </w:numPr>
        <w:spacing w:line="360" w:lineRule="auto"/>
        <w:rPr>
          <w:rFonts w:hint="eastAsia" w:ascii="仿宋" w:hAnsi="仿宋" w:eastAsia="仿宋" w:cs="仿宋"/>
          <w:vanish/>
          <w:color w:val="auto"/>
          <w:sz w:val="24"/>
          <w:szCs w:val="24"/>
          <w:highlight w:val="none"/>
        </w:rPr>
      </w:pPr>
    </w:p>
    <w:p>
      <w:pPr>
        <w:numPr>
          <w:ilvl w:val="1"/>
          <w:numId w:val="27"/>
        </w:numPr>
        <w:spacing w:line="360" w:lineRule="auto"/>
        <w:rPr>
          <w:rFonts w:hint="eastAsia" w:ascii="仿宋" w:hAnsi="仿宋" w:eastAsia="仿宋" w:cs="仿宋"/>
          <w:color w:val="auto"/>
          <w:sz w:val="24"/>
          <w:szCs w:val="24"/>
          <w:highlight w:val="none"/>
        </w:rPr>
      </w:pPr>
      <w:bookmarkStart w:id="163" w:name="_Toc55778705"/>
      <w:bookmarkStart w:id="164" w:name="_Toc17344"/>
      <w:r>
        <w:rPr>
          <w:rFonts w:hint="eastAsia" w:ascii="仿宋" w:hAnsi="仿宋" w:eastAsia="仿宋" w:cs="仿宋"/>
          <w:color w:val="auto"/>
          <w:sz w:val="24"/>
          <w:szCs w:val="24"/>
          <w:highlight w:val="none"/>
        </w:rPr>
        <w:t>采购人或采购代理机构在投标人须知前附表规定的开标时间和开标地点组织公开开标，邀请投标人参加。评标委员会成员不得参加开标活动。投标人不足3家的，不得开标。</w:t>
      </w:r>
    </w:p>
    <w:p>
      <w:pPr>
        <w:numPr>
          <w:ilvl w:val="1"/>
          <w:numId w:val="27"/>
        </w:numPr>
        <w:spacing w:line="360" w:lineRule="auto"/>
        <w:rPr>
          <w:rFonts w:hint="eastAsia" w:ascii="仿宋" w:hAnsi="仿宋" w:eastAsia="仿宋" w:cs="仿宋"/>
          <w:color w:val="auto"/>
          <w:sz w:val="24"/>
          <w:szCs w:val="24"/>
          <w:highlight w:val="none"/>
        </w:rPr>
      </w:pPr>
      <w:r>
        <w:rPr>
          <w:rFonts w:hint="eastAsia" w:ascii="仿宋" w:hAnsi="仿宋" w:eastAsia="仿宋" w:cs="仿宋"/>
          <w:b w:val="0"/>
          <w:bCs/>
          <w:i w:val="0"/>
          <w:caps w:val="0"/>
          <w:color w:val="000000"/>
          <w:spacing w:val="0"/>
          <w:kern w:val="0"/>
          <w:sz w:val="24"/>
          <w:szCs w:val="24"/>
          <w:lang w:val="en-US" w:eastAsia="zh-CN" w:bidi="ar"/>
        </w:rPr>
        <w:t>投标文件以电子形式递交至: 新疆政采云平台；投标人应于投标截止时间</w:t>
      </w:r>
      <w:r>
        <w:rPr>
          <w:rFonts w:hint="eastAsia" w:ascii="仿宋" w:hAnsi="仿宋" w:eastAsia="仿宋" w:cs="仿宋"/>
          <w:b w:val="0"/>
          <w:bCs/>
          <w:i w:val="0"/>
          <w:caps w:val="0"/>
          <w:color w:val="auto"/>
          <w:spacing w:val="0"/>
          <w:kern w:val="0"/>
          <w:sz w:val="24"/>
          <w:szCs w:val="24"/>
          <w:lang w:val="en-US" w:eastAsia="zh-CN" w:bidi="ar"/>
        </w:rPr>
        <w:t>之</w:t>
      </w:r>
      <w:r>
        <w:rPr>
          <w:rFonts w:hint="eastAsia" w:ascii="仿宋" w:hAnsi="仿宋" w:eastAsia="仿宋" w:cs="仿宋"/>
          <w:b w:val="0"/>
          <w:bCs/>
          <w:i w:val="0"/>
          <w:caps w:val="0"/>
          <w:color w:val="000000"/>
          <w:spacing w:val="0"/>
          <w:kern w:val="0"/>
          <w:sz w:val="24"/>
          <w:szCs w:val="24"/>
          <w:lang w:val="en-US" w:eastAsia="zh-CN" w:bidi="ar"/>
        </w:rPr>
        <w:t>前将电子投标文件上传到“政采云”平台。开标时间后30分钟内供应商登录“政采云”平台，用“项目采购-开标评标”功能进行解密投标文件。若供应商在规定时间内未按时解密的，视为无效投标。(解密时间开始时政采云平台将以短信形式向供应商在政采云平台预留的手机号发送短信通知，请供应商及时关注。)</w:t>
      </w:r>
    </w:p>
    <w:p>
      <w:pPr>
        <w:numPr>
          <w:ilvl w:val="1"/>
          <w:numId w:val="2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解密成功后</w:t>
      </w:r>
      <w:r>
        <w:rPr>
          <w:rFonts w:hint="eastAsia" w:ascii="仿宋" w:hAnsi="仿宋" w:eastAsia="仿宋" w:cs="仿宋"/>
          <w:color w:val="auto"/>
          <w:sz w:val="24"/>
          <w:szCs w:val="24"/>
          <w:highlight w:val="none"/>
        </w:rPr>
        <w:t>由采购人或者采购代理机构工作人员</w:t>
      </w:r>
      <w:r>
        <w:rPr>
          <w:rFonts w:hint="eastAsia" w:ascii="仿宋" w:hAnsi="仿宋" w:eastAsia="仿宋" w:cs="仿宋"/>
          <w:color w:val="auto"/>
          <w:sz w:val="24"/>
          <w:szCs w:val="24"/>
          <w:highlight w:val="none"/>
          <w:lang w:val="en-US" w:eastAsia="zh-CN"/>
        </w:rPr>
        <w:t>唱电子标</w:t>
      </w:r>
      <w:r>
        <w:rPr>
          <w:rFonts w:hint="eastAsia" w:ascii="仿宋" w:hAnsi="仿宋" w:eastAsia="仿宋" w:cs="仿宋"/>
          <w:color w:val="auto"/>
          <w:sz w:val="24"/>
          <w:szCs w:val="24"/>
          <w:highlight w:val="none"/>
        </w:rPr>
        <w:t>，宣布投标人名称、投标价格和招标文件规定的需要宣布的其他内容。</w:t>
      </w:r>
    </w:p>
    <w:p>
      <w:pPr>
        <w:numPr>
          <w:ilvl w:val="1"/>
          <w:numId w:val="2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开标过程应当由采购人或者采购代理机构负责记录，由参加开标的各投标人代表和相关工作人员签字确认。</w:t>
      </w:r>
    </w:p>
    <w:p>
      <w:pPr>
        <w:numPr>
          <w:ilvl w:val="1"/>
          <w:numId w:val="27"/>
        </w:numPr>
        <w:spacing w:line="360" w:lineRule="auto"/>
        <w:rPr>
          <w:rFonts w:hint="eastAsia" w:ascii="仿宋" w:hAnsi="仿宋" w:eastAsia="仿宋" w:cs="仿宋"/>
          <w:b/>
          <w:bCs/>
          <w:color w:val="auto"/>
          <w:kern w:val="44"/>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27"/>
        </w:numPr>
        <w:spacing w:line="360" w:lineRule="auto"/>
        <w:rPr>
          <w:rFonts w:hint="eastAsia" w:ascii="仿宋" w:hAnsi="仿宋" w:eastAsia="仿宋" w:cs="仿宋"/>
          <w:b/>
          <w:bCs/>
          <w:color w:val="auto"/>
          <w:kern w:val="44"/>
          <w:sz w:val="24"/>
          <w:szCs w:val="24"/>
          <w:highlight w:val="none"/>
        </w:rPr>
      </w:pPr>
      <w:r>
        <w:rPr>
          <w:rFonts w:hint="eastAsia" w:ascii="仿宋" w:hAnsi="仿宋" w:eastAsia="仿宋" w:cs="仿宋"/>
          <w:color w:val="auto"/>
          <w:sz w:val="24"/>
          <w:szCs w:val="24"/>
          <w:highlight w:val="none"/>
        </w:rPr>
        <w:t>投标人未参加开标的，视同认可开标结果。</w:t>
      </w:r>
      <w:r>
        <w:rPr>
          <w:rFonts w:hint="eastAsia" w:ascii="仿宋" w:hAnsi="仿宋" w:eastAsia="仿宋" w:cs="仿宋"/>
          <w:b/>
          <w:color w:val="auto"/>
          <w:kern w:val="44"/>
          <w:sz w:val="24"/>
          <w:szCs w:val="24"/>
          <w:highlight w:val="none"/>
        </w:rPr>
        <w:t xml:space="preserve">    </w:t>
      </w:r>
      <w:bookmarkStart w:id="165" w:name="_Toc11631"/>
      <w:bookmarkStart w:id="166" w:name="_Toc10826"/>
      <w:bookmarkStart w:id="167" w:name="_Toc24182"/>
      <w:bookmarkStart w:id="168" w:name="_Toc1994"/>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r>
        <w:rPr>
          <w:rFonts w:hint="eastAsia" w:ascii="仿宋" w:hAnsi="仿宋" w:eastAsia="仿宋" w:cs="仿宋"/>
          <w:b/>
          <w:color w:val="auto"/>
          <w:kern w:val="44"/>
          <w:sz w:val="24"/>
          <w:szCs w:val="24"/>
          <w:highlight w:val="none"/>
        </w:rPr>
        <w:t>公开招标失败后的处理</w:t>
      </w:r>
      <w:bookmarkEnd w:id="163"/>
      <w:bookmarkEnd w:id="165"/>
      <w:bookmarkEnd w:id="166"/>
      <w:bookmarkEnd w:id="167"/>
      <w:bookmarkEnd w:id="168"/>
    </w:p>
    <w:p>
      <w:pPr>
        <w:numPr>
          <w:ilvl w:val="1"/>
          <w:numId w:val="2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如果开标当天，投标截止后投标人不足3家或者通过资格审查或符合性审查的投标人不足3家的，除特殊情况外，本项目作废标处理。废标后，除采购任务取消情形外，按照以下方式处理：</w:t>
      </w:r>
    </w:p>
    <w:p>
      <w:pPr>
        <w:numPr>
          <w:ilvl w:val="0"/>
          <w:numId w:val="2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招标文件存在不合理条款或者招标程序不符合规定的，采购人、采购代理机构改正后依法重新招标。</w:t>
      </w:r>
    </w:p>
    <w:p>
      <w:pPr>
        <w:numPr>
          <w:ilvl w:val="0"/>
          <w:numId w:val="2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招标文件没有不合理条款、招标程序符合规定，采购人需要采用其他采购方式采购的，经财政部门同意后可依法转换采购方式进行。</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69" w:name="_Toc55778706"/>
      <w:r>
        <w:rPr>
          <w:rFonts w:hint="eastAsia" w:ascii="仿宋" w:hAnsi="仿宋" w:eastAsia="仿宋" w:cs="仿宋"/>
          <w:b/>
          <w:bCs/>
          <w:color w:val="auto"/>
          <w:kern w:val="44"/>
          <w:sz w:val="24"/>
          <w:szCs w:val="24"/>
          <w:highlight w:val="none"/>
        </w:rPr>
        <w:t xml:space="preserve">    </w:t>
      </w:r>
      <w:bookmarkStart w:id="170" w:name="_Toc22191"/>
      <w:r>
        <w:rPr>
          <w:rFonts w:hint="eastAsia" w:ascii="仿宋" w:hAnsi="仿宋" w:eastAsia="仿宋" w:cs="仿宋"/>
          <w:b/>
          <w:bCs/>
          <w:color w:val="auto"/>
          <w:kern w:val="44"/>
          <w:sz w:val="24"/>
          <w:szCs w:val="24"/>
          <w:highlight w:val="none"/>
        </w:rPr>
        <w:t>评标小组</w:t>
      </w:r>
      <w:bookmarkEnd w:id="164"/>
      <w:bookmarkEnd w:id="169"/>
      <w:bookmarkEnd w:id="170"/>
    </w:p>
    <w:p>
      <w:pPr>
        <w:numPr>
          <w:ilvl w:val="1"/>
          <w:numId w:val="30"/>
        </w:numPr>
        <w:spacing w:line="360" w:lineRule="auto"/>
        <w:rPr>
          <w:rFonts w:hint="eastAsia" w:ascii="仿宋" w:hAnsi="仿宋" w:eastAsia="仿宋" w:cs="仿宋"/>
          <w:color w:val="auto"/>
          <w:sz w:val="24"/>
          <w:szCs w:val="24"/>
          <w:highlight w:val="none"/>
        </w:rPr>
      </w:pPr>
      <w:bookmarkStart w:id="171" w:name="_Ref179621079"/>
      <w:r>
        <w:rPr>
          <w:rFonts w:hint="eastAsia" w:ascii="仿宋" w:hAnsi="仿宋" w:eastAsia="仿宋" w:cs="仿宋"/>
          <w:color w:val="auto"/>
          <w:sz w:val="24"/>
          <w:szCs w:val="24"/>
          <w:highlight w:val="none"/>
        </w:rPr>
        <w:t>本次招标依《中华人民共和国政府采购法》、实施条例及有关法律法规组建评标小组，评标小组由采购人代表和有关技术、经济等方面的专家组成，采购人代表人数、专家人数及专业构成按政府采购规定确定。评标小组成员依法从</w:t>
      </w:r>
      <w:r>
        <w:rPr>
          <w:rFonts w:hint="eastAsia" w:ascii="仿宋" w:hAnsi="仿宋" w:eastAsia="仿宋" w:cs="仿宋"/>
          <w:b/>
          <w:bCs/>
          <w:color w:val="auto"/>
          <w:sz w:val="24"/>
          <w:szCs w:val="24"/>
          <w:highlight w:val="none"/>
          <w:u w:val="single"/>
          <w:lang w:eastAsia="zh-CN"/>
        </w:rPr>
        <w:t>新疆政采云平台</w:t>
      </w:r>
      <w:r>
        <w:rPr>
          <w:rFonts w:hint="eastAsia" w:ascii="仿宋" w:hAnsi="仿宋" w:eastAsia="仿宋" w:cs="仿宋"/>
          <w:color w:val="auto"/>
          <w:sz w:val="24"/>
          <w:szCs w:val="24"/>
          <w:highlight w:val="none"/>
        </w:rPr>
        <w:t>评审专家库中随机抽取产生。对技术复杂、专业性强的采购项目，通过随机方式难以确定合适评审专家的，经主管预算单位同意，采购人可以自行选定相应专业领域的评审专家。</w:t>
      </w:r>
    </w:p>
    <w:p>
      <w:pPr>
        <w:numPr>
          <w:ilvl w:val="1"/>
          <w:numId w:val="3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评标小组应当按照招标文件中规定的评标方法和标准，对符合性审查合格的投标文件进行商务和技术评估，综合比较与评价，提交评标报告并推荐中标候选人。</w:t>
      </w:r>
    </w:p>
    <w:p>
      <w:pPr>
        <w:numPr>
          <w:ilvl w:val="1"/>
          <w:numId w:val="3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中因评标小组成员缺席、回避或者健康等特殊原因导致评标小组组成不符合法律法规规定的，采购人或者采购代理机构将依法补足后继续评标。被更换的评标小组成员所作出的评标意见无效。无法及时补足评标小组成员的，采购人或者采购代理机构将停止评标活动，封存所有投标文件和开标、评标资料，依法重新组建评标小组进行评标。原评标小组所作出的评标意见无效。采购人或者采购代理机构会将变更、重新组建评标小组的情况予以记录，并随</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一并存档。</w:t>
      </w:r>
    </w:p>
    <w:p>
      <w:pPr>
        <w:numPr>
          <w:ilvl w:val="1"/>
          <w:numId w:val="3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评标小组成员名单在评标结果公告前严格保密。评审专家有下列情形之一的，受到邀请应主动提出回避，采购当事人也可以要求该评审专家回避：</w:t>
      </w:r>
    </w:p>
    <w:p>
      <w:pPr>
        <w:numPr>
          <w:ilvl w:val="0"/>
          <w:numId w:val="3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存在劳动关系；</w:t>
      </w:r>
    </w:p>
    <w:p>
      <w:pPr>
        <w:numPr>
          <w:ilvl w:val="0"/>
          <w:numId w:val="3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参加采购活动前3年内担任</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的董事、监事；</w:t>
      </w:r>
    </w:p>
    <w:p>
      <w:pPr>
        <w:numPr>
          <w:ilvl w:val="0"/>
          <w:numId w:val="3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的控股股东或者实际控制人；</w:t>
      </w:r>
    </w:p>
    <w:p>
      <w:pPr>
        <w:numPr>
          <w:ilvl w:val="0"/>
          <w:numId w:val="3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的法定代表人或者负责人有夫妻、直系血亲、三代以内旁系血          </w:t>
      </w:r>
    </w:p>
    <w:p>
      <w:pPr>
        <w:spacing w:line="360" w:lineRule="auto"/>
        <w:ind w:left="42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亲或者近姻亲关系；</w:t>
      </w:r>
    </w:p>
    <w:p>
      <w:pPr>
        <w:numPr>
          <w:ilvl w:val="0"/>
          <w:numId w:val="3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有其他可能影响政府采购活动公平、公正进行的关系。</w:t>
      </w:r>
    </w:p>
    <w:p>
      <w:pPr>
        <w:numPr>
          <w:ilvl w:val="1"/>
          <w:numId w:val="3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评标小组将按综合评分法进行评审，即最大限度地满足招标文件实质性要求前提下，按照招标文件中规定的各项因素进行综合评审后，以评标总得分最高的投标人作为中标候选人。</w:t>
      </w:r>
      <w:bookmarkEnd w:id="171"/>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72" w:name="_Toc55778707"/>
      <w:r>
        <w:rPr>
          <w:rFonts w:hint="eastAsia" w:ascii="仿宋" w:hAnsi="仿宋" w:eastAsia="仿宋" w:cs="仿宋"/>
          <w:b/>
          <w:color w:val="auto"/>
          <w:kern w:val="44"/>
          <w:sz w:val="24"/>
          <w:szCs w:val="24"/>
          <w:highlight w:val="none"/>
        </w:rPr>
        <w:t xml:space="preserve">   </w:t>
      </w:r>
      <w:bookmarkStart w:id="173" w:name="_Toc14456"/>
      <w:bookmarkStart w:id="174" w:name="_Toc30337"/>
      <w:bookmarkStart w:id="175" w:name="_Toc26294"/>
      <w:bookmarkStart w:id="176" w:name="_Toc28109"/>
      <w:r>
        <w:rPr>
          <w:rFonts w:hint="eastAsia" w:ascii="仿宋" w:hAnsi="仿宋" w:eastAsia="仿宋" w:cs="仿宋"/>
          <w:b/>
          <w:color w:val="auto"/>
          <w:kern w:val="44"/>
          <w:sz w:val="24"/>
          <w:szCs w:val="24"/>
          <w:highlight w:val="none"/>
        </w:rPr>
        <w:t>评标原则及评标方法</w:t>
      </w:r>
      <w:bookmarkEnd w:id="172"/>
      <w:bookmarkEnd w:id="173"/>
      <w:bookmarkEnd w:id="174"/>
      <w:bookmarkEnd w:id="175"/>
      <w:bookmarkEnd w:id="176"/>
    </w:p>
    <w:p>
      <w:pPr>
        <w:numPr>
          <w:ilvl w:val="1"/>
          <w:numId w:val="3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评标基本原则：评标工作应依据《中华人民共和国政府采购法》、实施条例以及国家和地方政府有关政府采购的有关法规，遵循“公开、公平、公正、择优、信用”的原则进行。</w:t>
      </w:r>
    </w:p>
    <w:p>
      <w:pPr>
        <w:numPr>
          <w:ilvl w:val="1"/>
          <w:numId w:val="3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本项目以投标人递交的</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投标文件作为评审依据。</w:t>
      </w:r>
    </w:p>
    <w:p>
      <w:pPr>
        <w:numPr>
          <w:ilvl w:val="1"/>
          <w:numId w:val="3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评标步骤及定标规定：第一阶段：先进行投标人资格性审查。第二阶段：进行投标人符合性审查。第三阶段：对通过资格性审查、符合性审查的投标人按照评标办法进行详细评审（包括：技术商务评审）。</w:t>
      </w:r>
    </w:p>
    <w:p>
      <w:pPr>
        <w:numPr>
          <w:ilvl w:val="1"/>
          <w:numId w:val="32"/>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评标办法：本次招标的评标方式为综合评分法，评审意见不一致时采用少数服从多数的评标方式，详细评审采用百分制综合评分法，分数按四舍五入原则计至小数点后两位</w:t>
      </w:r>
      <w:r>
        <w:rPr>
          <w:rFonts w:hint="eastAsia" w:ascii="仿宋" w:hAnsi="仿宋" w:eastAsia="仿宋" w:cs="仿宋"/>
          <w:color w:val="auto"/>
          <w:sz w:val="24"/>
          <w:szCs w:val="24"/>
          <w:highlight w:val="none"/>
        </w:rPr>
        <w:t>。</w:t>
      </w:r>
    </w:p>
    <w:p>
      <w:pPr>
        <w:numPr>
          <w:ilvl w:val="1"/>
          <w:numId w:val="32"/>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评标小组成员对需要共同认定的事项存在争议的，应当按照少数服从多数的原则作出结论。持不同意见的评标小组成员应当在评标报告上签署不同意见及理由，否则视为同意评标报告</w:t>
      </w:r>
      <w:r>
        <w:rPr>
          <w:rFonts w:hint="eastAsia" w:ascii="仿宋" w:hAnsi="仿宋" w:eastAsia="仿宋" w:cs="仿宋"/>
          <w:color w:val="auto"/>
          <w:sz w:val="24"/>
          <w:szCs w:val="24"/>
          <w:highlight w:val="none"/>
        </w:rPr>
        <w:t>。</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77" w:name="_Toc55778708"/>
      <w:r>
        <w:rPr>
          <w:rFonts w:hint="eastAsia" w:ascii="仿宋" w:hAnsi="仿宋" w:eastAsia="仿宋" w:cs="仿宋"/>
          <w:b/>
          <w:color w:val="auto"/>
          <w:kern w:val="44"/>
          <w:sz w:val="24"/>
          <w:szCs w:val="24"/>
          <w:highlight w:val="none"/>
        </w:rPr>
        <w:t xml:space="preserve">    </w:t>
      </w:r>
      <w:bookmarkStart w:id="178" w:name="_Toc24957"/>
      <w:bookmarkStart w:id="179" w:name="_Toc29632"/>
      <w:bookmarkStart w:id="180" w:name="_Toc3188"/>
      <w:bookmarkStart w:id="181" w:name="_Toc24483"/>
      <w:r>
        <w:rPr>
          <w:rFonts w:hint="eastAsia" w:ascii="仿宋" w:hAnsi="仿宋" w:eastAsia="仿宋" w:cs="仿宋"/>
          <w:b/>
          <w:color w:val="auto"/>
          <w:kern w:val="44"/>
          <w:sz w:val="24"/>
          <w:szCs w:val="24"/>
          <w:highlight w:val="none"/>
        </w:rPr>
        <w:t>初步评审</w:t>
      </w:r>
      <w:bookmarkEnd w:id="177"/>
      <w:bookmarkEnd w:id="178"/>
      <w:bookmarkEnd w:id="179"/>
      <w:bookmarkEnd w:id="180"/>
      <w:bookmarkEnd w:id="181"/>
    </w:p>
    <w:p>
      <w:pPr>
        <w:numPr>
          <w:ilvl w:val="1"/>
          <w:numId w:val="3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审查：开标结束后，采购人依法对投标人的资格进行审查，资格性审查内容详见附件1《初步评审审查表》。对初步被认定为资格性审查不合格的可实行告知投标当事人。未通过资格性审查的投标人，不进入符合性审查。若通过资格性审查的投标人不足3家的，不得进行下一阶段评标。</w:t>
      </w:r>
    </w:p>
    <w:p>
      <w:pPr>
        <w:numPr>
          <w:ilvl w:val="2"/>
          <w:numId w:val="3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投标人存在下列情况之一的，投标无效：</w:t>
      </w: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不具备招标文件中规定的投标人资格要求的</w:t>
      </w:r>
    </w:p>
    <w:p>
      <w:pPr>
        <w:numPr>
          <w:ilvl w:val="1"/>
          <w:numId w:val="3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详见附件1《初步评审审查表》，以确定其是否满足招标文件的实质性要求。评标小组对初步被认定为符合性审查不合格或无效投标者可实行告知投标当事人。未通过符合性审查的投标人，不进入技术、商务和价格评审。</w:t>
      </w:r>
    </w:p>
    <w:p>
      <w:pPr>
        <w:numPr>
          <w:ilvl w:val="1"/>
          <w:numId w:val="3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评标小组决定投标文件的响应程度</w:t>
      </w:r>
      <w:r>
        <w:rPr>
          <w:rFonts w:hint="eastAsia" w:ascii="仿宋" w:hAnsi="仿宋" w:eastAsia="仿宋" w:cs="仿宋"/>
          <w:color w:val="auto"/>
          <w:sz w:val="24"/>
          <w:szCs w:val="24"/>
          <w:highlight w:val="none"/>
          <w:lang w:val="en-US" w:eastAsia="zh-CN"/>
        </w:rPr>
        <w:t>指</w:t>
      </w:r>
      <w:r>
        <w:rPr>
          <w:rFonts w:hint="eastAsia" w:ascii="仿宋" w:hAnsi="仿宋" w:eastAsia="仿宋" w:cs="仿宋"/>
          <w:color w:val="auto"/>
          <w:sz w:val="24"/>
          <w:szCs w:val="24"/>
          <w:highlight w:val="none"/>
        </w:rPr>
        <w:t>依据投标文件本身的真实无误的内容，而不依据外部的证据。但投标文件有不真实、不正确内容的除外。</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82" w:name="_Toc55778709"/>
      <w:r>
        <w:rPr>
          <w:rFonts w:hint="eastAsia" w:ascii="仿宋" w:hAnsi="仿宋" w:eastAsia="仿宋" w:cs="仿宋"/>
          <w:b/>
          <w:bCs/>
          <w:color w:val="auto"/>
          <w:kern w:val="44"/>
          <w:sz w:val="24"/>
          <w:szCs w:val="24"/>
          <w:highlight w:val="none"/>
        </w:rPr>
        <w:t xml:space="preserve">    </w:t>
      </w:r>
      <w:bookmarkStart w:id="183" w:name="_Toc24582"/>
      <w:bookmarkStart w:id="184" w:name="_Toc21733"/>
      <w:bookmarkStart w:id="185" w:name="_Toc23646"/>
      <w:bookmarkStart w:id="186" w:name="_Toc27075"/>
      <w:r>
        <w:rPr>
          <w:rFonts w:hint="eastAsia" w:ascii="仿宋" w:hAnsi="仿宋" w:eastAsia="仿宋" w:cs="仿宋"/>
          <w:b/>
          <w:bCs/>
          <w:color w:val="auto"/>
          <w:kern w:val="44"/>
          <w:sz w:val="24"/>
          <w:szCs w:val="24"/>
          <w:highlight w:val="none"/>
        </w:rPr>
        <w:t>详细评审</w:t>
      </w:r>
      <w:bookmarkEnd w:id="182"/>
      <w:bookmarkEnd w:id="183"/>
      <w:bookmarkEnd w:id="184"/>
      <w:bookmarkEnd w:id="185"/>
      <w:bookmarkEnd w:id="186"/>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评标严格按照招标文件的要求和条件进行，详细评标标准见附件2《评分细则》。</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当评标小组认为通过符合性审查的投标人的报价明显低于其他通过符合性审查投标人的报价，有可能影响服务质量或者不能诚信履约的，评标小组应当要求其在评标现场合理的时间内提供书面说明，必要时提交相关证明材料；投标人不能证明其报价合理性的，评标小组应当将其作为无效投标处理（投标人没有在评标小组规定的时间内说明的，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按无效投标处理）。</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投标文件报价出现前后不一致的，除招标文件另有规定外，按照下列规定修正：</w:t>
      </w:r>
    </w:p>
    <w:p>
      <w:pPr>
        <w:numPr>
          <w:ilvl w:val="2"/>
          <w:numId w:val="3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投标文件中报价一览表内容与投标文件中明细表内容不一致的，以报价一览表为准；</w:t>
      </w:r>
    </w:p>
    <w:p>
      <w:pPr>
        <w:numPr>
          <w:ilvl w:val="2"/>
          <w:numId w:val="3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大写金额和小写金额不一致的，以大写金额为准；</w:t>
      </w:r>
    </w:p>
    <w:p>
      <w:pPr>
        <w:numPr>
          <w:ilvl w:val="2"/>
          <w:numId w:val="3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单价金额小数点或百分比有明显错位的，以开标一览表的总价为准，并修改单价；</w:t>
      </w:r>
    </w:p>
    <w:p>
      <w:pPr>
        <w:numPr>
          <w:ilvl w:val="2"/>
          <w:numId w:val="3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总价金额与按单价汇总金额不一致的，以单价金额计算结果为准。</w:t>
      </w:r>
    </w:p>
    <w:p>
      <w:pPr>
        <w:numPr>
          <w:ilvl w:val="1"/>
          <w:numId w:val="35"/>
        </w:num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的缺漏项将按以下方法更正：若投标人的投标报价中有缺漏项内容，评标小组将视为其投标总价已包括缺漏项内容，若其中标，有关该内容的合同价格不予调整。如果投标人不接受对其缺漏项的更正，其投标将被拒绝。</w:t>
      </w:r>
    </w:p>
    <w:p>
      <w:pPr>
        <w:numPr>
          <w:ilvl w:val="1"/>
          <w:numId w:val="35"/>
        </w:num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对数量的评审：以《采购内容》所示数量为准；《采购内容》未明示的，由评标小组以其专业知识判断，必要时参考投标人的澄清文件决定。</w:t>
      </w:r>
    </w:p>
    <w:p>
      <w:pPr>
        <w:numPr>
          <w:ilvl w:val="1"/>
          <w:numId w:val="35"/>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对小型或微型企业的扶持：</w:t>
      </w:r>
    </w:p>
    <w:p>
      <w:pPr>
        <w:pStyle w:val="18"/>
        <w:ind w:left="899" w:leftChars="4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财政部、工业和信息化部制定了《政府采购促进中小企业发展管理办法》的规定，对小型或微型企业产品的价格给予一定比例扣除，用扣除后的价格参与评审本条款所称小型或微型企业应当符合以下条件：符合小型或微型企业划分标准，并且提供本企业承担的服务。投标人认为其为小型或微型企业的应提交《中小企业声明函》</w:t>
      </w:r>
      <w:r>
        <w:rPr>
          <w:rFonts w:hint="eastAsia" w:ascii="仿宋" w:hAnsi="仿宋" w:eastAsia="仿宋" w:cs="仿宋"/>
          <w:color w:val="auto"/>
          <w:sz w:val="24"/>
          <w:szCs w:val="24"/>
          <w:highlight w:val="none"/>
          <w:lang w:val="en-US" w:eastAsia="zh-CN"/>
        </w:rPr>
        <w:t>格式见附件2</w:t>
      </w:r>
      <w:r>
        <w:rPr>
          <w:rFonts w:hint="eastAsia" w:ascii="仿宋" w:hAnsi="仿宋" w:eastAsia="仿宋" w:cs="仿宋"/>
          <w:color w:val="auto"/>
          <w:sz w:val="24"/>
          <w:szCs w:val="24"/>
          <w:highlight w:val="none"/>
        </w:rPr>
        <w:t>，并明确企业类型，否则评审时不能享受相应的价格扣除。提供本企业制造的货物、承担的工程或者服务，或者提供其他小型或微型企业的制造的货物。</w:t>
      </w:r>
    </w:p>
    <w:p>
      <w:pPr>
        <w:pStyle w:val="18"/>
        <w:ind w:left="899" w:leftChars="428"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投标人为小型、微型企业且投标产品含小型、微型企业产品时，其小型、微型企业产品的价格给予</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%的扣除，即评标价=投标报价-小型、微型企业产品投标报价×</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w:t>
      </w:r>
    </w:p>
    <w:p>
      <w:pPr>
        <w:pStyle w:val="18"/>
        <w:ind w:left="899" w:leftChars="4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）根据财政部《政府采购促进中小企业发展管理办法》（财库[2020]46号文）规定，在货物类采购项目中，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提供的货物既有中小企业制造货物，也有大型企业制造货物的，不享受中小企业扶持政策。</w:t>
      </w:r>
    </w:p>
    <w:p>
      <w:pPr>
        <w:numPr>
          <w:ilvl w:val="1"/>
          <w:numId w:val="35"/>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监狱企业产品价格扣除</w:t>
      </w:r>
    </w:p>
    <w:p>
      <w:pPr>
        <w:spacing w:line="360" w:lineRule="auto"/>
        <w:ind w:left="9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1）监狱企业视同小型、微型企业，按上述</w:t>
      </w:r>
      <w:r>
        <w:rPr>
          <w:rFonts w:hint="eastAsia" w:ascii="仿宋" w:hAnsi="仿宋" w:eastAsia="仿宋" w:cs="仿宋"/>
          <w:b/>
          <w:bCs/>
          <w:color w:val="auto"/>
          <w:sz w:val="24"/>
          <w:szCs w:val="24"/>
          <w:highlight w:val="none"/>
        </w:rPr>
        <w:t>27.7条款</w:t>
      </w:r>
      <w:r>
        <w:rPr>
          <w:rFonts w:hint="eastAsia" w:ascii="仿宋" w:hAnsi="仿宋" w:eastAsia="仿宋" w:cs="仿宋"/>
          <w:color w:val="auto"/>
          <w:sz w:val="24"/>
          <w:szCs w:val="24"/>
          <w:highlight w:val="none"/>
        </w:rPr>
        <w:t>享受评审中价格扣除。</w:t>
      </w:r>
    </w:p>
    <w:p>
      <w:pPr>
        <w:spacing w:line="360" w:lineRule="auto"/>
        <w:ind w:left="9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left="9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3）监狱企业参加政府采购活动时，应当提供由省级以上监狱管理局、戒毒管理局（含新疆生产建设兵团）出具的属于监狱企业的证明文件，否则不予认可。</w:t>
      </w:r>
    </w:p>
    <w:p>
      <w:pPr>
        <w:numPr>
          <w:ilvl w:val="1"/>
          <w:numId w:val="35"/>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残疾人福利性单位产品价格扣除</w:t>
      </w:r>
    </w:p>
    <w:p>
      <w:pPr>
        <w:spacing w:line="360" w:lineRule="auto"/>
        <w:ind w:left="9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1）残疾人福利性单位视同小型、微型企业，按上述</w:t>
      </w:r>
      <w:r>
        <w:rPr>
          <w:rFonts w:hint="eastAsia" w:ascii="仿宋" w:hAnsi="仿宋" w:eastAsia="仿宋" w:cs="仿宋"/>
          <w:b/>
          <w:bCs/>
          <w:color w:val="auto"/>
          <w:sz w:val="24"/>
          <w:szCs w:val="24"/>
          <w:highlight w:val="none"/>
        </w:rPr>
        <w:t>27.7条款</w:t>
      </w:r>
      <w:r>
        <w:rPr>
          <w:rFonts w:hint="eastAsia" w:ascii="仿宋" w:hAnsi="仿宋" w:eastAsia="仿宋" w:cs="仿宋"/>
          <w:color w:val="auto"/>
          <w:sz w:val="24"/>
          <w:szCs w:val="24"/>
          <w:highlight w:val="none"/>
        </w:rPr>
        <w:t>享受评审中价格扣除。</w:t>
      </w:r>
    </w:p>
    <w:p>
      <w:pPr>
        <w:spacing w:line="360" w:lineRule="auto"/>
        <w:ind w:left="9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rPr>
        <w:t>），并对声明的真实性负责。一旦中标将在中标公告中公告其声明函，接受社会监督。投标人提供的《残疾人福利性单位声明函》与事实不符的，依照《中华人民共和国政府采购法》第七十七条第一款的规定追究法律责任。</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投标人同时为小型、微型企业、监狱企业、残疾人福利性单位任两种或以上情况的，评审中只享受一次价格扣除，不重复进行价格扣除。</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指属于财政部、发展改革委发布的《节能产品政府采购品目清单》范围内，并具有国家确定的认证机构出具的、处于有效期之内的节能产品认证证书的产品。采用节能产品的，对报价中的节能产品金额给予价格扣除，扣除方法如下：节能产品金额占项目总金额的比重达到30%以上（含30%），扣除2%；节能产品金额占项目总金额的比重达到30%以下，扣除1%；属于强制采购节能产品的，不作价格扣除。</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指属于财政部、生态环境部发布的《环境标志产品政府采购品目清单》范围内的，并具有国家确定的认证机构出具的、处于有效期之内的环境标志产品认证证书的产品。采用环境标志产品的，对报价中的环境标志产品金额给予价格扣除，扣除方法如下：环境标志产品金额占项目总金额的比重达到30%以上（含30%），扣除2%；环境标志产品金额占项目总金额的比重达到30%以下，扣除1%。</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评标价的确定：按上述条款校核修正后的价格为评标价。</w:t>
      </w:r>
    </w:p>
    <w:p>
      <w:pPr>
        <w:numPr>
          <w:ilvl w:val="1"/>
          <w:numId w:val="3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评标小组成员对需要共同认定的事项存在争议的，应当按照少数服从多数的原则作出结论。持不同意见的评标小组成员应当在评标报告上签署不同意见及理由，否则视为同意评标报告。</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87" w:name="_Toc55778710"/>
      <w:r>
        <w:rPr>
          <w:rFonts w:hint="eastAsia" w:ascii="仿宋" w:hAnsi="仿宋" w:eastAsia="仿宋" w:cs="仿宋"/>
          <w:b/>
          <w:color w:val="auto"/>
          <w:kern w:val="44"/>
          <w:sz w:val="24"/>
          <w:szCs w:val="24"/>
          <w:highlight w:val="none"/>
        </w:rPr>
        <w:t xml:space="preserve">    </w:t>
      </w:r>
      <w:bookmarkStart w:id="188" w:name="_Toc10625"/>
      <w:bookmarkStart w:id="189" w:name="_Toc31812"/>
      <w:bookmarkStart w:id="190" w:name="_Toc31639"/>
      <w:bookmarkStart w:id="191" w:name="_Toc25223"/>
      <w:r>
        <w:rPr>
          <w:rFonts w:hint="eastAsia" w:ascii="仿宋" w:hAnsi="仿宋" w:eastAsia="仿宋" w:cs="仿宋"/>
          <w:b/>
          <w:color w:val="auto"/>
          <w:kern w:val="44"/>
          <w:sz w:val="24"/>
          <w:szCs w:val="24"/>
          <w:highlight w:val="none"/>
        </w:rPr>
        <w:t>投标文件的修正和澄清</w:t>
      </w:r>
      <w:bookmarkEnd w:id="187"/>
      <w:bookmarkEnd w:id="188"/>
      <w:bookmarkEnd w:id="189"/>
      <w:bookmarkEnd w:id="190"/>
      <w:bookmarkEnd w:id="191"/>
    </w:p>
    <w:p>
      <w:pPr>
        <w:numPr>
          <w:ilvl w:val="1"/>
          <w:numId w:val="37"/>
        </w:numPr>
        <w:spacing w:line="360" w:lineRule="auto"/>
        <w:rPr>
          <w:rFonts w:hAnsi="宋体" w:cs="Times New Roman"/>
          <w:color w:val="000000"/>
          <w:sz w:val="24"/>
          <w:szCs w:val="24"/>
        </w:rPr>
      </w:pPr>
      <w:bookmarkStart w:id="192" w:name="_Toc55778711"/>
      <w:r>
        <w:rPr>
          <w:rFonts w:hint="eastAsia" w:ascii="仿宋" w:hAnsi="仿宋" w:eastAsia="仿宋" w:cs="仿宋"/>
          <w:color w:val="auto"/>
          <w:sz w:val="24"/>
          <w:szCs w:val="24"/>
          <w:highlight w:val="none"/>
        </w:rPr>
        <w:t>评审小组在对投标文件(包括首次投标文件、重新提交的投标文件)的有效性、完整性和对招标文件的投标程度进行审查时，可以要求投标人对投标文件中含义不明确、同类问题表述不一致或者有明显文字和计算错误的内容等作出必要的澄清、说明或者更正。各投标人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193" w:name="_Toc30970"/>
      <w:bookmarkStart w:id="194" w:name="_Toc12810"/>
      <w:bookmarkStart w:id="195" w:name="_Toc14816"/>
      <w:bookmarkStart w:id="196" w:name="_Toc13122"/>
      <w:r>
        <w:rPr>
          <w:rFonts w:hint="eastAsia" w:ascii="仿宋" w:hAnsi="仿宋" w:eastAsia="仿宋" w:cs="仿宋"/>
          <w:b/>
          <w:bCs/>
          <w:color w:val="auto"/>
          <w:kern w:val="44"/>
          <w:sz w:val="24"/>
          <w:szCs w:val="24"/>
          <w:highlight w:val="none"/>
        </w:rPr>
        <w:t>评标总得分统计及推荐</w:t>
      </w:r>
      <w:bookmarkEnd w:id="192"/>
      <w:bookmarkEnd w:id="193"/>
      <w:bookmarkEnd w:id="194"/>
      <w:bookmarkEnd w:id="195"/>
      <w:bookmarkEnd w:id="196"/>
    </w:p>
    <w:p>
      <w:pPr>
        <w:numPr>
          <w:ilvl w:val="1"/>
          <w:numId w:val="3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numPr>
          <w:ilvl w:val="1"/>
          <w:numId w:val="3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评标小组各成员独立对每个投标人的投标文件进行评价，并汇总每个投标人的得分（评标总得分分值按四舍五入原则精确到小数点后两位）。</w:t>
      </w:r>
    </w:p>
    <w:p>
      <w:pPr>
        <w:numPr>
          <w:ilvl w:val="1"/>
          <w:numId w:val="3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推荐中标候选人：评标小组成员独立对每个投标人分别评出技术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得分，评标小组成员的技术、商务评分的算术平均值为该投标人的技术商务得分。价格得分按价格评审办法评分。将投标人的技术商务得分和价格得分相加，计算得出各投标人的综合得分。将综合得分从高到低排序，得出投标人名次，推荐综合得分排名第一的投标人为第一中标候选人，综合得分排名第二的为第二中标候选人（得分相同的，按下列顺序比较：（1）投标报价（由低到高）；（2）技术商务评分（由高到低）；如以上都相同的，名次由评标小组随机抽取确定）。</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197" w:name="_Toc55778712"/>
      <w:r>
        <w:rPr>
          <w:rFonts w:hint="eastAsia" w:ascii="仿宋" w:hAnsi="仿宋" w:eastAsia="仿宋" w:cs="仿宋"/>
          <w:b/>
          <w:color w:val="auto"/>
          <w:kern w:val="44"/>
          <w:sz w:val="24"/>
          <w:szCs w:val="24"/>
          <w:highlight w:val="none"/>
        </w:rPr>
        <w:t xml:space="preserve">    </w:t>
      </w:r>
      <w:bookmarkStart w:id="198" w:name="_Toc160"/>
      <w:bookmarkStart w:id="199" w:name="_Toc23908"/>
      <w:bookmarkStart w:id="200" w:name="_Toc10277"/>
      <w:bookmarkStart w:id="201" w:name="_Toc22167"/>
      <w:r>
        <w:rPr>
          <w:rFonts w:hint="eastAsia" w:ascii="仿宋" w:hAnsi="仿宋" w:eastAsia="仿宋" w:cs="仿宋"/>
          <w:b/>
          <w:color w:val="auto"/>
          <w:kern w:val="44"/>
          <w:sz w:val="24"/>
          <w:szCs w:val="24"/>
          <w:highlight w:val="none"/>
        </w:rPr>
        <w:t>定标</w:t>
      </w:r>
      <w:bookmarkEnd w:id="197"/>
      <w:bookmarkEnd w:id="198"/>
      <w:bookmarkEnd w:id="199"/>
      <w:bookmarkEnd w:id="200"/>
      <w:bookmarkEnd w:id="201"/>
    </w:p>
    <w:p>
      <w:pPr>
        <w:numPr>
          <w:ilvl w:val="1"/>
          <w:numId w:val="3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提交评标报告报采购人确认，采购人在收到评标报告5个工作日内确定中标人，按照评标报告中推荐的中标候选人顺序确定中标人，也可以事先授权评标小组直接确定中标人。确认后采购代理机构将在发布本项目招标公告的法定媒体上发布中标公告。</w:t>
      </w:r>
    </w:p>
    <w:p>
      <w:pPr>
        <w:numPr>
          <w:ilvl w:val="1"/>
          <w:numId w:val="3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中标人拒绝与采购人签订合同的，采购人可以按照评审报告推荐的中标候选人名单排序，确定下一候选人为中标人，也可以重新开展政府采购活动。</w:t>
      </w:r>
    </w:p>
    <w:p>
      <w:pPr>
        <w:numPr>
          <w:ilvl w:val="1"/>
          <w:numId w:val="3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中标人放弃中标或者中标资格被依法确认无效的，采购人可以按照排序从其他中标候选人中确定中标人或重新组织采购活动。</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02" w:name="_Toc55778713"/>
      <w:r>
        <w:rPr>
          <w:rFonts w:hint="eastAsia" w:ascii="仿宋" w:hAnsi="仿宋" w:eastAsia="仿宋" w:cs="仿宋"/>
          <w:b/>
          <w:bCs/>
          <w:color w:val="auto"/>
          <w:kern w:val="44"/>
          <w:sz w:val="24"/>
          <w:szCs w:val="24"/>
          <w:highlight w:val="none"/>
        </w:rPr>
        <w:t xml:space="preserve">    </w:t>
      </w:r>
      <w:bookmarkStart w:id="203" w:name="_Toc14184"/>
      <w:bookmarkStart w:id="204" w:name="_Toc5256"/>
      <w:bookmarkStart w:id="205" w:name="_Toc6845"/>
      <w:bookmarkStart w:id="206" w:name="_Toc31442"/>
      <w:r>
        <w:rPr>
          <w:rFonts w:hint="eastAsia" w:ascii="仿宋" w:hAnsi="仿宋" w:eastAsia="仿宋" w:cs="仿宋"/>
          <w:b/>
          <w:bCs/>
          <w:color w:val="auto"/>
          <w:kern w:val="44"/>
          <w:sz w:val="24"/>
          <w:szCs w:val="24"/>
          <w:highlight w:val="none"/>
        </w:rPr>
        <w:t>特别说明</w:t>
      </w:r>
      <w:bookmarkEnd w:id="202"/>
      <w:bookmarkEnd w:id="203"/>
      <w:bookmarkEnd w:id="204"/>
      <w:bookmarkEnd w:id="205"/>
      <w:bookmarkEnd w:id="206"/>
    </w:p>
    <w:p>
      <w:pPr>
        <w:numPr>
          <w:ilvl w:val="1"/>
          <w:numId w:val="4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有下列情形之一的，视为投标人串通投标，其投标无效：</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不同投标人的投标文件由同一单位或者个人编制；</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不同投标人委托同一单位或者个人办理投标事宜；</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不同投标人的投标文件载明的项目管理成员或者联系人员为同一人；</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不同投标人的投标文件异常一致或者投标报价呈规律性差异；</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不同投标人的投标文件相互混装；</w:t>
      </w:r>
    </w:p>
    <w:p>
      <w:pPr>
        <w:numPr>
          <w:ilvl w:val="2"/>
          <w:numId w:val="4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不同投标人的投标保证金从同一单位或者个人的账户转出。</w:t>
      </w:r>
    </w:p>
    <w:p>
      <w:pPr>
        <w:numPr>
          <w:ilvl w:val="1"/>
          <w:numId w:val="4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投标人存在下列情况之一的，投标无效:</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未按照招标文件的规定提交投标保证金的；</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投标文件未按招标文件要求签署、盖章的；</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不具备招标文件中规定的资格要求的；</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报价超过招标文件中规定的预算金额或者最高限价的；</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pPr>
        <w:numPr>
          <w:ilvl w:val="2"/>
          <w:numId w:val="4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法律、法规和招标文件规定的其他无效情形。</w:t>
      </w:r>
    </w:p>
    <w:p>
      <w:pPr>
        <w:numPr>
          <w:ilvl w:val="1"/>
          <w:numId w:val="4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在招标采购中，出现下列情形之一的，应予废标： </w:t>
      </w:r>
    </w:p>
    <w:p>
      <w:pPr>
        <w:numPr>
          <w:ilvl w:val="2"/>
          <w:numId w:val="4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或者对招标文件作实质响应的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不足三家的； </w:t>
      </w:r>
    </w:p>
    <w:p>
      <w:pPr>
        <w:numPr>
          <w:ilvl w:val="2"/>
          <w:numId w:val="4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出现影响采购公正的违法、违规行为的； </w:t>
      </w:r>
    </w:p>
    <w:p>
      <w:pPr>
        <w:numPr>
          <w:ilvl w:val="2"/>
          <w:numId w:val="4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投标人的报价均超过了采购预算，采购人不能支付的； </w:t>
      </w:r>
    </w:p>
    <w:p>
      <w:pPr>
        <w:numPr>
          <w:ilvl w:val="2"/>
          <w:numId w:val="4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因重大变故，采购任务取消的。 </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07" w:name="_Toc55778714"/>
      <w:r>
        <w:rPr>
          <w:rFonts w:hint="eastAsia" w:ascii="仿宋" w:hAnsi="仿宋" w:eastAsia="仿宋" w:cs="仿宋"/>
          <w:b/>
          <w:bCs/>
          <w:color w:val="auto"/>
          <w:kern w:val="44"/>
          <w:sz w:val="24"/>
          <w:szCs w:val="24"/>
          <w:highlight w:val="none"/>
        </w:rPr>
        <w:t xml:space="preserve">   </w:t>
      </w:r>
      <w:bookmarkStart w:id="208" w:name="_Toc12971"/>
      <w:bookmarkStart w:id="209" w:name="_Toc30472"/>
      <w:bookmarkStart w:id="210" w:name="_Toc29878"/>
      <w:bookmarkStart w:id="211" w:name="_Toc14583"/>
      <w:r>
        <w:rPr>
          <w:rFonts w:hint="eastAsia" w:ascii="仿宋" w:hAnsi="仿宋" w:eastAsia="仿宋" w:cs="仿宋"/>
          <w:b/>
          <w:bCs/>
          <w:color w:val="auto"/>
          <w:kern w:val="44"/>
          <w:sz w:val="24"/>
          <w:szCs w:val="24"/>
          <w:highlight w:val="none"/>
        </w:rPr>
        <w:t>与采购代理机构和采购人的接触</w:t>
      </w:r>
      <w:bookmarkEnd w:id="207"/>
      <w:bookmarkEnd w:id="208"/>
      <w:bookmarkEnd w:id="209"/>
      <w:bookmarkEnd w:id="210"/>
      <w:bookmarkEnd w:id="211"/>
    </w:p>
    <w:p>
      <w:pPr>
        <w:numPr>
          <w:ilvl w:val="1"/>
          <w:numId w:val="4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除本须知规定外，从开标之日起至授予合同期间，投标人不得就与其投标有关的事项与采购代理机构、采购人和评标小组接触。</w:t>
      </w:r>
    </w:p>
    <w:p>
      <w:pPr>
        <w:numPr>
          <w:ilvl w:val="1"/>
          <w:numId w:val="4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投标人试图对采购代理机构、采购人和评标小组的评标或授予合同的决定进行影响，都可能导致其投标被拒绝。</w:t>
      </w:r>
    </w:p>
    <w:p>
      <w:pPr>
        <w:keepNext/>
        <w:keepLines/>
        <w:spacing w:line="360" w:lineRule="auto"/>
        <w:jc w:val="center"/>
        <w:outlineLvl w:val="1"/>
        <w:rPr>
          <w:rFonts w:hint="eastAsia" w:ascii="仿宋" w:hAnsi="仿宋" w:eastAsia="仿宋" w:cs="仿宋"/>
          <w:b/>
          <w:bCs/>
          <w:color w:val="auto"/>
          <w:sz w:val="24"/>
          <w:szCs w:val="24"/>
          <w:highlight w:val="none"/>
        </w:rPr>
      </w:pPr>
      <w:bookmarkStart w:id="212" w:name="_Toc4267"/>
      <w:bookmarkStart w:id="213" w:name="_Toc55778715"/>
      <w:bookmarkStart w:id="214" w:name="_Toc8757"/>
      <w:r>
        <w:rPr>
          <w:rFonts w:hint="eastAsia" w:ascii="仿宋" w:hAnsi="仿宋" w:eastAsia="仿宋" w:cs="仿宋"/>
          <w:b/>
          <w:bCs/>
          <w:color w:val="auto"/>
          <w:sz w:val="24"/>
          <w:szCs w:val="24"/>
          <w:highlight w:val="none"/>
        </w:rPr>
        <w:t>六、质疑与投诉</w:t>
      </w:r>
      <w:bookmarkEnd w:id="212"/>
      <w:bookmarkEnd w:id="213"/>
      <w:bookmarkEnd w:id="214"/>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15" w:name="_Toc28035"/>
      <w:bookmarkStart w:id="216" w:name="_Toc55778716"/>
      <w:r>
        <w:rPr>
          <w:rFonts w:hint="eastAsia" w:ascii="仿宋" w:hAnsi="仿宋" w:eastAsia="仿宋" w:cs="仿宋"/>
          <w:b/>
          <w:bCs/>
          <w:color w:val="auto"/>
          <w:kern w:val="44"/>
          <w:sz w:val="24"/>
          <w:szCs w:val="24"/>
          <w:highlight w:val="none"/>
        </w:rPr>
        <w:t xml:space="preserve">    </w:t>
      </w:r>
      <w:bookmarkStart w:id="217" w:name="_Toc26722"/>
      <w:bookmarkStart w:id="218" w:name="_Toc6727"/>
      <w:bookmarkStart w:id="219" w:name="_Toc22749"/>
      <w:bookmarkStart w:id="220" w:name="_Toc5828"/>
      <w:r>
        <w:rPr>
          <w:rFonts w:hint="eastAsia" w:ascii="仿宋" w:hAnsi="仿宋" w:eastAsia="仿宋" w:cs="仿宋"/>
          <w:b/>
          <w:bCs/>
          <w:color w:val="auto"/>
          <w:kern w:val="44"/>
          <w:sz w:val="24"/>
          <w:szCs w:val="24"/>
          <w:highlight w:val="none"/>
        </w:rPr>
        <w:t>询问</w:t>
      </w:r>
      <w:bookmarkEnd w:id="215"/>
      <w:bookmarkEnd w:id="216"/>
      <w:bookmarkEnd w:id="217"/>
      <w:bookmarkEnd w:id="218"/>
      <w:bookmarkEnd w:id="219"/>
      <w:bookmarkEnd w:id="220"/>
    </w:p>
    <w:p>
      <w:pPr>
        <w:numPr>
          <w:ilvl w:val="1"/>
          <w:numId w:val="4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招标活动事项（招标文件、招标过程和中标结果）有疑问的，可以向采购代理机构和采购人提出询问，采购代理机构和采购人将及时作出答复，但答复的内容不涉及商业秘密。询问可以口头方式提出，也可以书面方式提出，书面方式包括但不限于传真、信函、电子邮件。</w:t>
      </w:r>
    </w:p>
    <w:p>
      <w:pPr>
        <w:numPr>
          <w:ilvl w:val="1"/>
          <w:numId w:val="4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如采用书面方式提出询问，投标人为自然人的，询问函应当由本人签字；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为法人或者其他组织的，应当由法定代表人、主要负责人或授权代表签字或者盖章，并加盖公章。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递交询问函时非法定代表人亲自办理的需提供法定代表人授权委托书（应载明授权代表的姓名或者名称、代理事项、具体权限、期限和相关事项）及授权代表身份证复印件。</w:t>
      </w:r>
    </w:p>
    <w:p>
      <w:pPr>
        <w:numPr>
          <w:ilvl w:val="1"/>
          <w:numId w:val="4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招标采购单位在三个工作日内对投标人依法提出的询问作出答复。</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21" w:name="_Toc55778717"/>
      <w:bookmarkStart w:id="222" w:name="_Toc922"/>
      <w:r>
        <w:rPr>
          <w:rFonts w:hint="eastAsia" w:ascii="仿宋" w:hAnsi="仿宋" w:eastAsia="仿宋" w:cs="仿宋"/>
          <w:b/>
          <w:bCs/>
          <w:color w:val="auto"/>
          <w:kern w:val="44"/>
          <w:sz w:val="24"/>
          <w:szCs w:val="24"/>
          <w:highlight w:val="none"/>
        </w:rPr>
        <w:t xml:space="preserve">    </w:t>
      </w:r>
      <w:bookmarkStart w:id="223" w:name="_Toc2109"/>
      <w:bookmarkStart w:id="224" w:name="_Toc16083"/>
      <w:bookmarkStart w:id="225" w:name="_Toc31010"/>
      <w:bookmarkStart w:id="226" w:name="_Toc9977"/>
      <w:r>
        <w:rPr>
          <w:rFonts w:hint="eastAsia" w:ascii="仿宋" w:hAnsi="仿宋" w:eastAsia="仿宋" w:cs="仿宋"/>
          <w:b/>
          <w:bCs/>
          <w:color w:val="auto"/>
          <w:kern w:val="44"/>
          <w:sz w:val="24"/>
          <w:szCs w:val="24"/>
          <w:highlight w:val="none"/>
        </w:rPr>
        <w:t>质疑</w:t>
      </w:r>
      <w:bookmarkEnd w:id="221"/>
      <w:bookmarkEnd w:id="222"/>
      <w:bookmarkEnd w:id="223"/>
      <w:bookmarkEnd w:id="224"/>
      <w:bookmarkEnd w:id="225"/>
      <w:bookmarkEnd w:id="226"/>
    </w:p>
    <w:p>
      <w:pPr>
        <w:numPr>
          <w:ilvl w:val="1"/>
          <w:numId w:val="46"/>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质疑期限</w:t>
      </w:r>
    </w:p>
    <w:p>
      <w:pPr>
        <w:numPr>
          <w:ilvl w:val="2"/>
          <w:numId w:val="4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认为招标文件的内容损害其权益的，应在收到招标文件之日或者招标文件公告期届满之日起七个工作日内。（注：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获取招标文件之日早于招标文件公告期限届满之日的，则以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获取招标文件之日为质疑时效期间的起算日期；否则，以招标文件公告期限届满之日为质疑时效期间的起算日期）。</w:t>
      </w:r>
    </w:p>
    <w:p>
      <w:pPr>
        <w:numPr>
          <w:ilvl w:val="2"/>
          <w:numId w:val="4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认为采购过程损害其权益的，应在各采购程序环节结束之日起七个工作日内。</w:t>
      </w:r>
    </w:p>
    <w:p>
      <w:pPr>
        <w:numPr>
          <w:ilvl w:val="2"/>
          <w:numId w:val="4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认为中标或者成交结果损害其权益的，应在中标或者成交结果公告期限届满之日起七个工作日内。</w:t>
      </w:r>
    </w:p>
    <w:p>
      <w:pPr>
        <w:numPr>
          <w:ilvl w:val="1"/>
          <w:numId w:val="4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提交的要求：</w:t>
      </w:r>
    </w:p>
    <w:p>
      <w:pPr>
        <w:numPr>
          <w:ilvl w:val="2"/>
          <w:numId w:val="4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以书面形式（加盖投标人公章，投标人以电话、传真或电邮形式提交的质疑属于无效质疑）向招标采购单位提出质疑。</w:t>
      </w:r>
    </w:p>
    <w:p>
      <w:pPr>
        <w:numPr>
          <w:ilvl w:val="2"/>
          <w:numId w:val="4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质疑书内容：应包括具体的质疑项目的名称及编号、具体明确的质疑事项和与质疑事项相关的请求、事实依据、必要的法律依据、提出质疑的日期、投标人名称及地址、授权代表姓名及其联系电话、质疑时间</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姓名或者名称、地址、邮编、联系人及联系电话。质疑书应当署名并由法定代表人或授权代表签字并加盖公章。投标人递交质疑书时需提供质疑书原件、法定代表人授权委托书（应载明委托代理的具体权限及事项）及授权代表身份证复印件。</w:t>
      </w:r>
    </w:p>
    <w:p>
      <w:pPr>
        <w:numPr>
          <w:ilvl w:val="2"/>
          <w:numId w:val="4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投标人质疑应当有明确的请求和必要的证明材料，捏造事实、提供虚假材料或者以非法手段取得证明材料不能作为质疑的证明材料。</w:t>
      </w:r>
    </w:p>
    <w:p>
      <w:pPr>
        <w:numPr>
          <w:ilvl w:val="1"/>
          <w:numId w:val="4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质疑人进行质疑应当符合下列条件：</w:t>
      </w:r>
    </w:p>
    <w:p>
      <w:pPr>
        <w:numPr>
          <w:ilvl w:val="0"/>
          <w:numId w:val="49"/>
        </w:numPr>
        <w:tabs>
          <w:tab w:val="left" w:pos="1272"/>
        </w:tabs>
        <w:spacing w:line="360" w:lineRule="auto"/>
        <w:ind w:left="1272"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质疑人是参与所质疑政府采购项目的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pPr>
        <w:numPr>
          <w:ilvl w:val="0"/>
          <w:numId w:val="49"/>
        </w:numPr>
        <w:tabs>
          <w:tab w:val="left" w:pos="1272"/>
        </w:tabs>
        <w:spacing w:line="360" w:lineRule="auto"/>
        <w:ind w:left="1272"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在质疑有效期内提起质疑；</w:t>
      </w:r>
    </w:p>
    <w:p>
      <w:pPr>
        <w:numPr>
          <w:ilvl w:val="0"/>
          <w:numId w:val="49"/>
        </w:numPr>
        <w:tabs>
          <w:tab w:val="left" w:pos="1272"/>
        </w:tabs>
        <w:spacing w:line="360" w:lineRule="auto"/>
        <w:ind w:left="1272"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法律法规规定的其他条件。</w:t>
      </w:r>
    </w:p>
    <w:p>
      <w:pPr>
        <w:numPr>
          <w:ilvl w:val="1"/>
          <w:numId w:val="4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和采购人在收到投标投标人的书面质疑后7个工作日内作出答复，并以书面形式通知质疑投标投标人和其他有关投标投标人，但答复内容不涉及商业秘密。质疑投标投标人须提供相关证明材料，包括但不限于权益受损害的情况说明及受损害的原因、证据内容等，并对质疑内容的真实性承担责任。</w:t>
      </w:r>
    </w:p>
    <w:p>
      <w:pPr>
        <w:numPr>
          <w:ilvl w:val="1"/>
          <w:numId w:val="4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对于捏造事实、滥用维权扰乱采购秩序的恶意质疑者或举证不全查无实据被驳回次数在一年内达三次以上，将纳入不良行为记录名单并承担相应的法律责任。</w:t>
      </w:r>
    </w:p>
    <w:p>
      <w:pPr>
        <w:numPr>
          <w:ilvl w:val="1"/>
          <w:numId w:val="46"/>
        </w:numPr>
        <w:spacing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p>
    <w:p>
      <w:pPr>
        <w:spacing w:line="336" w:lineRule="auto"/>
        <w:ind w:left="899" w:leftChars="42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eastAsia="zh-CN"/>
        </w:rPr>
        <w:t>新疆华域建设工程项目管理咨询有限公司</w:t>
      </w:r>
    </w:p>
    <w:p>
      <w:pPr>
        <w:spacing w:line="336" w:lineRule="auto"/>
        <w:ind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薛迎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18699973005</w:t>
      </w:r>
    </w:p>
    <w:p>
      <w:pPr>
        <w:spacing w:line="336" w:lineRule="auto"/>
        <w:ind w:left="4078" w:leftChars="456" w:hanging="3120" w:hanging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lang w:val="en-US" w:eastAsia="zh-CN"/>
        </w:rPr>
        <w:t>835000</w:t>
      </w:r>
      <w:r>
        <w:rPr>
          <w:rFonts w:hint="eastAsia" w:ascii="仿宋" w:hAnsi="仿宋" w:eastAsia="仿宋" w:cs="仿宋"/>
          <w:color w:val="auto"/>
          <w:sz w:val="24"/>
          <w:szCs w:val="24"/>
          <w:highlight w:val="none"/>
        </w:rPr>
        <w:t xml:space="preserve">        </w:t>
      </w:r>
    </w:p>
    <w:p>
      <w:pPr>
        <w:spacing w:line="336" w:lineRule="auto"/>
        <w:ind w:left="4078" w:leftChars="456" w:hanging="3120" w:hanging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地址：伊宁市经济合作区北京路一品墅新房大厦10楼1004号</w:t>
      </w:r>
    </w:p>
    <w:p>
      <w:pPr>
        <w:numPr>
          <w:ilvl w:val="1"/>
          <w:numId w:val="46"/>
        </w:numPr>
        <w:spacing w:line="336" w:lineRule="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质疑函格式</w:t>
      </w:r>
    </w:p>
    <w:p>
      <w:pPr>
        <w:widowControl/>
        <w:spacing w:line="360" w:lineRule="auto"/>
        <w:ind w:firstLine="957" w:firstLineChars="399"/>
        <w:jc w:val="left"/>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27" w:name="_Toc55778718"/>
      <w:bookmarkStart w:id="228" w:name="_Toc7547"/>
      <w:bookmarkStart w:id="229" w:name="_Toc11190"/>
      <w:bookmarkStart w:id="230" w:name="_Toc13170"/>
      <w:bookmarkStart w:id="231" w:name="_Toc3059"/>
      <w:bookmarkStart w:id="232" w:name="_Toc2395"/>
      <w:r>
        <w:rPr>
          <w:rFonts w:hint="eastAsia" w:ascii="仿宋" w:hAnsi="仿宋" w:eastAsia="仿宋" w:cs="仿宋"/>
          <w:b/>
          <w:bCs/>
          <w:color w:val="auto"/>
          <w:kern w:val="44"/>
          <w:sz w:val="24"/>
          <w:szCs w:val="24"/>
          <w:highlight w:val="none"/>
        </w:rPr>
        <w:t>投诉</w:t>
      </w:r>
      <w:bookmarkEnd w:id="227"/>
      <w:bookmarkEnd w:id="228"/>
      <w:bookmarkEnd w:id="229"/>
      <w:bookmarkEnd w:id="230"/>
      <w:bookmarkEnd w:id="231"/>
      <w:bookmarkEnd w:id="232"/>
    </w:p>
    <w:p>
      <w:pPr>
        <w:numPr>
          <w:ilvl w:val="1"/>
          <w:numId w:val="5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投标投标人对采购代理机构和采购人的质疑答复不满意或在规定时间内未得到答复的，可以在答复期满后15个工作日内，向政府采购监督管理机构投诉。</w:t>
      </w:r>
    </w:p>
    <w:p>
      <w:pPr>
        <w:numPr>
          <w:ilvl w:val="1"/>
          <w:numId w:val="5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政府采购监督管理机构</w:t>
      </w:r>
    </w:p>
    <w:p>
      <w:pPr>
        <w:spacing w:line="360" w:lineRule="auto"/>
        <w:ind w:left="899" w:leftChars="4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政府采购监督管理机构名称：</w:t>
      </w:r>
      <w:r>
        <w:rPr>
          <w:rFonts w:hint="eastAsia" w:ascii="仿宋" w:hAnsi="仿宋" w:eastAsia="仿宋" w:cs="仿宋"/>
          <w:b/>
          <w:bCs/>
          <w:color w:val="auto"/>
          <w:sz w:val="24"/>
          <w:szCs w:val="24"/>
          <w:highlight w:val="none"/>
          <w:u w:val="single"/>
          <w:lang w:val="en-US" w:eastAsia="zh-CN"/>
        </w:rPr>
        <w:t>特克斯县</w:t>
      </w:r>
      <w:r>
        <w:rPr>
          <w:rFonts w:hint="eastAsia" w:ascii="仿宋" w:hAnsi="仿宋" w:eastAsia="仿宋" w:cs="仿宋"/>
          <w:b/>
          <w:bCs/>
          <w:color w:val="auto"/>
          <w:sz w:val="24"/>
          <w:szCs w:val="24"/>
          <w:highlight w:val="none"/>
          <w:u w:val="single"/>
        </w:rPr>
        <w:t>财政局</w:t>
      </w:r>
    </w:p>
    <w:p>
      <w:pPr>
        <w:keepNext/>
        <w:keepLines/>
        <w:spacing w:line="360" w:lineRule="auto"/>
        <w:jc w:val="center"/>
        <w:outlineLvl w:val="1"/>
        <w:rPr>
          <w:rFonts w:hint="eastAsia" w:ascii="仿宋" w:hAnsi="仿宋" w:eastAsia="仿宋" w:cs="仿宋"/>
          <w:b/>
          <w:bCs/>
          <w:color w:val="auto"/>
          <w:sz w:val="24"/>
          <w:szCs w:val="24"/>
          <w:highlight w:val="none"/>
        </w:rPr>
      </w:pPr>
      <w:bookmarkStart w:id="233" w:name="_Toc55778719"/>
      <w:bookmarkStart w:id="234" w:name="_Toc21033"/>
      <w:bookmarkStart w:id="235" w:name="_Toc11991"/>
      <w:r>
        <w:rPr>
          <w:rFonts w:hint="eastAsia" w:ascii="仿宋" w:hAnsi="仿宋" w:eastAsia="仿宋" w:cs="仿宋"/>
          <w:b/>
          <w:bCs/>
          <w:color w:val="auto"/>
          <w:sz w:val="24"/>
          <w:szCs w:val="24"/>
          <w:highlight w:val="none"/>
        </w:rPr>
        <w:t>七、授予合同</w:t>
      </w:r>
      <w:bookmarkEnd w:id="233"/>
      <w:bookmarkEnd w:id="234"/>
      <w:bookmarkEnd w:id="235"/>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36" w:name="_Toc17273"/>
      <w:bookmarkStart w:id="237" w:name="_Toc55778720"/>
      <w:r>
        <w:rPr>
          <w:rFonts w:hint="eastAsia" w:ascii="仿宋" w:hAnsi="仿宋" w:eastAsia="仿宋" w:cs="仿宋"/>
          <w:b/>
          <w:bCs/>
          <w:color w:val="auto"/>
          <w:kern w:val="44"/>
          <w:sz w:val="24"/>
          <w:szCs w:val="24"/>
          <w:highlight w:val="none"/>
        </w:rPr>
        <w:t xml:space="preserve">    </w:t>
      </w:r>
      <w:bookmarkStart w:id="238" w:name="_Toc32369"/>
      <w:bookmarkStart w:id="239" w:name="_Toc28231"/>
      <w:bookmarkStart w:id="240" w:name="_Toc27860"/>
      <w:bookmarkStart w:id="241" w:name="_Toc30579"/>
      <w:r>
        <w:rPr>
          <w:rFonts w:hint="eastAsia" w:ascii="仿宋" w:hAnsi="仿宋" w:eastAsia="仿宋" w:cs="仿宋"/>
          <w:b/>
          <w:bCs/>
          <w:color w:val="auto"/>
          <w:kern w:val="44"/>
          <w:sz w:val="24"/>
          <w:szCs w:val="24"/>
          <w:highlight w:val="none"/>
        </w:rPr>
        <w:t>确定中标</w:t>
      </w:r>
      <w:bookmarkEnd w:id="236"/>
      <w:r>
        <w:rPr>
          <w:rFonts w:hint="eastAsia" w:ascii="仿宋" w:hAnsi="仿宋" w:eastAsia="仿宋" w:cs="仿宋"/>
          <w:b/>
          <w:bCs/>
          <w:color w:val="auto"/>
          <w:kern w:val="44"/>
          <w:sz w:val="24"/>
          <w:szCs w:val="24"/>
          <w:highlight w:val="none"/>
        </w:rPr>
        <w:t>人</w:t>
      </w:r>
      <w:bookmarkEnd w:id="237"/>
      <w:bookmarkEnd w:id="238"/>
      <w:bookmarkEnd w:id="239"/>
      <w:bookmarkEnd w:id="240"/>
      <w:bookmarkEnd w:id="241"/>
    </w:p>
    <w:p>
      <w:pPr>
        <w:numPr>
          <w:ilvl w:val="1"/>
          <w:numId w:val="5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评标小组按照招标文件确定的评标方法、步骤、标准，对投标文件进行评审，提出书面评标报告，按照综合评分得分由高到低的顺序推荐中标候选人名单。</w:t>
      </w:r>
    </w:p>
    <w:p>
      <w:pPr>
        <w:numPr>
          <w:ilvl w:val="1"/>
          <w:numId w:val="5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采购人在收到评标报告后的法定时间内，按照评标报告中推荐的中标候选人顺序确定中标人。</w:t>
      </w:r>
    </w:p>
    <w:p>
      <w:pPr>
        <w:numPr>
          <w:ilvl w:val="1"/>
          <w:numId w:val="5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中标投标人放弃中标或者中标资格被依法确认无效的，采购人可以按照排序从其他中标候选投标人中确定中标投标人或重新组织招标活动。</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42" w:name="_Toc14943"/>
      <w:bookmarkStart w:id="243" w:name="_Toc55778721"/>
      <w:bookmarkStart w:id="244" w:name="_Ref179619923"/>
      <w:r>
        <w:rPr>
          <w:rFonts w:hint="eastAsia" w:ascii="仿宋" w:hAnsi="仿宋" w:eastAsia="仿宋" w:cs="仿宋"/>
          <w:b/>
          <w:bCs/>
          <w:color w:val="auto"/>
          <w:kern w:val="44"/>
          <w:sz w:val="24"/>
          <w:szCs w:val="24"/>
          <w:highlight w:val="none"/>
        </w:rPr>
        <w:t xml:space="preserve">    </w:t>
      </w:r>
      <w:bookmarkStart w:id="245" w:name="_Toc17309"/>
      <w:bookmarkStart w:id="246" w:name="_Toc7161"/>
      <w:bookmarkStart w:id="247" w:name="_Toc29372"/>
      <w:bookmarkStart w:id="248" w:name="_Toc19166"/>
      <w:r>
        <w:rPr>
          <w:rFonts w:hint="eastAsia" w:ascii="仿宋" w:hAnsi="仿宋" w:eastAsia="仿宋" w:cs="仿宋"/>
          <w:b/>
          <w:bCs/>
          <w:color w:val="auto"/>
          <w:kern w:val="44"/>
          <w:sz w:val="24"/>
          <w:szCs w:val="24"/>
          <w:highlight w:val="none"/>
        </w:rPr>
        <w:t>接受和拒绝任何或所有投标的权力</w:t>
      </w:r>
      <w:bookmarkEnd w:id="242"/>
      <w:bookmarkEnd w:id="243"/>
      <w:bookmarkEnd w:id="244"/>
      <w:bookmarkEnd w:id="245"/>
      <w:bookmarkEnd w:id="246"/>
      <w:bookmarkEnd w:id="247"/>
      <w:bookmarkEnd w:id="248"/>
    </w:p>
    <w:p>
      <w:pPr>
        <w:numPr>
          <w:ilvl w:val="1"/>
          <w:numId w:val="52"/>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代理机构和采购人保留在定标之前依法拒绝任何投标以及宣布招标程序无效或拒绝所有投标的权力，且对受影响的投标人不承担任何责任，也无义务向受影响的投标人解释采取这一行动的理由。</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49" w:name="_Toc19068"/>
      <w:bookmarkStart w:id="250" w:name="_Toc55778722"/>
      <w:r>
        <w:rPr>
          <w:rFonts w:hint="eastAsia" w:ascii="仿宋" w:hAnsi="仿宋" w:eastAsia="仿宋" w:cs="仿宋"/>
          <w:b/>
          <w:bCs/>
          <w:color w:val="auto"/>
          <w:kern w:val="44"/>
          <w:sz w:val="24"/>
          <w:szCs w:val="24"/>
          <w:highlight w:val="none"/>
        </w:rPr>
        <w:t xml:space="preserve">    </w:t>
      </w:r>
      <w:bookmarkStart w:id="251" w:name="_Toc444"/>
      <w:bookmarkStart w:id="252" w:name="_Toc26407"/>
      <w:bookmarkStart w:id="253" w:name="_Toc9402"/>
      <w:bookmarkStart w:id="254" w:name="_Toc8040"/>
      <w:r>
        <w:rPr>
          <w:rFonts w:hint="eastAsia" w:ascii="仿宋" w:hAnsi="仿宋" w:eastAsia="仿宋" w:cs="仿宋"/>
          <w:b/>
          <w:bCs/>
          <w:color w:val="auto"/>
          <w:kern w:val="44"/>
          <w:sz w:val="24"/>
          <w:szCs w:val="24"/>
          <w:highlight w:val="none"/>
        </w:rPr>
        <w:t>中标通知书</w:t>
      </w:r>
      <w:bookmarkEnd w:id="249"/>
      <w:bookmarkEnd w:id="250"/>
      <w:bookmarkEnd w:id="251"/>
      <w:bookmarkEnd w:id="252"/>
      <w:bookmarkEnd w:id="253"/>
      <w:bookmarkEnd w:id="254"/>
    </w:p>
    <w:p>
      <w:pPr>
        <w:numPr>
          <w:ilvl w:val="1"/>
          <w:numId w:val="5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中标人确定后，采购代理机构按本须知规定网站发布中标公告，并同时向中标人发出《中标通知书》。</w:t>
      </w:r>
    </w:p>
    <w:p>
      <w:pPr>
        <w:numPr>
          <w:ilvl w:val="1"/>
          <w:numId w:val="53"/>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《中标通知书》是合同的一个组成部分。</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55" w:name="_Toc16935"/>
      <w:bookmarkStart w:id="256" w:name="_Toc55778723"/>
      <w:r>
        <w:rPr>
          <w:rFonts w:hint="eastAsia" w:ascii="仿宋" w:hAnsi="仿宋" w:eastAsia="仿宋" w:cs="仿宋"/>
          <w:b/>
          <w:bCs/>
          <w:color w:val="auto"/>
          <w:kern w:val="44"/>
          <w:sz w:val="24"/>
          <w:szCs w:val="24"/>
          <w:highlight w:val="none"/>
        </w:rPr>
        <w:t xml:space="preserve">    </w:t>
      </w:r>
      <w:bookmarkStart w:id="257" w:name="_Toc7012"/>
      <w:bookmarkStart w:id="258" w:name="_Toc14729"/>
      <w:bookmarkStart w:id="259" w:name="_Toc18897"/>
      <w:bookmarkStart w:id="260" w:name="_Toc22710"/>
      <w:r>
        <w:rPr>
          <w:rFonts w:hint="eastAsia" w:ascii="仿宋" w:hAnsi="仿宋" w:eastAsia="仿宋" w:cs="仿宋"/>
          <w:b/>
          <w:bCs/>
          <w:color w:val="auto"/>
          <w:kern w:val="44"/>
          <w:sz w:val="24"/>
          <w:szCs w:val="24"/>
          <w:highlight w:val="none"/>
        </w:rPr>
        <w:t>合同的订立</w:t>
      </w:r>
      <w:bookmarkEnd w:id="255"/>
      <w:bookmarkEnd w:id="256"/>
      <w:bookmarkEnd w:id="257"/>
      <w:bookmarkEnd w:id="258"/>
      <w:bookmarkEnd w:id="259"/>
      <w:bookmarkEnd w:id="260"/>
    </w:p>
    <w:p>
      <w:pPr>
        <w:numPr>
          <w:ilvl w:val="1"/>
          <w:numId w:val="5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与中标投标人自中标通知书发出之日起三十日内，按招标文件要求和中标投标人投标文件承诺签订政府采购合同，但不得超出招标文件和中标投标人投标文件的范围、也不得再行订立背离合同实质性内容的其他协议。</w:t>
      </w:r>
    </w:p>
    <w:p>
      <w:pPr>
        <w:numPr>
          <w:ilvl w:val="1"/>
          <w:numId w:val="5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招标文件、中标人的投标文件及其澄清文件等，均为签订合同的依据。</w:t>
      </w:r>
    </w:p>
    <w:p>
      <w:pPr>
        <w:numPr>
          <w:ilvl w:val="1"/>
          <w:numId w:val="54"/>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签订政府采购合同后7个工作日内，采购人应将合同副本报同级政府采购监督管理部门和有关部门备案，采购人应在政府采购合同签订之日起2个工作日内在新疆政府采购网http://www.ccgp-xinjiang.gov.cn/上公告。</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61" w:name="_Toc4044"/>
      <w:bookmarkStart w:id="262" w:name="_Toc55778724"/>
      <w:r>
        <w:rPr>
          <w:rFonts w:hint="eastAsia" w:ascii="仿宋" w:hAnsi="仿宋" w:eastAsia="仿宋" w:cs="仿宋"/>
          <w:b/>
          <w:bCs/>
          <w:color w:val="auto"/>
          <w:kern w:val="44"/>
          <w:sz w:val="24"/>
          <w:szCs w:val="24"/>
          <w:highlight w:val="none"/>
        </w:rPr>
        <w:t xml:space="preserve">   </w:t>
      </w:r>
      <w:bookmarkStart w:id="263" w:name="_Toc7064"/>
      <w:bookmarkStart w:id="264" w:name="_Toc1719"/>
      <w:bookmarkStart w:id="265" w:name="_Toc9738"/>
      <w:bookmarkStart w:id="266" w:name="_Toc19474"/>
      <w:r>
        <w:rPr>
          <w:rFonts w:hint="eastAsia" w:ascii="仿宋" w:hAnsi="仿宋" w:eastAsia="仿宋" w:cs="仿宋"/>
          <w:b/>
          <w:bCs/>
          <w:color w:val="auto"/>
          <w:kern w:val="44"/>
          <w:sz w:val="24"/>
          <w:szCs w:val="24"/>
          <w:highlight w:val="none"/>
        </w:rPr>
        <w:t>合同的履行</w:t>
      </w:r>
      <w:bookmarkEnd w:id="261"/>
      <w:bookmarkEnd w:id="262"/>
      <w:bookmarkEnd w:id="263"/>
      <w:bookmarkEnd w:id="264"/>
      <w:bookmarkEnd w:id="265"/>
      <w:bookmarkEnd w:id="266"/>
    </w:p>
    <w:p>
      <w:pPr>
        <w:numPr>
          <w:ilvl w:val="1"/>
          <w:numId w:val="5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numPr>
          <w:ilvl w:val="1"/>
          <w:numId w:val="55"/>
        </w:num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采购人需追加与合同标的相同的货物、工程或者服务的，在不改变合同其他条款的前提下，可以与中标投标人签订补充合同，但所补充合同的采购金额不得超过原采购金额的10%，签订补充合同的必须按规定备案。</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67" w:name="_Toc55778726"/>
      <w:r>
        <w:rPr>
          <w:rFonts w:hint="eastAsia" w:ascii="仿宋" w:hAnsi="仿宋" w:eastAsia="仿宋" w:cs="仿宋"/>
          <w:b/>
          <w:bCs/>
          <w:color w:val="auto"/>
          <w:kern w:val="44"/>
          <w:sz w:val="24"/>
          <w:szCs w:val="24"/>
          <w:highlight w:val="none"/>
        </w:rPr>
        <w:t xml:space="preserve">   </w:t>
      </w:r>
      <w:bookmarkStart w:id="268" w:name="_Toc23462"/>
      <w:bookmarkStart w:id="269" w:name="_Toc28418"/>
      <w:bookmarkStart w:id="270" w:name="_Toc18199"/>
      <w:bookmarkStart w:id="271" w:name="_Toc12016"/>
      <w:r>
        <w:rPr>
          <w:rFonts w:hint="eastAsia" w:ascii="仿宋" w:hAnsi="仿宋" w:eastAsia="仿宋" w:cs="仿宋"/>
          <w:b/>
          <w:bCs/>
          <w:color w:val="auto"/>
          <w:kern w:val="44"/>
          <w:sz w:val="24"/>
          <w:szCs w:val="24"/>
          <w:highlight w:val="none"/>
        </w:rPr>
        <w:t>采购代理服务费</w:t>
      </w:r>
      <w:bookmarkEnd w:id="267"/>
      <w:bookmarkEnd w:id="268"/>
      <w:bookmarkEnd w:id="269"/>
      <w:bookmarkEnd w:id="270"/>
      <w:bookmarkEnd w:id="271"/>
    </w:p>
    <w:p>
      <w:pPr>
        <w:numPr>
          <w:ilvl w:val="1"/>
          <w:numId w:val="56"/>
        </w:numPr>
        <w:spacing w:line="360" w:lineRule="auto"/>
        <w:rPr>
          <w:rFonts w:hint="eastAsia" w:ascii="仿宋" w:hAnsi="仿宋" w:eastAsia="仿宋" w:cs="仿宋"/>
          <w:color w:val="auto"/>
          <w:sz w:val="24"/>
          <w:szCs w:val="24"/>
          <w:highlight w:val="none"/>
        </w:rPr>
      </w:pPr>
      <w:bookmarkStart w:id="272" w:name="_Ref179619574"/>
      <w:r>
        <w:rPr>
          <w:rFonts w:hint="eastAsia" w:ascii="仿宋" w:hAnsi="仿宋" w:eastAsia="仿宋" w:cs="仿宋"/>
          <w:color w:val="auto"/>
          <w:sz w:val="24"/>
          <w:szCs w:val="24"/>
          <w:highlight w:val="none"/>
        </w:rPr>
        <w:t>中标人须向采购代理机构按如下标准和规定缴纳采购代理服务费：参照《国家发展改革委关于进一步放开建设项目专业服务价格的通知》(发改价格〔2015〕299号)文件规定执行按标（包）计取</w:t>
      </w:r>
      <w:r>
        <w:rPr>
          <w:rFonts w:hint="eastAsia" w:ascii="仿宋" w:hAnsi="仿宋" w:eastAsia="仿宋" w:cs="仿宋"/>
          <w:color w:val="auto"/>
          <w:sz w:val="24"/>
          <w:szCs w:val="24"/>
          <w:highlight w:val="none"/>
          <w:lang w:eastAsia="zh-CN"/>
        </w:rPr>
        <w:t>。</w:t>
      </w:r>
    </w:p>
    <w:bookmarkEnd w:id="272"/>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73" w:name="_Toc18355"/>
      <w:bookmarkStart w:id="274" w:name="_Toc55778727"/>
      <w:r>
        <w:rPr>
          <w:rFonts w:hint="eastAsia" w:ascii="仿宋" w:hAnsi="仿宋" w:eastAsia="仿宋" w:cs="仿宋"/>
          <w:b/>
          <w:bCs/>
          <w:color w:val="auto"/>
          <w:kern w:val="44"/>
          <w:sz w:val="24"/>
          <w:szCs w:val="24"/>
          <w:highlight w:val="none"/>
        </w:rPr>
        <w:t xml:space="preserve">    </w:t>
      </w:r>
      <w:bookmarkStart w:id="275" w:name="_Toc8428"/>
      <w:bookmarkStart w:id="276" w:name="_Toc3865"/>
      <w:bookmarkStart w:id="277" w:name="_Toc29629"/>
      <w:bookmarkStart w:id="278" w:name="_Toc11945"/>
      <w:r>
        <w:rPr>
          <w:rFonts w:hint="eastAsia" w:ascii="仿宋" w:hAnsi="仿宋" w:eastAsia="仿宋" w:cs="仿宋"/>
          <w:b/>
          <w:bCs/>
          <w:color w:val="auto"/>
          <w:kern w:val="44"/>
          <w:sz w:val="24"/>
          <w:szCs w:val="24"/>
          <w:highlight w:val="none"/>
        </w:rPr>
        <w:t>适用法律</w:t>
      </w:r>
      <w:bookmarkEnd w:id="273"/>
      <w:bookmarkEnd w:id="274"/>
      <w:bookmarkEnd w:id="275"/>
      <w:bookmarkEnd w:id="276"/>
      <w:bookmarkEnd w:id="277"/>
      <w:bookmarkEnd w:id="278"/>
    </w:p>
    <w:p>
      <w:pPr>
        <w:numPr>
          <w:ilvl w:val="1"/>
          <w:numId w:val="5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采购人、采购代理机构及投标人的一切采购活动均适用《中华人民共和国政府采购法》、《中华人民共和国政府采购法实施条例》及其配套的法规、规章、政策。</w:t>
      </w:r>
    </w:p>
    <w:p>
      <w:pPr>
        <w:keepNext/>
        <w:keepLines/>
        <w:numPr>
          <w:ilvl w:val="0"/>
          <w:numId w:val="7"/>
        </w:numPr>
        <w:tabs>
          <w:tab w:val="left" w:pos="900"/>
        </w:tabs>
        <w:spacing w:line="360" w:lineRule="auto"/>
        <w:ind w:left="924" w:hanging="924"/>
        <w:outlineLvl w:val="0"/>
        <w:rPr>
          <w:rFonts w:hint="eastAsia" w:ascii="仿宋" w:hAnsi="仿宋" w:eastAsia="仿宋" w:cs="仿宋"/>
          <w:b/>
          <w:bCs/>
          <w:color w:val="auto"/>
          <w:kern w:val="44"/>
          <w:sz w:val="24"/>
          <w:szCs w:val="24"/>
          <w:highlight w:val="none"/>
        </w:rPr>
      </w:pPr>
      <w:bookmarkStart w:id="279" w:name="_Toc55778728"/>
      <w:bookmarkStart w:id="280" w:name="_Toc24416"/>
      <w:r>
        <w:rPr>
          <w:rFonts w:hint="eastAsia" w:ascii="仿宋" w:hAnsi="仿宋" w:eastAsia="仿宋" w:cs="仿宋"/>
          <w:b/>
          <w:bCs/>
          <w:color w:val="auto"/>
          <w:kern w:val="44"/>
          <w:sz w:val="24"/>
          <w:szCs w:val="24"/>
          <w:highlight w:val="none"/>
        </w:rPr>
        <w:t xml:space="preserve">    </w:t>
      </w:r>
      <w:bookmarkStart w:id="281" w:name="_Toc7754"/>
      <w:bookmarkStart w:id="282" w:name="_Toc10876"/>
      <w:bookmarkStart w:id="283" w:name="_Toc22798"/>
      <w:bookmarkStart w:id="284" w:name="_Toc22475"/>
      <w:r>
        <w:rPr>
          <w:rFonts w:hint="eastAsia" w:ascii="仿宋" w:hAnsi="仿宋" w:eastAsia="仿宋" w:cs="仿宋"/>
          <w:b/>
          <w:bCs/>
          <w:color w:val="auto"/>
          <w:kern w:val="44"/>
          <w:sz w:val="24"/>
          <w:szCs w:val="24"/>
          <w:highlight w:val="none"/>
        </w:rPr>
        <w:t>政府采购政策</w:t>
      </w:r>
      <w:bookmarkEnd w:id="279"/>
      <w:bookmarkEnd w:id="280"/>
      <w:bookmarkEnd w:id="281"/>
      <w:bookmarkEnd w:id="282"/>
      <w:bookmarkEnd w:id="283"/>
      <w:bookmarkEnd w:id="284"/>
    </w:p>
    <w:p>
      <w:pPr>
        <w:numPr>
          <w:ilvl w:val="1"/>
          <w:numId w:val="58"/>
        </w:numPr>
        <w:wordWrap w:val="0"/>
        <w:spacing w:line="360" w:lineRule="auto"/>
        <w:ind w:left="1037" w:hanging="1036" w:hangingChars="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指属于财政部、发展改革委发布的《节能产品政府采购品目清单》范围内，并具有国家确定的认证机构出具的、处于有效期之内的节能产品认证证书的产品，提供有效期内的中国节能产品认证证书复印件及《节能产品政府采购品目清单》中投标产品所在清单页并均加盖投标人公章，节能清单在中国政府采购网（http：//www.ccgp.gov.cn/）、国家发展改革委网站（http://hzs.nd rc.gv.cn/）和中国质量认证中心网站（http://www.cqc.com.cn/）上发布。</w:t>
      </w:r>
    </w:p>
    <w:p>
      <w:pPr>
        <w:numPr>
          <w:ilvl w:val="1"/>
          <w:numId w:val="58"/>
        </w:numPr>
        <w:wordWrap w:val="0"/>
        <w:spacing w:line="360" w:lineRule="auto"/>
        <w:ind w:left="1037" w:hanging="1036" w:hangingChars="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环境标志产品，指属于财政部、生态环境部发布的《环境标志产品政府采购品目清单》范围内的，并具有国家确定的认证机构出具的、处于有效期之内的环境标志产品认证证书的产品，提供有效期内的中国环境标志产品认证证书复印件及《环境标志产品政府采购品目清单》中投标产品所在清单页并均加盖投标人公章，清单在中国政府采购网（http://www.ccgp.gov.cn/）、国家环境保护总局网（http://www.sepa.gov.cn/）、中国绿色采购网（http://www.cgpn. cn/）上发布。</w:t>
      </w:r>
    </w:p>
    <w:p>
      <w:pPr>
        <w:numPr>
          <w:ilvl w:val="1"/>
          <w:numId w:val="5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根据《政府采购促进中小企业发展管理办法》（财库[2020]46号文）的规定，投标人投标时需注意：</w:t>
      </w:r>
    </w:p>
    <w:p>
      <w:pPr>
        <w:numPr>
          <w:ilvl w:val="2"/>
          <w:numId w:val="5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pPr>
        <w:numPr>
          <w:ilvl w:val="2"/>
          <w:numId w:val="5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参加政府采购活动的中小企业投标时需提供《中小企业声明函》。否则不予认可。</w:t>
      </w:r>
    </w:p>
    <w:p>
      <w:pPr>
        <w:spacing w:after="120"/>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p>
      <w:pPr>
        <w:outlineLvl w:val="0"/>
        <w:rPr>
          <w:rFonts w:hint="eastAsia" w:ascii="仿宋" w:hAnsi="仿宋" w:eastAsia="仿宋" w:cs="仿宋"/>
          <w:color w:val="auto"/>
          <w:kern w:val="44"/>
          <w:sz w:val="24"/>
          <w:szCs w:val="24"/>
          <w:highlight w:val="none"/>
        </w:rPr>
      </w:pPr>
      <w:bookmarkStart w:id="285" w:name="_Toc55778730"/>
      <w:bookmarkStart w:id="286" w:name="_Toc16833"/>
    </w:p>
    <w:p>
      <w:pPr>
        <w:jc w:val="center"/>
        <w:outlineLvl w:val="0"/>
        <w:rPr>
          <w:rFonts w:hint="eastAsia" w:ascii="仿宋" w:hAnsi="仿宋" w:eastAsia="仿宋" w:cs="仿宋"/>
          <w:b/>
          <w:bCs/>
          <w:color w:val="auto"/>
          <w:kern w:val="44"/>
          <w:sz w:val="30"/>
          <w:szCs w:val="30"/>
          <w:highlight w:val="none"/>
        </w:rPr>
      </w:pPr>
      <w:bookmarkStart w:id="287" w:name="_Toc28078"/>
      <w:r>
        <w:rPr>
          <w:rFonts w:hint="eastAsia" w:ascii="仿宋" w:hAnsi="仿宋" w:eastAsia="仿宋" w:cs="仿宋"/>
          <w:b/>
          <w:bCs/>
          <w:color w:val="auto"/>
          <w:kern w:val="44"/>
          <w:sz w:val="30"/>
          <w:szCs w:val="30"/>
          <w:highlight w:val="none"/>
        </w:rPr>
        <w:t>第四章 合同格式</w:t>
      </w:r>
      <w:bookmarkEnd w:id="285"/>
      <w:bookmarkEnd w:id="286"/>
      <w:bookmarkEnd w:id="287"/>
    </w:p>
    <w:p>
      <w:pPr>
        <w:widowControl/>
        <w:kinsoku w:val="0"/>
        <w:overflowPunct w:val="0"/>
        <w:jc w:val="left"/>
        <w:rPr>
          <w:rFonts w:hint="eastAsia" w:ascii="仿宋" w:hAnsi="仿宋" w:eastAsia="仿宋" w:cs="仿宋"/>
          <w:color w:val="auto"/>
          <w:kern w:val="0"/>
          <w:sz w:val="24"/>
          <w:szCs w:val="24"/>
          <w:highlight w:val="none"/>
        </w:rPr>
      </w:pPr>
    </w:p>
    <w:p>
      <w:pPr>
        <w:pStyle w:val="25"/>
        <w:kinsoku w:val="0"/>
        <w:overflowPunct w:val="0"/>
        <w:rPr>
          <w:rFonts w:hint="eastAsia" w:ascii="仿宋" w:hAnsi="仿宋" w:eastAsia="仿宋" w:cs="仿宋"/>
          <w:color w:val="auto"/>
          <w:sz w:val="24"/>
          <w:szCs w:val="24"/>
          <w:highlight w:val="none"/>
        </w:rPr>
      </w:pPr>
    </w:p>
    <w:p>
      <w:pPr>
        <w:spacing w:line="360" w:lineRule="auto"/>
        <w:ind w:firstLine="480" w:firstLineChars="200"/>
        <w:jc w:val="center"/>
        <w:rPr>
          <w:rFonts w:ascii="宋体"/>
          <w:color w:val="auto"/>
          <w:sz w:val="24"/>
        </w:rPr>
      </w:pPr>
      <w:r>
        <w:rPr>
          <w:rFonts w:ascii="宋体" w:hAnsi="宋体"/>
          <w:color w:val="auto"/>
          <w:sz w:val="24"/>
        </w:rPr>
        <w:t>(</w:t>
      </w:r>
      <w:r>
        <w:rPr>
          <w:rFonts w:hint="eastAsia" w:ascii="宋体" w:hAnsi="宋体"/>
          <w:color w:val="auto"/>
          <w:sz w:val="24"/>
        </w:rPr>
        <w:t>此合同样本仅供参考</w:t>
      </w:r>
      <w:r>
        <w:rPr>
          <w:rFonts w:ascii="宋体"/>
          <w:color w:val="auto"/>
          <w:sz w:val="24"/>
        </w:rPr>
        <w:t>,</w:t>
      </w:r>
      <w:r>
        <w:rPr>
          <w:rFonts w:hint="eastAsia" w:ascii="宋体" w:hAnsi="宋体"/>
          <w:color w:val="auto"/>
          <w:sz w:val="24"/>
        </w:rPr>
        <w:t>合同具体细则以成交双方协定为准</w:t>
      </w:r>
      <w:r>
        <w:rPr>
          <w:rFonts w:ascii="宋体" w:hAnsi="宋体"/>
          <w:color w:val="auto"/>
          <w:sz w:val="24"/>
        </w:rPr>
        <w:t>)</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r>
        <w:rPr>
          <w:rFonts w:hint="eastAsia" w:ascii="楷体" w:hAnsi="楷体" w:eastAsia="楷体"/>
          <w:sz w:val="24"/>
          <w:u w:val="single"/>
        </w:rPr>
        <w:t xml:space="preserve">   </w:t>
      </w:r>
    </w:p>
    <w:p>
      <w:pPr>
        <w:spacing w:line="480" w:lineRule="auto"/>
        <w:jc w:val="both"/>
        <w:rPr>
          <w:rFonts w:ascii="楷体" w:hAnsi="楷体" w:eastAsia="楷体"/>
          <w:b/>
          <w:sz w:val="28"/>
          <w:szCs w:val="28"/>
        </w:rPr>
      </w:pPr>
    </w:p>
    <w:p>
      <w:pPr>
        <w:spacing w:line="480" w:lineRule="auto"/>
        <w:jc w:val="center"/>
        <w:rPr>
          <w:rFonts w:ascii="楷体" w:hAnsi="楷体" w:eastAsia="楷体"/>
          <w:b/>
          <w:sz w:val="44"/>
          <w:szCs w:val="44"/>
        </w:rPr>
      </w:pPr>
      <w:r>
        <w:rPr>
          <w:rFonts w:ascii="楷体" w:hAnsi="楷体" w:eastAsia="楷体"/>
          <w:b/>
          <w:sz w:val="44"/>
          <w:szCs w:val="44"/>
        </w:rPr>
        <w:t>政府采购合同</w:t>
      </w:r>
      <w:r>
        <w:rPr>
          <w:rFonts w:hint="eastAsia" w:ascii="楷体" w:hAnsi="楷体" w:eastAsia="楷体"/>
          <w:b/>
          <w:sz w:val="44"/>
          <w:szCs w:val="44"/>
        </w:rPr>
        <w:t>参考范本</w:t>
      </w:r>
    </w:p>
    <w:p>
      <w:pPr>
        <w:spacing w:line="480" w:lineRule="auto"/>
        <w:jc w:val="center"/>
        <w:rPr>
          <w:rFonts w:ascii="楷体" w:hAnsi="楷体" w:eastAsia="楷体"/>
          <w:b/>
          <w:sz w:val="24"/>
        </w:rPr>
      </w:pPr>
      <w:r>
        <w:rPr>
          <w:rFonts w:hint="eastAsia" w:ascii="楷体" w:hAnsi="楷体" w:eastAsia="楷体"/>
          <w:b/>
          <w:sz w:val="24"/>
        </w:rPr>
        <w:t>（服务类）</w:t>
      </w:r>
    </w:p>
    <w:p>
      <w:pPr>
        <w:pStyle w:val="75"/>
        <w:ind w:firstLine="0"/>
        <w:rPr>
          <w:rFonts w:ascii="楷体" w:hAnsi="楷体" w:eastAsia="楷体"/>
          <w:szCs w:val="24"/>
        </w:rPr>
      </w:pPr>
    </w:p>
    <w:p>
      <w:pPr>
        <w:pStyle w:val="75"/>
        <w:ind w:firstLine="0"/>
        <w:rPr>
          <w:rFonts w:ascii="楷体" w:hAnsi="楷体" w:eastAsia="楷体"/>
          <w:szCs w:val="24"/>
        </w:rPr>
      </w:pPr>
    </w:p>
    <w:p>
      <w:pPr>
        <w:pStyle w:val="75"/>
        <w:ind w:firstLine="0"/>
        <w:rPr>
          <w:rFonts w:ascii="楷体" w:hAnsi="楷体" w:eastAsia="楷体"/>
          <w:szCs w:val="24"/>
        </w:rPr>
      </w:pPr>
    </w:p>
    <w:p>
      <w:pPr>
        <w:pStyle w:val="75"/>
        <w:ind w:firstLine="0"/>
        <w:jc w:val="center"/>
        <w:rPr>
          <w:rFonts w:ascii="楷体" w:hAnsi="楷体" w:eastAsia="楷体"/>
          <w:b/>
          <w:szCs w:val="24"/>
        </w:rPr>
      </w:pPr>
      <w:r>
        <w:rPr>
          <w:rFonts w:hint="eastAsia" w:ascii="楷体" w:hAnsi="楷体" w:eastAsia="楷体"/>
          <w:b/>
          <w:szCs w:val="24"/>
        </w:rPr>
        <w:t>第一部分 合同书</w:t>
      </w:r>
    </w:p>
    <w:p>
      <w:pPr>
        <w:pStyle w:val="75"/>
        <w:ind w:firstLine="0"/>
        <w:rPr>
          <w:rFonts w:ascii="楷体" w:hAnsi="楷体" w:eastAsia="楷体"/>
          <w:szCs w:val="24"/>
        </w:rPr>
      </w:pPr>
    </w:p>
    <w:p>
      <w:pPr>
        <w:pStyle w:val="75"/>
        <w:ind w:firstLine="0"/>
        <w:rPr>
          <w:rFonts w:ascii="楷体" w:hAnsi="楷体" w:eastAsia="楷体"/>
          <w:szCs w:val="24"/>
        </w:rPr>
      </w:pPr>
    </w:p>
    <w:p>
      <w:pPr>
        <w:spacing w:before="120" w:line="22" w:lineRule="atLeast"/>
        <w:rPr>
          <w:rFonts w:ascii="楷体" w:hAnsi="楷体" w:eastAsia="楷体"/>
          <w:sz w:val="24"/>
        </w:rPr>
      </w:pPr>
    </w:p>
    <w:p>
      <w:pPr>
        <w:spacing w:before="120" w:line="22" w:lineRule="atLeast"/>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pStyle w:val="76"/>
        <w:spacing w:before="120" w:line="22" w:lineRule="atLeast"/>
        <w:rPr>
          <w:rFonts w:hint="eastAsia" w:ascii="宋体" w:hAnsi="宋体" w:eastAsia="宋体" w:cs="宋体"/>
          <w:sz w:val="24"/>
          <w:szCs w:val="24"/>
        </w:rPr>
      </w:pPr>
    </w:p>
    <w:p>
      <w:pPr>
        <w:pStyle w:val="76"/>
        <w:spacing w:before="120" w:line="22" w:lineRule="atLeast"/>
        <w:rPr>
          <w:rFonts w:hint="eastAsia" w:ascii="宋体" w:hAnsi="宋体" w:eastAsia="宋体" w:cs="宋体"/>
          <w:sz w:val="24"/>
          <w:szCs w:val="24"/>
        </w:rPr>
      </w:pPr>
    </w:p>
    <w:p>
      <w:pPr>
        <w:rPr>
          <w:rFonts w:hint="eastAsia" w:ascii="宋体" w:hAnsi="宋体" w:eastAsia="宋体" w:cs="宋体"/>
          <w:sz w:val="24"/>
          <w:szCs w:val="24"/>
        </w:rPr>
      </w:pPr>
    </w:p>
    <w:p>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pPr>
        <w:spacing w:before="120" w:line="22" w:lineRule="atLeast"/>
        <w:rPr>
          <w:rFonts w:hint="eastAsia" w:ascii="宋体" w:hAnsi="宋体" w:eastAsia="宋体" w:cs="宋体"/>
          <w:sz w:val="24"/>
          <w:szCs w:val="24"/>
        </w:rPr>
      </w:pPr>
    </w:p>
    <w:p>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pacing w:before="120" w:line="22" w:lineRule="atLeast"/>
        <w:rPr>
          <w:rFonts w:hint="eastAsia" w:ascii="宋体" w:hAnsi="宋体" w:eastAsia="宋体" w:cs="宋体"/>
          <w:sz w:val="24"/>
          <w:szCs w:val="24"/>
        </w:rPr>
      </w:pPr>
    </w:p>
    <w:p>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p>
    <w:p>
      <w:pPr>
        <w:spacing w:before="120" w:line="22" w:lineRule="atLeast"/>
        <w:rPr>
          <w:rFonts w:hint="eastAsia" w:ascii="宋体" w:hAnsi="宋体" w:eastAsia="宋体" w:cs="宋体"/>
          <w:sz w:val="24"/>
          <w:szCs w:val="24"/>
        </w:rPr>
      </w:pPr>
    </w:p>
    <w:p>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utoSpaceDE w:val="0"/>
        <w:autoSpaceDN w:val="0"/>
        <w:adjustRightInd w:val="0"/>
        <w:spacing w:line="600" w:lineRule="exact"/>
        <w:ind w:firstLine="640"/>
        <w:jc w:val="center"/>
        <w:rPr>
          <w:rFonts w:hint="eastAsia" w:ascii="宋体" w:hAnsi="宋体" w:eastAsia="宋体" w:cs="宋体"/>
          <w:sz w:val="24"/>
          <w:szCs w:val="24"/>
        </w:rPr>
        <w:sectPr>
          <w:footerReference r:id="rId6" w:type="default"/>
          <w:pgSz w:w="11907" w:h="16840"/>
          <w:pgMar w:top="1474" w:right="1417" w:bottom="1474" w:left="1417" w:header="851" w:footer="851" w:gutter="0"/>
          <w:pgNumType w:fmt="decimal"/>
          <w:cols w:space="720" w:num="1"/>
          <w:docGrid w:linePitch="462" w:charSpace="0"/>
        </w:sect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spacing w:line="560" w:lineRule="exact"/>
        <w:ind w:firstLine="482" w:firstLineChars="200"/>
        <w:outlineLvl w:val="0"/>
        <w:rPr>
          <w:rFonts w:hint="eastAsia" w:ascii="宋体" w:hAnsi="宋体" w:eastAsia="宋体" w:cs="宋体"/>
          <w:sz w:val="24"/>
          <w:szCs w:val="24"/>
        </w:rPr>
      </w:pPr>
      <w:bookmarkStart w:id="288" w:name="_Toc19273"/>
      <w:bookmarkStart w:id="289" w:name="_Toc15367"/>
      <w:bookmarkStart w:id="290" w:name="_Toc20421"/>
      <w:bookmarkStart w:id="291" w:name="_Toc22967"/>
      <w:bookmarkStart w:id="292" w:name="_Toc28855"/>
      <w:r>
        <w:rPr>
          <w:rFonts w:hint="eastAsia" w:ascii="宋体" w:hAnsi="宋体" w:eastAsia="宋体" w:cs="宋体"/>
          <w:b/>
          <w:sz w:val="24"/>
          <w:szCs w:val="24"/>
        </w:rPr>
        <w:t>1.1 合同组成部分</w:t>
      </w:r>
      <w:bookmarkEnd w:id="288"/>
      <w:bookmarkEnd w:id="289"/>
      <w:bookmarkEnd w:id="290"/>
      <w:bookmarkEnd w:id="291"/>
      <w:bookmarkEnd w:id="29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pPr>
        <w:spacing w:line="560" w:lineRule="exact"/>
        <w:ind w:firstLine="482" w:firstLineChars="200"/>
        <w:outlineLvl w:val="0"/>
        <w:rPr>
          <w:rFonts w:hint="eastAsia" w:ascii="宋体" w:hAnsi="宋体" w:eastAsia="宋体" w:cs="宋体"/>
          <w:b/>
          <w:sz w:val="24"/>
          <w:szCs w:val="24"/>
        </w:rPr>
      </w:pPr>
      <w:bookmarkStart w:id="293" w:name="_Toc2918"/>
      <w:bookmarkStart w:id="294" w:name="_Toc22185"/>
      <w:bookmarkStart w:id="295" w:name="_Toc6311"/>
      <w:bookmarkStart w:id="296" w:name="_Toc18585"/>
      <w:bookmarkStart w:id="297" w:name="_Toc6773"/>
      <w:r>
        <w:rPr>
          <w:rFonts w:hint="eastAsia" w:ascii="宋体" w:hAnsi="宋体" w:eastAsia="宋体" w:cs="宋体"/>
          <w:b/>
          <w:sz w:val="24"/>
          <w:szCs w:val="24"/>
        </w:rPr>
        <w:t>1.2 标的</w:t>
      </w:r>
      <w:bookmarkEnd w:id="293"/>
      <w:bookmarkEnd w:id="294"/>
      <w:bookmarkEnd w:id="295"/>
      <w:bookmarkEnd w:id="296"/>
      <w:bookmarkEnd w:id="297"/>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298" w:name="_Toc5635"/>
      <w:bookmarkStart w:id="299" w:name="_Toc1386"/>
      <w:bookmarkStart w:id="300" w:name="_Toc21124"/>
      <w:bookmarkStart w:id="301" w:name="_Toc13918"/>
      <w:bookmarkStart w:id="302" w:name="_Toc4929"/>
      <w:r>
        <w:rPr>
          <w:rFonts w:hint="eastAsia" w:ascii="宋体" w:hAnsi="宋体" w:eastAsia="宋体" w:cs="宋体"/>
          <w:b/>
          <w:sz w:val="24"/>
          <w:szCs w:val="24"/>
        </w:rPr>
        <w:t>1.3 价款</w:t>
      </w:r>
      <w:bookmarkEnd w:id="298"/>
      <w:bookmarkEnd w:id="299"/>
      <w:bookmarkEnd w:id="300"/>
      <w:bookmarkEnd w:id="301"/>
      <w:bookmarkEnd w:id="30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3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222"/>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pPr>
              <w:pStyle w:val="77"/>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222" w:type="dxa"/>
            <w:vAlign w:val="center"/>
          </w:tcPr>
          <w:p>
            <w:pPr>
              <w:pStyle w:val="77"/>
              <w:spacing w:line="560" w:lineRule="exact"/>
              <w:ind w:firstLine="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分项名称</w:t>
            </w:r>
          </w:p>
        </w:tc>
        <w:tc>
          <w:tcPr>
            <w:tcW w:w="3167" w:type="dxa"/>
            <w:vAlign w:val="center"/>
          </w:tcPr>
          <w:p>
            <w:pPr>
              <w:pStyle w:val="77"/>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4222"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3167" w:type="dxa"/>
            <w:vAlign w:val="center"/>
          </w:tcPr>
          <w:p>
            <w:pPr>
              <w:pStyle w:val="77"/>
              <w:spacing w:line="560" w:lineRule="exact"/>
              <w:ind w:firstLine="20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4222"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3167" w:type="dxa"/>
            <w:vAlign w:val="center"/>
          </w:tcPr>
          <w:p>
            <w:pPr>
              <w:pStyle w:val="77"/>
              <w:spacing w:line="560" w:lineRule="exact"/>
              <w:ind w:firstLine="20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4222"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3167" w:type="dxa"/>
            <w:vAlign w:val="center"/>
          </w:tcPr>
          <w:p>
            <w:pPr>
              <w:pStyle w:val="77"/>
              <w:spacing w:line="560" w:lineRule="exact"/>
              <w:ind w:firstLine="20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4222" w:type="dxa"/>
            <w:vAlign w:val="center"/>
          </w:tcPr>
          <w:p>
            <w:pPr>
              <w:pStyle w:val="77"/>
              <w:spacing w:line="560" w:lineRule="exact"/>
              <w:ind w:firstLine="200"/>
              <w:jc w:val="center"/>
              <w:rPr>
                <w:rFonts w:hint="eastAsia" w:ascii="宋体" w:hAnsi="宋体" w:eastAsia="宋体" w:cs="宋体"/>
                <w:color w:val="000000"/>
                <w:sz w:val="24"/>
                <w:szCs w:val="24"/>
              </w:rPr>
            </w:pPr>
          </w:p>
        </w:tc>
        <w:tc>
          <w:tcPr>
            <w:tcW w:w="3167" w:type="dxa"/>
            <w:vAlign w:val="center"/>
          </w:tcPr>
          <w:p>
            <w:pPr>
              <w:pStyle w:val="77"/>
              <w:spacing w:line="560" w:lineRule="exact"/>
              <w:ind w:firstLine="20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12" w:type="dxa"/>
            <w:gridSpan w:val="2"/>
            <w:vAlign w:val="center"/>
          </w:tcPr>
          <w:p>
            <w:pPr>
              <w:pStyle w:val="77"/>
              <w:spacing w:line="560" w:lineRule="exact"/>
              <w:ind w:firstLine="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tc>
        <w:tc>
          <w:tcPr>
            <w:tcW w:w="3167" w:type="dxa"/>
            <w:vAlign w:val="center"/>
          </w:tcPr>
          <w:p>
            <w:pPr>
              <w:pStyle w:val="77"/>
              <w:spacing w:line="560" w:lineRule="exact"/>
              <w:ind w:firstLine="200"/>
              <w:jc w:val="center"/>
              <w:rPr>
                <w:rFonts w:hint="eastAsia" w:ascii="宋体" w:hAnsi="宋体" w:eastAsia="宋体" w:cs="宋体"/>
                <w:color w:val="000000"/>
                <w:sz w:val="24"/>
                <w:szCs w:val="24"/>
              </w:rPr>
            </w:pPr>
          </w:p>
        </w:tc>
      </w:tr>
    </w:tbl>
    <w:p>
      <w:pPr>
        <w:spacing w:line="560" w:lineRule="exact"/>
        <w:ind w:firstLine="482" w:firstLineChars="200"/>
        <w:outlineLvl w:val="0"/>
        <w:rPr>
          <w:rFonts w:hint="eastAsia" w:ascii="宋体" w:hAnsi="宋体" w:eastAsia="宋体" w:cs="宋体"/>
          <w:b/>
          <w:sz w:val="24"/>
          <w:szCs w:val="24"/>
        </w:rPr>
      </w:pPr>
      <w:bookmarkStart w:id="303" w:name="_Toc3654"/>
      <w:bookmarkStart w:id="304" w:name="_Toc30506"/>
      <w:bookmarkStart w:id="305" w:name="_Toc14993"/>
      <w:bookmarkStart w:id="306" w:name="_Toc30158"/>
      <w:bookmarkStart w:id="307" w:name="_Toc26916"/>
      <w:r>
        <w:rPr>
          <w:rFonts w:hint="eastAsia" w:ascii="宋体" w:hAnsi="宋体" w:eastAsia="宋体" w:cs="宋体"/>
          <w:b/>
          <w:sz w:val="24"/>
          <w:szCs w:val="24"/>
        </w:rPr>
        <w:t>1.4 付款方式和发票开具方式</w:t>
      </w:r>
      <w:bookmarkEnd w:id="303"/>
      <w:bookmarkEnd w:id="304"/>
      <w:bookmarkEnd w:id="305"/>
      <w:bookmarkEnd w:id="306"/>
      <w:bookmarkEnd w:id="307"/>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308" w:name="_Toc31421"/>
      <w:bookmarkStart w:id="309" w:name="_Toc3625"/>
      <w:bookmarkStart w:id="310" w:name="_Toc11108"/>
      <w:bookmarkStart w:id="311" w:name="_Toc8772"/>
      <w:bookmarkStart w:id="312" w:name="_Toc4760"/>
      <w:r>
        <w:rPr>
          <w:rFonts w:hint="eastAsia" w:ascii="宋体" w:hAnsi="宋体" w:eastAsia="宋体" w:cs="宋体"/>
          <w:b/>
          <w:sz w:val="24"/>
          <w:szCs w:val="24"/>
        </w:rPr>
        <w:t>1.5 履行期限、地点和方式</w:t>
      </w:r>
      <w:bookmarkEnd w:id="308"/>
      <w:bookmarkEnd w:id="309"/>
      <w:bookmarkEnd w:id="310"/>
      <w:bookmarkEnd w:id="311"/>
      <w:bookmarkEnd w:id="312"/>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sz w:val="24"/>
          <w:szCs w:val="24"/>
          <w:u w:val="single"/>
        </w:rPr>
      </w:pPr>
      <w:bookmarkStart w:id="313" w:name="_Toc3079"/>
      <w:bookmarkStart w:id="314" w:name="_Toc5698"/>
      <w:bookmarkStart w:id="315" w:name="_Toc8586"/>
      <w:bookmarkStart w:id="316" w:name="_Toc24662"/>
      <w:bookmarkStart w:id="317" w:name="_Toc2375"/>
      <w:r>
        <w:rPr>
          <w:rFonts w:hint="eastAsia" w:ascii="宋体" w:hAnsi="宋体" w:eastAsia="宋体" w:cs="宋体"/>
          <w:b/>
          <w:sz w:val="24"/>
          <w:szCs w:val="24"/>
        </w:rPr>
        <w:t>1.6 违约责任</w:t>
      </w:r>
      <w:bookmarkEnd w:id="313"/>
      <w:bookmarkEnd w:id="314"/>
      <w:bookmarkEnd w:id="315"/>
      <w:bookmarkEnd w:id="316"/>
      <w:bookmarkEnd w:id="317"/>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sz w:val="24"/>
          <w:szCs w:val="24"/>
        </w:rPr>
      </w:pPr>
      <w:bookmarkStart w:id="318" w:name="_Toc32454"/>
      <w:bookmarkStart w:id="319" w:name="_Toc30329"/>
      <w:bookmarkStart w:id="320" w:name="_Toc18683"/>
      <w:bookmarkStart w:id="321" w:name="_Toc26807"/>
      <w:bookmarkStart w:id="322" w:name="_Toc9497"/>
      <w:r>
        <w:rPr>
          <w:rFonts w:hint="eastAsia" w:ascii="宋体" w:hAnsi="宋体" w:eastAsia="宋体" w:cs="宋体"/>
          <w:b/>
          <w:sz w:val="24"/>
          <w:szCs w:val="24"/>
        </w:rPr>
        <w:t>1.7 合同争议的解决</w:t>
      </w:r>
      <w:bookmarkEnd w:id="318"/>
      <w:bookmarkEnd w:id="319"/>
      <w:bookmarkEnd w:id="320"/>
      <w:bookmarkEnd w:id="321"/>
      <w:bookmarkEnd w:id="32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pPr>
        <w:spacing w:line="560" w:lineRule="exact"/>
        <w:ind w:firstLine="482" w:firstLineChars="200"/>
        <w:outlineLvl w:val="0"/>
        <w:rPr>
          <w:rFonts w:hint="eastAsia" w:ascii="宋体" w:hAnsi="宋体" w:eastAsia="宋体" w:cs="宋体"/>
          <w:b/>
          <w:sz w:val="24"/>
          <w:szCs w:val="24"/>
        </w:rPr>
      </w:pPr>
      <w:bookmarkStart w:id="323" w:name="_Toc23784"/>
      <w:bookmarkStart w:id="324" w:name="_Toc12273"/>
      <w:bookmarkStart w:id="325" w:name="_Toc16417"/>
      <w:bookmarkStart w:id="326" w:name="_Toc15827"/>
      <w:bookmarkStart w:id="327" w:name="_Toc26227"/>
      <w:r>
        <w:rPr>
          <w:rFonts w:hint="eastAsia" w:ascii="宋体" w:hAnsi="宋体" w:eastAsia="宋体" w:cs="宋体"/>
          <w:b/>
          <w:sz w:val="24"/>
          <w:szCs w:val="24"/>
        </w:rPr>
        <w:t>1.8 合同生效</w:t>
      </w:r>
      <w:bookmarkEnd w:id="323"/>
      <w:bookmarkEnd w:id="324"/>
      <w:bookmarkEnd w:id="325"/>
      <w:bookmarkEnd w:id="326"/>
      <w:bookmarkEnd w:id="327"/>
    </w:p>
    <w:p>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pPr>
        <w:widowControl/>
        <w:spacing w:line="560" w:lineRule="exact"/>
        <w:jc w:val="left"/>
        <w:rPr>
          <w:rFonts w:hint="eastAsia" w:ascii="宋体" w:hAnsi="宋体" w:eastAsia="宋体" w:cs="宋体"/>
          <w:b/>
          <w:sz w:val="24"/>
          <w:szCs w:val="24"/>
        </w:rPr>
      </w:pPr>
      <w:bookmarkStart w:id="328" w:name="_Toc331685783"/>
    </w:p>
    <w:p>
      <w:pPr>
        <w:widowControl/>
        <w:spacing w:line="560" w:lineRule="exact"/>
        <w:jc w:val="left"/>
        <w:rPr>
          <w:rFonts w:hint="eastAsia" w:ascii="宋体" w:hAnsi="宋体" w:eastAsia="宋体" w:cs="宋体"/>
          <w:b/>
          <w:sz w:val="24"/>
          <w:szCs w:val="24"/>
        </w:rPr>
      </w:pPr>
    </w:p>
    <w:p>
      <w:pPr>
        <w:widowControl/>
        <w:spacing w:line="560" w:lineRule="exact"/>
        <w:jc w:val="left"/>
        <w:rPr>
          <w:rFonts w:hint="eastAsia" w:ascii="宋体" w:hAnsi="宋体" w:eastAsia="宋体" w:cs="宋体"/>
          <w:b/>
          <w:kern w:val="0"/>
          <w:sz w:val="24"/>
          <w:szCs w:val="24"/>
        </w:rPr>
      </w:pPr>
    </w:p>
    <w:p>
      <w:pPr>
        <w:pStyle w:val="75"/>
        <w:rPr>
          <w:rFonts w:hint="eastAsia" w:ascii="宋体" w:hAnsi="宋体" w:eastAsia="宋体" w:cs="宋体"/>
          <w:b/>
          <w:kern w:val="0"/>
          <w:sz w:val="24"/>
          <w:szCs w:val="24"/>
        </w:rPr>
      </w:pPr>
    </w:p>
    <w:p>
      <w:pPr>
        <w:widowControl/>
        <w:spacing w:line="560" w:lineRule="exact"/>
        <w:jc w:val="left"/>
        <w:rPr>
          <w:rFonts w:hint="eastAsia" w:ascii="宋体" w:hAnsi="宋体" w:eastAsia="宋体" w:cs="宋体"/>
          <w:b/>
          <w:kern w:val="0"/>
          <w:sz w:val="24"/>
          <w:szCs w:val="24"/>
        </w:rPr>
      </w:pPr>
    </w:p>
    <w:p>
      <w:pPr>
        <w:pStyle w:val="75"/>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28"/>
    </w:p>
    <w:p>
      <w:pPr>
        <w:spacing w:line="560" w:lineRule="exact"/>
        <w:ind w:firstLine="482" w:firstLineChars="200"/>
        <w:outlineLvl w:val="0"/>
        <w:rPr>
          <w:rFonts w:hint="eastAsia" w:ascii="宋体" w:hAnsi="宋体" w:eastAsia="宋体" w:cs="宋体"/>
          <w:b/>
          <w:sz w:val="24"/>
          <w:szCs w:val="24"/>
        </w:rPr>
      </w:pPr>
      <w:bookmarkStart w:id="329" w:name="_Ref467379214"/>
      <w:bookmarkStart w:id="330" w:name="_Ref467379225"/>
      <w:bookmarkStart w:id="331" w:name="_Ref467379205"/>
      <w:bookmarkStart w:id="332" w:name="_Toc31297"/>
      <w:bookmarkStart w:id="333" w:name="_Ref467378404"/>
      <w:bookmarkStart w:id="334" w:name="_Ref467378463"/>
      <w:bookmarkStart w:id="335" w:name="_Ref467378499"/>
      <w:bookmarkStart w:id="336" w:name="_Toc25079"/>
      <w:bookmarkStart w:id="337" w:name="_Ref467379195"/>
      <w:bookmarkStart w:id="338" w:name="_Toc487900349"/>
      <w:bookmarkStart w:id="339" w:name="_Toc19680"/>
      <w:bookmarkStart w:id="340" w:name="_Toc14021"/>
      <w:bookmarkStart w:id="341" w:name="_Toc259093669"/>
      <w:bookmarkStart w:id="342" w:name="_Ref467379101"/>
      <w:bookmarkStart w:id="343" w:name="_Ref467379094"/>
      <w:bookmarkStart w:id="344" w:name="_Toc5228"/>
      <w:bookmarkStart w:id="345" w:name="_Ref467379109"/>
      <w:bookmarkStart w:id="346" w:name="_Toc279701240"/>
      <w:r>
        <w:rPr>
          <w:rFonts w:hint="eastAsia" w:ascii="宋体" w:hAnsi="宋体" w:eastAsia="宋体" w:cs="宋体"/>
          <w:b/>
          <w:sz w:val="24"/>
          <w:szCs w:val="24"/>
        </w:rPr>
        <w:t>2.1 定义</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szCs w:val="24"/>
        </w:rPr>
      </w:pPr>
      <w:bookmarkStart w:id="347" w:name="_Ref467378840"/>
      <w:r>
        <w:rPr>
          <w:rFonts w:hint="eastAsia" w:ascii="宋体" w:hAnsi="宋体" w:eastAsia="宋体" w:cs="宋体"/>
          <w:sz w:val="24"/>
          <w:szCs w:val="24"/>
        </w:rPr>
        <w:t>2.1.4 “甲方”系指与中标供应商签署合同的采购人</w:t>
      </w:r>
      <w:bookmarkEnd w:id="347"/>
      <w:r>
        <w:rPr>
          <w:rFonts w:hint="eastAsia" w:ascii="宋体" w:hAnsi="宋体" w:eastAsia="宋体" w:cs="宋体"/>
          <w:sz w:val="24"/>
          <w:szCs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szCs w:val="24"/>
        </w:rPr>
      </w:pPr>
      <w:bookmarkStart w:id="348" w:name="_Ref467379400"/>
      <w:r>
        <w:rPr>
          <w:rFonts w:hint="eastAsia" w:ascii="宋体" w:hAnsi="宋体" w:eastAsia="宋体" w:cs="宋体"/>
          <w:sz w:val="24"/>
          <w:szCs w:val="24"/>
        </w:rPr>
        <w:t>2.1.5 “乙方”系指根据合同约定提供服务的中标供应商</w:t>
      </w:r>
      <w:bookmarkEnd w:id="348"/>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szCs w:val="24"/>
        </w:rPr>
      </w:pPr>
      <w:bookmarkStart w:id="349" w:name="_Ref467379436"/>
      <w:r>
        <w:rPr>
          <w:rFonts w:hint="eastAsia" w:ascii="宋体" w:hAnsi="宋体" w:eastAsia="宋体" w:cs="宋体"/>
          <w:sz w:val="24"/>
          <w:szCs w:val="24"/>
        </w:rPr>
        <w:t>2.1.6 “现场”系指合同约定提供服务的地点。</w:t>
      </w:r>
      <w:bookmarkEnd w:id="349"/>
    </w:p>
    <w:p>
      <w:pPr>
        <w:spacing w:line="560" w:lineRule="exact"/>
        <w:ind w:firstLine="482" w:firstLineChars="200"/>
        <w:outlineLvl w:val="0"/>
        <w:rPr>
          <w:rFonts w:hint="eastAsia" w:ascii="宋体" w:hAnsi="宋体" w:eastAsia="宋体" w:cs="宋体"/>
          <w:b/>
          <w:sz w:val="24"/>
          <w:szCs w:val="24"/>
        </w:rPr>
      </w:pPr>
      <w:bookmarkStart w:id="350" w:name="_Toc19539"/>
      <w:bookmarkStart w:id="351" w:name="_Toc31402"/>
      <w:bookmarkStart w:id="352" w:name="_Toc3769"/>
      <w:bookmarkStart w:id="353" w:name="_Toc16752"/>
      <w:bookmarkStart w:id="354" w:name="_Toc259093670"/>
      <w:bookmarkStart w:id="355" w:name="_Toc23289"/>
      <w:bookmarkStart w:id="356" w:name="_Toc279701241"/>
      <w:bookmarkStart w:id="357" w:name="_Toc487900350"/>
      <w:r>
        <w:rPr>
          <w:rFonts w:hint="eastAsia" w:ascii="宋体" w:hAnsi="宋体" w:eastAsia="宋体" w:cs="宋体"/>
          <w:b/>
          <w:sz w:val="24"/>
          <w:szCs w:val="24"/>
        </w:rPr>
        <w:t>2.2 技术规范</w:t>
      </w:r>
      <w:bookmarkEnd w:id="350"/>
      <w:bookmarkEnd w:id="351"/>
      <w:bookmarkEnd w:id="352"/>
      <w:bookmarkEnd w:id="353"/>
      <w:bookmarkEnd w:id="354"/>
      <w:bookmarkEnd w:id="355"/>
      <w:bookmarkEnd w:id="356"/>
      <w:bookmarkEnd w:id="357"/>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szCs w:val="24"/>
        </w:rPr>
      </w:pPr>
      <w:bookmarkStart w:id="358" w:name="_Toc487900351"/>
      <w:bookmarkStart w:id="359" w:name="_Toc9161"/>
      <w:bookmarkStart w:id="360" w:name="_Toc279701242"/>
      <w:bookmarkStart w:id="361" w:name="_Toc259093671"/>
      <w:bookmarkStart w:id="362" w:name="_Toc13673"/>
      <w:bookmarkStart w:id="363" w:name="_Toc12412"/>
      <w:bookmarkStart w:id="364" w:name="_Toc4133"/>
      <w:bookmarkStart w:id="365" w:name="_Toc27945"/>
      <w:r>
        <w:rPr>
          <w:rFonts w:hint="eastAsia" w:ascii="宋体" w:hAnsi="宋体" w:eastAsia="宋体" w:cs="宋体"/>
          <w:b/>
          <w:sz w:val="24"/>
          <w:szCs w:val="24"/>
        </w:rPr>
        <w:t>2.3 知识产权</w:t>
      </w:r>
      <w:bookmarkEnd w:id="358"/>
      <w:bookmarkEnd w:id="359"/>
      <w:bookmarkEnd w:id="360"/>
      <w:bookmarkEnd w:id="361"/>
      <w:bookmarkEnd w:id="362"/>
      <w:bookmarkEnd w:id="363"/>
      <w:bookmarkEnd w:id="364"/>
      <w:bookmarkEnd w:id="36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pPr>
        <w:spacing w:line="560" w:lineRule="exact"/>
        <w:ind w:firstLine="480" w:firstLineChars="200"/>
        <w:rPr>
          <w:rFonts w:hint="eastAsia" w:ascii="宋体" w:hAnsi="宋体" w:eastAsia="宋体" w:cs="宋体"/>
          <w:sz w:val="24"/>
          <w:szCs w:val="24"/>
        </w:rPr>
      </w:pPr>
      <w:bookmarkStart w:id="366" w:name="_Ref467379657"/>
      <w:r>
        <w:rPr>
          <w:rFonts w:hint="eastAsia" w:ascii="宋体" w:hAnsi="宋体" w:eastAsia="宋体" w:cs="宋体"/>
          <w:sz w:val="24"/>
          <w:szCs w:val="24"/>
        </w:rPr>
        <w:t>2.4.1</w:t>
      </w:r>
      <w:bookmarkEnd w:id="366"/>
      <w:bookmarkStart w:id="367" w:name="_Toc186431854"/>
      <w:bookmarkStart w:id="368" w:name="_Toc487900357"/>
      <w:bookmarkStart w:id="369" w:name="_Toc279701247"/>
      <w:bookmarkStart w:id="370" w:name="_Ref467379793"/>
      <w:bookmarkStart w:id="371" w:name="_Ref467379807"/>
      <w:bookmarkStart w:id="372" w:name="_Toc259093676"/>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367"/>
      <w:bookmarkStart w:id="373" w:name="_Toc186431855"/>
      <w:r>
        <w:rPr>
          <w:rFonts w:hint="eastAsia" w:ascii="宋体" w:hAnsi="宋体" w:eastAsia="宋体" w:cs="宋体"/>
          <w:sz w:val="24"/>
          <w:szCs w:val="24"/>
        </w:rPr>
        <w:t>。</w:t>
      </w:r>
    </w:p>
    <w:bookmarkEnd w:id="373"/>
    <w:p>
      <w:pPr>
        <w:spacing w:line="560" w:lineRule="exact"/>
        <w:ind w:firstLine="482" w:firstLineChars="200"/>
        <w:outlineLvl w:val="0"/>
        <w:rPr>
          <w:rFonts w:hint="eastAsia" w:ascii="宋体" w:hAnsi="宋体" w:eastAsia="宋体" w:cs="宋体"/>
          <w:b/>
          <w:sz w:val="24"/>
          <w:szCs w:val="24"/>
        </w:rPr>
      </w:pPr>
      <w:bookmarkStart w:id="374" w:name="_Toc15447"/>
      <w:bookmarkStart w:id="375" w:name="_Toc22011"/>
      <w:bookmarkStart w:id="376" w:name="_Toc32670"/>
      <w:bookmarkStart w:id="377" w:name="_Toc31233"/>
      <w:bookmarkStart w:id="378" w:name="_Toc26555"/>
      <w:r>
        <w:rPr>
          <w:rFonts w:hint="eastAsia" w:ascii="宋体" w:hAnsi="宋体" w:eastAsia="宋体" w:cs="宋体"/>
          <w:b/>
          <w:sz w:val="24"/>
          <w:szCs w:val="24"/>
        </w:rPr>
        <w:t>2.5 结算方式和付款条件</w:t>
      </w:r>
      <w:bookmarkEnd w:id="368"/>
      <w:bookmarkEnd w:id="369"/>
      <w:bookmarkEnd w:id="370"/>
      <w:bookmarkEnd w:id="371"/>
      <w:bookmarkEnd w:id="372"/>
      <w:bookmarkEnd w:id="374"/>
      <w:bookmarkEnd w:id="375"/>
      <w:bookmarkEnd w:id="376"/>
      <w:bookmarkEnd w:id="377"/>
      <w:bookmarkEnd w:id="37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379" w:name="_Toc259093677"/>
      <w:bookmarkStart w:id="380" w:name="_Ref467379923"/>
      <w:bookmarkStart w:id="381" w:name="_Toc487900358"/>
      <w:bookmarkStart w:id="382" w:name="_Ref467379852"/>
      <w:bookmarkStart w:id="383" w:name="_Ref467379863"/>
      <w:bookmarkStart w:id="384" w:name="_Toc279701248"/>
      <w:bookmarkStart w:id="385" w:name="_Toc30507"/>
      <w:bookmarkStart w:id="386" w:name="_Toc18990"/>
      <w:bookmarkStart w:id="387" w:name="_Toc13154"/>
      <w:bookmarkStart w:id="388" w:name="_Toc13467"/>
      <w:bookmarkStart w:id="389" w:name="_Toc16163"/>
      <w:r>
        <w:rPr>
          <w:rFonts w:hint="eastAsia" w:ascii="宋体" w:hAnsi="宋体" w:eastAsia="宋体" w:cs="宋体"/>
          <w:b/>
          <w:sz w:val="24"/>
          <w:szCs w:val="24"/>
        </w:rPr>
        <w:t>2.6 技术资料</w:t>
      </w:r>
      <w:bookmarkEnd w:id="379"/>
      <w:bookmarkEnd w:id="380"/>
      <w:bookmarkEnd w:id="381"/>
      <w:bookmarkEnd w:id="382"/>
      <w:bookmarkEnd w:id="383"/>
      <w:bookmarkEnd w:id="384"/>
      <w:r>
        <w:rPr>
          <w:rFonts w:hint="eastAsia" w:ascii="宋体" w:hAnsi="宋体" w:eastAsia="宋体" w:cs="宋体"/>
          <w:b/>
          <w:sz w:val="24"/>
          <w:szCs w:val="24"/>
        </w:rPr>
        <w:t>和保密义务</w:t>
      </w:r>
      <w:bookmarkEnd w:id="385"/>
      <w:bookmarkEnd w:id="386"/>
      <w:bookmarkEnd w:id="387"/>
      <w:bookmarkEnd w:id="388"/>
      <w:bookmarkEnd w:id="389"/>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szCs w:val="24"/>
        </w:rPr>
      </w:pPr>
      <w:bookmarkStart w:id="390" w:name="_Toc19069"/>
      <w:bookmarkStart w:id="391" w:name="_Toc279701252"/>
      <w:bookmarkStart w:id="392" w:name="_Toc487900362"/>
      <w:bookmarkStart w:id="393" w:name="_Toc259093681"/>
      <w:r>
        <w:rPr>
          <w:rFonts w:hint="eastAsia" w:ascii="宋体" w:hAnsi="宋体" w:eastAsia="宋体" w:cs="宋体"/>
          <w:b/>
          <w:sz w:val="24"/>
          <w:szCs w:val="24"/>
        </w:rPr>
        <w:t>2.7 质量保证</w:t>
      </w:r>
      <w:bookmarkEnd w:id="39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szCs w:val="24"/>
        </w:rPr>
      </w:pPr>
      <w:bookmarkStart w:id="394" w:name="_Toc22267"/>
      <w:r>
        <w:rPr>
          <w:rFonts w:hint="eastAsia" w:ascii="宋体" w:hAnsi="宋体" w:eastAsia="宋体" w:cs="宋体"/>
          <w:b/>
          <w:sz w:val="24"/>
          <w:szCs w:val="24"/>
        </w:rPr>
        <w:t>2.8 延迟</w:t>
      </w:r>
      <w:bookmarkEnd w:id="391"/>
      <w:bookmarkEnd w:id="392"/>
      <w:bookmarkEnd w:id="393"/>
      <w:r>
        <w:rPr>
          <w:rFonts w:hint="eastAsia" w:ascii="宋体" w:hAnsi="宋体" w:eastAsia="宋体" w:cs="宋体"/>
          <w:b/>
          <w:sz w:val="24"/>
          <w:szCs w:val="24"/>
        </w:rPr>
        <w:t>履行</w:t>
      </w:r>
      <w:bookmarkEnd w:id="394"/>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szCs w:val="24"/>
        </w:rPr>
      </w:pPr>
      <w:bookmarkStart w:id="395" w:name="_Toc10611"/>
      <w:bookmarkStart w:id="396" w:name="_Toc259093683"/>
      <w:bookmarkStart w:id="397" w:name="_Toc487900364"/>
      <w:bookmarkStart w:id="398" w:name="_Ref467378121"/>
      <w:bookmarkStart w:id="399" w:name="_Toc279701254"/>
      <w:r>
        <w:rPr>
          <w:rFonts w:hint="eastAsia" w:ascii="宋体" w:hAnsi="宋体" w:eastAsia="宋体" w:cs="宋体"/>
          <w:b/>
          <w:sz w:val="24"/>
          <w:szCs w:val="24"/>
        </w:rPr>
        <w:t>2.9 合同变更</w:t>
      </w:r>
      <w:bookmarkEnd w:id="39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00" w:name="_Toc487900369"/>
      <w:bookmarkStart w:id="401" w:name="_Toc279701259"/>
      <w:bookmarkStart w:id="402" w:name="_Toc259093688"/>
    </w:p>
    <w:p>
      <w:pPr>
        <w:spacing w:line="560" w:lineRule="exact"/>
        <w:ind w:firstLine="482" w:firstLineChars="200"/>
        <w:outlineLvl w:val="0"/>
        <w:rPr>
          <w:rFonts w:hint="eastAsia" w:ascii="宋体" w:hAnsi="宋体" w:eastAsia="宋体" w:cs="宋体"/>
          <w:b/>
          <w:sz w:val="24"/>
          <w:szCs w:val="24"/>
        </w:rPr>
      </w:pPr>
      <w:bookmarkStart w:id="403" w:name="_Toc42"/>
      <w:bookmarkStart w:id="404" w:name="_Toc10663"/>
      <w:bookmarkStart w:id="405" w:name="_Toc23368"/>
      <w:bookmarkStart w:id="406" w:name="_Toc21830"/>
      <w:bookmarkStart w:id="407" w:name="_Toc26689"/>
      <w:r>
        <w:rPr>
          <w:rFonts w:hint="eastAsia" w:ascii="宋体" w:hAnsi="宋体" w:eastAsia="宋体" w:cs="宋体"/>
          <w:b/>
          <w:sz w:val="24"/>
          <w:szCs w:val="24"/>
        </w:rPr>
        <w:t>2.10 合同转让</w:t>
      </w:r>
      <w:bookmarkEnd w:id="400"/>
      <w:bookmarkEnd w:id="401"/>
      <w:bookmarkEnd w:id="402"/>
      <w:r>
        <w:rPr>
          <w:rFonts w:hint="eastAsia" w:ascii="宋体" w:hAnsi="宋体" w:eastAsia="宋体" w:cs="宋体"/>
          <w:b/>
          <w:sz w:val="24"/>
          <w:szCs w:val="24"/>
        </w:rPr>
        <w:t>和分包</w:t>
      </w:r>
      <w:bookmarkEnd w:id="403"/>
      <w:bookmarkEnd w:id="404"/>
      <w:bookmarkEnd w:id="405"/>
      <w:bookmarkEnd w:id="406"/>
      <w:bookmarkEnd w:id="407"/>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szCs w:val="24"/>
        </w:rPr>
      </w:pPr>
      <w:bookmarkStart w:id="408" w:name="_Toc14371"/>
      <w:bookmarkStart w:id="409" w:name="_Toc26633"/>
      <w:bookmarkStart w:id="410" w:name="_Toc32494"/>
      <w:bookmarkStart w:id="411" w:name="_Toc25571"/>
      <w:bookmarkStart w:id="412" w:name="_Toc4720"/>
      <w:r>
        <w:rPr>
          <w:rFonts w:hint="eastAsia" w:ascii="宋体" w:hAnsi="宋体" w:eastAsia="宋体" w:cs="宋体"/>
          <w:b/>
          <w:sz w:val="24"/>
          <w:szCs w:val="24"/>
        </w:rPr>
        <w:t>2.11 不可抗力</w:t>
      </w:r>
      <w:bookmarkEnd w:id="408"/>
      <w:bookmarkEnd w:id="409"/>
      <w:bookmarkEnd w:id="410"/>
      <w:bookmarkEnd w:id="411"/>
      <w:bookmarkEnd w:id="41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szCs w:val="24"/>
        </w:rPr>
      </w:pPr>
      <w:bookmarkStart w:id="413" w:name="_Toc23854"/>
      <w:bookmarkStart w:id="414" w:name="_Toc487900365"/>
      <w:bookmarkStart w:id="415" w:name="_Toc279701255"/>
      <w:bookmarkStart w:id="416" w:name="_Toc14115"/>
      <w:bookmarkStart w:id="417" w:name="_Toc259093684"/>
      <w:bookmarkStart w:id="418" w:name="_Toc25783"/>
      <w:bookmarkStart w:id="419" w:name="_Toc24465"/>
      <w:bookmarkStart w:id="420" w:name="_Toc3638"/>
      <w:r>
        <w:rPr>
          <w:rFonts w:hint="eastAsia" w:ascii="宋体" w:hAnsi="宋体" w:eastAsia="宋体" w:cs="宋体"/>
          <w:b/>
          <w:sz w:val="24"/>
          <w:szCs w:val="24"/>
        </w:rPr>
        <w:t>2.12 税费</w:t>
      </w:r>
      <w:bookmarkEnd w:id="413"/>
      <w:bookmarkEnd w:id="414"/>
      <w:bookmarkEnd w:id="415"/>
      <w:bookmarkEnd w:id="416"/>
      <w:bookmarkEnd w:id="417"/>
      <w:bookmarkEnd w:id="418"/>
      <w:bookmarkEnd w:id="419"/>
      <w:bookmarkEnd w:id="42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szCs w:val="24"/>
        </w:rPr>
      </w:pPr>
      <w:bookmarkStart w:id="421" w:name="_Toc26883"/>
      <w:bookmarkStart w:id="422" w:name="_Toc279701258"/>
      <w:bookmarkStart w:id="423" w:name="_Toc259093687"/>
      <w:bookmarkStart w:id="424" w:name="_Toc25525"/>
      <w:bookmarkStart w:id="425" w:name="_Toc14814"/>
      <w:bookmarkStart w:id="426" w:name="_Toc487900368"/>
      <w:bookmarkStart w:id="427" w:name="_Toc7315"/>
      <w:bookmarkStart w:id="428" w:name="_Toc30105"/>
      <w:r>
        <w:rPr>
          <w:rFonts w:hint="eastAsia" w:ascii="宋体" w:hAnsi="宋体" w:eastAsia="宋体" w:cs="宋体"/>
          <w:b/>
          <w:sz w:val="24"/>
          <w:szCs w:val="24"/>
        </w:rPr>
        <w:t>2.13 乙方破产</w:t>
      </w:r>
      <w:bookmarkEnd w:id="421"/>
      <w:bookmarkEnd w:id="422"/>
      <w:bookmarkEnd w:id="423"/>
      <w:bookmarkEnd w:id="424"/>
      <w:bookmarkEnd w:id="425"/>
      <w:bookmarkEnd w:id="426"/>
      <w:bookmarkEnd w:id="427"/>
      <w:bookmarkEnd w:id="42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szCs w:val="24"/>
        </w:rPr>
      </w:pPr>
      <w:bookmarkStart w:id="429" w:name="_Toc1123"/>
      <w:bookmarkStart w:id="430" w:name="_Toc2016"/>
      <w:bookmarkStart w:id="431" w:name="_Toc23323"/>
      <w:r>
        <w:rPr>
          <w:rFonts w:hint="eastAsia" w:ascii="宋体" w:hAnsi="宋体" w:eastAsia="宋体" w:cs="宋体"/>
          <w:b/>
          <w:sz w:val="24"/>
          <w:szCs w:val="24"/>
        </w:rPr>
        <w:t>2.14 合同中止、终止</w:t>
      </w:r>
      <w:bookmarkEnd w:id="429"/>
      <w:bookmarkEnd w:id="430"/>
      <w:bookmarkEnd w:id="431"/>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szCs w:val="24"/>
        </w:rPr>
      </w:pPr>
      <w:bookmarkStart w:id="432" w:name="_Toc1969"/>
      <w:bookmarkStart w:id="433" w:name="_Toc17363"/>
      <w:bookmarkStart w:id="434" w:name="_Toc14525"/>
      <w:r>
        <w:rPr>
          <w:rFonts w:hint="eastAsia" w:ascii="宋体" w:hAnsi="宋体" w:eastAsia="宋体" w:cs="宋体"/>
          <w:b/>
          <w:sz w:val="24"/>
          <w:szCs w:val="24"/>
        </w:rPr>
        <w:t>2.15 检验和验收</w:t>
      </w:r>
      <w:bookmarkEnd w:id="432"/>
      <w:bookmarkEnd w:id="433"/>
      <w:bookmarkEnd w:id="434"/>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396"/>
    <w:bookmarkEnd w:id="397"/>
    <w:bookmarkEnd w:id="398"/>
    <w:bookmarkEnd w:id="399"/>
    <w:p>
      <w:pPr>
        <w:spacing w:line="560" w:lineRule="exact"/>
        <w:ind w:firstLine="482" w:firstLineChars="200"/>
        <w:outlineLvl w:val="0"/>
        <w:rPr>
          <w:rFonts w:hint="eastAsia" w:ascii="宋体" w:hAnsi="宋体" w:eastAsia="宋体" w:cs="宋体"/>
          <w:b/>
          <w:sz w:val="24"/>
          <w:szCs w:val="24"/>
        </w:rPr>
      </w:pPr>
      <w:bookmarkStart w:id="435" w:name="_Toc279701261"/>
      <w:bookmarkStart w:id="436" w:name="_Toc487900371"/>
      <w:bookmarkStart w:id="437" w:name="_Toc259093690"/>
      <w:bookmarkStart w:id="438" w:name="_Toc31892"/>
      <w:bookmarkStart w:id="439" w:name="_Toc9808"/>
      <w:bookmarkStart w:id="440" w:name="_Toc2308"/>
      <w:bookmarkStart w:id="441" w:name="_Toc25198"/>
      <w:bookmarkStart w:id="442" w:name="_Toc12666"/>
      <w:r>
        <w:rPr>
          <w:rFonts w:hint="eastAsia" w:ascii="宋体" w:hAnsi="宋体" w:eastAsia="宋体" w:cs="宋体"/>
          <w:b/>
          <w:sz w:val="24"/>
          <w:szCs w:val="24"/>
        </w:rPr>
        <w:t>2.16 通知</w:t>
      </w:r>
      <w:bookmarkEnd w:id="435"/>
      <w:bookmarkEnd w:id="436"/>
      <w:bookmarkEnd w:id="437"/>
      <w:r>
        <w:rPr>
          <w:rFonts w:hint="eastAsia" w:ascii="宋体" w:hAnsi="宋体" w:eastAsia="宋体" w:cs="宋体"/>
          <w:b/>
          <w:sz w:val="24"/>
          <w:szCs w:val="24"/>
        </w:rPr>
        <w:t>和送达</w:t>
      </w:r>
      <w:bookmarkEnd w:id="438"/>
      <w:bookmarkEnd w:id="439"/>
      <w:bookmarkEnd w:id="440"/>
      <w:bookmarkEnd w:id="441"/>
      <w:bookmarkEnd w:id="442"/>
    </w:p>
    <w:p>
      <w:pPr>
        <w:spacing w:line="560" w:lineRule="exact"/>
        <w:ind w:firstLine="480" w:firstLineChars="200"/>
        <w:rPr>
          <w:rFonts w:hint="eastAsia" w:ascii="宋体" w:hAnsi="宋体" w:eastAsia="宋体" w:cs="宋体"/>
          <w:sz w:val="24"/>
          <w:szCs w:val="24"/>
        </w:rPr>
      </w:pPr>
      <w:bookmarkStart w:id="443" w:name="_Toc29220"/>
      <w:bookmarkStart w:id="444" w:name="_Toc7073"/>
      <w:bookmarkStart w:id="445" w:name="_Toc279701262"/>
      <w:bookmarkStart w:id="446" w:name="_Toc259093691"/>
      <w:bookmarkStart w:id="447" w:name="_Toc48790037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443"/>
      <w:bookmarkEnd w:id="444"/>
    </w:p>
    <w:p>
      <w:pPr>
        <w:spacing w:line="560" w:lineRule="exact"/>
        <w:ind w:firstLine="480" w:firstLineChars="200"/>
        <w:rPr>
          <w:rFonts w:hint="eastAsia" w:ascii="宋体" w:hAnsi="宋体" w:eastAsia="宋体" w:cs="宋体"/>
          <w:sz w:val="24"/>
          <w:szCs w:val="24"/>
        </w:rPr>
      </w:pPr>
      <w:bookmarkStart w:id="448" w:name="_Toc18401"/>
      <w:bookmarkStart w:id="449"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8"/>
      <w:bookmarkEnd w:id="449"/>
    </w:p>
    <w:bookmarkEnd w:id="445"/>
    <w:bookmarkEnd w:id="446"/>
    <w:bookmarkEnd w:id="447"/>
    <w:p>
      <w:pPr>
        <w:spacing w:line="560" w:lineRule="exact"/>
        <w:ind w:firstLine="482" w:firstLineChars="200"/>
        <w:outlineLvl w:val="0"/>
        <w:rPr>
          <w:rFonts w:hint="eastAsia" w:ascii="宋体" w:hAnsi="宋体" w:eastAsia="宋体" w:cs="宋体"/>
          <w:b/>
          <w:sz w:val="24"/>
          <w:szCs w:val="24"/>
        </w:rPr>
      </w:pPr>
      <w:bookmarkStart w:id="450" w:name="_Toc27644"/>
      <w:bookmarkStart w:id="451" w:name="_Toc259093692"/>
      <w:bookmarkStart w:id="452" w:name="_Toc12254"/>
      <w:bookmarkStart w:id="453" w:name="_Toc28906"/>
      <w:bookmarkStart w:id="454" w:name="_Toc5063"/>
      <w:bookmarkStart w:id="455" w:name="_Toc487900373"/>
      <w:bookmarkStart w:id="456" w:name="_Toc279701263"/>
      <w:bookmarkStart w:id="457" w:name="_Toc20808"/>
      <w:r>
        <w:rPr>
          <w:rFonts w:hint="eastAsia" w:ascii="宋体" w:hAnsi="宋体" w:eastAsia="宋体" w:cs="宋体"/>
          <w:b/>
          <w:sz w:val="24"/>
          <w:szCs w:val="24"/>
        </w:rPr>
        <w:t>2.17 合同使用的文字和适用的法律</w:t>
      </w:r>
      <w:bookmarkEnd w:id="450"/>
      <w:bookmarkEnd w:id="451"/>
      <w:bookmarkEnd w:id="452"/>
      <w:bookmarkEnd w:id="453"/>
      <w:bookmarkEnd w:id="454"/>
      <w:bookmarkEnd w:id="455"/>
      <w:bookmarkEnd w:id="456"/>
      <w:bookmarkEnd w:id="457"/>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pPr>
        <w:spacing w:line="560" w:lineRule="exact"/>
        <w:ind w:firstLine="482" w:firstLineChars="200"/>
        <w:outlineLvl w:val="0"/>
        <w:rPr>
          <w:rFonts w:hint="eastAsia" w:ascii="宋体" w:hAnsi="宋体" w:eastAsia="宋体" w:cs="宋体"/>
          <w:b/>
          <w:sz w:val="24"/>
          <w:szCs w:val="24"/>
        </w:rPr>
      </w:pPr>
      <w:bookmarkStart w:id="458" w:name="_Toc279701264"/>
      <w:bookmarkStart w:id="459" w:name="_Toc27403"/>
      <w:bookmarkStart w:id="460" w:name="_Toc1492"/>
      <w:bookmarkStart w:id="461" w:name="_Toc30096"/>
      <w:bookmarkStart w:id="462" w:name="_Toc27127"/>
      <w:bookmarkStart w:id="463" w:name="_Toc259093693"/>
      <w:bookmarkStart w:id="464" w:name="_Toc487900374"/>
      <w:r>
        <w:rPr>
          <w:rFonts w:hint="eastAsia" w:ascii="宋体" w:hAnsi="宋体" w:eastAsia="宋体" w:cs="宋体"/>
          <w:b/>
          <w:sz w:val="24"/>
          <w:szCs w:val="24"/>
        </w:rPr>
        <w:t>2.18 履约保证金</w:t>
      </w:r>
      <w:bookmarkEnd w:id="458"/>
      <w:bookmarkEnd w:id="459"/>
      <w:bookmarkEnd w:id="460"/>
      <w:bookmarkEnd w:id="461"/>
      <w:bookmarkEnd w:id="462"/>
      <w:bookmarkEnd w:id="46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w:t>
      </w:r>
      <w:r>
        <w:rPr>
          <w:rFonts w:hint="eastAsia" w:ascii="宋体" w:hAnsi="宋体" w:cs="宋体"/>
          <w:sz w:val="24"/>
          <w:szCs w:val="24"/>
          <w:lang w:val="en-US" w:eastAsia="zh-CN"/>
        </w:rPr>
        <w:t>5</w:t>
      </w:r>
      <w:r>
        <w:rPr>
          <w:rFonts w:hint="eastAsia" w:ascii="宋体" w:hAnsi="宋体" w:eastAsia="宋体" w:cs="宋体"/>
          <w:sz w:val="24"/>
          <w:szCs w:val="24"/>
        </w:rPr>
        <w:t>%的履约保证金；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个工作日内，甲方应将履约保证金退还乙方；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64"/>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75"/>
        <w:spacing w:line="560" w:lineRule="exact"/>
        <w:ind w:firstLine="0"/>
        <w:jc w:val="center"/>
        <w:rPr>
          <w:rFonts w:hint="eastAsia" w:ascii="宋体" w:hAnsi="宋体" w:eastAsia="宋体" w:cs="宋体"/>
          <w:b/>
          <w:sz w:val="24"/>
          <w:szCs w:val="24"/>
        </w:rPr>
      </w:pPr>
      <w:r>
        <w:rPr>
          <w:rFonts w:hint="eastAsia" w:ascii="宋体" w:hAnsi="宋体" w:eastAsia="宋体" w:cs="宋体"/>
          <w:sz w:val="24"/>
          <w:szCs w:val="24"/>
        </w:rPr>
        <w:br w:type="page"/>
      </w:r>
      <w:bookmarkStart w:id="465" w:name="_Toc331685784"/>
      <w:r>
        <w:rPr>
          <w:rFonts w:hint="eastAsia" w:ascii="宋体" w:hAnsi="宋体" w:eastAsia="宋体" w:cs="宋体"/>
          <w:b/>
          <w:sz w:val="24"/>
          <w:szCs w:val="24"/>
        </w:rPr>
        <w:t>第三部分  合同专用条款</w:t>
      </w:r>
      <w:bookmarkEnd w:id="46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pPr w:leftFromText="180" w:rightFromText="180" w:vertAnchor="text" w:horzAnchor="page" w:tblpX="1098" w:tblpY="953"/>
        <w:tblOverlap w:val="never"/>
        <w:tblW w:w="97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3"/>
        <w:gridCol w:w="8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8796" w:type="dxa"/>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pPr>
              <w:spacing w:line="560" w:lineRule="exact"/>
              <w:rPr>
                <w:rFonts w:hint="eastAsia" w:ascii="宋体" w:hAnsi="宋体" w:eastAsia="宋体" w:cs="宋体"/>
                <w:sz w:val="24"/>
                <w:szCs w:val="24"/>
              </w:rPr>
            </w:pPr>
          </w:p>
        </w:tc>
        <w:tc>
          <w:tcPr>
            <w:tcW w:w="8796" w:type="dxa"/>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sz w:val="24"/>
                <w:szCs w:val="24"/>
              </w:rPr>
            </w:pPr>
          </w:p>
        </w:tc>
        <w:tc>
          <w:tcPr>
            <w:tcW w:w="87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9" w:hRule="atLeast"/>
        </w:trPr>
        <w:tc>
          <w:tcPr>
            <w:tcW w:w="923"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sz w:val="24"/>
                <w:szCs w:val="24"/>
              </w:rPr>
            </w:pPr>
          </w:p>
        </w:tc>
        <w:tc>
          <w:tcPr>
            <w:tcW w:w="87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sz w:val="24"/>
                <w:szCs w:val="24"/>
              </w:rPr>
            </w:pPr>
          </w:p>
        </w:tc>
      </w:tr>
    </w:tbl>
    <w:p>
      <w:pPr>
        <w:pStyle w:val="25"/>
        <w:spacing w:line="360" w:lineRule="auto"/>
        <w:rPr>
          <w:rFonts w:hint="eastAsia" w:ascii="仿宋" w:hAnsi="仿宋" w:eastAsia="仿宋" w:cs="仿宋"/>
          <w:b/>
          <w:bCs/>
          <w:color w:val="auto"/>
          <w:sz w:val="24"/>
          <w:szCs w:val="24"/>
          <w:highlight w:val="none"/>
        </w:rPr>
      </w:pPr>
    </w:p>
    <w:p>
      <w:pPr>
        <w:pStyle w:val="25"/>
        <w:spacing w:line="360" w:lineRule="auto"/>
        <w:ind w:firstLine="241" w:firstLineChars="100"/>
        <w:rPr>
          <w:rFonts w:hint="eastAsia" w:ascii="仿宋" w:hAnsi="仿宋" w:eastAsia="仿宋" w:cs="仿宋"/>
          <w:b/>
          <w:bCs/>
          <w:color w:val="auto"/>
          <w:sz w:val="24"/>
          <w:szCs w:val="24"/>
          <w:highlight w:val="none"/>
        </w:rPr>
      </w:pPr>
    </w:p>
    <w:p>
      <w:pPr>
        <w:pStyle w:val="25"/>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未尽事宜，在签订合同时具体约定。</w:t>
      </w:r>
    </w:p>
    <w:p>
      <w:pPr>
        <w:pStyle w:val="25"/>
        <w:spacing w:line="360" w:lineRule="auto"/>
        <w:ind w:firstLine="241" w:firstLineChars="100"/>
        <w:rPr>
          <w:rFonts w:hint="eastAsia" w:ascii="仿宋" w:hAnsi="仿宋" w:eastAsia="仿宋" w:cs="仿宋"/>
          <w:b/>
          <w:bCs/>
          <w:color w:val="auto"/>
          <w:sz w:val="24"/>
          <w:szCs w:val="24"/>
          <w:highlight w:val="none"/>
        </w:rPr>
      </w:pPr>
    </w:p>
    <w:p>
      <w:pPr>
        <w:pStyle w:val="25"/>
        <w:spacing w:line="360" w:lineRule="auto"/>
        <w:ind w:firstLine="241" w:firstLineChars="100"/>
        <w:rPr>
          <w:rFonts w:hint="eastAsia" w:ascii="仿宋" w:hAnsi="仿宋" w:eastAsia="仿宋" w:cs="仿宋"/>
          <w:b/>
          <w:bCs/>
          <w:color w:val="auto"/>
          <w:sz w:val="24"/>
          <w:szCs w:val="24"/>
          <w:highlight w:val="none"/>
        </w:rPr>
      </w:pPr>
    </w:p>
    <w:p>
      <w:pPr>
        <w:pStyle w:val="25"/>
        <w:spacing w:line="360" w:lineRule="auto"/>
        <w:ind w:firstLine="241" w:firstLineChars="100"/>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31"/>
        <w:numPr>
          <w:ilvl w:val="0"/>
          <w:numId w:val="0"/>
        </w:numPr>
        <w:jc w:val="both"/>
        <w:rPr>
          <w:rFonts w:hint="eastAsia" w:ascii="仿宋" w:hAnsi="仿宋" w:eastAsia="仿宋" w:cs="仿宋"/>
          <w:b/>
          <w:bCs/>
          <w:snapToGrid/>
          <w:color w:val="auto"/>
          <w:kern w:val="44"/>
          <w:sz w:val="30"/>
          <w:szCs w:val="30"/>
          <w:highlight w:val="none"/>
          <w:lang w:val="en-US" w:eastAsia="zh-CN" w:bidi="ar-SA"/>
        </w:rPr>
      </w:pPr>
      <w:bookmarkStart w:id="466" w:name="_Toc3845"/>
    </w:p>
    <w:p>
      <w:pPr>
        <w:pStyle w:val="31"/>
        <w:numPr>
          <w:ilvl w:val="0"/>
          <w:numId w:val="0"/>
        </w:numPr>
        <w:jc w:val="center"/>
        <w:rPr>
          <w:rFonts w:hint="eastAsia" w:ascii="仿宋" w:hAnsi="仿宋" w:eastAsia="仿宋" w:cs="仿宋"/>
          <w:b/>
          <w:bCs/>
          <w:snapToGrid/>
          <w:color w:val="auto"/>
          <w:kern w:val="44"/>
          <w:sz w:val="30"/>
          <w:szCs w:val="30"/>
          <w:highlight w:val="none"/>
          <w:lang w:val="en-US" w:eastAsia="zh-CN" w:bidi="ar-SA"/>
        </w:rPr>
      </w:pPr>
      <w:r>
        <w:rPr>
          <w:rFonts w:hint="eastAsia" w:ascii="仿宋" w:hAnsi="仿宋" w:eastAsia="仿宋" w:cs="仿宋"/>
          <w:b/>
          <w:bCs/>
          <w:snapToGrid/>
          <w:color w:val="auto"/>
          <w:kern w:val="44"/>
          <w:sz w:val="30"/>
          <w:szCs w:val="30"/>
          <w:highlight w:val="none"/>
          <w:lang w:val="en-US" w:eastAsia="zh-CN" w:bidi="ar-SA"/>
        </w:rPr>
        <w:t>第五章  采购内容及要求</w:t>
      </w:r>
      <w:bookmarkEnd w:id="466"/>
    </w:p>
    <w:p>
      <w:pPr>
        <w:pStyle w:val="16"/>
        <w:spacing w:before="208" w:line="219" w:lineRule="auto"/>
        <w:ind w:left="507"/>
        <w:rPr>
          <w:sz w:val="24"/>
          <w:szCs w:val="24"/>
        </w:rPr>
      </w:pPr>
      <w:r>
        <w:rPr>
          <w:color w:val="3E3E3E"/>
          <w:spacing w:val="-3"/>
          <w:sz w:val="24"/>
          <w:szCs w:val="24"/>
        </w:rPr>
        <w:t>一、服务要求</w:t>
      </w:r>
    </w:p>
    <w:p>
      <w:pPr>
        <w:pStyle w:val="16"/>
        <w:spacing w:before="183" w:line="219" w:lineRule="auto"/>
        <w:ind w:left="514"/>
        <w:rPr>
          <w:sz w:val="24"/>
          <w:szCs w:val="24"/>
        </w:rPr>
      </w:pPr>
      <w:r>
        <w:rPr>
          <w:spacing w:val="-3"/>
          <w:sz w:val="24"/>
          <w:szCs w:val="24"/>
        </w:rPr>
        <w:t>（1）服务内容要求</w:t>
      </w:r>
    </w:p>
    <w:p>
      <w:pPr>
        <w:pStyle w:val="16"/>
        <w:spacing w:before="283" w:line="313" w:lineRule="auto"/>
        <w:ind w:left="26" w:firstLine="494"/>
        <w:rPr>
          <w:sz w:val="24"/>
          <w:szCs w:val="24"/>
        </w:rPr>
      </w:pPr>
      <w:r>
        <w:rPr>
          <w:color w:val="3E3E3E"/>
          <w:spacing w:val="-1"/>
          <w:sz w:val="24"/>
          <w:szCs w:val="24"/>
        </w:rPr>
        <w:t>1、所有的维保工作将严格按照国家有消防规范执行，所有的维保和维修工作验</w:t>
      </w:r>
      <w:r>
        <w:rPr>
          <w:color w:val="3E3E3E"/>
          <w:spacing w:val="-7"/>
          <w:sz w:val="24"/>
          <w:szCs w:val="24"/>
        </w:rPr>
        <w:t>收标准同样按规范标准和《规定》执行。所有与维</w:t>
      </w:r>
      <w:r>
        <w:rPr>
          <w:color w:val="3E3E3E"/>
          <w:spacing w:val="-8"/>
          <w:sz w:val="24"/>
          <w:szCs w:val="24"/>
        </w:rPr>
        <w:t>保工作有关的检测试验仪器、机械、</w:t>
      </w:r>
      <w:r>
        <w:rPr>
          <w:color w:val="3E3E3E"/>
          <w:spacing w:val="-1"/>
          <w:sz w:val="24"/>
          <w:szCs w:val="24"/>
        </w:rPr>
        <w:t>工器具均由乙方自带，所有与维保工作的辅助材料均由乙方提供。</w:t>
      </w:r>
    </w:p>
    <w:p>
      <w:pPr>
        <w:pStyle w:val="16"/>
        <w:spacing w:before="281" w:line="325" w:lineRule="auto"/>
        <w:ind w:left="23" w:right="80" w:firstLine="482"/>
        <w:rPr>
          <w:sz w:val="24"/>
          <w:szCs w:val="24"/>
        </w:rPr>
      </w:pPr>
      <w:r>
        <w:rPr>
          <w:color w:val="3E3E3E"/>
          <w:sz w:val="24"/>
          <w:szCs w:val="24"/>
        </w:rPr>
        <w:t>2、在维保过程中严格遵守业主各项规章制度和安全管理规范，遵守外包要</w:t>
      </w:r>
      <w:r>
        <w:rPr>
          <w:color w:val="3E3E3E"/>
          <w:spacing w:val="-1"/>
          <w:sz w:val="24"/>
          <w:szCs w:val="24"/>
        </w:rPr>
        <w:t>求，</w:t>
      </w:r>
      <w:r>
        <w:rPr>
          <w:color w:val="3E3E3E"/>
          <w:sz w:val="24"/>
          <w:szCs w:val="24"/>
        </w:rPr>
        <w:t xml:space="preserve"> 并郑重承诺本单位从事维保的人员在贵单位的任何所作所</w:t>
      </w:r>
      <w:r>
        <w:rPr>
          <w:color w:val="3E3E3E"/>
          <w:spacing w:val="-1"/>
          <w:sz w:val="24"/>
          <w:szCs w:val="24"/>
        </w:rPr>
        <w:t>为均由公司承担相应的法</w:t>
      </w:r>
      <w:r>
        <w:rPr>
          <w:color w:val="3E3E3E"/>
          <w:sz w:val="24"/>
          <w:szCs w:val="24"/>
        </w:rPr>
        <w:t xml:space="preserve">  </w:t>
      </w:r>
      <w:r>
        <w:rPr>
          <w:color w:val="3E3E3E"/>
          <w:spacing w:val="-3"/>
          <w:sz w:val="24"/>
          <w:szCs w:val="24"/>
        </w:rPr>
        <w:t>律责任。维护人员凡任何违反安全操作规程所造成的事故，均由乙</w:t>
      </w:r>
      <w:r>
        <w:rPr>
          <w:color w:val="3E3E3E"/>
          <w:spacing w:val="-4"/>
          <w:sz w:val="24"/>
          <w:szCs w:val="24"/>
        </w:rPr>
        <w:t>方承担责任。并承</w:t>
      </w:r>
      <w:r>
        <w:rPr>
          <w:color w:val="3E3E3E"/>
          <w:spacing w:val="-2"/>
          <w:sz w:val="24"/>
          <w:szCs w:val="24"/>
        </w:rPr>
        <w:t>担相应的经济责任。</w:t>
      </w:r>
    </w:p>
    <w:p>
      <w:pPr>
        <w:pStyle w:val="16"/>
        <w:spacing w:before="282" w:line="290" w:lineRule="auto"/>
        <w:ind w:left="23" w:right="80" w:firstLine="484"/>
        <w:rPr>
          <w:sz w:val="24"/>
          <w:szCs w:val="24"/>
        </w:rPr>
      </w:pPr>
      <w:r>
        <w:rPr>
          <w:color w:val="3E3E3E"/>
          <w:spacing w:val="-7"/>
          <w:sz w:val="24"/>
          <w:szCs w:val="24"/>
        </w:rPr>
        <w:t>3、如果需对消防系统进行全面检修和测试，承诺将在业主规定的时间内完成（指</w:t>
      </w:r>
      <w:r>
        <w:rPr>
          <w:color w:val="3E3E3E"/>
          <w:spacing w:val="8"/>
          <w:sz w:val="24"/>
          <w:szCs w:val="24"/>
        </w:rPr>
        <w:t xml:space="preserve"> </w:t>
      </w:r>
      <w:r>
        <w:rPr>
          <w:color w:val="3E3E3E"/>
          <w:spacing w:val="-1"/>
          <w:sz w:val="24"/>
          <w:szCs w:val="24"/>
        </w:rPr>
        <w:t>检测、测试、运行自检合格包括业主验收）。</w:t>
      </w:r>
    </w:p>
    <w:p>
      <w:pPr>
        <w:pStyle w:val="16"/>
        <w:spacing w:before="284" w:line="219" w:lineRule="auto"/>
        <w:ind w:left="502"/>
        <w:rPr>
          <w:sz w:val="24"/>
          <w:szCs w:val="24"/>
        </w:rPr>
      </w:pPr>
      <w:r>
        <w:rPr>
          <w:color w:val="3E3E3E"/>
          <w:sz w:val="24"/>
          <w:szCs w:val="24"/>
        </w:rPr>
        <w:t>4、维保内容严格按维保方案进行，不得有</w:t>
      </w:r>
      <w:r>
        <w:rPr>
          <w:color w:val="3E3E3E"/>
          <w:spacing w:val="-1"/>
          <w:sz w:val="24"/>
          <w:szCs w:val="24"/>
        </w:rPr>
        <w:t>任何减少项目的行为。</w:t>
      </w:r>
    </w:p>
    <w:p>
      <w:pPr>
        <w:pStyle w:val="16"/>
        <w:spacing w:before="281" w:line="347" w:lineRule="auto"/>
        <w:ind w:left="29" w:right="30" w:firstLine="479"/>
        <w:rPr>
          <w:sz w:val="24"/>
          <w:szCs w:val="24"/>
        </w:rPr>
      </w:pPr>
      <w:r>
        <w:rPr>
          <w:color w:val="3E3E3E"/>
          <w:spacing w:val="-5"/>
          <w:sz w:val="24"/>
          <w:szCs w:val="24"/>
        </w:rPr>
        <w:t>5、</w:t>
      </w:r>
      <w:r>
        <w:rPr>
          <w:color w:val="3E3E3E"/>
          <w:spacing w:val="-69"/>
          <w:sz w:val="24"/>
          <w:szCs w:val="24"/>
        </w:rPr>
        <w:t xml:space="preserve"> </w:t>
      </w:r>
      <w:r>
        <w:rPr>
          <w:color w:val="3E3E3E"/>
          <w:spacing w:val="-5"/>
          <w:sz w:val="24"/>
          <w:szCs w:val="24"/>
        </w:rPr>
        <w:t>日常维护电话为</w:t>
      </w:r>
      <w:r>
        <w:rPr>
          <w:color w:val="3E3E3E"/>
          <w:spacing w:val="-48"/>
          <w:sz w:val="24"/>
          <w:szCs w:val="24"/>
        </w:rPr>
        <w:t xml:space="preserve"> </w:t>
      </w:r>
      <w:r>
        <w:rPr>
          <w:color w:val="3E3E3E"/>
          <w:spacing w:val="-5"/>
          <w:sz w:val="24"/>
          <w:szCs w:val="24"/>
        </w:rPr>
        <w:t>24</w:t>
      </w:r>
      <w:r>
        <w:rPr>
          <w:color w:val="3E3E3E"/>
          <w:spacing w:val="-44"/>
          <w:sz w:val="24"/>
          <w:szCs w:val="24"/>
        </w:rPr>
        <w:t xml:space="preserve"> </w:t>
      </w:r>
      <w:r>
        <w:rPr>
          <w:color w:val="3E3E3E"/>
          <w:spacing w:val="-5"/>
          <w:sz w:val="24"/>
          <w:szCs w:val="24"/>
        </w:rPr>
        <w:t>小时服务，维护工作</w:t>
      </w:r>
      <w:r>
        <w:rPr>
          <w:color w:val="3E3E3E"/>
          <w:spacing w:val="-6"/>
          <w:sz w:val="24"/>
          <w:szCs w:val="24"/>
        </w:rPr>
        <w:t>人员接到电话在</w:t>
      </w:r>
      <w:r>
        <w:rPr>
          <w:color w:val="3E3E3E"/>
          <w:spacing w:val="-33"/>
          <w:sz w:val="24"/>
          <w:szCs w:val="24"/>
        </w:rPr>
        <w:t xml:space="preserve"> </w:t>
      </w:r>
      <w:r>
        <w:rPr>
          <w:color w:val="3E3E3E"/>
          <w:spacing w:val="-6"/>
          <w:sz w:val="24"/>
          <w:szCs w:val="24"/>
        </w:rPr>
        <w:t>1</w:t>
      </w:r>
      <w:r>
        <w:rPr>
          <w:color w:val="3E3E3E"/>
          <w:spacing w:val="-44"/>
          <w:sz w:val="24"/>
          <w:szCs w:val="24"/>
        </w:rPr>
        <w:t xml:space="preserve"> </w:t>
      </w:r>
      <w:r>
        <w:rPr>
          <w:color w:val="3E3E3E"/>
          <w:spacing w:val="-6"/>
          <w:sz w:val="24"/>
          <w:szCs w:val="24"/>
        </w:rPr>
        <w:t>小时内到达现场，</w:t>
      </w:r>
      <w:r>
        <w:rPr>
          <w:color w:val="3E3E3E"/>
          <w:sz w:val="24"/>
          <w:szCs w:val="24"/>
        </w:rPr>
        <w:t xml:space="preserve"> </w:t>
      </w:r>
      <w:r>
        <w:rPr>
          <w:color w:val="3E3E3E"/>
          <w:spacing w:val="-3"/>
          <w:sz w:val="24"/>
          <w:szCs w:val="24"/>
        </w:rPr>
        <w:t>并专设</w:t>
      </w:r>
      <w:r>
        <w:rPr>
          <w:color w:val="3E3E3E"/>
          <w:spacing w:val="-32"/>
          <w:sz w:val="24"/>
          <w:szCs w:val="24"/>
        </w:rPr>
        <w:t xml:space="preserve"> </w:t>
      </w:r>
      <w:r>
        <w:rPr>
          <w:color w:val="3E3E3E"/>
          <w:spacing w:val="-3"/>
          <w:sz w:val="24"/>
          <w:szCs w:val="24"/>
        </w:rPr>
        <w:t>1</w:t>
      </w:r>
      <w:r>
        <w:rPr>
          <w:color w:val="3E3E3E"/>
          <w:spacing w:val="-48"/>
          <w:sz w:val="24"/>
          <w:szCs w:val="24"/>
        </w:rPr>
        <w:t xml:space="preserve"> </w:t>
      </w:r>
      <w:r>
        <w:rPr>
          <w:color w:val="3E3E3E"/>
          <w:spacing w:val="-3"/>
          <w:sz w:val="24"/>
          <w:szCs w:val="24"/>
        </w:rPr>
        <w:t>名工程师固定医院进行跟踪服务。</w:t>
      </w:r>
    </w:p>
    <w:p>
      <w:pPr>
        <w:pStyle w:val="16"/>
        <w:spacing w:before="134" w:line="290" w:lineRule="auto"/>
        <w:ind w:left="24" w:right="92" w:firstLine="480"/>
        <w:rPr>
          <w:sz w:val="24"/>
          <w:szCs w:val="24"/>
        </w:rPr>
      </w:pPr>
      <w:r>
        <w:rPr>
          <w:color w:val="3E3E3E"/>
          <w:sz w:val="24"/>
          <w:szCs w:val="24"/>
        </w:rPr>
        <w:t>6、有一套完整、有效的质保体系，同时在维护保</w:t>
      </w:r>
      <w:r>
        <w:rPr>
          <w:color w:val="3E3E3E"/>
          <w:spacing w:val="-1"/>
          <w:sz w:val="24"/>
          <w:szCs w:val="24"/>
        </w:rPr>
        <w:t>养过程中派技术人员项目现场</w:t>
      </w:r>
      <w:r>
        <w:rPr>
          <w:color w:val="3E3E3E"/>
          <w:sz w:val="24"/>
          <w:szCs w:val="24"/>
        </w:rPr>
        <w:t xml:space="preserve"> 监督维护保养工作人员严格按照国家有关规范进行维</w:t>
      </w:r>
      <w:r>
        <w:rPr>
          <w:color w:val="3E3E3E"/>
          <w:spacing w:val="-1"/>
          <w:sz w:val="24"/>
          <w:szCs w:val="24"/>
        </w:rPr>
        <w:t>保，有效在保证维保质量。</w:t>
      </w:r>
    </w:p>
    <w:p>
      <w:pPr>
        <w:pStyle w:val="16"/>
        <w:spacing w:before="283" w:line="290" w:lineRule="auto"/>
        <w:ind w:left="32" w:right="92" w:firstLine="476"/>
        <w:rPr>
          <w:sz w:val="24"/>
          <w:szCs w:val="24"/>
        </w:rPr>
      </w:pPr>
      <w:r>
        <w:rPr>
          <w:color w:val="3E3E3E"/>
          <w:spacing w:val="-2"/>
          <w:sz w:val="24"/>
          <w:szCs w:val="24"/>
        </w:rPr>
        <w:t>7、在维护保养过程中搞好与甲方管理人员之间的配合协调，设</w:t>
      </w:r>
      <w:r>
        <w:rPr>
          <w:color w:val="3E3E3E"/>
          <w:spacing w:val="-19"/>
          <w:sz w:val="24"/>
          <w:szCs w:val="24"/>
        </w:rPr>
        <w:t xml:space="preserve"> </w:t>
      </w:r>
      <w:r>
        <w:rPr>
          <w:color w:val="3E3E3E"/>
          <w:spacing w:val="-2"/>
          <w:sz w:val="24"/>
          <w:szCs w:val="24"/>
        </w:rPr>
        <w:t>1</w:t>
      </w:r>
      <w:r>
        <w:rPr>
          <w:color w:val="3E3E3E"/>
          <w:spacing w:val="-48"/>
          <w:sz w:val="24"/>
          <w:szCs w:val="24"/>
        </w:rPr>
        <w:t xml:space="preserve"> </w:t>
      </w:r>
      <w:r>
        <w:rPr>
          <w:color w:val="3E3E3E"/>
          <w:spacing w:val="-2"/>
          <w:sz w:val="24"/>
          <w:szCs w:val="24"/>
        </w:rPr>
        <w:t>名项目负责人负责与业主有关人员的联络。</w:t>
      </w:r>
    </w:p>
    <w:p>
      <w:pPr>
        <w:pStyle w:val="16"/>
        <w:spacing w:before="281" w:line="218" w:lineRule="auto"/>
        <w:ind w:left="504"/>
        <w:rPr>
          <w:sz w:val="24"/>
          <w:szCs w:val="24"/>
        </w:rPr>
      </w:pPr>
      <w:r>
        <w:rPr>
          <w:color w:val="3E3E3E"/>
          <w:sz w:val="24"/>
          <w:szCs w:val="24"/>
        </w:rPr>
        <w:t>8、消防系统将按计划定期进行检查、维保。进行</w:t>
      </w:r>
      <w:r>
        <w:rPr>
          <w:color w:val="3E3E3E"/>
          <w:spacing w:val="-1"/>
          <w:sz w:val="24"/>
          <w:szCs w:val="24"/>
        </w:rPr>
        <w:t>自检测，并出具检查报告。</w:t>
      </w:r>
    </w:p>
    <w:p>
      <w:pPr>
        <w:pStyle w:val="16"/>
        <w:spacing w:before="286" w:line="218" w:lineRule="auto"/>
        <w:ind w:left="504"/>
        <w:rPr>
          <w:sz w:val="24"/>
          <w:szCs w:val="24"/>
        </w:rPr>
      </w:pPr>
      <w:r>
        <w:rPr>
          <w:color w:val="3E3E3E"/>
          <w:spacing w:val="-1"/>
          <w:sz w:val="24"/>
          <w:szCs w:val="24"/>
        </w:rPr>
        <w:t>9、定期系统检查，对系统进行抽查，并提供维保报告。</w:t>
      </w:r>
    </w:p>
    <w:p>
      <w:pPr>
        <w:pStyle w:val="16"/>
        <w:spacing w:before="286" w:line="289" w:lineRule="auto"/>
        <w:ind w:left="23" w:right="80" w:firstLine="497"/>
        <w:rPr>
          <w:sz w:val="24"/>
          <w:szCs w:val="24"/>
        </w:rPr>
      </w:pPr>
      <w:r>
        <w:rPr>
          <w:color w:val="3E3E3E"/>
          <w:spacing w:val="-4"/>
          <w:sz w:val="24"/>
          <w:szCs w:val="24"/>
        </w:rPr>
        <w:t>10、如遇局部调整变化时，免费帮助业主进行系统调整修改，重大事件、重要节</w:t>
      </w:r>
      <w:r>
        <w:rPr>
          <w:color w:val="3E3E3E"/>
          <w:spacing w:val="7"/>
          <w:sz w:val="24"/>
          <w:szCs w:val="24"/>
        </w:rPr>
        <w:t xml:space="preserve"> </w:t>
      </w:r>
      <w:r>
        <w:rPr>
          <w:color w:val="3E3E3E"/>
          <w:spacing w:val="-1"/>
          <w:sz w:val="24"/>
          <w:szCs w:val="24"/>
        </w:rPr>
        <w:t>假日将根据业主的要求增加巡查次数。</w:t>
      </w:r>
    </w:p>
    <w:p>
      <w:pPr>
        <w:pStyle w:val="16"/>
        <w:spacing w:before="283" w:line="219" w:lineRule="auto"/>
        <w:ind w:left="521"/>
        <w:rPr>
          <w:sz w:val="24"/>
          <w:szCs w:val="24"/>
        </w:rPr>
      </w:pPr>
      <w:r>
        <w:rPr>
          <w:color w:val="3E3E3E"/>
          <w:spacing w:val="-4"/>
          <w:sz w:val="24"/>
          <w:szCs w:val="24"/>
        </w:rPr>
        <w:t>11、每年</w:t>
      </w:r>
      <w:r>
        <w:rPr>
          <w:color w:val="3E3E3E"/>
          <w:spacing w:val="-32"/>
          <w:sz w:val="24"/>
          <w:szCs w:val="24"/>
        </w:rPr>
        <w:t xml:space="preserve"> </w:t>
      </w:r>
      <w:r>
        <w:rPr>
          <w:color w:val="3E3E3E"/>
          <w:spacing w:val="-4"/>
          <w:sz w:val="24"/>
          <w:szCs w:val="24"/>
        </w:rPr>
        <w:t>2</w:t>
      </w:r>
      <w:r>
        <w:rPr>
          <w:color w:val="3E3E3E"/>
          <w:spacing w:val="-45"/>
          <w:sz w:val="24"/>
          <w:szCs w:val="24"/>
        </w:rPr>
        <w:t xml:space="preserve"> </w:t>
      </w:r>
      <w:r>
        <w:rPr>
          <w:color w:val="3E3E3E"/>
          <w:spacing w:val="-4"/>
          <w:sz w:val="24"/>
          <w:szCs w:val="24"/>
        </w:rPr>
        <w:t>次培训（职工）组织演练。</w:t>
      </w:r>
    </w:p>
    <w:p>
      <w:pPr>
        <w:pStyle w:val="16"/>
        <w:spacing w:before="284" w:line="219" w:lineRule="auto"/>
        <w:ind w:left="521"/>
        <w:rPr>
          <w:sz w:val="24"/>
          <w:szCs w:val="24"/>
        </w:rPr>
      </w:pPr>
      <w:r>
        <w:rPr>
          <w:color w:val="3E3E3E"/>
          <w:spacing w:val="-2"/>
          <w:sz w:val="24"/>
          <w:szCs w:val="24"/>
        </w:rPr>
        <w:t>12、每季度进行一次全方位的消防安全大排查。</w:t>
      </w:r>
    </w:p>
    <w:p>
      <w:pPr>
        <w:pStyle w:val="16"/>
        <w:spacing w:before="283" w:line="219" w:lineRule="auto"/>
        <w:ind w:left="521"/>
        <w:rPr>
          <w:sz w:val="24"/>
          <w:szCs w:val="24"/>
        </w:rPr>
      </w:pPr>
      <w:r>
        <w:rPr>
          <w:color w:val="3E3E3E"/>
          <w:spacing w:val="-1"/>
          <w:sz w:val="24"/>
          <w:szCs w:val="24"/>
        </w:rPr>
        <w:t>13、消防设备的正常维护和保养、消防设施配建的更换乙方免费提供。</w:t>
      </w:r>
    </w:p>
    <w:p>
      <w:pPr>
        <w:spacing w:line="219" w:lineRule="auto"/>
        <w:rPr>
          <w:sz w:val="24"/>
          <w:szCs w:val="24"/>
        </w:rPr>
        <w:sectPr>
          <w:footerReference r:id="rId7" w:type="default"/>
          <w:type w:val="continuous"/>
          <w:pgSz w:w="11906" w:h="16839"/>
          <w:pgMar w:top="1440" w:right="1800" w:bottom="1440" w:left="1800"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16"/>
        <w:spacing w:before="79" w:line="220" w:lineRule="auto"/>
        <w:ind w:left="514"/>
        <w:rPr>
          <w:sz w:val="24"/>
          <w:szCs w:val="24"/>
        </w:rPr>
      </w:pPr>
      <w:r>
        <w:rPr>
          <w:spacing w:val="-3"/>
          <w:sz w:val="24"/>
          <w:szCs w:val="24"/>
        </w:rPr>
        <w:t>（2）质量保证</w:t>
      </w:r>
    </w:p>
    <w:p>
      <w:pPr>
        <w:pStyle w:val="16"/>
        <w:spacing w:before="283" w:line="219" w:lineRule="auto"/>
        <w:ind w:left="521"/>
        <w:rPr>
          <w:sz w:val="24"/>
          <w:szCs w:val="24"/>
        </w:rPr>
      </w:pPr>
      <w:r>
        <w:rPr>
          <w:spacing w:val="-4"/>
          <w:sz w:val="24"/>
          <w:szCs w:val="24"/>
        </w:rPr>
        <w:t>1、质量管理方针</w:t>
      </w:r>
    </w:p>
    <w:p>
      <w:pPr>
        <w:pStyle w:val="16"/>
        <w:spacing w:before="281" w:line="351" w:lineRule="auto"/>
        <w:ind w:left="24" w:firstLine="482"/>
        <w:jc w:val="both"/>
        <w:rPr>
          <w:sz w:val="24"/>
          <w:szCs w:val="24"/>
        </w:rPr>
      </w:pPr>
      <w:r>
        <w:rPr>
          <w:color w:val="3E3E3E"/>
          <w:spacing w:val="-4"/>
          <w:sz w:val="24"/>
          <w:szCs w:val="24"/>
        </w:rPr>
        <w:t>坚持《消防设施安装验收标准及规范》，对消防工程的维护保养质量实施全过程</w:t>
      </w:r>
      <w:r>
        <w:rPr>
          <w:color w:val="3E3E3E"/>
          <w:spacing w:val="17"/>
          <w:sz w:val="24"/>
          <w:szCs w:val="24"/>
        </w:rPr>
        <w:t xml:space="preserve"> </w:t>
      </w:r>
      <w:r>
        <w:rPr>
          <w:color w:val="3E3E3E"/>
          <w:spacing w:val="-3"/>
          <w:sz w:val="24"/>
          <w:szCs w:val="24"/>
        </w:rPr>
        <w:t>质量控制，在整个过程中贯彻“安全可靠、质量第一</w:t>
      </w:r>
      <w:r>
        <w:rPr>
          <w:color w:val="3E3E3E"/>
          <w:spacing w:val="-79"/>
          <w:sz w:val="24"/>
          <w:szCs w:val="24"/>
        </w:rPr>
        <w:t xml:space="preserve"> </w:t>
      </w:r>
      <w:r>
        <w:rPr>
          <w:color w:val="3E3E3E"/>
          <w:spacing w:val="-3"/>
          <w:sz w:val="24"/>
          <w:szCs w:val="24"/>
        </w:rPr>
        <w:t>”的方针，以严密的质量管理，</w:t>
      </w:r>
      <w:r>
        <w:rPr>
          <w:color w:val="3E3E3E"/>
          <w:sz w:val="24"/>
          <w:szCs w:val="24"/>
        </w:rPr>
        <w:t xml:space="preserve"> </w:t>
      </w:r>
      <w:r>
        <w:rPr>
          <w:color w:val="3E3E3E"/>
          <w:spacing w:val="-1"/>
          <w:sz w:val="24"/>
          <w:szCs w:val="24"/>
        </w:rPr>
        <w:t>周到的服务体系，为用户消防体系实现安全、可靠及时运转。</w:t>
      </w:r>
    </w:p>
    <w:p>
      <w:pPr>
        <w:pStyle w:val="16"/>
        <w:spacing w:before="135" w:line="219" w:lineRule="auto"/>
        <w:ind w:left="506"/>
        <w:rPr>
          <w:sz w:val="24"/>
          <w:szCs w:val="24"/>
        </w:rPr>
      </w:pPr>
      <w:r>
        <w:rPr>
          <w:spacing w:val="-2"/>
          <w:sz w:val="24"/>
          <w:szCs w:val="24"/>
        </w:rPr>
        <w:t>2、质量管理体系</w:t>
      </w:r>
    </w:p>
    <w:p>
      <w:pPr>
        <w:pStyle w:val="16"/>
        <w:spacing w:before="284" w:line="351" w:lineRule="auto"/>
        <w:ind w:left="23" w:right="49" w:firstLine="480"/>
        <w:jc w:val="both"/>
        <w:rPr>
          <w:sz w:val="24"/>
          <w:szCs w:val="24"/>
        </w:rPr>
      </w:pPr>
      <w:r>
        <w:rPr>
          <w:color w:val="3E3E3E"/>
          <w:spacing w:val="-3"/>
          <w:sz w:val="24"/>
          <w:szCs w:val="24"/>
        </w:rPr>
        <w:t>质检组负责对消防设施总体质量进行检查，监</w:t>
      </w:r>
      <w:r>
        <w:rPr>
          <w:color w:val="3E3E3E"/>
          <w:spacing w:val="-4"/>
          <w:sz w:val="24"/>
          <w:szCs w:val="24"/>
        </w:rPr>
        <w:t>督，并负责组织检测工作。质检员</w:t>
      </w:r>
      <w:r>
        <w:rPr>
          <w:color w:val="3E3E3E"/>
          <w:sz w:val="24"/>
          <w:szCs w:val="24"/>
        </w:rPr>
        <w:t xml:space="preserve"> </w:t>
      </w:r>
      <w:r>
        <w:rPr>
          <w:color w:val="3E3E3E"/>
          <w:spacing w:val="-3"/>
          <w:sz w:val="24"/>
          <w:szCs w:val="24"/>
        </w:rPr>
        <w:t>负责对消防设施维保全过程的质量进行检查、验收和管理，对维保</w:t>
      </w:r>
      <w:r>
        <w:rPr>
          <w:color w:val="3E3E3E"/>
          <w:spacing w:val="-4"/>
          <w:sz w:val="24"/>
          <w:szCs w:val="24"/>
        </w:rPr>
        <w:t>工程质量负责，并</w:t>
      </w:r>
      <w:r>
        <w:rPr>
          <w:color w:val="3E3E3E"/>
          <w:sz w:val="24"/>
          <w:szCs w:val="24"/>
        </w:rPr>
        <w:t xml:space="preserve"> </w:t>
      </w:r>
      <w:r>
        <w:rPr>
          <w:color w:val="3E3E3E"/>
          <w:spacing w:val="-2"/>
          <w:sz w:val="24"/>
          <w:szCs w:val="24"/>
        </w:rPr>
        <w:t>做好原始记录。</w:t>
      </w:r>
    </w:p>
    <w:p>
      <w:pPr>
        <w:pStyle w:val="16"/>
        <w:spacing w:before="133" w:line="219" w:lineRule="auto"/>
        <w:ind w:left="508"/>
        <w:rPr>
          <w:sz w:val="24"/>
          <w:szCs w:val="24"/>
        </w:rPr>
      </w:pPr>
      <w:r>
        <w:rPr>
          <w:spacing w:val="-2"/>
          <w:sz w:val="24"/>
          <w:szCs w:val="24"/>
        </w:rPr>
        <w:t>3、维保质量验收签字</w:t>
      </w:r>
    </w:p>
    <w:p>
      <w:pPr>
        <w:pStyle w:val="16"/>
        <w:spacing w:before="284" w:line="217" w:lineRule="auto"/>
        <w:ind w:left="502"/>
        <w:rPr>
          <w:sz w:val="24"/>
          <w:szCs w:val="24"/>
        </w:rPr>
      </w:pPr>
      <w:r>
        <w:rPr>
          <w:color w:val="3E3E3E"/>
          <w:spacing w:val="-1"/>
          <w:sz w:val="24"/>
          <w:szCs w:val="24"/>
        </w:rPr>
        <w:t>①对消防设施维保全过程都应如实记录，并对签字负责。</w:t>
      </w:r>
    </w:p>
    <w:p>
      <w:pPr>
        <w:pStyle w:val="16"/>
        <w:spacing w:before="286" w:line="217" w:lineRule="auto"/>
        <w:ind w:left="501"/>
        <w:rPr>
          <w:sz w:val="24"/>
          <w:szCs w:val="24"/>
        </w:rPr>
      </w:pPr>
      <w:r>
        <w:rPr>
          <w:color w:val="3E3E3E"/>
          <w:spacing w:val="-1"/>
          <w:sz w:val="24"/>
          <w:szCs w:val="24"/>
        </w:rPr>
        <w:t>②维保实施各项资料，都应由专职质检员签字生效。</w:t>
      </w:r>
    </w:p>
    <w:p>
      <w:pPr>
        <w:pStyle w:val="16"/>
        <w:spacing w:before="285" w:line="219" w:lineRule="auto"/>
        <w:ind w:left="502"/>
        <w:rPr>
          <w:sz w:val="24"/>
          <w:szCs w:val="24"/>
        </w:rPr>
      </w:pPr>
      <w:r>
        <w:rPr>
          <w:spacing w:val="-1"/>
          <w:sz w:val="24"/>
          <w:szCs w:val="24"/>
        </w:rPr>
        <w:t>4、维保技术档案管理</w:t>
      </w:r>
    </w:p>
    <w:p>
      <w:pPr>
        <w:pStyle w:val="16"/>
        <w:spacing w:before="285" w:line="346" w:lineRule="auto"/>
        <w:ind w:left="26" w:right="49" w:firstLine="481"/>
        <w:rPr>
          <w:sz w:val="24"/>
          <w:szCs w:val="24"/>
        </w:rPr>
      </w:pPr>
      <w:r>
        <w:rPr>
          <w:color w:val="3E3E3E"/>
          <w:spacing w:val="-4"/>
          <w:sz w:val="24"/>
          <w:szCs w:val="24"/>
        </w:rPr>
        <w:t>凡属归档案的各类技术档案室资料，必须纸质优良，字迹清楚，字体工整，图形</w:t>
      </w:r>
      <w:r>
        <w:rPr>
          <w:color w:val="3E3E3E"/>
          <w:spacing w:val="16"/>
          <w:sz w:val="24"/>
          <w:szCs w:val="24"/>
        </w:rPr>
        <w:t xml:space="preserve"> </w:t>
      </w:r>
      <w:r>
        <w:rPr>
          <w:color w:val="3E3E3E"/>
          <w:sz w:val="24"/>
          <w:szCs w:val="24"/>
        </w:rPr>
        <w:t>线条、符号清晰，图面整洁，签字手续完备</w:t>
      </w:r>
      <w:r>
        <w:rPr>
          <w:color w:val="3E3E3E"/>
          <w:spacing w:val="-1"/>
          <w:sz w:val="24"/>
          <w:szCs w:val="24"/>
        </w:rPr>
        <w:t>，不可使用圆珠笔、钢笔书写。</w:t>
      </w:r>
    </w:p>
    <w:p>
      <w:pPr>
        <w:pStyle w:val="16"/>
        <w:spacing w:before="136" w:line="219" w:lineRule="auto"/>
        <w:ind w:left="514"/>
        <w:rPr>
          <w:sz w:val="24"/>
          <w:szCs w:val="24"/>
        </w:rPr>
      </w:pPr>
      <w:r>
        <w:rPr>
          <w:b/>
          <w:bCs/>
          <w:color w:val="333333"/>
          <w:spacing w:val="-5"/>
          <w:sz w:val="24"/>
          <w:szCs w:val="24"/>
        </w:rPr>
        <w:t>（3）安全技术要求</w:t>
      </w:r>
    </w:p>
    <w:p>
      <w:pPr>
        <w:pStyle w:val="16"/>
        <w:spacing w:before="282" w:line="219" w:lineRule="auto"/>
        <w:ind w:left="521"/>
        <w:rPr>
          <w:sz w:val="24"/>
          <w:szCs w:val="24"/>
        </w:rPr>
      </w:pPr>
      <w:r>
        <w:rPr>
          <w:color w:val="3E3E3E"/>
          <w:spacing w:val="-1"/>
          <w:sz w:val="24"/>
          <w:szCs w:val="24"/>
        </w:rPr>
        <w:t>1、维护保养人员必须职责明确，并应严格按照规定程序工作。</w:t>
      </w:r>
    </w:p>
    <w:p>
      <w:pPr>
        <w:pStyle w:val="16"/>
        <w:spacing w:before="283" w:line="290" w:lineRule="auto"/>
        <w:ind w:left="26" w:right="61" w:firstLine="480"/>
        <w:rPr>
          <w:sz w:val="24"/>
          <w:szCs w:val="24"/>
        </w:rPr>
      </w:pPr>
      <w:r>
        <w:rPr>
          <w:color w:val="3E3E3E"/>
          <w:sz w:val="24"/>
          <w:szCs w:val="24"/>
        </w:rPr>
        <w:t>2、维护保养前必须报告维保区域地点、内容、</w:t>
      </w:r>
      <w:r>
        <w:rPr>
          <w:color w:val="3E3E3E"/>
          <w:spacing w:val="-1"/>
          <w:sz w:val="24"/>
          <w:szCs w:val="24"/>
        </w:rPr>
        <w:t>时间。办理有关手续并通知有关</w:t>
      </w:r>
      <w:r>
        <w:rPr>
          <w:color w:val="3E3E3E"/>
          <w:sz w:val="24"/>
          <w:szCs w:val="24"/>
        </w:rPr>
        <w:t xml:space="preserve"> </w:t>
      </w:r>
      <w:r>
        <w:rPr>
          <w:color w:val="3E3E3E"/>
          <w:spacing w:val="-5"/>
          <w:sz w:val="24"/>
          <w:szCs w:val="24"/>
        </w:rPr>
        <w:t>部门。</w:t>
      </w:r>
    </w:p>
    <w:p>
      <w:pPr>
        <w:pStyle w:val="16"/>
        <w:spacing w:before="284" w:line="219" w:lineRule="auto"/>
        <w:ind w:left="508"/>
        <w:rPr>
          <w:sz w:val="24"/>
          <w:szCs w:val="24"/>
        </w:rPr>
      </w:pPr>
      <w:r>
        <w:rPr>
          <w:color w:val="3E3E3E"/>
          <w:sz w:val="24"/>
          <w:szCs w:val="24"/>
        </w:rPr>
        <w:t>3、所有维护保养工作严格按照安全规定的</w:t>
      </w:r>
      <w:r>
        <w:rPr>
          <w:color w:val="3E3E3E"/>
          <w:spacing w:val="-1"/>
          <w:sz w:val="24"/>
          <w:szCs w:val="24"/>
        </w:rPr>
        <w:t>要求进行，以保障人身和设备安全。</w:t>
      </w:r>
    </w:p>
    <w:p>
      <w:pPr>
        <w:pStyle w:val="16"/>
        <w:spacing w:before="282" w:line="219" w:lineRule="auto"/>
        <w:ind w:left="502"/>
        <w:rPr>
          <w:sz w:val="24"/>
          <w:szCs w:val="24"/>
        </w:rPr>
      </w:pPr>
      <w:r>
        <w:rPr>
          <w:color w:val="3E3E3E"/>
          <w:sz w:val="24"/>
          <w:szCs w:val="24"/>
        </w:rPr>
        <w:t>4、维护保养工作必须符合设备制造厂厂方文件中</w:t>
      </w:r>
      <w:r>
        <w:rPr>
          <w:color w:val="3E3E3E"/>
          <w:spacing w:val="-1"/>
          <w:sz w:val="24"/>
          <w:szCs w:val="24"/>
        </w:rPr>
        <w:t>规定的安全技术条件。</w:t>
      </w:r>
    </w:p>
    <w:p>
      <w:pPr>
        <w:pStyle w:val="16"/>
        <w:spacing w:before="284" w:line="219" w:lineRule="auto"/>
        <w:ind w:left="508"/>
        <w:rPr>
          <w:sz w:val="24"/>
          <w:szCs w:val="24"/>
        </w:rPr>
      </w:pPr>
      <w:r>
        <w:rPr>
          <w:color w:val="3E3E3E"/>
          <w:spacing w:val="-1"/>
          <w:sz w:val="24"/>
          <w:szCs w:val="24"/>
        </w:rPr>
        <w:t>5、维护保养前做好必要的防事故措施。</w:t>
      </w:r>
    </w:p>
    <w:p>
      <w:pPr>
        <w:pStyle w:val="16"/>
        <w:spacing w:before="284" w:line="219" w:lineRule="auto"/>
        <w:ind w:left="505"/>
        <w:rPr>
          <w:sz w:val="24"/>
          <w:szCs w:val="24"/>
        </w:rPr>
      </w:pPr>
      <w:r>
        <w:rPr>
          <w:color w:val="3E3E3E"/>
          <w:spacing w:val="-1"/>
          <w:sz w:val="24"/>
          <w:szCs w:val="24"/>
        </w:rPr>
        <w:t>6、维护保养人员不得触动非消防设施。</w:t>
      </w:r>
    </w:p>
    <w:p>
      <w:pPr>
        <w:pStyle w:val="16"/>
        <w:spacing w:before="281" w:line="313" w:lineRule="auto"/>
        <w:ind w:left="24" w:right="49" w:firstLine="484"/>
        <w:rPr>
          <w:sz w:val="24"/>
          <w:szCs w:val="24"/>
        </w:rPr>
      </w:pPr>
      <w:r>
        <w:rPr>
          <w:color w:val="3E3E3E"/>
          <w:spacing w:val="-1"/>
          <w:sz w:val="24"/>
          <w:szCs w:val="24"/>
        </w:rPr>
        <w:t>7、本维保方案，作为本消防维保工程实施的指导性技术文件，全体维保人员必</w:t>
      </w:r>
      <w:r>
        <w:rPr>
          <w:color w:val="3E3E3E"/>
          <w:spacing w:val="18"/>
          <w:sz w:val="24"/>
          <w:szCs w:val="24"/>
        </w:rPr>
        <w:t xml:space="preserve"> </w:t>
      </w:r>
      <w:r>
        <w:rPr>
          <w:color w:val="3E3E3E"/>
          <w:spacing w:val="-3"/>
          <w:sz w:val="24"/>
          <w:szCs w:val="24"/>
        </w:rPr>
        <w:t>须严格遵照执行。同时，应根据维保过过程进展的实际情况，对</w:t>
      </w:r>
      <w:r>
        <w:rPr>
          <w:color w:val="3E3E3E"/>
          <w:spacing w:val="-4"/>
          <w:sz w:val="24"/>
          <w:szCs w:val="24"/>
        </w:rPr>
        <w:t>有关内容适时进行调</w:t>
      </w:r>
      <w:r>
        <w:rPr>
          <w:color w:val="3E3E3E"/>
          <w:sz w:val="24"/>
          <w:szCs w:val="24"/>
        </w:rPr>
        <w:t xml:space="preserve"> </w:t>
      </w:r>
      <w:r>
        <w:rPr>
          <w:color w:val="3E3E3E"/>
          <w:spacing w:val="-1"/>
          <w:sz w:val="24"/>
          <w:szCs w:val="24"/>
        </w:rPr>
        <w:t>整，作为对本方案的补充，并及时呈报业主审核后实施。</w:t>
      </w:r>
    </w:p>
    <w:p>
      <w:pPr>
        <w:spacing w:line="313" w:lineRule="auto"/>
        <w:rPr>
          <w:sz w:val="24"/>
          <w:szCs w:val="24"/>
        </w:rPr>
        <w:sectPr>
          <w:footerReference r:id="rId8" w:type="default"/>
          <w:pgSz w:w="11906" w:h="16839"/>
          <w:pgMar w:top="400" w:right="1284"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78" w:line="313" w:lineRule="auto"/>
        <w:ind w:left="38" w:firstLine="465"/>
        <w:rPr>
          <w:sz w:val="24"/>
          <w:szCs w:val="24"/>
        </w:rPr>
      </w:pPr>
      <w:r>
        <w:rPr>
          <w:color w:val="3E3E3E"/>
          <w:spacing w:val="-4"/>
          <w:sz w:val="24"/>
          <w:szCs w:val="24"/>
        </w:rPr>
        <w:t>8、通过本方案的实施，将保证消防自动报警</w:t>
      </w:r>
      <w:r>
        <w:rPr>
          <w:color w:val="3E3E3E"/>
          <w:spacing w:val="-5"/>
          <w:sz w:val="24"/>
          <w:szCs w:val="24"/>
        </w:rPr>
        <w:t>、消防水灭火系统、气体灭火系统、</w:t>
      </w:r>
      <w:r>
        <w:rPr>
          <w:color w:val="3E3E3E"/>
          <w:sz w:val="24"/>
          <w:szCs w:val="24"/>
        </w:rPr>
        <w:t xml:space="preserve"> </w:t>
      </w:r>
      <w:r>
        <w:rPr>
          <w:color w:val="3E3E3E"/>
          <w:spacing w:val="-4"/>
          <w:sz w:val="24"/>
          <w:szCs w:val="24"/>
        </w:rPr>
        <w:t>防火卷帘、防火门、应急照明及疏散系统等设施的使用维保管理，保证系统各种设施</w:t>
      </w:r>
      <w:r>
        <w:rPr>
          <w:color w:val="3E3E3E"/>
          <w:spacing w:val="14"/>
          <w:sz w:val="24"/>
          <w:szCs w:val="24"/>
        </w:rPr>
        <w:t xml:space="preserve"> </w:t>
      </w:r>
      <w:r>
        <w:rPr>
          <w:color w:val="3E3E3E"/>
          <w:spacing w:val="-1"/>
          <w:sz w:val="24"/>
          <w:szCs w:val="24"/>
        </w:rPr>
        <w:t>的正常运行，从而提高防御火灾的能力，并通过甲方消防主管部门的检查。</w:t>
      </w:r>
    </w:p>
    <w:p>
      <w:pPr>
        <w:pStyle w:val="16"/>
        <w:spacing w:before="283" w:line="220" w:lineRule="auto"/>
        <w:ind w:left="514"/>
        <w:rPr>
          <w:sz w:val="24"/>
          <w:szCs w:val="24"/>
        </w:rPr>
      </w:pPr>
      <w:r>
        <w:rPr>
          <w:color w:val="333333"/>
          <w:spacing w:val="-3"/>
          <w:sz w:val="24"/>
          <w:szCs w:val="24"/>
        </w:rPr>
        <w:t>（4）、培训事项要求</w:t>
      </w:r>
    </w:p>
    <w:p>
      <w:pPr>
        <w:pStyle w:val="16"/>
        <w:spacing w:before="279" w:line="347" w:lineRule="auto"/>
        <w:ind w:left="23" w:right="80" w:firstLine="480"/>
        <w:rPr>
          <w:sz w:val="24"/>
          <w:szCs w:val="24"/>
        </w:rPr>
      </w:pPr>
      <w:r>
        <w:rPr>
          <w:color w:val="3E3E3E"/>
          <w:spacing w:val="-3"/>
          <w:sz w:val="24"/>
          <w:szCs w:val="24"/>
        </w:rPr>
        <w:t>提供相关技术的咨询，相关信息的咨询、设备</w:t>
      </w:r>
      <w:r>
        <w:rPr>
          <w:color w:val="3E3E3E"/>
          <w:spacing w:val="-4"/>
          <w:sz w:val="24"/>
          <w:szCs w:val="24"/>
        </w:rPr>
        <w:t>的的使用原理基本常识，紧急应急</w:t>
      </w:r>
      <w:r>
        <w:rPr>
          <w:color w:val="3E3E3E"/>
          <w:sz w:val="24"/>
          <w:szCs w:val="24"/>
        </w:rPr>
        <w:t xml:space="preserve"> </w:t>
      </w:r>
      <w:r>
        <w:rPr>
          <w:color w:val="3E3E3E"/>
          <w:spacing w:val="-1"/>
          <w:sz w:val="24"/>
          <w:szCs w:val="24"/>
        </w:rPr>
        <w:t>措施。并协助完善规范消防档案。</w:t>
      </w:r>
    </w:p>
    <w:p>
      <w:pPr>
        <w:pStyle w:val="16"/>
        <w:spacing w:before="135" w:line="219" w:lineRule="auto"/>
        <w:ind w:left="504"/>
        <w:rPr>
          <w:sz w:val="24"/>
          <w:szCs w:val="24"/>
        </w:rPr>
      </w:pPr>
      <w:r>
        <w:rPr>
          <w:color w:val="3E3E3E"/>
          <w:spacing w:val="-3"/>
          <w:sz w:val="24"/>
          <w:szCs w:val="24"/>
        </w:rPr>
        <w:t>培训内容：</w:t>
      </w:r>
    </w:p>
    <w:p>
      <w:pPr>
        <w:pStyle w:val="16"/>
        <w:spacing w:before="284" w:line="219" w:lineRule="auto"/>
        <w:ind w:left="505"/>
        <w:rPr>
          <w:sz w:val="24"/>
          <w:szCs w:val="24"/>
        </w:rPr>
      </w:pPr>
      <w:r>
        <w:rPr>
          <w:color w:val="3E3E3E"/>
          <w:spacing w:val="-1"/>
          <w:sz w:val="24"/>
          <w:szCs w:val="24"/>
        </w:rPr>
        <w:t>火灾自动报警系统原理及操作</w:t>
      </w:r>
    </w:p>
    <w:p>
      <w:pPr>
        <w:pStyle w:val="16"/>
        <w:spacing w:before="282" w:line="219" w:lineRule="auto"/>
        <w:ind w:left="508"/>
        <w:rPr>
          <w:sz w:val="24"/>
          <w:szCs w:val="24"/>
        </w:rPr>
      </w:pPr>
      <w:r>
        <w:rPr>
          <w:color w:val="3E3E3E"/>
          <w:spacing w:val="-4"/>
          <w:sz w:val="24"/>
          <w:szCs w:val="24"/>
        </w:rPr>
        <w:t>消火栓、</w:t>
      </w:r>
      <w:r>
        <w:rPr>
          <w:color w:val="3E3E3E"/>
          <w:spacing w:val="-60"/>
          <w:sz w:val="24"/>
          <w:szCs w:val="24"/>
        </w:rPr>
        <w:t xml:space="preserve"> </w:t>
      </w:r>
      <w:r>
        <w:rPr>
          <w:color w:val="3E3E3E"/>
          <w:spacing w:val="-4"/>
          <w:sz w:val="24"/>
          <w:szCs w:val="24"/>
        </w:rPr>
        <w:t>自动喷水灭火系统控制原理及操作</w:t>
      </w:r>
    </w:p>
    <w:p>
      <w:pPr>
        <w:pStyle w:val="16"/>
        <w:spacing w:before="282" w:line="425" w:lineRule="auto"/>
        <w:ind w:left="507" w:right="5252" w:hanging="3"/>
        <w:rPr>
          <w:sz w:val="24"/>
          <w:szCs w:val="24"/>
        </w:rPr>
      </w:pPr>
      <w:r>
        <w:rPr>
          <w:color w:val="3E3E3E"/>
          <w:spacing w:val="-1"/>
          <w:sz w:val="24"/>
          <w:szCs w:val="24"/>
        </w:rPr>
        <w:t>气体灭火系统控制原理及操作</w:t>
      </w:r>
      <w:r>
        <w:rPr>
          <w:color w:val="3E3E3E"/>
          <w:spacing w:val="1"/>
          <w:sz w:val="24"/>
          <w:szCs w:val="24"/>
        </w:rPr>
        <w:t xml:space="preserve"> </w:t>
      </w:r>
      <w:r>
        <w:rPr>
          <w:color w:val="3E3E3E"/>
          <w:spacing w:val="-2"/>
          <w:sz w:val="24"/>
          <w:szCs w:val="24"/>
        </w:rPr>
        <w:t>消防控制系统联动控制原理</w:t>
      </w:r>
    </w:p>
    <w:p>
      <w:pPr>
        <w:pStyle w:val="16"/>
        <w:spacing w:before="31" w:line="219" w:lineRule="auto"/>
        <w:ind w:left="508"/>
        <w:rPr>
          <w:sz w:val="24"/>
          <w:szCs w:val="24"/>
        </w:rPr>
      </w:pPr>
      <w:r>
        <w:rPr>
          <w:color w:val="3E3E3E"/>
          <w:spacing w:val="-2"/>
          <w:sz w:val="24"/>
          <w:szCs w:val="24"/>
        </w:rPr>
        <w:t>消防电气控制介绍</w:t>
      </w:r>
    </w:p>
    <w:p>
      <w:pPr>
        <w:pStyle w:val="16"/>
        <w:spacing w:before="285" w:line="219" w:lineRule="auto"/>
        <w:ind w:left="507"/>
        <w:rPr>
          <w:sz w:val="24"/>
          <w:szCs w:val="24"/>
        </w:rPr>
      </w:pPr>
      <w:r>
        <w:rPr>
          <w:color w:val="3E3E3E"/>
          <w:spacing w:val="-2"/>
          <w:sz w:val="24"/>
          <w:szCs w:val="24"/>
        </w:rPr>
        <w:t>故障报警处理常识</w:t>
      </w:r>
    </w:p>
    <w:p>
      <w:pPr>
        <w:pStyle w:val="16"/>
        <w:spacing w:before="285" w:line="422" w:lineRule="auto"/>
        <w:ind w:left="514" w:right="5012" w:hanging="7"/>
        <w:rPr>
          <w:sz w:val="24"/>
          <w:szCs w:val="24"/>
        </w:rPr>
      </w:pPr>
      <w:r>
        <w:rPr>
          <w:color w:val="3E3E3E"/>
          <w:spacing w:val="-1"/>
          <w:sz w:val="24"/>
          <w:szCs w:val="24"/>
        </w:rPr>
        <w:t>灭火器使用基本常识及使用方法</w:t>
      </w:r>
      <w:r>
        <w:rPr>
          <w:color w:val="3E3E3E"/>
          <w:sz w:val="24"/>
          <w:szCs w:val="24"/>
        </w:rPr>
        <w:t xml:space="preserve"> </w:t>
      </w:r>
      <w:r>
        <w:rPr>
          <w:color w:val="333333"/>
          <w:spacing w:val="-2"/>
          <w:sz w:val="24"/>
          <w:szCs w:val="24"/>
        </w:rPr>
        <w:t>（5）、维护保养内容要求</w:t>
      </w:r>
    </w:p>
    <w:p>
      <w:pPr>
        <w:pStyle w:val="16"/>
        <w:spacing w:before="38" w:line="345" w:lineRule="auto"/>
        <w:ind w:left="27" w:right="92" w:firstLine="479"/>
        <w:rPr>
          <w:sz w:val="24"/>
          <w:szCs w:val="24"/>
        </w:rPr>
      </w:pPr>
      <w:r>
        <w:rPr>
          <w:color w:val="3E3E3E"/>
          <w:sz w:val="24"/>
          <w:szCs w:val="24"/>
        </w:rPr>
        <w:t>为使能对各类消防设施进行有效的维护及保养,</w:t>
      </w:r>
      <w:r>
        <w:rPr>
          <w:color w:val="3E3E3E"/>
          <w:spacing w:val="-1"/>
          <w:sz w:val="24"/>
          <w:szCs w:val="24"/>
        </w:rPr>
        <w:t>使其处于最佳工作状态。保证在</w:t>
      </w:r>
      <w:r>
        <w:rPr>
          <w:color w:val="3E3E3E"/>
          <w:sz w:val="24"/>
          <w:szCs w:val="24"/>
        </w:rPr>
        <w:t xml:space="preserve"> </w:t>
      </w:r>
      <w:r>
        <w:rPr>
          <w:color w:val="3E3E3E"/>
          <w:spacing w:val="-1"/>
          <w:sz w:val="24"/>
          <w:szCs w:val="24"/>
        </w:rPr>
        <w:t>发生意外状况时能立即发挥其作用,将人员及财产损失降至最低。</w:t>
      </w:r>
    </w:p>
    <w:p>
      <w:pPr>
        <w:pStyle w:val="16"/>
        <w:spacing w:before="38" w:line="220" w:lineRule="auto"/>
        <w:ind w:left="521"/>
        <w:rPr>
          <w:sz w:val="24"/>
          <w:szCs w:val="24"/>
        </w:rPr>
      </w:pPr>
      <w:r>
        <w:rPr>
          <w:color w:val="3E3E3E"/>
          <w:spacing w:val="-8"/>
          <w:sz w:val="24"/>
          <w:szCs w:val="24"/>
        </w:rPr>
        <w:t>1、</w:t>
      </w:r>
      <w:r>
        <w:rPr>
          <w:color w:val="3E3E3E"/>
          <w:spacing w:val="-61"/>
          <w:sz w:val="24"/>
          <w:szCs w:val="24"/>
        </w:rPr>
        <w:t xml:space="preserve"> </w:t>
      </w:r>
      <w:r>
        <w:rPr>
          <w:color w:val="3E3E3E"/>
          <w:spacing w:val="-8"/>
          <w:sz w:val="24"/>
          <w:szCs w:val="24"/>
        </w:rPr>
        <w:t>日常维保工作安排：</w:t>
      </w:r>
    </w:p>
    <w:p>
      <w:pPr>
        <w:pStyle w:val="16"/>
        <w:spacing w:before="182" w:line="347" w:lineRule="auto"/>
        <w:ind w:left="43" w:right="32" w:firstLine="478"/>
        <w:rPr>
          <w:sz w:val="24"/>
          <w:szCs w:val="24"/>
        </w:rPr>
      </w:pPr>
      <w:r>
        <w:rPr>
          <w:color w:val="3E3E3E"/>
          <w:spacing w:val="-2"/>
          <w:sz w:val="24"/>
          <w:szCs w:val="24"/>
        </w:rPr>
        <w:t>1.每月按计划抽样测试部分设备，致使一</w:t>
      </w:r>
      <w:r>
        <w:rPr>
          <w:color w:val="3E3E3E"/>
          <w:spacing w:val="-3"/>
          <w:sz w:val="24"/>
          <w:szCs w:val="24"/>
        </w:rPr>
        <w:t>年内所有设备全部测试一遍。确保设备</w:t>
      </w:r>
      <w:r>
        <w:rPr>
          <w:color w:val="3E3E3E"/>
          <w:sz w:val="24"/>
          <w:szCs w:val="24"/>
        </w:rPr>
        <w:t xml:space="preserve"> </w:t>
      </w:r>
      <w:r>
        <w:rPr>
          <w:color w:val="3E3E3E"/>
          <w:spacing w:val="-5"/>
          <w:sz w:val="24"/>
          <w:szCs w:val="24"/>
        </w:rPr>
        <w:t>的正常运行。</w:t>
      </w:r>
    </w:p>
    <w:p>
      <w:pPr>
        <w:pStyle w:val="16"/>
        <w:spacing w:before="33" w:line="347" w:lineRule="auto"/>
        <w:ind w:left="507" w:right="492" w:hanging="1"/>
        <w:rPr>
          <w:color w:val="3E3E3E"/>
          <w:spacing w:val="-2"/>
          <w:sz w:val="24"/>
          <w:szCs w:val="24"/>
        </w:rPr>
      </w:pPr>
      <w:r>
        <w:rPr>
          <w:color w:val="3E3E3E"/>
          <w:spacing w:val="-2"/>
          <w:sz w:val="24"/>
          <w:szCs w:val="24"/>
        </w:rPr>
        <w:t>2.每季度或半年（视消防工程大小）进行全面的检查，发现问题及时处理。</w:t>
      </w:r>
    </w:p>
    <w:p>
      <w:pPr>
        <w:pStyle w:val="16"/>
        <w:spacing w:before="33" w:line="347" w:lineRule="auto"/>
        <w:ind w:right="492" w:firstLine="472" w:firstLineChars="200"/>
        <w:rPr>
          <w:sz w:val="24"/>
          <w:szCs w:val="24"/>
        </w:rPr>
      </w:pPr>
      <w:r>
        <w:rPr>
          <w:color w:val="3E3E3E"/>
          <w:spacing w:val="-2"/>
          <w:sz w:val="24"/>
          <w:szCs w:val="24"/>
        </w:rPr>
        <w:t>3.每年派专业的消防维保队伍进行整体的消防测试，确保设备的正常运行。</w:t>
      </w:r>
    </w:p>
    <w:p>
      <w:pPr>
        <w:pStyle w:val="16"/>
        <w:spacing w:before="35" w:line="347" w:lineRule="auto"/>
        <w:ind w:left="21" w:right="32" w:firstLine="480"/>
        <w:rPr>
          <w:sz w:val="24"/>
          <w:szCs w:val="24"/>
        </w:rPr>
      </w:pPr>
      <w:r>
        <w:rPr>
          <w:color w:val="3E3E3E"/>
          <w:spacing w:val="-2"/>
          <w:sz w:val="24"/>
          <w:szCs w:val="24"/>
        </w:rPr>
        <w:t>4.协助或完全负责同消防部门的业务，确保不因消防问题而耽误其它工作的正常</w:t>
      </w:r>
      <w:r>
        <w:rPr>
          <w:color w:val="3E3E3E"/>
          <w:spacing w:val="2"/>
          <w:sz w:val="24"/>
          <w:szCs w:val="24"/>
        </w:rPr>
        <w:t xml:space="preserve"> </w:t>
      </w:r>
      <w:r>
        <w:rPr>
          <w:color w:val="3E3E3E"/>
          <w:spacing w:val="-3"/>
          <w:sz w:val="24"/>
          <w:szCs w:val="24"/>
        </w:rPr>
        <w:t>进行。</w:t>
      </w:r>
    </w:p>
    <w:p>
      <w:pPr>
        <w:pStyle w:val="16"/>
        <w:spacing w:before="34" w:line="219" w:lineRule="auto"/>
        <w:ind w:left="508"/>
        <w:rPr>
          <w:sz w:val="24"/>
          <w:szCs w:val="24"/>
        </w:rPr>
      </w:pPr>
      <w:r>
        <w:rPr>
          <w:color w:val="3E3E3E"/>
          <w:spacing w:val="-1"/>
          <w:sz w:val="24"/>
          <w:szCs w:val="24"/>
        </w:rPr>
        <w:t>5.协助完善规范消防档案资料，保证消防日常管理工作正常运行。</w:t>
      </w:r>
    </w:p>
    <w:p>
      <w:pPr>
        <w:pStyle w:val="16"/>
        <w:spacing w:before="183" w:line="219" w:lineRule="auto"/>
        <w:ind w:left="506"/>
        <w:rPr>
          <w:sz w:val="24"/>
          <w:szCs w:val="24"/>
        </w:rPr>
      </w:pPr>
      <w:r>
        <w:rPr>
          <w:b/>
          <w:bCs/>
          <w:color w:val="3E3E3E"/>
          <w:spacing w:val="-3"/>
          <w:sz w:val="24"/>
          <w:szCs w:val="24"/>
        </w:rPr>
        <w:t>2、消防设施维护、保养内容</w:t>
      </w:r>
    </w:p>
    <w:p>
      <w:pPr>
        <w:spacing w:line="280" w:lineRule="auto"/>
        <w:rPr>
          <w:b/>
          <w:bCs/>
          <w:color w:val="3E3E3E"/>
          <w:spacing w:val="-5"/>
          <w:sz w:val="24"/>
          <w:szCs w:val="24"/>
        </w:rPr>
      </w:pPr>
    </w:p>
    <w:p>
      <w:pPr>
        <w:spacing w:line="280" w:lineRule="auto"/>
        <w:rPr>
          <w:rFonts w:ascii="Arial"/>
          <w:sz w:val="21"/>
        </w:rPr>
      </w:pPr>
      <w:r>
        <w:rPr>
          <w:b/>
          <w:bCs/>
          <w:color w:val="3E3E3E"/>
          <w:spacing w:val="-5"/>
          <w:sz w:val="24"/>
          <w:szCs w:val="24"/>
        </w:rPr>
        <w:t>2.1</w:t>
      </w:r>
      <w:r>
        <w:rPr>
          <w:color w:val="3E3E3E"/>
          <w:spacing w:val="-44"/>
          <w:sz w:val="24"/>
          <w:szCs w:val="24"/>
        </w:rPr>
        <w:t xml:space="preserve"> </w:t>
      </w:r>
      <w:r>
        <w:rPr>
          <w:b/>
          <w:bCs/>
          <w:color w:val="3E3E3E"/>
          <w:spacing w:val="-5"/>
          <w:sz w:val="24"/>
          <w:szCs w:val="24"/>
        </w:rPr>
        <w:t>消防控制主机</w:t>
      </w:r>
    </w:p>
    <w:p>
      <w:pPr>
        <w:pStyle w:val="16"/>
        <w:spacing w:before="78" w:line="219" w:lineRule="auto"/>
        <w:ind w:left="506"/>
        <w:rPr>
          <w:sz w:val="24"/>
          <w:szCs w:val="24"/>
        </w:rPr>
      </w:pPr>
      <w:r>
        <w:rPr>
          <w:color w:val="3E3E3E"/>
          <w:spacing w:val="1"/>
          <w:sz w:val="24"/>
          <w:szCs w:val="24"/>
        </w:rPr>
        <w:t>2.1.1</w:t>
      </w:r>
      <w:r>
        <w:rPr>
          <w:color w:val="3E3E3E"/>
          <w:spacing w:val="-49"/>
          <w:sz w:val="24"/>
          <w:szCs w:val="24"/>
        </w:rPr>
        <w:t xml:space="preserve"> </w:t>
      </w:r>
      <w:r>
        <w:rPr>
          <w:color w:val="3E3E3E"/>
          <w:spacing w:val="1"/>
          <w:sz w:val="24"/>
          <w:szCs w:val="24"/>
        </w:rPr>
        <w:t>每月消防控制主机电源检查项目:</w:t>
      </w:r>
    </w:p>
    <w:p>
      <w:pPr>
        <w:pStyle w:val="16"/>
        <w:spacing w:before="184" w:line="219" w:lineRule="auto"/>
        <w:ind w:left="521"/>
        <w:rPr>
          <w:sz w:val="24"/>
          <w:szCs w:val="24"/>
        </w:rPr>
      </w:pPr>
      <w:r>
        <w:rPr>
          <w:color w:val="3E3E3E"/>
          <w:spacing w:val="-2"/>
          <w:sz w:val="24"/>
          <w:szCs w:val="24"/>
        </w:rPr>
        <w:t>1)检查系统电压偏移是否在允许范围内。系统电源标准﹕AC</w:t>
      </w:r>
      <w:r>
        <w:rPr>
          <w:color w:val="3E3E3E"/>
          <w:spacing w:val="-33"/>
          <w:sz w:val="24"/>
          <w:szCs w:val="24"/>
        </w:rPr>
        <w:t xml:space="preserve"> </w:t>
      </w:r>
      <w:r>
        <w:rPr>
          <w:color w:val="3E3E3E"/>
          <w:spacing w:val="-2"/>
          <w:sz w:val="24"/>
          <w:szCs w:val="24"/>
        </w:rPr>
        <w:t>197V~24</w:t>
      </w:r>
      <w:r>
        <w:rPr>
          <w:color w:val="3E3E3E"/>
          <w:spacing w:val="-3"/>
          <w:sz w:val="24"/>
          <w:szCs w:val="24"/>
        </w:rPr>
        <w:t>2V</w:t>
      </w:r>
      <w:r>
        <w:rPr>
          <w:color w:val="3E3E3E"/>
          <w:spacing w:val="-46"/>
          <w:sz w:val="24"/>
          <w:szCs w:val="24"/>
        </w:rPr>
        <w:t xml:space="preserve"> </w:t>
      </w:r>
      <w:r>
        <w:rPr>
          <w:color w:val="3E3E3E"/>
          <w:spacing w:val="-3"/>
          <w:sz w:val="24"/>
          <w:szCs w:val="24"/>
        </w:rPr>
        <w:t>50Hz</w:t>
      </w:r>
      <w:r>
        <w:rPr>
          <w:color w:val="3E3E3E"/>
          <w:spacing w:val="-33"/>
          <w:sz w:val="24"/>
          <w:szCs w:val="24"/>
        </w:rPr>
        <w:t xml:space="preserve"> </w:t>
      </w:r>
      <w:r>
        <w:rPr>
          <w:color w:val="3E3E3E"/>
          <w:spacing w:val="-3"/>
          <w:sz w:val="24"/>
          <w:szCs w:val="24"/>
        </w:rPr>
        <w:t>1Hz</w:t>
      </w:r>
    </w:p>
    <w:p>
      <w:pPr>
        <w:pStyle w:val="16"/>
        <w:spacing w:before="183" w:line="219" w:lineRule="auto"/>
        <w:ind w:left="506"/>
        <w:rPr>
          <w:sz w:val="24"/>
          <w:szCs w:val="24"/>
        </w:rPr>
      </w:pPr>
      <w:r>
        <w:rPr>
          <w:color w:val="3E3E3E"/>
          <w:spacing w:val="-1"/>
          <w:sz w:val="24"/>
          <w:szCs w:val="24"/>
        </w:rPr>
        <w:t>2)查看消防控制配电箱的标志，以及仪表、指示灯、开关、控制按钮。</w:t>
      </w:r>
    </w:p>
    <w:p>
      <w:pPr>
        <w:pStyle w:val="16"/>
        <w:spacing w:before="181" w:line="290" w:lineRule="auto"/>
        <w:ind w:left="503" w:right="2940" w:firstLine="4"/>
        <w:rPr>
          <w:sz w:val="24"/>
          <w:szCs w:val="24"/>
        </w:rPr>
      </w:pPr>
      <w:r>
        <w:rPr>
          <w:color w:val="3E3E3E"/>
          <w:spacing w:val="-3"/>
          <w:sz w:val="24"/>
          <w:szCs w:val="24"/>
        </w:rPr>
        <w:t>3)检查主电源和备用电源之间的自动切换是否正常。</w:t>
      </w:r>
      <w:r>
        <w:rPr>
          <w:color w:val="3E3E3E"/>
          <w:spacing w:val="17"/>
          <w:sz w:val="24"/>
          <w:szCs w:val="24"/>
        </w:rPr>
        <w:t xml:space="preserve"> </w:t>
      </w:r>
      <w:r>
        <w:rPr>
          <w:color w:val="3E3E3E"/>
          <w:spacing w:val="-2"/>
          <w:sz w:val="24"/>
          <w:szCs w:val="24"/>
        </w:rPr>
        <w:t>检查方式﹕</w:t>
      </w:r>
    </w:p>
    <w:p>
      <w:pPr>
        <w:pStyle w:val="16"/>
        <w:spacing w:before="183" w:line="347" w:lineRule="auto"/>
        <w:ind w:left="43" w:right="260" w:firstLine="461"/>
        <w:rPr>
          <w:sz w:val="24"/>
          <w:szCs w:val="24"/>
        </w:rPr>
      </w:pPr>
      <w:r>
        <w:rPr>
          <w:color w:val="3E3E3E"/>
          <w:sz w:val="24"/>
          <w:szCs w:val="24"/>
        </w:rPr>
        <w:t>a)自动控制方式下,手动切断消防主电源,观察备用</w:t>
      </w:r>
      <w:r>
        <w:rPr>
          <w:color w:val="3E3E3E"/>
          <w:spacing w:val="-1"/>
          <w:sz w:val="24"/>
          <w:szCs w:val="24"/>
        </w:rPr>
        <w:t>消防电源的投入以及指示灯</w:t>
      </w:r>
      <w:r>
        <w:rPr>
          <w:color w:val="3E3E3E"/>
          <w:sz w:val="24"/>
          <w:szCs w:val="24"/>
        </w:rPr>
        <w:t xml:space="preserve"> </w:t>
      </w:r>
      <w:r>
        <w:rPr>
          <w:color w:val="3E3E3E"/>
          <w:spacing w:val="-8"/>
          <w:sz w:val="24"/>
          <w:szCs w:val="24"/>
        </w:rPr>
        <w:t>的显示。</w:t>
      </w:r>
    </w:p>
    <w:p>
      <w:pPr>
        <w:pStyle w:val="16"/>
        <w:spacing w:before="32" w:line="347" w:lineRule="auto"/>
        <w:ind w:left="26" w:right="140" w:firstLine="473"/>
        <w:rPr>
          <w:sz w:val="24"/>
          <w:szCs w:val="24"/>
        </w:rPr>
      </w:pPr>
      <w:r>
        <w:rPr>
          <w:color w:val="3E3E3E"/>
          <w:sz w:val="24"/>
          <w:szCs w:val="24"/>
        </w:rPr>
        <w:t>b)人为控制方式下,在低压配电室应先切断消防主电源,后闭合备</w:t>
      </w:r>
      <w:r>
        <w:rPr>
          <w:color w:val="3E3E3E"/>
          <w:spacing w:val="-1"/>
          <w:sz w:val="24"/>
          <w:szCs w:val="24"/>
        </w:rPr>
        <w:t>用消防电源,观</w:t>
      </w:r>
      <w:r>
        <w:rPr>
          <w:color w:val="3E3E3E"/>
          <w:sz w:val="24"/>
          <w:szCs w:val="24"/>
        </w:rPr>
        <w:t xml:space="preserve"> </w:t>
      </w:r>
      <w:r>
        <w:rPr>
          <w:color w:val="3E3E3E"/>
          <w:spacing w:val="-1"/>
          <w:sz w:val="24"/>
          <w:szCs w:val="24"/>
        </w:rPr>
        <w:t>察备用消防电源的投入以及指示灯的显示。</w:t>
      </w:r>
    </w:p>
    <w:p>
      <w:pPr>
        <w:pStyle w:val="16"/>
        <w:spacing w:before="35" w:line="347" w:lineRule="auto"/>
        <w:ind w:left="25" w:right="200" w:firstLine="482"/>
        <w:rPr>
          <w:sz w:val="24"/>
          <w:szCs w:val="24"/>
        </w:rPr>
      </w:pPr>
      <w:r>
        <w:rPr>
          <w:color w:val="3E3E3E"/>
          <w:spacing w:val="-2"/>
          <w:sz w:val="24"/>
          <w:szCs w:val="24"/>
        </w:rPr>
        <w:t>c)每季度要对备用电源进行</w:t>
      </w:r>
      <w:r>
        <w:rPr>
          <w:color w:val="3E3E3E"/>
          <w:spacing w:val="-31"/>
          <w:sz w:val="24"/>
          <w:szCs w:val="24"/>
        </w:rPr>
        <w:t xml:space="preserve"> </w:t>
      </w:r>
      <w:r>
        <w:rPr>
          <w:color w:val="3E3E3E"/>
          <w:spacing w:val="-2"/>
          <w:sz w:val="24"/>
          <w:szCs w:val="24"/>
        </w:rPr>
        <w:t>1~2</w:t>
      </w:r>
      <w:r>
        <w:rPr>
          <w:color w:val="3E3E3E"/>
          <w:spacing w:val="-45"/>
          <w:sz w:val="24"/>
          <w:szCs w:val="24"/>
        </w:rPr>
        <w:t xml:space="preserve"> </w:t>
      </w:r>
      <w:r>
        <w:rPr>
          <w:color w:val="3E3E3E"/>
          <w:spacing w:val="-2"/>
          <w:sz w:val="24"/>
          <w:szCs w:val="24"/>
        </w:rPr>
        <w:t>次充放电实验,1~3</w:t>
      </w:r>
      <w:r>
        <w:rPr>
          <w:color w:val="3E3E3E"/>
          <w:spacing w:val="-44"/>
          <w:sz w:val="24"/>
          <w:szCs w:val="24"/>
        </w:rPr>
        <w:t xml:space="preserve"> </w:t>
      </w:r>
      <w:r>
        <w:rPr>
          <w:color w:val="3E3E3E"/>
          <w:spacing w:val="-2"/>
          <w:sz w:val="24"/>
          <w:szCs w:val="24"/>
        </w:rPr>
        <w:t>次主电源和备用电源自动切</w:t>
      </w:r>
      <w:r>
        <w:rPr>
          <w:color w:val="3E3E3E"/>
          <w:sz w:val="24"/>
          <w:szCs w:val="24"/>
        </w:rPr>
        <w:t xml:space="preserve"> </w:t>
      </w:r>
      <w:r>
        <w:rPr>
          <w:color w:val="3E3E3E"/>
          <w:spacing w:val="-3"/>
          <w:sz w:val="24"/>
          <w:szCs w:val="24"/>
        </w:rPr>
        <w:t>换实验。</w:t>
      </w:r>
    </w:p>
    <w:p>
      <w:pPr>
        <w:pStyle w:val="16"/>
        <w:spacing w:before="33" w:line="219" w:lineRule="auto"/>
        <w:ind w:left="506"/>
        <w:rPr>
          <w:sz w:val="24"/>
          <w:szCs w:val="24"/>
        </w:rPr>
      </w:pPr>
      <w:r>
        <w:rPr>
          <w:color w:val="3E3E3E"/>
          <w:spacing w:val="-1"/>
          <w:sz w:val="24"/>
          <w:szCs w:val="24"/>
        </w:rPr>
        <w:t>2. 1.2</w:t>
      </w:r>
      <w:r>
        <w:rPr>
          <w:color w:val="3E3E3E"/>
          <w:spacing w:val="-49"/>
          <w:sz w:val="24"/>
          <w:szCs w:val="24"/>
        </w:rPr>
        <w:t xml:space="preserve"> </w:t>
      </w:r>
      <w:r>
        <w:rPr>
          <w:color w:val="3E3E3E"/>
          <w:spacing w:val="-1"/>
          <w:sz w:val="24"/>
          <w:szCs w:val="24"/>
        </w:rPr>
        <w:t>每月应对消防控制主机进行如下项目检查﹕</w:t>
      </w:r>
    </w:p>
    <w:p>
      <w:pPr>
        <w:pStyle w:val="16"/>
        <w:spacing w:before="184" w:line="219" w:lineRule="auto"/>
        <w:ind w:left="521"/>
        <w:rPr>
          <w:sz w:val="24"/>
          <w:szCs w:val="24"/>
        </w:rPr>
      </w:pPr>
      <w:r>
        <w:rPr>
          <w:color w:val="3E3E3E"/>
          <w:spacing w:val="1"/>
          <w:sz w:val="24"/>
          <w:szCs w:val="24"/>
        </w:rPr>
        <w:t>1)触发自检键，进行功能自检:</w:t>
      </w:r>
    </w:p>
    <w:p>
      <w:pPr>
        <w:pStyle w:val="16"/>
        <w:spacing w:before="184" w:line="216" w:lineRule="auto"/>
        <w:ind w:left="506"/>
        <w:rPr>
          <w:sz w:val="24"/>
          <w:szCs w:val="24"/>
        </w:rPr>
      </w:pPr>
      <w:r>
        <w:rPr>
          <w:color w:val="3E3E3E"/>
          <w:spacing w:val="-1"/>
          <w:sz w:val="24"/>
          <w:szCs w:val="24"/>
        </w:rPr>
        <w:t>2)对控制器电源全部发光显示器进行检验,并循环三次。</w:t>
      </w:r>
    </w:p>
    <w:p>
      <w:pPr>
        <w:pStyle w:val="16"/>
        <w:spacing w:before="187" w:line="216" w:lineRule="auto"/>
        <w:ind w:left="508"/>
        <w:rPr>
          <w:sz w:val="24"/>
          <w:szCs w:val="24"/>
        </w:rPr>
      </w:pPr>
      <w:r>
        <w:rPr>
          <w:color w:val="3E3E3E"/>
          <w:spacing w:val="-1"/>
          <w:sz w:val="24"/>
          <w:szCs w:val="24"/>
        </w:rPr>
        <w:t>3)对Ⅱ级编程继电器进行检验,检验期间继电器触点动作,但输出+24V</w:t>
      </w:r>
      <w:r>
        <w:rPr>
          <w:color w:val="3E3E3E"/>
          <w:spacing w:val="-39"/>
          <w:sz w:val="24"/>
          <w:szCs w:val="24"/>
        </w:rPr>
        <w:t xml:space="preserve"> </w:t>
      </w:r>
      <w:r>
        <w:rPr>
          <w:color w:val="3E3E3E"/>
          <w:spacing w:val="-1"/>
          <w:sz w:val="24"/>
          <w:szCs w:val="24"/>
        </w:rPr>
        <w:t>撤消。</w:t>
      </w:r>
    </w:p>
    <w:p>
      <w:pPr>
        <w:pStyle w:val="16"/>
        <w:spacing w:before="186" w:line="219" w:lineRule="auto"/>
        <w:ind w:left="502"/>
        <w:rPr>
          <w:sz w:val="24"/>
          <w:szCs w:val="24"/>
        </w:rPr>
      </w:pPr>
      <w:r>
        <w:rPr>
          <w:color w:val="3E3E3E"/>
          <w:spacing w:val="-1"/>
          <w:sz w:val="24"/>
          <w:szCs w:val="24"/>
        </w:rPr>
        <w:t>4)对打印机功能进行检验。</w:t>
      </w:r>
    </w:p>
    <w:p>
      <w:pPr>
        <w:pStyle w:val="16"/>
        <w:spacing w:before="183" w:line="290" w:lineRule="auto"/>
        <w:ind w:left="29" w:right="140" w:firstLine="479"/>
        <w:rPr>
          <w:sz w:val="24"/>
          <w:szCs w:val="24"/>
        </w:rPr>
      </w:pPr>
      <w:r>
        <w:rPr>
          <w:color w:val="3E3E3E"/>
          <w:spacing w:val="-1"/>
          <w:sz w:val="24"/>
          <w:szCs w:val="24"/>
        </w:rPr>
        <w:t>5)对控制器的主要硬件接口芯片,存储器芯</w:t>
      </w:r>
      <w:r>
        <w:rPr>
          <w:color w:val="3E3E3E"/>
          <w:spacing w:val="-2"/>
          <w:sz w:val="24"/>
          <w:szCs w:val="24"/>
        </w:rPr>
        <w:t>片及各类插件的主要</w:t>
      </w:r>
      <w:r>
        <w:rPr>
          <w:color w:val="3E3E3E"/>
          <w:spacing w:val="-38"/>
          <w:sz w:val="24"/>
          <w:szCs w:val="24"/>
        </w:rPr>
        <w:t xml:space="preserve"> </w:t>
      </w:r>
      <w:r>
        <w:rPr>
          <w:color w:val="3E3E3E"/>
          <w:spacing w:val="-2"/>
          <w:sz w:val="24"/>
          <w:szCs w:val="24"/>
        </w:rPr>
        <w:t>I</w:t>
      </w:r>
      <w:r>
        <w:rPr>
          <w:color w:val="3E3E3E"/>
          <w:spacing w:val="-46"/>
          <w:sz w:val="24"/>
          <w:szCs w:val="24"/>
        </w:rPr>
        <w:t xml:space="preserve"> </w:t>
      </w:r>
      <w:r>
        <w:rPr>
          <w:color w:val="3E3E3E"/>
          <w:spacing w:val="-2"/>
          <w:sz w:val="24"/>
          <w:szCs w:val="24"/>
        </w:rPr>
        <w:t>芯片进行自动</w:t>
      </w:r>
      <w:r>
        <w:rPr>
          <w:color w:val="3E3E3E"/>
          <w:sz w:val="24"/>
          <w:szCs w:val="24"/>
        </w:rPr>
        <w:t xml:space="preserve"> </w:t>
      </w:r>
      <w:r>
        <w:rPr>
          <w:color w:val="3E3E3E"/>
          <w:spacing w:val="-3"/>
          <w:sz w:val="24"/>
          <w:szCs w:val="24"/>
        </w:rPr>
        <w:t>实时故障检测。</w:t>
      </w:r>
    </w:p>
    <w:p>
      <w:pPr>
        <w:pStyle w:val="16"/>
        <w:spacing w:before="183" w:line="219" w:lineRule="auto"/>
        <w:jc w:val="right"/>
        <w:rPr>
          <w:sz w:val="24"/>
          <w:szCs w:val="24"/>
        </w:rPr>
      </w:pPr>
      <w:r>
        <w:rPr>
          <w:color w:val="3E3E3E"/>
          <w:spacing w:val="-2"/>
          <w:sz w:val="24"/>
          <w:szCs w:val="24"/>
        </w:rPr>
        <w:t>2. 1.3</w:t>
      </w:r>
      <w:r>
        <w:rPr>
          <w:color w:val="3E3E3E"/>
          <w:spacing w:val="-38"/>
          <w:sz w:val="24"/>
          <w:szCs w:val="24"/>
        </w:rPr>
        <w:t xml:space="preserve"> </w:t>
      </w:r>
      <w:r>
        <w:rPr>
          <w:color w:val="3E3E3E"/>
          <w:spacing w:val="-2"/>
          <w:sz w:val="24"/>
          <w:szCs w:val="24"/>
        </w:rPr>
        <w:t>切断主电源，查看备用直流电源自动投入和主、备电源的状态显示情况。</w:t>
      </w:r>
    </w:p>
    <w:p>
      <w:pPr>
        <w:pStyle w:val="16"/>
        <w:spacing w:before="182" w:line="290" w:lineRule="auto"/>
        <w:ind w:left="501" w:right="720" w:firstLine="4"/>
        <w:rPr>
          <w:sz w:val="24"/>
          <w:szCs w:val="24"/>
        </w:rPr>
      </w:pPr>
      <w:r>
        <w:rPr>
          <w:color w:val="3E3E3E"/>
          <w:spacing w:val="-2"/>
          <w:sz w:val="24"/>
          <w:szCs w:val="24"/>
        </w:rPr>
        <w:t>2. 1.4</w:t>
      </w:r>
      <w:r>
        <w:rPr>
          <w:color w:val="3E3E3E"/>
          <w:spacing w:val="-44"/>
          <w:sz w:val="24"/>
          <w:szCs w:val="24"/>
        </w:rPr>
        <w:t xml:space="preserve"> </w:t>
      </w:r>
      <w:r>
        <w:rPr>
          <w:color w:val="3E3E3E"/>
          <w:spacing w:val="-2"/>
          <w:sz w:val="24"/>
          <w:szCs w:val="24"/>
        </w:rPr>
        <w:t>在备用直流电源供电状态下，进行断路故障报警及火警优先功能。</w:t>
      </w:r>
      <w:r>
        <w:rPr>
          <w:color w:val="3E3E3E"/>
          <w:sz w:val="24"/>
          <w:szCs w:val="24"/>
        </w:rPr>
        <w:t xml:space="preserve"> </w:t>
      </w:r>
      <w:r>
        <w:rPr>
          <w:color w:val="3E3E3E"/>
          <w:spacing w:val="-2"/>
          <w:sz w:val="24"/>
          <w:szCs w:val="24"/>
        </w:rPr>
        <w:t>报警功能检测：</w:t>
      </w:r>
    </w:p>
    <w:p>
      <w:pPr>
        <w:pStyle w:val="16"/>
        <w:spacing w:before="184" w:line="219" w:lineRule="auto"/>
        <w:ind w:left="521"/>
        <w:rPr>
          <w:sz w:val="24"/>
          <w:szCs w:val="24"/>
        </w:rPr>
      </w:pPr>
      <w:r>
        <w:rPr>
          <w:color w:val="3E3E3E"/>
          <w:spacing w:val="-1"/>
          <w:sz w:val="24"/>
          <w:szCs w:val="24"/>
        </w:rPr>
        <w:t>1)类比探测器、手动报警按钮断路故障，查看故障</w:t>
      </w:r>
      <w:r>
        <w:rPr>
          <w:color w:val="3E3E3E"/>
          <w:spacing w:val="-2"/>
          <w:sz w:val="24"/>
          <w:szCs w:val="24"/>
        </w:rPr>
        <w:t>显示。</w:t>
      </w:r>
    </w:p>
    <w:p>
      <w:pPr>
        <w:pStyle w:val="16"/>
        <w:spacing w:before="183" w:line="313" w:lineRule="auto"/>
        <w:ind w:left="23" w:firstLine="482"/>
        <w:rPr>
          <w:sz w:val="24"/>
          <w:szCs w:val="24"/>
        </w:rPr>
      </w:pPr>
      <w:r>
        <w:rPr>
          <w:color w:val="3E3E3E"/>
          <w:spacing w:val="-4"/>
          <w:sz w:val="24"/>
          <w:szCs w:val="24"/>
        </w:rPr>
        <w:t>2)断路故障报警期间，采用发烟装置或温度不低于</w:t>
      </w:r>
      <w:r>
        <w:rPr>
          <w:color w:val="3E3E3E"/>
          <w:spacing w:val="-46"/>
          <w:sz w:val="24"/>
          <w:szCs w:val="24"/>
        </w:rPr>
        <w:t xml:space="preserve"> </w:t>
      </w:r>
      <w:r>
        <w:rPr>
          <w:color w:val="3E3E3E"/>
          <w:spacing w:val="-4"/>
          <w:sz w:val="24"/>
          <w:szCs w:val="24"/>
        </w:rPr>
        <w:t>54℃的热源先后向同一回路中</w:t>
      </w:r>
      <w:r>
        <w:rPr>
          <w:color w:val="3E3E3E"/>
          <w:sz w:val="24"/>
          <w:szCs w:val="24"/>
        </w:rPr>
        <w:t xml:space="preserve"> </w:t>
      </w:r>
      <w:r>
        <w:rPr>
          <w:color w:val="3E3E3E"/>
          <w:spacing w:val="-6"/>
          <w:sz w:val="24"/>
          <w:szCs w:val="24"/>
        </w:rPr>
        <w:t>两个探测器施放烟气或加热，查看火灾报警控制器的火警信号、报警部位显示及</w:t>
      </w:r>
      <w:r>
        <w:rPr>
          <w:color w:val="3E3E3E"/>
          <w:spacing w:val="-7"/>
          <w:sz w:val="24"/>
          <w:szCs w:val="24"/>
        </w:rPr>
        <w:t>记录。</w:t>
      </w:r>
      <w:r>
        <w:rPr>
          <w:color w:val="3E3E3E"/>
          <w:spacing w:val="-1"/>
          <w:sz w:val="24"/>
          <w:szCs w:val="24"/>
        </w:rPr>
        <w:t>每个探测器检测后，只消音，不重定。</w:t>
      </w:r>
    </w:p>
    <w:p>
      <w:pPr>
        <w:pStyle w:val="16"/>
        <w:spacing w:before="183" w:line="219" w:lineRule="auto"/>
        <w:ind w:left="506"/>
        <w:rPr>
          <w:sz w:val="24"/>
          <w:szCs w:val="24"/>
        </w:rPr>
      </w:pPr>
      <w:r>
        <w:rPr>
          <w:color w:val="3E3E3E"/>
          <w:spacing w:val="-1"/>
          <w:sz w:val="24"/>
          <w:szCs w:val="24"/>
        </w:rPr>
        <w:t>2. 1.5</w:t>
      </w:r>
      <w:r>
        <w:rPr>
          <w:color w:val="3E3E3E"/>
          <w:spacing w:val="-47"/>
          <w:sz w:val="24"/>
          <w:szCs w:val="24"/>
        </w:rPr>
        <w:t xml:space="preserve"> </w:t>
      </w:r>
      <w:r>
        <w:rPr>
          <w:color w:val="3E3E3E"/>
          <w:spacing w:val="-1"/>
          <w:sz w:val="24"/>
          <w:szCs w:val="24"/>
        </w:rPr>
        <w:t>用万用表测量火灾报警控制器的联动输出信号。</w:t>
      </w:r>
    </w:p>
    <w:p>
      <w:pPr>
        <w:pStyle w:val="16"/>
        <w:spacing w:before="184" w:line="219" w:lineRule="auto"/>
        <w:ind w:left="506"/>
        <w:rPr>
          <w:sz w:val="24"/>
          <w:szCs w:val="24"/>
        </w:rPr>
      </w:pPr>
      <w:r>
        <w:rPr>
          <w:color w:val="3E3E3E"/>
          <w:spacing w:val="-2"/>
          <w:sz w:val="24"/>
          <w:szCs w:val="24"/>
        </w:rPr>
        <w:t>2. 1.6</w:t>
      </w:r>
      <w:r>
        <w:rPr>
          <w:color w:val="3E3E3E"/>
          <w:spacing w:val="-32"/>
          <w:sz w:val="24"/>
          <w:szCs w:val="24"/>
        </w:rPr>
        <w:t xml:space="preserve"> </w:t>
      </w:r>
      <w:r>
        <w:rPr>
          <w:color w:val="3E3E3E"/>
          <w:spacing w:val="-2"/>
          <w:sz w:val="24"/>
          <w:szCs w:val="24"/>
        </w:rPr>
        <w:t>系统重定，恢复到正常警戒状态。</w:t>
      </w:r>
    </w:p>
    <w:p>
      <w:pPr>
        <w:pStyle w:val="16"/>
        <w:spacing w:before="182" w:line="290" w:lineRule="auto"/>
        <w:ind w:left="505" w:right="5600"/>
        <w:rPr>
          <w:sz w:val="24"/>
          <w:szCs w:val="24"/>
        </w:rPr>
      </w:pPr>
      <w:r>
        <w:rPr>
          <w:color w:val="3E3E3E"/>
          <w:spacing w:val="-2"/>
          <w:sz w:val="24"/>
          <w:szCs w:val="24"/>
        </w:rPr>
        <w:t>2.2</w:t>
      </w:r>
      <w:r>
        <w:rPr>
          <w:color w:val="3E3E3E"/>
          <w:spacing w:val="-48"/>
          <w:sz w:val="24"/>
          <w:szCs w:val="24"/>
        </w:rPr>
        <w:t xml:space="preserve"> </w:t>
      </w:r>
      <w:r>
        <w:rPr>
          <w:color w:val="3E3E3E"/>
          <w:spacing w:val="-2"/>
          <w:sz w:val="24"/>
          <w:szCs w:val="24"/>
        </w:rPr>
        <w:t>火灾自动报警联动系统</w:t>
      </w:r>
      <w:r>
        <w:rPr>
          <w:color w:val="3E3E3E"/>
          <w:sz w:val="24"/>
          <w:szCs w:val="24"/>
        </w:rPr>
        <w:t xml:space="preserve"> </w:t>
      </w:r>
      <w:r>
        <w:rPr>
          <w:color w:val="3E3E3E"/>
          <w:spacing w:val="5"/>
          <w:sz w:val="24"/>
          <w:szCs w:val="24"/>
        </w:rPr>
        <w:t>火灾探测器:</w:t>
      </w:r>
    </w:p>
    <w:p>
      <w:pPr>
        <w:spacing w:line="290" w:lineRule="auto"/>
        <w:rPr>
          <w:sz w:val="24"/>
          <w:szCs w:val="24"/>
        </w:rPr>
        <w:sectPr>
          <w:footerReference r:id="rId9" w:type="default"/>
          <w:pgSz w:w="11906" w:h="16839"/>
          <w:pgMar w:top="400" w:right="1205"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16"/>
        <w:spacing w:before="78" w:line="347" w:lineRule="auto"/>
        <w:ind w:left="37" w:right="140" w:firstLine="483"/>
        <w:rPr>
          <w:sz w:val="24"/>
          <w:szCs w:val="24"/>
        </w:rPr>
      </w:pPr>
      <w:r>
        <w:rPr>
          <w:color w:val="3E3E3E"/>
          <w:spacing w:val="-1"/>
          <w:sz w:val="24"/>
          <w:szCs w:val="24"/>
        </w:rPr>
        <w:t>1)为使火灾探测器保持性能良好,正常运行,应在火灾探测器开启运行两年后,每</w:t>
      </w:r>
      <w:r>
        <w:rPr>
          <w:color w:val="3E3E3E"/>
          <w:spacing w:val="8"/>
          <w:sz w:val="24"/>
          <w:szCs w:val="24"/>
        </w:rPr>
        <w:t xml:space="preserve"> </w:t>
      </w:r>
      <w:r>
        <w:rPr>
          <w:color w:val="3E3E3E"/>
          <w:spacing w:val="-2"/>
          <w:sz w:val="24"/>
          <w:szCs w:val="24"/>
        </w:rPr>
        <w:t>隔三年全部进行清洗一遍。</w:t>
      </w:r>
    </w:p>
    <w:p>
      <w:pPr>
        <w:pStyle w:val="16"/>
        <w:spacing w:before="34" w:line="219" w:lineRule="auto"/>
        <w:ind w:firstLine="476" w:firstLineChars="200"/>
        <w:rPr>
          <w:sz w:val="24"/>
          <w:szCs w:val="24"/>
        </w:rPr>
      </w:pPr>
      <w:r>
        <w:rPr>
          <w:color w:val="3E3E3E"/>
          <w:spacing w:val="-1"/>
          <w:sz w:val="24"/>
          <w:szCs w:val="24"/>
        </w:rPr>
        <w:t>2)每月应对所有的火灾探测器采用抽测的方式进行测试﹕</w:t>
      </w:r>
    </w:p>
    <w:p>
      <w:pPr>
        <w:pStyle w:val="16"/>
        <w:spacing w:before="183" w:line="221" w:lineRule="auto"/>
        <w:ind w:left="506"/>
        <w:rPr>
          <w:sz w:val="24"/>
          <w:szCs w:val="24"/>
        </w:rPr>
      </w:pPr>
      <w:r>
        <w:rPr>
          <w:color w:val="3E3E3E"/>
          <w:spacing w:val="-3"/>
          <w:sz w:val="24"/>
          <w:szCs w:val="24"/>
        </w:rPr>
        <w:t>2.2.1</w:t>
      </w:r>
      <w:r>
        <w:rPr>
          <w:color w:val="3E3E3E"/>
          <w:spacing w:val="-38"/>
          <w:sz w:val="24"/>
          <w:szCs w:val="24"/>
        </w:rPr>
        <w:t xml:space="preserve"> </w:t>
      </w:r>
      <w:r>
        <w:rPr>
          <w:color w:val="3E3E3E"/>
          <w:spacing w:val="-3"/>
          <w:sz w:val="24"/>
          <w:szCs w:val="24"/>
        </w:rPr>
        <w:t>点型感烟探测器</w:t>
      </w:r>
    </w:p>
    <w:p>
      <w:pPr>
        <w:pStyle w:val="16"/>
        <w:spacing w:before="180" w:line="290" w:lineRule="auto"/>
        <w:ind w:left="23" w:right="80" w:firstLine="497"/>
        <w:rPr>
          <w:sz w:val="24"/>
          <w:szCs w:val="24"/>
        </w:rPr>
      </w:pPr>
      <w:r>
        <w:rPr>
          <w:color w:val="3E3E3E"/>
          <w:spacing w:val="-2"/>
          <w:sz w:val="24"/>
          <w:szCs w:val="24"/>
        </w:rPr>
        <w:t>1)采用发烟装置向探测器施放烟气，查看</w:t>
      </w:r>
      <w:r>
        <w:rPr>
          <w:color w:val="3E3E3E"/>
          <w:spacing w:val="-3"/>
          <w:sz w:val="24"/>
          <w:szCs w:val="24"/>
        </w:rPr>
        <w:t>探测器报警确认灯、以及火灾报警控制</w:t>
      </w:r>
      <w:r>
        <w:rPr>
          <w:color w:val="3E3E3E"/>
          <w:sz w:val="24"/>
          <w:szCs w:val="24"/>
        </w:rPr>
        <w:t xml:space="preserve"> </w:t>
      </w:r>
      <w:r>
        <w:rPr>
          <w:color w:val="3E3E3E"/>
          <w:spacing w:val="-2"/>
          <w:sz w:val="24"/>
          <w:szCs w:val="24"/>
        </w:rPr>
        <w:t>器的火警信号显示。</w:t>
      </w:r>
    </w:p>
    <w:p>
      <w:pPr>
        <w:pStyle w:val="16"/>
        <w:spacing w:before="182" w:line="290" w:lineRule="auto"/>
        <w:ind w:left="29" w:right="80" w:firstLine="477"/>
        <w:rPr>
          <w:sz w:val="24"/>
          <w:szCs w:val="24"/>
        </w:rPr>
      </w:pPr>
      <w:r>
        <w:rPr>
          <w:color w:val="3E3E3E"/>
          <w:spacing w:val="-2"/>
          <w:sz w:val="24"/>
          <w:szCs w:val="24"/>
        </w:rPr>
        <w:t>2)消除探测器内及周围烟雾，报警控制器手动重定，观察探测器报警确认灯</w:t>
      </w:r>
      <w:r>
        <w:rPr>
          <w:color w:val="3E3E3E"/>
          <w:spacing w:val="-3"/>
          <w:sz w:val="24"/>
          <w:szCs w:val="24"/>
        </w:rPr>
        <w:t>在重</w:t>
      </w:r>
      <w:r>
        <w:rPr>
          <w:color w:val="3E3E3E"/>
          <w:sz w:val="24"/>
          <w:szCs w:val="24"/>
        </w:rPr>
        <w:t xml:space="preserve"> </w:t>
      </w:r>
      <w:r>
        <w:rPr>
          <w:color w:val="3E3E3E"/>
          <w:spacing w:val="-2"/>
          <w:sz w:val="24"/>
          <w:szCs w:val="24"/>
        </w:rPr>
        <w:t>定前后的变化情况。</w:t>
      </w:r>
    </w:p>
    <w:p>
      <w:pPr>
        <w:pStyle w:val="16"/>
        <w:spacing w:before="181" w:line="221" w:lineRule="auto"/>
        <w:ind w:left="506"/>
        <w:rPr>
          <w:sz w:val="24"/>
          <w:szCs w:val="24"/>
        </w:rPr>
      </w:pPr>
      <w:r>
        <w:rPr>
          <w:color w:val="3E3E3E"/>
          <w:spacing w:val="-3"/>
          <w:sz w:val="24"/>
          <w:szCs w:val="24"/>
        </w:rPr>
        <w:t>2.2.2</w:t>
      </w:r>
      <w:r>
        <w:rPr>
          <w:color w:val="3E3E3E"/>
          <w:spacing w:val="-38"/>
          <w:sz w:val="24"/>
          <w:szCs w:val="24"/>
        </w:rPr>
        <w:t xml:space="preserve"> </w:t>
      </w:r>
      <w:r>
        <w:rPr>
          <w:color w:val="3E3E3E"/>
          <w:spacing w:val="-3"/>
          <w:sz w:val="24"/>
          <w:szCs w:val="24"/>
        </w:rPr>
        <w:t>点型感温探测器</w:t>
      </w:r>
    </w:p>
    <w:p>
      <w:pPr>
        <w:pStyle w:val="16"/>
        <w:spacing w:before="181" w:line="351" w:lineRule="auto"/>
        <w:ind w:left="22" w:right="80" w:firstLine="602"/>
        <w:jc w:val="both"/>
        <w:rPr>
          <w:sz w:val="24"/>
          <w:szCs w:val="24"/>
        </w:rPr>
      </w:pPr>
      <w:r>
        <w:rPr>
          <w:color w:val="3E3E3E"/>
          <w:spacing w:val="-1"/>
          <w:sz w:val="24"/>
          <w:szCs w:val="24"/>
        </w:rPr>
        <w:t>可重定点型感温探测器，使用温度不低于</w:t>
      </w:r>
      <w:r>
        <w:rPr>
          <w:color w:val="3E3E3E"/>
          <w:spacing w:val="-38"/>
          <w:sz w:val="24"/>
          <w:szCs w:val="24"/>
        </w:rPr>
        <w:t xml:space="preserve"> </w:t>
      </w:r>
      <w:r>
        <w:rPr>
          <w:color w:val="3E3E3E"/>
          <w:spacing w:val="-1"/>
          <w:sz w:val="24"/>
          <w:szCs w:val="24"/>
        </w:rPr>
        <w:t>54℃的热源加热，查看探测器报警确</w:t>
      </w:r>
      <w:r>
        <w:rPr>
          <w:color w:val="3E3E3E"/>
          <w:sz w:val="24"/>
          <w:szCs w:val="24"/>
        </w:rPr>
        <w:t xml:space="preserve"> </w:t>
      </w:r>
      <w:r>
        <w:rPr>
          <w:color w:val="3E3E3E"/>
          <w:spacing w:val="-2"/>
          <w:sz w:val="24"/>
          <w:szCs w:val="24"/>
        </w:rPr>
        <w:t>认灯和火灾报警控制器火警信号显示；移开加热源，手动重定火灾报警控制器，查看</w:t>
      </w:r>
      <w:r>
        <w:rPr>
          <w:color w:val="3E3E3E"/>
          <w:spacing w:val="4"/>
          <w:sz w:val="24"/>
          <w:szCs w:val="24"/>
        </w:rPr>
        <w:t xml:space="preserve"> </w:t>
      </w:r>
      <w:r>
        <w:rPr>
          <w:color w:val="3E3E3E"/>
          <w:spacing w:val="-1"/>
          <w:sz w:val="24"/>
          <w:szCs w:val="24"/>
        </w:rPr>
        <w:t>探测器报警确认灯在重定前后的变化情况。</w:t>
      </w:r>
    </w:p>
    <w:p>
      <w:pPr>
        <w:pStyle w:val="16"/>
        <w:spacing w:before="34" w:line="290" w:lineRule="auto"/>
        <w:ind w:left="27" w:right="140" w:firstLine="493"/>
        <w:rPr>
          <w:sz w:val="24"/>
          <w:szCs w:val="24"/>
        </w:rPr>
      </w:pPr>
      <w:r>
        <w:rPr>
          <w:color w:val="3E3E3E"/>
          <w:spacing w:val="-1"/>
          <w:sz w:val="24"/>
          <w:szCs w:val="24"/>
        </w:rPr>
        <w:t>1)对测试过的火灾探测器做地址记录,以免在下期测试中重复测试同一个点。在</w:t>
      </w:r>
      <w:r>
        <w:rPr>
          <w:color w:val="3E3E3E"/>
          <w:spacing w:val="7"/>
          <w:sz w:val="24"/>
          <w:szCs w:val="24"/>
        </w:rPr>
        <w:t xml:space="preserve"> </w:t>
      </w:r>
      <w:r>
        <w:rPr>
          <w:color w:val="3E3E3E"/>
          <w:spacing w:val="-1"/>
          <w:sz w:val="24"/>
          <w:szCs w:val="24"/>
        </w:rPr>
        <w:t>一年内通过定期测试后将所有火灾探测器测试一遍。</w:t>
      </w:r>
    </w:p>
    <w:p>
      <w:pPr>
        <w:pStyle w:val="16"/>
        <w:spacing w:before="183" w:line="219" w:lineRule="auto"/>
        <w:ind w:left="506"/>
        <w:rPr>
          <w:sz w:val="24"/>
          <w:szCs w:val="24"/>
        </w:rPr>
      </w:pPr>
      <w:r>
        <w:rPr>
          <w:color w:val="3E3E3E"/>
          <w:spacing w:val="-1"/>
          <w:sz w:val="24"/>
          <w:szCs w:val="24"/>
        </w:rPr>
        <w:t>2)测试中应核对火灾探测器的地址是否正确。</w:t>
      </w:r>
    </w:p>
    <w:p>
      <w:pPr>
        <w:pStyle w:val="16"/>
        <w:spacing w:before="184" w:line="288" w:lineRule="auto"/>
        <w:ind w:left="23" w:right="140" w:firstLine="484"/>
        <w:rPr>
          <w:sz w:val="24"/>
          <w:szCs w:val="24"/>
        </w:rPr>
      </w:pPr>
      <w:r>
        <w:rPr>
          <w:color w:val="3E3E3E"/>
          <w:sz w:val="24"/>
          <w:szCs w:val="24"/>
        </w:rPr>
        <w:t>3)在测试过程中,应对火灾探测器报警的迟缓</w:t>
      </w:r>
      <w:r>
        <w:rPr>
          <w:color w:val="3E3E3E"/>
          <w:spacing w:val="-1"/>
          <w:sz w:val="24"/>
          <w:szCs w:val="24"/>
        </w:rPr>
        <w:t>程度做记录,通过汇总,对其工作状</w:t>
      </w:r>
      <w:r>
        <w:rPr>
          <w:color w:val="3E3E3E"/>
          <w:sz w:val="24"/>
          <w:szCs w:val="24"/>
        </w:rPr>
        <w:t xml:space="preserve"> </w:t>
      </w:r>
      <w:r>
        <w:rPr>
          <w:color w:val="3E3E3E"/>
          <w:spacing w:val="-1"/>
          <w:sz w:val="24"/>
          <w:szCs w:val="24"/>
        </w:rPr>
        <w:t>态有一个大致的了解,为是否对火灾探测器进行清洗提供佐证。</w:t>
      </w:r>
    </w:p>
    <w:p>
      <w:pPr>
        <w:pStyle w:val="16"/>
        <w:spacing w:before="187" w:line="290" w:lineRule="auto"/>
        <w:ind w:left="26" w:right="80" w:firstLine="476"/>
        <w:rPr>
          <w:sz w:val="24"/>
          <w:szCs w:val="24"/>
        </w:rPr>
      </w:pPr>
      <w:r>
        <w:rPr>
          <w:color w:val="3E3E3E"/>
          <w:spacing w:val="-2"/>
          <w:sz w:val="24"/>
          <w:szCs w:val="24"/>
        </w:rPr>
        <w:t>4)对于探测装置因环境条件的改变，而不能适用时，应通过设计、施工部门及时</w:t>
      </w:r>
      <w:r>
        <w:rPr>
          <w:color w:val="3E3E3E"/>
          <w:spacing w:val="2"/>
          <w:sz w:val="24"/>
          <w:szCs w:val="24"/>
        </w:rPr>
        <w:t xml:space="preserve"> </w:t>
      </w:r>
      <w:r>
        <w:rPr>
          <w:color w:val="3E3E3E"/>
          <w:spacing w:val="-5"/>
          <w:sz w:val="24"/>
          <w:szCs w:val="24"/>
        </w:rPr>
        <w:t>更换。</w:t>
      </w:r>
    </w:p>
    <w:p>
      <w:pPr>
        <w:pStyle w:val="16"/>
        <w:spacing w:before="181" w:line="313" w:lineRule="auto"/>
        <w:ind w:left="28" w:firstLine="480"/>
        <w:rPr>
          <w:sz w:val="24"/>
          <w:szCs w:val="24"/>
        </w:rPr>
      </w:pPr>
      <w:r>
        <w:rPr>
          <w:color w:val="3E3E3E"/>
          <w:spacing w:val="-6"/>
          <w:sz w:val="24"/>
          <w:szCs w:val="24"/>
        </w:rPr>
        <w:t>5)要防止外部干扰或意外损坏。对于探测器不仅要防</w:t>
      </w:r>
      <w:r>
        <w:rPr>
          <w:color w:val="3E3E3E"/>
          <w:spacing w:val="-7"/>
          <w:sz w:val="24"/>
          <w:szCs w:val="24"/>
        </w:rPr>
        <w:t>止烟、灰尘及类似的气溶胶、</w:t>
      </w:r>
      <w:r>
        <w:rPr>
          <w:color w:val="3E3E3E"/>
          <w:sz w:val="24"/>
          <w:szCs w:val="24"/>
        </w:rPr>
        <w:t xml:space="preserve"> </w:t>
      </w:r>
      <w:r>
        <w:rPr>
          <w:color w:val="3E3E3E"/>
          <w:spacing w:val="-2"/>
          <w:sz w:val="24"/>
          <w:szCs w:val="24"/>
        </w:rPr>
        <w:t>小动物的侵入、水蒸汽凝结、结冰等外部自然因素的影响而且还要防止人为的因</w:t>
      </w:r>
      <w:r>
        <w:rPr>
          <w:color w:val="3E3E3E"/>
          <w:spacing w:val="-3"/>
          <w:sz w:val="24"/>
          <w:szCs w:val="24"/>
        </w:rPr>
        <w:t>素如</w:t>
      </w:r>
      <w:r>
        <w:rPr>
          <w:color w:val="3E3E3E"/>
          <w:sz w:val="24"/>
          <w:szCs w:val="24"/>
        </w:rPr>
        <w:t xml:space="preserve"> </w:t>
      </w:r>
      <w:r>
        <w:rPr>
          <w:color w:val="3E3E3E"/>
          <w:spacing w:val="-1"/>
          <w:sz w:val="24"/>
          <w:szCs w:val="24"/>
        </w:rPr>
        <w:t>书架、贮藏架的摆放或设备、隔断等分隔对探测器和手动报警按钮的影响。</w:t>
      </w:r>
    </w:p>
    <w:p>
      <w:pPr>
        <w:pStyle w:val="16"/>
        <w:spacing w:before="184" w:line="219" w:lineRule="auto"/>
        <w:ind w:left="506"/>
        <w:rPr>
          <w:sz w:val="24"/>
          <w:szCs w:val="24"/>
        </w:rPr>
      </w:pPr>
      <w:r>
        <w:rPr>
          <w:color w:val="3E3E3E"/>
          <w:spacing w:val="-2"/>
          <w:sz w:val="24"/>
          <w:szCs w:val="24"/>
        </w:rPr>
        <w:t>2.2.3</w:t>
      </w:r>
      <w:r>
        <w:rPr>
          <w:color w:val="3E3E3E"/>
          <w:spacing w:val="-51"/>
          <w:sz w:val="24"/>
          <w:szCs w:val="24"/>
        </w:rPr>
        <w:t xml:space="preserve"> </w:t>
      </w:r>
      <w:r>
        <w:rPr>
          <w:color w:val="3E3E3E"/>
          <w:spacing w:val="-2"/>
          <w:sz w:val="24"/>
          <w:szCs w:val="24"/>
        </w:rPr>
        <w:t>手动报警按钮</w:t>
      </w:r>
    </w:p>
    <w:p>
      <w:pPr>
        <w:pStyle w:val="16"/>
        <w:spacing w:before="184" w:line="216" w:lineRule="auto"/>
        <w:ind w:left="521"/>
        <w:rPr>
          <w:sz w:val="24"/>
          <w:szCs w:val="24"/>
        </w:rPr>
      </w:pPr>
      <w:r>
        <w:rPr>
          <w:color w:val="3E3E3E"/>
          <w:spacing w:val="-2"/>
          <w:sz w:val="24"/>
          <w:szCs w:val="24"/>
        </w:rPr>
        <w:t>1)每月巡检手动报警按钮装置,检查外罩玻璃是</w:t>
      </w:r>
      <w:r>
        <w:rPr>
          <w:color w:val="3E3E3E"/>
          <w:spacing w:val="-3"/>
          <w:sz w:val="24"/>
          <w:szCs w:val="24"/>
        </w:rPr>
        <w:t>否有破损。如有损坏应及时更换,</w:t>
      </w:r>
    </w:p>
    <w:p>
      <w:pPr>
        <w:pStyle w:val="16"/>
        <w:spacing w:before="187" w:line="219" w:lineRule="auto"/>
        <w:ind w:left="50"/>
        <w:rPr>
          <w:sz w:val="24"/>
          <w:szCs w:val="24"/>
        </w:rPr>
      </w:pPr>
      <w:r>
        <w:rPr>
          <w:color w:val="3E3E3E"/>
          <w:spacing w:val="-6"/>
          <w:sz w:val="24"/>
          <w:szCs w:val="24"/>
        </w:rPr>
        <w:t>以免发生误报。</w:t>
      </w:r>
    </w:p>
    <w:p>
      <w:pPr>
        <w:pStyle w:val="16"/>
        <w:spacing w:before="183" w:line="290" w:lineRule="auto"/>
        <w:ind w:left="23" w:right="140" w:firstLine="482"/>
        <w:rPr>
          <w:sz w:val="24"/>
          <w:szCs w:val="24"/>
        </w:rPr>
      </w:pPr>
      <w:r>
        <w:rPr>
          <w:color w:val="3E3E3E"/>
          <w:sz w:val="24"/>
          <w:szCs w:val="24"/>
        </w:rPr>
        <w:t>2)每季度巡检时,触发按钮查看火灾报警控制器</w:t>
      </w:r>
      <w:r>
        <w:rPr>
          <w:color w:val="3E3E3E"/>
          <w:spacing w:val="-1"/>
          <w:sz w:val="24"/>
          <w:szCs w:val="24"/>
        </w:rPr>
        <w:t>信号和按钮的报警确认灯是否准</w:t>
      </w:r>
      <w:r>
        <w:rPr>
          <w:color w:val="3E3E3E"/>
          <w:sz w:val="24"/>
          <w:szCs w:val="24"/>
        </w:rPr>
        <w:t xml:space="preserve"> </w:t>
      </w:r>
      <w:r>
        <w:rPr>
          <w:color w:val="3E3E3E"/>
          <w:spacing w:val="-5"/>
          <w:sz w:val="24"/>
          <w:szCs w:val="24"/>
        </w:rPr>
        <w:t>确。</w:t>
      </w:r>
    </w:p>
    <w:p>
      <w:pPr>
        <w:pStyle w:val="16"/>
        <w:spacing w:before="182" w:line="219" w:lineRule="auto"/>
        <w:ind w:left="508"/>
        <w:rPr>
          <w:sz w:val="24"/>
          <w:szCs w:val="24"/>
        </w:rPr>
      </w:pPr>
      <w:r>
        <w:rPr>
          <w:color w:val="3E3E3E"/>
          <w:spacing w:val="-1"/>
          <w:sz w:val="24"/>
          <w:szCs w:val="24"/>
        </w:rPr>
        <w:t>3)每季度对警铃及广播测试一遍，发现故障及时维修。</w:t>
      </w:r>
    </w:p>
    <w:p>
      <w:pPr>
        <w:pStyle w:val="16"/>
        <w:spacing w:before="183" w:line="219" w:lineRule="auto"/>
        <w:ind w:left="506"/>
        <w:rPr>
          <w:sz w:val="24"/>
          <w:szCs w:val="24"/>
        </w:rPr>
      </w:pPr>
      <w:r>
        <w:rPr>
          <w:color w:val="3E3E3E"/>
          <w:spacing w:val="-3"/>
          <w:sz w:val="24"/>
          <w:szCs w:val="24"/>
        </w:rPr>
        <w:t>2.3</w:t>
      </w:r>
      <w:r>
        <w:rPr>
          <w:color w:val="3E3E3E"/>
          <w:spacing w:val="-46"/>
          <w:sz w:val="24"/>
          <w:szCs w:val="24"/>
        </w:rPr>
        <w:t xml:space="preserve"> </w:t>
      </w:r>
      <w:r>
        <w:rPr>
          <w:color w:val="3E3E3E"/>
          <w:spacing w:val="-3"/>
          <w:sz w:val="24"/>
          <w:szCs w:val="24"/>
        </w:rPr>
        <w:t>消防给水系统</w:t>
      </w:r>
    </w:p>
    <w:p>
      <w:pPr>
        <w:spacing w:line="219" w:lineRule="auto"/>
        <w:rPr>
          <w:sz w:val="24"/>
          <w:szCs w:val="24"/>
        </w:rPr>
        <w:sectPr>
          <w:footerReference r:id="rId10" w:type="default"/>
          <w:pgSz w:w="11906" w:h="16839"/>
          <w:pgMar w:top="400" w:right="1205"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78" w:line="219" w:lineRule="auto"/>
        <w:ind w:left="506"/>
        <w:rPr>
          <w:sz w:val="24"/>
          <w:szCs w:val="24"/>
        </w:rPr>
      </w:pPr>
      <w:r>
        <w:rPr>
          <w:color w:val="3E3E3E"/>
          <w:spacing w:val="-3"/>
          <w:sz w:val="24"/>
          <w:szCs w:val="24"/>
        </w:rPr>
        <w:t>2.3.1</w:t>
      </w:r>
      <w:r>
        <w:rPr>
          <w:color w:val="3E3E3E"/>
          <w:spacing w:val="-46"/>
          <w:sz w:val="24"/>
          <w:szCs w:val="24"/>
        </w:rPr>
        <w:t xml:space="preserve"> </w:t>
      </w:r>
      <w:r>
        <w:rPr>
          <w:color w:val="3E3E3E"/>
          <w:spacing w:val="-3"/>
          <w:sz w:val="24"/>
          <w:szCs w:val="24"/>
        </w:rPr>
        <w:t>消防水池</w:t>
      </w:r>
    </w:p>
    <w:p>
      <w:pPr>
        <w:pStyle w:val="16"/>
        <w:spacing w:before="181" w:line="290" w:lineRule="auto"/>
        <w:ind w:left="506" w:right="2621" w:firstLine="14"/>
        <w:rPr>
          <w:sz w:val="24"/>
          <w:szCs w:val="24"/>
        </w:rPr>
      </w:pPr>
      <w:r>
        <w:rPr>
          <w:color w:val="3E3E3E"/>
          <w:spacing w:val="-3"/>
          <w:sz w:val="24"/>
          <w:szCs w:val="24"/>
        </w:rPr>
        <w:t>1)每月查看消防水池水位及消防用水不被他用的状况。</w:t>
      </w:r>
      <w:r>
        <w:rPr>
          <w:color w:val="3E3E3E"/>
          <w:spacing w:val="7"/>
          <w:sz w:val="24"/>
          <w:szCs w:val="24"/>
        </w:rPr>
        <w:t xml:space="preserve"> </w:t>
      </w:r>
      <w:r>
        <w:rPr>
          <w:color w:val="3E3E3E"/>
          <w:spacing w:val="-2"/>
          <w:sz w:val="24"/>
          <w:szCs w:val="24"/>
        </w:rPr>
        <w:t>2)每月查看补水设施。</w:t>
      </w:r>
    </w:p>
    <w:p>
      <w:pPr>
        <w:pStyle w:val="16"/>
        <w:spacing w:before="182" w:line="219" w:lineRule="auto"/>
        <w:ind w:left="508"/>
        <w:rPr>
          <w:sz w:val="24"/>
          <w:szCs w:val="24"/>
        </w:rPr>
      </w:pPr>
      <w:r>
        <w:rPr>
          <w:color w:val="3E3E3E"/>
          <w:spacing w:val="-1"/>
          <w:sz w:val="24"/>
          <w:szCs w:val="24"/>
        </w:rPr>
        <w:t>3)每年对水源的供水能力进行一次测定。</w:t>
      </w:r>
    </w:p>
    <w:p>
      <w:pPr>
        <w:pStyle w:val="16"/>
        <w:spacing w:before="184" w:line="219" w:lineRule="auto"/>
        <w:ind w:left="502"/>
        <w:rPr>
          <w:sz w:val="24"/>
          <w:szCs w:val="24"/>
        </w:rPr>
      </w:pPr>
      <w:r>
        <w:rPr>
          <w:color w:val="3E3E3E"/>
          <w:spacing w:val="-1"/>
          <w:sz w:val="24"/>
          <w:szCs w:val="24"/>
        </w:rPr>
        <w:t>4)每两年应不少于两次对消防水池进行清洗、排污（甲方）。</w:t>
      </w:r>
    </w:p>
    <w:p>
      <w:pPr>
        <w:pStyle w:val="16"/>
        <w:spacing w:before="183" w:line="219" w:lineRule="auto"/>
        <w:ind w:left="508"/>
        <w:rPr>
          <w:sz w:val="24"/>
          <w:szCs w:val="24"/>
        </w:rPr>
      </w:pPr>
      <w:r>
        <w:rPr>
          <w:color w:val="3E3E3E"/>
          <w:spacing w:val="-3"/>
          <w:sz w:val="24"/>
          <w:szCs w:val="24"/>
        </w:rPr>
        <w:t>3.3.2</w:t>
      </w:r>
      <w:r>
        <w:rPr>
          <w:color w:val="3E3E3E"/>
          <w:spacing w:val="-43"/>
          <w:sz w:val="24"/>
          <w:szCs w:val="24"/>
        </w:rPr>
        <w:t xml:space="preserve"> </w:t>
      </w:r>
      <w:r>
        <w:rPr>
          <w:color w:val="3E3E3E"/>
          <w:spacing w:val="-3"/>
          <w:sz w:val="24"/>
          <w:szCs w:val="24"/>
        </w:rPr>
        <w:t>消防管路系统</w:t>
      </w:r>
    </w:p>
    <w:p>
      <w:pPr>
        <w:pStyle w:val="16"/>
        <w:spacing w:before="183" w:line="219" w:lineRule="auto"/>
        <w:ind w:left="521"/>
        <w:rPr>
          <w:sz w:val="24"/>
          <w:szCs w:val="24"/>
        </w:rPr>
      </w:pPr>
      <w:r>
        <w:rPr>
          <w:color w:val="3E3E3E"/>
          <w:spacing w:val="-1"/>
          <w:sz w:val="24"/>
          <w:szCs w:val="24"/>
        </w:rPr>
        <w:t>1)观察稳压泵的启动频率，确定管网有无</w:t>
      </w:r>
      <w:r>
        <w:rPr>
          <w:color w:val="3E3E3E"/>
          <w:spacing w:val="-2"/>
          <w:sz w:val="24"/>
          <w:szCs w:val="24"/>
        </w:rPr>
        <w:t>渗漏现象。</w:t>
      </w:r>
    </w:p>
    <w:p>
      <w:pPr>
        <w:pStyle w:val="16"/>
        <w:spacing w:before="183" w:line="290" w:lineRule="auto"/>
        <w:ind w:left="27" w:firstLine="479"/>
        <w:rPr>
          <w:sz w:val="24"/>
          <w:szCs w:val="24"/>
        </w:rPr>
      </w:pPr>
      <w:r>
        <w:rPr>
          <w:color w:val="3E3E3E"/>
          <w:spacing w:val="-2"/>
          <w:sz w:val="24"/>
          <w:szCs w:val="24"/>
        </w:rPr>
        <w:t>2)外观检查：检查管道有无机械损伤、油漆脱落、锈蚀等，管道固定是否牢固，</w:t>
      </w:r>
      <w:r>
        <w:rPr>
          <w:color w:val="3E3E3E"/>
          <w:sz w:val="24"/>
          <w:szCs w:val="24"/>
        </w:rPr>
        <w:t xml:space="preserve"> </w:t>
      </w:r>
      <w:r>
        <w:rPr>
          <w:color w:val="3E3E3E"/>
          <w:spacing w:val="-2"/>
          <w:sz w:val="24"/>
          <w:szCs w:val="24"/>
        </w:rPr>
        <w:t>发现问题应及时处理。</w:t>
      </w:r>
    </w:p>
    <w:p>
      <w:pPr>
        <w:pStyle w:val="16"/>
        <w:spacing w:before="183" w:line="289" w:lineRule="auto"/>
        <w:ind w:left="24" w:right="61" w:firstLine="483"/>
        <w:rPr>
          <w:sz w:val="24"/>
          <w:szCs w:val="24"/>
        </w:rPr>
      </w:pPr>
      <w:r>
        <w:rPr>
          <w:color w:val="3E3E3E"/>
          <w:sz w:val="24"/>
          <w:szCs w:val="24"/>
        </w:rPr>
        <w:t>3)清除堵塞：系统管道中,可能因施工疏忽</w:t>
      </w:r>
      <w:r>
        <w:rPr>
          <w:color w:val="3E3E3E"/>
          <w:spacing w:val="-1"/>
          <w:sz w:val="24"/>
          <w:szCs w:val="24"/>
        </w:rPr>
        <w:t>残留有砂、石、木屑或水源带来的垃</w:t>
      </w:r>
      <w:r>
        <w:rPr>
          <w:color w:val="3E3E3E"/>
          <w:sz w:val="24"/>
          <w:szCs w:val="24"/>
        </w:rPr>
        <w:t xml:space="preserve"> 圾、铁锈等，这样会造成喷头堵塞、报警阀关闭不严</w:t>
      </w:r>
      <w:r>
        <w:rPr>
          <w:color w:val="3E3E3E"/>
          <w:spacing w:val="-1"/>
          <w:sz w:val="24"/>
          <w:szCs w:val="24"/>
        </w:rPr>
        <w:t>、水力警铃输水管堵塞等。</w:t>
      </w:r>
    </w:p>
    <w:p>
      <w:pPr>
        <w:pStyle w:val="16"/>
        <w:spacing w:before="183" w:line="290" w:lineRule="auto"/>
        <w:ind w:left="24" w:right="1" w:firstLine="478"/>
        <w:rPr>
          <w:sz w:val="24"/>
          <w:szCs w:val="24"/>
        </w:rPr>
      </w:pPr>
      <w:r>
        <w:rPr>
          <w:color w:val="3E3E3E"/>
          <w:spacing w:val="-1"/>
          <w:sz w:val="24"/>
          <w:szCs w:val="24"/>
        </w:rPr>
        <w:t>4)每季度需对不少于</w:t>
      </w:r>
      <w:r>
        <w:rPr>
          <w:color w:val="3E3E3E"/>
          <w:spacing w:val="-33"/>
          <w:sz w:val="24"/>
          <w:szCs w:val="24"/>
        </w:rPr>
        <w:t xml:space="preserve"> </w:t>
      </w:r>
      <w:r>
        <w:rPr>
          <w:color w:val="3E3E3E"/>
          <w:spacing w:val="-1"/>
          <w:sz w:val="24"/>
          <w:szCs w:val="24"/>
        </w:rPr>
        <w:t>20%的管道末端进行放水，确保管道内的水质良好，并对水</w:t>
      </w:r>
      <w:r>
        <w:rPr>
          <w:color w:val="3E3E3E"/>
          <w:sz w:val="24"/>
          <w:szCs w:val="24"/>
        </w:rPr>
        <w:t xml:space="preserve"> </w:t>
      </w:r>
      <w:r>
        <w:rPr>
          <w:color w:val="3E3E3E"/>
          <w:spacing w:val="-1"/>
          <w:sz w:val="24"/>
          <w:szCs w:val="24"/>
        </w:rPr>
        <w:t>流指示器的报警功能进行检查。</w:t>
      </w:r>
    </w:p>
    <w:p>
      <w:pPr>
        <w:pStyle w:val="16"/>
        <w:spacing w:before="183" w:line="219" w:lineRule="auto"/>
        <w:ind w:left="506"/>
        <w:rPr>
          <w:sz w:val="24"/>
          <w:szCs w:val="24"/>
        </w:rPr>
      </w:pPr>
      <w:r>
        <w:rPr>
          <w:color w:val="3E3E3E"/>
          <w:spacing w:val="-2"/>
          <w:sz w:val="24"/>
          <w:szCs w:val="24"/>
        </w:rPr>
        <w:t>2.3.3</w:t>
      </w:r>
      <w:r>
        <w:rPr>
          <w:color w:val="3E3E3E"/>
          <w:spacing w:val="-48"/>
          <w:sz w:val="24"/>
          <w:szCs w:val="24"/>
        </w:rPr>
        <w:t xml:space="preserve"> </w:t>
      </w:r>
      <w:r>
        <w:rPr>
          <w:color w:val="3E3E3E"/>
          <w:spacing w:val="-2"/>
          <w:sz w:val="24"/>
          <w:szCs w:val="24"/>
        </w:rPr>
        <w:t>稳压泵及气压水罐</w:t>
      </w:r>
    </w:p>
    <w:p>
      <w:pPr>
        <w:pStyle w:val="16"/>
        <w:spacing w:before="182" w:line="219" w:lineRule="auto"/>
        <w:ind w:left="503"/>
        <w:rPr>
          <w:sz w:val="24"/>
          <w:szCs w:val="24"/>
        </w:rPr>
      </w:pPr>
      <w:r>
        <w:rPr>
          <w:color w:val="3E3E3E"/>
          <w:spacing w:val="-1"/>
          <w:sz w:val="24"/>
          <w:szCs w:val="24"/>
        </w:rPr>
        <w:t>每月检查应依据如下步骤进行﹕</w:t>
      </w:r>
    </w:p>
    <w:p>
      <w:pPr>
        <w:pStyle w:val="16"/>
        <w:spacing w:before="185" w:line="219" w:lineRule="auto"/>
        <w:ind w:left="521"/>
        <w:rPr>
          <w:sz w:val="24"/>
          <w:szCs w:val="24"/>
        </w:rPr>
      </w:pPr>
      <w:r>
        <w:rPr>
          <w:color w:val="3E3E3E"/>
          <w:spacing w:val="-2"/>
          <w:sz w:val="24"/>
          <w:szCs w:val="24"/>
        </w:rPr>
        <w:t>1)打开排气阀，检查是否能够自动加压。</w:t>
      </w:r>
    </w:p>
    <w:p>
      <w:pPr>
        <w:pStyle w:val="16"/>
        <w:spacing w:before="182" w:line="290" w:lineRule="auto"/>
        <w:ind w:left="29" w:right="1" w:firstLine="477"/>
        <w:rPr>
          <w:sz w:val="24"/>
          <w:szCs w:val="24"/>
        </w:rPr>
      </w:pPr>
      <w:r>
        <w:rPr>
          <w:color w:val="3E3E3E"/>
          <w:spacing w:val="-2"/>
          <w:sz w:val="24"/>
          <w:szCs w:val="24"/>
        </w:rPr>
        <w:t>2)打开试验排水阀，检查减水时能否自动供水，加压装置及供水装置压力表</w:t>
      </w:r>
      <w:r>
        <w:rPr>
          <w:color w:val="3E3E3E"/>
          <w:spacing w:val="-3"/>
          <w:sz w:val="24"/>
          <w:szCs w:val="24"/>
        </w:rPr>
        <w:t>是否</w:t>
      </w:r>
      <w:r>
        <w:rPr>
          <w:color w:val="3E3E3E"/>
          <w:sz w:val="24"/>
          <w:szCs w:val="24"/>
        </w:rPr>
        <w:t xml:space="preserve"> </w:t>
      </w:r>
      <w:r>
        <w:rPr>
          <w:color w:val="3E3E3E"/>
          <w:spacing w:val="-4"/>
          <w:sz w:val="24"/>
          <w:szCs w:val="24"/>
        </w:rPr>
        <w:t>显示正常</w:t>
      </w:r>
    </w:p>
    <w:p>
      <w:pPr>
        <w:pStyle w:val="16"/>
        <w:spacing w:before="182" w:line="290" w:lineRule="auto"/>
        <w:ind w:left="46" w:right="1" w:firstLine="462"/>
        <w:rPr>
          <w:sz w:val="24"/>
          <w:szCs w:val="24"/>
        </w:rPr>
      </w:pPr>
      <w:r>
        <w:rPr>
          <w:color w:val="3E3E3E"/>
          <w:spacing w:val="-2"/>
          <w:sz w:val="24"/>
          <w:szCs w:val="24"/>
        </w:rPr>
        <w:t>3)打开排气阀或试验排水阀时，为防止气压水罐内的压力较高造成危险</w:t>
      </w:r>
      <w:r>
        <w:rPr>
          <w:color w:val="3E3E3E"/>
          <w:spacing w:val="-3"/>
          <w:sz w:val="24"/>
          <w:szCs w:val="24"/>
        </w:rPr>
        <w:t>应慢慢将</w:t>
      </w:r>
      <w:r>
        <w:rPr>
          <w:color w:val="3E3E3E"/>
          <w:sz w:val="24"/>
          <w:szCs w:val="24"/>
        </w:rPr>
        <w:t xml:space="preserve"> </w:t>
      </w:r>
      <w:r>
        <w:rPr>
          <w:color w:val="3E3E3E"/>
          <w:spacing w:val="-7"/>
          <w:sz w:val="24"/>
          <w:szCs w:val="24"/>
        </w:rPr>
        <w:t>阀门打开。</w:t>
      </w:r>
    </w:p>
    <w:p>
      <w:pPr>
        <w:pStyle w:val="16"/>
        <w:spacing w:before="183" w:line="219" w:lineRule="auto"/>
        <w:ind w:left="506"/>
        <w:rPr>
          <w:sz w:val="24"/>
          <w:szCs w:val="24"/>
        </w:rPr>
      </w:pPr>
      <w:r>
        <w:rPr>
          <w:color w:val="3E3E3E"/>
          <w:spacing w:val="-3"/>
          <w:sz w:val="24"/>
          <w:szCs w:val="24"/>
        </w:rPr>
        <w:t>2.3.4</w:t>
      </w:r>
      <w:r>
        <w:rPr>
          <w:color w:val="3E3E3E"/>
          <w:spacing w:val="-46"/>
          <w:sz w:val="24"/>
          <w:szCs w:val="24"/>
        </w:rPr>
        <w:t xml:space="preserve"> </w:t>
      </w:r>
      <w:r>
        <w:rPr>
          <w:color w:val="3E3E3E"/>
          <w:spacing w:val="-3"/>
          <w:sz w:val="24"/>
          <w:szCs w:val="24"/>
        </w:rPr>
        <w:t>消防水泵</w:t>
      </w:r>
    </w:p>
    <w:p>
      <w:pPr>
        <w:pStyle w:val="16"/>
        <w:spacing w:before="182" w:line="347" w:lineRule="auto"/>
        <w:ind w:left="23" w:right="1" w:firstLine="497"/>
        <w:rPr>
          <w:sz w:val="24"/>
          <w:szCs w:val="24"/>
        </w:rPr>
      </w:pPr>
      <w:r>
        <w:rPr>
          <w:color w:val="3E3E3E"/>
          <w:spacing w:val="-2"/>
          <w:sz w:val="24"/>
          <w:szCs w:val="24"/>
        </w:rPr>
        <w:t>1)每日查看水泵和阀门的标志；转动阀门</w:t>
      </w:r>
      <w:r>
        <w:rPr>
          <w:color w:val="3E3E3E"/>
          <w:spacing w:val="-3"/>
          <w:sz w:val="24"/>
          <w:szCs w:val="24"/>
        </w:rPr>
        <w:t>手轮，检查阀门状态；观察阀杆及手轮</w:t>
      </w:r>
      <w:r>
        <w:rPr>
          <w:color w:val="3E3E3E"/>
          <w:sz w:val="24"/>
          <w:szCs w:val="24"/>
        </w:rPr>
        <w:t xml:space="preserve"> </w:t>
      </w:r>
      <w:r>
        <w:rPr>
          <w:color w:val="3E3E3E"/>
          <w:spacing w:val="-1"/>
          <w:sz w:val="24"/>
          <w:szCs w:val="24"/>
        </w:rPr>
        <w:t>位置；阀杆是否需要加注润滑油（甲方）。</w:t>
      </w:r>
    </w:p>
    <w:p>
      <w:pPr>
        <w:pStyle w:val="16"/>
        <w:spacing w:before="33" w:line="355" w:lineRule="auto"/>
        <w:ind w:left="23" w:firstLine="482"/>
        <w:rPr>
          <w:sz w:val="24"/>
          <w:szCs w:val="24"/>
        </w:rPr>
      </w:pPr>
      <w:r>
        <w:rPr>
          <w:color w:val="3E3E3E"/>
          <w:spacing w:val="-4"/>
          <w:sz w:val="24"/>
          <w:szCs w:val="24"/>
        </w:rPr>
        <w:t>2)每月在泵房控制柜处启动水泵，查看运行情况。消</w:t>
      </w:r>
      <w:r>
        <w:rPr>
          <w:color w:val="3E3E3E"/>
          <w:spacing w:val="-5"/>
          <w:sz w:val="24"/>
          <w:szCs w:val="24"/>
        </w:rPr>
        <w:t>防水泵应每月启动运转</w:t>
      </w:r>
      <w:r>
        <w:rPr>
          <w:color w:val="3E3E3E"/>
          <w:spacing w:val="-33"/>
          <w:sz w:val="24"/>
          <w:szCs w:val="24"/>
        </w:rPr>
        <w:t xml:space="preserve"> </w:t>
      </w:r>
      <w:r>
        <w:rPr>
          <w:color w:val="3E3E3E"/>
          <w:spacing w:val="-5"/>
          <w:sz w:val="24"/>
          <w:szCs w:val="24"/>
        </w:rPr>
        <w:t>1～3</w:t>
      </w:r>
      <w:r>
        <w:rPr>
          <w:color w:val="3E3E3E"/>
          <w:sz w:val="24"/>
          <w:szCs w:val="24"/>
        </w:rPr>
        <w:t xml:space="preserve"> </w:t>
      </w:r>
      <w:r>
        <w:rPr>
          <w:color w:val="3E3E3E"/>
          <w:spacing w:val="-1"/>
          <w:sz w:val="24"/>
          <w:szCs w:val="24"/>
        </w:rPr>
        <w:t>次；当消防水泵为自动控制启动时，应每月类比自动控制的条件启动运转</w:t>
      </w:r>
      <w:r>
        <w:rPr>
          <w:color w:val="3E3E3E"/>
          <w:spacing w:val="-17"/>
          <w:sz w:val="24"/>
          <w:szCs w:val="24"/>
        </w:rPr>
        <w:t xml:space="preserve"> </w:t>
      </w:r>
      <w:r>
        <w:rPr>
          <w:color w:val="3E3E3E"/>
          <w:spacing w:val="-1"/>
          <w:sz w:val="24"/>
          <w:szCs w:val="24"/>
        </w:rPr>
        <w:t>1～3</w:t>
      </w:r>
      <w:r>
        <w:rPr>
          <w:color w:val="3E3E3E"/>
          <w:spacing w:val="-44"/>
          <w:sz w:val="24"/>
          <w:szCs w:val="24"/>
        </w:rPr>
        <w:t xml:space="preserve"> </w:t>
      </w:r>
      <w:r>
        <w:rPr>
          <w:color w:val="3E3E3E"/>
          <w:spacing w:val="-1"/>
          <w:sz w:val="24"/>
          <w:szCs w:val="24"/>
        </w:rPr>
        <w:t>次。</w:t>
      </w:r>
      <w:r>
        <w:rPr>
          <w:color w:val="3E3E3E"/>
          <w:sz w:val="24"/>
          <w:szCs w:val="24"/>
        </w:rPr>
        <w:t xml:space="preserve"> </w:t>
      </w:r>
      <w:r>
        <w:rPr>
          <w:color w:val="3E3E3E"/>
          <w:spacing w:val="-3"/>
          <w:sz w:val="24"/>
          <w:szCs w:val="24"/>
        </w:rPr>
        <w:t>手动、</w:t>
      </w:r>
      <w:r>
        <w:rPr>
          <w:color w:val="3E3E3E"/>
          <w:spacing w:val="-63"/>
          <w:sz w:val="24"/>
          <w:szCs w:val="24"/>
        </w:rPr>
        <w:t xml:space="preserve"> </w:t>
      </w:r>
      <w:r>
        <w:rPr>
          <w:color w:val="3E3E3E"/>
          <w:spacing w:val="-3"/>
          <w:sz w:val="24"/>
          <w:szCs w:val="24"/>
        </w:rPr>
        <w:t>自动控制启水泵</w:t>
      </w:r>
      <w:r>
        <w:rPr>
          <w:color w:val="3E3E3E"/>
          <w:spacing w:val="-33"/>
          <w:sz w:val="24"/>
          <w:szCs w:val="24"/>
        </w:rPr>
        <w:t xml:space="preserve"> </w:t>
      </w:r>
      <w:r>
        <w:rPr>
          <w:color w:val="3E3E3E"/>
          <w:spacing w:val="-3"/>
          <w:sz w:val="24"/>
          <w:szCs w:val="24"/>
        </w:rPr>
        <w:t>1～3</w:t>
      </w:r>
      <w:r>
        <w:rPr>
          <w:color w:val="3E3E3E"/>
          <w:spacing w:val="-44"/>
          <w:sz w:val="24"/>
          <w:szCs w:val="24"/>
        </w:rPr>
        <w:t xml:space="preserve"> </w:t>
      </w:r>
      <w:r>
        <w:rPr>
          <w:color w:val="3E3E3E"/>
          <w:spacing w:val="-3"/>
          <w:sz w:val="24"/>
          <w:szCs w:val="24"/>
        </w:rPr>
        <w:t>次，查信号有否返馈，水压是否上升，电机转动是否正</w:t>
      </w:r>
      <w:r>
        <w:rPr>
          <w:color w:val="3E3E3E"/>
          <w:sz w:val="24"/>
          <w:szCs w:val="24"/>
        </w:rPr>
        <w:t xml:space="preserve"> </w:t>
      </w:r>
      <w:r>
        <w:rPr>
          <w:color w:val="3E3E3E"/>
          <w:spacing w:val="-2"/>
          <w:sz w:val="24"/>
          <w:szCs w:val="24"/>
        </w:rPr>
        <w:t>常。有无变形、发热等状况。轴与电机、连接部件是否有松动、锈蚀、变形、发热，</w:t>
      </w:r>
      <w:r>
        <w:rPr>
          <w:color w:val="3E3E3E"/>
          <w:spacing w:val="5"/>
          <w:sz w:val="24"/>
          <w:szCs w:val="24"/>
        </w:rPr>
        <w:t xml:space="preserve"> </w:t>
      </w:r>
      <w:r>
        <w:rPr>
          <w:color w:val="3E3E3E"/>
          <w:spacing w:val="-2"/>
          <w:sz w:val="24"/>
          <w:szCs w:val="24"/>
        </w:rPr>
        <w:t>是否要加油。运行时间一般不少于</w:t>
      </w:r>
      <w:r>
        <w:rPr>
          <w:color w:val="3E3E3E"/>
          <w:spacing w:val="-45"/>
          <w:sz w:val="24"/>
          <w:szCs w:val="24"/>
        </w:rPr>
        <w:t xml:space="preserve"> </w:t>
      </w:r>
      <w:r>
        <w:rPr>
          <w:color w:val="3E3E3E"/>
          <w:spacing w:val="-2"/>
          <w:sz w:val="24"/>
          <w:szCs w:val="24"/>
        </w:rPr>
        <w:t>5</w:t>
      </w:r>
      <w:r>
        <w:rPr>
          <w:color w:val="3E3E3E"/>
          <w:spacing w:val="-48"/>
          <w:sz w:val="24"/>
          <w:szCs w:val="24"/>
        </w:rPr>
        <w:t xml:space="preserve"> </w:t>
      </w:r>
      <w:r>
        <w:rPr>
          <w:color w:val="3E3E3E"/>
          <w:spacing w:val="-2"/>
          <w:sz w:val="24"/>
          <w:szCs w:val="24"/>
        </w:rPr>
        <w:t>分钟。</w:t>
      </w:r>
    </w:p>
    <w:p>
      <w:pPr>
        <w:pStyle w:val="16"/>
        <w:spacing w:before="34" w:line="219" w:lineRule="auto"/>
        <w:ind w:left="508"/>
        <w:rPr>
          <w:sz w:val="24"/>
          <w:szCs w:val="24"/>
        </w:rPr>
      </w:pPr>
      <w:r>
        <w:rPr>
          <w:color w:val="3E3E3E"/>
          <w:spacing w:val="-1"/>
          <w:sz w:val="24"/>
          <w:szCs w:val="24"/>
        </w:rPr>
        <w:t>3)每月在消防主机控制室启动水泵，查看运行及反馈信号。</w:t>
      </w:r>
    </w:p>
    <w:p>
      <w:pPr>
        <w:spacing w:line="219" w:lineRule="auto"/>
        <w:rPr>
          <w:sz w:val="24"/>
          <w:szCs w:val="24"/>
        </w:rPr>
        <w:sectPr>
          <w:footerReference r:id="rId11" w:type="default"/>
          <w:pgSz w:w="11906" w:h="16839"/>
          <w:pgMar w:top="400" w:right="1284"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78" w:line="219" w:lineRule="auto"/>
        <w:ind w:right="20"/>
        <w:jc w:val="right"/>
        <w:rPr>
          <w:sz w:val="24"/>
          <w:szCs w:val="24"/>
        </w:rPr>
      </w:pPr>
      <w:r>
        <w:rPr>
          <w:color w:val="3E3E3E"/>
          <w:spacing w:val="-2"/>
          <w:sz w:val="24"/>
          <w:szCs w:val="24"/>
        </w:rPr>
        <w:t>4)每月检查消防水泵动力运行是否可靠，水泵能否正常运转，流量和压力能否保</w:t>
      </w:r>
    </w:p>
    <w:p>
      <w:pPr>
        <w:pStyle w:val="16"/>
        <w:spacing w:before="182" w:line="219" w:lineRule="auto"/>
        <w:ind w:left="23"/>
        <w:rPr>
          <w:sz w:val="24"/>
          <w:szCs w:val="24"/>
        </w:rPr>
      </w:pPr>
      <w:r>
        <w:rPr>
          <w:color w:val="3E3E3E"/>
          <w:spacing w:val="-1"/>
          <w:sz w:val="24"/>
          <w:szCs w:val="24"/>
        </w:rPr>
        <w:t>证；电力上有无保证不间断供电设施，其性能是否良好。</w:t>
      </w:r>
    </w:p>
    <w:p>
      <w:pPr>
        <w:pStyle w:val="16"/>
        <w:spacing w:before="184" w:line="219" w:lineRule="auto"/>
        <w:ind w:left="508"/>
        <w:rPr>
          <w:sz w:val="24"/>
          <w:szCs w:val="24"/>
        </w:rPr>
      </w:pPr>
      <w:r>
        <w:rPr>
          <w:color w:val="3E3E3E"/>
          <w:spacing w:val="-1"/>
          <w:sz w:val="24"/>
          <w:szCs w:val="24"/>
        </w:rPr>
        <w:t>5)每月检查主、备泵能否自动切换</w:t>
      </w:r>
    </w:p>
    <w:p>
      <w:pPr>
        <w:pStyle w:val="16"/>
        <w:spacing w:before="182" w:line="347" w:lineRule="auto"/>
        <w:ind w:left="508" w:right="2400" w:hanging="3"/>
        <w:rPr>
          <w:color w:val="3E3E3E"/>
          <w:spacing w:val="-2"/>
          <w:sz w:val="24"/>
          <w:szCs w:val="24"/>
        </w:rPr>
      </w:pPr>
      <w:r>
        <w:rPr>
          <w:color w:val="3E3E3E"/>
          <w:spacing w:val="-2"/>
          <w:sz w:val="24"/>
          <w:szCs w:val="24"/>
        </w:rPr>
        <w:t>6)每月检查压力表是否变形、水泵启动后动作是否正常。</w:t>
      </w:r>
    </w:p>
    <w:p>
      <w:pPr>
        <w:pStyle w:val="16"/>
        <w:spacing w:before="182" w:line="347" w:lineRule="auto"/>
        <w:ind w:left="508" w:right="2400" w:hanging="3"/>
        <w:rPr>
          <w:sz w:val="24"/>
          <w:szCs w:val="24"/>
        </w:rPr>
      </w:pPr>
      <w:r>
        <w:rPr>
          <w:color w:val="3E3E3E"/>
          <w:spacing w:val="-1"/>
          <w:sz w:val="24"/>
          <w:szCs w:val="24"/>
        </w:rPr>
        <w:t>7)每月启动水泵后，打开试验阀，观察压力保持情况。</w:t>
      </w:r>
    </w:p>
    <w:p>
      <w:pPr>
        <w:pStyle w:val="16"/>
        <w:spacing w:before="34" w:line="219" w:lineRule="auto"/>
        <w:ind w:left="504"/>
        <w:rPr>
          <w:sz w:val="24"/>
          <w:szCs w:val="24"/>
        </w:rPr>
      </w:pPr>
      <w:r>
        <w:rPr>
          <w:color w:val="3E3E3E"/>
          <w:spacing w:val="-1"/>
          <w:sz w:val="24"/>
          <w:szCs w:val="24"/>
        </w:rPr>
        <w:t>8)每年度对水泵电动机的维护保养：</w:t>
      </w:r>
    </w:p>
    <w:p>
      <w:pPr>
        <w:pStyle w:val="16"/>
        <w:spacing w:before="183" w:line="347" w:lineRule="auto"/>
        <w:ind w:left="25" w:right="80" w:firstLine="489"/>
        <w:rPr>
          <w:sz w:val="24"/>
          <w:szCs w:val="24"/>
        </w:rPr>
      </w:pPr>
      <w:r>
        <w:rPr>
          <w:color w:val="3E3E3E"/>
          <w:spacing w:val="-1"/>
          <w:sz w:val="24"/>
          <w:szCs w:val="24"/>
        </w:rPr>
        <w:t>（a）电动机轴承润滑油是否加足，有无严重脏污、变质现象。转动转轴，检查</w:t>
      </w:r>
      <w:r>
        <w:rPr>
          <w:color w:val="3E3E3E"/>
          <w:spacing w:val="13"/>
          <w:sz w:val="24"/>
          <w:szCs w:val="24"/>
        </w:rPr>
        <w:t xml:space="preserve"> </w:t>
      </w:r>
      <w:r>
        <w:rPr>
          <w:color w:val="3E3E3E"/>
          <w:spacing w:val="-2"/>
          <w:sz w:val="24"/>
          <w:szCs w:val="24"/>
        </w:rPr>
        <w:t>旋转是否正常。</w:t>
      </w:r>
    </w:p>
    <w:p>
      <w:pPr>
        <w:pStyle w:val="16"/>
        <w:spacing w:before="32" w:line="347" w:lineRule="auto"/>
        <w:ind w:left="27" w:right="80" w:firstLine="487"/>
        <w:rPr>
          <w:sz w:val="24"/>
          <w:szCs w:val="24"/>
        </w:rPr>
      </w:pPr>
      <w:r>
        <w:rPr>
          <w:color w:val="3E3E3E"/>
          <w:spacing w:val="-1"/>
          <w:sz w:val="24"/>
          <w:szCs w:val="24"/>
        </w:rPr>
        <w:t>（b）电动机是否变形、损伤、锈蚀，机械性能是否良好（电动机在运行时应不</w:t>
      </w:r>
      <w:r>
        <w:rPr>
          <w:color w:val="3E3E3E"/>
          <w:spacing w:val="13"/>
          <w:sz w:val="24"/>
          <w:szCs w:val="24"/>
        </w:rPr>
        <w:t xml:space="preserve"> </w:t>
      </w:r>
      <w:r>
        <w:rPr>
          <w:color w:val="3E3E3E"/>
          <w:spacing w:val="-2"/>
          <w:sz w:val="24"/>
          <w:szCs w:val="24"/>
        </w:rPr>
        <w:t>发热、无异常振动及杂音）。</w:t>
      </w:r>
    </w:p>
    <w:p>
      <w:pPr>
        <w:pStyle w:val="16"/>
        <w:spacing w:before="34" w:line="347" w:lineRule="auto"/>
        <w:ind w:left="514" w:right="1080"/>
        <w:rPr>
          <w:color w:val="3E3E3E"/>
          <w:sz w:val="24"/>
          <w:szCs w:val="24"/>
        </w:rPr>
      </w:pPr>
      <w:r>
        <w:rPr>
          <w:color w:val="3E3E3E"/>
          <w:spacing w:val="-2"/>
          <w:sz w:val="24"/>
          <w:szCs w:val="24"/>
        </w:rPr>
        <w:t>（c）水泵轴与电动机的连接部位是否松动、变形、损伤和严重锈蚀。</w:t>
      </w:r>
      <w:r>
        <w:rPr>
          <w:color w:val="3E3E3E"/>
          <w:sz w:val="24"/>
          <w:szCs w:val="24"/>
        </w:rPr>
        <w:t xml:space="preserve"> </w:t>
      </w:r>
    </w:p>
    <w:p>
      <w:pPr>
        <w:pStyle w:val="16"/>
        <w:spacing w:before="34" w:line="347" w:lineRule="auto"/>
        <w:ind w:left="514" w:right="1080"/>
        <w:rPr>
          <w:sz w:val="24"/>
          <w:szCs w:val="24"/>
        </w:rPr>
      </w:pPr>
      <w:r>
        <w:rPr>
          <w:color w:val="3E3E3E"/>
          <w:spacing w:val="-1"/>
          <w:sz w:val="24"/>
          <w:szCs w:val="24"/>
        </w:rPr>
        <w:t>（d）填料是否明显漏水，有无变形损伤，螺栓螺母是否松动。</w:t>
      </w:r>
    </w:p>
    <w:p>
      <w:pPr>
        <w:pStyle w:val="16"/>
        <w:spacing w:before="35" w:line="219" w:lineRule="auto"/>
        <w:ind w:left="506"/>
        <w:rPr>
          <w:sz w:val="24"/>
          <w:szCs w:val="24"/>
        </w:rPr>
      </w:pPr>
      <w:r>
        <w:rPr>
          <w:color w:val="3E3E3E"/>
          <w:spacing w:val="-6"/>
          <w:sz w:val="24"/>
          <w:szCs w:val="24"/>
        </w:rPr>
        <w:t>2.3.4 电控柜的维护保养</w:t>
      </w:r>
    </w:p>
    <w:p>
      <w:pPr>
        <w:pStyle w:val="16"/>
        <w:spacing w:before="182" w:line="347" w:lineRule="auto"/>
        <w:ind w:left="506" w:right="3840" w:firstLine="14"/>
        <w:rPr>
          <w:color w:val="3E3E3E"/>
          <w:spacing w:val="12"/>
          <w:sz w:val="24"/>
          <w:szCs w:val="24"/>
        </w:rPr>
      </w:pPr>
      <w:r>
        <w:rPr>
          <w:color w:val="3E3E3E"/>
          <w:spacing w:val="-4"/>
          <w:sz w:val="24"/>
          <w:szCs w:val="24"/>
        </w:rPr>
        <w:t>1)每月检查控制柜有无变形、损伤、腐蚀。</w:t>
      </w:r>
      <w:r>
        <w:rPr>
          <w:color w:val="3E3E3E"/>
          <w:spacing w:val="12"/>
          <w:sz w:val="24"/>
          <w:szCs w:val="24"/>
        </w:rPr>
        <w:t xml:space="preserve"> </w:t>
      </w:r>
    </w:p>
    <w:p>
      <w:pPr>
        <w:pStyle w:val="16"/>
        <w:spacing w:before="182" w:line="347" w:lineRule="auto"/>
        <w:ind w:left="506" w:right="3840" w:firstLine="14"/>
        <w:rPr>
          <w:sz w:val="24"/>
          <w:szCs w:val="24"/>
        </w:rPr>
      </w:pPr>
      <w:r>
        <w:rPr>
          <w:color w:val="3E3E3E"/>
          <w:spacing w:val="-1"/>
          <w:sz w:val="24"/>
          <w:szCs w:val="24"/>
        </w:rPr>
        <w:t>2)每月检查线路图及操作说明是否齐全。</w:t>
      </w:r>
    </w:p>
    <w:p>
      <w:pPr>
        <w:pStyle w:val="16"/>
        <w:spacing w:before="34" w:line="347" w:lineRule="auto"/>
        <w:ind w:left="24" w:firstLine="483"/>
        <w:rPr>
          <w:sz w:val="24"/>
          <w:szCs w:val="24"/>
        </w:rPr>
      </w:pPr>
      <w:r>
        <w:rPr>
          <w:color w:val="3E3E3E"/>
          <w:spacing w:val="-2"/>
          <w:sz w:val="24"/>
          <w:szCs w:val="24"/>
        </w:rPr>
        <w:t>3)每月检查电压、电流表的指标是否在规定的范围内。开关是否有变形、损伤、</w:t>
      </w:r>
      <w:r>
        <w:rPr>
          <w:color w:val="3E3E3E"/>
          <w:spacing w:val="17"/>
          <w:sz w:val="24"/>
          <w:szCs w:val="24"/>
        </w:rPr>
        <w:t xml:space="preserve"> </w:t>
      </w:r>
      <w:r>
        <w:rPr>
          <w:color w:val="3E3E3E"/>
          <w:spacing w:val="-1"/>
          <w:sz w:val="24"/>
          <w:szCs w:val="24"/>
        </w:rPr>
        <w:t>标志脱落、处于正常状态。控制盘的指示灯是否正常。</w:t>
      </w:r>
    </w:p>
    <w:p>
      <w:pPr>
        <w:pStyle w:val="16"/>
        <w:spacing w:before="34" w:line="347" w:lineRule="auto"/>
        <w:ind w:left="24" w:right="20" w:firstLine="478"/>
        <w:rPr>
          <w:sz w:val="24"/>
          <w:szCs w:val="24"/>
        </w:rPr>
      </w:pPr>
      <w:r>
        <w:rPr>
          <w:color w:val="3E3E3E"/>
          <w:spacing w:val="-2"/>
          <w:sz w:val="24"/>
          <w:szCs w:val="24"/>
        </w:rPr>
        <w:t>4)每月检查电控柜内继电器是否脱落、松动，接点是否烧损，转换开关应处于自</w:t>
      </w:r>
      <w:r>
        <w:rPr>
          <w:color w:val="3E3E3E"/>
          <w:spacing w:val="2"/>
          <w:sz w:val="24"/>
          <w:szCs w:val="24"/>
        </w:rPr>
        <w:t xml:space="preserve"> </w:t>
      </w:r>
      <w:r>
        <w:rPr>
          <w:color w:val="3E3E3E"/>
          <w:spacing w:val="-1"/>
          <w:sz w:val="24"/>
          <w:szCs w:val="24"/>
        </w:rPr>
        <w:t>动状态。各导线连接处是否松脱，绝缘是否损伤。</w:t>
      </w:r>
    </w:p>
    <w:p>
      <w:pPr>
        <w:pStyle w:val="16"/>
        <w:spacing w:before="35" w:line="219" w:lineRule="auto"/>
        <w:jc w:val="center"/>
        <w:rPr>
          <w:sz w:val="24"/>
          <w:szCs w:val="24"/>
        </w:rPr>
      </w:pPr>
      <w:r>
        <w:rPr>
          <w:rFonts w:hint="eastAsia"/>
          <w:color w:val="3E3E3E"/>
          <w:spacing w:val="-2"/>
          <w:sz w:val="24"/>
          <w:szCs w:val="24"/>
          <w:lang w:val="en-US" w:eastAsia="zh-CN"/>
        </w:rPr>
        <w:t xml:space="preserve"> </w:t>
      </w:r>
      <w:r>
        <w:rPr>
          <w:color w:val="3E3E3E"/>
          <w:spacing w:val="-2"/>
          <w:sz w:val="24"/>
          <w:szCs w:val="24"/>
        </w:rPr>
        <w:t>5)类比主泵故障，查看自动切换启动备用泵情况，同时查看仪表及指示灯显示。</w:t>
      </w:r>
    </w:p>
    <w:p>
      <w:pPr>
        <w:pStyle w:val="16"/>
        <w:spacing w:before="183" w:line="219" w:lineRule="auto"/>
        <w:ind w:left="506"/>
        <w:rPr>
          <w:sz w:val="24"/>
          <w:szCs w:val="24"/>
        </w:rPr>
      </w:pPr>
      <w:r>
        <w:rPr>
          <w:color w:val="3E3E3E"/>
          <w:spacing w:val="-2"/>
          <w:sz w:val="24"/>
          <w:szCs w:val="24"/>
        </w:rPr>
        <w:t>2.3.5</w:t>
      </w:r>
      <w:r>
        <w:rPr>
          <w:color w:val="3E3E3E"/>
          <w:spacing w:val="-30"/>
          <w:sz w:val="24"/>
          <w:szCs w:val="24"/>
        </w:rPr>
        <w:t xml:space="preserve"> </w:t>
      </w:r>
      <w:r>
        <w:rPr>
          <w:color w:val="3E3E3E"/>
          <w:spacing w:val="-2"/>
          <w:sz w:val="24"/>
          <w:szCs w:val="24"/>
        </w:rPr>
        <w:t>水泵接合器每月查看标志牌、止回阀。</w:t>
      </w:r>
    </w:p>
    <w:p>
      <w:pPr>
        <w:pStyle w:val="16"/>
        <w:spacing w:before="184" w:line="219" w:lineRule="auto"/>
        <w:ind w:left="506"/>
        <w:rPr>
          <w:sz w:val="24"/>
          <w:szCs w:val="24"/>
        </w:rPr>
      </w:pPr>
      <w:r>
        <w:rPr>
          <w:color w:val="3E3E3E"/>
          <w:spacing w:val="-3"/>
          <w:sz w:val="24"/>
          <w:szCs w:val="24"/>
        </w:rPr>
        <w:t>2.3.6</w:t>
      </w:r>
      <w:r>
        <w:rPr>
          <w:color w:val="3E3E3E"/>
          <w:spacing w:val="-44"/>
          <w:sz w:val="24"/>
          <w:szCs w:val="24"/>
        </w:rPr>
        <w:t xml:space="preserve"> </w:t>
      </w:r>
      <w:r>
        <w:rPr>
          <w:color w:val="3E3E3E"/>
          <w:spacing w:val="-3"/>
          <w:sz w:val="24"/>
          <w:szCs w:val="24"/>
        </w:rPr>
        <w:t>室内消火栓</w:t>
      </w:r>
    </w:p>
    <w:p>
      <w:pPr>
        <w:pStyle w:val="16"/>
        <w:spacing w:before="183" w:line="219" w:lineRule="auto"/>
        <w:ind w:left="521"/>
        <w:rPr>
          <w:sz w:val="24"/>
          <w:szCs w:val="24"/>
        </w:rPr>
      </w:pPr>
      <w:r>
        <w:rPr>
          <w:color w:val="3E3E3E"/>
          <w:spacing w:val="-2"/>
          <w:sz w:val="24"/>
          <w:szCs w:val="24"/>
        </w:rPr>
        <w:t>1)每月对消火栓进行如下检查﹕</w:t>
      </w:r>
    </w:p>
    <w:p>
      <w:pPr>
        <w:pStyle w:val="16"/>
        <w:spacing w:before="183" w:line="216" w:lineRule="auto"/>
        <w:ind w:left="506"/>
        <w:rPr>
          <w:sz w:val="24"/>
          <w:szCs w:val="24"/>
        </w:rPr>
      </w:pPr>
      <w:r>
        <w:rPr>
          <w:color w:val="3E3E3E"/>
          <w:spacing w:val="-1"/>
          <w:sz w:val="24"/>
          <w:szCs w:val="24"/>
        </w:rPr>
        <w:t>2)确保消火栓周围没有障碍物阻挡,取用方便。</w:t>
      </w:r>
    </w:p>
    <w:p>
      <w:pPr>
        <w:pStyle w:val="16"/>
        <w:spacing w:before="186" w:line="219" w:lineRule="auto"/>
        <w:ind w:left="508"/>
        <w:rPr>
          <w:sz w:val="24"/>
          <w:szCs w:val="24"/>
        </w:rPr>
      </w:pPr>
      <w:r>
        <w:rPr>
          <w:color w:val="3E3E3E"/>
          <w:spacing w:val="-1"/>
          <w:sz w:val="24"/>
          <w:szCs w:val="24"/>
        </w:rPr>
        <w:t>3)确保消火栓外观整洁、标示清晰、无机械损伤及严重腐蚀。</w:t>
      </w:r>
    </w:p>
    <w:p>
      <w:pPr>
        <w:pStyle w:val="16"/>
        <w:spacing w:before="183" w:line="290" w:lineRule="auto"/>
        <w:ind w:left="25" w:right="200" w:firstLine="477"/>
        <w:rPr>
          <w:sz w:val="24"/>
          <w:szCs w:val="24"/>
        </w:rPr>
      </w:pPr>
      <w:r>
        <w:rPr>
          <w:color w:val="3E3E3E"/>
          <w:sz w:val="24"/>
          <w:szCs w:val="24"/>
        </w:rPr>
        <w:t>4)检查消火栓有无生锈漏水现象;栓口的橡胶垫圈等密封</w:t>
      </w:r>
      <w:r>
        <w:rPr>
          <w:color w:val="3E3E3E"/>
          <w:spacing w:val="-1"/>
          <w:sz w:val="24"/>
          <w:szCs w:val="24"/>
        </w:rPr>
        <w:t>件有无损坏或丢失;消</w:t>
      </w:r>
      <w:r>
        <w:rPr>
          <w:color w:val="3E3E3E"/>
          <w:sz w:val="24"/>
          <w:szCs w:val="24"/>
        </w:rPr>
        <w:t xml:space="preserve"> </w:t>
      </w:r>
      <w:r>
        <w:rPr>
          <w:color w:val="3E3E3E"/>
          <w:spacing w:val="-1"/>
          <w:sz w:val="24"/>
          <w:szCs w:val="24"/>
        </w:rPr>
        <w:t>火栓的闸阀开启是否灵活，必要时应对阀杆加润滑油。</w:t>
      </w:r>
    </w:p>
    <w:p>
      <w:pPr>
        <w:pStyle w:val="16"/>
        <w:spacing w:before="182" w:line="290" w:lineRule="auto"/>
        <w:ind w:left="24" w:right="20" w:firstLine="483"/>
        <w:rPr>
          <w:color w:val="3E3E3E"/>
          <w:spacing w:val="-2"/>
          <w:sz w:val="24"/>
          <w:szCs w:val="24"/>
        </w:rPr>
      </w:pPr>
    </w:p>
    <w:p>
      <w:pPr>
        <w:pStyle w:val="16"/>
        <w:spacing w:before="182" w:line="290" w:lineRule="auto"/>
        <w:ind w:left="24" w:right="20" w:firstLine="483"/>
        <w:rPr>
          <w:rFonts w:ascii="Arial"/>
          <w:sz w:val="21"/>
        </w:rPr>
      </w:pPr>
      <w:r>
        <w:rPr>
          <w:color w:val="3E3E3E"/>
          <w:spacing w:val="-2"/>
          <w:sz w:val="24"/>
          <w:szCs w:val="24"/>
        </w:rPr>
        <w:t>5)对室内消火栓还应检查消火栓箱内的水枪、水带等设备是否完备配套</w:t>
      </w:r>
      <w:r>
        <w:rPr>
          <w:color w:val="3E3E3E"/>
          <w:spacing w:val="-3"/>
          <w:sz w:val="24"/>
          <w:szCs w:val="24"/>
        </w:rPr>
        <w:t>，水龙带</w:t>
      </w:r>
      <w:r>
        <w:rPr>
          <w:color w:val="3E3E3E"/>
          <w:sz w:val="24"/>
          <w:szCs w:val="24"/>
        </w:rPr>
        <w:t xml:space="preserve"> </w:t>
      </w:r>
      <w:r>
        <w:rPr>
          <w:color w:val="3E3E3E"/>
          <w:spacing w:val="-1"/>
          <w:sz w:val="24"/>
          <w:szCs w:val="24"/>
        </w:rPr>
        <w:t>有无霉腐﹔破玻按钮工作状态正常。</w:t>
      </w:r>
    </w:p>
    <w:p>
      <w:pPr>
        <w:pStyle w:val="16"/>
        <w:spacing w:before="78" w:line="313" w:lineRule="auto"/>
        <w:ind w:left="22" w:firstLine="482"/>
        <w:rPr>
          <w:sz w:val="24"/>
          <w:szCs w:val="24"/>
        </w:rPr>
      </w:pPr>
      <w:r>
        <w:rPr>
          <w:color w:val="3E3E3E"/>
          <w:sz w:val="24"/>
          <w:szCs w:val="24"/>
        </w:rPr>
        <w:t>6)随时抽查消火栓的出水情况。对重点部位的消火</w:t>
      </w:r>
      <w:r>
        <w:rPr>
          <w:color w:val="3E3E3E"/>
          <w:spacing w:val="-1"/>
          <w:sz w:val="24"/>
          <w:szCs w:val="24"/>
        </w:rPr>
        <w:t>栓每年应逐个进行出水检查；</w:t>
      </w:r>
      <w:r>
        <w:rPr>
          <w:color w:val="3E3E3E"/>
          <w:sz w:val="24"/>
          <w:szCs w:val="24"/>
        </w:rPr>
        <w:t xml:space="preserve"> </w:t>
      </w:r>
      <w:r>
        <w:rPr>
          <w:color w:val="3E3E3E"/>
          <w:spacing w:val="-2"/>
          <w:sz w:val="24"/>
          <w:szCs w:val="24"/>
        </w:rPr>
        <w:t>对非重点部位的消火栓可按消火栓总数的</w:t>
      </w:r>
      <w:r>
        <w:rPr>
          <w:color w:val="3E3E3E"/>
          <w:spacing w:val="-32"/>
          <w:sz w:val="24"/>
          <w:szCs w:val="24"/>
        </w:rPr>
        <w:t xml:space="preserve"> </w:t>
      </w:r>
      <w:r>
        <w:rPr>
          <w:color w:val="3E3E3E"/>
          <w:spacing w:val="-2"/>
          <w:sz w:val="24"/>
          <w:szCs w:val="24"/>
        </w:rPr>
        <w:t>10％～20％进行出水抽测实验。连接水带、</w:t>
      </w:r>
      <w:r>
        <w:rPr>
          <w:color w:val="3E3E3E"/>
          <w:sz w:val="24"/>
          <w:szCs w:val="24"/>
        </w:rPr>
        <w:t xml:space="preserve"> </w:t>
      </w:r>
      <w:r>
        <w:rPr>
          <w:color w:val="3E3E3E"/>
          <w:spacing w:val="-1"/>
          <w:sz w:val="24"/>
          <w:szCs w:val="24"/>
        </w:rPr>
        <w:t>水枪，触发启泵按钮，查看消防泵启动和信号显示。</w:t>
      </w:r>
    </w:p>
    <w:p>
      <w:pPr>
        <w:pStyle w:val="16"/>
        <w:spacing w:before="182" w:line="290" w:lineRule="auto"/>
        <w:ind w:left="26" w:right="80" w:firstLine="482"/>
        <w:rPr>
          <w:sz w:val="24"/>
          <w:szCs w:val="24"/>
        </w:rPr>
      </w:pPr>
      <w:r>
        <w:rPr>
          <w:color w:val="3E3E3E"/>
          <w:spacing w:val="-2"/>
          <w:sz w:val="24"/>
          <w:szCs w:val="24"/>
        </w:rPr>
        <w:t>7)室内消火栓系统还应随时观察消防水池、水箱的水位情况，发现不</w:t>
      </w:r>
      <w:r>
        <w:rPr>
          <w:color w:val="3E3E3E"/>
          <w:spacing w:val="-3"/>
          <w:sz w:val="24"/>
          <w:szCs w:val="24"/>
        </w:rPr>
        <w:t>足应及时补</w:t>
      </w:r>
      <w:r>
        <w:rPr>
          <w:color w:val="3E3E3E"/>
          <w:sz w:val="24"/>
          <w:szCs w:val="24"/>
        </w:rPr>
        <w:t xml:space="preserve"> </w:t>
      </w:r>
      <w:r>
        <w:rPr>
          <w:color w:val="3E3E3E"/>
          <w:spacing w:val="-3"/>
          <w:sz w:val="24"/>
          <w:szCs w:val="24"/>
        </w:rPr>
        <w:t>充（甲方）。</w:t>
      </w:r>
    </w:p>
    <w:p>
      <w:pPr>
        <w:pStyle w:val="16"/>
        <w:spacing w:before="182" w:line="219" w:lineRule="auto"/>
        <w:ind w:left="506"/>
        <w:rPr>
          <w:sz w:val="24"/>
          <w:szCs w:val="24"/>
        </w:rPr>
      </w:pPr>
      <w:r>
        <w:rPr>
          <w:color w:val="3E3E3E"/>
          <w:spacing w:val="-3"/>
          <w:sz w:val="24"/>
          <w:szCs w:val="24"/>
        </w:rPr>
        <w:t>2.3.7</w:t>
      </w:r>
      <w:r>
        <w:rPr>
          <w:color w:val="3E3E3E"/>
          <w:spacing w:val="-44"/>
          <w:sz w:val="24"/>
          <w:szCs w:val="24"/>
        </w:rPr>
        <w:t xml:space="preserve"> </w:t>
      </w:r>
      <w:r>
        <w:rPr>
          <w:color w:val="3E3E3E"/>
          <w:spacing w:val="-3"/>
          <w:sz w:val="24"/>
          <w:szCs w:val="24"/>
        </w:rPr>
        <w:t>室外消火栓</w:t>
      </w:r>
    </w:p>
    <w:p>
      <w:pPr>
        <w:pStyle w:val="16"/>
        <w:spacing w:before="183" w:line="219" w:lineRule="auto"/>
        <w:ind w:left="507"/>
        <w:rPr>
          <w:sz w:val="24"/>
          <w:szCs w:val="24"/>
        </w:rPr>
      </w:pPr>
      <w:r>
        <w:rPr>
          <w:color w:val="3E3E3E"/>
          <w:spacing w:val="-1"/>
          <w:sz w:val="24"/>
          <w:szCs w:val="24"/>
        </w:rPr>
        <w:t>室外消火栓应每年进行二次检查保养，其内容主要包括：</w:t>
      </w:r>
    </w:p>
    <w:p>
      <w:pPr>
        <w:pStyle w:val="16"/>
        <w:spacing w:before="183" w:line="219" w:lineRule="auto"/>
        <w:ind w:left="521"/>
        <w:rPr>
          <w:sz w:val="24"/>
          <w:szCs w:val="24"/>
        </w:rPr>
      </w:pPr>
      <w:r>
        <w:rPr>
          <w:color w:val="3E3E3E"/>
          <w:spacing w:val="-1"/>
          <w:sz w:val="24"/>
          <w:szCs w:val="24"/>
        </w:rPr>
        <w:t>1)用专用扳手转动消火栓启闭杆，观察其灵活性。必要时加注润滑油。</w:t>
      </w:r>
    </w:p>
    <w:p>
      <w:pPr>
        <w:pStyle w:val="16"/>
        <w:spacing w:before="183" w:line="219" w:lineRule="auto"/>
        <w:ind w:left="506"/>
        <w:rPr>
          <w:sz w:val="24"/>
          <w:szCs w:val="24"/>
        </w:rPr>
      </w:pPr>
      <w:r>
        <w:rPr>
          <w:color w:val="3E3E3E"/>
          <w:spacing w:val="-1"/>
          <w:sz w:val="24"/>
          <w:szCs w:val="24"/>
        </w:rPr>
        <w:t>2)检查出水口闷盖是否密封，有无缺损。</w:t>
      </w:r>
    </w:p>
    <w:p>
      <w:pPr>
        <w:pStyle w:val="16"/>
        <w:spacing w:before="182" w:line="290" w:lineRule="auto"/>
        <w:ind w:left="502" w:right="1980" w:firstLine="5"/>
        <w:rPr>
          <w:sz w:val="24"/>
          <w:szCs w:val="24"/>
        </w:rPr>
      </w:pPr>
      <w:r>
        <w:rPr>
          <w:color w:val="3E3E3E"/>
          <w:spacing w:val="-2"/>
          <w:sz w:val="24"/>
          <w:szCs w:val="24"/>
        </w:rPr>
        <w:t>3)检查栓体外表油漆有无剥落，有无锈蚀，如有应及时修补。</w:t>
      </w:r>
      <w:r>
        <w:rPr>
          <w:color w:val="3E3E3E"/>
          <w:spacing w:val="1"/>
          <w:sz w:val="24"/>
          <w:szCs w:val="24"/>
        </w:rPr>
        <w:t xml:space="preserve"> </w:t>
      </w:r>
      <w:r>
        <w:rPr>
          <w:color w:val="3E3E3E"/>
          <w:spacing w:val="-1"/>
          <w:sz w:val="24"/>
          <w:szCs w:val="24"/>
        </w:rPr>
        <w:t>4)每年开春后入冬前对地上消火栓逐一进行出水试验。</w:t>
      </w:r>
    </w:p>
    <w:p>
      <w:pPr>
        <w:pStyle w:val="16"/>
        <w:spacing w:before="183" w:line="219" w:lineRule="auto"/>
        <w:ind w:left="508"/>
        <w:rPr>
          <w:sz w:val="24"/>
          <w:szCs w:val="24"/>
        </w:rPr>
      </w:pPr>
      <w:r>
        <w:rPr>
          <w:color w:val="3E3E3E"/>
          <w:spacing w:val="-1"/>
          <w:sz w:val="24"/>
          <w:szCs w:val="24"/>
        </w:rPr>
        <w:t>5)定期检查消火栓前端阀门井。</w:t>
      </w:r>
    </w:p>
    <w:p>
      <w:pPr>
        <w:pStyle w:val="16"/>
        <w:spacing w:before="183" w:line="219" w:lineRule="auto"/>
        <w:ind w:left="505"/>
        <w:rPr>
          <w:sz w:val="24"/>
          <w:szCs w:val="24"/>
        </w:rPr>
      </w:pPr>
      <w:r>
        <w:rPr>
          <w:color w:val="3E3E3E"/>
          <w:spacing w:val="-1"/>
          <w:sz w:val="24"/>
          <w:szCs w:val="24"/>
        </w:rPr>
        <w:t>6)保持配套器材的完备有效。</w:t>
      </w:r>
    </w:p>
    <w:p>
      <w:pPr>
        <w:pStyle w:val="16"/>
        <w:spacing w:before="183" w:line="218" w:lineRule="auto"/>
        <w:ind w:left="506"/>
        <w:rPr>
          <w:sz w:val="24"/>
          <w:szCs w:val="24"/>
        </w:rPr>
      </w:pPr>
      <w:r>
        <w:rPr>
          <w:color w:val="3E3E3E"/>
          <w:spacing w:val="-7"/>
          <w:sz w:val="24"/>
          <w:szCs w:val="24"/>
        </w:rPr>
        <w:t>2.4 自动喷淋灭火系统</w:t>
      </w:r>
    </w:p>
    <w:p>
      <w:pPr>
        <w:pStyle w:val="16"/>
        <w:spacing w:before="186" w:line="219" w:lineRule="auto"/>
        <w:ind w:left="506"/>
        <w:rPr>
          <w:sz w:val="24"/>
          <w:szCs w:val="24"/>
        </w:rPr>
      </w:pPr>
      <w:r>
        <w:rPr>
          <w:color w:val="3E3E3E"/>
          <w:spacing w:val="-3"/>
          <w:sz w:val="24"/>
          <w:szCs w:val="24"/>
        </w:rPr>
        <w:t>2.4.1</w:t>
      </w:r>
      <w:r>
        <w:rPr>
          <w:color w:val="3E3E3E"/>
          <w:spacing w:val="-47"/>
          <w:sz w:val="24"/>
          <w:szCs w:val="24"/>
        </w:rPr>
        <w:t xml:space="preserve"> </w:t>
      </w:r>
      <w:r>
        <w:rPr>
          <w:color w:val="3E3E3E"/>
          <w:spacing w:val="-3"/>
          <w:sz w:val="24"/>
          <w:szCs w:val="24"/>
        </w:rPr>
        <w:t>报警阀组</w:t>
      </w:r>
    </w:p>
    <w:p>
      <w:pPr>
        <w:pStyle w:val="16"/>
        <w:spacing w:before="183" w:line="219" w:lineRule="auto"/>
        <w:ind w:left="521"/>
        <w:rPr>
          <w:sz w:val="24"/>
          <w:szCs w:val="24"/>
        </w:rPr>
      </w:pPr>
      <w:r>
        <w:rPr>
          <w:color w:val="3E3E3E"/>
          <w:spacing w:val="-1"/>
          <w:sz w:val="24"/>
          <w:szCs w:val="24"/>
        </w:rPr>
        <w:t>1)每月检查报警阀组外观、标志牌、压力表是</w:t>
      </w:r>
      <w:r>
        <w:rPr>
          <w:color w:val="3E3E3E"/>
          <w:spacing w:val="-2"/>
          <w:sz w:val="24"/>
          <w:szCs w:val="24"/>
        </w:rPr>
        <w:t>否完整。</w:t>
      </w:r>
    </w:p>
    <w:p>
      <w:pPr>
        <w:pStyle w:val="16"/>
        <w:spacing w:before="184" w:line="346" w:lineRule="auto"/>
        <w:ind w:left="27" w:right="140" w:firstLine="479"/>
        <w:rPr>
          <w:sz w:val="24"/>
          <w:szCs w:val="24"/>
        </w:rPr>
      </w:pPr>
      <w:r>
        <w:rPr>
          <w:color w:val="3E3E3E"/>
          <w:sz w:val="24"/>
          <w:szCs w:val="24"/>
        </w:rPr>
        <w:t>2)每月对报警阀的压力表进行检查,检查报警前</w:t>
      </w:r>
      <w:r>
        <w:rPr>
          <w:color w:val="3E3E3E"/>
          <w:spacing w:val="-1"/>
          <w:sz w:val="24"/>
          <w:szCs w:val="24"/>
        </w:rPr>
        <w:t>、后压力表指示是否正常。阀的</w:t>
      </w:r>
      <w:r>
        <w:rPr>
          <w:color w:val="3E3E3E"/>
          <w:sz w:val="24"/>
          <w:szCs w:val="24"/>
        </w:rPr>
        <w:t xml:space="preserve"> </w:t>
      </w:r>
      <w:r>
        <w:rPr>
          <w:color w:val="3E3E3E"/>
          <w:spacing w:val="-1"/>
          <w:sz w:val="24"/>
          <w:szCs w:val="24"/>
        </w:rPr>
        <w:t>前后压力应基本相当，或阀后压力稍高于阀前。</w:t>
      </w:r>
    </w:p>
    <w:p>
      <w:pPr>
        <w:pStyle w:val="16"/>
        <w:spacing w:before="35" w:line="313" w:lineRule="auto"/>
        <w:ind w:left="22" w:right="78" w:firstLine="485"/>
        <w:rPr>
          <w:sz w:val="24"/>
          <w:szCs w:val="24"/>
        </w:rPr>
      </w:pPr>
      <w:r>
        <w:rPr>
          <w:color w:val="3E3E3E"/>
          <w:spacing w:val="-2"/>
          <w:sz w:val="24"/>
          <w:szCs w:val="24"/>
        </w:rPr>
        <w:t>3)每季度对报警阀应进行开阀试验，观察阀门开启性能和密封性能，以</w:t>
      </w:r>
      <w:r>
        <w:rPr>
          <w:color w:val="3E3E3E"/>
          <w:spacing w:val="-3"/>
          <w:sz w:val="24"/>
          <w:szCs w:val="24"/>
        </w:rPr>
        <w:t>及报警阀</w:t>
      </w:r>
      <w:r>
        <w:rPr>
          <w:color w:val="3E3E3E"/>
          <w:sz w:val="24"/>
          <w:szCs w:val="24"/>
        </w:rPr>
        <w:t xml:space="preserve"> </w:t>
      </w:r>
      <w:r>
        <w:rPr>
          <w:color w:val="3E3E3E"/>
          <w:spacing w:val="-2"/>
          <w:sz w:val="24"/>
          <w:szCs w:val="24"/>
        </w:rPr>
        <w:t>各部件的工作状态是否正常。每季度应对报警阀旁的放水试验阀进行一次放水试验，</w:t>
      </w:r>
      <w:r>
        <w:rPr>
          <w:color w:val="3E3E3E"/>
          <w:spacing w:val="6"/>
          <w:sz w:val="24"/>
          <w:szCs w:val="24"/>
        </w:rPr>
        <w:t xml:space="preserve"> </w:t>
      </w:r>
      <w:r>
        <w:rPr>
          <w:color w:val="3E3E3E"/>
          <w:spacing w:val="-1"/>
          <w:sz w:val="24"/>
          <w:szCs w:val="24"/>
        </w:rPr>
        <w:t>验证系统的供水能力，压力开关的报警功能是否正常。</w:t>
      </w:r>
    </w:p>
    <w:p>
      <w:pPr>
        <w:pStyle w:val="16"/>
        <w:spacing w:before="183" w:line="218" w:lineRule="auto"/>
        <w:ind w:left="506"/>
        <w:rPr>
          <w:sz w:val="24"/>
          <w:szCs w:val="24"/>
        </w:rPr>
      </w:pPr>
      <w:r>
        <w:rPr>
          <w:color w:val="3E3E3E"/>
          <w:spacing w:val="-6"/>
          <w:sz w:val="24"/>
          <w:szCs w:val="24"/>
        </w:rPr>
        <w:t>2.4.2 自动喷淋头及管道</w:t>
      </w:r>
    </w:p>
    <w:p>
      <w:pPr>
        <w:pStyle w:val="16"/>
        <w:spacing w:before="183" w:line="354" w:lineRule="auto"/>
        <w:ind w:left="23" w:right="80" w:firstLine="497"/>
        <w:jc w:val="both"/>
        <w:rPr>
          <w:sz w:val="24"/>
          <w:szCs w:val="24"/>
        </w:rPr>
      </w:pPr>
      <w:r>
        <w:rPr>
          <w:color w:val="3E3E3E"/>
          <w:spacing w:val="-2"/>
          <w:sz w:val="24"/>
          <w:szCs w:val="24"/>
        </w:rPr>
        <w:t>1)每月应对喷头进行一次外观检查，检查</w:t>
      </w:r>
      <w:r>
        <w:rPr>
          <w:color w:val="3E3E3E"/>
          <w:spacing w:val="-3"/>
          <w:sz w:val="24"/>
          <w:szCs w:val="24"/>
        </w:rPr>
        <w:t>喷头无有损坏、锈蚀、漏水现象，发现</w:t>
      </w:r>
      <w:r>
        <w:rPr>
          <w:color w:val="3E3E3E"/>
          <w:sz w:val="24"/>
          <w:szCs w:val="24"/>
        </w:rPr>
        <w:t xml:space="preserve"> 有不正常的喷头应及时更换；应保证喷头外表清洁，当喷头</w:t>
      </w:r>
      <w:r>
        <w:rPr>
          <w:color w:val="3E3E3E"/>
          <w:spacing w:val="-1"/>
          <w:sz w:val="24"/>
          <w:szCs w:val="24"/>
        </w:rPr>
        <w:t>上有异物时应及时清除,</w:t>
      </w:r>
      <w:r>
        <w:rPr>
          <w:color w:val="3E3E3E"/>
          <w:sz w:val="24"/>
          <w:szCs w:val="24"/>
        </w:rPr>
        <w:t xml:space="preserve"> </w:t>
      </w:r>
      <w:r>
        <w:rPr>
          <w:color w:val="3E3E3E"/>
          <w:spacing w:val="-2"/>
          <w:sz w:val="24"/>
          <w:szCs w:val="24"/>
        </w:rPr>
        <w:t>特别是感温元件应无污垢，必要时进行清洗或更换。更换或安装喷头均应使用专用扳</w:t>
      </w:r>
      <w:r>
        <w:rPr>
          <w:color w:val="3E3E3E"/>
          <w:spacing w:val="3"/>
          <w:sz w:val="24"/>
          <w:szCs w:val="24"/>
        </w:rPr>
        <w:t xml:space="preserve"> </w:t>
      </w:r>
      <w:r>
        <w:rPr>
          <w:color w:val="3E3E3E"/>
          <w:spacing w:val="-5"/>
          <w:sz w:val="24"/>
          <w:szCs w:val="24"/>
        </w:rPr>
        <w:t>手。</w:t>
      </w:r>
    </w:p>
    <w:p>
      <w:pPr>
        <w:pStyle w:val="16"/>
        <w:spacing w:before="32" w:line="290" w:lineRule="auto"/>
        <w:ind w:left="41" w:right="260" w:firstLine="465"/>
        <w:rPr>
          <w:sz w:val="24"/>
          <w:szCs w:val="24"/>
        </w:rPr>
      </w:pPr>
      <w:r>
        <w:rPr>
          <w:color w:val="3E3E3E"/>
          <w:sz w:val="24"/>
          <w:szCs w:val="24"/>
        </w:rPr>
        <w:t>2)各种不同规格的喷头均应有一定数量的备用</w:t>
      </w:r>
      <w:r>
        <w:rPr>
          <w:color w:val="3E3E3E"/>
          <w:spacing w:val="-1"/>
          <w:sz w:val="24"/>
          <w:szCs w:val="24"/>
        </w:rPr>
        <w:t>品，其数量不应小于安装总数的</w:t>
      </w:r>
      <w:r>
        <w:rPr>
          <w:color w:val="3E3E3E"/>
          <w:sz w:val="24"/>
          <w:szCs w:val="24"/>
        </w:rPr>
        <w:t xml:space="preserve"> </w:t>
      </w:r>
      <w:r>
        <w:rPr>
          <w:color w:val="3E3E3E"/>
          <w:spacing w:val="-5"/>
          <w:sz w:val="24"/>
          <w:szCs w:val="24"/>
        </w:rPr>
        <w:t>1</w:t>
      </w:r>
      <w:r>
        <w:rPr>
          <w:color w:val="3E3E3E"/>
          <w:spacing w:val="-23"/>
          <w:sz w:val="24"/>
          <w:szCs w:val="24"/>
        </w:rPr>
        <w:t>％</w:t>
      </w:r>
      <w:r>
        <w:rPr>
          <w:color w:val="3E3E3E"/>
          <w:spacing w:val="-59"/>
          <w:sz w:val="24"/>
          <w:szCs w:val="24"/>
        </w:rPr>
        <w:t xml:space="preserve"> </w:t>
      </w:r>
      <w:r>
        <w:rPr>
          <w:color w:val="3E3E3E"/>
          <w:spacing w:val="-23"/>
          <w:sz w:val="24"/>
          <w:szCs w:val="24"/>
        </w:rPr>
        <w:t>，</w:t>
      </w:r>
      <w:r>
        <w:rPr>
          <w:color w:val="3E3E3E"/>
          <w:spacing w:val="-5"/>
          <w:sz w:val="24"/>
          <w:szCs w:val="24"/>
        </w:rPr>
        <w:t>且每种备用喷头不应少于</w:t>
      </w:r>
      <w:r>
        <w:rPr>
          <w:color w:val="3E3E3E"/>
          <w:spacing w:val="-33"/>
          <w:sz w:val="24"/>
          <w:szCs w:val="24"/>
        </w:rPr>
        <w:t xml:space="preserve"> </w:t>
      </w:r>
      <w:r>
        <w:rPr>
          <w:color w:val="3E3E3E"/>
          <w:spacing w:val="-5"/>
          <w:sz w:val="24"/>
          <w:szCs w:val="24"/>
        </w:rPr>
        <w:t>10</w:t>
      </w:r>
      <w:r>
        <w:rPr>
          <w:color w:val="3E3E3E"/>
          <w:spacing w:val="-51"/>
          <w:sz w:val="24"/>
          <w:szCs w:val="24"/>
        </w:rPr>
        <w:t xml:space="preserve"> </w:t>
      </w:r>
      <w:r>
        <w:rPr>
          <w:color w:val="3E3E3E"/>
          <w:spacing w:val="-5"/>
          <w:sz w:val="24"/>
          <w:szCs w:val="24"/>
        </w:rPr>
        <w:t>个。</w:t>
      </w:r>
    </w:p>
    <w:p>
      <w:pPr>
        <w:pStyle w:val="16"/>
        <w:spacing w:before="183" w:line="219" w:lineRule="auto"/>
        <w:jc w:val="right"/>
        <w:rPr>
          <w:sz w:val="24"/>
          <w:szCs w:val="24"/>
        </w:rPr>
      </w:pPr>
      <w:r>
        <w:rPr>
          <w:color w:val="3E3E3E"/>
          <w:spacing w:val="-6"/>
          <w:sz w:val="24"/>
          <w:szCs w:val="24"/>
        </w:rPr>
        <w:t>3)检查管无机械损伤和锈蚀，油漆是否脱落，管道固</w:t>
      </w:r>
      <w:r>
        <w:rPr>
          <w:color w:val="3E3E3E"/>
          <w:spacing w:val="-7"/>
          <w:sz w:val="24"/>
          <w:szCs w:val="24"/>
        </w:rPr>
        <w:t>定是否牢固，管内有无堵塞。</w:t>
      </w:r>
    </w:p>
    <w:p>
      <w:pPr>
        <w:spacing w:line="219" w:lineRule="auto"/>
        <w:rPr>
          <w:sz w:val="24"/>
          <w:szCs w:val="24"/>
        </w:rPr>
        <w:sectPr>
          <w:footerReference r:id="rId12" w:type="default"/>
          <w:pgSz w:w="11906" w:h="16839"/>
          <w:pgMar w:top="400" w:right="1205"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pStyle w:val="16"/>
        <w:spacing w:before="78" w:line="290" w:lineRule="auto"/>
        <w:ind w:left="52" w:right="20" w:firstLine="450"/>
        <w:rPr>
          <w:sz w:val="24"/>
          <w:szCs w:val="24"/>
        </w:rPr>
      </w:pPr>
      <w:r>
        <w:rPr>
          <w:color w:val="3E3E3E"/>
          <w:spacing w:val="-2"/>
          <w:sz w:val="24"/>
          <w:szCs w:val="24"/>
        </w:rPr>
        <w:t>4)每两个月应利用末端试水装置放水，进行水流指示器工作测试，同时排除管网</w:t>
      </w:r>
      <w:r>
        <w:rPr>
          <w:color w:val="3E3E3E"/>
          <w:spacing w:val="2"/>
          <w:sz w:val="24"/>
          <w:szCs w:val="24"/>
        </w:rPr>
        <w:t xml:space="preserve"> </w:t>
      </w:r>
      <w:r>
        <w:rPr>
          <w:color w:val="3E3E3E"/>
          <w:spacing w:val="-5"/>
          <w:sz w:val="24"/>
          <w:szCs w:val="24"/>
        </w:rPr>
        <w:t>内的铁锈及杂质。</w:t>
      </w:r>
    </w:p>
    <w:p>
      <w:pPr>
        <w:pStyle w:val="16"/>
        <w:spacing w:before="183" w:line="219" w:lineRule="auto"/>
        <w:ind w:left="506"/>
        <w:rPr>
          <w:sz w:val="24"/>
          <w:szCs w:val="24"/>
        </w:rPr>
      </w:pPr>
      <w:r>
        <w:rPr>
          <w:color w:val="3E3E3E"/>
          <w:spacing w:val="-2"/>
          <w:sz w:val="24"/>
          <w:szCs w:val="24"/>
        </w:rPr>
        <w:t>2.5</w:t>
      </w:r>
      <w:r>
        <w:rPr>
          <w:color w:val="3E3E3E"/>
          <w:spacing w:val="-46"/>
          <w:sz w:val="24"/>
          <w:szCs w:val="24"/>
        </w:rPr>
        <w:t xml:space="preserve"> </w:t>
      </w:r>
      <w:r>
        <w:rPr>
          <w:color w:val="3E3E3E"/>
          <w:spacing w:val="-2"/>
          <w:sz w:val="24"/>
          <w:szCs w:val="24"/>
        </w:rPr>
        <w:t>应急照明和疏散指示标志</w:t>
      </w:r>
    </w:p>
    <w:p>
      <w:pPr>
        <w:pStyle w:val="16"/>
        <w:spacing w:before="181" w:line="290" w:lineRule="auto"/>
        <w:ind w:left="29" w:right="20" w:firstLine="477"/>
        <w:rPr>
          <w:sz w:val="24"/>
          <w:szCs w:val="24"/>
        </w:rPr>
      </w:pPr>
      <w:r>
        <w:rPr>
          <w:color w:val="3E3E3E"/>
          <w:spacing w:val="-1"/>
          <w:sz w:val="24"/>
          <w:szCs w:val="24"/>
        </w:rPr>
        <w:t>2.5.1</w:t>
      </w:r>
      <w:r>
        <w:rPr>
          <w:color w:val="3E3E3E"/>
          <w:spacing w:val="-37"/>
          <w:sz w:val="24"/>
          <w:szCs w:val="24"/>
        </w:rPr>
        <w:t xml:space="preserve"> </w:t>
      </w:r>
      <w:r>
        <w:rPr>
          <w:color w:val="3E3E3E"/>
          <w:spacing w:val="-1"/>
          <w:sz w:val="24"/>
          <w:szCs w:val="24"/>
        </w:rPr>
        <w:t>每月应查看应急照明外观是否有损坏、电源插头是否插在电源插座上、灯</w:t>
      </w:r>
      <w:r>
        <w:rPr>
          <w:color w:val="3E3E3E"/>
          <w:sz w:val="24"/>
          <w:szCs w:val="24"/>
        </w:rPr>
        <w:t xml:space="preserve"> </w:t>
      </w:r>
      <w:r>
        <w:rPr>
          <w:color w:val="3E3E3E"/>
          <w:spacing w:val="-2"/>
          <w:sz w:val="24"/>
          <w:szCs w:val="24"/>
        </w:rPr>
        <w:t>管是否工作正常。</w:t>
      </w:r>
    </w:p>
    <w:p>
      <w:pPr>
        <w:pStyle w:val="16"/>
        <w:spacing w:before="181" w:line="290" w:lineRule="auto"/>
        <w:ind w:left="22" w:right="20" w:firstLine="483"/>
        <w:rPr>
          <w:sz w:val="24"/>
          <w:szCs w:val="24"/>
        </w:rPr>
      </w:pPr>
      <w:r>
        <w:rPr>
          <w:color w:val="3E3E3E"/>
          <w:spacing w:val="-4"/>
          <w:sz w:val="24"/>
          <w:szCs w:val="24"/>
        </w:rPr>
        <w:t>2.5.2</w:t>
      </w:r>
      <w:r>
        <w:rPr>
          <w:color w:val="3E3E3E"/>
          <w:spacing w:val="-42"/>
          <w:sz w:val="24"/>
          <w:szCs w:val="24"/>
        </w:rPr>
        <w:t xml:space="preserve"> </w:t>
      </w:r>
      <w:r>
        <w:rPr>
          <w:color w:val="3E3E3E"/>
          <w:spacing w:val="-4"/>
          <w:sz w:val="24"/>
          <w:szCs w:val="24"/>
        </w:rPr>
        <w:t>每季度对应急照明进行一次功能性测试,按下列方法切断正常供电电源，用</w:t>
      </w:r>
      <w:r>
        <w:rPr>
          <w:color w:val="3E3E3E"/>
          <w:sz w:val="24"/>
          <w:szCs w:val="24"/>
        </w:rPr>
        <w:t xml:space="preserve"> </w:t>
      </w:r>
      <w:r>
        <w:rPr>
          <w:color w:val="3E3E3E"/>
          <w:spacing w:val="-1"/>
          <w:sz w:val="24"/>
          <w:szCs w:val="24"/>
        </w:rPr>
        <w:t>秒表测量应急工作状态的持续时间：</w:t>
      </w:r>
    </w:p>
    <w:p>
      <w:pPr>
        <w:pStyle w:val="16"/>
        <w:spacing w:before="182" w:line="219" w:lineRule="auto"/>
        <w:ind w:left="521"/>
        <w:rPr>
          <w:sz w:val="24"/>
          <w:szCs w:val="24"/>
        </w:rPr>
      </w:pPr>
      <w:r>
        <w:rPr>
          <w:color w:val="3E3E3E"/>
          <w:spacing w:val="-2"/>
          <w:sz w:val="24"/>
          <w:szCs w:val="24"/>
        </w:rPr>
        <w:t>1)自带电源型和子母电源型切断其主供电电源。</w:t>
      </w:r>
    </w:p>
    <w:p>
      <w:pPr>
        <w:pStyle w:val="16"/>
        <w:spacing w:before="184" w:line="219" w:lineRule="auto"/>
        <w:ind w:left="506"/>
        <w:rPr>
          <w:sz w:val="24"/>
          <w:szCs w:val="24"/>
        </w:rPr>
      </w:pPr>
      <w:r>
        <w:rPr>
          <w:color w:val="3E3E3E"/>
          <w:spacing w:val="-1"/>
          <w:sz w:val="24"/>
          <w:szCs w:val="24"/>
        </w:rPr>
        <w:t>2)集中电源型切断其控制器主电源。</w:t>
      </w:r>
    </w:p>
    <w:p>
      <w:pPr>
        <w:pStyle w:val="16"/>
        <w:spacing w:before="184" w:line="219" w:lineRule="auto"/>
        <w:ind w:left="508"/>
        <w:rPr>
          <w:sz w:val="24"/>
          <w:szCs w:val="24"/>
        </w:rPr>
      </w:pPr>
      <w:r>
        <w:rPr>
          <w:color w:val="3E3E3E"/>
          <w:spacing w:val="-1"/>
          <w:sz w:val="24"/>
          <w:szCs w:val="24"/>
        </w:rPr>
        <w:t>3)接在消防配电线路上的应急照明灯具，切断非消防电源。</w:t>
      </w:r>
    </w:p>
    <w:p>
      <w:pPr>
        <w:pStyle w:val="16"/>
        <w:spacing w:before="182" w:line="290" w:lineRule="auto"/>
        <w:ind w:left="29" w:firstLine="477"/>
        <w:rPr>
          <w:sz w:val="24"/>
          <w:szCs w:val="24"/>
        </w:rPr>
      </w:pPr>
      <w:r>
        <w:rPr>
          <w:color w:val="3E3E3E"/>
          <w:spacing w:val="-1"/>
          <w:sz w:val="24"/>
          <w:szCs w:val="24"/>
        </w:rPr>
        <w:t>2.5.3</w:t>
      </w:r>
      <w:r>
        <w:rPr>
          <w:color w:val="3E3E3E"/>
          <w:spacing w:val="-37"/>
          <w:sz w:val="24"/>
          <w:szCs w:val="24"/>
        </w:rPr>
        <w:t xml:space="preserve"> </w:t>
      </w:r>
      <w:r>
        <w:rPr>
          <w:color w:val="3E3E3E"/>
          <w:spacing w:val="-1"/>
          <w:sz w:val="24"/>
          <w:szCs w:val="24"/>
        </w:rPr>
        <w:t>使用照度计，测量两个应急照明灯之间地面中心的照度；应符合建筑规的</w:t>
      </w:r>
      <w:r>
        <w:rPr>
          <w:color w:val="3E3E3E"/>
          <w:sz w:val="24"/>
          <w:szCs w:val="24"/>
        </w:rPr>
        <w:t xml:space="preserve"> </w:t>
      </w:r>
      <w:r>
        <w:rPr>
          <w:color w:val="3E3E3E"/>
          <w:spacing w:val="-2"/>
          <w:sz w:val="24"/>
          <w:szCs w:val="24"/>
        </w:rPr>
        <w:t>范疏散照度要求；达到规定的应急工作状态持续时间时，重复测量上述测点的照度。</w:t>
      </w:r>
    </w:p>
    <w:p>
      <w:pPr>
        <w:pStyle w:val="16"/>
        <w:spacing w:before="183" w:line="313" w:lineRule="auto"/>
        <w:ind w:left="24" w:right="20" w:firstLine="481"/>
        <w:rPr>
          <w:sz w:val="24"/>
          <w:szCs w:val="24"/>
        </w:rPr>
      </w:pPr>
      <w:r>
        <w:rPr>
          <w:color w:val="3E3E3E"/>
          <w:spacing w:val="-2"/>
          <w:sz w:val="24"/>
          <w:szCs w:val="24"/>
        </w:rPr>
        <w:t>2.5.4</w:t>
      </w:r>
      <w:r>
        <w:rPr>
          <w:color w:val="3E3E3E"/>
          <w:spacing w:val="-49"/>
          <w:sz w:val="24"/>
          <w:szCs w:val="24"/>
        </w:rPr>
        <w:t xml:space="preserve"> </w:t>
      </w:r>
      <w:r>
        <w:rPr>
          <w:color w:val="3E3E3E"/>
          <w:spacing w:val="-2"/>
          <w:sz w:val="24"/>
          <w:szCs w:val="24"/>
        </w:rPr>
        <w:t>配电室、消防控制室、消防水泵房、供消防用电的蓄电池室、</w:t>
      </w:r>
      <w:r>
        <w:rPr>
          <w:color w:val="3E3E3E"/>
          <w:spacing w:val="-71"/>
          <w:sz w:val="24"/>
          <w:szCs w:val="24"/>
        </w:rPr>
        <w:t xml:space="preserve"> </w:t>
      </w:r>
      <w:r>
        <w:rPr>
          <w:color w:val="3E3E3E"/>
          <w:spacing w:val="-2"/>
          <w:sz w:val="24"/>
          <w:szCs w:val="24"/>
        </w:rPr>
        <w:t>自备发电机</w:t>
      </w:r>
      <w:r>
        <w:rPr>
          <w:color w:val="3E3E3E"/>
          <w:sz w:val="24"/>
          <w:szCs w:val="24"/>
        </w:rPr>
        <w:t xml:space="preserve"> </w:t>
      </w:r>
      <w:r>
        <w:rPr>
          <w:color w:val="3E3E3E"/>
          <w:spacing w:val="-2"/>
          <w:sz w:val="24"/>
          <w:szCs w:val="24"/>
        </w:rPr>
        <w:t>房、电话总机房以及发生火灾时仍需坚持工作的其他房间，使用照度计测量正常照明</w:t>
      </w:r>
      <w:r>
        <w:rPr>
          <w:color w:val="3E3E3E"/>
          <w:spacing w:val="2"/>
          <w:sz w:val="24"/>
          <w:szCs w:val="24"/>
        </w:rPr>
        <w:t xml:space="preserve"> </w:t>
      </w:r>
      <w:r>
        <w:rPr>
          <w:color w:val="3E3E3E"/>
          <w:sz w:val="24"/>
          <w:szCs w:val="24"/>
        </w:rPr>
        <w:t>时的工作面照度；切断正常照明后，测量应急</w:t>
      </w:r>
      <w:r>
        <w:rPr>
          <w:color w:val="3E3E3E"/>
          <w:spacing w:val="-1"/>
          <w:sz w:val="24"/>
          <w:szCs w:val="24"/>
        </w:rPr>
        <w:t>照明时工作面的最低照度。</w:t>
      </w:r>
    </w:p>
    <w:p>
      <w:pPr>
        <w:pStyle w:val="16"/>
        <w:spacing w:before="183" w:line="219" w:lineRule="auto"/>
        <w:ind w:left="506"/>
        <w:rPr>
          <w:sz w:val="24"/>
          <w:szCs w:val="24"/>
        </w:rPr>
      </w:pPr>
      <w:r>
        <w:rPr>
          <w:color w:val="3E3E3E"/>
          <w:spacing w:val="-3"/>
          <w:sz w:val="24"/>
          <w:szCs w:val="24"/>
        </w:rPr>
        <w:t>2.5.5</w:t>
      </w:r>
      <w:r>
        <w:rPr>
          <w:color w:val="3E3E3E"/>
          <w:spacing w:val="-41"/>
          <w:sz w:val="24"/>
          <w:szCs w:val="24"/>
        </w:rPr>
        <w:t xml:space="preserve"> </w:t>
      </w:r>
      <w:r>
        <w:rPr>
          <w:color w:val="3E3E3E"/>
          <w:spacing w:val="-3"/>
          <w:sz w:val="24"/>
          <w:szCs w:val="24"/>
        </w:rPr>
        <w:t>疏散指示标志</w:t>
      </w:r>
    </w:p>
    <w:p>
      <w:pPr>
        <w:pStyle w:val="16"/>
        <w:spacing w:before="184" w:line="219" w:lineRule="auto"/>
        <w:ind w:left="521"/>
        <w:rPr>
          <w:sz w:val="24"/>
          <w:szCs w:val="24"/>
        </w:rPr>
      </w:pPr>
      <w:r>
        <w:rPr>
          <w:color w:val="3E3E3E"/>
          <w:spacing w:val="-2"/>
          <w:sz w:val="24"/>
          <w:szCs w:val="24"/>
        </w:rPr>
        <w:t>1)每月查看外观，核对位置及完好情况。</w:t>
      </w:r>
    </w:p>
    <w:p>
      <w:pPr>
        <w:pStyle w:val="16"/>
        <w:spacing w:before="183" w:line="219" w:lineRule="auto"/>
        <w:ind w:left="506"/>
        <w:rPr>
          <w:sz w:val="24"/>
          <w:szCs w:val="24"/>
        </w:rPr>
      </w:pPr>
      <w:r>
        <w:rPr>
          <w:color w:val="3E3E3E"/>
          <w:spacing w:val="-1"/>
          <w:sz w:val="24"/>
          <w:szCs w:val="24"/>
        </w:rPr>
        <w:t>2)每季度对疏散指示标志进行一次功能性测试﹕</w:t>
      </w:r>
    </w:p>
    <w:p>
      <w:pPr>
        <w:pStyle w:val="16"/>
        <w:spacing w:before="183" w:line="219" w:lineRule="auto"/>
        <w:ind w:left="504"/>
        <w:rPr>
          <w:sz w:val="24"/>
          <w:szCs w:val="24"/>
        </w:rPr>
      </w:pPr>
      <w:r>
        <w:rPr>
          <w:color w:val="3E3E3E"/>
          <w:spacing w:val="-1"/>
          <w:sz w:val="24"/>
          <w:szCs w:val="24"/>
        </w:rPr>
        <w:t>a)关闭正常照明，查看发光疏散指示标志的自发光情况。</w:t>
      </w:r>
    </w:p>
    <w:p>
      <w:pPr>
        <w:pStyle w:val="16"/>
        <w:spacing w:before="182" w:line="347" w:lineRule="auto"/>
        <w:ind w:left="22" w:right="20" w:firstLine="477"/>
        <w:rPr>
          <w:sz w:val="24"/>
          <w:szCs w:val="24"/>
        </w:rPr>
      </w:pPr>
      <w:r>
        <w:rPr>
          <w:color w:val="3E3E3E"/>
          <w:spacing w:val="-2"/>
          <w:sz w:val="24"/>
          <w:szCs w:val="24"/>
        </w:rPr>
        <w:t>b)切断正常供电电源，在灯光疏散指示标志前通道中心处，用照度计测量地面照</w:t>
      </w:r>
      <w:r>
        <w:rPr>
          <w:color w:val="3E3E3E"/>
          <w:spacing w:val="5"/>
          <w:sz w:val="24"/>
          <w:szCs w:val="24"/>
        </w:rPr>
        <w:t xml:space="preserve"> </w:t>
      </w:r>
      <w:r>
        <w:rPr>
          <w:color w:val="3E3E3E"/>
          <w:sz w:val="24"/>
          <w:szCs w:val="24"/>
        </w:rPr>
        <w:t>度；达到规定的应急工作状态持续时间时，重复</w:t>
      </w:r>
      <w:r>
        <w:rPr>
          <w:color w:val="3E3E3E"/>
          <w:spacing w:val="-1"/>
          <w:sz w:val="24"/>
          <w:szCs w:val="24"/>
        </w:rPr>
        <w:t>测量上述测点的照度。</w:t>
      </w:r>
    </w:p>
    <w:p>
      <w:pPr>
        <w:pStyle w:val="16"/>
        <w:spacing w:before="35" w:line="219" w:lineRule="auto"/>
        <w:ind w:left="506"/>
        <w:rPr>
          <w:sz w:val="24"/>
          <w:szCs w:val="24"/>
        </w:rPr>
      </w:pPr>
      <w:r>
        <w:rPr>
          <w:color w:val="3E3E3E"/>
          <w:spacing w:val="-3"/>
          <w:sz w:val="24"/>
          <w:szCs w:val="24"/>
        </w:rPr>
        <w:t>2.6</w:t>
      </w:r>
      <w:r>
        <w:rPr>
          <w:color w:val="3E3E3E"/>
          <w:spacing w:val="-47"/>
          <w:sz w:val="24"/>
          <w:szCs w:val="24"/>
        </w:rPr>
        <w:t xml:space="preserve"> </w:t>
      </w:r>
      <w:r>
        <w:rPr>
          <w:color w:val="3E3E3E"/>
          <w:spacing w:val="-3"/>
          <w:sz w:val="24"/>
          <w:szCs w:val="24"/>
        </w:rPr>
        <w:t>应急广播系统</w:t>
      </w:r>
    </w:p>
    <w:p>
      <w:pPr>
        <w:pStyle w:val="16"/>
        <w:spacing w:before="184" w:line="219" w:lineRule="auto"/>
        <w:ind w:left="506"/>
        <w:rPr>
          <w:sz w:val="24"/>
          <w:szCs w:val="24"/>
        </w:rPr>
      </w:pPr>
      <w:r>
        <w:rPr>
          <w:color w:val="3E3E3E"/>
          <w:spacing w:val="-1"/>
          <w:sz w:val="24"/>
          <w:szCs w:val="24"/>
        </w:rPr>
        <w:t>2.6.1</w:t>
      </w:r>
      <w:r>
        <w:rPr>
          <w:color w:val="3E3E3E"/>
          <w:spacing w:val="-43"/>
          <w:sz w:val="24"/>
          <w:szCs w:val="24"/>
        </w:rPr>
        <w:t xml:space="preserve"> </w:t>
      </w:r>
      <w:r>
        <w:rPr>
          <w:color w:val="3E3E3E"/>
          <w:spacing w:val="-1"/>
          <w:sz w:val="24"/>
          <w:szCs w:val="24"/>
        </w:rPr>
        <w:t>每月在消防控制室用话筒对所选区域播音，检查音响效果。</w:t>
      </w:r>
    </w:p>
    <w:p>
      <w:pPr>
        <w:pStyle w:val="16"/>
        <w:spacing w:before="182" w:line="290" w:lineRule="auto"/>
        <w:ind w:left="25" w:right="20" w:firstLine="480"/>
        <w:rPr>
          <w:sz w:val="24"/>
          <w:szCs w:val="24"/>
        </w:rPr>
      </w:pPr>
      <w:r>
        <w:rPr>
          <w:color w:val="3E3E3E"/>
          <w:spacing w:val="-1"/>
          <w:sz w:val="24"/>
          <w:szCs w:val="24"/>
        </w:rPr>
        <w:t>2.6.2</w:t>
      </w:r>
      <w:r>
        <w:rPr>
          <w:color w:val="3E3E3E"/>
          <w:spacing w:val="-37"/>
          <w:sz w:val="24"/>
          <w:szCs w:val="24"/>
        </w:rPr>
        <w:t xml:space="preserve"> </w:t>
      </w:r>
      <w:r>
        <w:rPr>
          <w:color w:val="3E3E3E"/>
          <w:spacing w:val="-1"/>
          <w:sz w:val="24"/>
          <w:szCs w:val="24"/>
        </w:rPr>
        <w:t>每季度自动控制方式下，分别触发两个相关的火灾探测器或触发手动报警</w:t>
      </w:r>
      <w:r>
        <w:rPr>
          <w:color w:val="3E3E3E"/>
          <w:sz w:val="24"/>
          <w:szCs w:val="24"/>
        </w:rPr>
        <w:t xml:space="preserve"> </w:t>
      </w:r>
      <w:r>
        <w:rPr>
          <w:color w:val="3E3E3E"/>
          <w:spacing w:val="-1"/>
          <w:sz w:val="24"/>
          <w:szCs w:val="24"/>
        </w:rPr>
        <w:t>按钮后，核对启动火灾应急广播的区域、检查音响效果。</w:t>
      </w:r>
    </w:p>
    <w:p>
      <w:pPr>
        <w:pStyle w:val="16"/>
        <w:spacing w:before="182" w:line="290" w:lineRule="auto"/>
        <w:ind w:left="23" w:right="20" w:firstLine="482"/>
        <w:rPr>
          <w:sz w:val="24"/>
          <w:szCs w:val="24"/>
        </w:rPr>
      </w:pPr>
      <w:r>
        <w:rPr>
          <w:color w:val="3E3E3E"/>
          <w:spacing w:val="-2"/>
          <w:sz w:val="24"/>
          <w:szCs w:val="24"/>
        </w:rPr>
        <w:t>2.6.3</w:t>
      </w:r>
      <w:r>
        <w:rPr>
          <w:color w:val="3E3E3E"/>
          <w:spacing w:val="-49"/>
          <w:sz w:val="24"/>
          <w:szCs w:val="24"/>
        </w:rPr>
        <w:t xml:space="preserve"> </w:t>
      </w:r>
      <w:r>
        <w:rPr>
          <w:color w:val="3E3E3E"/>
          <w:spacing w:val="-2"/>
          <w:sz w:val="24"/>
          <w:szCs w:val="24"/>
        </w:rPr>
        <w:t>每月在公共广播扩音机处于关闭和播放状态下，</w:t>
      </w:r>
      <w:r>
        <w:rPr>
          <w:color w:val="3E3E3E"/>
          <w:spacing w:val="-71"/>
          <w:sz w:val="24"/>
          <w:szCs w:val="24"/>
        </w:rPr>
        <w:t xml:space="preserve"> </w:t>
      </w:r>
      <w:r>
        <w:rPr>
          <w:color w:val="3E3E3E"/>
          <w:spacing w:val="-2"/>
          <w:sz w:val="24"/>
          <w:szCs w:val="24"/>
        </w:rPr>
        <w:t>自动和手动强制切换火灾</w:t>
      </w:r>
      <w:r>
        <w:rPr>
          <w:color w:val="3E3E3E"/>
          <w:sz w:val="24"/>
          <w:szCs w:val="24"/>
        </w:rPr>
        <w:t xml:space="preserve"> </w:t>
      </w:r>
      <w:r>
        <w:rPr>
          <w:color w:val="3E3E3E"/>
          <w:spacing w:val="-2"/>
          <w:sz w:val="24"/>
          <w:szCs w:val="24"/>
        </w:rPr>
        <w:t>应急广播。</w:t>
      </w:r>
    </w:p>
    <w:p>
      <w:pPr>
        <w:pStyle w:val="16"/>
        <w:spacing w:before="182" w:line="290" w:lineRule="auto"/>
        <w:ind w:left="29" w:right="20" w:firstLine="476"/>
        <w:rPr>
          <w:sz w:val="24"/>
          <w:szCs w:val="24"/>
        </w:rPr>
      </w:pPr>
      <w:r>
        <w:rPr>
          <w:color w:val="3E3E3E"/>
          <w:spacing w:val="-3"/>
          <w:sz w:val="24"/>
          <w:szCs w:val="24"/>
        </w:rPr>
        <w:t>2.6.4</w:t>
      </w:r>
      <w:r>
        <w:rPr>
          <w:color w:val="3E3E3E"/>
          <w:spacing w:val="-37"/>
          <w:sz w:val="24"/>
          <w:szCs w:val="24"/>
        </w:rPr>
        <w:t xml:space="preserve"> </w:t>
      </w:r>
      <w:r>
        <w:rPr>
          <w:color w:val="3E3E3E"/>
          <w:spacing w:val="-3"/>
          <w:sz w:val="24"/>
          <w:szCs w:val="24"/>
        </w:rPr>
        <w:t>每季度用声级计测试启动火灾应急广播前的环境噪音，当大于60dB</w:t>
      </w:r>
      <w:r>
        <w:rPr>
          <w:color w:val="3E3E3E"/>
          <w:spacing w:val="-40"/>
          <w:sz w:val="24"/>
          <w:szCs w:val="24"/>
        </w:rPr>
        <w:t xml:space="preserve"> </w:t>
      </w:r>
      <w:r>
        <w:rPr>
          <w:color w:val="3E3E3E"/>
          <w:spacing w:val="-3"/>
          <w:sz w:val="24"/>
          <w:szCs w:val="24"/>
        </w:rPr>
        <w:t>时，重</w:t>
      </w:r>
      <w:r>
        <w:rPr>
          <w:color w:val="3E3E3E"/>
          <w:sz w:val="24"/>
          <w:szCs w:val="24"/>
        </w:rPr>
        <w:t xml:space="preserve"> 复测量启动火灾应急广播后扬声器播音范围</w:t>
      </w:r>
      <w:r>
        <w:rPr>
          <w:color w:val="3E3E3E"/>
          <w:spacing w:val="-1"/>
          <w:sz w:val="24"/>
          <w:szCs w:val="24"/>
        </w:rPr>
        <w:t>内最远点的声压级，并与环境噪音对比</w:t>
      </w:r>
    </w:p>
    <w:p>
      <w:pPr>
        <w:spacing w:line="290" w:lineRule="auto"/>
        <w:rPr>
          <w:sz w:val="24"/>
          <w:szCs w:val="24"/>
        </w:rPr>
        <w:sectPr>
          <w:footerReference r:id="rId13" w:type="default"/>
          <w:pgSz w:w="11906" w:h="16839"/>
          <w:pgMar w:top="400" w:right="1265"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78" w:line="219" w:lineRule="auto"/>
        <w:ind w:left="506"/>
        <w:rPr>
          <w:sz w:val="24"/>
          <w:szCs w:val="24"/>
        </w:rPr>
      </w:pPr>
      <w:r>
        <w:rPr>
          <w:color w:val="3E3E3E"/>
          <w:spacing w:val="-5"/>
          <w:sz w:val="24"/>
          <w:szCs w:val="24"/>
        </w:rPr>
        <w:t>2.7</w:t>
      </w:r>
      <w:r>
        <w:rPr>
          <w:color w:val="3E3E3E"/>
          <w:spacing w:val="-29"/>
          <w:sz w:val="24"/>
          <w:szCs w:val="24"/>
        </w:rPr>
        <w:t xml:space="preserve"> </w:t>
      </w:r>
      <w:r>
        <w:rPr>
          <w:color w:val="3E3E3E"/>
          <w:spacing w:val="-5"/>
          <w:sz w:val="24"/>
          <w:szCs w:val="24"/>
        </w:rPr>
        <w:t>防火分隔设施</w:t>
      </w:r>
    </w:p>
    <w:p>
      <w:pPr>
        <w:pStyle w:val="16"/>
        <w:spacing w:before="183" w:line="219" w:lineRule="auto"/>
        <w:ind w:left="506"/>
        <w:rPr>
          <w:sz w:val="24"/>
          <w:szCs w:val="24"/>
        </w:rPr>
      </w:pPr>
      <w:r>
        <w:rPr>
          <w:color w:val="3E3E3E"/>
          <w:spacing w:val="-5"/>
          <w:sz w:val="24"/>
          <w:szCs w:val="24"/>
        </w:rPr>
        <w:t>2.7.1</w:t>
      </w:r>
      <w:r>
        <w:rPr>
          <w:color w:val="3E3E3E"/>
          <w:spacing w:val="-34"/>
          <w:sz w:val="24"/>
          <w:szCs w:val="24"/>
        </w:rPr>
        <w:t xml:space="preserve"> </w:t>
      </w:r>
      <w:r>
        <w:rPr>
          <w:color w:val="3E3E3E"/>
          <w:spacing w:val="-5"/>
          <w:sz w:val="24"/>
          <w:szCs w:val="24"/>
        </w:rPr>
        <w:t>防火门</w:t>
      </w:r>
    </w:p>
    <w:p>
      <w:pPr>
        <w:pStyle w:val="16"/>
        <w:spacing w:before="183" w:line="219" w:lineRule="auto"/>
        <w:ind w:left="521"/>
        <w:rPr>
          <w:sz w:val="24"/>
          <w:szCs w:val="24"/>
        </w:rPr>
      </w:pPr>
      <w:r>
        <w:rPr>
          <w:color w:val="3E3E3E"/>
          <w:spacing w:val="-2"/>
          <w:sz w:val="24"/>
          <w:szCs w:val="24"/>
        </w:rPr>
        <w:t>1)每月查看外观、关闭效果，双扇门的关闭顺序。</w:t>
      </w:r>
    </w:p>
    <w:p>
      <w:pPr>
        <w:pStyle w:val="16"/>
        <w:spacing w:before="181" w:line="290" w:lineRule="auto"/>
        <w:ind w:left="24" w:right="20" w:firstLine="481"/>
        <w:rPr>
          <w:sz w:val="24"/>
          <w:szCs w:val="24"/>
        </w:rPr>
      </w:pPr>
      <w:r>
        <w:rPr>
          <w:color w:val="3E3E3E"/>
          <w:spacing w:val="-2"/>
          <w:sz w:val="24"/>
          <w:szCs w:val="24"/>
        </w:rPr>
        <w:t>2)每季度对于疏散通道上设有出入口控制系统的防火门，自动或远端手动输</w:t>
      </w:r>
      <w:r>
        <w:rPr>
          <w:color w:val="3E3E3E"/>
          <w:spacing w:val="-3"/>
          <w:sz w:val="24"/>
          <w:szCs w:val="24"/>
        </w:rPr>
        <w:t>出控</w:t>
      </w:r>
      <w:r>
        <w:rPr>
          <w:color w:val="3E3E3E"/>
          <w:sz w:val="24"/>
          <w:szCs w:val="24"/>
        </w:rPr>
        <w:t xml:space="preserve"> </w:t>
      </w:r>
      <w:r>
        <w:rPr>
          <w:color w:val="3E3E3E"/>
          <w:spacing w:val="-1"/>
          <w:sz w:val="24"/>
          <w:szCs w:val="24"/>
        </w:rPr>
        <w:t>制信号，查看出入口控制系统的解除情况及反馈信号。</w:t>
      </w:r>
    </w:p>
    <w:p>
      <w:pPr>
        <w:pStyle w:val="16"/>
        <w:spacing w:before="181" w:line="290" w:lineRule="auto"/>
        <w:ind w:left="520" w:right="6480" w:hanging="14"/>
        <w:rPr>
          <w:sz w:val="24"/>
          <w:szCs w:val="24"/>
        </w:rPr>
      </w:pPr>
      <w:r>
        <w:rPr>
          <w:color w:val="3E3E3E"/>
          <w:spacing w:val="-5"/>
          <w:sz w:val="24"/>
          <w:szCs w:val="24"/>
        </w:rPr>
        <w:t>2.7.2</w:t>
      </w:r>
      <w:r>
        <w:rPr>
          <w:color w:val="3E3E3E"/>
          <w:spacing w:val="-29"/>
          <w:sz w:val="24"/>
          <w:szCs w:val="24"/>
        </w:rPr>
        <w:t xml:space="preserve"> </w:t>
      </w:r>
      <w:r>
        <w:rPr>
          <w:color w:val="3E3E3E"/>
          <w:spacing w:val="-5"/>
          <w:sz w:val="24"/>
          <w:szCs w:val="24"/>
        </w:rPr>
        <w:t>防火卷帘</w:t>
      </w:r>
      <w:r>
        <w:rPr>
          <w:color w:val="3E3E3E"/>
          <w:sz w:val="24"/>
          <w:szCs w:val="24"/>
        </w:rPr>
        <w:t xml:space="preserve">   </w:t>
      </w:r>
      <w:r>
        <w:rPr>
          <w:color w:val="3E3E3E"/>
          <w:spacing w:val="-8"/>
          <w:sz w:val="24"/>
          <w:szCs w:val="24"/>
        </w:rPr>
        <w:t>1)每月查看外观。</w:t>
      </w:r>
    </w:p>
    <w:p>
      <w:pPr>
        <w:pStyle w:val="16"/>
        <w:spacing w:before="182" w:line="290" w:lineRule="auto"/>
        <w:ind w:left="25" w:right="20" w:firstLine="480"/>
        <w:rPr>
          <w:sz w:val="24"/>
          <w:szCs w:val="24"/>
        </w:rPr>
      </w:pPr>
      <w:r>
        <w:rPr>
          <w:color w:val="3E3E3E"/>
          <w:spacing w:val="-2"/>
          <w:sz w:val="24"/>
          <w:szCs w:val="24"/>
        </w:rPr>
        <w:t>2)每季度进行下列方式操作，查看卷帘运行情况反馈信号后重定。机械操作</w:t>
      </w:r>
      <w:r>
        <w:rPr>
          <w:color w:val="3E3E3E"/>
          <w:spacing w:val="-3"/>
          <w:sz w:val="24"/>
          <w:szCs w:val="24"/>
        </w:rPr>
        <w:t>卷帘</w:t>
      </w:r>
      <w:r>
        <w:rPr>
          <w:color w:val="3E3E3E"/>
          <w:sz w:val="24"/>
          <w:szCs w:val="24"/>
        </w:rPr>
        <w:t xml:space="preserve"> </w:t>
      </w:r>
      <w:r>
        <w:rPr>
          <w:color w:val="3E3E3E"/>
          <w:spacing w:val="-4"/>
          <w:sz w:val="24"/>
          <w:szCs w:val="24"/>
        </w:rPr>
        <w:t>升降。</w:t>
      </w:r>
    </w:p>
    <w:p>
      <w:pPr>
        <w:pStyle w:val="16"/>
        <w:spacing w:before="184" w:line="219" w:lineRule="auto"/>
        <w:ind w:left="508"/>
        <w:rPr>
          <w:sz w:val="24"/>
          <w:szCs w:val="24"/>
        </w:rPr>
      </w:pPr>
      <w:r>
        <w:rPr>
          <w:color w:val="3E3E3E"/>
          <w:spacing w:val="-2"/>
          <w:sz w:val="24"/>
          <w:szCs w:val="24"/>
        </w:rPr>
        <w:t>3)触发手动控制按钮。</w:t>
      </w:r>
    </w:p>
    <w:p>
      <w:pPr>
        <w:pStyle w:val="16"/>
        <w:spacing w:before="183" w:line="219" w:lineRule="auto"/>
        <w:ind w:left="502"/>
        <w:rPr>
          <w:sz w:val="24"/>
          <w:szCs w:val="24"/>
        </w:rPr>
      </w:pPr>
      <w:r>
        <w:rPr>
          <w:color w:val="3E3E3E"/>
          <w:spacing w:val="-1"/>
          <w:sz w:val="24"/>
          <w:szCs w:val="24"/>
        </w:rPr>
        <w:t>4)发散烟雾或不低于</w:t>
      </w:r>
      <w:r>
        <w:rPr>
          <w:color w:val="3E3E3E"/>
          <w:spacing w:val="-45"/>
          <w:sz w:val="24"/>
          <w:szCs w:val="24"/>
        </w:rPr>
        <w:t xml:space="preserve"> </w:t>
      </w:r>
      <w:r>
        <w:rPr>
          <w:color w:val="3E3E3E"/>
          <w:spacing w:val="-1"/>
          <w:sz w:val="24"/>
          <w:szCs w:val="24"/>
        </w:rPr>
        <w:t>54℃热气测试其自动反应状况。</w:t>
      </w:r>
    </w:p>
    <w:p>
      <w:pPr>
        <w:pStyle w:val="16"/>
        <w:spacing w:before="183" w:line="219" w:lineRule="auto"/>
        <w:ind w:left="506"/>
        <w:rPr>
          <w:sz w:val="24"/>
          <w:szCs w:val="24"/>
        </w:rPr>
      </w:pPr>
      <w:r>
        <w:rPr>
          <w:color w:val="3E3E3E"/>
          <w:spacing w:val="-3"/>
          <w:sz w:val="24"/>
          <w:szCs w:val="24"/>
        </w:rPr>
        <w:t>2.8</w:t>
      </w:r>
      <w:r>
        <w:rPr>
          <w:color w:val="3E3E3E"/>
          <w:spacing w:val="-44"/>
          <w:sz w:val="24"/>
          <w:szCs w:val="24"/>
        </w:rPr>
        <w:t xml:space="preserve"> </w:t>
      </w:r>
      <w:r>
        <w:rPr>
          <w:color w:val="3E3E3E"/>
          <w:spacing w:val="-3"/>
          <w:sz w:val="24"/>
          <w:szCs w:val="24"/>
        </w:rPr>
        <w:t>灭火器维护管理</w:t>
      </w:r>
    </w:p>
    <w:p>
      <w:pPr>
        <w:pStyle w:val="16"/>
        <w:spacing w:before="182" w:line="290" w:lineRule="auto"/>
        <w:ind w:left="27" w:firstLine="479"/>
        <w:rPr>
          <w:sz w:val="24"/>
          <w:szCs w:val="24"/>
        </w:rPr>
      </w:pPr>
      <w:r>
        <w:rPr>
          <w:color w:val="3E3E3E"/>
          <w:spacing w:val="-1"/>
          <w:sz w:val="24"/>
          <w:szCs w:val="24"/>
        </w:rPr>
        <w:t>2.8.1</w:t>
      </w:r>
      <w:r>
        <w:rPr>
          <w:color w:val="3E3E3E"/>
          <w:spacing w:val="-50"/>
          <w:sz w:val="24"/>
          <w:szCs w:val="24"/>
        </w:rPr>
        <w:t xml:space="preserve"> </w:t>
      </w:r>
      <w:r>
        <w:rPr>
          <w:color w:val="3E3E3E"/>
          <w:spacing w:val="-1"/>
          <w:sz w:val="24"/>
          <w:szCs w:val="24"/>
        </w:rPr>
        <w:t>要建立“消防器材检查表(灭火器</w:t>
      </w:r>
      <w:r>
        <w:rPr>
          <w:color w:val="3E3E3E"/>
          <w:spacing w:val="-2"/>
          <w:sz w:val="24"/>
          <w:szCs w:val="24"/>
        </w:rPr>
        <w:t>)</w:t>
      </w:r>
      <w:r>
        <w:rPr>
          <w:color w:val="3E3E3E"/>
          <w:spacing w:val="-88"/>
          <w:sz w:val="24"/>
          <w:szCs w:val="24"/>
        </w:rPr>
        <w:t xml:space="preserve"> </w:t>
      </w:r>
      <w:r>
        <w:rPr>
          <w:color w:val="3E3E3E"/>
          <w:spacing w:val="-2"/>
          <w:sz w:val="24"/>
          <w:szCs w:val="24"/>
        </w:rPr>
        <w:t>”，登记类型、配置数量、设置部位和</w:t>
      </w:r>
      <w:r>
        <w:rPr>
          <w:color w:val="3E3E3E"/>
          <w:sz w:val="24"/>
          <w:szCs w:val="24"/>
        </w:rPr>
        <w:t xml:space="preserve"> </w:t>
      </w:r>
      <w:r>
        <w:rPr>
          <w:color w:val="3E3E3E"/>
          <w:spacing w:val="-1"/>
          <w:sz w:val="24"/>
          <w:szCs w:val="24"/>
        </w:rPr>
        <w:t>维护管理的责任人；明确维护管理责任人的职</w:t>
      </w:r>
      <w:r>
        <w:rPr>
          <w:color w:val="3E3E3E"/>
          <w:spacing w:val="-2"/>
          <w:sz w:val="24"/>
          <w:szCs w:val="24"/>
        </w:rPr>
        <w:t>责；并张贴在灭火器放置处（甲方）。</w:t>
      </w:r>
    </w:p>
    <w:p>
      <w:pPr>
        <w:pStyle w:val="16"/>
        <w:spacing w:before="182" w:line="290" w:lineRule="auto"/>
        <w:ind w:left="503" w:right="60" w:firstLine="2"/>
        <w:rPr>
          <w:sz w:val="24"/>
          <w:szCs w:val="24"/>
        </w:rPr>
      </w:pPr>
      <w:r>
        <w:rPr>
          <w:color w:val="3E3E3E"/>
          <w:spacing w:val="-3"/>
          <w:sz w:val="24"/>
          <w:szCs w:val="24"/>
        </w:rPr>
        <w:t>2.8.2</w:t>
      </w:r>
      <w:r>
        <w:rPr>
          <w:color w:val="3E3E3E"/>
          <w:spacing w:val="-31"/>
          <w:sz w:val="24"/>
          <w:szCs w:val="24"/>
        </w:rPr>
        <w:t xml:space="preserve"> </w:t>
      </w:r>
      <w:r>
        <w:rPr>
          <w:color w:val="3E3E3E"/>
          <w:spacing w:val="-3"/>
          <w:sz w:val="24"/>
          <w:szCs w:val="24"/>
        </w:rPr>
        <w:t>管理责任人必须依照“消防器材检查表(灭火器)</w:t>
      </w:r>
      <w:r>
        <w:rPr>
          <w:color w:val="3E3E3E"/>
          <w:spacing w:val="-89"/>
          <w:sz w:val="24"/>
          <w:szCs w:val="24"/>
        </w:rPr>
        <w:t xml:space="preserve"> </w:t>
      </w:r>
      <w:r>
        <w:rPr>
          <w:color w:val="3E3E3E"/>
          <w:spacing w:val="-3"/>
          <w:sz w:val="24"/>
          <w:szCs w:val="24"/>
        </w:rPr>
        <w:t>”之内容每月检查一次。</w:t>
      </w:r>
      <w:r>
        <w:rPr>
          <w:color w:val="3E3E3E"/>
          <w:sz w:val="24"/>
          <w:szCs w:val="24"/>
        </w:rPr>
        <w:t xml:space="preserve"> </w:t>
      </w:r>
      <w:r>
        <w:rPr>
          <w:color w:val="3E3E3E"/>
          <w:spacing w:val="-2"/>
          <w:sz w:val="24"/>
          <w:szCs w:val="24"/>
        </w:rPr>
        <w:t>检查的内容﹕</w:t>
      </w:r>
    </w:p>
    <w:p>
      <w:pPr>
        <w:pStyle w:val="16"/>
        <w:spacing w:before="184" w:line="288" w:lineRule="auto"/>
        <w:ind w:left="24" w:right="200" w:firstLine="496"/>
        <w:rPr>
          <w:sz w:val="24"/>
          <w:szCs w:val="24"/>
        </w:rPr>
      </w:pPr>
      <w:r>
        <w:rPr>
          <w:color w:val="3E3E3E"/>
          <w:spacing w:val="-1"/>
          <w:sz w:val="24"/>
          <w:szCs w:val="24"/>
        </w:rPr>
        <w:t>1)灭火器位置应按管理单位之最新规划位置进行摆放,不得随意挪作它用,摆放</w:t>
      </w:r>
      <w:r>
        <w:rPr>
          <w:color w:val="3E3E3E"/>
          <w:spacing w:val="7"/>
          <w:sz w:val="24"/>
          <w:szCs w:val="24"/>
        </w:rPr>
        <w:t xml:space="preserve"> </w:t>
      </w:r>
      <w:r>
        <w:rPr>
          <w:color w:val="3E3E3E"/>
          <w:spacing w:val="-1"/>
          <w:sz w:val="24"/>
          <w:szCs w:val="24"/>
        </w:rPr>
        <w:t>稳固,没有埋压,灭火器箱不得上锁,避免日光曝晒和强辐射热。</w:t>
      </w:r>
    </w:p>
    <w:p>
      <w:pPr>
        <w:pStyle w:val="16"/>
        <w:spacing w:before="187" w:line="216" w:lineRule="auto"/>
        <w:ind w:left="506"/>
        <w:rPr>
          <w:sz w:val="24"/>
          <w:szCs w:val="24"/>
        </w:rPr>
      </w:pPr>
      <w:r>
        <w:rPr>
          <w:color w:val="3E3E3E"/>
          <w:spacing w:val="-1"/>
          <w:sz w:val="24"/>
          <w:szCs w:val="24"/>
        </w:rPr>
        <w:t>2)铅封及插销均完好无损,未曾动用。</w:t>
      </w:r>
    </w:p>
    <w:p>
      <w:pPr>
        <w:pStyle w:val="16"/>
        <w:spacing w:before="187" w:line="291" w:lineRule="auto"/>
        <w:ind w:left="42" w:right="20" w:firstLine="466"/>
        <w:rPr>
          <w:sz w:val="24"/>
          <w:szCs w:val="24"/>
        </w:rPr>
      </w:pPr>
      <w:r>
        <w:rPr>
          <w:color w:val="3E3E3E"/>
          <w:spacing w:val="-2"/>
          <w:sz w:val="24"/>
          <w:szCs w:val="24"/>
        </w:rPr>
        <w:t>3)灭火器压力表的外表面是否变形、损伤；压力表指针应指向红区或红</w:t>
      </w:r>
      <w:r>
        <w:rPr>
          <w:color w:val="3E3E3E"/>
          <w:spacing w:val="-3"/>
          <w:sz w:val="24"/>
          <w:szCs w:val="24"/>
        </w:rPr>
        <w:t>﹑绿区之</w:t>
      </w:r>
      <w:r>
        <w:rPr>
          <w:color w:val="3E3E3E"/>
          <w:sz w:val="24"/>
          <w:szCs w:val="24"/>
        </w:rPr>
        <w:t xml:space="preserve"> </w:t>
      </w:r>
      <w:r>
        <w:rPr>
          <w:color w:val="3E3E3E"/>
          <w:spacing w:val="-15"/>
          <w:sz w:val="24"/>
          <w:szCs w:val="24"/>
        </w:rPr>
        <w:t>间。</w:t>
      </w:r>
    </w:p>
    <w:p>
      <w:pPr>
        <w:pStyle w:val="16"/>
        <w:spacing w:before="179" w:line="219" w:lineRule="auto"/>
        <w:ind w:left="502"/>
        <w:rPr>
          <w:sz w:val="24"/>
          <w:szCs w:val="24"/>
        </w:rPr>
      </w:pPr>
      <w:r>
        <w:rPr>
          <w:color w:val="3E3E3E"/>
          <w:spacing w:val="-1"/>
          <w:sz w:val="24"/>
          <w:szCs w:val="24"/>
        </w:rPr>
        <w:t>4)灭火器是否在有效期内。</w:t>
      </w:r>
    </w:p>
    <w:p>
      <w:pPr>
        <w:pStyle w:val="16"/>
        <w:spacing w:before="184" w:line="219" w:lineRule="auto"/>
        <w:ind w:left="508"/>
        <w:rPr>
          <w:sz w:val="24"/>
          <w:szCs w:val="24"/>
        </w:rPr>
      </w:pPr>
      <w:r>
        <w:rPr>
          <w:color w:val="3E3E3E"/>
          <w:spacing w:val="-1"/>
          <w:sz w:val="24"/>
          <w:szCs w:val="24"/>
        </w:rPr>
        <w:t>5)一旦发现灭火器失效或曾动用过应马上通知安全管理部门更换。</w:t>
      </w:r>
    </w:p>
    <w:p>
      <w:pPr>
        <w:pStyle w:val="16"/>
        <w:spacing w:before="182" w:line="325" w:lineRule="auto"/>
        <w:ind w:left="23" w:right="20" w:firstLine="482"/>
        <w:rPr>
          <w:sz w:val="24"/>
          <w:szCs w:val="24"/>
        </w:rPr>
      </w:pPr>
      <w:r>
        <w:rPr>
          <w:color w:val="3E3E3E"/>
          <w:spacing w:val="-1"/>
          <w:sz w:val="24"/>
          <w:szCs w:val="24"/>
        </w:rPr>
        <w:t>2.8.3</w:t>
      </w:r>
      <w:r>
        <w:rPr>
          <w:color w:val="3E3E3E"/>
          <w:spacing w:val="-37"/>
          <w:sz w:val="24"/>
          <w:szCs w:val="24"/>
        </w:rPr>
        <w:t xml:space="preserve"> </w:t>
      </w:r>
      <w:r>
        <w:rPr>
          <w:color w:val="3E3E3E"/>
          <w:spacing w:val="-1"/>
          <w:sz w:val="24"/>
          <w:szCs w:val="24"/>
        </w:rPr>
        <w:t>管理责任人至少每十二个月委托专业从事消防设施的单位对所有灭火器进</w:t>
      </w:r>
      <w:r>
        <w:rPr>
          <w:color w:val="3E3E3E"/>
          <w:sz w:val="24"/>
          <w:szCs w:val="24"/>
        </w:rPr>
        <w:t xml:space="preserve"> 行一次功能性检查。性检查发现存在问题的必须委托有维</w:t>
      </w:r>
      <w:r>
        <w:rPr>
          <w:color w:val="3E3E3E"/>
          <w:spacing w:val="-1"/>
          <w:sz w:val="24"/>
          <w:szCs w:val="24"/>
        </w:rPr>
        <w:t>修资质的维修单位进行维</w:t>
      </w:r>
      <w:r>
        <w:rPr>
          <w:color w:val="3E3E3E"/>
          <w:sz w:val="24"/>
          <w:szCs w:val="24"/>
        </w:rPr>
        <w:t xml:space="preserve">  </w:t>
      </w:r>
      <w:r>
        <w:rPr>
          <w:color w:val="3E3E3E"/>
          <w:spacing w:val="-2"/>
          <w:sz w:val="24"/>
          <w:szCs w:val="24"/>
        </w:rPr>
        <w:t>修，更换已损件、筒体按规定年限进行水压试验、重新充装灭火剂和驱动气体。严格</w:t>
      </w:r>
      <w:r>
        <w:rPr>
          <w:color w:val="3E3E3E"/>
          <w:spacing w:val="3"/>
          <w:sz w:val="24"/>
          <w:szCs w:val="24"/>
        </w:rPr>
        <w:t xml:space="preserve"> </w:t>
      </w:r>
      <w:r>
        <w:rPr>
          <w:color w:val="3E3E3E"/>
          <w:spacing w:val="-1"/>
          <w:sz w:val="24"/>
          <w:szCs w:val="24"/>
        </w:rPr>
        <w:t>落实灭火器报废制度。</w:t>
      </w:r>
    </w:p>
    <w:p>
      <w:pPr>
        <w:pStyle w:val="16"/>
        <w:spacing w:before="183" w:line="219" w:lineRule="auto"/>
        <w:ind w:left="503"/>
        <w:rPr>
          <w:sz w:val="24"/>
          <w:szCs w:val="24"/>
        </w:rPr>
      </w:pPr>
      <w:r>
        <w:rPr>
          <w:color w:val="3E3E3E"/>
          <w:spacing w:val="-2"/>
          <w:sz w:val="24"/>
          <w:szCs w:val="24"/>
        </w:rPr>
        <w:t>检查的内容﹕</w:t>
      </w:r>
    </w:p>
    <w:p>
      <w:pPr>
        <w:pStyle w:val="16"/>
        <w:spacing w:before="183" w:line="219" w:lineRule="auto"/>
        <w:ind w:left="521"/>
        <w:rPr>
          <w:sz w:val="24"/>
          <w:szCs w:val="24"/>
        </w:rPr>
      </w:pPr>
      <w:r>
        <w:rPr>
          <w:color w:val="3E3E3E"/>
          <w:spacing w:val="-1"/>
          <w:sz w:val="24"/>
          <w:szCs w:val="24"/>
        </w:rPr>
        <w:t>1)灭火器筒体是否有锈蚀、变形现象、铭牌是否完整清</w:t>
      </w:r>
      <w:r>
        <w:rPr>
          <w:color w:val="3E3E3E"/>
          <w:spacing w:val="-2"/>
          <w:sz w:val="24"/>
          <w:szCs w:val="24"/>
        </w:rPr>
        <w:t>晰。</w:t>
      </w:r>
    </w:p>
    <w:p>
      <w:pPr>
        <w:spacing w:line="219" w:lineRule="auto"/>
        <w:rPr>
          <w:sz w:val="24"/>
          <w:szCs w:val="24"/>
        </w:rPr>
        <w:sectPr>
          <w:footerReference r:id="rId14" w:type="default"/>
          <w:pgSz w:w="11906" w:h="16839"/>
          <w:pgMar w:top="400" w:right="1265" w:bottom="1170" w:left="1785" w:header="0" w:footer="956" w:gutter="0"/>
          <w:pgNumType w:fmt="decimal"/>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78" w:line="219" w:lineRule="auto"/>
        <w:ind w:left="506"/>
        <w:rPr>
          <w:sz w:val="24"/>
          <w:szCs w:val="24"/>
        </w:rPr>
      </w:pPr>
      <w:r>
        <w:rPr>
          <w:color w:val="3E3E3E"/>
          <w:sz w:val="24"/>
          <w:szCs w:val="24"/>
        </w:rPr>
        <w:t>2)喷嘴是否有变形、开裂、损伤；喷射软管</w:t>
      </w:r>
      <w:r>
        <w:rPr>
          <w:color w:val="3E3E3E"/>
          <w:spacing w:val="-1"/>
          <w:sz w:val="24"/>
          <w:szCs w:val="24"/>
        </w:rPr>
        <w:t>是否畅通、是否有变形和损伤。</w:t>
      </w:r>
    </w:p>
    <w:p>
      <w:pPr>
        <w:pStyle w:val="16"/>
        <w:spacing w:before="183" w:line="219" w:lineRule="auto"/>
        <w:ind w:left="508"/>
        <w:rPr>
          <w:sz w:val="24"/>
          <w:szCs w:val="24"/>
        </w:rPr>
      </w:pPr>
      <w:r>
        <w:rPr>
          <w:color w:val="3E3E3E"/>
          <w:spacing w:val="-1"/>
          <w:sz w:val="24"/>
          <w:szCs w:val="24"/>
        </w:rPr>
        <w:t>3)灭火器压力表的外表面是否变形、损伤，指标是否指在绿区。</w:t>
      </w:r>
    </w:p>
    <w:p>
      <w:pPr>
        <w:pStyle w:val="16"/>
        <w:spacing w:before="183" w:line="219" w:lineRule="auto"/>
        <w:jc w:val="right"/>
        <w:rPr>
          <w:sz w:val="24"/>
          <w:szCs w:val="24"/>
        </w:rPr>
      </w:pPr>
      <w:r>
        <w:rPr>
          <w:color w:val="3E3E3E"/>
          <w:spacing w:val="-1"/>
          <w:sz w:val="24"/>
          <w:szCs w:val="24"/>
        </w:rPr>
        <w:t>4)灭火器压把、阀体等金属件是否有严重损伤、</w:t>
      </w:r>
      <w:r>
        <w:rPr>
          <w:color w:val="3E3E3E"/>
          <w:spacing w:val="-2"/>
          <w:sz w:val="24"/>
          <w:szCs w:val="24"/>
        </w:rPr>
        <w:t>变形、锈蚀等影响使用的缺陷。</w:t>
      </w:r>
    </w:p>
    <w:p>
      <w:pPr>
        <w:pStyle w:val="16"/>
        <w:spacing w:before="183" w:line="219" w:lineRule="auto"/>
        <w:ind w:left="508"/>
        <w:rPr>
          <w:sz w:val="24"/>
          <w:szCs w:val="24"/>
        </w:rPr>
      </w:pPr>
      <w:r>
        <w:rPr>
          <w:color w:val="3E3E3E"/>
          <w:spacing w:val="-1"/>
          <w:sz w:val="24"/>
          <w:szCs w:val="24"/>
        </w:rPr>
        <w:t>5)在相同批次的灭火器中抽取一具灭火器进行灭火性能测试。</w:t>
      </w:r>
    </w:p>
    <w:p>
      <w:pPr>
        <w:pStyle w:val="16"/>
        <w:spacing w:before="284" w:line="219" w:lineRule="auto"/>
        <w:ind w:left="506"/>
        <w:rPr>
          <w:sz w:val="24"/>
          <w:szCs w:val="24"/>
        </w:rPr>
      </w:pPr>
      <w:r>
        <w:rPr>
          <w:color w:val="3E3E3E"/>
          <w:spacing w:val="-3"/>
          <w:sz w:val="24"/>
          <w:szCs w:val="24"/>
        </w:rPr>
        <w:t>2.9</w:t>
      </w:r>
      <w:r>
        <w:rPr>
          <w:color w:val="3E3E3E"/>
          <w:spacing w:val="-41"/>
          <w:sz w:val="24"/>
          <w:szCs w:val="24"/>
        </w:rPr>
        <w:t xml:space="preserve"> </w:t>
      </w:r>
      <w:r>
        <w:rPr>
          <w:color w:val="3E3E3E"/>
          <w:spacing w:val="-3"/>
          <w:sz w:val="24"/>
          <w:szCs w:val="24"/>
        </w:rPr>
        <w:t>气体灭火维护保养</w:t>
      </w:r>
    </w:p>
    <w:p>
      <w:pPr>
        <w:pStyle w:val="16"/>
        <w:spacing w:before="281" w:line="219" w:lineRule="auto"/>
        <w:ind w:left="506"/>
        <w:rPr>
          <w:sz w:val="24"/>
          <w:szCs w:val="24"/>
        </w:rPr>
      </w:pPr>
      <w:r>
        <w:rPr>
          <w:color w:val="3E3E3E"/>
          <w:spacing w:val="-1"/>
          <w:sz w:val="24"/>
          <w:szCs w:val="24"/>
        </w:rPr>
        <w:t>2.9.1</w:t>
      </w:r>
      <w:r>
        <w:rPr>
          <w:color w:val="3E3E3E"/>
          <w:spacing w:val="-45"/>
          <w:sz w:val="24"/>
          <w:szCs w:val="24"/>
        </w:rPr>
        <w:t xml:space="preserve"> </w:t>
      </w:r>
      <w:r>
        <w:rPr>
          <w:color w:val="3E3E3E"/>
          <w:spacing w:val="-1"/>
          <w:sz w:val="24"/>
          <w:szCs w:val="24"/>
        </w:rPr>
        <w:t>检查保养各台气体灭火控制器，测试其功能是否正常；</w:t>
      </w:r>
    </w:p>
    <w:p>
      <w:pPr>
        <w:pStyle w:val="16"/>
        <w:spacing w:before="282" w:line="290" w:lineRule="auto"/>
        <w:ind w:left="23" w:right="68" w:firstLine="482"/>
        <w:rPr>
          <w:sz w:val="24"/>
          <w:szCs w:val="24"/>
        </w:rPr>
      </w:pPr>
      <w:r>
        <w:rPr>
          <w:color w:val="3E3E3E"/>
          <w:spacing w:val="-2"/>
          <w:sz w:val="24"/>
          <w:szCs w:val="24"/>
        </w:rPr>
        <w:t>2.9.2</w:t>
      </w:r>
      <w:r>
        <w:rPr>
          <w:color w:val="3E3E3E"/>
          <w:spacing w:val="-48"/>
          <w:sz w:val="24"/>
          <w:szCs w:val="24"/>
        </w:rPr>
        <w:t xml:space="preserve"> </w:t>
      </w:r>
      <w:r>
        <w:rPr>
          <w:color w:val="3E3E3E"/>
          <w:spacing w:val="-2"/>
          <w:sz w:val="24"/>
          <w:szCs w:val="24"/>
        </w:rPr>
        <w:t>检查启动瓶药剂贮瓶的压力是否符合出厂充装压力和设计要求（压力表指</w:t>
      </w:r>
      <w:r>
        <w:rPr>
          <w:color w:val="3E3E3E"/>
          <w:sz w:val="24"/>
          <w:szCs w:val="24"/>
        </w:rPr>
        <w:t xml:space="preserve"> </w:t>
      </w:r>
      <w:r>
        <w:rPr>
          <w:color w:val="3E3E3E"/>
          <w:spacing w:val="-2"/>
          <w:sz w:val="24"/>
          <w:szCs w:val="24"/>
        </w:rPr>
        <w:t>针是否在绿区</w:t>
      </w:r>
      <w:r>
        <w:rPr>
          <w:color w:val="3E3E3E"/>
          <w:spacing w:val="7"/>
          <w:sz w:val="24"/>
          <w:szCs w:val="24"/>
        </w:rPr>
        <w:t>），</w:t>
      </w:r>
      <w:r>
        <w:rPr>
          <w:color w:val="3E3E3E"/>
          <w:spacing w:val="-2"/>
          <w:sz w:val="24"/>
          <w:szCs w:val="24"/>
        </w:rPr>
        <w:t>有无泄漏现象；</w:t>
      </w:r>
    </w:p>
    <w:p>
      <w:pPr>
        <w:pStyle w:val="16"/>
        <w:spacing w:before="284" w:line="219" w:lineRule="auto"/>
        <w:ind w:left="506"/>
        <w:rPr>
          <w:sz w:val="24"/>
          <w:szCs w:val="24"/>
        </w:rPr>
      </w:pPr>
      <w:r>
        <w:rPr>
          <w:color w:val="3E3E3E"/>
          <w:spacing w:val="-3"/>
          <w:sz w:val="24"/>
          <w:szCs w:val="24"/>
        </w:rPr>
        <w:t>2.9.3</w:t>
      </w:r>
      <w:r>
        <w:rPr>
          <w:color w:val="3E3E3E"/>
          <w:spacing w:val="-33"/>
          <w:sz w:val="24"/>
          <w:szCs w:val="24"/>
        </w:rPr>
        <w:t xml:space="preserve"> </w:t>
      </w:r>
      <w:r>
        <w:rPr>
          <w:color w:val="3E3E3E"/>
          <w:spacing w:val="-3"/>
          <w:sz w:val="24"/>
          <w:szCs w:val="24"/>
        </w:rPr>
        <w:t>检查试验手动、</w:t>
      </w:r>
      <w:r>
        <w:rPr>
          <w:color w:val="3E3E3E"/>
          <w:spacing w:val="-71"/>
          <w:sz w:val="24"/>
          <w:szCs w:val="24"/>
        </w:rPr>
        <w:t xml:space="preserve"> </w:t>
      </w:r>
      <w:r>
        <w:rPr>
          <w:color w:val="3E3E3E"/>
          <w:spacing w:val="-3"/>
          <w:sz w:val="24"/>
          <w:szCs w:val="24"/>
        </w:rPr>
        <w:t>自动紧急启、停放气装置功能是否正常；</w:t>
      </w:r>
    </w:p>
    <w:p>
      <w:pPr>
        <w:pStyle w:val="16"/>
        <w:spacing w:before="282" w:line="219" w:lineRule="auto"/>
        <w:ind w:left="506"/>
        <w:rPr>
          <w:sz w:val="24"/>
          <w:szCs w:val="24"/>
        </w:rPr>
      </w:pPr>
      <w:r>
        <w:rPr>
          <w:color w:val="3E3E3E"/>
          <w:spacing w:val="-1"/>
          <w:sz w:val="24"/>
          <w:szCs w:val="24"/>
        </w:rPr>
        <w:t>2.9.4</w:t>
      </w:r>
      <w:r>
        <w:rPr>
          <w:color w:val="3E3E3E"/>
          <w:spacing w:val="-45"/>
          <w:sz w:val="24"/>
          <w:szCs w:val="24"/>
        </w:rPr>
        <w:t xml:space="preserve"> </w:t>
      </w:r>
      <w:r>
        <w:rPr>
          <w:color w:val="3E3E3E"/>
          <w:spacing w:val="-1"/>
          <w:sz w:val="24"/>
          <w:szCs w:val="24"/>
        </w:rPr>
        <w:t>定期对电磁阀、瓶头阀解体清洗，加硅油</w:t>
      </w:r>
      <w:r>
        <w:rPr>
          <w:color w:val="3E3E3E"/>
          <w:spacing w:val="-2"/>
          <w:sz w:val="24"/>
          <w:szCs w:val="24"/>
        </w:rPr>
        <w:t>润滑；</w:t>
      </w:r>
    </w:p>
    <w:p>
      <w:pPr>
        <w:pStyle w:val="16"/>
        <w:spacing w:before="284" w:line="313" w:lineRule="auto"/>
        <w:ind w:left="25" w:right="6" w:firstLine="480"/>
        <w:rPr>
          <w:sz w:val="24"/>
          <w:szCs w:val="24"/>
        </w:rPr>
      </w:pPr>
      <w:r>
        <w:rPr>
          <w:color w:val="3E3E3E"/>
          <w:spacing w:val="-2"/>
          <w:sz w:val="24"/>
          <w:szCs w:val="24"/>
        </w:rPr>
        <w:t>2.9.5</w:t>
      </w:r>
      <w:r>
        <w:rPr>
          <w:color w:val="3E3E3E"/>
          <w:spacing w:val="-48"/>
          <w:sz w:val="24"/>
          <w:szCs w:val="24"/>
        </w:rPr>
        <w:t xml:space="preserve"> </w:t>
      </w:r>
      <w:r>
        <w:rPr>
          <w:color w:val="3E3E3E"/>
          <w:spacing w:val="-2"/>
          <w:sz w:val="24"/>
          <w:szCs w:val="24"/>
        </w:rPr>
        <w:t>模拟自动报警系统中的烟、温感探测器同时动作，通风空调是否停止，防</w:t>
      </w:r>
      <w:r>
        <w:rPr>
          <w:color w:val="3E3E3E"/>
          <w:sz w:val="24"/>
          <w:szCs w:val="24"/>
        </w:rPr>
        <w:t xml:space="preserve"> </w:t>
      </w:r>
      <w:r>
        <w:rPr>
          <w:color w:val="3E3E3E"/>
          <w:spacing w:val="-8"/>
          <w:sz w:val="24"/>
          <w:szCs w:val="24"/>
        </w:rPr>
        <w:t>火阀是否关闭，检查气瓶的电磁阀是否在规定的时间内动作，控制屏是否有放气信号，</w:t>
      </w:r>
      <w:r>
        <w:rPr>
          <w:color w:val="3E3E3E"/>
          <w:spacing w:val="5"/>
          <w:sz w:val="24"/>
          <w:szCs w:val="24"/>
        </w:rPr>
        <w:t xml:space="preserve"> </w:t>
      </w:r>
      <w:r>
        <w:rPr>
          <w:color w:val="3E3E3E"/>
          <w:spacing w:val="-1"/>
          <w:sz w:val="24"/>
          <w:szCs w:val="24"/>
        </w:rPr>
        <w:t>消防中心是否有信号，警铃、蜂鸣器是否动作；</w:t>
      </w:r>
    </w:p>
    <w:p>
      <w:pPr>
        <w:pStyle w:val="16"/>
        <w:spacing w:before="283" w:line="219" w:lineRule="auto"/>
        <w:ind w:left="506"/>
        <w:rPr>
          <w:sz w:val="24"/>
          <w:szCs w:val="24"/>
        </w:rPr>
      </w:pPr>
      <w:r>
        <w:rPr>
          <w:color w:val="3E3E3E"/>
          <w:spacing w:val="-1"/>
          <w:sz w:val="24"/>
          <w:szCs w:val="24"/>
        </w:rPr>
        <w:t>2.9.6</w:t>
      </w:r>
      <w:r>
        <w:rPr>
          <w:color w:val="3E3E3E"/>
          <w:spacing w:val="-41"/>
          <w:sz w:val="24"/>
          <w:szCs w:val="24"/>
        </w:rPr>
        <w:t xml:space="preserve"> </w:t>
      </w:r>
      <w:r>
        <w:rPr>
          <w:color w:val="3E3E3E"/>
          <w:spacing w:val="-1"/>
          <w:sz w:val="24"/>
          <w:szCs w:val="24"/>
        </w:rPr>
        <w:t>检查气体灭火系统启动瓶、药剂瓶有无变形，有无腐蚀、脱漆；</w:t>
      </w:r>
    </w:p>
    <w:p>
      <w:pPr>
        <w:pStyle w:val="16"/>
        <w:spacing w:before="283" w:line="219" w:lineRule="auto"/>
        <w:ind w:left="506"/>
        <w:rPr>
          <w:sz w:val="24"/>
          <w:szCs w:val="24"/>
        </w:rPr>
      </w:pPr>
      <w:r>
        <w:rPr>
          <w:color w:val="3E3E3E"/>
          <w:spacing w:val="-1"/>
          <w:sz w:val="24"/>
          <w:szCs w:val="24"/>
        </w:rPr>
        <w:t>2.9.7</w:t>
      </w:r>
      <w:r>
        <w:rPr>
          <w:color w:val="3E3E3E"/>
          <w:spacing w:val="-38"/>
          <w:sz w:val="24"/>
          <w:szCs w:val="24"/>
        </w:rPr>
        <w:t xml:space="preserve"> </w:t>
      </w:r>
      <w:r>
        <w:rPr>
          <w:color w:val="3E3E3E"/>
          <w:spacing w:val="-1"/>
          <w:sz w:val="24"/>
          <w:szCs w:val="24"/>
        </w:rPr>
        <w:t>检查控制气管有无变形或松脱，检查高压软管有无变形、生锈或老化；</w:t>
      </w:r>
    </w:p>
    <w:p>
      <w:pPr>
        <w:pStyle w:val="16"/>
        <w:spacing w:before="284" w:line="219" w:lineRule="auto"/>
        <w:ind w:left="506"/>
        <w:rPr>
          <w:sz w:val="24"/>
          <w:szCs w:val="24"/>
        </w:rPr>
      </w:pPr>
      <w:r>
        <w:rPr>
          <w:color w:val="3E3E3E"/>
          <w:spacing w:val="-1"/>
          <w:sz w:val="24"/>
          <w:szCs w:val="24"/>
        </w:rPr>
        <w:t>2.9.8</w:t>
      </w:r>
      <w:r>
        <w:rPr>
          <w:color w:val="3E3E3E"/>
          <w:spacing w:val="-40"/>
          <w:sz w:val="24"/>
          <w:szCs w:val="24"/>
        </w:rPr>
        <w:t xml:space="preserve"> </w:t>
      </w:r>
      <w:r>
        <w:rPr>
          <w:color w:val="3E3E3E"/>
          <w:spacing w:val="-1"/>
          <w:sz w:val="24"/>
          <w:szCs w:val="24"/>
        </w:rPr>
        <w:t>查气体保护区域（防护区）内的围护结构、开口等是否符合要求。</w:t>
      </w:r>
    </w:p>
    <w:p>
      <w:pPr>
        <w:pStyle w:val="16"/>
        <w:spacing w:before="284" w:line="219" w:lineRule="auto"/>
        <w:ind w:left="507"/>
        <w:rPr>
          <w:sz w:val="24"/>
          <w:szCs w:val="24"/>
        </w:rPr>
      </w:pPr>
      <w:r>
        <w:rPr>
          <w:spacing w:val="-2"/>
          <w:sz w:val="24"/>
          <w:szCs w:val="24"/>
        </w:rPr>
        <w:t>二、售后服务要求</w:t>
      </w:r>
    </w:p>
    <w:p>
      <w:pPr>
        <w:pStyle w:val="16"/>
        <w:spacing w:before="183" w:line="219" w:lineRule="auto"/>
        <w:ind w:left="521"/>
        <w:rPr>
          <w:sz w:val="24"/>
          <w:szCs w:val="24"/>
        </w:rPr>
      </w:pPr>
      <w:r>
        <w:rPr>
          <w:spacing w:val="-1"/>
          <w:sz w:val="24"/>
          <w:szCs w:val="24"/>
        </w:rPr>
        <w:t>1、投标方应对提供的服务做出承诺，并具有切实可行的服务措施；</w:t>
      </w:r>
    </w:p>
    <w:p>
      <w:pPr>
        <w:pStyle w:val="16"/>
        <w:spacing w:before="183" w:line="313" w:lineRule="auto"/>
        <w:ind w:left="24" w:right="20" w:firstLine="481"/>
        <w:rPr>
          <w:sz w:val="24"/>
          <w:szCs w:val="24"/>
        </w:rPr>
      </w:pPr>
      <w:r>
        <w:rPr>
          <w:spacing w:val="1"/>
          <w:sz w:val="24"/>
          <w:szCs w:val="24"/>
        </w:rPr>
        <w:t>2、投标方在伊犁范围内应有常设或指派的法定售后服务机构，售后服务人员应</w:t>
      </w:r>
      <w:r>
        <w:rPr>
          <w:spacing w:val="9"/>
          <w:sz w:val="24"/>
          <w:szCs w:val="24"/>
        </w:rPr>
        <w:t xml:space="preserve"> </w:t>
      </w:r>
      <w:r>
        <w:rPr>
          <w:spacing w:val="-2"/>
          <w:sz w:val="24"/>
          <w:szCs w:val="24"/>
        </w:rPr>
        <w:t>是服务方派出的具有一定专业技术和服务水平的人员，并具有服务方的法人授权委托</w:t>
      </w:r>
      <w:r>
        <w:rPr>
          <w:spacing w:val="2"/>
          <w:sz w:val="24"/>
          <w:szCs w:val="24"/>
        </w:rPr>
        <w:t xml:space="preserve"> </w:t>
      </w:r>
      <w:r>
        <w:rPr>
          <w:spacing w:val="-1"/>
          <w:sz w:val="24"/>
          <w:szCs w:val="24"/>
        </w:rPr>
        <w:t>和有关主管部门的资质证书。</w:t>
      </w:r>
    </w:p>
    <w:p>
      <w:pPr>
        <w:pStyle w:val="16"/>
        <w:spacing w:before="184" w:line="351" w:lineRule="auto"/>
        <w:ind w:left="23" w:right="15" w:firstLine="484"/>
        <w:jc w:val="both"/>
        <w:rPr>
          <w:sz w:val="24"/>
          <w:szCs w:val="24"/>
        </w:rPr>
      </w:pPr>
      <w:r>
        <w:rPr>
          <w:spacing w:val="-2"/>
          <w:sz w:val="24"/>
          <w:szCs w:val="24"/>
        </w:rPr>
        <w:t>3.投标方在接到用户服务要求，应立即响</w:t>
      </w:r>
      <w:r>
        <w:rPr>
          <w:spacing w:val="-3"/>
          <w:sz w:val="24"/>
          <w:szCs w:val="24"/>
        </w:rPr>
        <w:t>应，专业人员必须在</w:t>
      </w:r>
      <w:r>
        <w:rPr>
          <w:spacing w:val="-52"/>
          <w:sz w:val="24"/>
          <w:szCs w:val="24"/>
        </w:rPr>
        <w:t xml:space="preserve"> </w:t>
      </w:r>
      <w:r>
        <w:rPr>
          <w:spacing w:val="-3"/>
          <w:sz w:val="24"/>
          <w:szCs w:val="24"/>
        </w:rPr>
        <w:t>24</w:t>
      </w:r>
      <w:r>
        <w:rPr>
          <w:spacing w:val="-47"/>
          <w:sz w:val="24"/>
          <w:szCs w:val="24"/>
        </w:rPr>
        <w:t xml:space="preserve"> </w:t>
      </w:r>
      <w:r>
        <w:rPr>
          <w:spacing w:val="-3"/>
          <w:sz w:val="24"/>
          <w:szCs w:val="24"/>
        </w:rPr>
        <w:t>小时内响应(包</w:t>
      </w:r>
      <w:r>
        <w:rPr>
          <w:sz w:val="24"/>
          <w:szCs w:val="24"/>
        </w:rPr>
        <w:t xml:space="preserve"> </w:t>
      </w:r>
      <w:r>
        <w:rPr>
          <w:spacing w:val="-7"/>
          <w:sz w:val="24"/>
          <w:szCs w:val="24"/>
        </w:rPr>
        <w:t>括节假日)；提供维护期内全年</w:t>
      </w:r>
      <w:r>
        <w:rPr>
          <w:spacing w:val="-49"/>
          <w:sz w:val="24"/>
          <w:szCs w:val="24"/>
        </w:rPr>
        <w:t xml:space="preserve"> </w:t>
      </w:r>
      <w:r>
        <w:rPr>
          <w:spacing w:val="-7"/>
          <w:sz w:val="24"/>
          <w:szCs w:val="24"/>
        </w:rPr>
        <w:t>7</w:t>
      </w:r>
      <w:r>
        <w:rPr>
          <w:spacing w:val="-49"/>
          <w:sz w:val="24"/>
          <w:szCs w:val="24"/>
        </w:rPr>
        <w:t xml:space="preserve"> </w:t>
      </w:r>
      <w:r>
        <w:rPr>
          <w:spacing w:val="-7"/>
          <w:sz w:val="24"/>
          <w:szCs w:val="24"/>
        </w:rPr>
        <w:t>天×24</w:t>
      </w:r>
      <w:r>
        <w:rPr>
          <w:spacing w:val="-46"/>
          <w:sz w:val="24"/>
          <w:szCs w:val="24"/>
        </w:rPr>
        <w:t xml:space="preserve"> </w:t>
      </w:r>
      <w:r>
        <w:rPr>
          <w:spacing w:val="-7"/>
          <w:sz w:val="24"/>
          <w:szCs w:val="24"/>
        </w:rPr>
        <w:t>小时电话及网络即时响应</w:t>
      </w:r>
      <w:r>
        <w:rPr>
          <w:spacing w:val="-8"/>
          <w:sz w:val="24"/>
          <w:szCs w:val="24"/>
        </w:rPr>
        <w:t>服务，对现场服务要</w:t>
      </w:r>
      <w:r>
        <w:rPr>
          <w:sz w:val="24"/>
          <w:szCs w:val="24"/>
        </w:rPr>
        <w:t xml:space="preserve"> </w:t>
      </w:r>
      <w:r>
        <w:rPr>
          <w:spacing w:val="-6"/>
          <w:sz w:val="24"/>
          <w:szCs w:val="24"/>
        </w:rPr>
        <w:t>求应于</w:t>
      </w:r>
      <w:r>
        <w:rPr>
          <w:spacing w:val="-38"/>
          <w:sz w:val="24"/>
          <w:szCs w:val="24"/>
        </w:rPr>
        <w:t xml:space="preserve"> </w:t>
      </w:r>
      <w:r>
        <w:rPr>
          <w:spacing w:val="-6"/>
          <w:sz w:val="24"/>
          <w:szCs w:val="24"/>
        </w:rPr>
        <w:t>1</w:t>
      </w:r>
      <w:r>
        <w:rPr>
          <w:spacing w:val="-49"/>
          <w:sz w:val="24"/>
          <w:szCs w:val="24"/>
        </w:rPr>
        <w:t xml:space="preserve"> </w:t>
      </w:r>
      <w:r>
        <w:rPr>
          <w:spacing w:val="-6"/>
          <w:sz w:val="24"/>
          <w:szCs w:val="24"/>
        </w:rPr>
        <w:t>小时内到达现场实施技术服务。</w:t>
      </w:r>
    </w:p>
    <w:p>
      <w:pPr>
        <w:pStyle w:val="16"/>
        <w:spacing w:before="35" w:line="220" w:lineRule="auto"/>
        <w:ind w:left="503"/>
        <w:rPr>
          <w:sz w:val="24"/>
          <w:szCs w:val="24"/>
        </w:rPr>
      </w:pPr>
      <w:r>
        <w:rPr>
          <w:spacing w:val="-2"/>
          <w:sz w:val="24"/>
          <w:szCs w:val="24"/>
        </w:rPr>
        <w:t>三、其他要求</w:t>
      </w:r>
    </w:p>
    <w:p>
      <w:pPr>
        <w:pStyle w:val="16"/>
        <w:spacing w:before="219" w:line="228" w:lineRule="auto"/>
        <w:ind w:left="31"/>
        <w:rPr>
          <w:sz w:val="24"/>
          <w:szCs w:val="24"/>
          <w:highlight w:val="none"/>
        </w:rPr>
      </w:pPr>
      <w:r>
        <w:rPr>
          <w:spacing w:val="-1"/>
          <w:sz w:val="31"/>
          <w:szCs w:val="31"/>
          <w:highlight w:val="none"/>
        </w:rPr>
        <w:t>★</w:t>
      </w:r>
      <w:r>
        <w:rPr>
          <w:spacing w:val="-1"/>
          <w:sz w:val="24"/>
          <w:szCs w:val="24"/>
          <w:highlight w:val="none"/>
        </w:rPr>
        <w:t>1.在设施设备维修保养中，零配件单价低于</w:t>
      </w:r>
      <w:r>
        <w:rPr>
          <w:rFonts w:hint="eastAsia"/>
          <w:spacing w:val="-1"/>
          <w:sz w:val="24"/>
          <w:szCs w:val="24"/>
          <w:highlight w:val="none"/>
          <w:lang w:val="en-US" w:eastAsia="zh-CN"/>
        </w:rPr>
        <w:t>1000</w:t>
      </w:r>
      <w:r>
        <w:rPr>
          <w:spacing w:val="-1"/>
          <w:sz w:val="24"/>
          <w:szCs w:val="24"/>
          <w:highlight w:val="none"/>
        </w:rPr>
        <w:t>元由维保公司自行承担。</w:t>
      </w:r>
    </w:p>
    <w:p>
      <w:pPr>
        <w:pStyle w:val="16"/>
        <w:spacing w:before="204" w:line="219" w:lineRule="auto"/>
        <w:ind w:left="526"/>
        <w:rPr>
          <w:sz w:val="24"/>
          <w:szCs w:val="24"/>
        </w:rPr>
      </w:pPr>
      <w:r>
        <w:rPr>
          <w:color w:val="3E3E3E"/>
          <w:spacing w:val="-3"/>
          <w:sz w:val="24"/>
          <w:szCs w:val="24"/>
        </w:rPr>
        <w:t>四、建筑消防设施单项检查内容</w:t>
      </w:r>
    </w:p>
    <w:p>
      <w:pPr>
        <w:spacing w:line="219" w:lineRule="auto"/>
        <w:rPr>
          <w:sz w:val="24"/>
          <w:szCs w:val="24"/>
        </w:rPr>
        <w:sectPr>
          <w:footerReference r:id="rId15" w:type="default"/>
          <w:pgSz w:w="11906" w:h="16839"/>
          <w:pgMar w:top="400" w:right="1265" w:bottom="1170" w:left="1785" w:header="0" w:footer="956" w:gutter="0"/>
          <w:pgNumType w:fmt="decimal"/>
          <w:cols w:space="720" w:num="1"/>
        </w:sectPr>
      </w:pPr>
    </w:p>
    <w:tbl>
      <w:tblPr>
        <w:tblStyle w:val="92"/>
        <w:tblW w:w="903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20"/>
        <w:gridCol w:w="2358"/>
        <w:gridCol w:w="4149"/>
        <w:gridCol w:w="1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429" w:type="dxa"/>
            <w:gridSpan w:val="3"/>
            <w:tcBorders>
              <w:top w:val="single" w:color="000000" w:sz="6" w:space="0"/>
              <w:left w:val="single" w:color="000000" w:sz="6" w:space="0"/>
            </w:tcBorders>
            <w:vAlign w:val="top"/>
          </w:tcPr>
          <w:p>
            <w:pPr>
              <w:pStyle w:val="91"/>
              <w:spacing w:before="244" w:line="219" w:lineRule="auto"/>
              <w:ind w:left="591"/>
            </w:pPr>
            <w:r>
              <w:rPr>
                <w:color w:val="3E3E3E"/>
                <w:spacing w:val="-3"/>
              </w:rPr>
              <w:t>检测项目</w:t>
            </w:r>
          </w:p>
        </w:tc>
        <w:tc>
          <w:tcPr>
            <w:tcW w:w="4149" w:type="dxa"/>
            <w:tcBorders>
              <w:top w:val="single" w:color="000000" w:sz="6" w:space="0"/>
            </w:tcBorders>
            <w:vAlign w:val="top"/>
          </w:tcPr>
          <w:p>
            <w:pPr>
              <w:pStyle w:val="91"/>
              <w:spacing w:before="244" w:line="219" w:lineRule="auto"/>
              <w:ind w:left="592"/>
            </w:pPr>
            <w:r>
              <w:rPr>
                <w:color w:val="3E3E3E"/>
                <w:spacing w:val="-3"/>
              </w:rPr>
              <w:t>检测内容</w:t>
            </w:r>
          </w:p>
        </w:tc>
        <w:tc>
          <w:tcPr>
            <w:tcW w:w="1460" w:type="dxa"/>
            <w:tcBorders>
              <w:top w:val="single" w:color="000000" w:sz="6" w:space="0"/>
              <w:right w:val="single" w:color="000000" w:sz="6" w:space="0"/>
            </w:tcBorders>
            <w:vAlign w:val="top"/>
          </w:tcPr>
          <w:p>
            <w:pPr>
              <w:pStyle w:val="91"/>
              <w:spacing w:before="42" w:line="220" w:lineRule="auto"/>
              <w:ind w:left="126"/>
            </w:pPr>
            <w:r>
              <w:rPr>
                <w:color w:val="3E3E3E"/>
                <w:spacing w:val="-4"/>
              </w:rPr>
              <w:t>实测记录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71" w:type="dxa"/>
            <w:gridSpan w:val="2"/>
            <w:vMerge w:val="restart"/>
            <w:tcBorders>
              <w:left w:val="single" w:color="000000" w:sz="6" w:space="0"/>
              <w:bottom w:val="nil"/>
            </w:tcBorders>
            <w:vAlign w:val="top"/>
          </w:tcPr>
          <w:p>
            <w:pPr>
              <w:spacing w:line="358" w:lineRule="auto"/>
              <w:jc w:val="center"/>
              <w:rPr>
                <w:rFonts w:ascii="Arial"/>
                <w:sz w:val="21"/>
              </w:rPr>
            </w:pPr>
          </w:p>
          <w:p>
            <w:pPr>
              <w:pStyle w:val="91"/>
              <w:spacing w:before="78" w:line="231" w:lineRule="auto"/>
              <w:ind w:left="139" w:right="111" w:hanging="23"/>
              <w:jc w:val="center"/>
            </w:pPr>
            <w:r>
              <w:rPr>
                <w:color w:val="3E3E3E"/>
                <w:spacing w:val="37"/>
              </w:rPr>
              <w:t>消防供</w:t>
            </w:r>
            <w:r>
              <w:rPr>
                <w:color w:val="3E3E3E"/>
                <w:spacing w:val="1"/>
              </w:rPr>
              <w:t xml:space="preserve"> </w:t>
            </w:r>
            <w:r>
              <w:rPr>
                <w:color w:val="3E3E3E"/>
                <w:spacing w:val="-16"/>
              </w:rPr>
              <w:t>电</w:t>
            </w:r>
            <w:r>
              <w:rPr>
                <w:color w:val="3E3E3E"/>
                <w:spacing w:val="9"/>
              </w:rPr>
              <w:t xml:space="preserve"> </w:t>
            </w:r>
            <w:r>
              <w:rPr>
                <w:color w:val="3E3E3E"/>
                <w:spacing w:val="-16"/>
              </w:rPr>
              <w:t>配电</w:t>
            </w:r>
          </w:p>
        </w:tc>
        <w:tc>
          <w:tcPr>
            <w:tcW w:w="2358" w:type="dxa"/>
            <w:vAlign w:val="top"/>
          </w:tcPr>
          <w:p>
            <w:pPr>
              <w:pStyle w:val="91"/>
              <w:spacing w:before="166" w:line="220" w:lineRule="auto"/>
              <w:ind w:left="113"/>
            </w:pPr>
            <w:r>
              <w:rPr>
                <w:color w:val="3E3E3E"/>
                <w:spacing w:val="-4"/>
              </w:rPr>
              <w:t>消防配电</w:t>
            </w:r>
          </w:p>
        </w:tc>
        <w:tc>
          <w:tcPr>
            <w:tcW w:w="4149" w:type="dxa"/>
            <w:vAlign w:val="top"/>
          </w:tcPr>
          <w:p>
            <w:pPr>
              <w:pStyle w:val="91"/>
              <w:spacing w:before="166" w:line="220" w:lineRule="auto"/>
              <w:ind w:left="112"/>
            </w:pPr>
            <w:r>
              <w:rPr>
                <w:color w:val="3E3E3E"/>
                <w:spacing w:val="-1"/>
              </w:rPr>
              <w:t>试验主、备电切换功能</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107" w:line="219" w:lineRule="auto"/>
              <w:ind w:left="148"/>
            </w:pPr>
            <w:r>
              <w:rPr>
                <w:color w:val="3E3E3E"/>
                <w:spacing w:val="-9"/>
              </w:rPr>
              <w:t>自备发电机组</w:t>
            </w:r>
          </w:p>
        </w:tc>
        <w:tc>
          <w:tcPr>
            <w:tcW w:w="4149" w:type="dxa"/>
            <w:vAlign w:val="top"/>
          </w:tcPr>
          <w:p>
            <w:pPr>
              <w:pStyle w:val="91"/>
              <w:spacing w:before="107" w:line="219" w:lineRule="auto"/>
              <w:ind w:left="112"/>
            </w:pPr>
            <w:r>
              <w:rPr>
                <w:color w:val="3E3E3E"/>
                <w:spacing w:val="-2"/>
              </w:rPr>
              <w:t>试验启动发电机组</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bottom w:val="single" w:color="000000" w:sz="6" w:space="0"/>
            </w:tcBorders>
            <w:vAlign w:val="top"/>
          </w:tcPr>
          <w:p>
            <w:pPr>
              <w:pStyle w:val="91"/>
              <w:spacing w:before="73" w:line="220" w:lineRule="auto"/>
              <w:ind w:left="108"/>
            </w:pPr>
            <w:r>
              <w:rPr>
                <w:color w:val="3E3E3E"/>
                <w:spacing w:val="-3"/>
              </w:rPr>
              <w:t>储油设施</w:t>
            </w:r>
          </w:p>
        </w:tc>
        <w:tc>
          <w:tcPr>
            <w:tcW w:w="4149" w:type="dxa"/>
            <w:tcBorders>
              <w:bottom w:val="single" w:color="000000" w:sz="6" w:space="0"/>
            </w:tcBorders>
            <w:vAlign w:val="top"/>
          </w:tcPr>
          <w:p>
            <w:pPr>
              <w:pStyle w:val="91"/>
              <w:spacing w:before="73" w:line="220" w:lineRule="auto"/>
              <w:ind w:left="115"/>
            </w:pPr>
            <w:r>
              <w:rPr>
                <w:color w:val="3E3E3E"/>
                <w:spacing w:val="-3"/>
              </w:rPr>
              <w:t>核对储油量</w:t>
            </w:r>
          </w:p>
        </w:tc>
        <w:tc>
          <w:tcPr>
            <w:tcW w:w="14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1" w:type="dxa"/>
            <w:gridSpan w:val="2"/>
            <w:vMerge w:val="restart"/>
            <w:tcBorders>
              <w:left w:val="single" w:color="000000" w:sz="6" w:space="0"/>
              <w:bottom w:val="nil"/>
            </w:tcBorders>
            <w:vAlign w:val="top"/>
          </w:tcPr>
          <w:p>
            <w:pPr>
              <w:spacing w:line="280" w:lineRule="auto"/>
              <w:jc w:val="center"/>
              <w:rPr>
                <w:rFonts w:ascii="Arial"/>
                <w:sz w:val="21"/>
              </w:rPr>
            </w:pPr>
          </w:p>
          <w:p>
            <w:pPr>
              <w:spacing w:line="281" w:lineRule="auto"/>
              <w:jc w:val="center"/>
              <w:rPr>
                <w:rFonts w:ascii="Arial"/>
                <w:sz w:val="21"/>
              </w:rPr>
            </w:pPr>
          </w:p>
          <w:p>
            <w:pPr>
              <w:spacing w:line="281" w:lineRule="auto"/>
              <w:jc w:val="center"/>
              <w:rPr>
                <w:rFonts w:ascii="Arial"/>
                <w:sz w:val="21"/>
              </w:rPr>
            </w:pPr>
          </w:p>
          <w:p>
            <w:pPr>
              <w:spacing w:line="281" w:lineRule="auto"/>
              <w:jc w:val="center"/>
              <w:rPr>
                <w:rFonts w:ascii="Arial"/>
                <w:sz w:val="21"/>
              </w:rPr>
            </w:pPr>
          </w:p>
          <w:p>
            <w:pPr>
              <w:spacing w:line="281" w:lineRule="auto"/>
              <w:jc w:val="center"/>
              <w:rPr>
                <w:rFonts w:ascii="Arial"/>
                <w:sz w:val="21"/>
              </w:rPr>
            </w:pPr>
          </w:p>
          <w:p>
            <w:pPr>
              <w:pStyle w:val="91"/>
              <w:spacing w:before="78" w:line="230" w:lineRule="auto"/>
              <w:ind w:left="114" w:right="111" w:hanging="1"/>
              <w:jc w:val="center"/>
            </w:pPr>
            <w:r>
              <w:rPr>
                <w:color w:val="3E3E3E"/>
                <w:spacing w:val="38"/>
              </w:rPr>
              <w:t>火灾报</w:t>
            </w:r>
            <w:r>
              <w:rPr>
                <w:color w:val="3E3E3E"/>
              </w:rPr>
              <w:t xml:space="preserve"> </w:t>
            </w:r>
            <w:r>
              <w:rPr>
                <w:color w:val="3E3E3E"/>
                <w:spacing w:val="-7"/>
              </w:rPr>
              <w:t>警统</w:t>
            </w:r>
          </w:p>
        </w:tc>
        <w:tc>
          <w:tcPr>
            <w:tcW w:w="2358" w:type="dxa"/>
            <w:tcBorders>
              <w:top w:val="single" w:color="000000" w:sz="6" w:space="0"/>
            </w:tcBorders>
            <w:vAlign w:val="top"/>
          </w:tcPr>
          <w:p>
            <w:pPr>
              <w:pStyle w:val="91"/>
              <w:spacing w:before="116" w:line="219" w:lineRule="auto"/>
              <w:ind w:left="111"/>
            </w:pPr>
            <w:r>
              <w:rPr>
                <w:color w:val="3E3E3E"/>
                <w:spacing w:val="-2"/>
              </w:rPr>
              <w:t>火灾报警探测器</w:t>
            </w:r>
          </w:p>
        </w:tc>
        <w:tc>
          <w:tcPr>
            <w:tcW w:w="4149" w:type="dxa"/>
            <w:tcBorders>
              <w:top w:val="single" w:color="000000" w:sz="6" w:space="0"/>
            </w:tcBorders>
            <w:vAlign w:val="top"/>
          </w:tcPr>
          <w:p>
            <w:pPr>
              <w:pStyle w:val="91"/>
              <w:spacing w:before="116" w:line="219" w:lineRule="auto"/>
              <w:ind w:left="112"/>
            </w:pPr>
            <w:r>
              <w:rPr>
                <w:color w:val="3E3E3E"/>
                <w:spacing w:val="-2"/>
              </w:rPr>
              <w:t>试验报警功能</w:t>
            </w:r>
          </w:p>
        </w:tc>
        <w:tc>
          <w:tcPr>
            <w:tcW w:w="1460"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235" w:line="219" w:lineRule="auto"/>
              <w:ind w:left="109"/>
            </w:pPr>
            <w:r>
              <w:rPr>
                <w:color w:val="3E3E3E"/>
                <w:spacing w:val="-2"/>
              </w:rPr>
              <w:t>手动报警按钮</w:t>
            </w:r>
          </w:p>
        </w:tc>
        <w:tc>
          <w:tcPr>
            <w:tcW w:w="4149" w:type="dxa"/>
            <w:vAlign w:val="top"/>
          </w:tcPr>
          <w:p>
            <w:pPr>
              <w:pStyle w:val="91"/>
              <w:spacing w:before="235" w:line="219" w:lineRule="auto"/>
              <w:ind w:left="112"/>
            </w:pPr>
            <w:r>
              <w:rPr>
                <w:color w:val="3E3E3E"/>
                <w:spacing w:val="-2"/>
              </w:rPr>
              <w:t>试验报警功能</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237" w:line="219" w:lineRule="auto"/>
              <w:ind w:left="112"/>
            </w:pPr>
            <w:r>
              <w:rPr>
                <w:color w:val="3E3E3E"/>
                <w:spacing w:val="-4"/>
              </w:rPr>
              <w:t>警报装置</w:t>
            </w:r>
          </w:p>
        </w:tc>
        <w:tc>
          <w:tcPr>
            <w:tcW w:w="4149" w:type="dxa"/>
            <w:vAlign w:val="top"/>
          </w:tcPr>
          <w:p>
            <w:pPr>
              <w:pStyle w:val="91"/>
              <w:spacing w:before="237" w:line="219" w:lineRule="auto"/>
              <w:ind w:left="112"/>
            </w:pPr>
            <w:r>
              <w:rPr>
                <w:color w:val="3E3E3E"/>
                <w:spacing w:val="-2"/>
              </w:rPr>
              <w:t>试验警报功能</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spacing w:line="455" w:lineRule="auto"/>
              <w:rPr>
                <w:rFonts w:ascii="Arial"/>
                <w:sz w:val="21"/>
              </w:rPr>
            </w:pPr>
          </w:p>
          <w:p>
            <w:pPr>
              <w:pStyle w:val="91"/>
              <w:spacing w:before="78" w:line="219" w:lineRule="auto"/>
              <w:ind w:left="107"/>
            </w:pPr>
            <w:r>
              <w:rPr>
                <w:color w:val="3E3E3E"/>
                <w:spacing w:val="-2"/>
              </w:rPr>
              <w:t>报警控制器</w:t>
            </w:r>
          </w:p>
        </w:tc>
        <w:tc>
          <w:tcPr>
            <w:tcW w:w="4149" w:type="dxa"/>
            <w:vAlign w:val="top"/>
          </w:tcPr>
          <w:p>
            <w:pPr>
              <w:pStyle w:val="91"/>
              <w:spacing w:before="221" w:line="234" w:lineRule="auto"/>
              <w:ind w:left="111" w:right="200"/>
              <w:jc w:val="both"/>
            </w:pPr>
            <w:r>
              <w:rPr>
                <w:color w:val="3E3E3E"/>
                <w:spacing w:val="-1"/>
              </w:rPr>
              <w:t>试验报警功能、故障报警功能、火警</w:t>
            </w:r>
            <w:r>
              <w:rPr>
                <w:color w:val="3E3E3E"/>
                <w:spacing w:val="5"/>
              </w:rPr>
              <w:t xml:space="preserve"> </w:t>
            </w:r>
            <w:r>
              <w:rPr>
                <w:color w:val="3E3E3E"/>
                <w:spacing w:val="-1"/>
              </w:rPr>
              <w:t>优先功能、打印机打印功能、火灾显</w:t>
            </w:r>
            <w:r>
              <w:rPr>
                <w:color w:val="3E3E3E"/>
                <w:spacing w:val="6"/>
              </w:rPr>
              <w:t xml:space="preserve"> </w:t>
            </w:r>
            <w:r>
              <w:rPr>
                <w:color w:val="3E3E3E"/>
                <w:spacing w:val="-1"/>
              </w:rPr>
              <w:t>示盘和CRT显示器的显示功能</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bottom w:val="single" w:color="000000" w:sz="6" w:space="0"/>
            </w:tcBorders>
            <w:vAlign w:val="top"/>
          </w:tcPr>
          <w:p>
            <w:pPr>
              <w:pStyle w:val="91"/>
              <w:spacing w:before="39" w:line="207" w:lineRule="auto"/>
              <w:ind w:left="110"/>
            </w:pPr>
            <w:r>
              <w:rPr>
                <w:color w:val="3E3E3E"/>
                <w:spacing w:val="-2"/>
              </w:rPr>
              <w:t>联动控制设备</w:t>
            </w:r>
          </w:p>
        </w:tc>
        <w:tc>
          <w:tcPr>
            <w:tcW w:w="4149" w:type="dxa"/>
            <w:tcBorders>
              <w:bottom w:val="single" w:color="000000" w:sz="6" w:space="0"/>
            </w:tcBorders>
            <w:vAlign w:val="top"/>
          </w:tcPr>
          <w:p>
            <w:pPr>
              <w:pStyle w:val="91"/>
              <w:spacing w:before="39" w:line="207" w:lineRule="auto"/>
              <w:ind w:left="112"/>
            </w:pPr>
            <w:r>
              <w:rPr>
                <w:color w:val="3E3E3E"/>
                <w:spacing w:val="-1"/>
              </w:rPr>
              <w:t>试验联动控制和显示功能</w:t>
            </w:r>
          </w:p>
        </w:tc>
        <w:tc>
          <w:tcPr>
            <w:tcW w:w="14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71" w:type="dxa"/>
            <w:gridSpan w:val="2"/>
            <w:vMerge w:val="restart"/>
            <w:tcBorders>
              <w:left w:val="single" w:color="000000" w:sz="6" w:space="0"/>
              <w:bottom w:val="nil"/>
            </w:tcBorders>
            <w:vAlign w:val="top"/>
          </w:tcPr>
          <w:p>
            <w:pPr>
              <w:spacing w:line="282" w:lineRule="auto"/>
              <w:jc w:val="center"/>
              <w:rPr>
                <w:rFonts w:ascii="Arial"/>
                <w:sz w:val="21"/>
              </w:rPr>
            </w:pPr>
          </w:p>
          <w:p>
            <w:pPr>
              <w:spacing w:line="282" w:lineRule="auto"/>
              <w:jc w:val="center"/>
              <w:rPr>
                <w:rFonts w:ascii="Arial"/>
                <w:sz w:val="21"/>
              </w:rPr>
            </w:pPr>
          </w:p>
          <w:p>
            <w:pPr>
              <w:spacing w:line="282" w:lineRule="auto"/>
              <w:jc w:val="center"/>
              <w:rPr>
                <w:rFonts w:ascii="Arial"/>
                <w:sz w:val="21"/>
              </w:rPr>
            </w:pPr>
          </w:p>
          <w:p>
            <w:pPr>
              <w:spacing w:line="283" w:lineRule="auto"/>
              <w:jc w:val="center"/>
              <w:rPr>
                <w:rFonts w:ascii="Arial"/>
                <w:sz w:val="21"/>
              </w:rPr>
            </w:pPr>
          </w:p>
          <w:p>
            <w:pPr>
              <w:pStyle w:val="91"/>
              <w:spacing w:before="78" w:line="230" w:lineRule="auto"/>
              <w:ind w:left="114" w:right="111" w:firstLine="1"/>
              <w:jc w:val="center"/>
            </w:pPr>
            <w:r>
              <w:rPr>
                <w:color w:val="3E3E3E"/>
                <w:spacing w:val="37"/>
              </w:rPr>
              <w:t>消防供</w:t>
            </w:r>
            <w:r>
              <w:rPr>
                <w:color w:val="3E3E3E"/>
                <w:spacing w:val="1"/>
              </w:rPr>
              <w:t xml:space="preserve"> </w:t>
            </w:r>
            <w:r>
              <w:rPr>
                <w:color w:val="3E3E3E"/>
              </w:rPr>
              <w:t>水</w:t>
            </w:r>
          </w:p>
        </w:tc>
        <w:tc>
          <w:tcPr>
            <w:tcW w:w="2358" w:type="dxa"/>
            <w:tcBorders>
              <w:top w:val="single" w:color="000000" w:sz="6" w:space="0"/>
            </w:tcBorders>
            <w:vAlign w:val="top"/>
          </w:tcPr>
          <w:p>
            <w:pPr>
              <w:pStyle w:val="91"/>
              <w:spacing w:before="239" w:line="219" w:lineRule="auto"/>
              <w:ind w:left="113"/>
            </w:pPr>
            <w:r>
              <w:rPr>
                <w:color w:val="3E3E3E"/>
                <w:spacing w:val="-4"/>
              </w:rPr>
              <w:t>消防水池</w:t>
            </w:r>
          </w:p>
        </w:tc>
        <w:tc>
          <w:tcPr>
            <w:tcW w:w="4149" w:type="dxa"/>
            <w:tcBorders>
              <w:top w:val="single" w:color="000000" w:sz="6" w:space="0"/>
            </w:tcBorders>
            <w:vAlign w:val="top"/>
          </w:tcPr>
          <w:p>
            <w:pPr>
              <w:pStyle w:val="91"/>
              <w:spacing w:before="239" w:line="219" w:lineRule="auto"/>
              <w:ind w:left="115"/>
            </w:pPr>
            <w:r>
              <w:rPr>
                <w:color w:val="3E3E3E"/>
                <w:spacing w:val="-3"/>
              </w:rPr>
              <w:t>核对储水量</w:t>
            </w:r>
          </w:p>
        </w:tc>
        <w:tc>
          <w:tcPr>
            <w:tcW w:w="1460"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239" w:line="219" w:lineRule="auto"/>
              <w:ind w:left="113"/>
            </w:pPr>
            <w:r>
              <w:rPr>
                <w:color w:val="3E3E3E"/>
                <w:spacing w:val="-4"/>
              </w:rPr>
              <w:t>消防水箱</w:t>
            </w:r>
          </w:p>
        </w:tc>
        <w:tc>
          <w:tcPr>
            <w:tcW w:w="4149" w:type="dxa"/>
            <w:vAlign w:val="top"/>
          </w:tcPr>
          <w:p>
            <w:pPr>
              <w:pStyle w:val="91"/>
              <w:spacing w:before="239" w:line="219" w:lineRule="auto"/>
              <w:ind w:left="115"/>
            </w:pPr>
            <w:r>
              <w:rPr>
                <w:color w:val="3E3E3E"/>
                <w:spacing w:val="-3"/>
              </w:rPr>
              <w:t>核对储水量</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68" w:line="230" w:lineRule="auto"/>
              <w:ind w:left="111" w:right="107" w:hanging="1"/>
            </w:pPr>
            <w:r>
              <w:rPr>
                <w:color w:val="3E3E3E"/>
                <w:spacing w:val="14"/>
              </w:rPr>
              <w:t>稳</w:t>
            </w:r>
            <w:r>
              <w:rPr>
                <w:color w:val="3E3E3E"/>
                <w:spacing w:val="-32"/>
              </w:rPr>
              <w:t xml:space="preserve"> </w:t>
            </w:r>
            <w:r>
              <w:rPr>
                <w:color w:val="3E3E3E"/>
                <w:spacing w:val="14"/>
              </w:rPr>
              <w:t>(增)压泵及气压</w:t>
            </w:r>
            <w:r>
              <w:rPr>
                <w:color w:val="3E3E3E"/>
              </w:rPr>
              <w:t xml:space="preserve"> </w:t>
            </w:r>
            <w:r>
              <w:rPr>
                <w:color w:val="3E3E3E"/>
                <w:spacing w:val="-7"/>
              </w:rPr>
              <w:t>水罐</w:t>
            </w:r>
          </w:p>
        </w:tc>
        <w:tc>
          <w:tcPr>
            <w:tcW w:w="4149" w:type="dxa"/>
            <w:vAlign w:val="top"/>
          </w:tcPr>
          <w:p>
            <w:pPr>
              <w:pStyle w:val="91"/>
              <w:spacing w:before="225" w:line="219" w:lineRule="auto"/>
              <w:ind w:left="112"/>
            </w:pPr>
            <w:r>
              <w:rPr>
                <w:color w:val="3E3E3E"/>
                <w:spacing w:val="-1"/>
              </w:rPr>
              <w:t>试验启泵、停泵时的压力工况</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98" w:line="219" w:lineRule="auto"/>
              <w:ind w:left="113"/>
            </w:pPr>
            <w:r>
              <w:rPr>
                <w:color w:val="3E3E3E"/>
                <w:spacing w:val="-4"/>
              </w:rPr>
              <w:t>消防水泵</w:t>
            </w:r>
          </w:p>
        </w:tc>
        <w:tc>
          <w:tcPr>
            <w:tcW w:w="4149" w:type="dxa"/>
            <w:vAlign w:val="top"/>
          </w:tcPr>
          <w:p>
            <w:pPr>
              <w:pStyle w:val="91"/>
              <w:spacing w:before="98" w:line="219" w:lineRule="auto"/>
              <w:ind w:left="112"/>
            </w:pPr>
            <w:r>
              <w:rPr>
                <w:color w:val="3E3E3E"/>
                <w:spacing w:val="-1"/>
              </w:rPr>
              <w:t>试验启泵和主、备泵切换功能</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bottom w:val="single" w:color="000000" w:sz="6" w:space="0"/>
            </w:tcBorders>
            <w:vAlign w:val="top"/>
          </w:tcPr>
          <w:p>
            <w:pPr>
              <w:pStyle w:val="91"/>
              <w:spacing w:before="98" w:line="219" w:lineRule="auto"/>
              <w:ind w:left="112"/>
            </w:pPr>
            <w:r>
              <w:rPr>
                <w:color w:val="3E3E3E"/>
                <w:spacing w:val="-3"/>
              </w:rPr>
              <w:t>水泵接合器</w:t>
            </w:r>
          </w:p>
        </w:tc>
        <w:tc>
          <w:tcPr>
            <w:tcW w:w="4149" w:type="dxa"/>
            <w:tcBorders>
              <w:bottom w:val="single" w:color="000000" w:sz="6" w:space="0"/>
            </w:tcBorders>
            <w:vAlign w:val="top"/>
          </w:tcPr>
          <w:p>
            <w:pPr>
              <w:pStyle w:val="91"/>
              <w:spacing w:before="97" w:line="219" w:lineRule="auto"/>
              <w:ind w:left="112"/>
            </w:pPr>
            <w:r>
              <w:rPr>
                <w:color w:val="3E3E3E"/>
                <w:spacing w:val="-2"/>
              </w:rPr>
              <w:t>试验消防车供水功能</w:t>
            </w:r>
          </w:p>
        </w:tc>
        <w:tc>
          <w:tcPr>
            <w:tcW w:w="14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71" w:type="dxa"/>
            <w:gridSpan w:val="2"/>
            <w:vMerge w:val="restart"/>
            <w:tcBorders>
              <w:left w:val="single" w:color="000000" w:sz="6" w:space="0"/>
              <w:bottom w:val="nil"/>
            </w:tcBorders>
            <w:vAlign w:val="top"/>
          </w:tcPr>
          <w:p>
            <w:pPr>
              <w:spacing w:line="289" w:lineRule="auto"/>
              <w:jc w:val="center"/>
              <w:rPr>
                <w:rFonts w:ascii="Arial"/>
                <w:sz w:val="21"/>
              </w:rPr>
            </w:pPr>
          </w:p>
          <w:p>
            <w:pPr>
              <w:pStyle w:val="91"/>
              <w:spacing w:before="78" w:line="230" w:lineRule="auto"/>
              <w:ind w:left="116" w:right="111"/>
              <w:jc w:val="center"/>
            </w:pPr>
            <w:r>
              <w:rPr>
                <w:color w:val="3E3E3E"/>
                <w:spacing w:val="37"/>
              </w:rPr>
              <w:t>消火栓</w:t>
            </w:r>
            <w:r>
              <w:rPr>
                <w:color w:val="3E3E3E"/>
                <w:spacing w:val="1"/>
              </w:rPr>
              <w:t xml:space="preserve"> </w:t>
            </w:r>
            <w:r>
              <w:rPr>
                <w:color w:val="3E3E3E"/>
                <w:spacing w:val="-5"/>
              </w:rPr>
              <w:t>消防炮</w:t>
            </w:r>
          </w:p>
        </w:tc>
        <w:tc>
          <w:tcPr>
            <w:tcW w:w="2358" w:type="dxa"/>
            <w:tcBorders>
              <w:top w:val="single" w:color="000000" w:sz="6" w:space="0"/>
            </w:tcBorders>
            <w:vAlign w:val="top"/>
          </w:tcPr>
          <w:p>
            <w:pPr>
              <w:pStyle w:val="91"/>
              <w:spacing w:before="39" w:line="202" w:lineRule="auto"/>
              <w:ind w:left="112"/>
            </w:pPr>
            <w:r>
              <w:rPr>
                <w:color w:val="3E3E3E"/>
                <w:spacing w:val="-3"/>
              </w:rPr>
              <w:t>室内消火栓</w:t>
            </w:r>
          </w:p>
        </w:tc>
        <w:tc>
          <w:tcPr>
            <w:tcW w:w="4149" w:type="dxa"/>
            <w:tcBorders>
              <w:top w:val="single" w:color="000000" w:sz="6" w:space="0"/>
            </w:tcBorders>
            <w:vAlign w:val="top"/>
          </w:tcPr>
          <w:p>
            <w:pPr>
              <w:pStyle w:val="91"/>
              <w:spacing w:before="39" w:line="202" w:lineRule="auto"/>
              <w:ind w:left="112"/>
            </w:pPr>
            <w:r>
              <w:rPr>
                <w:color w:val="3E3E3E"/>
                <w:spacing w:val="-1"/>
              </w:rPr>
              <w:t>试验屋顶消火栓出水及静压</w:t>
            </w:r>
          </w:p>
        </w:tc>
        <w:tc>
          <w:tcPr>
            <w:tcW w:w="1460"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44" w:line="202" w:lineRule="auto"/>
              <w:ind w:left="112"/>
            </w:pPr>
            <w:r>
              <w:rPr>
                <w:color w:val="3E3E3E"/>
                <w:spacing w:val="-3"/>
              </w:rPr>
              <w:t>室外消火栓</w:t>
            </w:r>
          </w:p>
        </w:tc>
        <w:tc>
          <w:tcPr>
            <w:tcW w:w="4149" w:type="dxa"/>
            <w:vAlign w:val="top"/>
          </w:tcPr>
          <w:p>
            <w:pPr>
              <w:pStyle w:val="91"/>
              <w:spacing w:before="44" w:line="202" w:lineRule="auto"/>
              <w:ind w:left="112"/>
            </w:pPr>
            <w:r>
              <w:rPr>
                <w:color w:val="3E3E3E"/>
                <w:spacing w:val="-1"/>
              </w:rPr>
              <w:t>试验室外消火栓出水及静压</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47" w:line="200" w:lineRule="auto"/>
              <w:ind w:left="113"/>
            </w:pPr>
            <w:r>
              <w:rPr>
                <w:color w:val="3E3E3E"/>
                <w:spacing w:val="-5"/>
              </w:rPr>
              <w:t>消防炮</w:t>
            </w:r>
          </w:p>
        </w:tc>
        <w:tc>
          <w:tcPr>
            <w:tcW w:w="4149" w:type="dxa"/>
            <w:vAlign w:val="top"/>
          </w:tcPr>
          <w:p>
            <w:pPr>
              <w:pStyle w:val="91"/>
              <w:spacing w:before="47" w:line="200" w:lineRule="auto"/>
              <w:ind w:left="112"/>
            </w:pPr>
            <w:r>
              <w:rPr>
                <w:color w:val="3E3E3E"/>
                <w:spacing w:val="-2"/>
              </w:rPr>
              <w:t>试验消防炮出水</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bottom w:val="single" w:color="000000" w:sz="6" w:space="0"/>
            </w:tcBorders>
            <w:vAlign w:val="top"/>
          </w:tcPr>
          <w:p>
            <w:pPr>
              <w:pStyle w:val="91"/>
              <w:spacing w:before="46" w:line="203" w:lineRule="auto"/>
              <w:ind w:left="113"/>
            </w:pPr>
            <w:r>
              <w:rPr>
                <w:color w:val="3E3E3E"/>
                <w:spacing w:val="-4"/>
              </w:rPr>
              <w:t>启泵按钮</w:t>
            </w:r>
          </w:p>
        </w:tc>
        <w:tc>
          <w:tcPr>
            <w:tcW w:w="4149" w:type="dxa"/>
            <w:tcBorders>
              <w:bottom w:val="single" w:color="000000" w:sz="6" w:space="0"/>
            </w:tcBorders>
            <w:vAlign w:val="top"/>
          </w:tcPr>
          <w:p>
            <w:pPr>
              <w:pStyle w:val="91"/>
              <w:spacing w:before="46" w:line="203" w:lineRule="auto"/>
              <w:ind w:left="112"/>
            </w:pPr>
            <w:r>
              <w:rPr>
                <w:color w:val="3E3E3E"/>
                <w:spacing w:val="-2"/>
              </w:rPr>
              <w:t>试验远距离启泵功能</w:t>
            </w:r>
          </w:p>
        </w:tc>
        <w:tc>
          <w:tcPr>
            <w:tcW w:w="14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71" w:type="dxa"/>
            <w:gridSpan w:val="2"/>
            <w:vMerge w:val="restart"/>
            <w:tcBorders>
              <w:left w:val="single" w:color="000000" w:sz="6" w:space="0"/>
              <w:bottom w:val="nil"/>
            </w:tcBorders>
            <w:vAlign w:val="top"/>
          </w:tcPr>
          <w:p>
            <w:pPr>
              <w:pStyle w:val="91"/>
              <w:spacing w:before="207" w:line="230" w:lineRule="auto"/>
              <w:ind w:left="114" w:right="111" w:firstLine="36"/>
              <w:jc w:val="center"/>
            </w:pPr>
            <w:r>
              <w:rPr>
                <w:color w:val="3E3E3E"/>
                <w:spacing w:val="26"/>
              </w:rPr>
              <w:t>自动喷</w:t>
            </w:r>
            <w:r>
              <w:rPr>
                <w:color w:val="3E3E3E"/>
              </w:rPr>
              <w:t xml:space="preserve"> </w:t>
            </w:r>
            <w:r>
              <w:rPr>
                <w:color w:val="3E3E3E"/>
                <w:spacing w:val="-5"/>
              </w:rPr>
              <w:t>水系统</w:t>
            </w:r>
          </w:p>
        </w:tc>
        <w:tc>
          <w:tcPr>
            <w:tcW w:w="2358" w:type="dxa"/>
            <w:tcBorders>
              <w:top w:val="single" w:color="000000" w:sz="6" w:space="0"/>
            </w:tcBorders>
            <w:vAlign w:val="top"/>
          </w:tcPr>
          <w:p>
            <w:pPr>
              <w:pStyle w:val="91"/>
              <w:spacing w:before="42" w:line="200" w:lineRule="auto"/>
              <w:ind w:left="107"/>
            </w:pPr>
            <w:r>
              <w:rPr>
                <w:color w:val="3E3E3E"/>
                <w:spacing w:val="-2"/>
              </w:rPr>
              <w:t>报警阀组</w:t>
            </w:r>
          </w:p>
        </w:tc>
        <w:tc>
          <w:tcPr>
            <w:tcW w:w="4149" w:type="dxa"/>
            <w:tcBorders>
              <w:top w:val="single" w:color="000000" w:sz="6" w:space="0"/>
            </w:tcBorders>
            <w:vAlign w:val="top"/>
          </w:tcPr>
          <w:p>
            <w:pPr>
              <w:pStyle w:val="91"/>
              <w:spacing w:before="42" w:line="200" w:lineRule="auto"/>
              <w:ind w:left="112"/>
            </w:pPr>
            <w:r>
              <w:rPr>
                <w:color w:val="3E3E3E"/>
                <w:spacing w:val="-1"/>
              </w:rPr>
              <w:t>试验放水阀放水及压力开关动作信号</w:t>
            </w:r>
          </w:p>
        </w:tc>
        <w:tc>
          <w:tcPr>
            <w:tcW w:w="1460"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gridSpan w:val="2"/>
            <w:vMerge w:val="continue"/>
            <w:tcBorders>
              <w:top w:val="nil"/>
              <w:left w:val="single" w:color="000000" w:sz="6" w:space="0"/>
              <w:bottom w:val="nil"/>
            </w:tcBorders>
            <w:vAlign w:val="top"/>
          </w:tcPr>
          <w:p>
            <w:pPr>
              <w:jc w:val="center"/>
              <w:rPr>
                <w:rFonts w:ascii="Arial"/>
                <w:sz w:val="21"/>
              </w:rPr>
            </w:pPr>
          </w:p>
        </w:tc>
        <w:tc>
          <w:tcPr>
            <w:tcW w:w="2358" w:type="dxa"/>
            <w:vAlign w:val="top"/>
          </w:tcPr>
          <w:p>
            <w:pPr>
              <w:pStyle w:val="91"/>
              <w:spacing w:before="47" w:line="200" w:lineRule="auto"/>
              <w:ind w:left="109"/>
            </w:pPr>
            <w:r>
              <w:rPr>
                <w:color w:val="3E3E3E"/>
                <w:spacing w:val="-2"/>
              </w:rPr>
              <w:t>末端试水装置</w:t>
            </w:r>
          </w:p>
        </w:tc>
        <w:tc>
          <w:tcPr>
            <w:tcW w:w="4149" w:type="dxa"/>
            <w:vAlign w:val="top"/>
          </w:tcPr>
          <w:p>
            <w:pPr>
              <w:pStyle w:val="91"/>
              <w:spacing w:before="47" w:line="200" w:lineRule="auto"/>
              <w:ind w:left="112"/>
            </w:pPr>
            <w:r>
              <w:rPr>
                <w:color w:val="3E3E3E"/>
                <w:spacing w:val="-1"/>
              </w:rPr>
              <w:t>试验末端放水及压力开关动作信号</w:t>
            </w:r>
          </w:p>
        </w:tc>
        <w:tc>
          <w:tcPr>
            <w:tcW w:w="146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bottom w:val="single" w:color="000000" w:sz="6" w:space="0"/>
            </w:tcBorders>
            <w:vAlign w:val="top"/>
          </w:tcPr>
          <w:p>
            <w:pPr>
              <w:pStyle w:val="91"/>
              <w:spacing w:before="46" w:line="202" w:lineRule="auto"/>
              <w:ind w:left="112"/>
            </w:pPr>
            <w:r>
              <w:rPr>
                <w:color w:val="3E3E3E"/>
                <w:spacing w:val="-3"/>
              </w:rPr>
              <w:t>水流指示器</w:t>
            </w:r>
          </w:p>
        </w:tc>
        <w:tc>
          <w:tcPr>
            <w:tcW w:w="4149" w:type="dxa"/>
            <w:tcBorders>
              <w:bottom w:val="single" w:color="000000" w:sz="6" w:space="0"/>
            </w:tcBorders>
            <w:vAlign w:val="top"/>
          </w:tcPr>
          <w:p>
            <w:pPr>
              <w:pStyle w:val="91"/>
              <w:spacing w:before="46" w:line="202" w:lineRule="auto"/>
              <w:ind w:left="115"/>
            </w:pPr>
            <w:r>
              <w:rPr>
                <w:color w:val="3E3E3E"/>
                <w:spacing w:val="-3"/>
              </w:rPr>
              <w:t>核对反馈信号</w:t>
            </w:r>
          </w:p>
        </w:tc>
        <w:tc>
          <w:tcPr>
            <w:tcW w:w="1460" w:type="dxa"/>
            <w:tcBorders>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gridSpan w:val="2"/>
            <w:vMerge w:val="restart"/>
            <w:tcBorders>
              <w:left w:val="single" w:color="000000" w:sz="6" w:space="0"/>
              <w:bottom w:val="nil"/>
            </w:tcBorders>
            <w:vAlign w:val="top"/>
          </w:tcPr>
          <w:p>
            <w:pPr>
              <w:pStyle w:val="91"/>
              <w:spacing w:before="47" w:line="226" w:lineRule="auto"/>
              <w:ind w:left="112" w:right="111" w:hanging="1"/>
              <w:jc w:val="center"/>
            </w:pPr>
            <w:r>
              <w:rPr>
                <w:color w:val="3E3E3E"/>
                <w:spacing w:val="39"/>
              </w:rPr>
              <w:t>机械加</w:t>
            </w:r>
            <w:r>
              <w:rPr>
                <w:color w:val="3E3E3E"/>
              </w:rPr>
              <w:t xml:space="preserve"> </w:t>
            </w:r>
            <w:r>
              <w:rPr>
                <w:color w:val="3E3E3E"/>
                <w:spacing w:val="38"/>
              </w:rPr>
              <w:t>压送风</w:t>
            </w:r>
            <w:r>
              <w:rPr>
                <w:color w:val="3E3E3E"/>
                <w:spacing w:val="1"/>
              </w:rPr>
              <w:t xml:space="preserve"> </w:t>
            </w:r>
            <w:r>
              <w:rPr>
                <w:color w:val="3E3E3E"/>
                <w:spacing w:val="-6"/>
              </w:rPr>
              <w:t>系统</w:t>
            </w:r>
          </w:p>
        </w:tc>
        <w:tc>
          <w:tcPr>
            <w:tcW w:w="2358" w:type="dxa"/>
            <w:tcBorders>
              <w:top w:val="single" w:color="000000" w:sz="6" w:space="0"/>
              <w:bottom w:val="single" w:color="000000" w:sz="6" w:space="0"/>
            </w:tcBorders>
            <w:vAlign w:val="top"/>
          </w:tcPr>
          <w:p>
            <w:pPr>
              <w:pStyle w:val="91"/>
              <w:spacing w:before="45" w:line="201" w:lineRule="auto"/>
              <w:ind w:left="110"/>
            </w:pPr>
            <w:r>
              <w:rPr>
                <w:color w:val="3E3E3E"/>
                <w:spacing w:val="-6"/>
              </w:rPr>
              <w:t>风机</w:t>
            </w:r>
          </w:p>
        </w:tc>
        <w:tc>
          <w:tcPr>
            <w:tcW w:w="4149" w:type="dxa"/>
            <w:tcBorders>
              <w:top w:val="single" w:color="000000" w:sz="6" w:space="0"/>
              <w:bottom w:val="single" w:color="000000" w:sz="6" w:space="0"/>
            </w:tcBorders>
            <w:vAlign w:val="top"/>
          </w:tcPr>
          <w:p>
            <w:pPr>
              <w:pStyle w:val="91"/>
              <w:spacing w:before="45" w:line="201" w:lineRule="auto"/>
              <w:ind w:left="112"/>
            </w:pPr>
            <w:r>
              <w:rPr>
                <w:color w:val="3E3E3E"/>
                <w:spacing w:val="-2"/>
              </w:rPr>
              <w:t>试验联动启动风机</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71" w:type="dxa"/>
            <w:gridSpan w:val="2"/>
            <w:vMerge w:val="continue"/>
            <w:tcBorders>
              <w:top w:val="nil"/>
              <w:left w:val="single" w:color="000000" w:sz="6" w:space="0"/>
            </w:tcBorders>
            <w:vAlign w:val="top"/>
          </w:tcPr>
          <w:p>
            <w:pPr>
              <w:jc w:val="center"/>
              <w:rPr>
                <w:rFonts w:ascii="Arial"/>
                <w:sz w:val="21"/>
              </w:rPr>
            </w:pPr>
          </w:p>
        </w:tc>
        <w:tc>
          <w:tcPr>
            <w:tcW w:w="2358" w:type="dxa"/>
            <w:tcBorders>
              <w:top w:val="single" w:color="000000" w:sz="6" w:space="0"/>
              <w:bottom w:val="single" w:color="000000" w:sz="6" w:space="0"/>
            </w:tcBorders>
            <w:vAlign w:val="top"/>
          </w:tcPr>
          <w:p>
            <w:pPr>
              <w:pStyle w:val="91"/>
              <w:spacing w:before="191" w:line="220" w:lineRule="auto"/>
              <w:ind w:left="107"/>
            </w:pPr>
            <w:r>
              <w:rPr>
                <w:color w:val="3E3E3E"/>
                <w:spacing w:val="-3"/>
              </w:rPr>
              <w:t>送风口</w:t>
            </w:r>
          </w:p>
        </w:tc>
        <w:tc>
          <w:tcPr>
            <w:tcW w:w="4149" w:type="dxa"/>
            <w:tcBorders>
              <w:top w:val="single" w:color="000000" w:sz="6" w:space="0"/>
              <w:bottom w:val="single" w:color="000000" w:sz="6" w:space="0"/>
            </w:tcBorders>
            <w:vAlign w:val="top"/>
          </w:tcPr>
          <w:p>
            <w:pPr>
              <w:pStyle w:val="91"/>
              <w:spacing w:before="191" w:line="220" w:lineRule="auto"/>
              <w:ind w:left="115"/>
            </w:pPr>
            <w:r>
              <w:rPr>
                <w:color w:val="3E3E3E"/>
                <w:spacing w:val="-2"/>
              </w:rPr>
              <w:t>核对送风口风速</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1" w:type="dxa"/>
            <w:gridSpan w:val="2"/>
            <w:vMerge w:val="restart"/>
            <w:tcBorders>
              <w:left w:val="single" w:color="000000" w:sz="6" w:space="0"/>
              <w:bottom w:val="nil"/>
            </w:tcBorders>
            <w:vAlign w:val="top"/>
          </w:tcPr>
          <w:p>
            <w:pPr>
              <w:pStyle w:val="91"/>
              <w:spacing w:before="214" w:line="230" w:lineRule="auto"/>
              <w:ind w:left="112" w:right="111" w:hanging="1"/>
              <w:jc w:val="center"/>
            </w:pPr>
            <w:r>
              <w:rPr>
                <w:color w:val="3E3E3E"/>
                <w:spacing w:val="39"/>
              </w:rPr>
              <w:t>机械排</w:t>
            </w:r>
            <w:r>
              <w:rPr>
                <w:color w:val="3E3E3E"/>
              </w:rPr>
              <w:t xml:space="preserve"> </w:t>
            </w:r>
            <w:r>
              <w:rPr>
                <w:color w:val="3E3E3E"/>
                <w:spacing w:val="-4"/>
              </w:rPr>
              <w:t>烟系统</w:t>
            </w:r>
          </w:p>
        </w:tc>
        <w:tc>
          <w:tcPr>
            <w:tcW w:w="2358" w:type="dxa"/>
            <w:tcBorders>
              <w:top w:val="single" w:color="000000" w:sz="6" w:space="0"/>
              <w:bottom w:val="single" w:color="000000" w:sz="6" w:space="0"/>
            </w:tcBorders>
            <w:vAlign w:val="top"/>
          </w:tcPr>
          <w:p>
            <w:pPr>
              <w:pStyle w:val="91"/>
              <w:spacing w:before="47" w:line="200" w:lineRule="auto"/>
              <w:ind w:left="110"/>
            </w:pPr>
            <w:r>
              <w:rPr>
                <w:color w:val="3E3E3E"/>
                <w:spacing w:val="-6"/>
              </w:rPr>
              <w:t>风机</w:t>
            </w:r>
          </w:p>
        </w:tc>
        <w:tc>
          <w:tcPr>
            <w:tcW w:w="4149" w:type="dxa"/>
            <w:tcBorders>
              <w:top w:val="single" w:color="000000" w:sz="6" w:space="0"/>
              <w:bottom w:val="single" w:color="000000" w:sz="6" w:space="0"/>
            </w:tcBorders>
            <w:vAlign w:val="top"/>
          </w:tcPr>
          <w:p>
            <w:pPr>
              <w:pStyle w:val="91"/>
              <w:spacing w:before="47" w:line="200" w:lineRule="auto"/>
              <w:ind w:left="112"/>
            </w:pPr>
            <w:r>
              <w:rPr>
                <w:color w:val="3E3E3E"/>
                <w:spacing w:val="-2"/>
              </w:rPr>
              <w:t>试验联动启动风机</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71" w:type="dxa"/>
            <w:gridSpan w:val="2"/>
            <w:vMerge w:val="continue"/>
            <w:tcBorders>
              <w:top w:val="nil"/>
              <w:left w:val="single" w:color="000000" w:sz="6" w:space="0"/>
              <w:bottom w:val="single" w:color="000000" w:sz="6" w:space="0"/>
            </w:tcBorders>
            <w:vAlign w:val="top"/>
          </w:tcPr>
          <w:p>
            <w:pPr>
              <w:rPr>
                <w:rFonts w:ascii="Arial"/>
                <w:sz w:val="21"/>
              </w:rPr>
            </w:pPr>
          </w:p>
        </w:tc>
        <w:tc>
          <w:tcPr>
            <w:tcW w:w="2358" w:type="dxa"/>
            <w:tcBorders>
              <w:top w:val="single" w:color="000000" w:sz="6" w:space="0"/>
              <w:bottom w:val="single" w:color="000000" w:sz="6" w:space="0"/>
            </w:tcBorders>
            <w:vAlign w:val="top"/>
          </w:tcPr>
          <w:p>
            <w:pPr>
              <w:pStyle w:val="91"/>
              <w:spacing w:before="202" w:line="220" w:lineRule="auto"/>
              <w:ind w:left="109"/>
            </w:pPr>
            <w:r>
              <w:rPr>
                <w:color w:val="3E3E3E"/>
                <w:spacing w:val="-3"/>
              </w:rPr>
              <w:t>排烟阀、电动排烟窗</w:t>
            </w:r>
          </w:p>
        </w:tc>
        <w:tc>
          <w:tcPr>
            <w:tcW w:w="4149" w:type="dxa"/>
            <w:tcBorders>
              <w:top w:val="single" w:color="000000" w:sz="6" w:space="0"/>
              <w:bottom w:val="single" w:color="000000" w:sz="6" w:space="0"/>
            </w:tcBorders>
            <w:vAlign w:val="top"/>
          </w:tcPr>
          <w:p>
            <w:pPr>
              <w:pStyle w:val="91"/>
              <w:spacing w:before="46" w:line="220" w:lineRule="auto"/>
              <w:ind w:left="114" w:right="261" w:hanging="2"/>
            </w:pPr>
            <w:r>
              <w:rPr>
                <w:color w:val="3E3E3E"/>
                <w:spacing w:val="-5"/>
              </w:rPr>
              <w:t>试验联动启动排烟阀、电动排烟窗；</w:t>
            </w:r>
            <w:r>
              <w:rPr>
                <w:color w:val="3E3E3E"/>
                <w:spacing w:val="8"/>
              </w:rPr>
              <w:t xml:space="preserve"> </w:t>
            </w:r>
            <w:r>
              <w:rPr>
                <w:color w:val="3E3E3E"/>
                <w:spacing w:val="-2"/>
              </w:rPr>
              <w:t>核对排烟口风速</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29" w:type="dxa"/>
            <w:gridSpan w:val="3"/>
            <w:tcBorders>
              <w:top w:val="single" w:color="000000" w:sz="6" w:space="0"/>
              <w:left w:val="single" w:color="000000" w:sz="6" w:space="0"/>
              <w:bottom w:val="single" w:color="000000" w:sz="6" w:space="0"/>
            </w:tcBorders>
            <w:vAlign w:val="top"/>
          </w:tcPr>
          <w:p>
            <w:pPr>
              <w:pStyle w:val="91"/>
              <w:spacing w:before="48" w:line="199" w:lineRule="auto"/>
              <w:ind w:left="111"/>
            </w:pPr>
            <w:r>
              <w:rPr>
                <w:color w:val="3E3E3E"/>
                <w:spacing w:val="-3"/>
              </w:rPr>
              <w:t>应急照明</w:t>
            </w:r>
          </w:p>
        </w:tc>
        <w:tc>
          <w:tcPr>
            <w:tcW w:w="4149" w:type="dxa"/>
            <w:tcBorders>
              <w:top w:val="single" w:color="000000" w:sz="6" w:space="0"/>
              <w:bottom w:val="single" w:color="000000" w:sz="6" w:space="0"/>
            </w:tcBorders>
            <w:vAlign w:val="top"/>
          </w:tcPr>
          <w:p>
            <w:pPr>
              <w:pStyle w:val="91"/>
              <w:spacing w:before="48" w:line="199" w:lineRule="auto"/>
              <w:ind w:left="112"/>
            </w:pPr>
            <w:r>
              <w:rPr>
                <w:color w:val="3E3E3E"/>
                <w:spacing w:val="-1"/>
              </w:rPr>
              <w:t>试验切断正常供电，测量照度</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429" w:type="dxa"/>
            <w:gridSpan w:val="3"/>
            <w:tcBorders>
              <w:top w:val="single" w:color="000000" w:sz="6" w:space="0"/>
              <w:left w:val="single" w:color="000000" w:sz="6" w:space="0"/>
              <w:bottom w:val="single" w:color="000000" w:sz="6" w:space="0"/>
            </w:tcBorders>
            <w:vAlign w:val="top"/>
          </w:tcPr>
          <w:p>
            <w:pPr>
              <w:pStyle w:val="91"/>
              <w:spacing w:before="47" w:line="206" w:lineRule="auto"/>
              <w:ind w:left="112"/>
            </w:pPr>
            <w:r>
              <w:rPr>
                <w:color w:val="3E3E3E"/>
                <w:spacing w:val="-2"/>
              </w:rPr>
              <w:t>疏散指示标志</w:t>
            </w:r>
          </w:p>
        </w:tc>
        <w:tc>
          <w:tcPr>
            <w:tcW w:w="4149" w:type="dxa"/>
            <w:tcBorders>
              <w:top w:val="single" w:color="000000" w:sz="6" w:space="0"/>
              <w:bottom w:val="single" w:color="000000" w:sz="6" w:space="0"/>
            </w:tcBorders>
            <w:vAlign w:val="top"/>
          </w:tcPr>
          <w:p>
            <w:pPr>
              <w:pStyle w:val="91"/>
              <w:spacing w:before="47" w:line="206" w:lineRule="auto"/>
              <w:ind w:left="112"/>
            </w:pPr>
            <w:r>
              <w:rPr>
                <w:color w:val="3E3E3E"/>
                <w:spacing w:val="-1"/>
              </w:rPr>
              <w:t>试验切断正常供电，测量照度</w:t>
            </w:r>
          </w:p>
        </w:tc>
        <w:tc>
          <w:tcPr>
            <w:tcW w:w="1460" w:type="dxa"/>
            <w:tcBorders>
              <w:top w:val="single" w:color="000000" w:sz="6" w:space="0"/>
              <w:bottom w:val="single" w:color="000000" w:sz="6" w:space="0"/>
              <w:right w:val="single" w:color="000000" w:sz="6"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051" w:type="dxa"/>
            <w:vMerge w:val="restart"/>
            <w:tcBorders>
              <w:top w:val="nil"/>
              <w:bottom w:val="nil"/>
              <w:right w:val="single" w:color="000000" w:sz="2" w:space="0"/>
            </w:tcBorders>
            <w:vAlign w:val="top"/>
          </w:tcPr>
          <w:p>
            <w:pPr>
              <w:spacing w:line="270" w:lineRule="auto"/>
              <w:rPr>
                <w:rFonts w:ascii="Arial"/>
                <w:sz w:val="21"/>
              </w:rPr>
            </w:pPr>
          </w:p>
          <w:p>
            <w:pPr>
              <w:spacing w:line="270" w:lineRule="auto"/>
              <w:rPr>
                <w:rFonts w:ascii="Arial"/>
                <w:sz w:val="21"/>
              </w:rPr>
            </w:pPr>
          </w:p>
          <w:p>
            <w:pPr>
              <w:pStyle w:val="91"/>
              <w:spacing w:before="78" w:line="234" w:lineRule="auto"/>
              <w:ind w:right="110"/>
              <w:jc w:val="both"/>
            </w:pPr>
            <w:r>
              <w:rPr>
                <w:color w:val="3E3E3E"/>
                <w:spacing w:val="-10"/>
              </w:rPr>
              <w:t>应</w:t>
            </w:r>
            <w:r>
              <w:rPr>
                <w:color w:val="3E3E3E"/>
              </w:rPr>
              <w:t xml:space="preserve">  </w:t>
            </w:r>
            <w:r>
              <w:rPr>
                <w:color w:val="3E3E3E"/>
                <w:spacing w:val="31"/>
              </w:rPr>
              <w:t>急广播</w:t>
            </w:r>
            <w:r>
              <w:rPr>
                <w:color w:val="3E3E3E"/>
              </w:rPr>
              <w:t xml:space="preserve"> </w:t>
            </w:r>
            <w:r>
              <w:rPr>
                <w:color w:val="3E3E3E"/>
                <w:spacing w:val="-8"/>
              </w:rPr>
              <w:t>系统</w:t>
            </w:r>
          </w:p>
        </w:tc>
        <w:tc>
          <w:tcPr>
            <w:tcW w:w="2378" w:type="dxa"/>
            <w:gridSpan w:val="2"/>
            <w:tcBorders>
              <w:top w:val="single" w:color="000000" w:sz="2" w:space="0"/>
              <w:left w:val="single" w:color="000000" w:sz="2" w:space="0"/>
              <w:right w:val="single" w:color="000000" w:sz="2" w:space="0"/>
            </w:tcBorders>
            <w:vAlign w:val="top"/>
          </w:tcPr>
          <w:p>
            <w:pPr>
              <w:pStyle w:val="91"/>
              <w:spacing w:before="51" w:line="211" w:lineRule="auto"/>
              <w:ind w:left="109"/>
            </w:pPr>
            <w:r>
              <w:rPr>
                <w:color w:val="3E3E3E"/>
                <w:spacing w:val="-4"/>
              </w:rPr>
              <w:t>扩音器</w:t>
            </w:r>
          </w:p>
        </w:tc>
        <w:tc>
          <w:tcPr>
            <w:tcW w:w="4149" w:type="dxa"/>
            <w:tcBorders>
              <w:top w:val="single" w:color="000000" w:sz="2" w:space="0"/>
              <w:left w:val="single" w:color="000000" w:sz="2" w:space="0"/>
              <w:right w:val="single" w:color="000000" w:sz="2" w:space="0"/>
            </w:tcBorders>
            <w:vAlign w:val="top"/>
          </w:tcPr>
          <w:p>
            <w:pPr>
              <w:pStyle w:val="91"/>
              <w:spacing w:before="51" w:line="211" w:lineRule="auto"/>
              <w:ind w:left="112"/>
            </w:pPr>
            <w:r>
              <w:rPr>
                <w:color w:val="3E3E3E"/>
                <w:spacing w:val="-1"/>
              </w:rPr>
              <w:t>试验联动启动和强制切换功能</w:t>
            </w:r>
          </w:p>
        </w:tc>
        <w:tc>
          <w:tcPr>
            <w:tcW w:w="1460" w:type="dxa"/>
            <w:tcBorders>
              <w:top w:val="single" w:color="000000" w:sz="2" w:space="0"/>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1051" w:type="dxa"/>
            <w:vMerge w:val="continue"/>
            <w:tcBorders>
              <w:top w:val="nil"/>
              <w:right w:val="single" w:color="000000" w:sz="2" w:space="0"/>
            </w:tcBorders>
            <w:vAlign w:val="top"/>
          </w:tcPr>
          <w:p>
            <w:pPr>
              <w:rPr>
                <w:rFonts w:ascii="Arial"/>
                <w:sz w:val="21"/>
              </w:rPr>
            </w:pPr>
          </w:p>
        </w:tc>
        <w:tc>
          <w:tcPr>
            <w:tcW w:w="2378" w:type="dxa"/>
            <w:gridSpan w:val="2"/>
            <w:tcBorders>
              <w:left w:val="single" w:color="000000" w:sz="2" w:space="0"/>
              <w:righ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91"/>
              <w:spacing w:before="78" w:line="220" w:lineRule="auto"/>
              <w:ind w:left="108"/>
            </w:pPr>
            <w:r>
              <w:rPr>
                <w:color w:val="3E3E3E"/>
                <w:spacing w:val="-3"/>
              </w:rPr>
              <w:t>扬声器</w:t>
            </w:r>
          </w:p>
        </w:tc>
        <w:tc>
          <w:tcPr>
            <w:tcW w:w="4149" w:type="dxa"/>
            <w:tcBorders>
              <w:left w:val="single" w:color="000000" w:sz="2" w:space="0"/>
              <w:righ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91"/>
              <w:spacing w:before="78" w:line="221" w:lineRule="auto"/>
              <w:ind w:left="113"/>
            </w:pPr>
            <w:r>
              <w:rPr>
                <w:color w:val="3E3E3E"/>
                <w:spacing w:val="-3"/>
              </w:rPr>
              <w:t>测试音量</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429" w:type="dxa"/>
            <w:gridSpan w:val="3"/>
            <w:tcBorders>
              <w:right w:val="single" w:color="000000" w:sz="2" w:space="0"/>
            </w:tcBorders>
            <w:vAlign w:val="top"/>
          </w:tcPr>
          <w:p>
            <w:pPr>
              <w:pStyle w:val="91"/>
              <w:spacing w:before="38" w:line="206" w:lineRule="auto"/>
              <w:ind w:left="116"/>
            </w:pPr>
            <w:r>
              <w:rPr>
                <w:color w:val="3E3E3E"/>
                <w:spacing w:val="-3"/>
              </w:rPr>
              <w:t>消防专用电话</w:t>
            </w:r>
          </w:p>
        </w:tc>
        <w:tc>
          <w:tcPr>
            <w:tcW w:w="4149" w:type="dxa"/>
            <w:tcBorders>
              <w:left w:val="single" w:color="000000" w:sz="2" w:space="0"/>
              <w:right w:val="single" w:color="000000" w:sz="2" w:space="0"/>
            </w:tcBorders>
            <w:vAlign w:val="top"/>
          </w:tcPr>
          <w:p>
            <w:pPr>
              <w:pStyle w:val="91"/>
              <w:spacing w:before="38" w:line="206" w:lineRule="auto"/>
              <w:ind w:left="112"/>
            </w:pPr>
            <w:r>
              <w:rPr>
                <w:color w:val="3E3E3E"/>
                <w:spacing w:val="-2"/>
              </w:rPr>
              <w:t>试验通话质量</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051" w:type="dxa"/>
            <w:vMerge w:val="restart"/>
            <w:tcBorders>
              <w:bottom w:val="nil"/>
              <w:right w:val="single" w:color="000000" w:sz="2" w:space="0"/>
            </w:tcBorders>
            <w:vAlign w:val="top"/>
          </w:tcPr>
          <w:p>
            <w:pPr>
              <w:pStyle w:val="91"/>
              <w:spacing w:before="59" w:line="233" w:lineRule="auto"/>
              <w:ind w:right="51"/>
              <w:jc w:val="both"/>
            </w:pPr>
            <w:r>
              <w:rPr>
                <w:color w:val="3E3E3E"/>
                <w:spacing w:val="-25"/>
              </w:rPr>
              <w:t>防</w:t>
            </w:r>
            <w:r>
              <w:rPr>
                <w:color w:val="3E3E3E"/>
              </w:rPr>
              <w:t xml:space="preserve"> </w:t>
            </w:r>
            <w:r>
              <w:rPr>
                <w:color w:val="3E3E3E"/>
                <w:spacing w:val="-12"/>
              </w:rPr>
              <w:t>火</w:t>
            </w:r>
            <w:r>
              <w:rPr>
                <w:color w:val="3E3E3E"/>
                <w:spacing w:val="72"/>
              </w:rPr>
              <w:t xml:space="preserve"> </w:t>
            </w:r>
            <w:r>
              <w:rPr>
                <w:color w:val="3E3E3E"/>
                <w:spacing w:val="-12"/>
              </w:rPr>
              <w:t>分</w:t>
            </w:r>
            <w:r>
              <w:rPr>
                <w:color w:val="3E3E3E"/>
              </w:rPr>
              <w:t xml:space="preserve"> 隔</w:t>
            </w:r>
          </w:p>
        </w:tc>
        <w:tc>
          <w:tcPr>
            <w:tcW w:w="2378" w:type="dxa"/>
            <w:gridSpan w:val="2"/>
            <w:tcBorders>
              <w:left w:val="single" w:color="000000" w:sz="2" w:space="0"/>
              <w:right w:val="single" w:color="000000" w:sz="2" w:space="0"/>
            </w:tcBorders>
            <w:vAlign w:val="top"/>
          </w:tcPr>
          <w:p>
            <w:pPr>
              <w:pStyle w:val="91"/>
              <w:spacing w:before="38" w:line="206" w:lineRule="auto"/>
              <w:ind w:firstLine="222" w:firstLineChars="100"/>
            </w:pPr>
            <w:r>
              <w:rPr>
                <w:color w:val="3E3E3E"/>
                <w:spacing w:val="-9"/>
              </w:rPr>
              <w:t>防火门</w:t>
            </w:r>
          </w:p>
        </w:tc>
        <w:tc>
          <w:tcPr>
            <w:tcW w:w="4149" w:type="dxa"/>
            <w:tcBorders>
              <w:left w:val="single" w:color="000000" w:sz="2" w:space="0"/>
              <w:right w:val="single" w:color="000000" w:sz="2" w:space="0"/>
            </w:tcBorders>
            <w:vAlign w:val="top"/>
          </w:tcPr>
          <w:p>
            <w:pPr>
              <w:pStyle w:val="91"/>
              <w:spacing w:before="38" w:line="206" w:lineRule="auto"/>
              <w:ind w:left="112"/>
            </w:pPr>
            <w:r>
              <w:rPr>
                <w:color w:val="3E3E3E"/>
                <w:spacing w:val="-2"/>
              </w:rPr>
              <w:t>试验启闭功能</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051" w:type="dxa"/>
            <w:vMerge w:val="continue"/>
            <w:tcBorders>
              <w:top w:val="nil"/>
              <w:bottom w:val="nil"/>
              <w:right w:val="single" w:color="000000" w:sz="2" w:space="0"/>
            </w:tcBorders>
            <w:vAlign w:val="top"/>
          </w:tcPr>
          <w:p>
            <w:pPr>
              <w:rPr>
                <w:rFonts w:ascii="Arial"/>
                <w:sz w:val="21"/>
              </w:rPr>
            </w:pPr>
          </w:p>
        </w:tc>
        <w:tc>
          <w:tcPr>
            <w:tcW w:w="2378" w:type="dxa"/>
            <w:gridSpan w:val="2"/>
            <w:tcBorders>
              <w:left w:val="single" w:color="000000" w:sz="2" w:space="0"/>
              <w:right w:val="single" w:color="000000" w:sz="2" w:space="0"/>
            </w:tcBorders>
            <w:vAlign w:val="top"/>
          </w:tcPr>
          <w:p>
            <w:pPr>
              <w:pStyle w:val="91"/>
              <w:spacing w:before="39" w:line="205" w:lineRule="auto"/>
              <w:ind w:left="124"/>
            </w:pPr>
            <w:r>
              <w:rPr>
                <w:color w:val="3E3E3E"/>
                <w:spacing w:val="-7"/>
              </w:rPr>
              <w:t>防火卷帘</w:t>
            </w:r>
          </w:p>
        </w:tc>
        <w:tc>
          <w:tcPr>
            <w:tcW w:w="4149" w:type="dxa"/>
            <w:tcBorders>
              <w:left w:val="single" w:color="000000" w:sz="2" w:space="0"/>
              <w:right w:val="single" w:color="000000" w:sz="2" w:space="0"/>
            </w:tcBorders>
            <w:vAlign w:val="top"/>
          </w:tcPr>
          <w:p>
            <w:pPr>
              <w:pStyle w:val="91"/>
              <w:spacing w:before="39" w:line="205" w:lineRule="auto"/>
              <w:ind w:left="112"/>
            </w:pPr>
            <w:r>
              <w:rPr>
                <w:color w:val="3E3E3E"/>
                <w:spacing w:val="-1"/>
              </w:rPr>
              <w:t>试验手动、机械应急和自动控制功能</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051" w:type="dxa"/>
            <w:vMerge w:val="continue"/>
            <w:tcBorders>
              <w:top w:val="nil"/>
              <w:right w:val="single" w:color="000000" w:sz="2" w:space="0"/>
            </w:tcBorders>
            <w:vAlign w:val="top"/>
          </w:tcPr>
          <w:p>
            <w:pPr>
              <w:rPr>
                <w:rFonts w:ascii="Arial"/>
                <w:sz w:val="21"/>
              </w:rPr>
            </w:pPr>
          </w:p>
        </w:tc>
        <w:tc>
          <w:tcPr>
            <w:tcW w:w="2378" w:type="dxa"/>
            <w:gridSpan w:val="2"/>
            <w:tcBorders>
              <w:left w:val="single" w:color="000000" w:sz="2" w:space="0"/>
              <w:right w:val="single" w:color="000000" w:sz="2" w:space="0"/>
            </w:tcBorders>
            <w:vAlign w:val="top"/>
          </w:tcPr>
          <w:p>
            <w:pPr>
              <w:pStyle w:val="91"/>
              <w:spacing w:before="42" w:line="203" w:lineRule="auto"/>
              <w:ind w:left="137"/>
            </w:pPr>
            <w:r>
              <w:rPr>
                <w:color w:val="3E3E3E"/>
                <w:spacing w:val="-8"/>
              </w:rPr>
              <w:t>电动防火阀</w:t>
            </w:r>
          </w:p>
        </w:tc>
        <w:tc>
          <w:tcPr>
            <w:tcW w:w="4149" w:type="dxa"/>
            <w:tcBorders>
              <w:left w:val="single" w:color="000000" w:sz="2" w:space="0"/>
              <w:right w:val="single" w:color="000000" w:sz="2" w:space="0"/>
            </w:tcBorders>
            <w:vAlign w:val="top"/>
          </w:tcPr>
          <w:p>
            <w:pPr>
              <w:pStyle w:val="91"/>
              <w:spacing w:before="42" w:line="203" w:lineRule="auto"/>
              <w:ind w:left="112"/>
            </w:pPr>
            <w:r>
              <w:rPr>
                <w:color w:val="3E3E3E"/>
                <w:spacing w:val="-2"/>
              </w:rPr>
              <w:t>试验联动关闭功能</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429" w:type="dxa"/>
            <w:gridSpan w:val="3"/>
            <w:tcBorders>
              <w:right w:val="single" w:color="000000" w:sz="2" w:space="0"/>
            </w:tcBorders>
            <w:vAlign w:val="top"/>
          </w:tcPr>
          <w:p>
            <w:pPr>
              <w:pStyle w:val="91"/>
              <w:spacing w:before="42" w:line="203" w:lineRule="auto"/>
              <w:ind w:left="116"/>
            </w:pPr>
            <w:r>
              <w:rPr>
                <w:color w:val="3E3E3E"/>
                <w:spacing w:val="-4"/>
              </w:rPr>
              <w:t>消防电梯</w:t>
            </w:r>
          </w:p>
        </w:tc>
        <w:tc>
          <w:tcPr>
            <w:tcW w:w="4149" w:type="dxa"/>
            <w:tcBorders>
              <w:left w:val="single" w:color="000000" w:sz="2" w:space="0"/>
              <w:right w:val="single" w:color="000000" w:sz="2" w:space="0"/>
            </w:tcBorders>
            <w:vAlign w:val="top"/>
          </w:tcPr>
          <w:p>
            <w:pPr>
              <w:pStyle w:val="91"/>
              <w:spacing w:before="42" w:line="203" w:lineRule="auto"/>
              <w:ind w:left="112"/>
            </w:pPr>
            <w:r>
              <w:rPr>
                <w:color w:val="3E3E3E"/>
                <w:spacing w:val="-1"/>
              </w:rPr>
              <w:t>试验按钮迫降和联动控制功能</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429" w:type="dxa"/>
            <w:gridSpan w:val="3"/>
            <w:tcBorders>
              <w:right w:val="single" w:color="000000" w:sz="2" w:space="0"/>
            </w:tcBorders>
            <w:vAlign w:val="top"/>
          </w:tcPr>
          <w:p>
            <w:pPr>
              <w:pStyle w:val="91"/>
              <w:spacing w:before="42" w:line="203" w:lineRule="auto"/>
              <w:ind w:left="595"/>
            </w:pPr>
            <w:r>
              <w:rPr>
                <w:color w:val="3E3E3E"/>
                <w:spacing w:val="-5"/>
              </w:rPr>
              <w:t>灭火器</w:t>
            </w:r>
          </w:p>
        </w:tc>
        <w:tc>
          <w:tcPr>
            <w:tcW w:w="4149" w:type="dxa"/>
            <w:tcBorders>
              <w:left w:val="single" w:color="000000" w:sz="2" w:space="0"/>
              <w:right w:val="single" w:color="000000" w:sz="2" w:space="0"/>
            </w:tcBorders>
            <w:vAlign w:val="top"/>
          </w:tcPr>
          <w:p>
            <w:pPr>
              <w:pStyle w:val="91"/>
              <w:spacing w:before="42" w:line="203" w:lineRule="auto"/>
              <w:ind w:left="115"/>
            </w:pPr>
            <w:r>
              <w:rPr>
                <w:color w:val="3E3E3E"/>
                <w:spacing w:val="-2"/>
              </w:rPr>
              <w:t>核对选型、压力和有效期</w:t>
            </w:r>
          </w:p>
        </w:tc>
        <w:tc>
          <w:tcPr>
            <w:tcW w:w="1460" w:type="dxa"/>
            <w:tcBorders>
              <w:lef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9038" w:type="dxa"/>
            <w:gridSpan w:val="5"/>
            <w:vAlign w:val="top"/>
          </w:tcPr>
          <w:p>
            <w:pPr>
              <w:pStyle w:val="91"/>
              <w:spacing w:before="243" w:line="221" w:lineRule="auto"/>
              <w:ind w:left="112"/>
            </w:pPr>
            <w:r>
              <w:rPr>
                <w:color w:val="3E3E3E"/>
                <w:spacing w:val="-2"/>
              </w:rPr>
              <w:t>测试人（签名</w:t>
            </w:r>
            <w:r>
              <w:rPr>
                <w:color w:val="3E3E3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9038" w:type="dxa"/>
            <w:gridSpan w:val="5"/>
            <w:vAlign w:val="top"/>
          </w:tcPr>
          <w:p>
            <w:pPr>
              <w:pStyle w:val="91"/>
              <w:spacing w:before="257" w:line="219" w:lineRule="auto"/>
              <w:ind w:left="116"/>
            </w:pPr>
            <w:r>
              <w:rPr>
                <w:color w:val="3E3E3E"/>
                <w:spacing w:val="-1"/>
              </w:rPr>
              <w:t>消防安全责任人或消防安全管理人（签名</w:t>
            </w:r>
            <w:r>
              <w:rPr>
                <w:color w:val="3E3E3E"/>
                <w:spacing w:val="1"/>
              </w:rPr>
              <w:t>）：</w:t>
            </w:r>
          </w:p>
        </w:tc>
      </w:tr>
    </w:tbl>
    <w:p>
      <w:pPr>
        <w:pStyle w:val="2"/>
        <w:rPr>
          <w:rFonts w:hint="eastAsia"/>
          <w:lang w:val="en-US" w:eastAsia="zh-CN"/>
        </w:rPr>
      </w:pPr>
    </w:p>
    <w:p>
      <w:pPr>
        <w:spacing w:line="360" w:lineRule="auto"/>
        <w:jc w:val="center"/>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br w:type="page"/>
      </w:r>
    </w:p>
    <w:p>
      <w:pPr>
        <w:numPr>
          <w:ilvl w:val="0"/>
          <w:numId w:val="60"/>
        </w:numPr>
        <w:jc w:val="center"/>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商务条件</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一、</w:t>
      </w:r>
      <w:r>
        <w:rPr>
          <w:rFonts w:hint="eastAsia" w:ascii="宋体" w:hAnsi="宋体"/>
          <w:b/>
          <w:color w:val="auto"/>
          <w:sz w:val="24"/>
          <w:highlight w:val="none"/>
          <w:lang w:val="en-US" w:eastAsia="zh-CN"/>
        </w:rPr>
        <w:t>服务</w:t>
      </w:r>
      <w:r>
        <w:rPr>
          <w:rFonts w:hint="eastAsia" w:ascii="宋体" w:hAnsi="宋体"/>
          <w:b/>
          <w:color w:val="auto"/>
          <w:sz w:val="24"/>
          <w:highlight w:val="none"/>
        </w:rPr>
        <w:t>期限及地点：</w:t>
      </w:r>
      <w:bookmarkStart w:id="467" w:name="_Toc167714037"/>
      <w:bookmarkStart w:id="468" w:name="_Toc167712839"/>
      <w:bookmarkStart w:id="469" w:name="_Toc167715234"/>
    </w:p>
    <w:p>
      <w:pPr>
        <w:keepNext w:val="0"/>
        <w:keepLines w:val="0"/>
        <w:pageBreakBefore w:val="0"/>
        <w:widowControl w:val="0"/>
        <w:kinsoku/>
        <w:wordWrap/>
        <w:overflowPunct/>
        <w:topLinePunct w:val="0"/>
        <w:autoSpaceDE/>
        <w:autoSpaceDN/>
        <w:bidi w:val="0"/>
        <w:adjustRightInd/>
        <w:snapToGrid/>
        <w:spacing w:line="600" w:lineRule="exact"/>
        <w:ind w:firstLine="492" w:firstLineChars="200"/>
        <w:textAlignment w:val="auto"/>
        <w:rPr>
          <w:rFonts w:hint="eastAsia" w:ascii="宋体" w:hAnsi="宋体" w:eastAsia="宋体" w:cs="宋体"/>
          <w:color w:val="auto"/>
          <w:spacing w:val="3"/>
          <w:sz w:val="24"/>
          <w:highlight w:val="none"/>
          <w:lang w:eastAsia="zh-CN"/>
        </w:rPr>
      </w:pPr>
      <w:r>
        <w:rPr>
          <w:rFonts w:hint="eastAsia" w:ascii="宋体" w:hAnsi="宋体" w:cs="宋体"/>
          <w:color w:val="auto"/>
          <w:spacing w:val="3"/>
          <w:sz w:val="24"/>
          <w:highlight w:val="none"/>
        </w:rPr>
        <w:t>1、</w:t>
      </w:r>
      <w:r>
        <w:rPr>
          <w:rFonts w:hint="eastAsia" w:ascii="宋体" w:hAnsi="宋体" w:cs="宋体"/>
          <w:color w:val="auto"/>
          <w:spacing w:val="3"/>
          <w:sz w:val="24"/>
          <w:highlight w:val="none"/>
          <w:lang w:val="en-US" w:eastAsia="zh-CN"/>
        </w:rPr>
        <w:t>服务</w:t>
      </w:r>
      <w:r>
        <w:rPr>
          <w:rFonts w:hint="eastAsia" w:ascii="宋体" w:hAnsi="宋体" w:cs="宋体"/>
          <w:color w:val="auto"/>
          <w:spacing w:val="3"/>
          <w:sz w:val="24"/>
          <w:highlight w:val="none"/>
        </w:rPr>
        <w:t>期限：</w:t>
      </w:r>
      <w:bookmarkEnd w:id="467"/>
      <w:bookmarkEnd w:id="468"/>
      <w:bookmarkEnd w:id="469"/>
      <w:r>
        <w:rPr>
          <w:rFonts w:hint="eastAsia" w:ascii="宋体" w:hAnsi="宋体" w:cs="宋体"/>
          <w:color w:val="auto"/>
          <w:spacing w:val="3"/>
          <w:sz w:val="24"/>
          <w:highlight w:val="none"/>
          <w:lang w:val="en-US" w:eastAsia="zh-CN"/>
        </w:rPr>
        <w:t>一年</w:t>
      </w:r>
    </w:p>
    <w:p>
      <w:pPr>
        <w:keepNext w:val="0"/>
        <w:keepLines w:val="0"/>
        <w:pageBreakBefore w:val="0"/>
        <w:widowControl w:val="0"/>
        <w:kinsoku/>
        <w:wordWrap/>
        <w:overflowPunct/>
        <w:topLinePunct w:val="0"/>
        <w:autoSpaceDE/>
        <w:autoSpaceDN/>
        <w:bidi w:val="0"/>
        <w:adjustRightInd/>
        <w:snapToGrid/>
        <w:spacing w:line="60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2、地 点：采购人指定</w:t>
      </w:r>
      <w:r>
        <w:rPr>
          <w:rFonts w:hint="eastAsia" w:ascii="宋体" w:hAnsi="宋体" w:cs="宋体"/>
          <w:color w:val="auto"/>
          <w:spacing w:val="3"/>
          <w:sz w:val="24"/>
          <w:highlight w:val="none"/>
          <w:lang w:val="en-US" w:eastAsia="zh-CN"/>
        </w:rPr>
        <w:t>地点</w:t>
      </w:r>
      <w:r>
        <w:rPr>
          <w:rFonts w:hint="eastAsia" w:ascii="宋体" w:hAnsi="宋体" w:cs="宋体"/>
          <w:color w:val="auto"/>
          <w:spacing w:val="3"/>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二、付款方式：</w:t>
      </w:r>
      <w:r>
        <w:rPr>
          <w:rFonts w:hint="eastAsia" w:ascii="宋体" w:hAnsi="宋体" w:eastAsia="宋体" w:cs="Times New Roman"/>
          <w:b w:val="0"/>
          <w:bCs/>
          <w:color w:val="auto"/>
          <w:sz w:val="24"/>
          <w:highlight w:val="none"/>
          <w:lang w:val="en-US" w:eastAsia="zh-CN"/>
        </w:rPr>
        <w:t>以甲乙双方合同约定执行。</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val="0"/>
          <w:bCs w:val="0"/>
          <w:color w:val="auto"/>
          <w:spacing w:val="3"/>
          <w:sz w:val="24"/>
          <w:highlight w:val="none"/>
          <w:lang w:val="en-US" w:eastAsia="zh-CN"/>
        </w:rPr>
      </w:pPr>
      <w:r>
        <w:rPr>
          <w:rFonts w:hint="eastAsia" w:ascii="宋体" w:hAnsi="宋体" w:eastAsia="宋体" w:cs="Times New Roman"/>
          <w:b/>
          <w:color w:val="auto"/>
          <w:sz w:val="24"/>
          <w:highlight w:val="none"/>
          <w:lang w:val="en-US" w:eastAsia="zh-CN"/>
        </w:rPr>
        <w:t>三、投标有效期</w:t>
      </w:r>
      <w:r>
        <w:rPr>
          <w:rFonts w:hint="eastAsia" w:ascii="宋体" w:hAnsi="宋体" w:eastAsia="宋体" w:cs="宋体"/>
          <w:b/>
          <w:bCs/>
          <w:color w:val="auto"/>
          <w:spacing w:val="3"/>
          <w:sz w:val="24"/>
          <w:highlight w:val="none"/>
          <w:lang w:val="en-US" w:eastAsia="zh-CN"/>
        </w:rPr>
        <w:t>：</w:t>
      </w:r>
      <w:r>
        <w:rPr>
          <w:rFonts w:hint="eastAsia" w:ascii="宋体" w:hAnsi="宋体" w:eastAsia="宋体" w:cs="宋体"/>
          <w:b w:val="0"/>
          <w:bCs w:val="0"/>
          <w:color w:val="auto"/>
          <w:spacing w:val="3"/>
          <w:sz w:val="24"/>
          <w:highlight w:val="none"/>
          <w:lang w:val="en-US" w:eastAsia="zh-CN"/>
        </w:rPr>
        <w:t>90日历日（自投标截止时间起开始计算）。</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val="en-US" w:eastAsia="zh-CN"/>
        </w:rPr>
        <w:t>四、</w:t>
      </w:r>
      <w:r>
        <w:rPr>
          <w:rFonts w:hint="eastAsia" w:ascii="宋体" w:hAnsi="宋体" w:eastAsia="宋体" w:cs="Times New Roman"/>
          <w:b/>
          <w:color w:val="auto"/>
          <w:sz w:val="24"/>
          <w:highlight w:val="none"/>
        </w:rPr>
        <w:t>签订合同时间</w:t>
      </w:r>
      <w:r>
        <w:rPr>
          <w:rFonts w:hint="eastAsia" w:ascii="宋体" w:hAnsi="宋体" w:eastAsia="宋体" w:cs="Times New Roman"/>
          <w:b/>
          <w:color w:val="auto"/>
          <w:sz w:val="24"/>
          <w:highlight w:val="none"/>
          <w:lang w:eastAsia="zh-CN"/>
        </w:rPr>
        <w:t>：</w:t>
      </w:r>
      <w:r>
        <w:rPr>
          <w:rFonts w:hint="eastAsia" w:ascii="宋体" w:hAnsi="宋体" w:eastAsia="宋体" w:cs="Times New Roman"/>
          <w:b w:val="0"/>
          <w:bCs/>
          <w:color w:val="auto"/>
          <w:sz w:val="24"/>
          <w:highlight w:val="none"/>
          <w:lang w:eastAsia="zh-CN"/>
        </w:rPr>
        <w:t>中标通知书发出之</w:t>
      </w:r>
      <w:bookmarkStart w:id="508" w:name="_GoBack"/>
      <w:bookmarkEnd w:id="508"/>
      <w:r>
        <w:rPr>
          <w:rFonts w:hint="eastAsia" w:ascii="宋体" w:hAnsi="宋体" w:eastAsia="宋体" w:cs="Times New Roman"/>
          <w:b w:val="0"/>
          <w:bCs/>
          <w:color w:val="auto"/>
          <w:sz w:val="24"/>
          <w:highlight w:val="none"/>
          <w:lang w:eastAsia="zh-CN"/>
        </w:rPr>
        <w:t>日起30日内。</w:t>
      </w:r>
    </w:p>
    <w:p>
      <w:pPr>
        <w:keepNext w:val="0"/>
        <w:keepLines w:val="0"/>
        <w:pageBreakBefore w:val="0"/>
        <w:widowControl w:val="0"/>
        <w:kinsoku/>
        <w:wordWrap/>
        <w:overflowPunct/>
        <w:topLinePunct w:val="0"/>
        <w:autoSpaceDE/>
        <w:autoSpaceDN/>
        <w:bidi w:val="0"/>
        <w:adjustRightInd/>
        <w:snapToGrid/>
        <w:spacing w:line="600" w:lineRule="exact"/>
        <w:ind w:left="961" w:leftChars="228" w:hanging="482" w:hangingChars="200"/>
        <w:textAlignment w:val="auto"/>
        <w:rPr>
          <w:rFonts w:hint="eastAsia" w:ascii="宋体" w:hAnsi="宋体" w:eastAsia="宋体" w:cs="宋体"/>
          <w:color w:val="auto"/>
          <w:spacing w:val="3"/>
          <w:kern w:val="2"/>
          <w:sz w:val="24"/>
          <w:highlight w:val="none"/>
          <w:lang w:val="en-US" w:eastAsia="zh-CN" w:bidi="ar-SA"/>
        </w:rPr>
      </w:pPr>
      <w:r>
        <w:rPr>
          <w:rFonts w:hint="eastAsia" w:ascii="宋体" w:hAnsi="宋体" w:eastAsia="宋体" w:cs="Times New Roman"/>
          <w:b/>
          <w:color w:val="auto"/>
          <w:sz w:val="24"/>
          <w:highlight w:val="none"/>
          <w:lang w:val="en-US" w:eastAsia="zh-CN"/>
        </w:rPr>
        <w:t>五、其他要求：</w:t>
      </w:r>
      <w:r>
        <w:rPr>
          <w:rFonts w:hint="eastAsia" w:ascii="宋体" w:hAnsi="宋体" w:eastAsia="宋体" w:cs="宋体"/>
          <w:color w:val="auto"/>
          <w:spacing w:val="3"/>
          <w:kern w:val="2"/>
          <w:sz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的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Times New Roman"/>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color w:val="auto"/>
          <w:sz w:val="24"/>
          <w:highlight w:val="none"/>
        </w:rPr>
      </w:pPr>
      <w:r>
        <w:rPr>
          <w:rFonts w:hint="eastAsia" w:ascii="宋体" w:hAnsi="宋体" w:eastAsia="宋体" w:cs="Times New Roman"/>
          <w:b/>
          <w:color w:val="auto"/>
          <w:sz w:val="24"/>
          <w:highlight w:val="none"/>
        </w:rPr>
        <w:t>注：1、本项</w:t>
      </w:r>
      <w:r>
        <w:rPr>
          <w:rFonts w:hint="eastAsia" w:ascii="宋体" w:hAnsi="宋体"/>
          <w:b/>
          <w:color w:val="auto"/>
          <w:sz w:val="24"/>
          <w:highlight w:val="none"/>
        </w:rPr>
        <w:t>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pPr>
        <w:pStyle w:val="88"/>
        <w:keepNext w:val="0"/>
        <w:keepLines w:val="0"/>
        <w:pageBreakBefore w:val="0"/>
        <w:widowControl w:val="0"/>
        <w:kinsoku/>
        <w:wordWrap/>
        <w:overflowPunct/>
        <w:topLinePunct w:val="0"/>
        <w:autoSpaceDE/>
        <w:autoSpaceDN/>
        <w:bidi w:val="0"/>
        <w:adjustRightInd/>
        <w:snapToGrid/>
        <w:spacing w:line="500" w:lineRule="exact"/>
        <w:textAlignment w:val="auto"/>
        <w:rPr>
          <w:highlight w:val="none"/>
        </w:rPr>
      </w:pPr>
      <w:r>
        <w:rPr>
          <w:rFonts w:hint="eastAsia" w:ascii="宋体" w:hAnsi="宋体"/>
          <w:b/>
          <w:color w:val="auto"/>
          <w:sz w:val="24"/>
          <w:highlight w:val="none"/>
        </w:rPr>
        <w:t>2、产品中标后</w:t>
      </w:r>
      <w:r>
        <w:rPr>
          <w:rFonts w:hint="eastAsia" w:ascii="宋体" w:hAnsi="宋体"/>
          <w:b/>
          <w:color w:val="auto"/>
          <w:sz w:val="24"/>
          <w:highlight w:val="none"/>
          <w:lang w:val="en-US" w:eastAsia="zh-CN"/>
        </w:rPr>
        <w:t>服务</w:t>
      </w:r>
      <w:r>
        <w:rPr>
          <w:rFonts w:hint="eastAsia" w:ascii="宋体" w:hAnsi="宋体"/>
          <w:b/>
          <w:color w:val="auto"/>
          <w:sz w:val="24"/>
          <w:highlight w:val="none"/>
        </w:rPr>
        <w:t>过程中如果发现有不满足招标要求的、篡改商务条款的，用户可以拒绝付款。</w:t>
      </w:r>
    </w:p>
    <w:p>
      <w:pPr>
        <w:numPr>
          <w:ilvl w:val="0"/>
          <w:numId w:val="60"/>
        </w:numPr>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br w:type="page"/>
      </w:r>
    </w:p>
    <w:p>
      <w:pPr>
        <w:rPr>
          <w:rFonts w:hint="eastAsia" w:ascii="仿宋" w:hAnsi="仿宋" w:eastAsia="仿宋" w:cs="仿宋"/>
          <w:color w:val="auto"/>
          <w:sz w:val="30"/>
          <w:szCs w:val="30"/>
          <w:highlight w:val="none"/>
        </w:rPr>
      </w:pPr>
    </w:p>
    <w:p>
      <w:pPr>
        <w:pStyle w:val="4"/>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第六章   投标文件部分格式</w:t>
      </w:r>
    </w:p>
    <w:p>
      <w:pPr>
        <w:pStyle w:val="41"/>
        <w:rPr>
          <w:rFonts w:hint="eastAsia"/>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70" w:name="_Toc4221_WPSOffice_Level1"/>
      <w:bookmarkStart w:id="471" w:name="_Toc8812_WPSOffice_Level1"/>
      <w:r>
        <w:rPr>
          <w:rFonts w:hint="eastAsia" w:ascii="仿宋" w:hAnsi="仿宋" w:eastAsia="仿宋" w:cs="仿宋"/>
          <w:color w:val="auto"/>
          <w:sz w:val="24"/>
          <w:szCs w:val="24"/>
          <w:highlight w:val="none"/>
        </w:rPr>
        <w:t>正本/副本</w:t>
      </w:r>
      <w:bookmarkEnd w:id="470"/>
      <w:bookmarkEnd w:id="471"/>
    </w:p>
    <w:p>
      <w:pPr>
        <w:spacing w:line="360" w:lineRule="auto"/>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pStyle w:val="25"/>
        <w:spacing w:line="360" w:lineRule="auto"/>
        <w:rPr>
          <w:rFonts w:hint="eastAsia" w:ascii="仿宋" w:hAnsi="仿宋" w:eastAsia="仿宋" w:cs="仿宋"/>
          <w:color w:val="auto"/>
          <w:sz w:val="24"/>
          <w:szCs w:val="24"/>
          <w:highlight w:val="none"/>
        </w:rPr>
      </w:pPr>
    </w:p>
    <w:p>
      <w:pPr>
        <w:pStyle w:val="25"/>
        <w:spacing w:line="360" w:lineRule="auto"/>
        <w:rPr>
          <w:rFonts w:hint="eastAsia" w:ascii="仿宋" w:hAnsi="仿宋" w:eastAsia="仿宋" w:cs="仿宋"/>
          <w:color w:val="auto"/>
          <w:sz w:val="24"/>
          <w:szCs w:val="24"/>
          <w:highlight w:val="none"/>
        </w:rPr>
      </w:pPr>
    </w:p>
    <w:p>
      <w:pPr>
        <w:pStyle w:val="25"/>
        <w:spacing w:line="360" w:lineRule="auto"/>
        <w:rPr>
          <w:rFonts w:hint="eastAsia" w:ascii="仿宋" w:hAnsi="仿宋" w:eastAsia="仿宋" w:cs="仿宋"/>
          <w:color w:val="auto"/>
          <w:sz w:val="24"/>
          <w:szCs w:val="24"/>
          <w:highlight w:val="none"/>
        </w:rPr>
      </w:pPr>
    </w:p>
    <w:p>
      <w:pPr>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（项目名称）                </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pStyle w:val="25"/>
        <w:spacing w:line="360" w:lineRule="auto"/>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pStyle w:val="41"/>
        <w:rPr>
          <w:rFonts w:hint="eastAsia" w:ascii="仿宋" w:hAnsi="仿宋" w:eastAsia="仿宋" w:cs="仿宋"/>
          <w:b/>
          <w:bCs/>
          <w:color w:val="auto"/>
          <w:sz w:val="24"/>
          <w:szCs w:val="24"/>
          <w:highlight w:val="none"/>
        </w:rPr>
      </w:pPr>
    </w:p>
    <w:p>
      <w:pPr>
        <w:spacing w:line="360" w:lineRule="auto"/>
        <w:ind w:firstLine="120" w:firstLineChars="50"/>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投标单位名称（盖章）：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法人或委托代理人（签</w:t>
      </w:r>
      <w:r>
        <w:rPr>
          <w:rFonts w:hint="eastAsia" w:ascii="仿宋" w:hAnsi="仿宋" w:eastAsia="仿宋" w:cs="仿宋"/>
          <w:color w:val="auto"/>
          <w:kern w:val="0"/>
          <w:sz w:val="24"/>
          <w:szCs w:val="24"/>
          <w:highlight w:val="none"/>
          <w:lang w:val="en-US" w:eastAsia="zh-CN"/>
        </w:rPr>
        <w:t>字或盖章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 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  政 编 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Style w:val="25"/>
        <w:rPr>
          <w:rFonts w:hint="eastAsia" w:ascii="仿宋" w:hAnsi="仿宋" w:eastAsia="仿宋" w:cs="仿宋"/>
          <w:color w:val="auto"/>
          <w:spacing w:val="-4"/>
          <w:kern w:val="0"/>
          <w:sz w:val="24"/>
          <w:szCs w:val="24"/>
          <w:highlight w:val="none"/>
        </w:rPr>
      </w:pPr>
    </w:p>
    <w:p>
      <w:pPr>
        <w:pStyle w:val="68"/>
        <w:spacing w:line="360" w:lineRule="auto"/>
        <w:ind w:firstLine="200" w:firstLineChars="83"/>
        <w:jc w:val="center"/>
        <w:rPr>
          <w:rFonts w:hint="eastAsia" w:ascii="仿宋" w:hAnsi="仿宋" w:eastAsia="仿宋" w:cs="仿宋"/>
          <w:b/>
          <w:color w:val="auto"/>
          <w:sz w:val="24"/>
          <w:szCs w:val="24"/>
          <w:highlight w:val="none"/>
        </w:rPr>
      </w:pPr>
    </w:p>
    <w:p>
      <w:pPr>
        <w:pStyle w:val="68"/>
        <w:spacing w:line="360" w:lineRule="auto"/>
        <w:ind w:firstLine="200" w:firstLineChars="83"/>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投标文件目录</w:t>
      </w:r>
    </w:p>
    <w:p>
      <w:pPr>
        <w:pStyle w:val="68"/>
        <w:spacing w:line="480" w:lineRule="auto"/>
        <w:ind w:firstLine="475" w:firstLineChars="19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（1）投标承诺书</w:t>
      </w:r>
    </w:p>
    <w:p>
      <w:pPr>
        <w:pStyle w:val="68"/>
        <w:spacing w:line="480" w:lineRule="auto"/>
        <w:ind w:firstLine="475" w:firstLineChars="19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（2）报价一览表</w:t>
      </w:r>
    </w:p>
    <w:p>
      <w:pPr>
        <w:pStyle w:val="68"/>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eastAsia="zh-CN"/>
        </w:rPr>
        <w:t>报价一览明细表</w:t>
      </w:r>
    </w:p>
    <w:p>
      <w:pPr>
        <w:pStyle w:val="68"/>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eastAsia="zh-CN"/>
        </w:rPr>
        <w:t>法定代表人（</w:t>
      </w:r>
      <w:r>
        <w:rPr>
          <w:rFonts w:hint="eastAsia" w:ascii="仿宋" w:hAnsi="仿宋" w:eastAsia="仿宋" w:cs="仿宋"/>
          <w:b/>
          <w:color w:val="auto"/>
          <w:sz w:val="24"/>
          <w:szCs w:val="24"/>
          <w:highlight w:val="none"/>
          <w:lang w:val="en-US" w:eastAsia="zh-CN"/>
        </w:rPr>
        <w:t>负责人</w:t>
      </w:r>
      <w:r>
        <w:rPr>
          <w:rFonts w:hint="eastAsia" w:ascii="仿宋" w:hAnsi="仿宋" w:eastAsia="仿宋" w:cs="仿宋"/>
          <w:b/>
          <w:color w:val="auto"/>
          <w:sz w:val="24"/>
          <w:szCs w:val="24"/>
          <w:highlight w:val="none"/>
          <w:lang w:eastAsia="zh-CN"/>
        </w:rPr>
        <w:t>）身份证明</w:t>
      </w:r>
    </w:p>
    <w:p>
      <w:pPr>
        <w:pStyle w:val="68"/>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（5）法定代表人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负责人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授权委托书</w:t>
      </w:r>
    </w:p>
    <w:p>
      <w:pPr>
        <w:pStyle w:val="68"/>
        <w:spacing w:line="48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保证金</w:t>
      </w:r>
    </w:p>
    <w:p>
      <w:pPr>
        <w:pStyle w:val="68"/>
        <w:spacing w:line="480" w:lineRule="auto"/>
        <w:ind w:left="1202" w:leftChars="228" w:hanging="723" w:hanging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（7）技术条件响应/偏离表</w:t>
      </w:r>
    </w:p>
    <w:p>
      <w:pPr>
        <w:pStyle w:val="2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（8）商务条件响应/偏离表</w:t>
      </w:r>
    </w:p>
    <w:p>
      <w:pPr>
        <w:pStyle w:val="68"/>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法人营业执照的证明材料、相关资质证书副本等材料的复印件以及商务因素、技术因素、服务因素所需证明资料（格式自拟）</w:t>
      </w:r>
    </w:p>
    <w:p>
      <w:pPr>
        <w:pStyle w:val="68"/>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（10）投标人近三年（</w:t>
      </w:r>
      <w:r>
        <w:rPr>
          <w:rFonts w:hint="eastAsia" w:ascii="仿宋" w:hAnsi="仿宋" w:eastAsia="仿宋" w:cs="仿宋"/>
          <w:b/>
          <w:color w:val="auto"/>
          <w:sz w:val="24"/>
          <w:szCs w:val="24"/>
          <w:highlight w:val="none"/>
          <w:lang w:val="en-US" w:eastAsia="zh-CN"/>
        </w:rPr>
        <w:t>2022</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月1日至今）类似项目业绩</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（11）项目服务方案、质量保障措施、承诺等内容</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投标人基本情况说明</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lang w:eastAsia="zh-CN"/>
        </w:rPr>
        <w:t>）项目人员配置情况</w:t>
      </w:r>
      <w:r>
        <w:rPr>
          <w:rFonts w:hint="eastAsia" w:ascii="仿宋" w:hAnsi="仿宋" w:eastAsia="仿宋" w:cs="仿宋"/>
          <w:b/>
          <w:color w:val="auto"/>
          <w:sz w:val="24"/>
          <w:szCs w:val="24"/>
          <w:highlight w:val="none"/>
          <w:lang w:val="en-US" w:eastAsia="zh-CN"/>
        </w:rPr>
        <w:t>表</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认为需要提供的其他材料说明</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附件1、</w:t>
      </w:r>
      <w:r>
        <w:rPr>
          <w:rFonts w:hint="eastAsia" w:ascii="仿宋" w:hAnsi="仿宋" w:eastAsia="仿宋" w:cs="仿宋"/>
          <w:b/>
          <w:color w:val="auto"/>
          <w:sz w:val="24"/>
          <w:szCs w:val="24"/>
          <w:highlight w:val="none"/>
          <w:lang w:eastAsia="zh-CN"/>
        </w:rPr>
        <w:t>在经营活动中没有重大违法记录的书面声明</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附件2、</w:t>
      </w:r>
      <w:r>
        <w:rPr>
          <w:rFonts w:hint="eastAsia" w:ascii="仿宋" w:hAnsi="仿宋" w:eastAsia="仿宋" w:cs="仿宋"/>
          <w:b/>
          <w:color w:val="auto"/>
          <w:sz w:val="24"/>
          <w:szCs w:val="24"/>
          <w:highlight w:val="none"/>
          <w:lang w:eastAsia="zh-CN"/>
        </w:rPr>
        <w:t>中小企业声明函</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附件3、</w:t>
      </w:r>
      <w:r>
        <w:rPr>
          <w:rFonts w:hint="eastAsia" w:ascii="仿宋" w:hAnsi="仿宋" w:eastAsia="仿宋" w:cs="仿宋"/>
          <w:b/>
          <w:color w:val="auto"/>
          <w:sz w:val="24"/>
          <w:szCs w:val="24"/>
          <w:highlight w:val="none"/>
          <w:lang w:eastAsia="zh-CN"/>
        </w:rPr>
        <w:t>残疾人福利性单位声明函（</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p>
      <w:pPr>
        <w:pStyle w:val="68"/>
        <w:autoSpaceDE w:val="0"/>
        <w:autoSpaceDN w:val="0"/>
        <w:adjustRightInd w:val="0"/>
        <w:spacing w:line="48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附件4</w:t>
      </w:r>
      <w:r>
        <w:rPr>
          <w:rFonts w:hint="eastAsia" w:ascii="仿宋" w:hAnsi="仿宋" w:eastAsia="仿宋" w:cs="仿宋"/>
          <w:b/>
          <w:color w:val="auto"/>
          <w:sz w:val="24"/>
          <w:szCs w:val="24"/>
          <w:highlight w:val="none"/>
          <w:lang w:eastAsia="zh-CN"/>
        </w:rPr>
        <w:t>省级以上监狱管理局、戒毒管理局（含新疆生产建设兵团）出具的属于监狱企业证明文件（格式自拟）（</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p>
      <w:pPr>
        <w:pStyle w:val="25"/>
        <w:rPr>
          <w:rFonts w:hint="eastAsia" w:ascii="仿宋" w:hAnsi="仿宋" w:eastAsia="仿宋" w:cs="仿宋"/>
          <w:color w:val="auto"/>
          <w:spacing w:val="-4"/>
          <w:kern w:val="0"/>
          <w:sz w:val="24"/>
          <w:szCs w:val="24"/>
          <w:highlight w:val="none"/>
        </w:rPr>
      </w:pPr>
    </w:p>
    <w:p>
      <w:pPr>
        <w:pStyle w:val="5"/>
        <w:jc w:val="center"/>
        <w:rPr>
          <w:rStyle w:val="40"/>
          <w:rFonts w:hint="eastAsia" w:ascii="仿宋" w:hAnsi="仿宋" w:eastAsia="仿宋" w:cs="仿宋"/>
          <w:b/>
          <w:bCs w:val="0"/>
          <w:color w:val="auto"/>
          <w:sz w:val="24"/>
          <w:szCs w:val="24"/>
          <w:highlight w:val="none"/>
        </w:rPr>
      </w:pPr>
      <w:bookmarkStart w:id="472" w:name="_Toc50459034"/>
      <w:bookmarkStart w:id="473" w:name="_Toc4030"/>
      <w:bookmarkStart w:id="474" w:name="_Toc11515"/>
      <w:bookmarkStart w:id="475" w:name="_Toc19393"/>
      <w:r>
        <w:rPr>
          <w:rStyle w:val="40"/>
          <w:rFonts w:hint="eastAsia" w:ascii="仿宋" w:hAnsi="仿宋" w:eastAsia="仿宋" w:cs="仿宋"/>
          <w:b/>
          <w:bCs w:val="0"/>
          <w:color w:val="auto"/>
          <w:sz w:val="24"/>
          <w:szCs w:val="24"/>
          <w:highlight w:val="none"/>
        </w:rPr>
        <w:t>1、投标承诺书</w:t>
      </w:r>
      <w:bookmarkEnd w:id="472"/>
      <w:bookmarkEnd w:id="473"/>
      <w:bookmarkEnd w:id="474"/>
      <w:bookmarkEnd w:id="475"/>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根据已收到的</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，我单位经研究贵方的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1、我方愿以投标报价</w:t>
      </w:r>
      <w:r>
        <w:rPr>
          <w:rFonts w:hint="eastAsia" w:ascii="仿宋" w:hAnsi="仿宋" w:eastAsia="仿宋" w:cs="仿宋"/>
          <w:color w:val="auto"/>
          <w:sz w:val="24"/>
          <w:szCs w:val="24"/>
          <w:highlight w:val="none"/>
          <w:u w:val="single"/>
        </w:rPr>
        <w:t xml:space="preserve">           元（大写：                     ）             </w:t>
      </w:r>
      <w:r>
        <w:rPr>
          <w:rFonts w:hint="eastAsia" w:ascii="仿宋" w:hAnsi="仿宋" w:eastAsia="仿宋" w:cs="仿宋"/>
          <w:color w:val="auto"/>
          <w:sz w:val="24"/>
          <w:szCs w:val="24"/>
          <w:highlight w:val="none"/>
        </w:rPr>
        <w:t>及投标承诺书的承诺承包本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中所述招标范围内的全部内容。</w:t>
      </w:r>
    </w:p>
    <w:p>
      <w:pPr>
        <w:autoSpaceDE w:val="0"/>
        <w:autoSpaceDN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3、如果我方中标，非采购人原因，我方保证将按招标文件要求，完成本项目服务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4、如果我方中标，我方将按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规定的时间内签订合同。如果违约，我方愿以投标保证金作为赔偿金，同时贵方有权终止我方中标并选择其它</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5、如果我方中标，完成项目的服务与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要求不一致的，服务达不到要求，我方将进行整改直至贵方对服务满意为止。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6、贵方的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、答疑文件、</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补充、成交通知书和本投标文件将做为合同附件，具有同等法律效力。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7、如果我方未中标，贵方没有必要对我方做出任何解释和说明，我方将充分尊重和理解贵方的选择。</w:t>
      </w:r>
    </w:p>
    <w:p>
      <w:pPr>
        <w:pStyle w:val="69"/>
        <w:spacing w:line="360" w:lineRule="auto"/>
        <w:ind w:right="480"/>
        <w:rPr>
          <w:rFonts w:hint="eastAsia" w:ascii="仿宋" w:hAnsi="仿宋" w:eastAsia="仿宋" w:cs="仿宋"/>
          <w:color w:val="auto"/>
          <w:sz w:val="24"/>
          <w:szCs w:val="24"/>
          <w:highlight w:val="none"/>
        </w:rPr>
      </w:pPr>
    </w:p>
    <w:p>
      <w:pPr>
        <w:pStyle w:val="69"/>
        <w:spacing w:line="360" w:lineRule="auto"/>
        <w:ind w:right="480"/>
        <w:rPr>
          <w:rFonts w:hint="eastAsia" w:ascii="仿宋" w:hAnsi="仿宋" w:eastAsia="仿宋" w:cs="仿宋"/>
          <w:color w:val="auto"/>
          <w:sz w:val="24"/>
          <w:szCs w:val="24"/>
          <w:highlight w:val="none"/>
        </w:rPr>
      </w:pPr>
    </w:p>
    <w:p>
      <w:pPr>
        <w:pStyle w:val="69"/>
        <w:spacing w:line="360" w:lineRule="auto"/>
        <w:ind w:right="480"/>
        <w:rPr>
          <w:rFonts w:hint="eastAsia" w:ascii="仿宋" w:hAnsi="仿宋" w:eastAsia="仿宋" w:cs="仿宋"/>
          <w:color w:val="auto"/>
          <w:sz w:val="24"/>
          <w:szCs w:val="24"/>
          <w:highlight w:val="none"/>
        </w:rPr>
      </w:pPr>
    </w:p>
    <w:p>
      <w:pPr>
        <w:pStyle w:val="69"/>
        <w:spacing w:line="360" w:lineRule="auto"/>
        <w:ind w:right="480"/>
        <w:rPr>
          <w:rFonts w:hint="eastAsia" w:ascii="仿宋" w:hAnsi="仿宋" w:eastAsia="仿宋" w:cs="仿宋"/>
          <w:color w:val="auto"/>
          <w:sz w:val="24"/>
          <w:szCs w:val="24"/>
          <w:highlight w:val="none"/>
        </w:rPr>
      </w:pPr>
    </w:p>
    <w:p>
      <w:pPr>
        <w:pStyle w:val="69"/>
        <w:spacing w:line="360" w:lineRule="auto"/>
        <w:ind w:right="480"/>
        <w:rPr>
          <w:rFonts w:hint="eastAsia" w:ascii="仿宋" w:hAnsi="仿宋" w:eastAsia="仿宋" w:cs="仿宋"/>
          <w:color w:val="auto"/>
          <w:sz w:val="24"/>
          <w:szCs w:val="24"/>
          <w:highlight w:val="none"/>
        </w:rPr>
      </w:pPr>
    </w:p>
    <w:p>
      <w:pPr>
        <w:pStyle w:val="69"/>
        <w:spacing w:line="360" w:lineRule="auto"/>
        <w:ind w:right="48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pPr>
        <w:pStyle w:val="69"/>
        <w:spacing w:line="360" w:lineRule="auto"/>
        <w:ind w:right="84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p>
    <w:p>
      <w:pPr>
        <w:pStyle w:val="69"/>
        <w:spacing w:line="360" w:lineRule="auto"/>
        <w:ind w:right="84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pPr>
        <w:pStyle w:val="25"/>
        <w:rPr>
          <w:rFonts w:hint="eastAsia" w:ascii="仿宋" w:hAnsi="仿宋" w:eastAsia="仿宋" w:cs="仿宋"/>
          <w:color w:val="auto"/>
          <w:spacing w:val="-4"/>
          <w:kern w:val="0"/>
          <w:sz w:val="24"/>
          <w:szCs w:val="24"/>
          <w:highlight w:val="none"/>
        </w:rPr>
      </w:pPr>
    </w:p>
    <w:p>
      <w:pPr>
        <w:autoSpaceDE w:val="0"/>
        <w:autoSpaceDN w:val="0"/>
        <w:spacing w:line="360" w:lineRule="auto"/>
        <w:jc w:val="center"/>
        <w:rPr>
          <w:rFonts w:hint="eastAsia" w:ascii="仿宋" w:hAnsi="仿宋" w:eastAsia="仿宋" w:cs="仿宋"/>
          <w:b/>
          <w:color w:val="auto"/>
          <w:sz w:val="24"/>
          <w:szCs w:val="24"/>
          <w:highlight w:val="none"/>
        </w:rPr>
      </w:pPr>
      <w:bookmarkStart w:id="476" w:name="_Toc28014_WPSOffice_Level1"/>
      <w:bookmarkStart w:id="477" w:name="_Toc6735_WPSOffice_Level1"/>
    </w:p>
    <w:p>
      <w:pPr>
        <w:pStyle w:val="25"/>
        <w:rPr>
          <w:rFonts w:hint="eastAsia" w:ascii="仿宋" w:hAnsi="仿宋" w:eastAsia="仿宋" w:cs="仿宋"/>
          <w:color w:val="auto"/>
          <w:sz w:val="24"/>
          <w:szCs w:val="24"/>
          <w:highlight w:val="none"/>
        </w:rPr>
      </w:pPr>
    </w:p>
    <w:p>
      <w:pPr>
        <w:pStyle w:val="5"/>
        <w:jc w:val="center"/>
        <w:rPr>
          <w:rStyle w:val="40"/>
          <w:rFonts w:hint="eastAsia" w:ascii="仿宋" w:hAnsi="仿宋" w:eastAsia="仿宋" w:cs="仿宋"/>
          <w:b/>
          <w:bCs w:val="0"/>
          <w:color w:val="auto"/>
          <w:sz w:val="24"/>
          <w:szCs w:val="24"/>
          <w:highlight w:val="none"/>
        </w:rPr>
      </w:pPr>
      <w:bookmarkStart w:id="478" w:name="_Toc3064"/>
      <w:r>
        <w:rPr>
          <w:rStyle w:val="40"/>
          <w:rFonts w:hint="eastAsia" w:ascii="仿宋" w:hAnsi="仿宋" w:eastAsia="仿宋" w:cs="仿宋"/>
          <w:b/>
          <w:bCs w:val="0"/>
          <w:color w:val="auto"/>
          <w:sz w:val="24"/>
          <w:szCs w:val="24"/>
          <w:highlight w:val="none"/>
        </w:rPr>
        <w:t>2、</w:t>
      </w:r>
      <w:bookmarkEnd w:id="476"/>
      <w:bookmarkEnd w:id="477"/>
      <w:r>
        <w:rPr>
          <w:rStyle w:val="40"/>
          <w:rFonts w:hint="eastAsia" w:ascii="仿宋" w:hAnsi="仿宋" w:eastAsia="仿宋" w:cs="仿宋"/>
          <w:b/>
          <w:bCs w:val="0"/>
          <w:color w:val="auto"/>
          <w:sz w:val="24"/>
          <w:szCs w:val="24"/>
          <w:highlight w:val="none"/>
        </w:rPr>
        <w:t>报价一览表</w:t>
      </w:r>
      <w:bookmarkEnd w:id="478"/>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p>
    <w:p>
      <w:pPr>
        <w:pStyle w:val="25"/>
        <w:rPr>
          <w:rFonts w:hint="eastAsia" w:ascii="仿宋" w:hAnsi="仿宋" w:eastAsia="仿宋" w:cs="仿宋"/>
          <w:color w:val="auto"/>
          <w:sz w:val="24"/>
          <w:szCs w:val="24"/>
          <w:highlight w:val="none"/>
        </w:rPr>
      </w:pPr>
    </w:p>
    <w:p>
      <w:pPr>
        <w:pStyle w:val="25"/>
        <w:rPr>
          <w:rFonts w:hint="eastAsia" w:ascii="仿宋" w:hAnsi="仿宋" w:eastAsia="仿宋" w:cs="仿宋"/>
          <w:color w:val="auto"/>
          <w:sz w:val="24"/>
          <w:szCs w:val="24"/>
          <w:highlight w:val="none"/>
        </w:rPr>
      </w:pPr>
    </w:p>
    <w:tbl>
      <w:tblPr>
        <w:tblStyle w:val="33"/>
        <w:tblW w:w="9200" w:type="dxa"/>
        <w:tblInd w:w="0" w:type="dxa"/>
        <w:tblLayout w:type="fixed"/>
        <w:tblCellMar>
          <w:top w:w="0" w:type="dxa"/>
          <w:left w:w="0" w:type="dxa"/>
          <w:bottom w:w="0" w:type="dxa"/>
          <w:right w:w="0" w:type="dxa"/>
        </w:tblCellMar>
      </w:tblPr>
      <w:tblGrid>
        <w:gridCol w:w="912"/>
        <w:gridCol w:w="1664"/>
        <w:gridCol w:w="5928"/>
        <w:gridCol w:w="696"/>
      </w:tblGrid>
      <w:tr>
        <w:tblPrEx>
          <w:tblCellMar>
            <w:top w:w="0" w:type="dxa"/>
            <w:left w:w="0" w:type="dxa"/>
            <w:bottom w:w="0" w:type="dxa"/>
            <w:right w:w="0" w:type="dxa"/>
          </w:tblCellMar>
        </w:tblPrEx>
        <w:trPr>
          <w:trHeight w:val="684"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条款名称</w:t>
            </w:r>
          </w:p>
        </w:tc>
        <w:tc>
          <w:tcPr>
            <w:tcW w:w="59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4" w:type="dxa"/>
            <w:tcBorders>
              <w:top w:val="single" w:color="auto" w:sz="4" w:space="0"/>
              <w:left w:val="single" w:color="auto" w:sz="4" w:space="0"/>
              <w:bottom w:val="single" w:color="auto" w:sz="4" w:space="0"/>
              <w:right w:val="single" w:color="auto" w:sz="4" w:space="0"/>
            </w:tcBorders>
            <w:vAlign w:val="center"/>
          </w:tcPr>
          <w:p>
            <w:pPr>
              <w:pStyle w:val="52"/>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9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完全响应</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w:t>
            </w:r>
          </w:p>
        </w:tc>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64" w:type="dxa"/>
            <w:tcBorders>
              <w:top w:val="single" w:color="auto" w:sz="4" w:space="0"/>
              <w:left w:val="single" w:color="auto" w:sz="4" w:space="0"/>
              <w:bottom w:val="single" w:color="auto" w:sz="4" w:space="0"/>
              <w:right w:val="single" w:color="auto" w:sz="4" w:space="0"/>
            </w:tcBorders>
            <w:vAlign w:val="center"/>
          </w:tcPr>
          <w:p>
            <w:pPr>
              <w:pStyle w:val="52"/>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服务期限</w:t>
            </w:r>
          </w:p>
        </w:tc>
        <w:tc>
          <w:tcPr>
            <w:tcW w:w="5928" w:type="dxa"/>
            <w:tcBorders>
              <w:top w:val="single" w:color="auto" w:sz="4" w:space="0"/>
              <w:left w:val="single" w:color="auto" w:sz="4" w:space="0"/>
              <w:bottom w:val="single" w:color="auto" w:sz="4" w:space="0"/>
              <w:right w:val="single" w:color="auto" w:sz="4" w:space="0"/>
            </w:tcBorders>
            <w:vAlign w:val="center"/>
          </w:tcPr>
          <w:p>
            <w:pPr>
              <w:tabs>
                <w:tab w:val="left" w:pos="4980"/>
                <w:tab w:val="right" w:pos="9000"/>
              </w:tabs>
              <w:spacing w:line="360" w:lineRule="auto"/>
              <w:jc w:val="left"/>
              <w:rPr>
                <w:rFonts w:hint="eastAsia" w:ascii="仿宋" w:hAnsi="仿宋" w:eastAsia="仿宋" w:cs="仿宋"/>
                <w:color w:val="auto"/>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u w:val="single"/>
              </w:rPr>
            </w:pP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64" w:type="dxa"/>
            <w:tcBorders>
              <w:top w:val="single" w:color="auto" w:sz="4" w:space="0"/>
              <w:left w:val="single" w:color="auto" w:sz="4" w:space="0"/>
              <w:bottom w:val="single" w:color="auto" w:sz="4" w:space="0"/>
              <w:right w:val="single" w:color="auto" w:sz="4" w:space="0"/>
            </w:tcBorders>
            <w:vAlign w:val="center"/>
          </w:tcPr>
          <w:p>
            <w:pPr>
              <w:pStyle w:val="52"/>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59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szCs w:val="24"/>
                <w:highlight w:val="none"/>
                <w:shd w:val="clear" w:color="auto" w:fill="FFFFFF"/>
                <w:lang w:eastAsia="zh-CN"/>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u w:val="single"/>
              </w:rPr>
            </w:pPr>
          </w:p>
        </w:tc>
      </w:tr>
      <w:tr>
        <w:tblPrEx>
          <w:tblCellMar>
            <w:top w:w="0" w:type="dxa"/>
            <w:left w:w="0" w:type="dxa"/>
            <w:bottom w:w="0" w:type="dxa"/>
            <w:right w:w="0" w:type="dxa"/>
          </w:tblCellMar>
        </w:tblPrEx>
        <w:trPr>
          <w:trHeight w:val="1383" w:hRule="atLeast"/>
        </w:trPr>
        <w:tc>
          <w:tcPr>
            <w:tcW w:w="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  （元）</w:t>
            </w:r>
          </w:p>
        </w:tc>
        <w:tc>
          <w:tcPr>
            <w:tcW w:w="59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投标总价： 小写：</w:t>
            </w:r>
          </w:p>
          <w:p>
            <w:pPr>
              <w:widowControl/>
              <w:adjustRightInd w:val="0"/>
              <w:snapToGrid w:val="0"/>
              <w:spacing w:before="100" w:beforeAutospacing="1" w:after="100" w:afterAutospacing="1" w:line="360" w:lineRule="auto"/>
              <w:ind w:firstLine="1200" w:firstLineChars="5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 大写：</w:t>
            </w:r>
          </w:p>
        </w:tc>
        <w:tc>
          <w:tcPr>
            <w:tcW w:w="6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360" w:lineRule="auto"/>
              <w:jc w:val="center"/>
              <w:rPr>
                <w:rFonts w:hint="eastAsia" w:ascii="仿宋" w:hAnsi="仿宋" w:eastAsia="仿宋" w:cs="仿宋"/>
                <w:color w:val="auto"/>
                <w:kern w:val="0"/>
                <w:sz w:val="24"/>
                <w:szCs w:val="24"/>
                <w:highlight w:val="none"/>
                <w:u w:val="single"/>
              </w:rPr>
            </w:pPr>
          </w:p>
        </w:tc>
      </w:tr>
    </w:tbl>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投标单位盖章：</w:t>
      </w:r>
    </w:p>
    <w:p>
      <w:pPr>
        <w:pStyle w:val="25"/>
        <w:spacing w:line="360" w:lineRule="auto"/>
        <w:rPr>
          <w:rFonts w:hint="eastAsia" w:ascii="仿宋" w:hAnsi="仿宋" w:eastAsia="仿宋" w:cs="仿宋"/>
          <w:color w:val="auto"/>
          <w:sz w:val="24"/>
          <w:szCs w:val="24"/>
          <w:highlight w:val="none"/>
        </w:rPr>
      </w:pPr>
    </w:p>
    <w:p>
      <w:pPr>
        <w:spacing w:line="360" w:lineRule="auto"/>
        <w:ind w:left="7680" w:hanging="7680" w:hangingChars="3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投标单位法人或授权代表签字或盖章：                                                                     </w:t>
      </w:r>
    </w:p>
    <w:p>
      <w:pPr>
        <w:spacing w:line="360" w:lineRule="auto"/>
        <w:ind w:left="7680" w:hanging="7680" w:hangingChars="3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jc w:val="center"/>
        <w:rPr>
          <w:rStyle w:val="40"/>
          <w:rFonts w:hint="eastAsia" w:ascii="仿宋" w:hAnsi="仿宋" w:eastAsia="仿宋" w:cs="仿宋"/>
          <w:b/>
          <w:bCs w:val="0"/>
          <w:color w:val="auto"/>
          <w:sz w:val="24"/>
          <w:szCs w:val="24"/>
          <w:highlight w:val="none"/>
        </w:rPr>
      </w:pPr>
      <w:bookmarkStart w:id="479" w:name="_Toc8766"/>
      <w:r>
        <w:rPr>
          <w:rStyle w:val="40"/>
          <w:rFonts w:hint="eastAsia" w:ascii="仿宋" w:hAnsi="仿宋" w:eastAsia="仿宋" w:cs="仿宋"/>
          <w:b/>
          <w:bCs w:val="0"/>
          <w:color w:val="auto"/>
          <w:sz w:val="24"/>
          <w:szCs w:val="24"/>
          <w:highlight w:val="none"/>
          <w:lang w:val="en-US" w:eastAsia="zh-CN"/>
        </w:rPr>
        <w:t>3、</w:t>
      </w:r>
      <w:r>
        <w:rPr>
          <w:rStyle w:val="40"/>
          <w:rFonts w:hint="eastAsia" w:ascii="仿宋" w:hAnsi="仿宋" w:eastAsia="仿宋" w:cs="仿宋"/>
          <w:b/>
          <w:bCs w:val="0"/>
          <w:color w:val="auto"/>
          <w:sz w:val="24"/>
          <w:szCs w:val="24"/>
          <w:highlight w:val="none"/>
        </w:rPr>
        <w:t>报价一览明细表</w:t>
      </w:r>
      <w:bookmarkEnd w:id="479"/>
    </w:p>
    <w:p>
      <w:pPr>
        <w:pStyle w:val="20"/>
        <w:spacing w:line="48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pPr>
        <w:pStyle w:val="20"/>
        <w:spacing w:line="48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3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77"/>
        <w:gridCol w:w="1070"/>
        <w:gridCol w:w="1377"/>
        <w:gridCol w:w="1377"/>
        <w:gridCol w:w="2601"/>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28"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77"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1070"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77"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377"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总价（元）</w:t>
            </w:r>
          </w:p>
        </w:tc>
        <w:tc>
          <w:tcPr>
            <w:tcW w:w="2601"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是否属于小、微企业或监狱企业或残疾人福利性单位</w:t>
            </w:r>
          </w:p>
        </w:tc>
        <w:tc>
          <w:tcPr>
            <w:tcW w:w="666" w:type="dxa"/>
            <w:vAlign w:val="center"/>
          </w:tcPr>
          <w:p>
            <w:pPr>
              <w:pStyle w:val="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8"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070"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2601" w:type="dxa"/>
            <w:vMerge w:val="restart"/>
            <w:vAlign w:val="center"/>
          </w:tcPr>
          <w:p>
            <w:pPr>
              <w:pStyle w:val="20"/>
              <w:jc w:val="center"/>
              <w:rPr>
                <w:rFonts w:hint="eastAsia" w:ascii="仿宋" w:hAnsi="仿宋" w:eastAsia="仿宋" w:cs="仿宋"/>
                <w:color w:val="auto"/>
                <w:sz w:val="24"/>
                <w:szCs w:val="24"/>
                <w:highlight w:val="none"/>
              </w:rPr>
            </w:pPr>
          </w:p>
        </w:tc>
        <w:tc>
          <w:tcPr>
            <w:tcW w:w="666" w:type="dxa"/>
            <w:vAlign w:val="center"/>
          </w:tcPr>
          <w:p>
            <w:pPr>
              <w:pStyle w:val="2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8"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070"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2601" w:type="dxa"/>
            <w:vMerge w:val="continue"/>
            <w:vAlign w:val="center"/>
          </w:tcPr>
          <w:p>
            <w:pPr>
              <w:pStyle w:val="20"/>
              <w:jc w:val="center"/>
              <w:rPr>
                <w:rFonts w:hint="eastAsia" w:ascii="仿宋" w:hAnsi="仿宋" w:eastAsia="仿宋" w:cs="仿宋"/>
                <w:color w:val="auto"/>
                <w:sz w:val="24"/>
                <w:szCs w:val="24"/>
                <w:highlight w:val="none"/>
              </w:rPr>
            </w:pPr>
          </w:p>
        </w:tc>
        <w:tc>
          <w:tcPr>
            <w:tcW w:w="666" w:type="dxa"/>
            <w:vAlign w:val="center"/>
          </w:tcPr>
          <w:p>
            <w:pPr>
              <w:pStyle w:val="2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8"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070"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2601" w:type="dxa"/>
            <w:vMerge w:val="continue"/>
            <w:vAlign w:val="center"/>
          </w:tcPr>
          <w:p>
            <w:pPr>
              <w:pStyle w:val="20"/>
              <w:jc w:val="center"/>
              <w:rPr>
                <w:rFonts w:hint="eastAsia" w:ascii="仿宋" w:hAnsi="仿宋" w:eastAsia="仿宋" w:cs="仿宋"/>
                <w:color w:val="auto"/>
                <w:sz w:val="24"/>
                <w:szCs w:val="24"/>
                <w:highlight w:val="none"/>
              </w:rPr>
            </w:pPr>
          </w:p>
        </w:tc>
        <w:tc>
          <w:tcPr>
            <w:tcW w:w="666" w:type="dxa"/>
            <w:vAlign w:val="center"/>
          </w:tcPr>
          <w:p>
            <w:pPr>
              <w:pStyle w:val="2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8"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070"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2601" w:type="dxa"/>
            <w:vMerge w:val="continue"/>
            <w:vAlign w:val="center"/>
          </w:tcPr>
          <w:p>
            <w:pPr>
              <w:pStyle w:val="20"/>
              <w:jc w:val="center"/>
              <w:rPr>
                <w:rFonts w:hint="eastAsia" w:ascii="仿宋" w:hAnsi="仿宋" w:eastAsia="仿宋" w:cs="仿宋"/>
                <w:color w:val="auto"/>
                <w:sz w:val="24"/>
                <w:szCs w:val="24"/>
                <w:highlight w:val="none"/>
              </w:rPr>
            </w:pPr>
          </w:p>
        </w:tc>
        <w:tc>
          <w:tcPr>
            <w:tcW w:w="666" w:type="dxa"/>
            <w:vAlign w:val="center"/>
          </w:tcPr>
          <w:p>
            <w:pPr>
              <w:pStyle w:val="2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28"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070"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1377" w:type="dxa"/>
            <w:vAlign w:val="center"/>
          </w:tcPr>
          <w:p>
            <w:pPr>
              <w:pStyle w:val="20"/>
              <w:jc w:val="center"/>
              <w:rPr>
                <w:rFonts w:hint="eastAsia" w:ascii="仿宋" w:hAnsi="仿宋" w:eastAsia="仿宋" w:cs="仿宋"/>
                <w:color w:val="auto"/>
                <w:sz w:val="24"/>
                <w:szCs w:val="24"/>
                <w:highlight w:val="none"/>
              </w:rPr>
            </w:pPr>
          </w:p>
        </w:tc>
        <w:tc>
          <w:tcPr>
            <w:tcW w:w="2601" w:type="dxa"/>
            <w:vMerge w:val="continue"/>
            <w:vAlign w:val="center"/>
          </w:tcPr>
          <w:p>
            <w:pPr>
              <w:pStyle w:val="20"/>
              <w:jc w:val="center"/>
              <w:rPr>
                <w:rFonts w:hint="eastAsia" w:ascii="仿宋" w:hAnsi="仿宋" w:eastAsia="仿宋" w:cs="仿宋"/>
                <w:color w:val="auto"/>
                <w:sz w:val="24"/>
                <w:szCs w:val="24"/>
                <w:highlight w:val="none"/>
              </w:rPr>
            </w:pPr>
          </w:p>
        </w:tc>
        <w:tc>
          <w:tcPr>
            <w:tcW w:w="666" w:type="dxa"/>
            <w:vAlign w:val="center"/>
          </w:tcPr>
          <w:p>
            <w:pPr>
              <w:pStyle w:val="20"/>
              <w:jc w:val="center"/>
              <w:rPr>
                <w:rFonts w:hint="eastAsia" w:ascii="仿宋" w:hAnsi="仿宋" w:eastAsia="仿宋" w:cs="仿宋"/>
                <w:color w:val="auto"/>
                <w:sz w:val="24"/>
                <w:szCs w:val="24"/>
                <w:highlight w:val="none"/>
              </w:rPr>
            </w:pPr>
          </w:p>
        </w:tc>
      </w:tr>
    </w:tbl>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投标单位盖章：</w:t>
      </w:r>
    </w:p>
    <w:p>
      <w:pPr>
        <w:pStyle w:val="25"/>
        <w:spacing w:line="360" w:lineRule="auto"/>
        <w:rPr>
          <w:rFonts w:hint="eastAsia" w:ascii="仿宋" w:hAnsi="仿宋" w:eastAsia="仿宋" w:cs="仿宋"/>
          <w:color w:val="auto"/>
          <w:sz w:val="24"/>
          <w:szCs w:val="24"/>
          <w:highlight w:val="none"/>
        </w:rPr>
      </w:pPr>
    </w:p>
    <w:p>
      <w:pPr>
        <w:spacing w:line="360" w:lineRule="auto"/>
        <w:ind w:left="7680" w:hanging="7680" w:hangingChars="3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投标单位法人或授权代表签字或盖章：                                                                     </w:t>
      </w:r>
    </w:p>
    <w:p>
      <w:pPr>
        <w:spacing w:line="360" w:lineRule="auto"/>
        <w:ind w:left="7680" w:hanging="7680" w:hangingChars="3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1、上述报价包含一切由供方承担服务的费用，分项报价合计应和总报价一致；</w:t>
      </w:r>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jc w:val="center"/>
        <w:rPr>
          <w:rStyle w:val="40"/>
          <w:rFonts w:hint="eastAsia" w:ascii="仿宋" w:hAnsi="仿宋" w:eastAsia="仿宋" w:cs="仿宋"/>
          <w:b/>
          <w:bCs w:val="0"/>
          <w:color w:val="auto"/>
          <w:sz w:val="24"/>
          <w:szCs w:val="24"/>
          <w:highlight w:val="none"/>
          <w:lang w:val="en-US" w:eastAsia="zh-CN"/>
        </w:rPr>
      </w:pPr>
      <w:bookmarkStart w:id="480" w:name="_Toc50459035"/>
      <w:bookmarkStart w:id="481" w:name="_Toc18030_WPSOffice_Level1"/>
      <w:bookmarkStart w:id="482" w:name="_Toc16901"/>
      <w:bookmarkStart w:id="483" w:name="_Toc30221_WPSOffice_Level1"/>
      <w:bookmarkStart w:id="484" w:name="_Toc18663"/>
      <w:bookmarkStart w:id="485" w:name="_Toc12705"/>
      <w:r>
        <w:rPr>
          <w:rStyle w:val="40"/>
          <w:rFonts w:hint="eastAsia" w:ascii="仿宋" w:hAnsi="仿宋" w:eastAsia="仿宋" w:cs="仿宋"/>
          <w:b/>
          <w:bCs w:val="0"/>
          <w:color w:val="auto"/>
          <w:sz w:val="24"/>
          <w:szCs w:val="24"/>
          <w:highlight w:val="none"/>
          <w:lang w:val="en-US" w:eastAsia="zh-CN"/>
        </w:rPr>
        <w:t>4、</w:t>
      </w:r>
      <w:bookmarkEnd w:id="480"/>
      <w:bookmarkEnd w:id="481"/>
      <w:bookmarkEnd w:id="482"/>
      <w:bookmarkEnd w:id="483"/>
      <w:bookmarkEnd w:id="484"/>
      <w:bookmarkEnd w:id="485"/>
      <w:r>
        <w:rPr>
          <w:rStyle w:val="40"/>
          <w:rFonts w:hint="eastAsia" w:ascii="仿宋" w:hAnsi="仿宋" w:eastAsia="仿宋" w:cs="仿宋"/>
          <w:b/>
          <w:bCs w:val="0"/>
          <w:color w:val="auto"/>
          <w:sz w:val="24"/>
          <w:szCs w:val="24"/>
          <w:highlight w:val="none"/>
          <w:lang w:val="en-US" w:eastAsia="zh-CN"/>
        </w:rPr>
        <w:t>法定代表人（负责人）身份证明</w:t>
      </w:r>
    </w:p>
    <w:p>
      <w:pPr>
        <w:adjustRightInd w:val="0"/>
        <w:snapToGrid w:val="0"/>
        <w:spacing w:line="360" w:lineRule="auto"/>
        <w:jc w:val="center"/>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单位名称：</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单位性质：</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的法定代表人。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 </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w:t>
      </w:r>
      <w:r>
        <w:rPr>
          <w:rFonts w:hint="eastAsia" w:ascii="仿宋" w:hAnsi="仿宋" w:eastAsia="仿宋" w:cs="仿宋"/>
          <w:color w:val="auto"/>
          <w:sz w:val="24"/>
          <w:szCs w:val="24"/>
          <w:highlight w:val="none"/>
          <w:lang w:eastAsia="zh-CN"/>
        </w:rPr>
        <w:t>（负责人）</w:t>
      </w:r>
      <w:r>
        <w:rPr>
          <w:rFonts w:hint="eastAsia" w:ascii="仿宋" w:hAnsi="仿宋" w:eastAsia="仿宋" w:cs="仿宋"/>
          <w:color w:val="auto"/>
          <w:sz w:val="24"/>
          <w:szCs w:val="24"/>
          <w:highlight w:val="none"/>
        </w:rPr>
        <w:t>身份证复印件（正反面）</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（盖单位章） </w:t>
      </w:r>
    </w:p>
    <w:p>
      <w:pPr>
        <w:spacing w:line="360" w:lineRule="auto"/>
        <w:jc w:val="right"/>
        <w:rPr>
          <w:rFonts w:hint="eastAsia" w:ascii="仿宋" w:hAnsi="仿宋" w:eastAsia="仿宋" w:cs="仿宋"/>
          <w:color w:val="auto"/>
          <w:sz w:val="24"/>
          <w:szCs w:val="24"/>
          <w:highlight w:val="none"/>
        </w:rPr>
      </w:pPr>
    </w:p>
    <w:p>
      <w:pPr>
        <w:spacing w:line="360" w:lineRule="auto"/>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
          <w:color w:val="auto"/>
          <w:sz w:val="24"/>
          <w:szCs w:val="24"/>
          <w:highlight w:val="none"/>
        </w:rPr>
        <w:t xml:space="preserve"> </w:t>
      </w: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说明：仅限法定代表人（负责人）参加时提供。</w:t>
      </w:r>
    </w:p>
    <w:p>
      <w:pPr>
        <w:pStyle w:val="5"/>
        <w:jc w:val="center"/>
        <w:rPr>
          <w:rStyle w:val="40"/>
          <w:rFonts w:hint="eastAsia" w:ascii="仿宋" w:hAnsi="仿宋" w:eastAsia="仿宋" w:cs="仿宋"/>
          <w:b/>
          <w:bCs w:val="0"/>
          <w:color w:val="auto"/>
          <w:sz w:val="24"/>
          <w:szCs w:val="24"/>
          <w:highlight w:val="none"/>
          <w:lang w:val="en-US" w:eastAsia="zh-CN"/>
        </w:rPr>
      </w:pPr>
      <w:bookmarkStart w:id="486" w:name="_Toc24648"/>
      <w:bookmarkStart w:id="487" w:name="_Toc2043"/>
      <w:bookmarkStart w:id="488" w:name="_Toc18441"/>
      <w:bookmarkStart w:id="489" w:name="_Toc50459036"/>
      <w:r>
        <w:rPr>
          <w:rStyle w:val="40"/>
          <w:rFonts w:hint="eastAsia" w:ascii="仿宋" w:hAnsi="仿宋" w:eastAsia="仿宋" w:cs="仿宋"/>
          <w:b/>
          <w:bCs w:val="0"/>
          <w:color w:val="auto"/>
          <w:sz w:val="24"/>
          <w:szCs w:val="24"/>
          <w:highlight w:val="none"/>
          <w:lang w:val="en-US" w:eastAsia="zh-CN"/>
        </w:rPr>
        <w:t>5、</w:t>
      </w:r>
      <w:bookmarkEnd w:id="486"/>
      <w:bookmarkEnd w:id="487"/>
      <w:bookmarkEnd w:id="488"/>
      <w:bookmarkEnd w:id="489"/>
      <w:r>
        <w:rPr>
          <w:rStyle w:val="40"/>
          <w:rFonts w:hint="eastAsia" w:ascii="仿宋" w:hAnsi="仿宋" w:eastAsia="仿宋" w:cs="仿宋"/>
          <w:b/>
          <w:bCs w:val="0"/>
          <w:color w:val="auto"/>
          <w:sz w:val="24"/>
          <w:szCs w:val="24"/>
          <w:highlight w:val="none"/>
          <w:lang w:val="en-US" w:eastAsia="zh-CN"/>
        </w:rPr>
        <w:t>法定代表人（负责人）授权委托书</w:t>
      </w:r>
    </w:p>
    <w:p>
      <w:pPr>
        <w:spacing w:line="360" w:lineRule="auto"/>
        <w:jc w:val="center"/>
        <w:rPr>
          <w:rFonts w:hint="eastAsia" w:ascii="仿宋" w:hAnsi="仿宋" w:eastAsia="仿宋" w:cs="仿宋"/>
          <w:b/>
          <w:bCs/>
          <w:color w:val="auto"/>
          <w:sz w:val="24"/>
          <w:szCs w:val="24"/>
          <w:highlight w:val="none"/>
        </w:rPr>
      </w:pPr>
    </w:p>
    <w:p>
      <w:pPr>
        <w:spacing w:line="360" w:lineRule="auto"/>
        <w:ind w:firstLine="453" w:firstLineChars="189"/>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本授权委托书声明：我</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的法定代表人，现授权委托</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为我的代理人，以本单位的名义参加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投标活动。代理人在参加整个招标投标活动、合同磋商过程中所签署的一切文件和处理与之相关的一切事物，我均予承认。</w:t>
      </w:r>
    </w:p>
    <w:p>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代理人：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p>
    <w:p>
      <w:pPr>
        <w:spacing w:line="360" w:lineRule="auto"/>
        <w:ind w:firstLine="453" w:firstLineChars="189"/>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部  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职务：</w:t>
      </w:r>
      <w:r>
        <w:rPr>
          <w:rFonts w:hint="eastAsia" w:ascii="仿宋" w:hAnsi="仿宋" w:eastAsia="仿宋" w:cs="仿宋"/>
          <w:bCs/>
          <w:color w:val="auto"/>
          <w:sz w:val="24"/>
          <w:szCs w:val="24"/>
          <w:highlight w:val="none"/>
          <w:u w:val="single"/>
        </w:rPr>
        <w:t xml:space="preserve">             </w:t>
      </w:r>
    </w:p>
    <w:p>
      <w:pPr>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sz w:val="36"/>
                                <w:szCs w:val="36"/>
                              </w:rPr>
                            </w:pPr>
                          </w:p>
                          <w:p>
                            <w:pPr>
                              <w:jc w:val="center"/>
                              <w:rPr>
                                <w:rFonts w:ascii="仿宋" w:hAnsi="仿宋" w:eastAsia="仿宋"/>
                                <w:sz w:val="36"/>
                                <w:szCs w:val="36"/>
                              </w:rPr>
                            </w:pPr>
                          </w:p>
                          <w:p>
                            <w:pPr>
                              <w:jc w:val="center"/>
                              <w:rPr>
                                <w:sz w:val="32"/>
                                <w:szCs w:val="32"/>
                              </w:rPr>
                            </w:pPr>
                            <w:r>
                              <w:rPr>
                                <w:rFonts w:hint="eastAsia" w:ascii="仿宋" w:hAnsi="仿宋" w:eastAsia="仿宋"/>
                                <w:sz w:val="36"/>
                                <w:szCs w:val="36"/>
                              </w:rPr>
                              <w:t>法定代表人</w:t>
                            </w:r>
                            <w:r>
                              <w:rPr>
                                <w:rFonts w:hint="eastAsia" w:ascii="仿宋" w:hAnsi="仿宋" w:eastAsia="仿宋"/>
                                <w:sz w:val="36"/>
                                <w:szCs w:val="36"/>
                                <w:lang w:eastAsia="zh-CN"/>
                              </w:rPr>
                              <w:t>（</w:t>
                            </w:r>
                            <w:r>
                              <w:rPr>
                                <w:rFonts w:hint="eastAsia" w:ascii="仿宋" w:hAnsi="仿宋" w:eastAsia="仿宋"/>
                                <w:sz w:val="36"/>
                                <w:szCs w:val="36"/>
                                <w:lang w:val="en-US" w:eastAsia="zh-CN"/>
                              </w:rPr>
                              <w:t>负责人</w:t>
                            </w:r>
                            <w:r>
                              <w:rPr>
                                <w:rFonts w:hint="eastAsia" w:ascii="仿宋" w:hAnsi="仿宋" w:eastAsia="仿宋"/>
                                <w:sz w:val="36"/>
                                <w:szCs w:val="36"/>
                                <w:lang w:eastAsia="zh-CN"/>
                              </w:rPr>
                              <w:t>）</w:t>
                            </w:r>
                            <w:r>
                              <w:rPr>
                                <w:rFonts w:hint="eastAsia" w:ascii="仿宋" w:hAnsi="仿宋" w:eastAsia="仿宋"/>
                                <w:sz w:val="36"/>
                                <w:szCs w:val="36"/>
                              </w:rPr>
                              <w:t>身份证复印件（正反面）</w:t>
                            </w:r>
                          </w:p>
                        </w:txbxContent>
                      </wps:txbx>
                      <wps:bodyPr upright="1"/>
                    </wps:wsp>
                  </a:graphicData>
                </a:graphic>
              </wp:anchor>
            </w:drawing>
          </mc:Choice>
          <mc:Fallback>
            <w:pict>
              <v:shape id="_x0000_s1026" o:spid="_x0000_s1026" o:spt="202" type="#_x0000_t202" style="position:absolute;left:0pt;margin-left:-7.3pt;margin-top:9.65pt;height:149.25pt;width:234pt;z-index:251660288;mso-width-relative:page;mso-height-relative:page;" fillcolor="#FFFFFF" filled="t" stroked="t" coordsize="21600,21600" o:gfxdata="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6M8UNkAAAAKAQAADwAAAAAA&#10;AAABACAAAAAiAAAAZHJzL2Rvd25yZXYueG1sUEsBAhQAFAAAAAgAh07iQInh9lMSAgAARQQAAA4A&#10;AAAAAAAAAQAgAAAAKAEAAGRycy9lMm9Eb2MueG1sUEsFBgAAAAAGAAYAWQEAAKwFAAAAAA==&#10;">
                <v:fill on="t" focussize="0,0"/>
                <v:stroke color="#000000" joinstyle="miter"/>
                <v:imagedata o:title=""/>
                <o:lock v:ext="edit" aspectratio="f"/>
                <v:textbox>
                  <w:txbxContent>
                    <w:p>
                      <w:pPr>
                        <w:jc w:val="center"/>
                        <w:rPr>
                          <w:rFonts w:ascii="仿宋" w:hAnsi="仿宋" w:eastAsia="仿宋"/>
                          <w:sz w:val="36"/>
                          <w:szCs w:val="36"/>
                        </w:rPr>
                      </w:pPr>
                    </w:p>
                    <w:p>
                      <w:pPr>
                        <w:jc w:val="center"/>
                        <w:rPr>
                          <w:rFonts w:ascii="仿宋" w:hAnsi="仿宋" w:eastAsia="仿宋"/>
                          <w:sz w:val="36"/>
                          <w:szCs w:val="36"/>
                        </w:rPr>
                      </w:pPr>
                    </w:p>
                    <w:p>
                      <w:pPr>
                        <w:jc w:val="center"/>
                        <w:rPr>
                          <w:sz w:val="32"/>
                          <w:szCs w:val="32"/>
                        </w:rPr>
                      </w:pPr>
                      <w:r>
                        <w:rPr>
                          <w:rFonts w:hint="eastAsia" w:ascii="仿宋" w:hAnsi="仿宋" w:eastAsia="仿宋"/>
                          <w:sz w:val="36"/>
                          <w:szCs w:val="36"/>
                        </w:rPr>
                        <w:t>法定代表人</w:t>
                      </w:r>
                      <w:r>
                        <w:rPr>
                          <w:rFonts w:hint="eastAsia" w:ascii="仿宋" w:hAnsi="仿宋" w:eastAsia="仿宋"/>
                          <w:sz w:val="36"/>
                          <w:szCs w:val="36"/>
                          <w:lang w:eastAsia="zh-CN"/>
                        </w:rPr>
                        <w:t>（</w:t>
                      </w:r>
                      <w:r>
                        <w:rPr>
                          <w:rFonts w:hint="eastAsia" w:ascii="仿宋" w:hAnsi="仿宋" w:eastAsia="仿宋"/>
                          <w:sz w:val="36"/>
                          <w:szCs w:val="36"/>
                          <w:lang w:val="en-US" w:eastAsia="zh-CN"/>
                        </w:rPr>
                        <w:t>负责人</w:t>
                      </w:r>
                      <w:r>
                        <w:rPr>
                          <w:rFonts w:hint="eastAsia" w:ascii="仿宋" w:hAnsi="仿宋" w:eastAsia="仿宋"/>
                          <w:sz w:val="36"/>
                          <w:szCs w:val="36"/>
                          <w:lang w:eastAsia="zh-CN"/>
                        </w:rPr>
                        <w:t>）</w:t>
                      </w:r>
                      <w:r>
                        <w:rPr>
                          <w:rFonts w:hint="eastAsia" w:ascii="仿宋" w:hAnsi="仿宋" w:eastAsia="仿宋"/>
                          <w:sz w:val="36"/>
                          <w:szCs w:val="36"/>
                        </w:rPr>
                        <w:t>身份证复印件（正反面）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txbxContent>
                      </wps:txbx>
                      <wps:bodyPr upright="1"/>
                    </wps:wsp>
                  </a:graphicData>
                </a:graphic>
              </wp:anchor>
            </w:drawing>
          </mc:Choice>
          <mc:Fallback>
            <w:pict>
              <v:shape id="_x0000_s1026" o:spid="_x0000_s1026" o:spt="202" type="#_x0000_t202" style="position:absolute;left:0pt;margin-left:244.7pt;margin-top:9.65pt;height:149.25pt;width:234pt;z-index:251661312;mso-width-relative:page;mso-height-relative:page;" fillcolor="#FFFFFF" filled="t" stroked="t"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aomDjZAAAACgEAAA8AAAAAAAAA&#10;AQAgAAAAIgAAAGRycy9kb3ducmV2LnhtbFBLAQIUABQAAAAIAIdO4kAUI0bxEAIAAEUEAAAOAAAA&#10;AAAAAAEAIAAAACgBAABkcnMvZTJvRG9jLnhtbFBLBQYAAAAABgAGAFkBAACqBQAAAAA=&#10;">
                <v:fill on="t" focussize="0,0"/>
                <v:stroke color="#000000" joinstyle="miter"/>
                <v:imagedata o:title=""/>
                <o:lock v:ext="edit" aspectratio="f"/>
                <v:textbo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pPr>
        <w:spacing w:line="360" w:lineRule="auto"/>
        <w:rPr>
          <w:rFonts w:hint="eastAsia" w:ascii="仿宋" w:hAnsi="仿宋" w:eastAsia="仿宋" w:cs="仿宋"/>
          <w:bCs/>
          <w:color w:val="auto"/>
          <w:sz w:val="24"/>
          <w:szCs w:val="24"/>
          <w:highlight w:val="none"/>
        </w:rPr>
      </w:pPr>
    </w:p>
    <w:p>
      <w:pPr>
        <w:spacing w:line="360" w:lineRule="auto"/>
        <w:rPr>
          <w:rFonts w:hint="eastAsia" w:ascii="仿宋" w:hAnsi="仿宋" w:eastAsia="仿宋" w:cs="仿宋"/>
          <w:bCs/>
          <w:color w:val="auto"/>
          <w:sz w:val="24"/>
          <w:szCs w:val="24"/>
          <w:highlight w:val="none"/>
        </w:rPr>
      </w:pPr>
    </w:p>
    <w:p>
      <w:pPr>
        <w:spacing w:line="360" w:lineRule="auto"/>
        <w:rPr>
          <w:rFonts w:hint="eastAsia" w:ascii="仿宋" w:hAnsi="仿宋" w:eastAsia="仿宋" w:cs="仿宋"/>
          <w:bCs/>
          <w:color w:val="auto"/>
          <w:sz w:val="24"/>
          <w:szCs w:val="24"/>
          <w:highlight w:val="none"/>
        </w:rPr>
      </w:pPr>
    </w:p>
    <w:p>
      <w:pPr>
        <w:spacing w:line="360" w:lineRule="auto"/>
        <w:rPr>
          <w:rFonts w:hint="eastAsia" w:ascii="仿宋" w:hAnsi="仿宋" w:eastAsia="仿宋" w:cs="仿宋"/>
          <w:bCs/>
          <w:color w:val="auto"/>
          <w:sz w:val="24"/>
          <w:szCs w:val="24"/>
          <w:highlight w:val="none"/>
        </w:rPr>
      </w:pPr>
    </w:p>
    <w:p>
      <w:pPr>
        <w:spacing w:line="360" w:lineRule="auto"/>
        <w:rPr>
          <w:rFonts w:hint="eastAsia" w:ascii="仿宋" w:hAnsi="仿宋" w:eastAsia="仿宋" w:cs="仿宋"/>
          <w:bCs/>
          <w:color w:val="auto"/>
          <w:sz w:val="24"/>
          <w:szCs w:val="24"/>
          <w:highlight w:val="none"/>
        </w:rPr>
      </w:pPr>
    </w:p>
    <w:p>
      <w:pPr>
        <w:pStyle w:val="25"/>
        <w:spacing w:line="360" w:lineRule="auto"/>
        <w:ind w:left="1620" w:hanging="42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pPr>
        <w:pStyle w:val="16"/>
        <w:rPr>
          <w:rFonts w:hint="eastAsia" w:ascii="仿宋" w:hAnsi="仿宋" w:eastAsia="仿宋" w:cs="仿宋"/>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5"/>
        <w:jc w:val="center"/>
        <w:rPr>
          <w:rStyle w:val="40"/>
          <w:rFonts w:hint="eastAsia" w:ascii="仿宋" w:hAnsi="仿宋" w:eastAsia="仿宋" w:cs="仿宋"/>
          <w:b/>
          <w:bCs w:val="0"/>
          <w:color w:val="auto"/>
          <w:sz w:val="24"/>
          <w:szCs w:val="24"/>
          <w:highlight w:val="none"/>
          <w:lang w:val="en-US" w:eastAsia="zh-CN"/>
        </w:rPr>
      </w:pPr>
      <w:bookmarkStart w:id="490" w:name="_Toc9258"/>
      <w:bookmarkStart w:id="491" w:name="_Toc17805"/>
      <w:bookmarkStart w:id="492" w:name="_Toc28582"/>
      <w:bookmarkStart w:id="493" w:name="_Toc50459038"/>
      <w:r>
        <w:rPr>
          <w:rStyle w:val="40"/>
          <w:rFonts w:hint="eastAsia" w:ascii="仿宋" w:hAnsi="仿宋" w:eastAsia="仿宋" w:cs="仿宋"/>
          <w:b/>
          <w:bCs w:val="0"/>
          <w:color w:val="auto"/>
          <w:sz w:val="24"/>
          <w:szCs w:val="24"/>
          <w:highlight w:val="none"/>
          <w:lang w:val="en-US" w:eastAsia="zh-CN"/>
        </w:rPr>
        <w:t>6、</w:t>
      </w:r>
      <w:bookmarkEnd w:id="490"/>
      <w:bookmarkEnd w:id="491"/>
      <w:bookmarkEnd w:id="492"/>
      <w:bookmarkEnd w:id="493"/>
      <w:r>
        <w:rPr>
          <w:rStyle w:val="40"/>
          <w:rFonts w:hint="eastAsia" w:ascii="仿宋" w:hAnsi="仿宋" w:eastAsia="仿宋" w:cs="仿宋"/>
          <w:b/>
          <w:bCs w:val="0"/>
          <w:color w:val="auto"/>
          <w:sz w:val="24"/>
          <w:szCs w:val="24"/>
          <w:highlight w:val="none"/>
          <w:lang w:val="en-US" w:eastAsia="zh-CN"/>
        </w:rPr>
        <w:t>投标保证金</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（后附</w:t>
      </w:r>
      <w:r>
        <w:rPr>
          <w:rFonts w:hint="eastAsia" w:ascii="仿宋" w:hAnsi="仿宋" w:eastAsia="仿宋" w:cs="仿宋"/>
          <w:b/>
          <w:color w:val="auto"/>
          <w:sz w:val="24"/>
          <w:szCs w:val="24"/>
          <w:highlight w:val="none"/>
          <w:lang w:val="en-US" w:eastAsia="zh-CN"/>
        </w:rPr>
        <w:t>汇款凭证或</w:t>
      </w:r>
      <w:r>
        <w:rPr>
          <w:rFonts w:hint="eastAsia" w:ascii="仿宋" w:hAnsi="仿宋" w:eastAsia="仿宋" w:cs="仿宋"/>
          <w:b/>
          <w:color w:val="auto"/>
          <w:sz w:val="24"/>
          <w:szCs w:val="24"/>
          <w:highlight w:val="none"/>
          <w:lang w:eastAsia="zh-CN"/>
        </w:rPr>
        <w:t>投标保函扫描件</w:t>
      </w:r>
      <w:r>
        <w:rPr>
          <w:rFonts w:hint="eastAsia" w:ascii="仿宋" w:hAnsi="仿宋" w:eastAsia="仿宋" w:cs="仿宋"/>
          <w:b/>
          <w:color w:val="auto"/>
          <w:sz w:val="24"/>
          <w:szCs w:val="24"/>
          <w:highlight w:val="none"/>
        </w:rPr>
        <w:t>）</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新疆华域建设工程项目管理咨询有限公司</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本单位已按</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要求，于年月日前以</w:t>
      </w:r>
      <w:r>
        <w:rPr>
          <w:rFonts w:hint="eastAsia" w:ascii="仿宋" w:hAnsi="仿宋" w:eastAsia="仿宋" w:cs="仿宋"/>
          <w:color w:val="auto"/>
          <w:sz w:val="24"/>
          <w:szCs w:val="24"/>
          <w:highlight w:val="none"/>
          <w:u w:val="single"/>
        </w:rPr>
        <w:t xml:space="preserve">  （付款形式 ）</w:t>
      </w:r>
      <w:r>
        <w:rPr>
          <w:rFonts w:hint="eastAsia" w:ascii="仿宋" w:hAnsi="仿宋" w:eastAsia="仿宋" w:cs="仿宋"/>
          <w:color w:val="auto"/>
          <w:sz w:val="24"/>
          <w:szCs w:val="24"/>
          <w:highlight w:val="none"/>
        </w:rPr>
        <w:t>方式汇入指定账户（账户名称：,账号,开户银行：。</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投标单位投标保证金的汇款情况：（详见附件一投标保证金进账单）</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汇出时间：年月日：</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汇款金额：（大写）人民币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元整</w:t>
      </w:r>
    </w:p>
    <w:p>
      <w:pPr>
        <w:spacing w:line="360" w:lineRule="auto"/>
        <w:ind w:firstLine="1680" w:firstLineChars="7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（小写：¥元）</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汇款账户名称：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（必须是投标时使用的单位名称）</w:t>
      </w:r>
    </w:p>
    <w:p>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帐号：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u w:val="single"/>
        </w:rPr>
        <w:t>（必须是投标时使用的账号）</w:t>
      </w:r>
    </w:p>
    <w:p>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（银行省市分行/支行）</w:t>
      </w:r>
    </w:p>
    <w:p>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行 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16"/>
        <w:rPr>
          <w:rFonts w:hint="eastAsia" w:ascii="仿宋" w:hAnsi="仿宋" w:eastAsia="仿宋" w:cs="仿宋"/>
          <w:color w:val="auto"/>
          <w:sz w:val="24"/>
          <w:szCs w:val="24"/>
          <w:highlight w:val="none"/>
          <w:u w:val="single"/>
        </w:rPr>
      </w:pP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本单位谨承诺上述资料是正确、真实的，如因上述证明与事实不符导致的一切损失，本单位保证承担赔偿等一切法律责任。</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投标保证金退回时，请按上述资料退回。</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（单位公章）</w:t>
      </w:r>
    </w:p>
    <w:p>
      <w:pPr>
        <w:spacing w:line="360" w:lineRule="auto"/>
        <w:ind w:firstLine="5280" w:firstLineChars="2200"/>
        <w:jc w:val="left"/>
        <w:rPr>
          <w:rFonts w:hint="eastAsia" w:ascii="仿宋" w:hAnsi="仿宋" w:eastAsia="仿宋" w:cs="仿宋"/>
          <w:color w:val="auto"/>
          <w:sz w:val="24"/>
          <w:szCs w:val="24"/>
          <w:highlight w:val="none"/>
        </w:rPr>
      </w:pPr>
    </w:p>
    <w:p>
      <w:pPr>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单位电话：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pStyle w:val="25"/>
        <w:spacing w:line="360" w:lineRule="auto"/>
        <w:rPr>
          <w:rFonts w:hint="eastAsia" w:ascii="仿宋" w:hAnsi="仿宋" w:eastAsia="仿宋" w:cs="仿宋"/>
          <w:b/>
          <w:bCs/>
          <w:color w:val="auto"/>
          <w:sz w:val="24"/>
          <w:szCs w:val="24"/>
          <w:highlight w:val="none"/>
        </w:rPr>
      </w:pPr>
    </w:p>
    <w:p>
      <w:pPr>
        <w:pStyle w:val="25"/>
        <w:spacing w:line="360" w:lineRule="auto"/>
        <w:rPr>
          <w:rFonts w:hint="eastAsia" w:ascii="仿宋" w:hAnsi="仿宋" w:eastAsia="仿宋" w:cs="仿宋"/>
          <w:b/>
          <w:bCs/>
          <w:color w:val="auto"/>
          <w:sz w:val="24"/>
          <w:szCs w:val="24"/>
          <w:highlight w:val="none"/>
        </w:rPr>
      </w:pPr>
    </w:p>
    <w:p>
      <w:pPr>
        <w:pStyle w:val="5"/>
        <w:jc w:val="center"/>
        <w:rPr>
          <w:rStyle w:val="40"/>
          <w:rFonts w:hint="eastAsia" w:ascii="仿宋" w:hAnsi="仿宋" w:eastAsia="仿宋" w:cs="仿宋"/>
          <w:b/>
          <w:bCs w:val="0"/>
          <w:color w:val="auto"/>
          <w:sz w:val="24"/>
          <w:szCs w:val="24"/>
          <w:highlight w:val="none"/>
          <w:lang w:val="en-US" w:eastAsia="zh-CN"/>
        </w:rPr>
      </w:pPr>
      <w:bookmarkStart w:id="494" w:name="_Toc8056"/>
      <w:r>
        <w:rPr>
          <w:rStyle w:val="40"/>
          <w:rFonts w:hint="eastAsia" w:ascii="仿宋" w:hAnsi="仿宋" w:eastAsia="仿宋" w:cs="仿宋"/>
          <w:b/>
          <w:bCs w:val="0"/>
          <w:color w:val="auto"/>
          <w:sz w:val="24"/>
          <w:szCs w:val="24"/>
          <w:highlight w:val="none"/>
          <w:lang w:val="en-US" w:eastAsia="zh-CN"/>
        </w:rPr>
        <w:t>7、技术条件响应/偏离表</w:t>
      </w:r>
      <w:bookmarkEnd w:id="494"/>
    </w:p>
    <w:p>
      <w:pPr>
        <w:spacing w:after="156" w:afterLines="5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招标服务要求</w:t>
            </w:r>
          </w:p>
        </w:tc>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投标服务响应</w:t>
            </w:r>
          </w:p>
        </w:tc>
        <w:tc>
          <w:tcPr>
            <w:tcW w:w="170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170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要求逐条对应填写。</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r>
        <w:rPr>
          <w:rFonts w:hint="eastAsia" w:ascii="仿宋" w:hAnsi="仿宋" w:eastAsia="仿宋" w:cs="仿宋"/>
          <w:color w:val="auto"/>
          <w:sz w:val="24"/>
          <w:szCs w:val="24"/>
          <w:highlight w:val="none"/>
          <w:u w:val="single"/>
        </w:rPr>
        <w:t>　　　　　　　　　　　　　　　</w:t>
      </w:r>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jc w:val="center"/>
        <w:rPr>
          <w:rStyle w:val="40"/>
          <w:rFonts w:hint="eastAsia" w:ascii="仿宋" w:hAnsi="仿宋" w:eastAsia="仿宋" w:cs="仿宋"/>
          <w:b/>
          <w:bCs w:val="0"/>
          <w:color w:val="auto"/>
          <w:sz w:val="24"/>
          <w:szCs w:val="24"/>
          <w:highlight w:val="none"/>
          <w:lang w:val="en-US" w:eastAsia="zh-CN"/>
        </w:rPr>
      </w:pPr>
      <w:bookmarkStart w:id="495" w:name="_Toc7233"/>
      <w:r>
        <w:rPr>
          <w:rStyle w:val="40"/>
          <w:rFonts w:hint="eastAsia" w:ascii="仿宋" w:hAnsi="仿宋" w:eastAsia="仿宋" w:cs="仿宋"/>
          <w:b/>
          <w:bCs w:val="0"/>
          <w:color w:val="auto"/>
          <w:sz w:val="24"/>
          <w:szCs w:val="24"/>
          <w:highlight w:val="none"/>
          <w:lang w:val="en-US" w:eastAsia="zh-CN"/>
        </w:rPr>
        <w:t>8、商务条件响应/偏离表</w:t>
      </w:r>
      <w:bookmarkEnd w:id="495"/>
    </w:p>
    <w:p>
      <w:pPr>
        <w:spacing w:after="156" w:afterLines="5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招标服务要求</w:t>
            </w:r>
          </w:p>
        </w:tc>
        <w:tc>
          <w:tcPr>
            <w:tcW w:w="170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投标服务响应</w:t>
            </w:r>
          </w:p>
        </w:tc>
        <w:tc>
          <w:tcPr>
            <w:tcW w:w="170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170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pPr>
              <w:spacing w:line="360" w:lineRule="auto"/>
              <w:jc w:val="center"/>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4"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c>
          <w:tcPr>
            <w:tcW w:w="1705" w:type="dxa"/>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要求逐条对应填写。</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r>
        <w:rPr>
          <w:rFonts w:hint="eastAsia" w:ascii="仿宋" w:hAnsi="仿宋" w:eastAsia="仿宋" w:cs="仿宋"/>
          <w:color w:val="auto"/>
          <w:sz w:val="24"/>
          <w:szCs w:val="24"/>
          <w:highlight w:val="none"/>
          <w:u w:val="single"/>
        </w:rPr>
        <w:t>　　　　　　　　　　　　　　　</w:t>
      </w:r>
    </w:p>
    <w:p>
      <w:pPr>
        <w:widowControl/>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widowControl/>
        <w:jc w:val="left"/>
        <w:rPr>
          <w:rFonts w:hint="eastAsia" w:ascii="仿宋" w:hAnsi="仿宋" w:eastAsia="仿宋" w:cs="仿宋"/>
          <w:b/>
          <w:bCs/>
          <w:color w:val="auto"/>
          <w:sz w:val="24"/>
          <w:szCs w:val="24"/>
          <w:highlight w:val="none"/>
        </w:rPr>
      </w:pPr>
    </w:p>
    <w:p>
      <w:pPr>
        <w:pStyle w:val="5"/>
        <w:jc w:val="center"/>
        <w:rPr>
          <w:rStyle w:val="40"/>
          <w:rFonts w:hint="eastAsia" w:ascii="仿宋" w:hAnsi="仿宋" w:eastAsia="仿宋" w:cs="仿宋"/>
          <w:b/>
          <w:bCs w:val="0"/>
          <w:color w:val="auto"/>
          <w:sz w:val="24"/>
          <w:szCs w:val="24"/>
          <w:highlight w:val="none"/>
          <w:lang w:val="en-US" w:eastAsia="zh-CN"/>
        </w:rPr>
      </w:pPr>
      <w:bookmarkStart w:id="496" w:name="_Toc16507"/>
      <w:r>
        <w:rPr>
          <w:rStyle w:val="40"/>
          <w:rFonts w:hint="eastAsia" w:ascii="仿宋" w:hAnsi="仿宋" w:eastAsia="仿宋" w:cs="仿宋"/>
          <w:b/>
          <w:bCs w:val="0"/>
          <w:color w:val="auto"/>
          <w:sz w:val="24"/>
          <w:szCs w:val="24"/>
          <w:highlight w:val="none"/>
          <w:lang w:val="en-US" w:eastAsia="zh-CN"/>
        </w:rPr>
        <w:t>9、投标人法人营业执照的证明材料、相关资质证书副本等材料的复印件以及商务因素、技术因素、服务因素所需证明资料（格式自拟）</w:t>
      </w:r>
      <w:bookmarkEnd w:id="496"/>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jc w:val="center"/>
        <w:rPr>
          <w:rStyle w:val="40"/>
          <w:rFonts w:hint="eastAsia" w:ascii="仿宋" w:hAnsi="仿宋" w:eastAsia="仿宋" w:cs="仿宋"/>
          <w:b/>
          <w:bCs w:val="0"/>
          <w:color w:val="auto"/>
          <w:sz w:val="24"/>
          <w:szCs w:val="24"/>
          <w:highlight w:val="none"/>
          <w:lang w:val="en-US" w:eastAsia="zh-CN"/>
        </w:rPr>
      </w:pPr>
      <w:bookmarkStart w:id="497" w:name="_Toc5499"/>
      <w:r>
        <w:rPr>
          <w:rStyle w:val="40"/>
          <w:rFonts w:hint="eastAsia" w:ascii="仿宋" w:hAnsi="仿宋" w:eastAsia="仿宋" w:cs="仿宋"/>
          <w:b/>
          <w:bCs w:val="0"/>
          <w:color w:val="auto"/>
          <w:sz w:val="24"/>
          <w:szCs w:val="24"/>
          <w:highlight w:val="none"/>
          <w:lang w:val="en-US" w:eastAsia="zh-CN"/>
        </w:rPr>
        <w:t>10、投标人近三年（2022年1月1日至今）类似项目业绩</w:t>
      </w:r>
      <w:bookmarkEnd w:id="497"/>
    </w:p>
    <w:tbl>
      <w:tblPr>
        <w:tblStyle w:val="34"/>
        <w:tblW w:w="10097"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003"/>
        <w:gridCol w:w="1925"/>
        <w:gridCol w:w="1180"/>
        <w:gridCol w:w="1740"/>
        <w:gridCol w:w="204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w:t>
            </w:r>
          </w:p>
        </w:tc>
        <w:tc>
          <w:tcPr>
            <w:tcW w:w="1740" w:type="dxa"/>
            <w:vAlign w:val="center"/>
          </w:tcPr>
          <w:p>
            <w:pPr>
              <w:pStyle w:val="25"/>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采购服务单位</w:t>
            </w:r>
          </w:p>
        </w:tc>
        <w:tc>
          <w:tcPr>
            <w:tcW w:w="2040" w:type="dxa"/>
            <w:vAlign w:val="center"/>
          </w:tcPr>
          <w:p>
            <w:pPr>
              <w:pStyle w:val="25"/>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医院等级类别</w:t>
            </w: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2"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03" w:type="dxa"/>
            <w:vAlign w:val="center"/>
          </w:tcPr>
          <w:p>
            <w:pPr>
              <w:pStyle w:val="25"/>
              <w:spacing w:line="360" w:lineRule="auto"/>
              <w:jc w:val="center"/>
              <w:rPr>
                <w:rFonts w:hint="eastAsia" w:ascii="仿宋" w:hAnsi="仿宋" w:eastAsia="仿宋" w:cs="仿宋"/>
                <w:color w:val="auto"/>
                <w:sz w:val="24"/>
                <w:szCs w:val="24"/>
                <w:highlight w:val="none"/>
              </w:rPr>
            </w:pPr>
          </w:p>
        </w:tc>
        <w:tc>
          <w:tcPr>
            <w:tcW w:w="1925" w:type="dxa"/>
            <w:vAlign w:val="center"/>
          </w:tcPr>
          <w:p>
            <w:pPr>
              <w:pStyle w:val="25"/>
              <w:spacing w:line="360" w:lineRule="auto"/>
              <w:jc w:val="center"/>
              <w:rPr>
                <w:rFonts w:hint="eastAsia" w:ascii="仿宋" w:hAnsi="仿宋" w:eastAsia="仿宋" w:cs="仿宋"/>
                <w:color w:val="auto"/>
                <w:sz w:val="24"/>
                <w:szCs w:val="24"/>
                <w:highlight w:val="none"/>
              </w:rPr>
            </w:pPr>
          </w:p>
        </w:tc>
        <w:tc>
          <w:tcPr>
            <w:tcW w:w="1180" w:type="dxa"/>
            <w:vAlign w:val="center"/>
          </w:tcPr>
          <w:p>
            <w:pPr>
              <w:pStyle w:val="25"/>
              <w:spacing w:line="360" w:lineRule="auto"/>
              <w:jc w:val="center"/>
              <w:rPr>
                <w:rFonts w:hint="eastAsia" w:ascii="仿宋" w:hAnsi="仿宋" w:eastAsia="仿宋" w:cs="仿宋"/>
                <w:color w:val="auto"/>
                <w:sz w:val="24"/>
                <w:szCs w:val="24"/>
                <w:highlight w:val="none"/>
              </w:rPr>
            </w:pPr>
          </w:p>
        </w:tc>
        <w:tc>
          <w:tcPr>
            <w:tcW w:w="17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2040" w:type="dxa"/>
            <w:vAlign w:val="center"/>
          </w:tcPr>
          <w:p>
            <w:pPr>
              <w:pStyle w:val="25"/>
              <w:spacing w:line="360" w:lineRule="auto"/>
              <w:jc w:val="center"/>
              <w:rPr>
                <w:rFonts w:hint="eastAsia" w:ascii="仿宋" w:hAnsi="仿宋" w:eastAsia="仿宋" w:cs="仿宋"/>
                <w:color w:val="auto"/>
                <w:sz w:val="24"/>
                <w:szCs w:val="24"/>
                <w:highlight w:val="none"/>
              </w:rPr>
            </w:pPr>
          </w:p>
        </w:tc>
        <w:tc>
          <w:tcPr>
            <w:tcW w:w="677" w:type="dxa"/>
            <w:vAlign w:val="center"/>
          </w:tcPr>
          <w:p>
            <w:pPr>
              <w:pStyle w:val="25"/>
              <w:spacing w:line="360" w:lineRule="auto"/>
              <w:jc w:val="center"/>
              <w:rPr>
                <w:rFonts w:hint="eastAsia" w:ascii="仿宋" w:hAnsi="仿宋" w:eastAsia="仿宋" w:cs="仿宋"/>
                <w:color w:val="auto"/>
                <w:sz w:val="24"/>
                <w:szCs w:val="24"/>
                <w:highlight w:val="none"/>
              </w:rPr>
            </w:pPr>
          </w:p>
        </w:tc>
      </w:tr>
    </w:tbl>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投标人填写本表的同时，须</w:t>
      </w:r>
      <w:r>
        <w:rPr>
          <w:rFonts w:hint="eastAsia" w:ascii="仿宋" w:hAnsi="仿宋" w:eastAsia="仿宋" w:cs="仿宋"/>
          <w:b w:val="0"/>
          <w:bCs w:val="0"/>
          <w:color w:val="auto"/>
          <w:kern w:val="2"/>
          <w:sz w:val="24"/>
          <w:szCs w:val="24"/>
          <w:highlight w:val="none"/>
          <w:lang w:val="en-US" w:eastAsia="zh-CN" w:bidi="ar-SA"/>
        </w:rPr>
        <w:t>提供中标（成交）通知书或合同复印件加盖公章</w:t>
      </w:r>
      <w:r>
        <w:rPr>
          <w:rFonts w:hint="eastAsia" w:ascii="仿宋" w:hAnsi="仿宋" w:eastAsia="仿宋" w:cs="仿宋"/>
          <w:color w:val="auto"/>
          <w:sz w:val="24"/>
          <w:szCs w:val="24"/>
          <w:highlight w:val="none"/>
        </w:rPr>
        <w:t>；</w:t>
      </w:r>
    </w:p>
    <w:p>
      <w:pPr>
        <w:pStyle w:val="2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投标人填写的内容必须真实可靠，如有虚假或者隐瞒，一经查实投标将被否决</w:t>
      </w:r>
      <w:r>
        <w:rPr>
          <w:rFonts w:hint="eastAsia" w:ascii="仿宋" w:hAnsi="仿宋" w:eastAsia="仿宋" w:cs="仿宋"/>
          <w:color w:val="auto"/>
          <w:sz w:val="24"/>
          <w:szCs w:val="24"/>
          <w:highlight w:val="none"/>
          <w:lang w:eastAsia="zh-CN"/>
        </w:rPr>
        <w:t>。</w:t>
      </w:r>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jc w:val="center"/>
        <w:rPr>
          <w:rStyle w:val="40"/>
          <w:rFonts w:hint="eastAsia" w:ascii="仿宋" w:hAnsi="仿宋" w:eastAsia="仿宋" w:cs="仿宋"/>
          <w:b/>
          <w:bCs w:val="0"/>
          <w:color w:val="auto"/>
          <w:sz w:val="24"/>
          <w:szCs w:val="24"/>
          <w:highlight w:val="none"/>
          <w:lang w:val="en-US" w:eastAsia="zh-CN"/>
        </w:rPr>
      </w:pPr>
      <w:bookmarkStart w:id="498" w:name="_Toc10599_WPSOffice_Level1"/>
      <w:bookmarkStart w:id="499" w:name="_Toc23838"/>
      <w:r>
        <w:rPr>
          <w:rStyle w:val="40"/>
          <w:rFonts w:hint="eastAsia" w:ascii="仿宋" w:hAnsi="仿宋" w:eastAsia="仿宋" w:cs="仿宋"/>
          <w:b/>
          <w:bCs w:val="0"/>
          <w:color w:val="auto"/>
          <w:sz w:val="24"/>
          <w:szCs w:val="24"/>
          <w:highlight w:val="none"/>
          <w:lang w:val="en-US" w:eastAsia="zh-CN"/>
        </w:rPr>
        <w:t>11、项目</w:t>
      </w:r>
      <w:bookmarkEnd w:id="498"/>
      <w:r>
        <w:rPr>
          <w:rStyle w:val="40"/>
          <w:rFonts w:hint="eastAsia" w:ascii="仿宋" w:hAnsi="仿宋" w:eastAsia="仿宋" w:cs="仿宋"/>
          <w:b/>
          <w:bCs w:val="0"/>
          <w:color w:val="auto"/>
          <w:sz w:val="24"/>
          <w:szCs w:val="24"/>
          <w:highlight w:val="none"/>
          <w:lang w:val="en-US" w:eastAsia="zh-CN"/>
        </w:rPr>
        <w:t>服务方案、质量保障措施、承诺等内容</w:t>
      </w:r>
      <w:bookmarkEnd w:id="499"/>
    </w:p>
    <w:p>
      <w:pPr>
        <w:pStyle w:val="5"/>
        <w:jc w:val="center"/>
        <w:rPr>
          <w:rFonts w:hint="eastAsia" w:ascii="仿宋" w:hAnsi="仿宋" w:eastAsia="仿宋" w:cs="仿宋"/>
          <w:b/>
          <w:color w:val="auto"/>
          <w:sz w:val="24"/>
          <w:szCs w:val="24"/>
          <w:highlight w:val="none"/>
        </w:rPr>
      </w:pPr>
      <w:bookmarkStart w:id="500" w:name="_Toc20286"/>
      <w:r>
        <w:rPr>
          <w:rStyle w:val="40"/>
          <w:rFonts w:hint="eastAsia" w:ascii="仿宋" w:hAnsi="仿宋" w:eastAsia="仿宋" w:cs="仿宋"/>
          <w:b/>
          <w:bCs w:val="0"/>
          <w:color w:val="auto"/>
          <w:sz w:val="24"/>
          <w:szCs w:val="24"/>
          <w:highlight w:val="none"/>
          <w:lang w:val="en-US" w:eastAsia="zh-CN"/>
        </w:rPr>
        <w:t>格式自拟</w:t>
      </w:r>
      <w:bookmarkEnd w:id="500"/>
    </w:p>
    <w:p>
      <w:pPr>
        <w:widowControl/>
        <w:jc w:val="left"/>
        <w:rPr>
          <w:rFonts w:hint="eastAsia" w:ascii="仿宋" w:hAnsi="仿宋" w:eastAsia="仿宋" w:cs="仿宋"/>
          <w:b/>
          <w:color w:val="auto"/>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pStyle w:val="20"/>
        <w:rPr>
          <w:rFonts w:hint="eastAsia" w:ascii="仿宋" w:hAnsi="仿宋" w:eastAsia="仿宋" w:cs="仿宋"/>
          <w:color w:val="auto"/>
          <w:sz w:val="24"/>
          <w:szCs w:val="24"/>
          <w:highlight w:val="none"/>
        </w:rPr>
      </w:pPr>
    </w:p>
    <w:p>
      <w:pPr>
        <w:widowControl/>
        <w:spacing w:line="360" w:lineRule="auto"/>
        <w:ind w:firstLine="899"/>
        <w:jc w:val="left"/>
        <w:rPr>
          <w:rFonts w:hint="eastAsia" w:ascii="仿宋" w:hAnsi="仿宋" w:eastAsia="仿宋" w:cs="仿宋"/>
          <w:color w:val="auto"/>
          <w:kern w:val="0"/>
          <w:sz w:val="24"/>
          <w:szCs w:val="24"/>
          <w:highlight w:val="none"/>
        </w:rPr>
      </w:pPr>
    </w:p>
    <w:p>
      <w:pPr>
        <w:pStyle w:val="5"/>
        <w:jc w:val="center"/>
        <w:rPr>
          <w:rStyle w:val="40"/>
          <w:rFonts w:hint="eastAsia" w:ascii="仿宋" w:hAnsi="仿宋" w:eastAsia="仿宋" w:cs="仿宋"/>
          <w:b/>
          <w:bCs w:val="0"/>
          <w:color w:val="auto"/>
          <w:sz w:val="24"/>
          <w:szCs w:val="24"/>
          <w:highlight w:val="none"/>
          <w:lang w:val="en-US" w:eastAsia="zh-CN"/>
        </w:rPr>
      </w:pPr>
      <w:bookmarkStart w:id="501" w:name="_Toc1779"/>
      <w:bookmarkStart w:id="502" w:name="_Toc45795252"/>
      <w:r>
        <w:rPr>
          <w:rStyle w:val="40"/>
          <w:rFonts w:hint="eastAsia" w:ascii="仿宋" w:hAnsi="仿宋" w:eastAsia="仿宋" w:cs="仿宋"/>
          <w:b/>
          <w:bCs w:val="0"/>
          <w:color w:val="auto"/>
          <w:sz w:val="24"/>
          <w:szCs w:val="24"/>
          <w:highlight w:val="none"/>
          <w:lang w:val="en-US" w:eastAsia="zh-CN"/>
        </w:rPr>
        <w:t>12、投标人基本情况说明</w:t>
      </w:r>
      <w:bookmarkEnd w:id="501"/>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公司简介：</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p>
    <w:p>
      <w:pPr>
        <w:pStyle w:val="2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企业信息一览表</w:t>
      </w:r>
    </w:p>
    <w:tbl>
      <w:tblPr>
        <w:tblStyle w:val="34"/>
        <w:tblW w:w="9682"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217"/>
        <w:gridCol w:w="1217"/>
        <w:gridCol w:w="1217"/>
        <w:gridCol w:w="1218"/>
        <w:gridCol w:w="121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投标人名称</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注册地址</w:t>
            </w:r>
          </w:p>
        </w:tc>
        <w:tc>
          <w:tcPr>
            <w:tcW w:w="3651" w:type="dxa"/>
            <w:gridSpan w:val="3"/>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1218"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邮政编码</w:t>
            </w:r>
          </w:p>
        </w:tc>
        <w:tc>
          <w:tcPr>
            <w:tcW w:w="3077"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36" w:type="dxa"/>
            <w:vMerge w:val="restart"/>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联系方式</w:t>
            </w:r>
          </w:p>
        </w:tc>
        <w:tc>
          <w:tcPr>
            <w:tcW w:w="1217"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联系人</w:t>
            </w:r>
          </w:p>
        </w:tc>
        <w:tc>
          <w:tcPr>
            <w:tcW w:w="2434"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1218"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联系电话</w:t>
            </w:r>
          </w:p>
        </w:tc>
        <w:tc>
          <w:tcPr>
            <w:tcW w:w="3077"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36" w:type="dxa"/>
            <w:vMerge w:val="continue"/>
            <w:vAlign w:val="center"/>
          </w:tcPr>
          <w:p>
            <w:pPr>
              <w:pStyle w:val="20"/>
              <w:jc w:val="center"/>
              <w:rPr>
                <w:rFonts w:hint="eastAsia" w:ascii="仿宋" w:hAnsi="仿宋" w:eastAsia="仿宋" w:cs="仿宋"/>
                <w:color w:val="auto"/>
                <w:sz w:val="24"/>
                <w:szCs w:val="24"/>
                <w:highlight w:val="none"/>
                <w:vertAlign w:val="baseline"/>
                <w:lang w:val="en-US" w:eastAsia="zh-CN"/>
              </w:rPr>
            </w:pPr>
          </w:p>
        </w:tc>
        <w:tc>
          <w:tcPr>
            <w:tcW w:w="1217"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传真</w:t>
            </w:r>
          </w:p>
        </w:tc>
        <w:tc>
          <w:tcPr>
            <w:tcW w:w="2434"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1218"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邮箱</w:t>
            </w:r>
          </w:p>
        </w:tc>
        <w:tc>
          <w:tcPr>
            <w:tcW w:w="3077"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企业性质</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法定代表人</w:t>
            </w:r>
          </w:p>
        </w:tc>
        <w:tc>
          <w:tcPr>
            <w:tcW w:w="1217"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姓名</w:t>
            </w:r>
          </w:p>
        </w:tc>
        <w:tc>
          <w:tcPr>
            <w:tcW w:w="1217" w:type="dxa"/>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1217"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技术职称</w:t>
            </w:r>
          </w:p>
        </w:tc>
        <w:tc>
          <w:tcPr>
            <w:tcW w:w="1218" w:type="dxa"/>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1218"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电话</w:t>
            </w:r>
          </w:p>
        </w:tc>
        <w:tc>
          <w:tcPr>
            <w:tcW w:w="1859" w:type="dxa"/>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技术负责人</w:t>
            </w:r>
          </w:p>
        </w:tc>
        <w:tc>
          <w:tcPr>
            <w:tcW w:w="1217" w:type="dxa"/>
            <w:vAlign w:val="center"/>
          </w:tcPr>
          <w:p>
            <w:pPr>
              <w:pStyle w:val="2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姓名</w:t>
            </w:r>
          </w:p>
        </w:tc>
        <w:tc>
          <w:tcPr>
            <w:tcW w:w="1217" w:type="dxa"/>
            <w:vAlign w:val="center"/>
          </w:tcPr>
          <w:p>
            <w:pPr>
              <w:pStyle w:val="20"/>
              <w:jc w:val="center"/>
              <w:rPr>
                <w:rFonts w:hint="eastAsia" w:ascii="仿宋" w:hAnsi="仿宋" w:eastAsia="仿宋" w:cs="仿宋"/>
                <w:color w:val="auto"/>
                <w:kern w:val="2"/>
                <w:sz w:val="24"/>
                <w:szCs w:val="24"/>
                <w:highlight w:val="none"/>
                <w:vertAlign w:val="baseline"/>
                <w:lang w:val="en-US" w:eastAsia="zh-CN" w:bidi="ar-SA"/>
              </w:rPr>
            </w:pPr>
          </w:p>
        </w:tc>
        <w:tc>
          <w:tcPr>
            <w:tcW w:w="1217" w:type="dxa"/>
            <w:vAlign w:val="center"/>
          </w:tcPr>
          <w:p>
            <w:pPr>
              <w:pStyle w:val="2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技术职称</w:t>
            </w:r>
          </w:p>
        </w:tc>
        <w:tc>
          <w:tcPr>
            <w:tcW w:w="1218" w:type="dxa"/>
            <w:vAlign w:val="center"/>
          </w:tcPr>
          <w:p>
            <w:pPr>
              <w:pStyle w:val="20"/>
              <w:jc w:val="center"/>
              <w:rPr>
                <w:rFonts w:hint="eastAsia" w:ascii="仿宋" w:hAnsi="仿宋" w:eastAsia="仿宋" w:cs="仿宋"/>
                <w:color w:val="auto"/>
                <w:kern w:val="2"/>
                <w:sz w:val="24"/>
                <w:szCs w:val="24"/>
                <w:highlight w:val="none"/>
                <w:vertAlign w:val="baseline"/>
                <w:lang w:val="en-US" w:eastAsia="zh-CN" w:bidi="ar-SA"/>
              </w:rPr>
            </w:pPr>
          </w:p>
        </w:tc>
        <w:tc>
          <w:tcPr>
            <w:tcW w:w="1218" w:type="dxa"/>
            <w:vAlign w:val="center"/>
          </w:tcPr>
          <w:p>
            <w:pPr>
              <w:pStyle w:val="2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电话</w:t>
            </w:r>
          </w:p>
        </w:tc>
        <w:tc>
          <w:tcPr>
            <w:tcW w:w="1859" w:type="dxa"/>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成立时间</w:t>
            </w:r>
          </w:p>
        </w:tc>
        <w:tc>
          <w:tcPr>
            <w:tcW w:w="2434" w:type="dxa"/>
            <w:gridSpan w:val="2"/>
            <w:vAlign w:val="center"/>
          </w:tcPr>
          <w:p>
            <w:pPr>
              <w:pStyle w:val="20"/>
              <w:jc w:val="center"/>
              <w:rPr>
                <w:rFonts w:hint="eastAsia" w:ascii="仿宋" w:hAnsi="仿宋" w:eastAsia="仿宋" w:cs="仿宋"/>
                <w:color w:val="auto"/>
                <w:sz w:val="24"/>
                <w:szCs w:val="24"/>
                <w:highlight w:val="none"/>
                <w:vertAlign w:val="baseline"/>
                <w:lang w:eastAsia="zh-CN"/>
              </w:rPr>
            </w:pPr>
          </w:p>
        </w:tc>
        <w:tc>
          <w:tcPr>
            <w:tcW w:w="5512" w:type="dxa"/>
            <w:gridSpan w:val="4"/>
            <w:vAlign w:val="center"/>
          </w:tcPr>
          <w:p>
            <w:pPr>
              <w:pStyle w:val="2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营业执照号</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注册时间</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开户银行</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银行账号</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36" w:type="dxa"/>
            <w:vAlign w:val="center"/>
          </w:tcPr>
          <w:p>
            <w:pPr>
              <w:pStyle w:val="2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经营范围备注</w:t>
            </w:r>
          </w:p>
        </w:tc>
        <w:tc>
          <w:tcPr>
            <w:tcW w:w="7946" w:type="dxa"/>
            <w:gridSpan w:val="6"/>
            <w:vAlign w:val="center"/>
          </w:tcPr>
          <w:p>
            <w:pPr>
              <w:pStyle w:val="20"/>
              <w:jc w:val="center"/>
              <w:rPr>
                <w:rFonts w:hint="eastAsia" w:ascii="仿宋" w:hAnsi="仿宋" w:eastAsia="仿宋" w:cs="仿宋"/>
                <w:color w:val="auto"/>
                <w:sz w:val="24"/>
                <w:szCs w:val="24"/>
                <w:highlight w:val="none"/>
                <w:vertAlign w:val="baseline"/>
                <w:lang w:eastAsia="zh-CN"/>
              </w:rPr>
            </w:pPr>
          </w:p>
        </w:tc>
      </w:tr>
    </w:tbl>
    <w:p>
      <w:pPr>
        <w:spacing w:line="420" w:lineRule="exact"/>
        <w:ind w:right="561"/>
        <w:rPr>
          <w:rFonts w:hint="eastAsia" w:ascii="仿宋" w:hAnsi="仿宋" w:eastAsia="仿宋" w:cs="仿宋"/>
          <w:color w:val="auto"/>
          <w:sz w:val="24"/>
          <w:szCs w:val="24"/>
          <w:highlight w:val="none"/>
        </w:rPr>
      </w:pPr>
    </w:p>
    <w:p>
      <w:pPr>
        <w:spacing w:line="42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spacing w:line="42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法定代表人或受委托人（签名或盖私章）：</w:t>
      </w:r>
    </w:p>
    <w:p>
      <w:pPr>
        <w:spacing w:line="42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pStyle w:val="5"/>
        <w:jc w:val="center"/>
        <w:rPr>
          <w:rStyle w:val="40"/>
          <w:rFonts w:hint="eastAsia" w:ascii="仿宋" w:hAnsi="仿宋" w:eastAsia="仿宋" w:cs="仿宋"/>
          <w:b/>
          <w:bCs w:val="0"/>
          <w:color w:val="auto"/>
          <w:sz w:val="24"/>
          <w:szCs w:val="24"/>
          <w:highlight w:val="none"/>
          <w:lang w:val="en-US" w:eastAsia="zh-CN"/>
        </w:rPr>
      </w:pPr>
      <w:bookmarkStart w:id="503" w:name="_Toc14849"/>
      <w:r>
        <w:rPr>
          <w:rStyle w:val="40"/>
          <w:rFonts w:hint="eastAsia" w:ascii="仿宋" w:hAnsi="仿宋" w:eastAsia="仿宋" w:cs="仿宋"/>
          <w:b/>
          <w:bCs w:val="0"/>
          <w:color w:val="auto"/>
          <w:sz w:val="24"/>
          <w:szCs w:val="24"/>
          <w:highlight w:val="none"/>
          <w:lang w:val="en-US" w:eastAsia="zh-CN"/>
        </w:rPr>
        <w:t>13、项目人员配置情况表</w:t>
      </w:r>
      <w:bookmarkEnd w:id="503"/>
    </w:p>
    <w:p>
      <w:pPr>
        <w:pStyle w:val="74"/>
        <w:spacing w:line="420" w:lineRule="exact"/>
        <w:ind w:left="638" w:hanging="696" w:hangingChars="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3"/>
        <w:tblpPr w:leftFromText="180" w:rightFromText="180" w:vertAnchor="text" w:tblpXSpec="center" w:tblpY="1"/>
        <w:tblOverlap w:val="never"/>
        <w:tblW w:w="89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050"/>
        <w:gridCol w:w="1260"/>
        <w:gridCol w:w="1575"/>
        <w:gridCol w:w="1365"/>
        <w:gridCol w:w="1050"/>
        <w:gridCol w:w="1050"/>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8" w:type="dxa"/>
            <w:vMerge w:val="restart"/>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50" w:type="dxa"/>
            <w:vMerge w:val="restart"/>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姓名</w:t>
            </w:r>
          </w:p>
        </w:tc>
        <w:tc>
          <w:tcPr>
            <w:tcW w:w="1260" w:type="dxa"/>
            <w:vMerge w:val="restart"/>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职务</w:t>
            </w:r>
          </w:p>
        </w:tc>
        <w:tc>
          <w:tcPr>
            <w:tcW w:w="5040" w:type="dxa"/>
            <w:gridSpan w:val="4"/>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执业或职业资格证明</w:t>
            </w:r>
          </w:p>
        </w:tc>
        <w:tc>
          <w:tcPr>
            <w:tcW w:w="876" w:type="dxa"/>
            <w:vMerge w:val="restart"/>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38" w:type="dxa"/>
            <w:vMerge w:val="continue"/>
            <w:noWrap w:val="0"/>
            <w:vAlign w:val="center"/>
          </w:tcPr>
          <w:p>
            <w:pPr>
              <w:jc w:val="center"/>
              <w:rPr>
                <w:rFonts w:hint="eastAsia" w:ascii="仿宋" w:hAnsi="仿宋" w:eastAsia="仿宋" w:cs="仿宋"/>
                <w:b/>
                <w:color w:val="auto"/>
                <w:sz w:val="24"/>
                <w:szCs w:val="24"/>
                <w:highlight w:val="none"/>
              </w:rPr>
            </w:pPr>
          </w:p>
        </w:tc>
        <w:tc>
          <w:tcPr>
            <w:tcW w:w="1050" w:type="dxa"/>
            <w:vMerge w:val="continue"/>
            <w:noWrap w:val="0"/>
            <w:vAlign w:val="center"/>
          </w:tcPr>
          <w:p>
            <w:pPr>
              <w:jc w:val="center"/>
              <w:rPr>
                <w:rFonts w:hint="eastAsia" w:ascii="仿宋" w:hAnsi="仿宋" w:eastAsia="仿宋" w:cs="仿宋"/>
                <w:b/>
                <w:color w:val="auto"/>
                <w:sz w:val="24"/>
                <w:szCs w:val="24"/>
                <w:highlight w:val="none"/>
              </w:rPr>
            </w:pPr>
          </w:p>
        </w:tc>
        <w:tc>
          <w:tcPr>
            <w:tcW w:w="1260" w:type="dxa"/>
            <w:vMerge w:val="continue"/>
            <w:noWrap w:val="0"/>
            <w:vAlign w:val="center"/>
          </w:tcPr>
          <w:p>
            <w:pPr>
              <w:jc w:val="center"/>
              <w:rPr>
                <w:rFonts w:hint="eastAsia" w:ascii="仿宋" w:hAnsi="仿宋" w:eastAsia="仿宋" w:cs="仿宋"/>
                <w:b/>
                <w:color w:val="auto"/>
                <w:sz w:val="24"/>
                <w:szCs w:val="24"/>
                <w:highlight w:val="none"/>
              </w:rPr>
            </w:pPr>
          </w:p>
        </w:tc>
        <w:tc>
          <w:tcPr>
            <w:tcW w:w="157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证书名称</w:t>
            </w:r>
          </w:p>
        </w:tc>
        <w:tc>
          <w:tcPr>
            <w:tcW w:w="136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证号</w:t>
            </w:r>
          </w:p>
        </w:tc>
        <w:tc>
          <w:tcPr>
            <w:tcW w:w="105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级别</w:t>
            </w:r>
          </w:p>
        </w:tc>
        <w:tc>
          <w:tcPr>
            <w:tcW w:w="105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专业</w:t>
            </w:r>
          </w:p>
        </w:tc>
        <w:tc>
          <w:tcPr>
            <w:tcW w:w="876" w:type="dxa"/>
            <w:vMerge w:val="continue"/>
            <w:noWrap w:val="0"/>
            <w:vAlign w:val="center"/>
          </w:tcPr>
          <w:p>
            <w:pPr>
              <w:jc w:val="center"/>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260" w:type="dxa"/>
            <w:noWrap w:val="0"/>
            <w:vAlign w:val="center"/>
          </w:tcPr>
          <w:p>
            <w:pPr>
              <w:jc w:val="center"/>
              <w:rPr>
                <w:rFonts w:hint="eastAsia" w:ascii="仿宋" w:hAnsi="仿宋" w:eastAsia="仿宋" w:cs="仿宋"/>
                <w:color w:val="auto"/>
                <w:sz w:val="24"/>
                <w:szCs w:val="24"/>
                <w:highlight w:val="none"/>
              </w:rPr>
            </w:pPr>
          </w:p>
        </w:tc>
        <w:tc>
          <w:tcPr>
            <w:tcW w:w="1575" w:type="dxa"/>
            <w:noWrap w:val="0"/>
            <w:vAlign w:val="center"/>
          </w:tcPr>
          <w:p>
            <w:pPr>
              <w:jc w:val="center"/>
              <w:rPr>
                <w:rFonts w:hint="eastAsia" w:ascii="仿宋" w:hAnsi="仿宋" w:eastAsia="仿宋" w:cs="仿宋"/>
                <w:color w:val="auto"/>
                <w:sz w:val="24"/>
                <w:szCs w:val="24"/>
                <w:highlight w:val="none"/>
              </w:rPr>
            </w:pPr>
          </w:p>
        </w:tc>
        <w:tc>
          <w:tcPr>
            <w:tcW w:w="1365" w:type="dxa"/>
            <w:noWrap w:val="0"/>
            <w:vAlign w:val="top"/>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1050" w:type="dxa"/>
            <w:noWrap w:val="0"/>
            <w:vAlign w:val="center"/>
          </w:tcPr>
          <w:p>
            <w:pPr>
              <w:jc w:val="center"/>
              <w:rPr>
                <w:rFonts w:hint="eastAsia" w:ascii="仿宋" w:hAnsi="仿宋" w:eastAsia="仿宋" w:cs="仿宋"/>
                <w:color w:val="auto"/>
                <w:sz w:val="24"/>
                <w:szCs w:val="24"/>
                <w:highlight w:val="none"/>
              </w:rPr>
            </w:pPr>
          </w:p>
        </w:tc>
        <w:tc>
          <w:tcPr>
            <w:tcW w:w="876" w:type="dxa"/>
            <w:noWrap w:val="0"/>
            <w:vAlign w:val="top"/>
          </w:tcPr>
          <w:p>
            <w:pPr>
              <w:jc w:val="center"/>
              <w:rPr>
                <w:rFonts w:hint="eastAsia" w:ascii="仿宋" w:hAnsi="仿宋" w:eastAsia="仿宋" w:cs="仿宋"/>
                <w:color w:val="auto"/>
                <w:sz w:val="24"/>
                <w:szCs w:val="24"/>
                <w:highlight w:val="none"/>
              </w:rPr>
            </w:pPr>
          </w:p>
        </w:tc>
      </w:tr>
    </w:tbl>
    <w:p>
      <w:pPr>
        <w:numPr>
          <w:ilvl w:val="0"/>
          <w:numId w:val="61"/>
        </w:num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主要人员简历表</w:t>
      </w:r>
    </w:p>
    <w:p>
      <w:pPr>
        <w:pStyle w:val="20"/>
        <w:rPr>
          <w:rFonts w:hint="eastAsia" w:ascii="仿宋" w:hAnsi="仿宋" w:eastAsia="仿宋" w:cs="仿宋"/>
          <w:color w:val="auto"/>
          <w:sz w:val="24"/>
          <w:szCs w:val="24"/>
          <w:highlight w:val="none"/>
        </w:rPr>
      </w:pPr>
    </w:p>
    <w:p>
      <w:pPr>
        <w:numPr>
          <w:ilvl w:val="0"/>
          <w:numId w:val="0"/>
        </w:numPr>
        <w:jc w:val="both"/>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项目名称：                                项目编号：</w:t>
      </w:r>
    </w:p>
    <w:tbl>
      <w:tblPr>
        <w:tblStyle w:val="33"/>
        <w:tblpPr w:leftFromText="180" w:rightFromText="180" w:vertAnchor="text" w:horzAnchor="page" w:tblpX="1572" w:tblpY="412"/>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5"/>
        <w:gridCol w:w="1354"/>
        <w:gridCol w:w="846"/>
        <w:gridCol w:w="1029"/>
        <w:gridCol w:w="535"/>
        <w:gridCol w:w="15"/>
        <w:gridCol w:w="1463"/>
        <w:gridCol w:w="96"/>
        <w:gridCol w:w="10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53"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6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029"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13"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1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58"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5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262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20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158"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2410"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63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相关经验年限</w:t>
            </w:r>
          </w:p>
        </w:tc>
        <w:tc>
          <w:tcPr>
            <w:tcW w:w="1158"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资格证书名称、编号</w:t>
            </w:r>
          </w:p>
        </w:tc>
        <w:tc>
          <w:tcPr>
            <w:tcW w:w="6202" w:type="dxa"/>
            <w:gridSpan w:val="8"/>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34" w:type="dxa"/>
            <w:gridSpan w:val="11"/>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类似项目名称</w:t>
            </w: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所任职务</w:t>
            </w: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8" w:type="dxa"/>
            <w:gridSpan w:val="2"/>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仿宋" w:hAnsi="仿宋" w:eastAsia="仿宋" w:cs="仿宋"/>
                <w:color w:val="auto"/>
                <w:sz w:val="24"/>
                <w:szCs w:val="24"/>
                <w:highlight w:val="none"/>
              </w:rPr>
            </w:pPr>
          </w:p>
        </w:tc>
      </w:tr>
    </w:tbl>
    <w:p>
      <w:pPr>
        <w:pStyle w:val="74"/>
        <w:spacing w:line="420" w:lineRule="exact"/>
        <w:ind w:left="638" w:hanging="696" w:hangingChars="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6"/>
        <w:overflowPunct w:val="0"/>
        <w:spacing w:line="520" w:lineRule="atLeas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我方承诺上述材料真实有效且具备履行合同所必需的专业技术能力。 </w:t>
      </w:r>
    </w:p>
    <w:p>
      <w:pPr>
        <w:pStyle w:val="16"/>
        <w:spacing w:after="0" w:line="360" w:lineRule="auto"/>
        <w:rPr>
          <w:rFonts w:hint="eastAsia" w:ascii="仿宋" w:hAnsi="仿宋" w:eastAsia="仿宋" w:cs="仿宋"/>
          <w:color w:val="auto"/>
          <w:sz w:val="24"/>
          <w:szCs w:val="24"/>
          <w:highlight w:val="none"/>
        </w:rPr>
      </w:pPr>
    </w:p>
    <w:p>
      <w:pPr>
        <w:pStyle w:val="16"/>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pPr>
        <w:pStyle w:val="16"/>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pPr>
        <w:spacing w:line="48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pPr>
        <w:pStyle w:val="5"/>
        <w:jc w:val="center"/>
        <w:rPr>
          <w:rStyle w:val="40"/>
          <w:rFonts w:hint="eastAsia" w:ascii="仿宋" w:hAnsi="仿宋" w:eastAsia="仿宋" w:cs="仿宋"/>
          <w:b/>
          <w:bCs w:val="0"/>
          <w:color w:val="auto"/>
          <w:sz w:val="24"/>
          <w:szCs w:val="24"/>
          <w:highlight w:val="none"/>
          <w:lang w:val="en-US" w:eastAsia="zh-CN"/>
        </w:rPr>
      </w:pPr>
      <w:bookmarkStart w:id="504" w:name="_Toc17664"/>
      <w:r>
        <w:rPr>
          <w:rStyle w:val="40"/>
          <w:rFonts w:hint="eastAsia" w:ascii="仿宋" w:hAnsi="仿宋" w:eastAsia="仿宋" w:cs="仿宋"/>
          <w:b/>
          <w:bCs w:val="0"/>
          <w:color w:val="auto"/>
          <w:sz w:val="24"/>
          <w:szCs w:val="24"/>
          <w:highlight w:val="none"/>
          <w:lang w:val="en-US" w:eastAsia="zh-CN"/>
        </w:rPr>
        <w:t>14、投标人认为需要提供的其他材料说明</w:t>
      </w:r>
      <w:bookmarkEnd w:id="504"/>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附件1、</w:t>
      </w:r>
      <w:r>
        <w:rPr>
          <w:rFonts w:hint="eastAsia" w:ascii="仿宋" w:hAnsi="仿宋" w:eastAsia="仿宋" w:cs="仿宋"/>
          <w:b/>
          <w:color w:val="auto"/>
          <w:sz w:val="24"/>
          <w:szCs w:val="24"/>
          <w:highlight w:val="none"/>
        </w:rPr>
        <w:t xml:space="preserve">在经营活动中没有重大违法记录的书面声明 </w:t>
      </w:r>
    </w:p>
    <w:p>
      <w:pPr>
        <w:pStyle w:val="74"/>
        <w:spacing w:line="360" w:lineRule="atLeast"/>
        <w:ind w:firstLine="494"/>
        <w:rPr>
          <w:rFonts w:hint="eastAsia" w:ascii="仿宋" w:hAnsi="仿宋" w:eastAsia="仿宋" w:cs="仿宋"/>
          <w:color w:val="auto"/>
          <w:sz w:val="24"/>
          <w:szCs w:val="24"/>
          <w:highlight w:val="none"/>
        </w:rPr>
      </w:pPr>
    </w:p>
    <w:p>
      <w:pPr>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新疆华域建设工程项目管理咨询有限公司</w:t>
      </w:r>
      <w:r>
        <w:rPr>
          <w:rFonts w:hint="eastAsia" w:ascii="仿宋" w:hAnsi="仿宋" w:eastAsia="仿宋" w:cs="仿宋"/>
          <w:b/>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　      　　　）的政府采购活动，并声明：</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我方参加本采购项目政府采购前3年内在经营活动中没有因违法经营受到刑事处罚或者责令停产停业、吊销许可证或者执照、较大数额罚款等行政处罚。</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74"/>
        <w:spacing w:line="480" w:lineRule="auto"/>
        <w:ind w:firstLine="494"/>
        <w:rPr>
          <w:rFonts w:hint="eastAsia" w:ascii="仿宋" w:hAnsi="仿宋" w:eastAsia="仿宋" w:cs="仿宋"/>
          <w:color w:val="auto"/>
          <w:sz w:val="24"/>
          <w:szCs w:val="24"/>
          <w:highlight w:val="none"/>
        </w:rPr>
      </w:pPr>
    </w:p>
    <w:p>
      <w:pPr>
        <w:pStyle w:val="74"/>
        <w:spacing w:line="480" w:lineRule="auto"/>
        <w:ind w:firstLine="494"/>
        <w:rPr>
          <w:rFonts w:hint="eastAsia" w:ascii="仿宋" w:hAnsi="仿宋" w:eastAsia="仿宋" w:cs="仿宋"/>
          <w:color w:val="auto"/>
          <w:sz w:val="24"/>
          <w:szCs w:val="24"/>
          <w:highlight w:val="none"/>
        </w:rPr>
      </w:pPr>
    </w:p>
    <w:p>
      <w:pPr>
        <w:pStyle w:val="74"/>
        <w:spacing w:line="480" w:lineRule="auto"/>
        <w:ind w:firstLine="494"/>
        <w:rPr>
          <w:rFonts w:hint="eastAsia" w:ascii="仿宋" w:hAnsi="仿宋" w:eastAsia="仿宋" w:cs="仿宋"/>
          <w:color w:val="auto"/>
          <w:sz w:val="24"/>
          <w:szCs w:val="24"/>
          <w:highlight w:val="none"/>
        </w:rPr>
      </w:pPr>
    </w:p>
    <w:p>
      <w:pPr>
        <w:pStyle w:val="74"/>
        <w:spacing w:line="48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pPr>
        <w:pStyle w:val="74"/>
        <w:spacing w:line="48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pPr>
        <w:pStyle w:val="74"/>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adjustRightInd w:val="0"/>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附件2、</w:t>
      </w:r>
      <w:r>
        <w:rPr>
          <w:rFonts w:hint="eastAsia" w:ascii="仿宋" w:hAnsi="仿宋" w:eastAsia="仿宋" w:cs="仿宋"/>
          <w:b/>
          <w:color w:val="auto"/>
          <w:sz w:val="24"/>
          <w:szCs w:val="24"/>
          <w:highlight w:val="none"/>
        </w:rPr>
        <w:t>中小企业声明函</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 xml:space="preserve"> 的</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 xml:space="preserve">  采购活动，服务全部由符合政策要求的中小企业承接。相关企业（含联合体中的中小企业、签订分包意向协议的中小企业）的具体情况如下</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w:t>
      </w:r>
      <w:r>
        <w:rPr>
          <w:rFonts w:hint="eastAsia" w:ascii="仿宋" w:hAnsi="仿宋" w:eastAsia="仿宋" w:cs="仿宋"/>
          <w:color w:val="auto"/>
          <w:sz w:val="24"/>
          <w:szCs w:val="24"/>
          <w:highlight w:val="none"/>
          <w:u w:val="single"/>
          <w:lang w:eastAsia="zh-CN"/>
        </w:rPr>
        <w:t>文件</w:t>
      </w:r>
      <w:r>
        <w:rPr>
          <w:rFonts w:hint="eastAsia" w:ascii="仿宋" w:hAnsi="仿宋" w:eastAsia="仿宋" w:cs="仿宋"/>
          <w:color w:val="auto"/>
          <w:sz w:val="24"/>
          <w:szCs w:val="24"/>
          <w:highlight w:val="none"/>
          <w:u w:val="single"/>
        </w:rPr>
        <w:t>中明确的所属行业）</w:t>
      </w:r>
      <w:r>
        <w:rPr>
          <w:rFonts w:hint="eastAsia" w:ascii="仿宋" w:hAnsi="仿宋" w:eastAsia="仿宋" w:cs="仿宋"/>
          <w:color w:val="auto"/>
          <w:sz w:val="24"/>
          <w:szCs w:val="24"/>
          <w:highlight w:val="none"/>
        </w:rPr>
        <w:t>行业 ；</w:t>
      </w:r>
      <w:r>
        <w:rPr>
          <w:rFonts w:hint="eastAsia" w:ascii="仿宋" w:hAnsi="仿宋" w:eastAsia="仿宋" w:cs="仿宋"/>
          <w:color w:val="auto"/>
          <w:sz w:val="24"/>
          <w:szCs w:val="24"/>
          <w:highlight w:val="none"/>
          <w:lang w:val="en-US" w:eastAsia="zh-CN"/>
        </w:rPr>
        <w:t>承建（承接）企业</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kern w:val="2"/>
          <w:sz w:val="24"/>
          <w:szCs w:val="24"/>
          <w:vertAlign w:val="superscript"/>
          <w:lang w:val="en-US" w:eastAsia="zh-CN" w:bidi="ar"/>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w:t>
      </w:r>
      <w:r>
        <w:rPr>
          <w:rFonts w:hint="eastAsia" w:ascii="仿宋" w:hAnsi="仿宋" w:eastAsia="仿宋" w:cs="仿宋"/>
          <w:color w:val="auto"/>
          <w:sz w:val="24"/>
          <w:szCs w:val="24"/>
          <w:highlight w:val="none"/>
          <w:u w:val="single"/>
          <w:lang w:eastAsia="zh-CN"/>
        </w:rPr>
        <w:t>文件</w:t>
      </w:r>
      <w:r>
        <w:rPr>
          <w:rFonts w:hint="eastAsia" w:ascii="仿宋" w:hAnsi="仿宋" w:eastAsia="仿宋" w:cs="仿宋"/>
          <w:color w:val="auto"/>
          <w:sz w:val="24"/>
          <w:szCs w:val="24"/>
          <w:highlight w:val="none"/>
          <w:u w:val="single"/>
        </w:rPr>
        <w:t>中明确的所属行业）</w:t>
      </w:r>
      <w:r>
        <w:rPr>
          <w:rFonts w:hint="eastAsia" w:ascii="仿宋" w:hAnsi="仿宋" w:eastAsia="仿宋" w:cs="仿宋"/>
          <w:color w:val="auto"/>
          <w:sz w:val="24"/>
          <w:szCs w:val="24"/>
          <w:highlight w:val="none"/>
        </w:rPr>
        <w:t>行业 ；承建（承接）企业为为</w:t>
      </w:r>
      <w:r>
        <w:rPr>
          <w:rFonts w:hint="eastAsia" w:ascii="仿宋" w:hAnsi="仿宋" w:eastAsia="仿宋" w:cs="仿宋"/>
          <w:color w:val="auto"/>
          <w:sz w:val="24"/>
          <w:szCs w:val="24"/>
          <w:highlight w:val="none"/>
          <w:u w:val="single"/>
        </w:rPr>
        <w:t xml:space="preserve"> （企业名称）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以上企业，不属于大企业的分支机构，不存在控股股东为大企业的情况，也不存在与大企业的负责人为同一人的情况。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firstLine="3523" w:firstLineChars="1468"/>
        <w:rPr>
          <w:rFonts w:hint="eastAsia" w:ascii="仿宋" w:hAnsi="仿宋" w:eastAsia="仿宋" w:cs="仿宋"/>
          <w:color w:val="auto"/>
          <w:sz w:val="24"/>
          <w:szCs w:val="24"/>
          <w:highlight w:val="none"/>
        </w:rPr>
      </w:pPr>
    </w:p>
    <w:p>
      <w:pPr>
        <w:spacing w:line="360" w:lineRule="auto"/>
        <w:ind w:firstLine="3523" w:firstLineChars="14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投标单位名称（盖章）：</w:t>
      </w:r>
    </w:p>
    <w:p>
      <w:pPr>
        <w:spacing w:line="360" w:lineRule="auto"/>
        <w:ind w:firstLine="3523" w:firstLineChars="14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ind w:firstLine="480" w:firstLineChars="200"/>
        <w:rPr>
          <w:rFonts w:hint="eastAsia" w:ascii="仿宋" w:hAnsi="仿宋" w:eastAsia="仿宋" w:cs="仿宋"/>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pStyle w:val="68"/>
        <w:spacing w:line="360" w:lineRule="auto"/>
        <w:ind w:firstLine="0" w:firstLineChars="0"/>
        <w:rPr>
          <w:rFonts w:hint="eastAsia" w:ascii="仿宋" w:hAnsi="仿宋" w:eastAsia="仿宋" w:cs="仿宋"/>
          <w:b/>
          <w:color w:val="auto"/>
          <w:sz w:val="24"/>
          <w:szCs w:val="24"/>
          <w:highlight w:val="none"/>
        </w:rPr>
      </w:pPr>
    </w:p>
    <w:p>
      <w:pPr>
        <w:jc w:val="center"/>
        <w:rPr>
          <w:rFonts w:hint="eastAsia" w:ascii="仿宋" w:hAnsi="仿宋" w:eastAsia="仿宋" w:cs="仿宋"/>
          <w:b/>
          <w:color w:val="auto"/>
          <w:sz w:val="24"/>
          <w:szCs w:val="24"/>
          <w:highlight w:val="none"/>
        </w:rPr>
      </w:pPr>
    </w:p>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附件3、</w:t>
      </w:r>
      <w:r>
        <w:rPr>
          <w:rFonts w:hint="eastAsia" w:ascii="仿宋" w:hAnsi="仿宋" w:eastAsia="仿宋" w:cs="仿宋"/>
          <w:b/>
          <w:color w:val="auto"/>
          <w:sz w:val="24"/>
          <w:szCs w:val="24"/>
          <w:highlight w:val="none"/>
        </w:rPr>
        <w:t>残疾人福利性单位声明函</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p>
      <w:pPr>
        <w:spacing w:line="420" w:lineRule="atLeast"/>
        <w:ind w:firstLine="480" w:firstLineChars="200"/>
        <w:rPr>
          <w:rFonts w:hint="eastAsia" w:ascii="仿宋" w:hAnsi="仿宋" w:eastAsia="仿宋" w:cs="仿宋"/>
          <w:color w:val="auto"/>
          <w:sz w:val="24"/>
          <w:szCs w:val="24"/>
          <w:highlight w:val="none"/>
        </w:rPr>
      </w:pPr>
    </w:p>
    <w:p>
      <w:pPr>
        <w:spacing w:line="4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u w:val="single"/>
        </w:rPr>
        <w:t>____                __</w:t>
      </w:r>
      <w:r>
        <w:rPr>
          <w:rFonts w:hint="eastAsia" w:ascii="仿宋" w:hAnsi="仿宋" w:eastAsia="仿宋" w:cs="仿宋"/>
          <w:color w:val="auto"/>
          <w:sz w:val="24"/>
          <w:szCs w:val="24"/>
          <w:highlight w:val="none"/>
        </w:rPr>
        <w:t>单位的__                    ____项目采购活动提供本单位制造的货物（由本单位承担工程/提供服务），或者提供其他残疾人福利性单位制造的货物（不包括使用非残疾人福利性单位注册商标的货物）。</w:t>
      </w:r>
    </w:p>
    <w:p>
      <w:pPr>
        <w:spacing w:line="4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480" w:lineRule="auto"/>
        <w:rPr>
          <w:rFonts w:hint="eastAsia" w:ascii="仿宋" w:hAnsi="仿宋" w:eastAsia="仿宋" w:cs="仿宋"/>
          <w:b/>
          <w:color w:val="auto"/>
          <w:sz w:val="24"/>
          <w:szCs w:val="24"/>
          <w:highlight w:val="none"/>
        </w:rPr>
      </w:pPr>
    </w:p>
    <w:p>
      <w:pPr>
        <w:tabs>
          <w:tab w:val="left" w:pos="465"/>
          <w:tab w:val="left" w:pos="780"/>
        </w:tabs>
        <w:spacing w:line="42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注：此函随同价格文件和技术商务文件一起装订，非残疾人福利性单位投标时</w:t>
      </w:r>
      <w:r>
        <w:rPr>
          <w:rFonts w:hint="eastAsia" w:ascii="仿宋" w:hAnsi="仿宋" w:eastAsia="仿宋" w:cs="仿宋"/>
          <w:b/>
          <w:color w:val="auto"/>
          <w:sz w:val="24"/>
          <w:szCs w:val="24"/>
          <w:highlight w:val="none"/>
        </w:rPr>
        <w:t>不需要提供此声明函。</w:t>
      </w:r>
    </w:p>
    <w:p>
      <w:pPr>
        <w:spacing w:line="480" w:lineRule="auto"/>
        <w:rPr>
          <w:rFonts w:hint="eastAsia" w:ascii="仿宋" w:hAnsi="仿宋" w:eastAsia="仿宋" w:cs="仿宋"/>
          <w:b/>
          <w:color w:val="auto"/>
          <w:sz w:val="24"/>
          <w:szCs w:val="24"/>
          <w:highlight w:val="none"/>
        </w:rPr>
      </w:pPr>
    </w:p>
    <w:p>
      <w:pPr>
        <w:spacing w:line="480" w:lineRule="auto"/>
        <w:rPr>
          <w:rFonts w:hint="eastAsia" w:ascii="仿宋" w:hAnsi="仿宋" w:eastAsia="仿宋" w:cs="仿宋"/>
          <w:b/>
          <w:color w:val="auto"/>
          <w:sz w:val="24"/>
          <w:szCs w:val="24"/>
          <w:highlight w:val="none"/>
        </w:rPr>
      </w:pPr>
    </w:p>
    <w:p>
      <w:pPr>
        <w:pStyle w:val="16"/>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pPr>
        <w:pStyle w:val="16"/>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jc w:val="center"/>
        <w:rPr>
          <w:rFonts w:hint="eastAsia" w:ascii="仿宋" w:hAnsi="仿宋" w:eastAsia="仿宋" w:cs="仿宋"/>
          <w:b/>
          <w:color w:val="auto"/>
          <w:sz w:val="24"/>
          <w:szCs w:val="24"/>
          <w:highlight w:val="none"/>
          <w:lang w:val="en-US" w:eastAsia="zh-CN"/>
        </w:rPr>
      </w:pPr>
    </w:p>
    <w:p>
      <w:pPr>
        <w:jc w:val="center"/>
        <w:rPr>
          <w:rFonts w:hint="eastAsia" w:ascii="仿宋" w:hAnsi="仿宋" w:eastAsia="仿宋" w:cs="仿宋"/>
          <w:b/>
          <w:color w:val="auto"/>
          <w:sz w:val="24"/>
          <w:szCs w:val="24"/>
          <w:highlight w:val="none"/>
          <w:lang w:val="en-US" w:eastAsia="zh-CN"/>
        </w:rPr>
      </w:pPr>
    </w:p>
    <w:p>
      <w:pPr>
        <w:jc w:val="center"/>
        <w:rPr>
          <w:rFonts w:hint="eastAsia" w:ascii="仿宋" w:hAnsi="仿宋" w:eastAsia="仿宋" w:cs="仿宋"/>
          <w:b/>
          <w:color w:val="auto"/>
          <w:sz w:val="24"/>
          <w:szCs w:val="24"/>
          <w:highlight w:val="none"/>
          <w:lang w:val="en-US" w:eastAsia="zh-CN"/>
        </w:rPr>
      </w:pPr>
    </w:p>
    <w:p>
      <w:pPr>
        <w:jc w:val="center"/>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pStyle w:val="41"/>
        <w:rPr>
          <w:rFonts w:hint="eastAsia" w:ascii="仿宋" w:hAnsi="仿宋" w:eastAsia="仿宋" w:cs="仿宋"/>
          <w:b/>
          <w:color w:val="auto"/>
          <w:sz w:val="24"/>
          <w:szCs w:val="24"/>
          <w:highlight w:val="none"/>
          <w:lang w:val="en-US" w:eastAsia="zh-CN"/>
        </w:rPr>
      </w:pPr>
    </w:p>
    <w:p>
      <w:pPr>
        <w:jc w:val="center"/>
        <w:rPr>
          <w:rFonts w:hint="eastAsia" w:ascii="仿宋" w:hAnsi="仿宋" w:eastAsia="仿宋" w:cs="仿宋"/>
          <w:b/>
          <w:color w:val="auto"/>
          <w:sz w:val="24"/>
          <w:szCs w:val="24"/>
          <w:highlight w:val="none"/>
          <w:lang w:val="en-US" w:eastAsia="zh-CN"/>
        </w:rPr>
      </w:pP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附件4</w:t>
      </w:r>
      <w:r>
        <w:rPr>
          <w:rFonts w:hint="eastAsia" w:ascii="仿宋" w:hAnsi="仿宋" w:eastAsia="仿宋" w:cs="仿宋"/>
          <w:b/>
          <w:color w:val="auto"/>
          <w:sz w:val="24"/>
          <w:szCs w:val="24"/>
          <w:highlight w:val="none"/>
        </w:rPr>
        <w:t>省级以上监狱管理局、戒毒管理局（含新疆生产建设兵团）出具的属于监狱企业证明文件（格式自拟）</w:t>
      </w: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p>
      <w:pPr>
        <w:rPr>
          <w:rFonts w:hint="eastAsia"/>
        </w:rPr>
      </w:pPr>
    </w:p>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none"/>
        </w:rPr>
      </w:pPr>
    </w:p>
    <w:bookmarkEnd w:id="502"/>
    <w:p>
      <w:pPr>
        <w:pStyle w:val="4"/>
        <w:keepNext w:val="0"/>
        <w:keepLines w:val="0"/>
        <w:pageBreakBefore w:val="0"/>
        <w:widowControl w:val="0"/>
        <w:kinsoku/>
        <w:overflowPunct/>
        <w:topLinePunct w:val="0"/>
        <w:bidi w:val="0"/>
        <w:adjustRightInd/>
        <w:snapToGrid/>
        <w:textAlignment w:val="auto"/>
        <w:rPr>
          <w:rFonts w:hint="eastAsia" w:ascii="仿宋" w:hAnsi="仿宋" w:eastAsia="仿宋" w:cs="仿宋"/>
          <w:color w:val="auto"/>
          <w:sz w:val="24"/>
          <w:szCs w:val="24"/>
          <w:highlight w:val="cyan"/>
        </w:rPr>
      </w:pPr>
      <w:bookmarkStart w:id="505" w:name="_Toc24440"/>
      <w:bookmarkStart w:id="506" w:name="_Toc9700"/>
      <w:bookmarkStart w:id="507" w:name="_Toc45795253"/>
      <w:r>
        <w:rPr>
          <w:rFonts w:hint="eastAsia" w:ascii="仿宋" w:hAnsi="仿宋" w:eastAsia="仿宋" w:cs="仿宋"/>
          <w:color w:val="auto"/>
          <w:sz w:val="24"/>
          <w:szCs w:val="24"/>
          <w:highlight w:val="none"/>
        </w:rPr>
        <w:t xml:space="preserve">附表1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初步评审标准表</w:t>
      </w:r>
      <w:bookmarkEnd w:id="505"/>
    </w:p>
    <w:tbl>
      <w:tblPr>
        <w:tblStyle w:val="3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72"/>
        <w:gridCol w:w="6889"/>
        <w:gridCol w:w="79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17" w:type="dxa"/>
            <w:vMerge w:val="restart"/>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472" w:type="dxa"/>
            <w:vMerge w:val="restart"/>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889" w:type="dxa"/>
            <w:vMerge w:val="restart"/>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1681" w:type="dxa"/>
            <w:gridSpan w:val="2"/>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p>
        </w:tc>
        <w:tc>
          <w:tcPr>
            <w:tcW w:w="472" w:type="dxa"/>
            <w:vMerge w:val="continue"/>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p>
        </w:tc>
        <w:tc>
          <w:tcPr>
            <w:tcW w:w="6889" w:type="dxa"/>
            <w:vMerge w:val="continue"/>
            <w:vAlign w:val="center"/>
          </w:tcPr>
          <w:p>
            <w:pPr>
              <w:keepNext w:val="0"/>
              <w:keepLines w:val="0"/>
              <w:pageBreakBefore w:val="0"/>
              <w:widowControl w:val="0"/>
              <w:kinsoku/>
              <w:overflowPunct/>
              <w:topLinePunct w:val="0"/>
              <w:autoSpaceDE w:val="0"/>
              <w:autoSpaceDN w:val="0"/>
              <w:bidi w:val="0"/>
              <w:adjustRightInd/>
              <w:snapToGrid/>
              <w:spacing w:line="240" w:lineRule="exact"/>
              <w:textAlignment w:val="auto"/>
              <w:rPr>
                <w:rFonts w:hint="eastAsia" w:ascii="仿宋" w:hAnsi="仿宋" w:eastAsia="仿宋" w:cs="仿宋"/>
                <w:color w:val="auto"/>
                <w:sz w:val="24"/>
                <w:szCs w:val="24"/>
                <w:highlight w:val="none"/>
              </w:rPr>
            </w:pPr>
          </w:p>
        </w:tc>
        <w:tc>
          <w:tcPr>
            <w:tcW w:w="799" w:type="dxa"/>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tc>
        <w:tc>
          <w:tcPr>
            <w:tcW w:w="882" w:type="dxa"/>
            <w:vAlign w:val="center"/>
          </w:tcPr>
          <w:p>
            <w:pPr>
              <w:keepNext w:val="0"/>
              <w:keepLines w:val="0"/>
              <w:pageBreakBefore w:val="0"/>
              <w:widowControl w:val="0"/>
              <w:kinsoku/>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17" w:type="dxa"/>
            <w:vMerge w:val="restart"/>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472" w:type="dxa"/>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投标人为企业法人应提供合法有效的标识有统一社会信用代码的营业执照；事业法人应提供事业单位法人证书；其他组织应提供合法登记证明文件；</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89" w:type="dxa"/>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法定代表人（负责人）参加提供法定代表人（负责人）身份证明书及身份证（授权委托人参加提供法定代表人（负责人）授权委托书及被委托人身份证）；</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6889" w:type="dxa"/>
            <w:shd w:val="clear" w:color="auto" w:fill="auto"/>
            <w:vAlign w:val="bottom"/>
          </w:tcPr>
          <w:p>
            <w:pPr>
              <w:spacing w:line="240" w:lineRule="auto"/>
              <w:jc w:val="both"/>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投标人提供近半年内已缴存的至少一个月的社会保障资金缴存单据或社保机构开具的社会保险参保缴费情况证明，依法不需要缴纳社会保障资金的投标人应提供相关文件证明；</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投标人提供2023年的财务审计报告（成立时间至提交投标文件截止时间不足一年的可提供成立后任意时段的资产负债表），或其开标前三个月内基本存款账户开户银行出具的资信证明及基本存款账户开户证明；</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投标人提供近半年内已缴纳的至少一个月的纳税证明或完税证明，纳税证明或完税证明上应有代收机构或税务机关的公章，依法免税的投标人应提供相关文件证明；</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投标人应具备良好的商业信誉，提供参加政府采购活动前3年内在经营活动中没有重大违法记录的书面声明；</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保证金汇款凭证或保函；</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517" w:type="dxa"/>
            <w:vMerge w:val="continue"/>
            <w:vAlign w:val="center"/>
          </w:tcPr>
          <w:p>
            <w:pPr>
              <w:keepNext w:val="0"/>
              <w:keepLines w:val="0"/>
              <w:pageBreakBefore w:val="0"/>
              <w:widowControl w:val="0"/>
              <w:kinsoku/>
              <w:overflowPunct/>
              <w:topLinePunct w:val="0"/>
              <w:autoSpaceDE w:val="0"/>
              <w:autoSpaceDN w:val="0"/>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472" w:type="dxa"/>
            <w:shd w:val="clear" w:color="auto" w:fill="auto"/>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889" w:type="dxa"/>
            <w:shd w:val="clear" w:color="auto" w:fill="auto"/>
            <w:vAlign w:val="center"/>
          </w:tcPr>
          <w:p>
            <w:pPr>
              <w:pStyle w:val="30"/>
              <w:shd w:val="clear" w:color="auto" w:fill="FFFFFF"/>
              <w:spacing w:before="0" w:beforeAutospacing="0" w:after="0" w:afterAutospacing="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供应商应为中小企业，需提供有效的《中小企业声明函》，格式以采购文件要求为准。</w:t>
            </w:r>
          </w:p>
        </w:tc>
        <w:tc>
          <w:tcPr>
            <w:tcW w:w="799"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c>
          <w:tcPr>
            <w:tcW w:w="882" w:type="dxa"/>
          </w:tcPr>
          <w:p>
            <w:pPr>
              <w:keepNext w:val="0"/>
              <w:keepLines w:val="0"/>
              <w:pageBreakBefore w:val="0"/>
              <w:widowControl w:val="0"/>
              <w:kinsoku/>
              <w:overflowPunct/>
              <w:topLinePunct w:val="0"/>
              <w:autoSpaceDE w:val="0"/>
              <w:autoSpaceDN w:val="0"/>
              <w:bidi w:val="0"/>
              <w:adjustRightInd/>
              <w:snapToGrid/>
              <w:spacing w:line="340" w:lineRule="exact"/>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517" w:type="dxa"/>
            <w:vMerge w:val="restart"/>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w:t>
            </w:r>
          </w:p>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w:t>
            </w:r>
          </w:p>
        </w:tc>
        <w:tc>
          <w:tcPr>
            <w:tcW w:w="472" w:type="dxa"/>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投标文件是否有投标单位法定代表人或其委托代理人（签字或签章）和加盖了投标单位的盖章；</w:t>
            </w:r>
          </w:p>
        </w:tc>
        <w:tc>
          <w:tcPr>
            <w:tcW w:w="799" w:type="dxa"/>
          </w:tcPr>
          <w:p>
            <w:pPr>
              <w:autoSpaceDE w:val="0"/>
              <w:autoSpaceDN w:val="0"/>
              <w:spacing w:line="340" w:lineRule="exact"/>
              <w:jc w:val="left"/>
              <w:rPr>
                <w:rFonts w:hint="eastAsia" w:ascii="仿宋" w:hAnsi="仿宋" w:eastAsia="仿宋" w:cs="仿宋"/>
                <w:color w:val="auto"/>
                <w:sz w:val="24"/>
                <w:szCs w:val="24"/>
                <w:highlight w:val="none"/>
              </w:rPr>
            </w:pPr>
          </w:p>
        </w:tc>
        <w:tc>
          <w:tcPr>
            <w:tcW w:w="882" w:type="dxa"/>
          </w:tcPr>
          <w:p>
            <w:pPr>
              <w:autoSpaceDE w:val="0"/>
              <w:autoSpaceDN w:val="0"/>
              <w:spacing w:line="34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17" w:type="dxa"/>
            <w:vMerge w:val="continue"/>
            <w:vAlign w:val="center"/>
          </w:tcPr>
          <w:p>
            <w:pPr>
              <w:widowControl/>
              <w:spacing w:line="340" w:lineRule="exact"/>
              <w:jc w:val="left"/>
              <w:rPr>
                <w:rFonts w:hint="eastAsia" w:ascii="仿宋" w:hAnsi="仿宋" w:eastAsia="仿宋" w:cs="仿宋"/>
                <w:color w:val="auto"/>
                <w:sz w:val="24"/>
                <w:szCs w:val="24"/>
                <w:highlight w:val="none"/>
              </w:rPr>
            </w:pPr>
          </w:p>
        </w:tc>
        <w:tc>
          <w:tcPr>
            <w:tcW w:w="472" w:type="dxa"/>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是否对同一招标项目做出两个以上报价而未明确效力；</w:t>
            </w:r>
          </w:p>
        </w:tc>
        <w:tc>
          <w:tcPr>
            <w:tcW w:w="799" w:type="dxa"/>
          </w:tcPr>
          <w:p>
            <w:pPr>
              <w:autoSpaceDE w:val="0"/>
              <w:autoSpaceDN w:val="0"/>
              <w:spacing w:line="340" w:lineRule="exact"/>
              <w:jc w:val="left"/>
              <w:rPr>
                <w:rFonts w:hint="eastAsia" w:ascii="仿宋" w:hAnsi="仿宋" w:eastAsia="仿宋" w:cs="仿宋"/>
                <w:color w:val="auto"/>
                <w:sz w:val="24"/>
                <w:szCs w:val="24"/>
                <w:highlight w:val="none"/>
              </w:rPr>
            </w:pPr>
          </w:p>
        </w:tc>
        <w:tc>
          <w:tcPr>
            <w:tcW w:w="882" w:type="dxa"/>
          </w:tcPr>
          <w:p>
            <w:pPr>
              <w:autoSpaceDE w:val="0"/>
              <w:autoSpaceDN w:val="0"/>
              <w:spacing w:line="34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17" w:type="dxa"/>
            <w:vMerge w:val="continue"/>
            <w:vAlign w:val="center"/>
          </w:tcPr>
          <w:p>
            <w:pPr>
              <w:widowControl/>
              <w:spacing w:line="340" w:lineRule="exact"/>
              <w:jc w:val="left"/>
              <w:rPr>
                <w:rFonts w:hint="eastAsia" w:ascii="仿宋" w:hAnsi="仿宋" w:eastAsia="仿宋" w:cs="仿宋"/>
                <w:color w:val="auto"/>
                <w:sz w:val="24"/>
                <w:szCs w:val="24"/>
                <w:highlight w:val="none"/>
              </w:rPr>
            </w:pPr>
          </w:p>
        </w:tc>
        <w:tc>
          <w:tcPr>
            <w:tcW w:w="472" w:type="dxa"/>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服务期限是否符合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c>
          <w:tcPr>
            <w:tcW w:w="799" w:type="dxa"/>
          </w:tcPr>
          <w:p>
            <w:pPr>
              <w:autoSpaceDE w:val="0"/>
              <w:autoSpaceDN w:val="0"/>
              <w:spacing w:line="340" w:lineRule="exact"/>
              <w:jc w:val="left"/>
              <w:rPr>
                <w:rFonts w:hint="eastAsia" w:ascii="仿宋" w:hAnsi="仿宋" w:eastAsia="仿宋" w:cs="仿宋"/>
                <w:color w:val="auto"/>
                <w:sz w:val="24"/>
                <w:szCs w:val="24"/>
                <w:highlight w:val="none"/>
              </w:rPr>
            </w:pPr>
          </w:p>
        </w:tc>
        <w:tc>
          <w:tcPr>
            <w:tcW w:w="882" w:type="dxa"/>
          </w:tcPr>
          <w:p>
            <w:pPr>
              <w:autoSpaceDE w:val="0"/>
              <w:autoSpaceDN w:val="0"/>
              <w:spacing w:line="34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17" w:type="dxa"/>
            <w:vMerge w:val="continue"/>
            <w:vAlign w:val="center"/>
          </w:tcPr>
          <w:p>
            <w:pPr>
              <w:widowControl/>
              <w:spacing w:line="340" w:lineRule="exact"/>
              <w:jc w:val="left"/>
              <w:rPr>
                <w:rFonts w:hint="eastAsia" w:ascii="仿宋" w:hAnsi="仿宋" w:eastAsia="仿宋" w:cs="仿宋"/>
                <w:color w:val="auto"/>
                <w:sz w:val="24"/>
                <w:szCs w:val="24"/>
                <w:highlight w:val="none"/>
              </w:rPr>
            </w:pPr>
          </w:p>
        </w:tc>
        <w:tc>
          <w:tcPr>
            <w:tcW w:w="472" w:type="dxa"/>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投标人投标总价是否超出</w:t>
            </w: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w:t>
            </w:r>
          </w:p>
        </w:tc>
        <w:tc>
          <w:tcPr>
            <w:tcW w:w="799" w:type="dxa"/>
          </w:tcPr>
          <w:p>
            <w:pPr>
              <w:autoSpaceDE w:val="0"/>
              <w:autoSpaceDN w:val="0"/>
              <w:spacing w:line="340" w:lineRule="exact"/>
              <w:jc w:val="left"/>
              <w:rPr>
                <w:rFonts w:hint="eastAsia" w:ascii="仿宋" w:hAnsi="仿宋" w:eastAsia="仿宋" w:cs="仿宋"/>
                <w:color w:val="auto"/>
                <w:sz w:val="24"/>
                <w:szCs w:val="24"/>
                <w:highlight w:val="none"/>
              </w:rPr>
            </w:pPr>
          </w:p>
        </w:tc>
        <w:tc>
          <w:tcPr>
            <w:tcW w:w="882" w:type="dxa"/>
          </w:tcPr>
          <w:p>
            <w:pPr>
              <w:autoSpaceDE w:val="0"/>
              <w:autoSpaceDN w:val="0"/>
              <w:spacing w:line="34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17" w:type="dxa"/>
            <w:vMerge w:val="continue"/>
            <w:vAlign w:val="center"/>
          </w:tcPr>
          <w:p>
            <w:pPr>
              <w:widowControl/>
              <w:spacing w:line="340" w:lineRule="exact"/>
              <w:jc w:val="left"/>
              <w:rPr>
                <w:rFonts w:hint="eastAsia" w:ascii="仿宋" w:hAnsi="仿宋" w:eastAsia="仿宋" w:cs="仿宋"/>
                <w:color w:val="auto"/>
                <w:sz w:val="24"/>
                <w:szCs w:val="24"/>
                <w:highlight w:val="none"/>
              </w:rPr>
            </w:pPr>
          </w:p>
        </w:tc>
        <w:tc>
          <w:tcPr>
            <w:tcW w:w="472" w:type="dxa"/>
            <w:vAlign w:val="center"/>
          </w:tcPr>
          <w:p>
            <w:pPr>
              <w:autoSpaceDE w:val="0"/>
              <w:autoSpaceDN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889" w:type="dxa"/>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投标文件是否附有采购人不能接受的条件。</w:t>
            </w:r>
          </w:p>
        </w:tc>
        <w:tc>
          <w:tcPr>
            <w:tcW w:w="799" w:type="dxa"/>
          </w:tcPr>
          <w:p>
            <w:pPr>
              <w:autoSpaceDE w:val="0"/>
              <w:autoSpaceDN w:val="0"/>
              <w:spacing w:line="340" w:lineRule="exact"/>
              <w:jc w:val="left"/>
              <w:rPr>
                <w:rFonts w:hint="eastAsia" w:ascii="仿宋" w:hAnsi="仿宋" w:eastAsia="仿宋" w:cs="仿宋"/>
                <w:color w:val="auto"/>
                <w:sz w:val="24"/>
                <w:szCs w:val="24"/>
                <w:highlight w:val="none"/>
              </w:rPr>
            </w:pPr>
          </w:p>
        </w:tc>
        <w:tc>
          <w:tcPr>
            <w:tcW w:w="882" w:type="dxa"/>
          </w:tcPr>
          <w:p>
            <w:pPr>
              <w:autoSpaceDE w:val="0"/>
              <w:autoSpaceDN w:val="0"/>
              <w:spacing w:line="34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559" w:type="dxa"/>
            <w:gridSpan w:val="5"/>
            <w:vAlign w:val="center"/>
          </w:tcPr>
          <w:p>
            <w:pPr>
              <w:autoSpaceDE w:val="0"/>
              <w:autoSpaceDN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以上有一项未通过的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不得进入下阶段评审</w:t>
            </w:r>
          </w:p>
        </w:tc>
      </w:tr>
    </w:tbl>
    <w:p>
      <w:pPr>
        <w:spacing w:line="240" w:lineRule="auto"/>
        <w:rPr>
          <w:rFonts w:hint="eastAsia" w:ascii="仿宋" w:hAnsi="仿宋" w:eastAsia="仿宋" w:cs="仿宋"/>
          <w:b/>
          <w:bCs/>
          <w:sz w:val="24"/>
          <w:szCs w:val="24"/>
        </w:rPr>
      </w:pPr>
    </w:p>
    <w:p>
      <w:pPr>
        <w:pStyle w:val="18"/>
        <w:rPr>
          <w:rFonts w:hint="eastAsia"/>
        </w:rPr>
      </w:pPr>
    </w:p>
    <w:p>
      <w:pPr>
        <w:spacing w:line="240" w:lineRule="auto"/>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2"/>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2"/>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pStyle w:val="3"/>
        <w:widowControl w:val="0"/>
        <w:numPr>
          <w:ilvl w:val="0"/>
          <w:numId w:val="0"/>
        </w:numPr>
        <w:jc w:val="both"/>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pStyle w:val="6"/>
        <w:rPr>
          <w:rFonts w:hint="eastAsia" w:ascii="仿宋" w:hAnsi="仿宋" w:eastAsia="仿宋" w:cs="仿宋"/>
          <w:b/>
          <w:bCs/>
          <w:sz w:val="24"/>
          <w:szCs w:val="24"/>
        </w:rPr>
      </w:pPr>
    </w:p>
    <w:p>
      <w:pPr>
        <w:rPr>
          <w:rFonts w:hint="eastAsia" w:ascii="仿宋" w:hAnsi="仿宋" w:eastAsia="仿宋" w:cs="仿宋"/>
          <w:b/>
          <w:bCs/>
          <w:sz w:val="24"/>
          <w:szCs w:val="24"/>
        </w:rPr>
      </w:pPr>
    </w:p>
    <w:p>
      <w:pPr>
        <w:rPr>
          <w:rFonts w:hint="eastAsia" w:ascii="仿宋" w:hAnsi="仿宋" w:eastAsia="仿宋" w:cs="仿宋"/>
          <w:b/>
          <w:bCs/>
          <w:sz w:val="24"/>
          <w:szCs w:val="24"/>
        </w:rPr>
      </w:pPr>
    </w:p>
    <w:p>
      <w:pPr>
        <w:spacing w:line="240" w:lineRule="auto"/>
        <w:rPr>
          <w:rFonts w:hint="eastAsia" w:ascii="仿宋" w:hAnsi="仿宋" w:eastAsia="仿宋" w:cs="仿宋"/>
          <w:b/>
          <w:bCs/>
          <w:sz w:val="24"/>
          <w:szCs w:val="24"/>
          <w:highlight w:val="none"/>
        </w:rPr>
      </w:pPr>
      <w:r>
        <w:rPr>
          <w:rFonts w:hint="eastAsia" w:ascii="仿宋" w:hAnsi="仿宋" w:eastAsia="仿宋" w:cs="仿宋"/>
          <w:b/>
          <w:bCs/>
          <w:sz w:val="24"/>
          <w:szCs w:val="24"/>
        </w:rPr>
        <w:t xml:space="preserve">附表2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评 分 细 则</w:t>
      </w:r>
    </w:p>
    <w:bookmarkEnd w:id="506"/>
    <w:bookmarkEnd w:id="507"/>
    <w:tbl>
      <w:tblPr>
        <w:tblStyle w:val="33"/>
        <w:tblpPr w:leftFromText="180" w:rightFromText="180" w:vertAnchor="text" w:horzAnchor="page" w:tblpX="1567" w:tblpY="959"/>
        <w:tblOverlap w:val="never"/>
        <w:tblW w:w="9079" w:type="dxa"/>
        <w:tblInd w:w="0" w:type="dxa"/>
        <w:tblLayout w:type="fixed"/>
        <w:tblCellMar>
          <w:top w:w="0" w:type="dxa"/>
          <w:left w:w="108" w:type="dxa"/>
          <w:bottom w:w="0" w:type="dxa"/>
          <w:right w:w="108" w:type="dxa"/>
        </w:tblCellMar>
      </w:tblPr>
      <w:tblGrid>
        <w:gridCol w:w="1213"/>
        <w:gridCol w:w="19"/>
        <w:gridCol w:w="6850"/>
        <w:gridCol w:w="997"/>
      </w:tblGrid>
      <w:tr>
        <w:tblPrEx>
          <w:tblCellMar>
            <w:top w:w="0" w:type="dxa"/>
            <w:left w:w="108" w:type="dxa"/>
            <w:bottom w:w="0" w:type="dxa"/>
            <w:right w:w="108" w:type="dxa"/>
          </w:tblCellMar>
        </w:tblPrEx>
        <w:trPr>
          <w:trHeight w:val="689" w:hRule="atLeast"/>
          <w:tblHeader/>
        </w:trPr>
        <w:tc>
          <w:tcPr>
            <w:tcW w:w="121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869"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CellMar>
            <w:top w:w="0" w:type="dxa"/>
            <w:left w:w="108" w:type="dxa"/>
            <w:bottom w:w="0" w:type="dxa"/>
            <w:right w:w="108" w:type="dxa"/>
          </w:tblCellMar>
        </w:tblPrEx>
        <w:trPr>
          <w:trHeight w:val="466" w:hRule="atLeast"/>
        </w:trPr>
        <w:tc>
          <w:tcPr>
            <w:tcW w:w="9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价格评分</w:t>
            </w:r>
            <w:r>
              <w:rPr>
                <w:rFonts w:hint="eastAsia" w:ascii="仿宋" w:hAnsi="仿宋" w:eastAsia="仿宋" w:cs="仿宋"/>
                <w:b/>
                <w:bCs/>
                <w:color w:val="auto"/>
                <w:kern w:val="0"/>
                <w:sz w:val="24"/>
                <w:szCs w:val="24"/>
                <w:highlight w:val="none"/>
                <w:lang w:val="en-US" w:eastAsia="zh-CN" w:bidi="ar"/>
              </w:rPr>
              <w:t>10</w:t>
            </w:r>
            <w:r>
              <w:rPr>
                <w:rFonts w:hint="eastAsia" w:ascii="仿宋" w:hAnsi="仿宋" w:eastAsia="仿宋" w:cs="仿宋"/>
                <w:b/>
                <w:bCs/>
                <w:color w:val="auto"/>
                <w:kern w:val="0"/>
                <w:sz w:val="24"/>
                <w:szCs w:val="24"/>
                <w:highlight w:val="none"/>
                <w:lang w:bidi="ar"/>
              </w:rPr>
              <w:t>分</w:t>
            </w:r>
          </w:p>
        </w:tc>
      </w:tr>
      <w:tr>
        <w:tblPrEx>
          <w:tblCellMar>
            <w:top w:w="0" w:type="dxa"/>
            <w:left w:w="108" w:type="dxa"/>
            <w:bottom w:w="0" w:type="dxa"/>
            <w:right w:w="108" w:type="dxa"/>
          </w:tblCellMar>
        </w:tblPrEx>
        <w:trPr>
          <w:trHeight w:val="2495"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价</w:t>
            </w:r>
            <w:r>
              <w:rPr>
                <w:rFonts w:hint="eastAsia" w:ascii="仿宋" w:hAnsi="仿宋" w:eastAsia="仿宋" w:cs="仿宋"/>
                <w:color w:val="auto"/>
                <w:sz w:val="24"/>
                <w:szCs w:val="24"/>
                <w:highlight w:val="none"/>
              </w:rPr>
              <w:t>格</w:t>
            </w:r>
          </w:p>
        </w:tc>
        <w:tc>
          <w:tcPr>
            <w:tcW w:w="68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报价得分=(评标基准价/修正后报价)×价格权值×100</w:t>
            </w:r>
          </w:p>
          <w:p>
            <w:pPr>
              <w:widowControl/>
              <w:spacing w:line="276" w:lineRule="auto"/>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p>
          <w:p>
            <w:pPr>
              <w:widowControl/>
              <w:spacing w:line="276" w:lineRule="auto"/>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1.报价评分采用低价优先法计算；</w:t>
            </w:r>
          </w:p>
          <w:p>
            <w:pPr>
              <w:widowControl/>
              <w:spacing w:line="276" w:lineRule="auto"/>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2.评标基准价：满足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文件要求且经算术修正，依据政府采购政策进行价格扣除后的最低报价为评标基准价；</w:t>
            </w:r>
          </w:p>
          <w:p>
            <w:pPr>
              <w:widowControl/>
              <w:spacing w:line="276"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3.修正后报价：评标委员会以报价一览表中报价为基础，对其进行算术修正，依据政府采购政策进行价格扣除后，作为报价计算的依据。</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分</w:t>
            </w:r>
          </w:p>
        </w:tc>
      </w:tr>
      <w:tr>
        <w:tblPrEx>
          <w:tblCellMar>
            <w:top w:w="0" w:type="dxa"/>
            <w:left w:w="108" w:type="dxa"/>
            <w:bottom w:w="0" w:type="dxa"/>
            <w:right w:w="108" w:type="dxa"/>
          </w:tblCellMar>
        </w:tblPrEx>
        <w:trPr>
          <w:trHeight w:val="730" w:hRule="atLeast"/>
        </w:trPr>
        <w:tc>
          <w:tcPr>
            <w:tcW w:w="9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商务部分评分</w:t>
            </w:r>
            <w:r>
              <w:rPr>
                <w:rFonts w:hint="eastAsia" w:ascii="仿宋" w:hAnsi="仿宋" w:eastAsia="仿宋" w:cs="仿宋"/>
                <w:b/>
                <w:bCs/>
                <w:color w:val="auto"/>
                <w:kern w:val="0"/>
                <w:sz w:val="24"/>
                <w:szCs w:val="24"/>
                <w:highlight w:val="none"/>
                <w:lang w:val="en-US" w:eastAsia="zh-CN" w:bidi="ar"/>
              </w:rPr>
              <w:t>25</w:t>
            </w:r>
            <w:r>
              <w:rPr>
                <w:rFonts w:hint="eastAsia" w:ascii="仿宋" w:hAnsi="仿宋" w:eastAsia="仿宋" w:cs="仿宋"/>
                <w:b/>
                <w:bCs/>
                <w:color w:val="auto"/>
                <w:kern w:val="0"/>
                <w:sz w:val="24"/>
                <w:szCs w:val="24"/>
                <w:highlight w:val="none"/>
                <w:lang w:bidi="ar"/>
              </w:rPr>
              <w:t>分</w:t>
            </w:r>
          </w:p>
        </w:tc>
      </w:tr>
      <w:tr>
        <w:tblPrEx>
          <w:tblCellMar>
            <w:top w:w="0" w:type="dxa"/>
            <w:left w:w="108" w:type="dxa"/>
            <w:bottom w:w="0" w:type="dxa"/>
            <w:right w:w="108" w:type="dxa"/>
          </w:tblCellMar>
        </w:tblPrEx>
        <w:trPr>
          <w:trHeight w:val="90" w:hRule="atLeast"/>
        </w:trPr>
        <w:tc>
          <w:tcPr>
            <w:tcW w:w="123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color w:val="auto"/>
                <w:sz w:val="24"/>
                <w:szCs w:val="24"/>
                <w:highlight w:val="none"/>
                <w:lang w:val="en-US" w:eastAsia="zh-CN"/>
              </w:rPr>
              <w:t>业绩</w:t>
            </w:r>
          </w:p>
        </w:tc>
        <w:tc>
          <w:tcPr>
            <w:tcW w:w="6850" w:type="dxa"/>
            <w:tcBorders>
              <w:top w:val="single" w:color="000000" w:sz="4" w:space="0"/>
              <w:left w:val="single" w:color="auto" w:sz="4" w:space="0"/>
              <w:bottom w:val="single" w:color="000000" w:sz="4" w:space="0"/>
              <w:right w:val="single" w:color="auto" w:sz="4" w:space="0"/>
            </w:tcBorders>
            <w:vAlign w:val="center"/>
          </w:tcPr>
          <w:p>
            <w:pPr>
              <w:widowControl/>
              <w:spacing w:line="276" w:lineRule="auto"/>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投标人提供近3年（2022年1月1日至今）承接并完成的类似项目业绩，每个得2分，最多4分。（提供中标（成交）通知书或合同复印件加盖公章）未提供或提供不符合上述要求者不得分。</w:t>
            </w:r>
          </w:p>
        </w:tc>
        <w:tc>
          <w:tcPr>
            <w:tcW w:w="9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4分</w:t>
            </w:r>
          </w:p>
        </w:tc>
      </w:tr>
      <w:tr>
        <w:tblPrEx>
          <w:tblCellMar>
            <w:top w:w="0" w:type="dxa"/>
            <w:left w:w="108" w:type="dxa"/>
            <w:bottom w:w="0" w:type="dxa"/>
            <w:right w:w="108" w:type="dxa"/>
          </w:tblCellMar>
        </w:tblPrEx>
        <w:trPr>
          <w:trHeight w:val="1030" w:hRule="atLeast"/>
        </w:trPr>
        <w:tc>
          <w:tcPr>
            <w:tcW w:w="123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企业综合 实力</w:t>
            </w:r>
          </w:p>
        </w:tc>
        <w:tc>
          <w:tcPr>
            <w:tcW w:w="6850" w:type="dxa"/>
            <w:tcBorders>
              <w:top w:val="single" w:color="000000" w:sz="4" w:space="0"/>
              <w:left w:val="single" w:color="auto" w:sz="4" w:space="0"/>
              <w:bottom w:val="single" w:color="000000" w:sz="4" w:space="0"/>
              <w:right w:val="single" w:color="auto" w:sz="4" w:space="0"/>
            </w:tcBorders>
            <w:vAlign w:val="center"/>
          </w:tcPr>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(1)具有质量管理体系认证书，得2分。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(2)具有环境管理体系认证书，得2分。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(3)职业健康管理体系证书，得2分。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每具有一项证书得2分，满分6分。提供有效的证书原件扫描件。</w:t>
            </w:r>
          </w:p>
        </w:tc>
        <w:tc>
          <w:tcPr>
            <w:tcW w:w="9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6分</w:t>
            </w:r>
          </w:p>
        </w:tc>
      </w:tr>
      <w:tr>
        <w:tblPrEx>
          <w:tblCellMar>
            <w:top w:w="0" w:type="dxa"/>
            <w:left w:w="108" w:type="dxa"/>
            <w:bottom w:w="0" w:type="dxa"/>
            <w:right w:w="108" w:type="dxa"/>
          </w:tblCellMar>
        </w:tblPrEx>
        <w:trPr>
          <w:trHeight w:val="1030" w:hRule="atLeast"/>
        </w:trPr>
        <w:tc>
          <w:tcPr>
            <w:tcW w:w="123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项目负责</w:t>
            </w:r>
            <w:r>
              <w:rPr>
                <w:rFonts w:hint="eastAsia" w:ascii="仿宋" w:hAnsi="仿宋" w:eastAsia="仿宋" w:cs="仿宋"/>
                <w:color w:val="auto"/>
                <w:sz w:val="24"/>
                <w:szCs w:val="24"/>
                <w:highlight w:val="none"/>
                <w:lang w:val="en-US" w:eastAsia="zh-CN"/>
              </w:rPr>
              <w:t>人</w:t>
            </w:r>
          </w:p>
        </w:tc>
        <w:tc>
          <w:tcPr>
            <w:tcW w:w="6850" w:type="dxa"/>
            <w:tcBorders>
              <w:top w:val="single" w:color="000000" w:sz="4" w:space="0"/>
              <w:left w:val="single" w:color="auto" w:sz="4" w:space="0"/>
              <w:bottom w:val="single" w:color="000000" w:sz="4" w:space="0"/>
              <w:right w:val="single" w:color="auto" w:sz="4" w:space="0"/>
            </w:tcBorders>
            <w:vAlign w:val="center"/>
          </w:tcPr>
          <w:p>
            <w:pPr>
              <w:widowControl/>
              <w:numPr>
                <w:ilvl w:val="0"/>
                <w:numId w:val="0"/>
              </w:numPr>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拟投入本项目负责人，须具有一级注册消防工程师职业证书，得5分，具有中级注册消防工程师执业证书证得3分；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注：提供项目负责人执业证书及其在本单位社保缴纳证明否则不得分。</w:t>
            </w:r>
          </w:p>
        </w:tc>
        <w:tc>
          <w:tcPr>
            <w:tcW w:w="9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tblPrEx>
          <w:tblCellMar>
            <w:top w:w="0" w:type="dxa"/>
            <w:left w:w="108" w:type="dxa"/>
            <w:bottom w:w="0" w:type="dxa"/>
            <w:right w:w="108" w:type="dxa"/>
          </w:tblCellMar>
        </w:tblPrEx>
        <w:trPr>
          <w:trHeight w:val="1857" w:hRule="atLeast"/>
        </w:trPr>
        <w:tc>
          <w:tcPr>
            <w:tcW w:w="1232"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项目团队</w:t>
            </w:r>
          </w:p>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w:t>
            </w:r>
          </w:p>
        </w:tc>
        <w:tc>
          <w:tcPr>
            <w:tcW w:w="6850" w:type="dxa"/>
            <w:tcBorders>
              <w:top w:val="single" w:color="000000" w:sz="4" w:space="0"/>
              <w:left w:val="single" w:color="auto" w:sz="4" w:space="0"/>
              <w:bottom w:val="single" w:color="000000" w:sz="4" w:space="0"/>
              <w:right w:val="single" w:color="auto" w:sz="4" w:space="0"/>
            </w:tcBorders>
            <w:vAlign w:val="center"/>
          </w:tcPr>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拟投入本项目消防维保技术人员配备情况：</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消防维保技术人员配备合理，在满足基本要求拟配备人员2名的基础上，每增加1人得1分，最多得3分；其中拟配备人员中每有一人具备中级消防设施操作员证书的加1分，最多加2分。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（提供人员详细名单并附人员职业证书及人员在本单位社保缴纳证明，否则不得分</w:t>
            </w:r>
          </w:p>
        </w:tc>
        <w:tc>
          <w:tcPr>
            <w:tcW w:w="9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tblPrEx>
          <w:tblCellMar>
            <w:top w:w="0" w:type="dxa"/>
            <w:left w:w="108" w:type="dxa"/>
            <w:bottom w:w="0" w:type="dxa"/>
            <w:right w:w="108" w:type="dxa"/>
          </w:tblCellMar>
        </w:tblPrEx>
        <w:trPr>
          <w:trHeight w:val="1857" w:hRule="atLeast"/>
        </w:trPr>
        <w:tc>
          <w:tcPr>
            <w:tcW w:w="1232"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拟投入项</w:t>
            </w:r>
          </w:p>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目服务相</w:t>
            </w:r>
          </w:p>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关仪器设</w:t>
            </w:r>
          </w:p>
          <w:p>
            <w:pPr>
              <w:keepNext w:val="0"/>
              <w:keepLines w:val="0"/>
              <w:pageBreakBefore w:val="0"/>
              <w:widowControl/>
              <w:kinsoku/>
              <w:wordWrap/>
              <w:overflowPunct/>
              <w:topLinePunct w:val="0"/>
              <w:autoSpaceDE/>
              <w:autoSpaceDN/>
              <w:bidi w:val="0"/>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备配置</w:t>
            </w:r>
          </w:p>
        </w:tc>
        <w:tc>
          <w:tcPr>
            <w:tcW w:w="6850" w:type="dxa"/>
            <w:tcBorders>
              <w:top w:val="single" w:color="000000" w:sz="4" w:space="0"/>
              <w:left w:val="single" w:color="auto" w:sz="4" w:space="0"/>
              <w:bottom w:val="single" w:color="000000" w:sz="4" w:space="0"/>
              <w:right w:val="single" w:color="auto" w:sz="4" w:space="0"/>
            </w:tcBorders>
            <w:vAlign w:val="center"/>
          </w:tcPr>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1.相关仪器设备配置合理齐全的得5分；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2.基本满足各项维保检 测要求，相关仪器设备配置基本合理齐全的得分3分；</w:t>
            </w:r>
          </w:p>
          <w:p>
            <w:pPr>
              <w:widowControl/>
              <w:spacing w:line="276"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3.不能满足各项检测要求，相关仪器设备配置不合理不齐全的得 0分。</w:t>
            </w:r>
          </w:p>
        </w:tc>
        <w:tc>
          <w:tcPr>
            <w:tcW w:w="9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5分</w:t>
            </w:r>
          </w:p>
        </w:tc>
      </w:tr>
      <w:tr>
        <w:tblPrEx>
          <w:tblCellMar>
            <w:top w:w="0" w:type="dxa"/>
            <w:left w:w="108" w:type="dxa"/>
            <w:bottom w:w="0" w:type="dxa"/>
            <w:right w:w="108" w:type="dxa"/>
          </w:tblCellMar>
        </w:tblPrEx>
        <w:trPr>
          <w:trHeight w:val="730" w:hRule="atLeast"/>
        </w:trPr>
        <w:tc>
          <w:tcPr>
            <w:tcW w:w="9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技术部分评分</w:t>
            </w:r>
            <w:r>
              <w:rPr>
                <w:rFonts w:hint="eastAsia" w:ascii="仿宋" w:hAnsi="仿宋" w:eastAsia="仿宋" w:cs="仿宋"/>
                <w:b/>
                <w:bCs/>
                <w:color w:val="auto"/>
                <w:kern w:val="0"/>
                <w:sz w:val="24"/>
                <w:szCs w:val="24"/>
                <w:highlight w:val="none"/>
                <w:lang w:val="en-US" w:eastAsia="zh-CN" w:bidi="ar"/>
              </w:rPr>
              <w:t>65</w:t>
            </w:r>
            <w:r>
              <w:rPr>
                <w:rFonts w:hint="eastAsia" w:ascii="仿宋" w:hAnsi="仿宋" w:eastAsia="仿宋" w:cs="仿宋"/>
                <w:b/>
                <w:bCs/>
                <w:color w:val="auto"/>
                <w:kern w:val="0"/>
                <w:sz w:val="24"/>
                <w:szCs w:val="24"/>
                <w:highlight w:val="none"/>
                <w:lang w:bidi="ar"/>
              </w:rPr>
              <w:t>分</w:t>
            </w:r>
          </w:p>
        </w:tc>
      </w:tr>
      <w:tr>
        <w:tblPrEx>
          <w:tblCellMar>
            <w:top w:w="0" w:type="dxa"/>
            <w:left w:w="108" w:type="dxa"/>
            <w:bottom w:w="0" w:type="dxa"/>
            <w:right w:w="108" w:type="dxa"/>
          </w:tblCellMar>
        </w:tblPrEx>
        <w:trPr>
          <w:trHeight w:val="480"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68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服务管理方案包括但不限于:</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①本项目服务内容和要求的理解；</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②服务管理保障措施方案；</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③定期维护保养内容；</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④定期保养计划表；</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⑤故障报修技术服务流程；</w:t>
            </w:r>
          </w:p>
          <w:p>
            <w:pPr>
              <w:keepNext w:val="0"/>
              <w:keepLines w:val="0"/>
              <w:pageBreakBefore w:val="0"/>
              <w:widowControl/>
              <w:kinsoku/>
              <w:wordWrap/>
              <w:overflowPunct/>
              <w:topLinePunct w:val="0"/>
              <w:autoSpaceDE/>
              <w:autoSpaceDN/>
              <w:bidi w:val="0"/>
              <w:spacing w:line="360" w:lineRule="auto"/>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应急方案，以上方案完全且符合项目实际需求得36分，（符合项目实际需求是指：内容等与本项目对应，不存在凭空编造、逻辑漏洞的情形，不存在内容无法实施或与实际实施存在差异性，不存在套用其他项目的情形），每有一项内容不完整或未能满足采购需求或不具有针对性、逻辑错误、不完整的扣3分，每出现一项缺失的扣6分，扣完为止。</w:t>
            </w:r>
          </w:p>
        </w:tc>
        <w:tc>
          <w:tcPr>
            <w:tcW w:w="9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36分</w:t>
            </w:r>
          </w:p>
        </w:tc>
      </w:tr>
      <w:tr>
        <w:tblPrEx>
          <w:tblCellMar>
            <w:top w:w="0" w:type="dxa"/>
            <w:left w:w="108" w:type="dxa"/>
            <w:bottom w:w="0" w:type="dxa"/>
            <w:right w:w="108" w:type="dxa"/>
          </w:tblCellMar>
        </w:tblPrEx>
        <w:trPr>
          <w:trHeight w:val="462"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质量保障措施</w:t>
            </w:r>
          </w:p>
        </w:tc>
        <w:tc>
          <w:tcPr>
            <w:tcW w:w="68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rFonts w:hint="eastAsia"/>
                <w:highlight w:val="none"/>
                <w:lang w:val="en-US" w:eastAsia="zh-CN"/>
              </w:rPr>
            </w:pPr>
            <w:r>
              <w:rPr>
                <w:rFonts w:hint="eastAsia" w:ascii="仿宋" w:hAnsi="仿宋" w:eastAsia="仿宋" w:cs="仿宋"/>
                <w:color w:val="auto"/>
                <w:sz w:val="24"/>
                <w:szCs w:val="24"/>
                <w:highlight w:val="none"/>
                <w:lang w:val="en-US" w:eastAsia="zh-CN"/>
              </w:rPr>
              <w:t>质量保障措施方案包括但不限于：①质量管理目标； ②质量管理体系；③维保质量保证措施；④维修原材料质量保证措施，完全响应采购需求且符合项目实际需求的得20分（符合项目实际需求是指：内容等与本项目对应，不存在凭空编造、逻辑漏洞的情形，不存在内容无法实施或与实际实施存在差异性，不存在套用其他项目的情形），每有一项内容不完整或未能满足采购需求或不具有针对性、逻辑错误、不完整的扣2分，每出现一项缺失的扣5分，扣完为止。</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r>
      <w:tr>
        <w:tblPrEx>
          <w:tblCellMar>
            <w:top w:w="0" w:type="dxa"/>
            <w:left w:w="108" w:type="dxa"/>
            <w:bottom w:w="0" w:type="dxa"/>
            <w:right w:w="108" w:type="dxa"/>
          </w:tblCellMar>
        </w:tblPrEx>
        <w:trPr>
          <w:trHeight w:val="635"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安全管理措施</w:t>
            </w:r>
          </w:p>
        </w:tc>
        <w:tc>
          <w:tcPr>
            <w:tcW w:w="68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投标人具有岗前培训、岗位培训、安全操作施工培训等措施，提供每个内容的管理措施且满足采购需求得 6 分，完全响应采购需求且符合项目实际需求的得4分（符合项目实际需求是指：内容等与本项目对应，不存在凭空编造、逻辑漏洞的情形，不存在内容无法实施或与实际实施存在差异性，不存在套用其他项目的情形），每有一项内容不完整或未能满足采购需求或不具有针对性、逻辑错误、不完整的扣1分，每出现一项缺失的扣2分，扣完为止。</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6分</w:t>
            </w:r>
          </w:p>
        </w:tc>
      </w:tr>
      <w:tr>
        <w:tblPrEx>
          <w:tblCellMar>
            <w:top w:w="0" w:type="dxa"/>
            <w:left w:w="108" w:type="dxa"/>
            <w:bottom w:w="0" w:type="dxa"/>
            <w:right w:w="108" w:type="dxa"/>
          </w:tblCellMar>
        </w:tblPrEx>
        <w:trPr>
          <w:trHeight w:val="2117" w:hRule="atLeast"/>
        </w:trPr>
        <w:tc>
          <w:tcPr>
            <w:tcW w:w="12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零配件供应</w:t>
            </w:r>
          </w:p>
          <w:p>
            <w:pPr>
              <w:widowControl/>
              <w:jc w:val="center"/>
              <w:textAlignment w:val="center"/>
              <w:rPr>
                <w:rFonts w:hint="eastAsia" w:ascii="仿宋" w:hAnsi="仿宋" w:eastAsia="仿宋" w:cs="仿宋"/>
                <w:color w:val="auto"/>
                <w:kern w:val="0"/>
                <w:sz w:val="24"/>
                <w:szCs w:val="24"/>
                <w:highlight w:val="none"/>
                <w:lang w:val="en-US" w:eastAsia="zh-CN" w:bidi="ar-SA"/>
              </w:rPr>
            </w:pPr>
          </w:p>
        </w:tc>
        <w:tc>
          <w:tcPr>
            <w:tcW w:w="686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保证备品配件的正常供应，根据投标情况，按差别赋分。</w:t>
            </w:r>
          </w:p>
          <w:p>
            <w:pPr>
              <w:spacing w:line="3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零配件供应充足，来源渠道正规，得3分；</w:t>
            </w:r>
          </w:p>
          <w:p>
            <w:pPr>
              <w:spacing w:line="3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零配件供应基本能满足需求，得2分；</w:t>
            </w:r>
          </w:p>
          <w:p>
            <w:pPr>
              <w:spacing w:line="3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零配件供应调配能力较差，得1分；</w:t>
            </w:r>
          </w:p>
          <w:p>
            <w:pPr>
              <w:widowControl/>
              <w:spacing w:line="276" w:lineRule="auto"/>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未提供不得分</w:t>
            </w:r>
            <w:r>
              <w:rPr>
                <w:rFonts w:hint="eastAsia" w:ascii="仿宋" w:hAnsi="仿宋" w:eastAsia="仿宋" w:cs="仿宋"/>
                <w:color w:val="auto"/>
                <w:sz w:val="24"/>
                <w:szCs w:val="24"/>
                <w:highlight w:val="none"/>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3分</w:t>
            </w:r>
          </w:p>
        </w:tc>
      </w:tr>
    </w:tbl>
    <w:p>
      <w:pPr>
        <w:pStyle w:val="25"/>
        <w:spacing w:line="360" w:lineRule="auto"/>
        <w:rPr>
          <w:rFonts w:hint="eastAsia" w:ascii="仿宋" w:hAnsi="仿宋" w:eastAsia="仿宋" w:cs="仿宋"/>
          <w:color w:val="auto"/>
          <w:sz w:val="24"/>
          <w:szCs w:val="24"/>
          <w:highlight w:val="none"/>
        </w:rPr>
      </w:pPr>
    </w:p>
    <w:sectPr>
      <w:headerReference r:id="rId16" w:type="default"/>
      <w:footerReference r:id="rId17"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66966A-1B80-4F5F-9C79-B1903A897F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auto"/>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5B73D1FB-8B77-45EE-8BC3-E1ABC6301753}"/>
  </w:font>
  <w:font w:name="方正小标宋简体">
    <w:panose1 w:val="02000000000000000000"/>
    <w:charset w:val="86"/>
    <w:family w:val="auto"/>
    <w:pitch w:val="default"/>
    <w:sig w:usb0="00000001" w:usb1="08000000" w:usb2="00000000" w:usb3="00000000" w:csb0="00040000" w:csb1="00000000"/>
    <w:embedRegular r:id="rId3" w:fontKey="{E9A798D8-8C46-4DC5-8291-FFEE092D3FF7}"/>
  </w:font>
  <w:font w:name="楷体">
    <w:panose1 w:val="02010609060101010101"/>
    <w:charset w:val="86"/>
    <w:family w:val="auto"/>
    <w:pitch w:val="default"/>
    <w:sig w:usb0="800002BF" w:usb1="38CF7CFA" w:usb2="00000016" w:usb3="00000000" w:csb0="00040001" w:csb1="00000000"/>
    <w:embedRegular r:id="rId4" w:fontKey="{5BC61984-53AE-4590-94D6-0107F169D43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pPr>
      <w:pStyle w:val="2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17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09" w:lineRule="auto"/>
      <w:ind w:left="406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ind w:left="420" w:hanging="420" w:hangingChars="200"/>
      <w:jc w:val="both"/>
      <w:rPr>
        <w:rFonts w:hint="default" w:eastAsia="宋体"/>
        <w:u w:val="doub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569D"/>
    <w:multiLevelType w:val="multilevel"/>
    <w:tmpl w:val="8096569D"/>
    <w:lvl w:ilvl="0" w:tentative="0">
      <w:start w:val="1"/>
      <w:numFmt w:val="decimal"/>
      <w:lvlText w:val="%1."/>
      <w:lvlJc w:val="left"/>
      <w:pPr>
        <w:tabs>
          <w:tab w:val="left" w:pos="907"/>
        </w:tabs>
        <w:ind w:left="907" w:hanging="907"/>
      </w:pPr>
      <w:rPr>
        <w:rFonts w:hint="eastAsia"/>
        <w:b/>
      </w:rPr>
    </w:lvl>
    <w:lvl w:ilvl="1" w:tentative="0">
      <w:start w:val="1"/>
      <w:numFmt w:val="decimal"/>
      <w:isLgl/>
      <w:lvlText w:val="10.%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8411DE99"/>
    <w:multiLevelType w:val="singleLevel"/>
    <w:tmpl w:val="8411DE99"/>
    <w:lvl w:ilvl="0" w:tentative="0">
      <w:start w:val="1"/>
      <w:numFmt w:val="decimal"/>
      <w:suff w:val="nothing"/>
      <w:lvlText w:val="%1、"/>
      <w:lvlJc w:val="left"/>
    </w:lvl>
  </w:abstractNum>
  <w:abstractNum w:abstractNumId="2">
    <w:nsid w:val="8E1E9932"/>
    <w:multiLevelType w:val="singleLevel"/>
    <w:tmpl w:val="8E1E9932"/>
    <w:lvl w:ilvl="0" w:tentative="0">
      <w:start w:val="1"/>
      <w:numFmt w:val="decimal"/>
      <w:pStyle w:val="3"/>
      <w:lvlText w:val="%1."/>
      <w:lvlJc w:val="left"/>
      <w:pPr>
        <w:tabs>
          <w:tab w:val="left" w:pos="2040"/>
        </w:tabs>
        <w:ind w:left="2040" w:hanging="360"/>
      </w:pPr>
    </w:lvl>
  </w:abstractNum>
  <w:abstractNum w:abstractNumId="3">
    <w:nsid w:val="92333B14"/>
    <w:multiLevelType w:val="multilevel"/>
    <w:tmpl w:val="92333B14"/>
    <w:lvl w:ilvl="0" w:tentative="0">
      <w:start w:val="1"/>
      <w:numFmt w:val="decimal"/>
      <w:lvlText w:val="17.5.%1"/>
      <w:lvlJc w:val="left"/>
      <w:pPr>
        <w:tabs>
          <w:tab w:val="left" w:pos="907"/>
        </w:tabs>
        <w:ind w:left="907" w:hanging="907"/>
      </w:pPr>
      <w:rPr>
        <w:rFonts w:hint="default" w:ascii="宋体" w:hAnsi="宋体" w:eastAsia="宋体" w:cs="宋体"/>
        <w:b w:val="0"/>
      </w:rPr>
    </w:lvl>
    <w:lvl w:ilvl="1" w:tentative="0">
      <w:start w:val="1"/>
      <w:numFmt w:val="decimal"/>
      <w:isLgl/>
      <w:lvlText w:val="18.%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954953A"/>
    <w:multiLevelType w:val="multilevel"/>
    <w:tmpl w:val="9954953A"/>
    <w:lvl w:ilvl="0" w:tentative="0">
      <w:start w:val="1"/>
      <w:numFmt w:val="decimal"/>
      <w:lvlText w:val="%1."/>
      <w:lvlJc w:val="left"/>
      <w:pPr>
        <w:tabs>
          <w:tab w:val="left" w:pos="907"/>
        </w:tabs>
        <w:ind w:left="907" w:hanging="907"/>
      </w:pPr>
      <w:rPr>
        <w:rFonts w:hint="eastAsia"/>
        <w:b/>
      </w:rPr>
    </w:lvl>
    <w:lvl w:ilvl="1" w:tentative="0">
      <w:start w:val="1"/>
      <w:numFmt w:val="decimal"/>
      <w:isLgl/>
      <w:lvlText w:val="36.%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9E1A86F1"/>
    <w:multiLevelType w:val="multilevel"/>
    <w:tmpl w:val="9E1A86F1"/>
    <w:lvl w:ilvl="0" w:tentative="0">
      <w:start w:val="1"/>
      <w:numFmt w:val="decimal"/>
      <w:lvlText w:val="%1."/>
      <w:lvlJc w:val="left"/>
      <w:pPr>
        <w:tabs>
          <w:tab w:val="left" w:pos="907"/>
        </w:tabs>
        <w:ind w:left="907" w:hanging="907"/>
      </w:pPr>
      <w:rPr>
        <w:rFonts w:hint="eastAsia"/>
        <w:b/>
      </w:rPr>
    </w:lvl>
    <w:lvl w:ilvl="1" w:tentative="0">
      <w:start w:val="1"/>
      <w:numFmt w:val="decimal"/>
      <w:isLgl/>
      <w:lvlText w:val="42.%2."/>
      <w:lvlJc w:val="left"/>
      <w:pPr>
        <w:tabs>
          <w:tab w:val="left" w:pos="907"/>
        </w:tabs>
        <w:ind w:left="907" w:hanging="907"/>
      </w:pPr>
      <w:rPr>
        <w:rFonts w:hint="eastAsia" w:eastAsia="宋体"/>
        <w:b w:val="0"/>
      </w:rPr>
    </w:lvl>
    <w:lvl w:ilvl="2" w:tentative="0">
      <w:start w:val="1"/>
      <w:numFmt w:val="decimal"/>
      <w:lvlText w:val="43.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A3E133D2"/>
    <w:multiLevelType w:val="singleLevel"/>
    <w:tmpl w:val="A3E133D2"/>
    <w:lvl w:ilvl="0" w:tentative="0">
      <w:start w:val="6"/>
      <w:numFmt w:val="chineseCounting"/>
      <w:suff w:val="nothing"/>
      <w:lvlText w:val="%1、"/>
      <w:lvlJc w:val="left"/>
      <w:rPr>
        <w:rFonts w:hint="eastAsia"/>
      </w:rPr>
    </w:lvl>
  </w:abstractNum>
  <w:abstractNum w:abstractNumId="7">
    <w:nsid w:val="A48F9CC7"/>
    <w:multiLevelType w:val="multilevel"/>
    <w:tmpl w:val="A48F9CC7"/>
    <w:lvl w:ilvl="0" w:tentative="0">
      <w:start w:val="1"/>
      <w:numFmt w:val="decimal"/>
      <w:lvlText w:val="%1."/>
      <w:lvlJc w:val="left"/>
      <w:pPr>
        <w:tabs>
          <w:tab w:val="left" w:pos="907"/>
        </w:tabs>
        <w:ind w:left="907" w:hanging="907"/>
      </w:pPr>
      <w:rPr>
        <w:rFonts w:hint="eastAsia"/>
        <w:b/>
      </w:rPr>
    </w:lvl>
    <w:lvl w:ilvl="1" w:tentative="0">
      <w:start w:val="1"/>
      <w:numFmt w:val="decimal"/>
      <w:isLgl/>
      <w:lvlText w:val="3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A7A2FB09"/>
    <w:multiLevelType w:val="multilevel"/>
    <w:tmpl w:val="A7A2FB09"/>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A9E10F71"/>
    <w:multiLevelType w:val="multilevel"/>
    <w:tmpl w:val="A9E10F71"/>
    <w:lvl w:ilvl="0" w:tentative="0">
      <w:start w:val="1"/>
      <w:numFmt w:val="decimal"/>
      <w:lvlText w:val="%1."/>
      <w:lvlJc w:val="left"/>
      <w:pPr>
        <w:tabs>
          <w:tab w:val="left" w:pos="907"/>
        </w:tabs>
        <w:ind w:left="907" w:hanging="907"/>
      </w:pPr>
      <w:rPr>
        <w:rFonts w:hint="eastAsia"/>
        <w:b/>
      </w:rPr>
    </w:lvl>
    <w:lvl w:ilvl="1" w:tentative="0">
      <w:start w:val="1"/>
      <w:numFmt w:val="decimal"/>
      <w:isLgl/>
      <w:lvlText w:val="3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AA4DD313"/>
    <w:multiLevelType w:val="multilevel"/>
    <w:tmpl w:val="AA4DD313"/>
    <w:lvl w:ilvl="0" w:tentative="0">
      <w:start w:val="1"/>
      <w:numFmt w:val="decimal"/>
      <w:lvlText w:val="%1."/>
      <w:lvlJc w:val="left"/>
      <w:pPr>
        <w:tabs>
          <w:tab w:val="left" w:pos="907"/>
        </w:tabs>
        <w:ind w:left="907" w:hanging="907"/>
      </w:pPr>
      <w:rPr>
        <w:rFonts w:hint="eastAsia"/>
        <w:b/>
      </w:rPr>
    </w:lvl>
    <w:lvl w:ilvl="1" w:tentative="0">
      <w:start w:val="1"/>
      <w:numFmt w:val="decimal"/>
      <w:isLgl/>
      <w:lvlText w:val="12.%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AF9868AF"/>
    <w:multiLevelType w:val="multilevel"/>
    <w:tmpl w:val="AF9868AF"/>
    <w:lvl w:ilvl="0" w:tentative="0">
      <w:start w:val="1"/>
      <w:numFmt w:val="decimal"/>
      <w:lvlText w:val="20.%1"/>
      <w:lvlJc w:val="left"/>
      <w:pPr>
        <w:tabs>
          <w:tab w:val="left" w:pos="907"/>
        </w:tabs>
        <w:ind w:left="907" w:hanging="907"/>
      </w:pPr>
      <w:rPr>
        <w:rFonts w:hint="default" w:ascii="宋体" w:hAnsi="宋体" w:eastAsia="宋体" w:cs="宋体"/>
        <w:b w:val="0"/>
      </w:rPr>
    </w:lvl>
    <w:lvl w:ilvl="1" w:tentative="0">
      <w:start w:val="1"/>
      <w:numFmt w:val="decimal"/>
      <w:isLgl/>
      <w:lvlText w:val="19.%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AFD2DA23"/>
    <w:multiLevelType w:val="multilevel"/>
    <w:tmpl w:val="AFD2DA23"/>
    <w:lvl w:ilvl="0" w:tentative="0">
      <w:start w:val="1"/>
      <w:numFmt w:val="decimal"/>
      <w:lvlText w:val="%1."/>
      <w:lvlJc w:val="left"/>
      <w:pPr>
        <w:tabs>
          <w:tab w:val="left" w:pos="907"/>
        </w:tabs>
        <w:ind w:left="907" w:hanging="907"/>
      </w:pPr>
      <w:rPr>
        <w:rFonts w:hint="eastAsia"/>
        <w:b/>
      </w:rPr>
    </w:lvl>
    <w:lvl w:ilvl="1" w:tentative="0">
      <w:start w:val="1"/>
      <w:numFmt w:val="decimal"/>
      <w:isLgl/>
      <w:lvlText w:val="21.%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B00E335D"/>
    <w:multiLevelType w:val="multilevel"/>
    <w:tmpl w:val="B00E335D"/>
    <w:lvl w:ilvl="0" w:tentative="0">
      <w:start w:val="1"/>
      <w:numFmt w:val="decimal"/>
      <w:lvlText w:val="%1."/>
      <w:lvlJc w:val="left"/>
      <w:pPr>
        <w:tabs>
          <w:tab w:val="left" w:pos="907"/>
        </w:tabs>
        <w:ind w:left="907" w:hanging="907"/>
      </w:pPr>
      <w:rPr>
        <w:rFonts w:hint="eastAsia"/>
        <w:b/>
      </w:rPr>
    </w:lvl>
    <w:lvl w:ilvl="1" w:tentative="0">
      <w:start w:val="1"/>
      <w:numFmt w:val="decimal"/>
      <w:isLgl/>
      <w:lvlText w:val="6.%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B8EACBA9"/>
    <w:multiLevelType w:val="multilevel"/>
    <w:tmpl w:val="B8EACBA9"/>
    <w:lvl w:ilvl="0" w:tentative="0">
      <w:start w:val="1"/>
      <w:numFmt w:val="decimal"/>
      <w:lvlText w:val="%1."/>
      <w:lvlJc w:val="left"/>
      <w:pPr>
        <w:tabs>
          <w:tab w:val="left" w:pos="907"/>
        </w:tabs>
        <w:ind w:left="907" w:hanging="907"/>
      </w:pPr>
      <w:rPr>
        <w:rFonts w:hint="eastAsia"/>
        <w:b/>
      </w:rPr>
    </w:lvl>
    <w:lvl w:ilvl="1" w:tentative="0">
      <w:start w:val="1"/>
      <w:numFmt w:val="decimal"/>
      <w:isLgl/>
      <w:lvlText w:val="22.%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BC19AF0D"/>
    <w:multiLevelType w:val="multilevel"/>
    <w:tmpl w:val="BC19AF0D"/>
    <w:lvl w:ilvl="0" w:tentative="0">
      <w:start w:val="1"/>
      <w:numFmt w:val="decimal"/>
      <w:lvlText w:val="%1."/>
      <w:lvlJc w:val="left"/>
      <w:pPr>
        <w:tabs>
          <w:tab w:val="left" w:pos="907"/>
        </w:tabs>
        <w:ind w:left="907" w:hanging="907"/>
      </w:pPr>
      <w:rPr>
        <w:rFonts w:hint="eastAsia"/>
        <w:b/>
      </w:rPr>
    </w:lvl>
    <w:lvl w:ilvl="1" w:tentative="0">
      <w:start w:val="1"/>
      <w:numFmt w:val="decimal"/>
      <w:isLgl/>
      <w:lvlText w:val="32.%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C0CBC2A9"/>
    <w:multiLevelType w:val="multilevel"/>
    <w:tmpl w:val="C0CBC2A9"/>
    <w:lvl w:ilvl="0" w:tentative="0">
      <w:start w:val="1"/>
      <w:numFmt w:val="decimal"/>
      <w:lvlText w:val="%1."/>
      <w:lvlJc w:val="left"/>
      <w:pPr>
        <w:tabs>
          <w:tab w:val="left" w:pos="907"/>
        </w:tabs>
        <w:ind w:left="907" w:hanging="907"/>
      </w:pPr>
      <w:rPr>
        <w:rFonts w:hint="eastAsia"/>
        <w:b/>
      </w:rPr>
    </w:lvl>
    <w:lvl w:ilvl="1" w:tentative="0">
      <w:start w:val="1"/>
      <w:numFmt w:val="decimal"/>
      <w:isLgl/>
      <w:lvlText w:val="13.%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C22701CE"/>
    <w:multiLevelType w:val="multilevel"/>
    <w:tmpl w:val="C22701CE"/>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4.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C2417F32"/>
    <w:multiLevelType w:val="multilevel"/>
    <w:tmpl w:val="C2417F32"/>
    <w:lvl w:ilvl="0" w:tentative="0">
      <w:start w:val="1"/>
      <w:numFmt w:val="decimal"/>
      <w:lvlText w:val="%1."/>
      <w:lvlJc w:val="left"/>
      <w:pPr>
        <w:tabs>
          <w:tab w:val="left" w:pos="907"/>
        </w:tabs>
        <w:ind w:left="907" w:hanging="907"/>
      </w:pPr>
      <w:rPr>
        <w:rFonts w:hint="eastAsia"/>
        <w:b/>
      </w:rPr>
    </w:lvl>
    <w:lvl w:ilvl="1" w:tentative="0">
      <w:start w:val="1"/>
      <w:numFmt w:val="decimal"/>
      <w:isLgl/>
      <w:lvlText w:val="43.%2."/>
      <w:lvlJc w:val="left"/>
      <w:pPr>
        <w:tabs>
          <w:tab w:val="left" w:pos="907"/>
        </w:tabs>
        <w:ind w:left="907" w:hanging="907"/>
      </w:pPr>
      <w:rPr>
        <w:rFonts w:hint="default" w:ascii="宋体" w:hAnsi="宋体" w:eastAsia="宋体" w:cs="宋体"/>
        <w:b w:val="0"/>
      </w:rPr>
    </w:lvl>
    <w:lvl w:ilvl="2" w:tentative="0">
      <w:start w:val="1"/>
      <w:numFmt w:val="decimal"/>
      <w:lvlText w:val="4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D002ECE8"/>
    <w:multiLevelType w:val="multilevel"/>
    <w:tmpl w:val="D002ECE8"/>
    <w:lvl w:ilvl="0" w:tentative="0">
      <w:start w:val="1"/>
      <w:numFmt w:val="decimal"/>
      <w:lvlText w:val="%1."/>
      <w:lvlJc w:val="left"/>
      <w:pPr>
        <w:tabs>
          <w:tab w:val="left" w:pos="907"/>
        </w:tabs>
        <w:ind w:left="907" w:hanging="907"/>
      </w:pPr>
      <w:rPr>
        <w:rFonts w:hint="eastAsia"/>
        <w:b/>
      </w:rPr>
    </w:lvl>
    <w:lvl w:ilvl="1" w:tentative="0">
      <w:start w:val="1"/>
      <w:numFmt w:val="decimal"/>
      <w:isLgl/>
      <w:lvlText w:val="3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D228F261"/>
    <w:multiLevelType w:val="multilevel"/>
    <w:tmpl w:val="D228F261"/>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2.%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D2D509F7"/>
    <w:multiLevelType w:val="multilevel"/>
    <w:tmpl w:val="D2D509F7"/>
    <w:lvl w:ilvl="0" w:tentative="0">
      <w:start w:val="1"/>
      <w:numFmt w:val="decimal"/>
      <w:lvlText w:val="%1."/>
      <w:lvlJc w:val="left"/>
      <w:pPr>
        <w:tabs>
          <w:tab w:val="left" w:pos="907"/>
        </w:tabs>
        <w:ind w:left="907" w:hanging="907"/>
      </w:pPr>
      <w:rPr>
        <w:rFonts w:hint="eastAsia"/>
        <w:b/>
      </w:rPr>
    </w:lvl>
    <w:lvl w:ilvl="1" w:tentative="0">
      <w:start w:val="1"/>
      <w:numFmt w:val="decimal"/>
      <w:isLgl/>
      <w:lvlText w:val="3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D82FDC4F"/>
    <w:multiLevelType w:val="multilevel"/>
    <w:tmpl w:val="D82FDC4F"/>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DA854457"/>
    <w:multiLevelType w:val="multilevel"/>
    <w:tmpl w:val="DA854457"/>
    <w:lvl w:ilvl="0" w:tentative="0">
      <w:start w:val="1"/>
      <w:numFmt w:val="decimal"/>
      <w:lvlText w:val="%1."/>
      <w:lvlJc w:val="left"/>
      <w:pPr>
        <w:tabs>
          <w:tab w:val="left" w:pos="907"/>
        </w:tabs>
        <w:ind w:left="907" w:hanging="907"/>
      </w:pPr>
      <w:rPr>
        <w:rFonts w:hint="eastAsia"/>
        <w:b/>
      </w:rPr>
    </w:lvl>
    <w:lvl w:ilvl="1" w:tentative="0">
      <w:start w:val="1"/>
      <w:numFmt w:val="decimal"/>
      <w:isLgl/>
      <w:lvlText w:val="17.%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DB667128"/>
    <w:multiLevelType w:val="multilevel"/>
    <w:tmpl w:val="DB667128"/>
    <w:lvl w:ilvl="0" w:tentative="0">
      <w:start w:val="1"/>
      <w:numFmt w:val="decimal"/>
      <w:lvlText w:val="%1."/>
      <w:lvlJc w:val="left"/>
      <w:pPr>
        <w:tabs>
          <w:tab w:val="left" w:pos="907"/>
        </w:tabs>
        <w:ind w:left="907" w:hanging="907"/>
      </w:pPr>
      <w:rPr>
        <w:rFonts w:hint="eastAsia"/>
        <w:b/>
      </w:rPr>
    </w:lvl>
    <w:lvl w:ilvl="1" w:tentative="0">
      <w:start w:val="1"/>
      <w:numFmt w:val="decimal"/>
      <w:isLgl/>
      <w:lvlText w:val="3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E6A74FC1"/>
    <w:multiLevelType w:val="multilevel"/>
    <w:tmpl w:val="E6A74FC1"/>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F0530013"/>
    <w:multiLevelType w:val="multilevel"/>
    <w:tmpl w:val="F0530013"/>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F204C63F"/>
    <w:multiLevelType w:val="multilevel"/>
    <w:tmpl w:val="F204C63F"/>
    <w:lvl w:ilvl="0" w:tentative="0">
      <w:start w:val="1"/>
      <w:numFmt w:val="decimal"/>
      <w:lvlText w:val="%1."/>
      <w:lvlJc w:val="left"/>
      <w:pPr>
        <w:tabs>
          <w:tab w:val="left" w:pos="907"/>
        </w:tabs>
        <w:ind w:left="907" w:hanging="907"/>
      </w:pPr>
      <w:rPr>
        <w:rFonts w:hint="eastAsia"/>
        <w:b/>
      </w:rPr>
    </w:lvl>
    <w:lvl w:ilvl="1" w:tentative="0">
      <w:start w:val="1"/>
      <w:numFmt w:val="decimal"/>
      <w:isLgl/>
      <w:lvlText w:val="4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FD3D99E3"/>
    <w:multiLevelType w:val="multilevel"/>
    <w:tmpl w:val="FD3D99E3"/>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4.2.%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FF5CA5AF"/>
    <w:multiLevelType w:val="multilevel"/>
    <w:tmpl w:val="FF5CA5AF"/>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6.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8"/>
    <w:multiLevelType w:val="multilevel"/>
    <w:tmpl w:val="0000002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3A"/>
    <w:multiLevelType w:val="multilevel"/>
    <w:tmpl w:val="0000003A"/>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4944B75"/>
    <w:multiLevelType w:val="multilevel"/>
    <w:tmpl w:val="04944B75"/>
    <w:lvl w:ilvl="0" w:tentative="0">
      <w:start w:val="1"/>
      <w:numFmt w:val="decimal"/>
      <w:lvlText w:val="%1."/>
      <w:lvlJc w:val="left"/>
      <w:pPr>
        <w:tabs>
          <w:tab w:val="left" w:pos="907"/>
        </w:tabs>
        <w:ind w:left="907" w:hanging="907"/>
      </w:pPr>
      <w:rPr>
        <w:rFonts w:hint="eastAsia"/>
        <w:b/>
      </w:rPr>
    </w:lvl>
    <w:lvl w:ilvl="1" w:tentative="0">
      <w:start w:val="1"/>
      <w:numFmt w:val="decimal"/>
      <w:isLgl/>
      <w:lvlText w:val="11.%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609AC39"/>
    <w:multiLevelType w:val="singleLevel"/>
    <w:tmpl w:val="0609AC39"/>
    <w:lvl w:ilvl="0" w:tentative="0">
      <w:start w:val="2"/>
      <w:numFmt w:val="chineseCounting"/>
      <w:suff w:val="nothing"/>
      <w:lvlText w:val="（%1）"/>
      <w:lvlJc w:val="left"/>
      <w:rPr>
        <w:rFonts w:hint="eastAsia"/>
      </w:rPr>
    </w:lvl>
  </w:abstractNum>
  <w:abstractNum w:abstractNumId="35">
    <w:nsid w:val="09DB2046"/>
    <w:multiLevelType w:val="multilevel"/>
    <w:tmpl w:val="09DB2046"/>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7.4.%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175E00E"/>
    <w:multiLevelType w:val="multilevel"/>
    <w:tmpl w:val="1175E00E"/>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1AE64C4"/>
    <w:multiLevelType w:val="multilevel"/>
    <w:tmpl w:val="11AE64C4"/>
    <w:lvl w:ilvl="0" w:tentative="0">
      <w:start w:val="1"/>
      <w:numFmt w:val="none"/>
      <w:lvlText w:val="3.1."/>
      <w:lvlJc w:val="left"/>
      <w:pPr>
        <w:tabs>
          <w:tab w:val="left" w:pos="907"/>
        </w:tabs>
        <w:ind w:left="907" w:hanging="907"/>
      </w:pPr>
      <w:rPr>
        <w:rFonts w:hint="eastAsia"/>
        <w:b/>
      </w:rPr>
    </w:lvl>
    <w:lvl w:ilvl="1" w:tentative="0">
      <w:start w:val="1"/>
      <w:numFmt w:val="none"/>
      <w:isLgl/>
      <w:lvlText w:val="3.1."/>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12CE74D2"/>
    <w:multiLevelType w:val="multilevel"/>
    <w:tmpl w:val="12CE74D2"/>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9">
    <w:nsid w:val="2358F3A8"/>
    <w:multiLevelType w:val="multilevel"/>
    <w:tmpl w:val="2358F3A8"/>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default" w:ascii="宋体" w:hAnsi="宋体" w:eastAsia="宋体" w:cs="宋体"/>
        <w:b w:val="0"/>
      </w:rPr>
    </w:lvl>
    <w:lvl w:ilvl="2" w:tentative="0">
      <w:start w:val="1"/>
      <w:numFmt w:val="decimal"/>
      <w:lvlText w:val="14.%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9A13BAF"/>
    <w:multiLevelType w:val="multilevel"/>
    <w:tmpl w:val="29A13BAF"/>
    <w:lvl w:ilvl="0" w:tentative="0">
      <w:start w:val="1"/>
      <w:numFmt w:val="bullet"/>
      <w:lvlText w:val=""/>
      <w:lvlJc w:val="left"/>
      <w:pPr>
        <w:ind w:left="421" w:hanging="420"/>
      </w:pPr>
      <w:rPr>
        <w:rFonts w:hint="default" w:ascii="Wingdings" w:hAnsi="Wingdings"/>
      </w:rPr>
    </w:lvl>
    <w:lvl w:ilvl="1" w:tentative="0">
      <w:start w:val="1"/>
      <w:numFmt w:val="decimal"/>
      <w:lvlText w:val="%2、"/>
      <w:lvlJc w:val="left"/>
      <w:pPr>
        <w:ind w:left="786" w:hanging="360"/>
      </w:pPr>
      <w:rPr>
        <w:rFonts w:hint="default"/>
      </w:rPr>
    </w:lvl>
    <w:lvl w:ilvl="2" w:tentative="0">
      <w:start w:val="1"/>
      <w:numFmt w:val="japaneseCounting"/>
      <w:lvlText w:val="（%3）"/>
      <w:lvlJc w:val="left"/>
      <w:pPr>
        <w:ind w:left="1561" w:hanging="720"/>
      </w:pPr>
      <w:rPr>
        <w:rFonts w:hint="default"/>
      </w:r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41">
    <w:nsid w:val="2C48416B"/>
    <w:multiLevelType w:val="multilevel"/>
    <w:tmpl w:val="2C48416B"/>
    <w:lvl w:ilvl="0" w:tentative="0">
      <w:start w:val="1"/>
      <w:numFmt w:val="decimal"/>
      <w:lvlText w:val="4.1.%1"/>
      <w:lvlJc w:val="left"/>
      <w:pPr>
        <w:tabs>
          <w:tab w:val="left" w:pos="907"/>
        </w:tabs>
        <w:ind w:left="907" w:hanging="907"/>
      </w:pPr>
      <w:rPr>
        <w:rFonts w:hint="default" w:ascii="宋体" w:hAnsi="宋体" w:eastAsia="宋体" w:cs="宋体"/>
        <w:b w:val="0"/>
      </w:rPr>
    </w:lvl>
    <w:lvl w:ilvl="1" w:tentative="0">
      <w:start w:val="1"/>
      <w:numFmt w:val="decimal"/>
      <w:lvlText w:val="6.2.%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302D8F68"/>
    <w:multiLevelType w:val="singleLevel"/>
    <w:tmpl w:val="302D8F68"/>
    <w:lvl w:ilvl="0" w:tentative="0">
      <w:start w:val="2"/>
      <w:numFmt w:val="chineseCounting"/>
      <w:suff w:val="nothing"/>
      <w:lvlText w:val="%1、"/>
      <w:lvlJc w:val="left"/>
      <w:rPr>
        <w:rFonts w:hint="eastAsia"/>
      </w:rPr>
    </w:lvl>
  </w:abstractNum>
  <w:abstractNum w:abstractNumId="43">
    <w:nsid w:val="3165F6A4"/>
    <w:multiLevelType w:val="multilevel"/>
    <w:tmpl w:val="3165F6A4"/>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389572DE"/>
    <w:multiLevelType w:val="multilevel"/>
    <w:tmpl w:val="389572DE"/>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3E8846B6"/>
    <w:multiLevelType w:val="multilevel"/>
    <w:tmpl w:val="3E8846B6"/>
    <w:lvl w:ilvl="0" w:tentative="0">
      <w:start w:val="1"/>
      <w:numFmt w:val="decimal"/>
      <w:lvlText w:val="%1."/>
      <w:lvlJc w:val="left"/>
      <w:pPr>
        <w:tabs>
          <w:tab w:val="left" w:pos="907"/>
        </w:tabs>
        <w:ind w:left="907" w:hanging="907"/>
      </w:pPr>
      <w:rPr>
        <w:rFonts w:hint="eastAsia"/>
        <w:b/>
      </w:rPr>
    </w:lvl>
    <w:lvl w:ilvl="1" w:tentative="0">
      <w:start w:val="1"/>
      <w:numFmt w:val="decimal"/>
      <w:isLgl/>
      <w:lvlText w:val="2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3F8DA08C"/>
    <w:multiLevelType w:val="multilevel"/>
    <w:tmpl w:val="3F8DA08C"/>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01A4206"/>
    <w:multiLevelType w:val="multilevel"/>
    <w:tmpl w:val="401A4206"/>
    <w:lvl w:ilvl="0" w:tentative="0">
      <w:start w:val="1"/>
      <w:numFmt w:val="decimal"/>
      <w:lvlText w:val="%1."/>
      <w:lvlJc w:val="left"/>
      <w:pPr>
        <w:tabs>
          <w:tab w:val="left" w:pos="907"/>
        </w:tabs>
        <w:ind w:left="907" w:hanging="907"/>
      </w:pPr>
      <w:rPr>
        <w:rFonts w:hint="eastAsia"/>
        <w:b/>
      </w:rPr>
    </w:lvl>
    <w:lvl w:ilvl="1" w:tentative="0">
      <w:start w:val="1"/>
      <w:numFmt w:val="decimal"/>
      <w:isLgl/>
      <w:lvlText w:val="4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8024D8F"/>
    <w:multiLevelType w:val="multilevel"/>
    <w:tmpl w:val="48024D8F"/>
    <w:lvl w:ilvl="0" w:tentative="0">
      <w:start w:val="1"/>
      <w:numFmt w:val="decimal"/>
      <w:lvlText w:val="%1."/>
      <w:lvlJc w:val="left"/>
      <w:pPr>
        <w:tabs>
          <w:tab w:val="left" w:pos="907"/>
        </w:tabs>
        <w:ind w:left="907" w:hanging="907"/>
      </w:pPr>
      <w:rPr>
        <w:rFonts w:hint="eastAsia"/>
        <w:b/>
      </w:rPr>
    </w:lvl>
    <w:lvl w:ilvl="1" w:tentative="0">
      <w:start w:val="1"/>
      <w:numFmt w:val="decimal"/>
      <w:isLgl/>
      <w:lvlText w:val="7.%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A8B0558"/>
    <w:multiLevelType w:val="multilevel"/>
    <w:tmpl w:val="4A8B0558"/>
    <w:lvl w:ilvl="0" w:tentative="0">
      <w:start w:val="1"/>
      <w:numFmt w:val="decimal"/>
      <w:lvlText w:val="%1）"/>
      <w:lvlJc w:val="left"/>
      <w:pPr>
        <w:tabs>
          <w:tab w:val="left" w:pos="1920"/>
        </w:tabs>
        <w:ind w:left="19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4C56676A"/>
    <w:multiLevelType w:val="multilevel"/>
    <w:tmpl w:val="4C56676A"/>
    <w:lvl w:ilvl="0" w:tentative="0">
      <w:start w:val="1"/>
      <w:numFmt w:val="decimal"/>
      <w:lvlText w:val="19.%1"/>
      <w:lvlJc w:val="left"/>
      <w:pPr>
        <w:tabs>
          <w:tab w:val="left" w:pos="907"/>
        </w:tabs>
        <w:ind w:left="907" w:hanging="907"/>
      </w:pPr>
      <w:rPr>
        <w:rFonts w:hint="default" w:ascii="宋体" w:hAnsi="宋体" w:eastAsia="宋体" w:cs="宋体"/>
        <w:b w:val="0"/>
      </w:rPr>
    </w:lvl>
    <w:lvl w:ilvl="1" w:tentative="0">
      <w:start w:val="1"/>
      <w:numFmt w:val="decimal"/>
      <w:isLgl/>
      <w:lvlText w:val="19.%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4D4FE455"/>
    <w:multiLevelType w:val="multilevel"/>
    <w:tmpl w:val="4D4FE455"/>
    <w:lvl w:ilvl="0" w:tentative="0">
      <w:start w:val="1"/>
      <w:numFmt w:val="decimal"/>
      <w:lvlText w:val="%1."/>
      <w:lvlJc w:val="left"/>
      <w:pPr>
        <w:tabs>
          <w:tab w:val="left" w:pos="907"/>
        </w:tabs>
        <w:ind w:left="907" w:hanging="907"/>
      </w:pPr>
      <w:rPr>
        <w:rFonts w:hint="eastAsia"/>
        <w:b/>
      </w:rPr>
    </w:lvl>
    <w:lvl w:ilvl="1" w:tentative="0">
      <w:start w:val="1"/>
      <w:numFmt w:val="decimal"/>
      <w:isLgl/>
      <w:lvlText w:val="16.%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57FDEF10"/>
    <w:multiLevelType w:val="multilevel"/>
    <w:tmpl w:val="57FDEF10"/>
    <w:lvl w:ilvl="0" w:tentative="0">
      <w:start w:val="1"/>
      <w:numFmt w:val="decimal"/>
      <w:lvlText w:val="24.4.%1"/>
      <w:lvlJc w:val="left"/>
      <w:pPr>
        <w:ind w:left="425" w:hanging="425"/>
      </w:pPr>
      <w:rPr>
        <w:rFonts w:hint="default" w:ascii="宋体" w:hAnsi="宋体" w:eastAsia="宋体" w:cs="宋体"/>
        <w:w w:val="100"/>
        <w:lang w:val="zh-CN" w:eastAsia="zh-CN" w:bidi="zh-CN"/>
      </w:rPr>
    </w:lvl>
    <w:lvl w:ilvl="1" w:tentative="0">
      <w:start w:val="1"/>
      <w:numFmt w:val="decimal"/>
      <w:lvlText w:val="%1.%2."/>
      <w:lvlJc w:val="left"/>
      <w:pPr>
        <w:ind w:left="566" w:hanging="567"/>
      </w:pPr>
      <w:rPr>
        <w:rFonts w:hint="default"/>
        <w:w w:val="100"/>
        <w:lang w:val="zh-CN" w:eastAsia="zh-CN" w:bidi="zh-CN"/>
      </w:rPr>
    </w:lvl>
    <w:lvl w:ilvl="2" w:tentative="0">
      <w:start w:val="1"/>
      <w:numFmt w:val="decimal"/>
      <w:lvlText w:val="27.2.%3"/>
      <w:lvlJc w:val="left"/>
      <w:pPr>
        <w:ind w:left="708" w:hanging="567"/>
      </w:pPr>
      <w:rPr>
        <w:rFonts w:hint="default" w:ascii="宋体" w:hAnsi="宋体" w:eastAsia="宋体" w:cs="宋体"/>
        <w:w w:val="100"/>
        <w:sz w:val="21"/>
        <w:szCs w:val="21"/>
        <w:lang w:val="zh-CN" w:eastAsia="zh-CN" w:bidi="zh-CN"/>
      </w:rPr>
    </w:lvl>
    <w:lvl w:ilvl="3" w:tentative="0">
      <w:start w:val="0"/>
      <w:numFmt w:val="bullet"/>
      <w:lvlText w:val="•"/>
      <w:lvlJc w:val="left"/>
      <w:pPr>
        <w:ind w:left="1850" w:hanging="567"/>
      </w:pPr>
      <w:rPr>
        <w:rFonts w:hint="default"/>
        <w:lang w:val="zh-CN" w:eastAsia="zh-CN" w:bidi="zh-CN"/>
      </w:rPr>
    </w:lvl>
    <w:lvl w:ilvl="4" w:tentative="0">
      <w:start w:val="0"/>
      <w:numFmt w:val="bullet"/>
      <w:lvlText w:val="•"/>
      <w:lvlJc w:val="left"/>
      <w:pPr>
        <w:ind w:left="3001" w:hanging="567"/>
      </w:pPr>
      <w:rPr>
        <w:rFonts w:hint="default"/>
        <w:lang w:val="zh-CN" w:eastAsia="zh-CN" w:bidi="zh-CN"/>
      </w:rPr>
    </w:lvl>
    <w:lvl w:ilvl="5" w:tentative="0">
      <w:start w:val="0"/>
      <w:numFmt w:val="bullet"/>
      <w:lvlText w:val="•"/>
      <w:lvlJc w:val="left"/>
      <w:pPr>
        <w:ind w:left="4152" w:hanging="567"/>
      </w:pPr>
      <w:rPr>
        <w:rFonts w:hint="default"/>
        <w:lang w:val="zh-CN" w:eastAsia="zh-CN" w:bidi="zh-CN"/>
      </w:rPr>
    </w:lvl>
    <w:lvl w:ilvl="6" w:tentative="0">
      <w:start w:val="0"/>
      <w:numFmt w:val="bullet"/>
      <w:lvlText w:val="•"/>
      <w:lvlJc w:val="left"/>
      <w:pPr>
        <w:ind w:left="5303" w:hanging="567"/>
      </w:pPr>
      <w:rPr>
        <w:rFonts w:hint="default"/>
        <w:lang w:val="zh-CN" w:eastAsia="zh-CN" w:bidi="zh-CN"/>
      </w:rPr>
    </w:lvl>
    <w:lvl w:ilvl="7" w:tentative="0">
      <w:start w:val="0"/>
      <w:numFmt w:val="bullet"/>
      <w:lvlText w:val="•"/>
      <w:lvlJc w:val="left"/>
      <w:pPr>
        <w:ind w:left="6454" w:hanging="567"/>
      </w:pPr>
      <w:rPr>
        <w:rFonts w:hint="default"/>
        <w:lang w:val="zh-CN" w:eastAsia="zh-CN" w:bidi="zh-CN"/>
      </w:rPr>
    </w:lvl>
    <w:lvl w:ilvl="8" w:tentative="0">
      <w:start w:val="0"/>
      <w:numFmt w:val="bullet"/>
      <w:lvlText w:val="•"/>
      <w:lvlJc w:val="left"/>
      <w:pPr>
        <w:ind w:left="7604" w:hanging="567"/>
      </w:pPr>
      <w:rPr>
        <w:rFonts w:hint="default"/>
        <w:lang w:val="zh-CN" w:eastAsia="zh-CN" w:bidi="zh-CN"/>
      </w:rPr>
    </w:lvl>
  </w:abstractNum>
  <w:abstractNum w:abstractNumId="53">
    <w:nsid w:val="5F8F954A"/>
    <w:multiLevelType w:val="multilevel"/>
    <w:tmpl w:val="5F8F954A"/>
    <w:lvl w:ilvl="0" w:tentative="0">
      <w:start w:val="1"/>
      <w:numFmt w:val="decimal"/>
      <w:lvlText w:val="%1."/>
      <w:lvlJc w:val="left"/>
      <w:pPr>
        <w:tabs>
          <w:tab w:val="left" w:pos="907"/>
        </w:tabs>
        <w:ind w:left="907" w:hanging="907"/>
      </w:pPr>
      <w:rPr>
        <w:rFonts w:hint="eastAsia"/>
        <w:b/>
      </w:rPr>
    </w:lvl>
    <w:lvl w:ilvl="1" w:tentative="0">
      <w:start w:val="1"/>
      <w:numFmt w:val="decimal"/>
      <w:isLgl/>
      <w:lvlText w:val="4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6639293E"/>
    <w:multiLevelType w:val="multilevel"/>
    <w:tmpl w:val="6639293E"/>
    <w:lvl w:ilvl="0" w:tentative="0">
      <w:start w:val="1"/>
      <w:numFmt w:val="decimal"/>
      <w:lvlText w:val="%1."/>
      <w:lvlJc w:val="left"/>
      <w:pPr>
        <w:tabs>
          <w:tab w:val="left" w:pos="907"/>
        </w:tabs>
        <w:ind w:left="907" w:hanging="907"/>
      </w:pPr>
      <w:rPr>
        <w:rFonts w:hint="eastAsia"/>
        <w:b/>
      </w:rPr>
    </w:lvl>
    <w:lvl w:ilvl="1" w:tentative="0">
      <w:start w:val="1"/>
      <w:numFmt w:val="decimal"/>
      <w:isLgl/>
      <w:lvlText w:val="24.%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671913AA"/>
    <w:multiLevelType w:val="multilevel"/>
    <w:tmpl w:val="671913AA"/>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3.%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67CD9943"/>
    <w:multiLevelType w:val="multilevel"/>
    <w:tmpl w:val="67CD9943"/>
    <w:lvl w:ilvl="0" w:tentative="0">
      <w:start w:val="1"/>
      <w:numFmt w:val="decimal"/>
      <w:lvlText w:val="23.1.%1"/>
      <w:lvlJc w:val="left"/>
      <w:pPr>
        <w:tabs>
          <w:tab w:val="left" w:pos="907"/>
        </w:tabs>
        <w:ind w:left="907" w:hanging="907"/>
      </w:pPr>
      <w:rPr>
        <w:rFonts w:hint="default" w:ascii="宋体" w:hAnsi="宋体" w:eastAsia="宋体" w:cs="宋体"/>
        <w:b w:val="0"/>
      </w:rPr>
    </w:lvl>
    <w:lvl w:ilvl="1" w:tentative="0">
      <w:start w:val="1"/>
      <w:numFmt w:val="decimal"/>
      <w:isLgl/>
      <w:lvlText w:val="27.%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6CE7ABAE"/>
    <w:multiLevelType w:val="singleLevel"/>
    <w:tmpl w:val="6CE7ABAE"/>
    <w:lvl w:ilvl="0" w:tentative="0">
      <w:start w:val="2"/>
      <w:numFmt w:val="decimal"/>
      <w:suff w:val="nothing"/>
      <w:lvlText w:val="%1、"/>
      <w:lvlJc w:val="left"/>
    </w:lvl>
  </w:abstractNum>
  <w:abstractNum w:abstractNumId="58">
    <w:nsid w:val="71BCB1A9"/>
    <w:multiLevelType w:val="multilevel"/>
    <w:tmpl w:val="71BCB1A9"/>
    <w:lvl w:ilvl="0" w:tentative="0">
      <w:start w:val="1"/>
      <w:numFmt w:val="decimal"/>
      <w:lvlText w:val="28.1.%1"/>
      <w:lvlJc w:val="left"/>
      <w:pPr>
        <w:tabs>
          <w:tab w:val="left" w:pos="907"/>
        </w:tabs>
        <w:ind w:left="907" w:hanging="907"/>
      </w:pPr>
      <w:rPr>
        <w:rFonts w:hint="default" w:ascii="宋体" w:hAnsi="宋体" w:eastAsia="宋体" w:cs="宋体"/>
        <w:b w:val="0"/>
      </w:rPr>
    </w:lvl>
    <w:lvl w:ilvl="1" w:tentative="0">
      <w:start w:val="1"/>
      <w:numFmt w:val="decimal"/>
      <w:isLgl/>
      <w:lvlText w:val="23.%2."/>
      <w:lvlJc w:val="left"/>
      <w:pPr>
        <w:tabs>
          <w:tab w:val="left" w:pos="907"/>
        </w:tabs>
        <w:ind w:left="907" w:hanging="907"/>
      </w:pPr>
      <w:rPr>
        <w:rFonts w:hint="eastAsia"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74A59161"/>
    <w:multiLevelType w:val="multilevel"/>
    <w:tmpl w:val="74A59161"/>
    <w:lvl w:ilvl="0" w:tentative="0">
      <w:start w:val="1"/>
      <w:numFmt w:val="decimal"/>
      <w:lvlText w:val="%1."/>
      <w:lvlJc w:val="left"/>
      <w:pPr>
        <w:tabs>
          <w:tab w:val="left" w:pos="907"/>
        </w:tabs>
        <w:ind w:left="907" w:hanging="907"/>
      </w:pPr>
      <w:rPr>
        <w:rFonts w:hint="eastAsia"/>
        <w:b/>
      </w:rPr>
    </w:lvl>
    <w:lvl w:ilvl="1" w:tentative="0">
      <w:start w:val="1"/>
      <w:numFmt w:val="decimal"/>
      <w:isLgl/>
      <w:lvlText w:val="15.%2."/>
      <w:lvlJc w:val="left"/>
      <w:pPr>
        <w:tabs>
          <w:tab w:val="left" w:pos="907"/>
        </w:tabs>
        <w:ind w:left="907" w:hanging="907"/>
      </w:pPr>
      <w:rPr>
        <w:rFonts w:hint="default" w:ascii="宋体" w:hAnsi="宋体" w:eastAsia="宋体" w:cs="宋体"/>
        <w:b w:val="0"/>
      </w:rPr>
    </w:lvl>
    <w:lvl w:ilvl="2" w:tentative="0">
      <w:start w:val="1"/>
      <w:numFmt w:val="decimal"/>
      <w:lvlText w:val="15.%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7E212080"/>
    <w:multiLevelType w:val="multilevel"/>
    <w:tmpl w:val="7E212080"/>
    <w:lvl w:ilvl="0" w:tentative="0">
      <w:start w:val="1"/>
      <w:numFmt w:val="decimal"/>
      <w:lvlText w:val="%1."/>
      <w:lvlJc w:val="left"/>
      <w:pPr>
        <w:tabs>
          <w:tab w:val="left" w:pos="907"/>
        </w:tabs>
        <w:ind w:left="907" w:hanging="907"/>
      </w:pPr>
      <w:rPr>
        <w:rFonts w:hint="eastAsia"/>
        <w:b/>
      </w:rPr>
    </w:lvl>
    <w:lvl w:ilvl="1" w:tentative="0">
      <w:start w:val="1"/>
      <w:numFmt w:val="decimal"/>
      <w:isLgl/>
      <w:lvlText w:val="3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8"/>
  </w:num>
  <w:num w:numId="2">
    <w:abstractNumId w:val="2"/>
  </w:num>
  <w:num w:numId="3">
    <w:abstractNumId w:val="44"/>
  </w:num>
  <w:num w:numId="4">
    <w:abstractNumId w:val="6"/>
  </w:num>
  <w:num w:numId="5">
    <w:abstractNumId w:val="1"/>
  </w:num>
  <w:num w:numId="6">
    <w:abstractNumId w:val="57"/>
  </w:num>
  <w:num w:numId="7">
    <w:abstractNumId w:val="30"/>
  </w:num>
  <w:num w:numId="8">
    <w:abstractNumId w:val="40"/>
  </w:num>
  <w:num w:numId="9">
    <w:abstractNumId w:val="32"/>
  </w:num>
  <w:num w:numId="10">
    <w:abstractNumId w:val="37"/>
  </w:num>
  <w:num w:numId="11">
    <w:abstractNumId w:val="31"/>
  </w:num>
  <w:num w:numId="12">
    <w:abstractNumId w:val="41"/>
  </w:num>
  <w:num w:numId="13">
    <w:abstractNumId w:val="13"/>
  </w:num>
  <w:num w:numId="14">
    <w:abstractNumId w:val="48"/>
  </w:num>
  <w:num w:numId="15">
    <w:abstractNumId w:val="0"/>
  </w:num>
  <w:num w:numId="16">
    <w:abstractNumId w:val="33"/>
  </w:num>
  <w:num w:numId="17">
    <w:abstractNumId w:val="10"/>
  </w:num>
  <w:num w:numId="18">
    <w:abstractNumId w:val="16"/>
  </w:num>
  <w:num w:numId="19">
    <w:abstractNumId w:val="39"/>
  </w:num>
  <w:num w:numId="20">
    <w:abstractNumId w:val="59"/>
  </w:num>
  <w:num w:numId="21">
    <w:abstractNumId w:val="51"/>
  </w:num>
  <w:num w:numId="22">
    <w:abstractNumId w:val="23"/>
  </w:num>
  <w:num w:numId="23">
    <w:abstractNumId w:val="3"/>
  </w:num>
  <w:num w:numId="24">
    <w:abstractNumId w:val="50"/>
  </w:num>
  <w:num w:numId="25">
    <w:abstractNumId w:val="11"/>
  </w:num>
  <w:num w:numId="26">
    <w:abstractNumId w:val="12"/>
  </w:num>
  <w:num w:numId="27">
    <w:abstractNumId w:val="14"/>
  </w:num>
  <w:num w:numId="28">
    <w:abstractNumId w:val="58"/>
  </w:num>
  <w:num w:numId="29">
    <w:abstractNumId w:val="56"/>
  </w:num>
  <w:num w:numId="30">
    <w:abstractNumId w:val="54"/>
  </w:num>
  <w:num w:numId="31">
    <w:abstractNumId w:val="52"/>
  </w:num>
  <w:num w:numId="32">
    <w:abstractNumId w:val="45"/>
  </w:num>
  <w:num w:numId="33">
    <w:abstractNumId w:val="43"/>
  </w:num>
  <w:num w:numId="34">
    <w:abstractNumId w:val="29"/>
  </w:num>
  <w:num w:numId="35">
    <w:abstractNumId w:val="8"/>
  </w:num>
  <w:num w:numId="36">
    <w:abstractNumId w:val="35"/>
  </w:num>
  <w:num w:numId="37">
    <w:abstractNumId w:val="26"/>
  </w:num>
  <w:num w:numId="38">
    <w:abstractNumId w:val="36"/>
  </w:num>
  <w:num w:numId="39">
    <w:abstractNumId w:val="25"/>
  </w:num>
  <w:num w:numId="40">
    <w:abstractNumId w:val="22"/>
  </w:num>
  <w:num w:numId="41">
    <w:abstractNumId w:val="46"/>
  </w:num>
  <w:num w:numId="42">
    <w:abstractNumId w:val="20"/>
  </w:num>
  <w:num w:numId="43">
    <w:abstractNumId w:val="55"/>
  </w:num>
  <w:num w:numId="44">
    <w:abstractNumId w:val="15"/>
  </w:num>
  <w:num w:numId="45">
    <w:abstractNumId w:val="9"/>
  </w:num>
  <w:num w:numId="46">
    <w:abstractNumId w:val="7"/>
  </w:num>
  <w:num w:numId="47">
    <w:abstractNumId w:val="17"/>
  </w:num>
  <w:num w:numId="48">
    <w:abstractNumId w:val="28"/>
  </w:num>
  <w:num w:numId="49">
    <w:abstractNumId w:val="49"/>
  </w:num>
  <w:num w:numId="50">
    <w:abstractNumId w:val="60"/>
  </w:num>
  <w:num w:numId="51">
    <w:abstractNumId w:val="4"/>
  </w:num>
  <w:num w:numId="52">
    <w:abstractNumId w:val="21"/>
  </w:num>
  <w:num w:numId="53">
    <w:abstractNumId w:val="19"/>
  </w:num>
  <w:num w:numId="54">
    <w:abstractNumId w:val="24"/>
  </w:num>
  <w:num w:numId="55">
    <w:abstractNumId w:val="47"/>
  </w:num>
  <w:num w:numId="56">
    <w:abstractNumId w:val="53"/>
  </w:num>
  <w:num w:numId="57">
    <w:abstractNumId w:val="27"/>
  </w:num>
  <w:num w:numId="58">
    <w:abstractNumId w:val="18"/>
  </w:num>
  <w:num w:numId="59">
    <w:abstractNumId w:val="5"/>
  </w:num>
  <w:num w:numId="60">
    <w:abstractNumId w:val="42"/>
  </w:num>
  <w:num w:numId="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lhOWIwOWU2NDBmZWU2YWIxNTQ1OGNkM2E1MWIifQ=="/>
    <w:docVar w:name="KSO_WPS_MARK_KEY" w:val="d5523776-c68f-4319-8b5a-3238f7280179"/>
  </w:docVars>
  <w:rsids>
    <w:rsidRoot w:val="004D745D"/>
    <w:rsid w:val="0002561E"/>
    <w:rsid w:val="000268AB"/>
    <w:rsid w:val="00040642"/>
    <w:rsid w:val="00062C58"/>
    <w:rsid w:val="000630E8"/>
    <w:rsid w:val="000755AA"/>
    <w:rsid w:val="000A1C5F"/>
    <w:rsid w:val="000D1780"/>
    <w:rsid w:val="000F7605"/>
    <w:rsid w:val="00124A8F"/>
    <w:rsid w:val="00131EFB"/>
    <w:rsid w:val="001445B4"/>
    <w:rsid w:val="00195545"/>
    <w:rsid w:val="002039FE"/>
    <w:rsid w:val="002232B4"/>
    <w:rsid w:val="002520CC"/>
    <w:rsid w:val="00255931"/>
    <w:rsid w:val="00271920"/>
    <w:rsid w:val="003916CF"/>
    <w:rsid w:val="003F6C93"/>
    <w:rsid w:val="004243B5"/>
    <w:rsid w:val="004B7BE0"/>
    <w:rsid w:val="004D4324"/>
    <w:rsid w:val="004D745D"/>
    <w:rsid w:val="005140A0"/>
    <w:rsid w:val="00536F1D"/>
    <w:rsid w:val="005A18F3"/>
    <w:rsid w:val="005D7312"/>
    <w:rsid w:val="00636825"/>
    <w:rsid w:val="006A122F"/>
    <w:rsid w:val="006A1773"/>
    <w:rsid w:val="006C5C9E"/>
    <w:rsid w:val="0075366B"/>
    <w:rsid w:val="007538CE"/>
    <w:rsid w:val="007C1288"/>
    <w:rsid w:val="00831EB2"/>
    <w:rsid w:val="0086078F"/>
    <w:rsid w:val="00883C54"/>
    <w:rsid w:val="009A078B"/>
    <w:rsid w:val="009F2A63"/>
    <w:rsid w:val="00A11027"/>
    <w:rsid w:val="00A4483F"/>
    <w:rsid w:val="00A758B8"/>
    <w:rsid w:val="00AC7EC5"/>
    <w:rsid w:val="00AD63BD"/>
    <w:rsid w:val="00B24090"/>
    <w:rsid w:val="00B62A93"/>
    <w:rsid w:val="00B95B2D"/>
    <w:rsid w:val="00BC3E67"/>
    <w:rsid w:val="00BF50F3"/>
    <w:rsid w:val="00C01EBD"/>
    <w:rsid w:val="00C106BE"/>
    <w:rsid w:val="00C16B46"/>
    <w:rsid w:val="00C33D60"/>
    <w:rsid w:val="00CA2485"/>
    <w:rsid w:val="00CC41B7"/>
    <w:rsid w:val="00CF1D1F"/>
    <w:rsid w:val="00D2762D"/>
    <w:rsid w:val="00D44368"/>
    <w:rsid w:val="00D931B2"/>
    <w:rsid w:val="00DD0E0A"/>
    <w:rsid w:val="00E35776"/>
    <w:rsid w:val="00EA0245"/>
    <w:rsid w:val="00EB23BF"/>
    <w:rsid w:val="00EF38D6"/>
    <w:rsid w:val="00F77098"/>
    <w:rsid w:val="00F96F6D"/>
    <w:rsid w:val="011D29D3"/>
    <w:rsid w:val="011F2306"/>
    <w:rsid w:val="01B053DC"/>
    <w:rsid w:val="01E21263"/>
    <w:rsid w:val="022402D8"/>
    <w:rsid w:val="033267EB"/>
    <w:rsid w:val="035438DF"/>
    <w:rsid w:val="039B6A7A"/>
    <w:rsid w:val="03B44D43"/>
    <w:rsid w:val="04284DF7"/>
    <w:rsid w:val="043319BF"/>
    <w:rsid w:val="04934A97"/>
    <w:rsid w:val="04BB67EA"/>
    <w:rsid w:val="05045E17"/>
    <w:rsid w:val="052B7D68"/>
    <w:rsid w:val="053C7EE8"/>
    <w:rsid w:val="05DD405D"/>
    <w:rsid w:val="065A4F71"/>
    <w:rsid w:val="06712BB6"/>
    <w:rsid w:val="06F92A76"/>
    <w:rsid w:val="07B03476"/>
    <w:rsid w:val="08813251"/>
    <w:rsid w:val="091B505B"/>
    <w:rsid w:val="093B69FE"/>
    <w:rsid w:val="09710ACA"/>
    <w:rsid w:val="097148FC"/>
    <w:rsid w:val="09B2776D"/>
    <w:rsid w:val="09BC676A"/>
    <w:rsid w:val="0ADD43C6"/>
    <w:rsid w:val="0B5C2B1E"/>
    <w:rsid w:val="0B6C4C4F"/>
    <w:rsid w:val="0B8B36A6"/>
    <w:rsid w:val="0BBA6DAD"/>
    <w:rsid w:val="0BDB7443"/>
    <w:rsid w:val="0C0D4DBB"/>
    <w:rsid w:val="0C356A4A"/>
    <w:rsid w:val="0C9C64B3"/>
    <w:rsid w:val="0D103128"/>
    <w:rsid w:val="0D807ECA"/>
    <w:rsid w:val="0DEC55AB"/>
    <w:rsid w:val="0EB421D9"/>
    <w:rsid w:val="0EF32D02"/>
    <w:rsid w:val="0F21471A"/>
    <w:rsid w:val="0F28222B"/>
    <w:rsid w:val="0FC71A98"/>
    <w:rsid w:val="0FCD5301"/>
    <w:rsid w:val="0FEE5277"/>
    <w:rsid w:val="10946D5B"/>
    <w:rsid w:val="113969C6"/>
    <w:rsid w:val="1186727F"/>
    <w:rsid w:val="11A62133"/>
    <w:rsid w:val="1230739F"/>
    <w:rsid w:val="125300E4"/>
    <w:rsid w:val="12695089"/>
    <w:rsid w:val="12737232"/>
    <w:rsid w:val="129739A4"/>
    <w:rsid w:val="13180F89"/>
    <w:rsid w:val="13795061"/>
    <w:rsid w:val="13B77AAE"/>
    <w:rsid w:val="140212F1"/>
    <w:rsid w:val="14B35AE2"/>
    <w:rsid w:val="151A7A0E"/>
    <w:rsid w:val="15810DF6"/>
    <w:rsid w:val="15843636"/>
    <w:rsid w:val="15CF32C4"/>
    <w:rsid w:val="162C2DA3"/>
    <w:rsid w:val="16612C47"/>
    <w:rsid w:val="16C65BD4"/>
    <w:rsid w:val="16D50F3F"/>
    <w:rsid w:val="179359CE"/>
    <w:rsid w:val="17AD3752"/>
    <w:rsid w:val="17F11DA8"/>
    <w:rsid w:val="17FE78E9"/>
    <w:rsid w:val="1871436F"/>
    <w:rsid w:val="187273DD"/>
    <w:rsid w:val="18C63235"/>
    <w:rsid w:val="196B6A67"/>
    <w:rsid w:val="19C40DBE"/>
    <w:rsid w:val="1A036844"/>
    <w:rsid w:val="1A21456C"/>
    <w:rsid w:val="1A845156"/>
    <w:rsid w:val="1AF220BF"/>
    <w:rsid w:val="1B0D6D1D"/>
    <w:rsid w:val="1B7E7A42"/>
    <w:rsid w:val="1C790EA2"/>
    <w:rsid w:val="1CBB4733"/>
    <w:rsid w:val="1CCD3F1F"/>
    <w:rsid w:val="1CFE11EF"/>
    <w:rsid w:val="1D721295"/>
    <w:rsid w:val="1E0B405F"/>
    <w:rsid w:val="1E135B88"/>
    <w:rsid w:val="1E2A66BB"/>
    <w:rsid w:val="1E94348E"/>
    <w:rsid w:val="1ED539FA"/>
    <w:rsid w:val="1F6F7E60"/>
    <w:rsid w:val="1F775289"/>
    <w:rsid w:val="1FD13B1D"/>
    <w:rsid w:val="1FD618FC"/>
    <w:rsid w:val="20341B32"/>
    <w:rsid w:val="20436F19"/>
    <w:rsid w:val="20A429B6"/>
    <w:rsid w:val="20BF6817"/>
    <w:rsid w:val="210C2083"/>
    <w:rsid w:val="21321990"/>
    <w:rsid w:val="21342863"/>
    <w:rsid w:val="21DE185B"/>
    <w:rsid w:val="222B5EB7"/>
    <w:rsid w:val="22616361"/>
    <w:rsid w:val="22771648"/>
    <w:rsid w:val="22E96105"/>
    <w:rsid w:val="22F62592"/>
    <w:rsid w:val="23AE6E53"/>
    <w:rsid w:val="243B67B0"/>
    <w:rsid w:val="24672DFE"/>
    <w:rsid w:val="247F6640"/>
    <w:rsid w:val="24FB0BDF"/>
    <w:rsid w:val="25063990"/>
    <w:rsid w:val="252B0548"/>
    <w:rsid w:val="256C7C30"/>
    <w:rsid w:val="25BD73D6"/>
    <w:rsid w:val="262302AF"/>
    <w:rsid w:val="26263565"/>
    <w:rsid w:val="26753BA5"/>
    <w:rsid w:val="27BE32D0"/>
    <w:rsid w:val="2842528D"/>
    <w:rsid w:val="28437DE4"/>
    <w:rsid w:val="287B1BD9"/>
    <w:rsid w:val="28B53DD7"/>
    <w:rsid w:val="29A92FCA"/>
    <w:rsid w:val="29AC6F1B"/>
    <w:rsid w:val="2A77438F"/>
    <w:rsid w:val="2AA131BA"/>
    <w:rsid w:val="2B231E21"/>
    <w:rsid w:val="2B3F4073"/>
    <w:rsid w:val="2B626552"/>
    <w:rsid w:val="2C0A43BD"/>
    <w:rsid w:val="2C647059"/>
    <w:rsid w:val="2D3A2629"/>
    <w:rsid w:val="2D781B6D"/>
    <w:rsid w:val="2E873790"/>
    <w:rsid w:val="2E877731"/>
    <w:rsid w:val="2E9C7239"/>
    <w:rsid w:val="2EB01C1E"/>
    <w:rsid w:val="2ED26038"/>
    <w:rsid w:val="2F176141"/>
    <w:rsid w:val="2FD55B62"/>
    <w:rsid w:val="2FF27415"/>
    <w:rsid w:val="2FF40230"/>
    <w:rsid w:val="2FF46B54"/>
    <w:rsid w:val="30A25EDE"/>
    <w:rsid w:val="311952BE"/>
    <w:rsid w:val="31AD0696"/>
    <w:rsid w:val="3273487A"/>
    <w:rsid w:val="32DA54BB"/>
    <w:rsid w:val="332B3F69"/>
    <w:rsid w:val="3392111C"/>
    <w:rsid w:val="33F51DC1"/>
    <w:rsid w:val="33F7090C"/>
    <w:rsid w:val="342655A2"/>
    <w:rsid w:val="343A1627"/>
    <w:rsid w:val="34BB18DF"/>
    <w:rsid w:val="350A151B"/>
    <w:rsid w:val="353F4D9A"/>
    <w:rsid w:val="35836DF6"/>
    <w:rsid w:val="35984464"/>
    <w:rsid w:val="361D0069"/>
    <w:rsid w:val="36392E40"/>
    <w:rsid w:val="36410489"/>
    <w:rsid w:val="36BB706D"/>
    <w:rsid w:val="36CD288E"/>
    <w:rsid w:val="36D47C20"/>
    <w:rsid w:val="377D6AA9"/>
    <w:rsid w:val="38691290"/>
    <w:rsid w:val="38784439"/>
    <w:rsid w:val="388957C2"/>
    <w:rsid w:val="38EA4F9B"/>
    <w:rsid w:val="39022224"/>
    <w:rsid w:val="391C3471"/>
    <w:rsid w:val="3958538C"/>
    <w:rsid w:val="39FB1F96"/>
    <w:rsid w:val="3A35183F"/>
    <w:rsid w:val="3AFE45A9"/>
    <w:rsid w:val="3B314355"/>
    <w:rsid w:val="3B9C1459"/>
    <w:rsid w:val="3BED7720"/>
    <w:rsid w:val="3C4B567C"/>
    <w:rsid w:val="3C4E0CC8"/>
    <w:rsid w:val="3CDD7527"/>
    <w:rsid w:val="3D7F382F"/>
    <w:rsid w:val="3D8E5820"/>
    <w:rsid w:val="3DB23EAA"/>
    <w:rsid w:val="3DC329AA"/>
    <w:rsid w:val="3DE57CC1"/>
    <w:rsid w:val="3E340A57"/>
    <w:rsid w:val="3E4610DE"/>
    <w:rsid w:val="3E5C0C91"/>
    <w:rsid w:val="3E8B7504"/>
    <w:rsid w:val="3E924A3A"/>
    <w:rsid w:val="3EDB6353"/>
    <w:rsid w:val="3FA579C0"/>
    <w:rsid w:val="3FBC52EF"/>
    <w:rsid w:val="405014B2"/>
    <w:rsid w:val="40546445"/>
    <w:rsid w:val="40656146"/>
    <w:rsid w:val="407B1E6C"/>
    <w:rsid w:val="40B27A77"/>
    <w:rsid w:val="416A65A4"/>
    <w:rsid w:val="41773B15"/>
    <w:rsid w:val="4185309F"/>
    <w:rsid w:val="421309EA"/>
    <w:rsid w:val="42240501"/>
    <w:rsid w:val="42426BD9"/>
    <w:rsid w:val="427174BE"/>
    <w:rsid w:val="427B0595"/>
    <w:rsid w:val="42AE2961"/>
    <w:rsid w:val="42B0448A"/>
    <w:rsid w:val="42F51E9D"/>
    <w:rsid w:val="4306653F"/>
    <w:rsid w:val="43122A4F"/>
    <w:rsid w:val="441D11B2"/>
    <w:rsid w:val="448B5355"/>
    <w:rsid w:val="44F7439F"/>
    <w:rsid w:val="45392515"/>
    <w:rsid w:val="45F13F14"/>
    <w:rsid w:val="47E464E1"/>
    <w:rsid w:val="489108BA"/>
    <w:rsid w:val="489804DA"/>
    <w:rsid w:val="49013E51"/>
    <w:rsid w:val="49530909"/>
    <w:rsid w:val="49D91065"/>
    <w:rsid w:val="49FD08B7"/>
    <w:rsid w:val="4A041EBB"/>
    <w:rsid w:val="4A132597"/>
    <w:rsid w:val="4A2159B7"/>
    <w:rsid w:val="4A22313A"/>
    <w:rsid w:val="4B545D45"/>
    <w:rsid w:val="4B6333FA"/>
    <w:rsid w:val="4B800849"/>
    <w:rsid w:val="4BB328F5"/>
    <w:rsid w:val="4BB618E9"/>
    <w:rsid w:val="4BF90C50"/>
    <w:rsid w:val="4C4A6CDD"/>
    <w:rsid w:val="4CA24E44"/>
    <w:rsid w:val="4CD117F4"/>
    <w:rsid w:val="4D1C7CE2"/>
    <w:rsid w:val="4DBF66C9"/>
    <w:rsid w:val="4E6B4C82"/>
    <w:rsid w:val="4E736C23"/>
    <w:rsid w:val="4E9844D8"/>
    <w:rsid w:val="4EEF40A5"/>
    <w:rsid w:val="4F152BAE"/>
    <w:rsid w:val="4F351F9F"/>
    <w:rsid w:val="4F8C3B89"/>
    <w:rsid w:val="4F9F1B0F"/>
    <w:rsid w:val="508E2130"/>
    <w:rsid w:val="509052E3"/>
    <w:rsid w:val="51175E41"/>
    <w:rsid w:val="51A52CE0"/>
    <w:rsid w:val="51D25A47"/>
    <w:rsid w:val="520E24F1"/>
    <w:rsid w:val="523F4EE3"/>
    <w:rsid w:val="52DA0E9A"/>
    <w:rsid w:val="52F6742E"/>
    <w:rsid w:val="535624E4"/>
    <w:rsid w:val="5371638D"/>
    <w:rsid w:val="53F200E2"/>
    <w:rsid w:val="55532D28"/>
    <w:rsid w:val="55CA71B9"/>
    <w:rsid w:val="55EE796A"/>
    <w:rsid w:val="56606E23"/>
    <w:rsid w:val="57F16C7F"/>
    <w:rsid w:val="58082C12"/>
    <w:rsid w:val="58511E7C"/>
    <w:rsid w:val="58984200"/>
    <w:rsid w:val="58E660B8"/>
    <w:rsid w:val="58F5454D"/>
    <w:rsid w:val="59ED51E1"/>
    <w:rsid w:val="5A750890"/>
    <w:rsid w:val="5AB05476"/>
    <w:rsid w:val="5AC30E2E"/>
    <w:rsid w:val="5AED1980"/>
    <w:rsid w:val="5AFA0244"/>
    <w:rsid w:val="5B2A2BD4"/>
    <w:rsid w:val="5B3E042E"/>
    <w:rsid w:val="5B9B691A"/>
    <w:rsid w:val="5BA3015F"/>
    <w:rsid w:val="5C311591"/>
    <w:rsid w:val="5C43724B"/>
    <w:rsid w:val="5C682135"/>
    <w:rsid w:val="5D1523DC"/>
    <w:rsid w:val="5D7D2FEA"/>
    <w:rsid w:val="5DB1283B"/>
    <w:rsid w:val="5DB33FE7"/>
    <w:rsid w:val="5DEF1EB3"/>
    <w:rsid w:val="5E367682"/>
    <w:rsid w:val="5E4E4F75"/>
    <w:rsid w:val="5F8D4FB7"/>
    <w:rsid w:val="5FB962D5"/>
    <w:rsid w:val="60440664"/>
    <w:rsid w:val="60664036"/>
    <w:rsid w:val="60771CEC"/>
    <w:rsid w:val="60B51B11"/>
    <w:rsid w:val="60B80169"/>
    <w:rsid w:val="60C020EB"/>
    <w:rsid w:val="60D618C6"/>
    <w:rsid w:val="6105535C"/>
    <w:rsid w:val="61263CB7"/>
    <w:rsid w:val="614C4F26"/>
    <w:rsid w:val="614E0E03"/>
    <w:rsid w:val="616D55C9"/>
    <w:rsid w:val="62067841"/>
    <w:rsid w:val="624D6221"/>
    <w:rsid w:val="625B3673"/>
    <w:rsid w:val="62ED6B99"/>
    <w:rsid w:val="631D6B7A"/>
    <w:rsid w:val="63EC14BE"/>
    <w:rsid w:val="641C5C65"/>
    <w:rsid w:val="64373C6C"/>
    <w:rsid w:val="646E7959"/>
    <w:rsid w:val="647D5E76"/>
    <w:rsid w:val="64DA4CB2"/>
    <w:rsid w:val="651D1F50"/>
    <w:rsid w:val="653B0AC5"/>
    <w:rsid w:val="65464707"/>
    <w:rsid w:val="65B533A0"/>
    <w:rsid w:val="662E109F"/>
    <w:rsid w:val="66CB295F"/>
    <w:rsid w:val="67233350"/>
    <w:rsid w:val="67780823"/>
    <w:rsid w:val="67961104"/>
    <w:rsid w:val="67AD62C7"/>
    <w:rsid w:val="684722F8"/>
    <w:rsid w:val="691E53FA"/>
    <w:rsid w:val="696F71F1"/>
    <w:rsid w:val="69737CA8"/>
    <w:rsid w:val="69AF0748"/>
    <w:rsid w:val="69B83AA1"/>
    <w:rsid w:val="69BD315D"/>
    <w:rsid w:val="69D501AF"/>
    <w:rsid w:val="6A52585A"/>
    <w:rsid w:val="6A582B8E"/>
    <w:rsid w:val="6A776C4C"/>
    <w:rsid w:val="6A9A6CFD"/>
    <w:rsid w:val="6AAB1A1A"/>
    <w:rsid w:val="6AD00976"/>
    <w:rsid w:val="6BEA3CBA"/>
    <w:rsid w:val="6C1379F3"/>
    <w:rsid w:val="6C2A798D"/>
    <w:rsid w:val="6CB26586"/>
    <w:rsid w:val="6DA57E98"/>
    <w:rsid w:val="6E0D7137"/>
    <w:rsid w:val="6E1A0886"/>
    <w:rsid w:val="6E781A51"/>
    <w:rsid w:val="6EA84BC9"/>
    <w:rsid w:val="6EC72CAC"/>
    <w:rsid w:val="6F205CAD"/>
    <w:rsid w:val="6F797372"/>
    <w:rsid w:val="6FDB57EB"/>
    <w:rsid w:val="6FDB5DF3"/>
    <w:rsid w:val="6FF60E93"/>
    <w:rsid w:val="701E3F32"/>
    <w:rsid w:val="707E2326"/>
    <w:rsid w:val="710F6A7D"/>
    <w:rsid w:val="719C2A2E"/>
    <w:rsid w:val="72356C99"/>
    <w:rsid w:val="727B1B10"/>
    <w:rsid w:val="72AC5157"/>
    <w:rsid w:val="733C1156"/>
    <w:rsid w:val="73546D6E"/>
    <w:rsid w:val="73F94F64"/>
    <w:rsid w:val="74235DC1"/>
    <w:rsid w:val="74336552"/>
    <w:rsid w:val="7456013E"/>
    <w:rsid w:val="748E3F2E"/>
    <w:rsid w:val="75587EE6"/>
    <w:rsid w:val="764741F6"/>
    <w:rsid w:val="768935A6"/>
    <w:rsid w:val="76FB6D7B"/>
    <w:rsid w:val="773504DF"/>
    <w:rsid w:val="77E70A98"/>
    <w:rsid w:val="77F547F3"/>
    <w:rsid w:val="78060B96"/>
    <w:rsid w:val="784F29CE"/>
    <w:rsid w:val="79362FB2"/>
    <w:rsid w:val="79A04215"/>
    <w:rsid w:val="79C21DD2"/>
    <w:rsid w:val="7A552EF7"/>
    <w:rsid w:val="7A7C2F5E"/>
    <w:rsid w:val="7AFE5AFB"/>
    <w:rsid w:val="7B0477F0"/>
    <w:rsid w:val="7BD65017"/>
    <w:rsid w:val="7C2E19A1"/>
    <w:rsid w:val="7C471C13"/>
    <w:rsid w:val="7CAF680C"/>
    <w:rsid w:val="7D8306B2"/>
    <w:rsid w:val="7DB4237D"/>
    <w:rsid w:val="7DB4751F"/>
    <w:rsid w:val="7DF868FA"/>
    <w:rsid w:val="7E2C3203"/>
    <w:rsid w:val="7EC56E34"/>
    <w:rsid w:val="7F1909F8"/>
    <w:rsid w:val="7F224D4A"/>
    <w:rsid w:val="7F445A11"/>
    <w:rsid w:val="7F833DB1"/>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5"/>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tabs>
        <w:tab w:val="left" w:pos="540"/>
      </w:tabs>
      <w:adjustRightInd w:val="0"/>
      <w:snapToGrid w:val="0"/>
      <w:spacing w:line="360" w:lineRule="auto"/>
      <w:jc w:val="left"/>
      <w:outlineLvl w:val="2"/>
    </w:pPr>
    <w:rPr>
      <w:b/>
      <w:sz w:val="24"/>
      <w:szCs w:val="20"/>
    </w:rPr>
  </w:style>
  <w:style w:type="paragraph" w:styleId="7">
    <w:name w:val="heading 4"/>
    <w:basedOn w:val="1"/>
    <w:next w:val="1"/>
    <w:qFormat/>
    <w:uiPriority w:val="0"/>
    <w:pPr>
      <w:keepNext/>
      <w:keepLines/>
      <w:jc w:val="left"/>
      <w:outlineLvl w:val="3"/>
    </w:pPr>
    <w:rPr>
      <w:rFonts w:hint="eastAsia" w:ascii="Arial" w:hAnsi="Arial"/>
      <w:b/>
      <w:sz w:val="32"/>
    </w:rPr>
  </w:style>
  <w:style w:type="paragraph" w:styleId="8">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3"/>
    <w:qFormat/>
    <w:uiPriority w:val="0"/>
    <w:rPr>
      <w:rFonts w:ascii="宋体" w:hAnsi="Courier New"/>
    </w:rPr>
  </w:style>
  <w:style w:type="paragraph" w:styleId="3">
    <w:name w:val="List Number 5"/>
    <w:basedOn w:val="1"/>
    <w:qFormat/>
    <w:uiPriority w:val="0"/>
    <w:pPr>
      <w:numPr>
        <w:ilvl w:val="0"/>
        <w:numId w:val="2"/>
      </w:numPr>
    </w:pPr>
  </w:style>
  <w:style w:type="paragraph" w:styleId="10">
    <w:name w:val="List 3"/>
    <w:basedOn w:val="1"/>
    <w:qFormat/>
    <w:uiPriority w:val="0"/>
    <w:pPr>
      <w:ind w:left="100" w:leftChars="400" w:hanging="200" w:hangingChars="200"/>
      <w:contextualSpacing/>
    </w:pPr>
  </w:style>
  <w:style w:type="paragraph" w:styleId="11">
    <w:name w:val="table of authorities"/>
    <w:basedOn w:val="1"/>
    <w:next w:val="1"/>
    <w:qFormat/>
    <w:uiPriority w:val="0"/>
    <w:pPr>
      <w:ind w:left="420" w:leftChars="200"/>
    </w:pPr>
  </w:style>
  <w:style w:type="paragraph" w:styleId="12">
    <w:name w:val="Normal Indent"/>
    <w:basedOn w:val="1"/>
    <w:next w:val="1"/>
    <w:qFormat/>
    <w:uiPriority w:val="99"/>
    <w:pPr>
      <w:widowControl w:val="0"/>
      <w:adjustRightInd w:val="0"/>
      <w:spacing w:line="360" w:lineRule="atLeast"/>
      <w:ind w:firstLine="482"/>
    </w:pPr>
    <w:rPr>
      <w:color w:val="auto"/>
      <w:sz w:val="24"/>
    </w:rPr>
  </w:style>
  <w:style w:type="paragraph" w:styleId="13">
    <w:name w:val="caption"/>
    <w:basedOn w:val="1"/>
    <w:next w:val="1"/>
    <w:semiHidden/>
    <w:unhideWhenUsed/>
    <w:qFormat/>
    <w:uiPriority w:val="0"/>
    <w:pPr>
      <w:spacing w:before="152" w:after="160"/>
    </w:pPr>
    <w:rPr>
      <w:rFonts w:ascii="Arial" w:hAnsi="Arial" w:eastAsia="黑体" w:cs="Arial"/>
      <w:sz w:val="20"/>
    </w:rPr>
  </w:style>
  <w:style w:type="paragraph" w:styleId="14">
    <w:name w:val="annotation text"/>
    <w:basedOn w:val="1"/>
    <w:link w:val="58"/>
    <w:qFormat/>
    <w:uiPriority w:val="0"/>
    <w:pPr>
      <w:adjustRightInd w:val="0"/>
      <w:spacing w:line="360" w:lineRule="atLeast"/>
      <w:jc w:val="left"/>
      <w:textAlignment w:val="baseline"/>
    </w:pPr>
    <w:rPr>
      <w:kern w:val="0"/>
      <w:sz w:val="24"/>
    </w:rPr>
  </w:style>
  <w:style w:type="paragraph" w:styleId="15">
    <w:name w:val="Salutation"/>
    <w:basedOn w:val="1"/>
    <w:next w:val="1"/>
    <w:link w:val="55"/>
    <w:qFormat/>
    <w:uiPriority w:val="0"/>
    <w:rPr>
      <w:sz w:val="24"/>
    </w:rPr>
  </w:style>
  <w:style w:type="paragraph" w:styleId="16">
    <w:name w:val="Body Text"/>
    <w:basedOn w:val="1"/>
    <w:link w:val="62"/>
    <w:qFormat/>
    <w:uiPriority w:val="0"/>
    <w:pPr>
      <w:spacing w:after="120"/>
    </w:pPr>
    <w:rPr>
      <w:rFonts w:asciiTheme="minorHAnsi" w:hAnsiTheme="minorHAnsi" w:cstheme="minorBidi"/>
      <w:szCs w:val="24"/>
    </w:rPr>
  </w:style>
  <w:style w:type="paragraph" w:styleId="17">
    <w:name w:val="Body Text Indent"/>
    <w:basedOn w:val="1"/>
    <w:next w:val="18"/>
    <w:qFormat/>
    <w:uiPriority w:val="99"/>
    <w:pPr>
      <w:adjustRightInd w:val="0"/>
      <w:snapToGrid w:val="0"/>
      <w:spacing w:line="460" w:lineRule="exact"/>
      <w:ind w:firstLine="560" w:firstLineChars="200"/>
    </w:pPr>
    <w:rPr>
      <w:rFonts w:ascii="仿宋_GB2312" w:hAnsi="Tahoma" w:eastAsia="仿宋_GB2312"/>
      <w:sz w:val="28"/>
    </w:rPr>
  </w:style>
  <w:style w:type="paragraph" w:styleId="18">
    <w:name w:val="Body Text First Indent 2"/>
    <w:basedOn w:val="17"/>
    <w:next w:val="1"/>
    <w:unhideWhenUsed/>
    <w:qFormat/>
    <w:uiPriority w:val="0"/>
    <w:pPr>
      <w:adjustRightInd/>
      <w:snapToGrid/>
      <w:spacing w:after="120" w:line="360" w:lineRule="auto"/>
      <w:ind w:left="420" w:leftChars="200" w:firstLine="420"/>
    </w:pPr>
    <w:rPr>
      <w:rFonts w:ascii="Calibri" w:hAnsi="Calibri" w:eastAsia="宋体"/>
      <w:sz w:val="24"/>
      <w:szCs w:val="22"/>
    </w:rPr>
  </w:style>
  <w:style w:type="paragraph" w:styleId="19">
    <w:name w:val="List 2"/>
    <w:basedOn w:val="1"/>
    <w:qFormat/>
    <w:uiPriority w:val="0"/>
    <w:pPr>
      <w:ind w:left="100" w:leftChars="200" w:hanging="200" w:hangingChars="200"/>
    </w:pPr>
    <w:rPr>
      <w:szCs w:val="24"/>
    </w:rPr>
  </w:style>
  <w:style w:type="paragraph" w:styleId="20">
    <w:name w:val="footer"/>
    <w:basedOn w:val="1"/>
    <w:link w:val="48"/>
    <w:qFormat/>
    <w:uiPriority w:val="0"/>
    <w:pPr>
      <w:tabs>
        <w:tab w:val="center" w:pos="4153"/>
        <w:tab w:val="right" w:pos="8306"/>
      </w:tabs>
      <w:snapToGrid w:val="0"/>
      <w:jc w:val="left"/>
    </w:pPr>
    <w:rPr>
      <w:sz w:val="18"/>
      <w:szCs w:val="18"/>
    </w:rPr>
  </w:style>
  <w:style w:type="paragraph" w:styleId="21">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2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spacing w:line="360" w:lineRule="auto"/>
    </w:pPr>
    <w:rPr>
      <w:szCs w:val="24"/>
    </w:rPr>
  </w:style>
  <w:style w:type="paragraph" w:styleId="24">
    <w:name w:val="List"/>
    <w:basedOn w:val="1"/>
    <w:qFormat/>
    <w:uiPriority w:val="0"/>
    <w:pPr>
      <w:spacing w:line="360" w:lineRule="exact"/>
      <w:ind w:left="420" w:hanging="420"/>
      <w:jc w:val="left"/>
    </w:pPr>
    <w:rPr>
      <w:szCs w:val="21"/>
    </w:rPr>
  </w:style>
  <w:style w:type="paragraph" w:styleId="25">
    <w:name w:val="footnote text"/>
    <w:basedOn w:val="1"/>
    <w:link w:val="43"/>
    <w:qFormat/>
    <w:uiPriority w:val="99"/>
    <w:pPr>
      <w:snapToGrid w:val="0"/>
      <w:jc w:val="left"/>
    </w:pPr>
    <w:rPr>
      <w:rFonts w:asciiTheme="minorHAnsi" w:hAnsiTheme="minorHAnsi" w:eastAsiaTheme="minorEastAsia" w:cstheme="minorBidi"/>
      <w:sz w:val="18"/>
      <w:szCs w:val="22"/>
    </w:rPr>
  </w:style>
  <w:style w:type="paragraph" w:styleId="26">
    <w:name w:val="index 7"/>
    <w:basedOn w:val="1"/>
    <w:next w:val="1"/>
    <w:unhideWhenUsed/>
    <w:qFormat/>
    <w:uiPriority w:val="99"/>
  </w:style>
  <w:style w:type="paragraph" w:styleId="27">
    <w:name w:val="toc 2"/>
    <w:basedOn w:val="1"/>
    <w:next w:val="1"/>
    <w:qFormat/>
    <w:uiPriority w:val="0"/>
    <w:pPr>
      <w:adjustRightInd w:val="0"/>
      <w:spacing w:line="360" w:lineRule="auto"/>
      <w:ind w:left="240" w:firstLine="425"/>
      <w:jc w:val="left"/>
      <w:textAlignment w:val="baseline"/>
    </w:pPr>
    <w:rPr>
      <w:smallCaps/>
      <w:sz w:val="20"/>
    </w:rPr>
  </w:style>
  <w:style w:type="paragraph" w:styleId="28">
    <w:name w:val="Body Text 2"/>
    <w:basedOn w:val="1"/>
    <w:qFormat/>
    <w:uiPriority w:val="0"/>
    <w:pPr>
      <w:keepNext w:val="0"/>
      <w:keepLines w:val="0"/>
      <w:widowControl w:val="0"/>
      <w:suppressLineNumbers w:val="0"/>
      <w:spacing w:before="0" w:beforeAutospacing="0" w:after="0" w:afterAutospacing="0"/>
      <w:ind w:left="0" w:right="0"/>
      <w:jc w:val="both"/>
    </w:pPr>
    <w:rPr>
      <w:rFonts w:hint="default" w:ascii="楷体_GB2312" w:hAnsi="Copperplate Gothic Bold" w:eastAsia="楷体_GB2312" w:cs="Times New Roman"/>
      <w:kern w:val="2"/>
      <w:sz w:val="28"/>
      <w:szCs w:val="28"/>
      <w:lang w:val="en-US" w:eastAsia="zh-CN" w:bidi="ar"/>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44"/>
    <w:qFormat/>
    <w:uiPriority w:val="0"/>
    <w:pPr>
      <w:adjustRightInd w:val="0"/>
      <w:snapToGrid w:val="0"/>
      <w:spacing w:before="120" w:after="120" w:line="520" w:lineRule="exact"/>
      <w:jc w:val="center"/>
      <w:outlineLvl w:val="0"/>
    </w:pPr>
    <w:rPr>
      <w:rFonts w:ascii="黑体" w:hAnsiTheme="minorHAnsi" w:eastAsiaTheme="minorEastAsia" w:cstheme="minorBidi"/>
      <w:b/>
      <w:snapToGrid w:val="0"/>
      <w:sz w:val="44"/>
      <w:szCs w:val="22"/>
    </w:rPr>
  </w:style>
  <w:style w:type="paragraph" w:styleId="32">
    <w:name w:val="Body Text First Indent"/>
    <w:basedOn w:val="16"/>
    <w:next w:val="18"/>
    <w:qFormat/>
    <w:uiPriority w:val="99"/>
    <w:pPr>
      <w:spacing w:after="120"/>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rFonts w:ascii="Calibri" w:hAnsi="Calibri" w:eastAsia="宋体" w:cs="Times New Roman"/>
      <w:b/>
      <w:bCs/>
    </w:rPr>
  </w:style>
  <w:style w:type="character" w:styleId="37">
    <w:name w:val="Hyperlink"/>
    <w:qFormat/>
    <w:uiPriority w:val="0"/>
    <w:rPr>
      <w:color w:val="0000FF"/>
      <w:u w:val="single"/>
    </w:rPr>
  </w:style>
  <w:style w:type="paragraph" w:customStyle="1" w:styleId="38">
    <w:name w:val="Default"/>
    <w:next w:val="3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9">
    <w:name w:val="大标题"/>
    <w:basedOn w:val="1"/>
    <w:next w:val="18"/>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40">
    <w:name w:val="标题 3 Char"/>
    <w:qFormat/>
    <w:uiPriority w:val="0"/>
    <w:rPr>
      <w:rFonts w:eastAsia="宋体"/>
      <w:b/>
      <w:bCs/>
      <w:kern w:val="2"/>
      <w:sz w:val="32"/>
      <w:szCs w:val="32"/>
      <w:lang w:val="en-US" w:eastAsia="zh-CN" w:bidi="ar-SA"/>
    </w:rPr>
  </w:style>
  <w:style w:type="paragraph" w:customStyle="1" w:styleId="41">
    <w:name w:val="首行缩进"/>
    <w:basedOn w:val="1"/>
    <w:qFormat/>
    <w:uiPriority w:val="99"/>
    <w:pPr>
      <w:ind w:firstLine="480" w:firstLineChars="200"/>
    </w:pPr>
    <w:rPr>
      <w:lang w:val="zh-CN"/>
    </w:rPr>
  </w:style>
  <w:style w:type="paragraph" w:customStyle="1" w:styleId="42">
    <w:name w:val="默认段落字体 Para Char Char Char Char Char Char Char Char Char Char"/>
    <w:basedOn w:val="1"/>
    <w:qFormat/>
    <w:uiPriority w:val="0"/>
    <w:rPr>
      <w:rFonts w:ascii="Tahoma" w:hAnsi="Tahoma"/>
      <w:sz w:val="24"/>
    </w:rPr>
  </w:style>
  <w:style w:type="character" w:customStyle="1" w:styleId="43">
    <w:name w:val="脚注文本 Char"/>
    <w:link w:val="25"/>
    <w:qFormat/>
    <w:uiPriority w:val="99"/>
    <w:rPr>
      <w:sz w:val="18"/>
    </w:rPr>
  </w:style>
  <w:style w:type="character" w:customStyle="1" w:styleId="44">
    <w:name w:val="标题 Char"/>
    <w:link w:val="31"/>
    <w:qFormat/>
    <w:uiPriority w:val="0"/>
    <w:rPr>
      <w:rFonts w:ascii="黑体"/>
      <w:b/>
      <w:snapToGrid w:val="0"/>
      <w:sz w:val="44"/>
    </w:rPr>
  </w:style>
  <w:style w:type="character" w:customStyle="1" w:styleId="45">
    <w:name w:val="标题 Char1"/>
    <w:basedOn w:val="35"/>
    <w:qFormat/>
    <w:uiPriority w:val="10"/>
    <w:rPr>
      <w:rFonts w:eastAsia="宋体" w:asciiTheme="majorHAnsi" w:hAnsiTheme="majorHAnsi" w:cstheme="majorBidi"/>
      <w:b/>
      <w:bCs/>
      <w:sz w:val="32"/>
      <w:szCs w:val="32"/>
    </w:rPr>
  </w:style>
  <w:style w:type="character" w:customStyle="1" w:styleId="46">
    <w:name w:val="脚注文本 Char1"/>
    <w:basedOn w:val="35"/>
    <w:semiHidden/>
    <w:qFormat/>
    <w:uiPriority w:val="99"/>
    <w:rPr>
      <w:rFonts w:ascii="Times New Roman" w:hAnsi="Times New Roman" w:eastAsia="宋体" w:cs="Times New Roman"/>
      <w:sz w:val="18"/>
      <w:szCs w:val="18"/>
    </w:rPr>
  </w:style>
  <w:style w:type="paragraph" w:customStyle="1" w:styleId="4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character" w:customStyle="1" w:styleId="48">
    <w:name w:val="页脚 Char"/>
    <w:basedOn w:val="35"/>
    <w:link w:val="20"/>
    <w:qFormat/>
    <w:uiPriority w:val="0"/>
    <w:rPr>
      <w:rFonts w:ascii="Times New Roman" w:hAnsi="Times New Roman" w:eastAsia="宋体" w:cs="Times New Roman"/>
      <w:sz w:val="18"/>
      <w:szCs w:val="18"/>
    </w:rPr>
  </w:style>
  <w:style w:type="character" w:customStyle="1" w:styleId="49">
    <w:name w:val="页眉 Char"/>
    <w:basedOn w:val="35"/>
    <w:link w:val="22"/>
    <w:qFormat/>
    <w:uiPriority w:val="0"/>
    <w:rPr>
      <w:rFonts w:ascii="Times New Roman" w:hAnsi="Times New Roman" w:eastAsia="宋体" w:cs="Times New Roman"/>
      <w:sz w:val="18"/>
      <w:szCs w:val="18"/>
    </w:rPr>
  </w:style>
  <w:style w:type="character" w:customStyle="1" w:styleId="50">
    <w:name w:val="页脚 Char1"/>
    <w:basedOn w:val="35"/>
    <w:semiHidden/>
    <w:qFormat/>
    <w:uiPriority w:val="99"/>
    <w:rPr>
      <w:sz w:val="18"/>
      <w:szCs w:val="18"/>
    </w:rPr>
  </w:style>
  <w:style w:type="character" w:customStyle="1" w:styleId="51">
    <w:name w:val="Default Text Char Char"/>
    <w:link w:val="52"/>
    <w:qFormat/>
    <w:uiPriority w:val="0"/>
    <w:rPr>
      <w:color w:val="000000"/>
      <w:sz w:val="24"/>
    </w:rPr>
  </w:style>
  <w:style w:type="paragraph" w:customStyle="1" w:styleId="52">
    <w:name w:val="Default Text"/>
    <w:link w:val="51"/>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character" w:customStyle="1" w:styleId="53">
    <w:name w:val="纯文本 Char1"/>
    <w:link w:val="2"/>
    <w:qFormat/>
    <w:uiPriority w:val="0"/>
    <w:rPr>
      <w:rFonts w:ascii="宋体" w:hAnsi="Courier New" w:eastAsia="宋体" w:cs="Times New Roman"/>
      <w:szCs w:val="20"/>
    </w:rPr>
  </w:style>
  <w:style w:type="character" w:customStyle="1" w:styleId="54">
    <w:name w:val="15"/>
    <w:qFormat/>
    <w:uiPriority w:val="0"/>
    <w:rPr>
      <w:rFonts w:hint="default" w:ascii="Times New Roman" w:hAnsi="Times New Roman" w:cs="Times New Roman"/>
    </w:rPr>
  </w:style>
  <w:style w:type="character" w:customStyle="1" w:styleId="55">
    <w:name w:val="称呼 Char"/>
    <w:link w:val="15"/>
    <w:qFormat/>
    <w:uiPriority w:val="0"/>
    <w:rPr>
      <w:rFonts w:ascii="Times New Roman" w:hAnsi="Times New Roman" w:eastAsia="宋体" w:cs="Times New Roman"/>
      <w:sz w:val="24"/>
      <w:szCs w:val="20"/>
    </w:rPr>
  </w:style>
  <w:style w:type="character" w:customStyle="1" w:styleId="56">
    <w:name w:val="称呼 Char1"/>
    <w:basedOn w:val="35"/>
    <w:semiHidden/>
    <w:qFormat/>
    <w:uiPriority w:val="99"/>
    <w:rPr>
      <w:rFonts w:ascii="Times New Roman" w:hAnsi="Times New Roman" w:eastAsia="宋体" w:cs="Times New Roman"/>
      <w:szCs w:val="20"/>
    </w:rPr>
  </w:style>
  <w:style w:type="character" w:customStyle="1" w:styleId="57">
    <w:name w:val="纯文本 Char"/>
    <w:basedOn w:val="35"/>
    <w:semiHidden/>
    <w:qFormat/>
    <w:uiPriority w:val="99"/>
    <w:rPr>
      <w:rFonts w:ascii="宋体" w:hAnsi="Courier New" w:eastAsia="宋体" w:cs="Courier New"/>
      <w:szCs w:val="21"/>
    </w:rPr>
  </w:style>
  <w:style w:type="character" w:customStyle="1" w:styleId="58">
    <w:name w:val="批注文字 Char"/>
    <w:link w:val="14"/>
    <w:qFormat/>
    <w:uiPriority w:val="0"/>
    <w:rPr>
      <w:rFonts w:ascii="Times New Roman" w:hAnsi="Times New Roman" w:eastAsia="宋体" w:cs="Times New Roman"/>
      <w:kern w:val="0"/>
      <w:sz w:val="24"/>
      <w:szCs w:val="20"/>
    </w:rPr>
  </w:style>
  <w:style w:type="character" w:customStyle="1" w:styleId="59">
    <w:name w:val="批注文字 Char1"/>
    <w:basedOn w:val="35"/>
    <w:semiHidden/>
    <w:qFormat/>
    <w:uiPriority w:val="99"/>
    <w:rPr>
      <w:rFonts w:ascii="Times New Roman" w:hAnsi="Times New Roman" w:eastAsia="宋体" w:cs="Times New Roman"/>
      <w:szCs w:val="20"/>
    </w:rPr>
  </w:style>
  <w:style w:type="character" w:customStyle="1" w:styleId="60">
    <w:name w:val="标题 1 Char"/>
    <w:basedOn w:val="35"/>
    <w:link w:val="4"/>
    <w:qFormat/>
    <w:uiPriority w:val="0"/>
    <w:rPr>
      <w:rFonts w:ascii="Times New Roman" w:hAnsi="Times New Roman" w:eastAsia="宋体" w:cs="Times New Roman"/>
      <w:b/>
      <w:bCs/>
      <w:kern w:val="44"/>
      <w:sz w:val="44"/>
      <w:szCs w:val="44"/>
    </w:rPr>
  </w:style>
  <w:style w:type="character" w:customStyle="1" w:styleId="61">
    <w:name w:val="标题 3 Char Char"/>
    <w:qFormat/>
    <w:uiPriority w:val="0"/>
    <w:rPr>
      <w:rFonts w:ascii="黑体" w:eastAsia="黑体"/>
      <w:bCs/>
      <w:sz w:val="30"/>
    </w:rPr>
  </w:style>
  <w:style w:type="character" w:customStyle="1" w:styleId="62">
    <w:name w:val="正文文本 Char"/>
    <w:link w:val="16"/>
    <w:qFormat/>
    <w:uiPriority w:val="0"/>
    <w:rPr>
      <w:rFonts w:eastAsia="宋体"/>
      <w:szCs w:val="24"/>
    </w:rPr>
  </w:style>
  <w:style w:type="character" w:customStyle="1" w:styleId="63">
    <w:name w:val="正文文本 Char1"/>
    <w:basedOn w:val="35"/>
    <w:semiHidden/>
    <w:qFormat/>
    <w:uiPriority w:val="99"/>
    <w:rPr>
      <w:rFonts w:ascii="Times New Roman" w:hAnsi="Times New Roman" w:eastAsia="宋体" w:cs="Times New Roman"/>
      <w:szCs w:val="20"/>
    </w:rPr>
  </w:style>
  <w:style w:type="paragraph" w:customStyle="1" w:styleId="64">
    <w:name w:val="列出段落1"/>
    <w:basedOn w:val="1"/>
    <w:qFormat/>
    <w:uiPriority w:val="34"/>
    <w:pPr>
      <w:ind w:firstLine="420" w:firstLineChars="200"/>
    </w:pPr>
  </w:style>
  <w:style w:type="character" w:customStyle="1" w:styleId="65">
    <w:name w:val="标题 2 Char"/>
    <w:basedOn w:val="35"/>
    <w:link w:val="5"/>
    <w:qFormat/>
    <w:uiPriority w:val="0"/>
    <w:rPr>
      <w:rFonts w:ascii="Arial" w:hAnsi="Arial" w:eastAsia="黑体" w:cs="Times New Roman"/>
      <w:b/>
      <w:bCs/>
      <w:sz w:val="32"/>
      <w:szCs w:val="32"/>
    </w:rPr>
  </w:style>
  <w:style w:type="paragraph" w:customStyle="1" w:styleId="66">
    <w:name w:val="_Style 2"/>
    <w:basedOn w:val="4"/>
    <w:next w:val="1"/>
    <w:qFormat/>
    <w:uiPriority w:val="39"/>
    <w:pPr>
      <w:widowControl/>
      <w:spacing w:before="480" w:line="276" w:lineRule="auto"/>
      <w:jc w:val="left"/>
      <w:outlineLvl w:val="9"/>
    </w:pPr>
    <w:rPr>
      <w:rFonts w:ascii="Cambria" w:hAnsi="Cambria"/>
      <w:b w:val="0"/>
      <w:color w:val="365F91"/>
      <w:kern w:val="0"/>
      <w:szCs w:val="28"/>
    </w:rPr>
  </w:style>
  <w:style w:type="character" w:customStyle="1" w:styleId="67">
    <w:name w:val="font61"/>
    <w:basedOn w:val="35"/>
    <w:qFormat/>
    <w:uiPriority w:val="0"/>
    <w:rPr>
      <w:rFonts w:hint="eastAsia" w:ascii="微软雅黑" w:hAnsi="微软雅黑" w:eastAsia="微软雅黑" w:cs="微软雅黑"/>
      <w:b/>
      <w:color w:val="000000"/>
      <w:sz w:val="21"/>
      <w:szCs w:val="21"/>
      <w:u w:val="none"/>
    </w:rPr>
  </w:style>
  <w:style w:type="paragraph" w:customStyle="1" w:styleId="68">
    <w:name w:val="5）标书正文 首行缩进2字符"/>
    <w:basedOn w:val="1"/>
    <w:qFormat/>
    <w:uiPriority w:val="99"/>
    <w:pPr>
      <w:spacing w:line="480" w:lineRule="exact"/>
      <w:ind w:firstLine="200" w:firstLineChars="200"/>
    </w:pPr>
    <w:rPr>
      <w:rFonts w:ascii="仿宋_GB2312" w:eastAsia="仿宋_GB2312"/>
      <w:sz w:val="28"/>
    </w:rPr>
  </w:style>
  <w:style w:type="paragraph" w:customStyle="1" w:styleId="69">
    <w:name w:val="È¡ÀÊ¡ÎÄ¡À¾"/>
    <w:basedOn w:val="1"/>
    <w:qFormat/>
    <w:uiPriority w:val="99"/>
    <w:pPr>
      <w:overflowPunct w:val="0"/>
      <w:autoSpaceDE w:val="0"/>
      <w:autoSpaceDN w:val="0"/>
      <w:textAlignment w:val="baseline"/>
    </w:pPr>
    <w:rPr>
      <w:rFonts w:ascii="Calibri" w:hAnsi="Calibri"/>
      <w:sz w:val="24"/>
    </w:rPr>
  </w:style>
  <w:style w:type="character" w:customStyle="1" w:styleId="70">
    <w:name w:val="标题1"/>
    <w:qFormat/>
    <w:uiPriority w:val="0"/>
  </w:style>
  <w:style w:type="paragraph" w:customStyle="1" w:styleId="71">
    <w:name w:val="其他"/>
    <w:basedOn w:val="1"/>
    <w:qFormat/>
    <w:uiPriority w:val="0"/>
    <w:pPr>
      <w:shd w:val="clear" w:color="auto" w:fill="FFFFFF"/>
      <w:spacing w:line="303" w:lineRule="exact"/>
      <w:jc w:val="left"/>
    </w:pPr>
    <w:rPr>
      <w:rFonts w:ascii="黑体" w:hAnsi="黑体" w:eastAsia="黑体" w:cs="黑体"/>
      <w:sz w:val="19"/>
      <w:szCs w:val="19"/>
      <w:lang w:val="zh-CN" w:bidi="zh-CN"/>
    </w:rPr>
  </w:style>
  <w:style w:type="paragraph" w:styleId="72">
    <w:name w:val="List Paragraph"/>
    <w:basedOn w:val="1"/>
    <w:unhideWhenUsed/>
    <w:qFormat/>
    <w:uiPriority w:val="99"/>
    <w:pPr>
      <w:ind w:firstLine="420" w:firstLineChars="200"/>
    </w:pPr>
  </w:style>
  <w:style w:type="character" w:customStyle="1" w:styleId="73">
    <w:name w:val="正文缩进2格 Char"/>
    <w:link w:val="74"/>
    <w:qFormat/>
    <w:uiPriority w:val="0"/>
    <w:rPr>
      <w:rFonts w:ascii="仿宋_GB2312" w:hAnsi="宋体" w:eastAsia="仿宋_GB2312"/>
      <w:kern w:val="2"/>
      <w:sz w:val="31"/>
      <w:szCs w:val="28"/>
    </w:rPr>
  </w:style>
  <w:style w:type="paragraph" w:customStyle="1" w:styleId="74">
    <w:name w:val="正文缩进2格"/>
    <w:basedOn w:val="1"/>
    <w:link w:val="73"/>
    <w:qFormat/>
    <w:uiPriority w:val="0"/>
    <w:pPr>
      <w:spacing w:line="600" w:lineRule="exact"/>
      <w:ind w:firstLine="639" w:firstLineChars="206"/>
    </w:pPr>
    <w:rPr>
      <w:rFonts w:ascii="仿宋_GB2312" w:hAnsi="宋体" w:eastAsia="仿宋_GB2312"/>
      <w:sz w:val="31"/>
      <w:szCs w:val="28"/>
    </w:rPr>
  </w:style>
  <w:style w:type="paragraph" w:customStyle="1" w:styleId="75">
    <w:name w:val="正文缩进1"/>
    <w:basedOn w:val="1"/>
    <w:qFormat/>
    <w:uiPriority w:val="0"/>
    <w:pPr>
      <w:ind w:firstLine="420" w:firstLineChars="200"/>
    </w:pPr>
  </w:style>
  <w:style w:type="paragraph" w:customStyle="1" w:styleId="76">
    <w:name w:val="索引 11"/>
    <w:basedOn w:val="1"/>
    <w:next w:val="1"/>
    <w:qFormat/>
    <w:uiPriority w:val="0"/>
    <w:pPr>
      <w:spacing w:line="360" w:lineRule="auto"/>
    </w:pPr>
    <w:rPr>
      <w:rFonts w:ascii="仿宋_GB2312" w:eastAsia="仿宋_GB2312"/>
      <w:sz w:val="24"/>
      <w:szCs w:val="20"/>
    </w:rPr>
  </w:style>
  <w:style w:type="paragraph" w:customStyle="1" w:styleId="77">
    <w:name w:val="纯文本1"/>
    <w:basedOn w:val="1"/>
    <w:qFormat/>
    <w:uiPriority w:val="0"/>
    <w:rPr>
      <w:rFonts w:ascii="宋体" w:hAnsi="Courier New" w:eastAsiaTheme="minorEastAsia" w:cstheme="minorBidi"/>
      <w:szCs w:val="22"/>
    </w:rPr>
  </w:style>
  <w:style w:type="character" w:customStyle="1" w:styleId="78">
    <w:name w:val="NormalCharacter"/>
    <w:qFormat/>
    <w:uiPriority w:val="0"/>
  </w:style>
  <w:style w:type="paragraph" w:customStyle="1" w:styleId="79">
    <w:name w:val="正文-无缩进"/>
    <w:basedOn w:val="1"/>
    <w:qFormat/>
    <w:uiPriority w:val="0"/>
  </w:style>
  <w:style w:type="paragraph" w:customStyle="1" w:styleId="8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81">
    <w:name w:val="列表段落1"/>
    <w:basedOn w:val="1"/>
    <w:qFormat/>
    <w:uiPriority w:val="34"/>
    <w:pPr>
      <w:ind w:firstLine="420" w:firstLineChars="200"/>
    </w:pPr>
    <w:rPr>
      <w:rFonts w:ascii="Calibri" w:hAnsi="Calibri"/>
      <w:szCs w:val="22"/>
    </w:rPr>
  </w:style>
  <w:style w:type="paragraph" w:customStyle="1" w:styleId="82">
    <w:name w:val="i正文"/>
    <w:basedOn w:val="1"/>
    <w:qFormat/>
    <w:uiPriority w:val="0"/>
    <w:rPr>
      <w:rFonts w:ascii="仿宋" w:hAnsi="仿宋" w:eastAsia="仿宋"/>
    </w:rPr>
  </w:style>
  <w:style w:type="paragraph" w:customStyle="1" w:styleId="83">
    <w:name w:val="样式 正文缩进 + 首行缩进:  2 字符"/>
    <w:basedOn w:val="12"/>
    <w:qFormat/>
    <w:uiPriority w:val="0"/>
    <w:pPr>
      <w:spacing w:line="360" w:lineRule="auto"/>
      <w:ind w:firstLine="200"/>
    </w:pPr>
    <w:rPr>
      <w:rFonts w:ascii="Calibri" w:hAnsi="Calibri" w:eastAsia="宋体" w:cs="Times New Roman"/>
      <w:kern w:val="0"/>
      <w:sz w:val="24"/>
      <w:szCs w:val="20"/>
    </w:rPr>
  </w:style>
  <w:style w:type="paragraph" w:customStyle="1" w:styleId="84">
    <w:name w:val="正文首行缩进1(Crlf+Shift+M)"/>
    <w:qFormat/>
    <w:uiPriority w:val="0"/>
    <w:pPr>
      <w:spacing w:before="120" w:after="120" w:line="360" w:lineRule="auto"/>
      <w:ind w:firstLine="420" w:firstLineChars="200"/>
    </w:pPr>
    <w:rPr>
      <w:rFonts w:ascii="Arial" w:hAnsi="Arial" w:eastAsia="宋体" w:cs="Times New Roman"/>
      <w:kern w:val="2"/>
      <w:sz w:val="21"/>
      <w:szCs w:val="24"/>
      <w:lang w:val="en-US" w:eastAsia="zh-CN" w:bidi="ar-SA"/>
    </w:rPr>
  </w:style>
  <w:style w:type="paragraph" w:customStyle="1" w:styleId="85">
    <w:name w:val="_正文段落"/>
    <w:basedOn w:val="1"/>
    <w:qFormat/>
    <w:uiPriority w:val="0"/>
    <w:pPr>
      <w:spacing w:line="360" w:lineRule="auto"/>
    </w:pPr>
    <w:rPr>
      <w:rFonts w:ascii="宋体" w:hAnsi="Times New Roman" w:eastAsia="仿宋_GB2312" w:cs="Times New Roman"/>
      <w:kern w:val="0"/>
      <w:sz w:val="28"/>
      <w:szCs w:val="24"/>
    </w:rPr>
  </w:style>
  <w:style w:type="character" w:customStyle="1" w:styleId="86">
    <w:name w:val="font31"/>
    <w:basedOn w:val="35"/>
    <w:qFormat/>
    <w:uiPriority w:val="0"/>
    <w:rPr>
      <w:rFonts w:hint="eastAsia" w:ascii="微软雅黑" w:hAnsi="微软雅黑" w:eastAsia="微软雅黑" w:cs="微软雅黑"/>
      <w:color w:val="404040"/>
      <w:sz w:val="20"/>
      <w:szCs w:val="20"/>
      <w:u w:val="none"/>
    </w:rPr>
  </w:style>
  <w:style w:type="paragraph" w:customStyle="1" w:styleId="87">
    <w:name w:val="p0"/>
    <w:basedOn w:val="1"/>
    <w:qFormat/>
    <w:uiPriority w:val="0"/>
    <w:pPr>
      <w:widowControl/>
    </w:pPr>
    <w:rPr>
      <w:kern w:val="0"/>
      <w:szCs w:val="21"/>
    </w:rPr>
  </w:style>
  <w:style w:type="paragraph" w:customStyle="1" w:styleId="88">
    <w:name w:val="正文（缩进）"/>
    <w:basedOn w:val="1"/>
    <w:qFormat/>
    <w:uiPriority w:val="0"/>
    <w:pPr>
      <w:spacing w:beforeLines="50" w:afterLines="50"/>
      <w:ind w:firstLine="480"/>
    </w:pPr>
    <w:rPr>
      <w:sz w:val="24"/>
    </w:rPr>
  </w:style>
  <w:style w:type="paragraph" w:customStyle="1" w:styleId="89">
    <w:name w:val="Other|1"/>
    <w:basedOn w:val="1"/>
    <w:qFormat/>
    <w:uiPriority w:val="0"/>
    <w:pPr>
      <w:widowControl w:val="0"/>
      <w:shd w:val="clear" w:color="auto" w:fill="auto"/>
    </w:pPr>
    <w:rPr>
      <w:rFonts w:ascii="宋体" w:hAnsi="宋体" w:eastAsia="宋体"/>
      <w:sz w:val="19"/>
      <w:szCs w:val="19"/>
      <w:u w:val="none"/>
      <w:shd w:val="clear" w:color="auto" w:fill="auto"/>
      <w:lang w:val="zh-TW" w:eastAsia="zh-TW" w:bidi="zh-TW"/>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Table Text"/>
    <w:basedOn w:val="1"/>
    <w:semiHidden/>
    <w:qFormat/>
    <w:uiPriority w:val="0"/>
    <w:rPr>
      <w:rFonts w:ascii="宋体" w:hAnsi="宋体" w:eastAsia="宋体" w:cs="宋体"/>
      <w:sz w:val="24"/>
      <w:szCs w:val="24"/>
      <w:lang w:val="en-US" w:eastAsia="en-US" w:bidi="ar-SA"/>
    </w:rPr>
  </w:style>
  <w:style w:type="table" w:customStyle="1" w:styleId="9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38292</Words>
  <Characters>40161</Characters>
  <Lines>1</Lines>
  <Paragraphs>1</Paragraphs>
  <TotalTime>18</TotalTime>
  <ScaleCrop>false</ScaleCrop>
  <LinksUpToDate>false</LinksUpToDate>
  <CharactersWithSpaces>43789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2020-12-11T09:06:00Z</dcterms:created>
  <dc:creator>ASUS</dc:creator>
  <cp:lastModifiedBy>赵琦</cp:lastModifiedBy>
  <cp:lastPrinted>2022-12-23T03:48:00Z</cp:lastPrinted>
  <dcterms:modified xsi:type="dcterms:W3CDTF">2025-06-17T11:08:23Z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A5AF168B7C2746B8A0937BFEAD57B88A_13</vt:lpwstr>
  </property>
  <property fmtid="{D5CDD505-2E9C-101B-9397-08002B2CF9AE}" pid="4" name="KSOTemplateDocerSaveRecord">
    <vt:lpwstr>eyJoZGlkIjoiYmQxMWQ3NzEwY2RmNzE5ZGYyMTk2Mzc2ZTZhNzdkMTEiLCJ1c2VySWQiOiI1NTc0MDA2MTEifQ==</vt:lpwstr>
  </property>
</Properties>
</file>