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C4242">
      <w:pPr>
        <w:pStyle w:val="14"/>
        <w:jc w:val="left"/>
        <w:rPr>
          <w:rFonts w:hint="eastAsia" w:ascii="仿宋" w:hAnsi="仿宋" w:eastAsia="仿宋" w:cs="仿宋"/>
          <w:b/>
          <w:bCs/>
          <w:color w:val="auto"/>
          <w:sz w:val="48"/>
          <w:szCs w:val="48"/>
          <w:highlight w:val="none"/>
        </w:rPr>
      </w:pPr>
      <w:r>
        <w:rPr>
          <w:rFonts w:hint="eastAsia" w:ascii="仿宋" w:hAnsi="仿宋" w:eastAsia="仿宋" w:cs="仿宋"/>
          <w:b/>
          <w:color w:val="auto"/>
          <w:sz w:val="48"/>
          <w:szCs w:val="48"/>
          <w:highlight w:val="none"/>
        </w:rPr>
        <w:drawing>
          <wp:inline distT="0" distB="0" distL="0" distR="0">
            <wp:extent cx="1285875" cy="1195705"/>
            <wp:effectExtent l="0" t="0" r="9525" b="2540"/>
            <wp:docPr id="4" name="图片 4" descr="说明: 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公司标志"/>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85875" cy="1195705"/>
                    </a:xfrm>
                    <a:prstGeom prst="rect">
                      <a:avLst/>
                    </a:prstGeom>
                    <a:noFill/>
                    <a:ln>
                      <a:noFill/>
                    </a:ln>
                  </pic:spPr>
                </pic:pic>
              </a:graphicData>
            </a:graphic>
          </wp:inline>
        </w:drawing>
      </w:r>
      <w:r>
        <w:rPr>
          <w:rFonts w:hint="eastAsia" w:ascii="仿宋" w:hAnsi="仿宋" w:eastAsia="仿宋" w:cs="仿宋"/>
          <w:b/>
          <w:color w:val="auto"/>
          <w:sz w:val="48"/>
          <w:szCs w:val="48"/>
          <w:highlight w:val="none"/>
        </w:rPr>
        <w:t xml:space="preserve">  </w:t>
      </w:r>
    </w:p>
    <w:p w14:paraId="74BB0A15">
      <w:pPr>
        <w:pStyle w:val="14"/>
        <w:jc w:val="center"/>
        <w:rPr>
          <w:rFonts w:hint="eastAsia" w:ascii="仿宋" w:hAnsi="仿宋" w:eastAsia="仿宋" w:cs="仿宋"/>
          <w:b/>
          <w:bCs/>
          <w:color w:val="auto"/>
          <w:sz w:val="48"/>
          <w:szCs w:val="48"/>
          <w:highlight w:val="none"/>
        </w:rPr>
      </w:pPr>
    </w:p>
    <w:p w14:paraId="19DE3385">
      <w:pPr>
        <w:jc w:val="center"/>
        <w:rPr>
          <w:rFonts w:hint="eastAsia" w:ascii="仿宋" w:hAnsi="仿宋" w:eastAsia="仿宋" w:cs="仿宋"/>
          <w:color w:val="auto"/>
          <w:highlight w:val="none"/>
        </w:rPr>
      </w:pPr>
      <w:r>
        <w:rPr>
          <w:rFonts w:hint="eastAsia" w:ascii="仿宋" w:hAnsi="仿宋" w:eastAsia="仿宋" w:cs="仿宋"/>
          <w:b/>
          <w:bCs/>
          <w:color w:val="auto"/>
          <w:sz w:val="48"/>
          <w:szCs w:val="48"/>
          <w:highlight w:val="none"/>
          <w:lang w:eastAsia="zh-CN"/>
        </w:rPr>
        <w:t>新疆维吾尔自治区地质局地球物理化学探矿中心钻探服务项目第四批</w:t>
      </w:r>
    </w:p>
    <w:p w14:paraId="4948C886">
      <w:pPr>
        <w:rPr>
          <w:rFonts w:hint="eastAsia" w:ascii="仿宋" w:hAnsi="仿宋" w:eastAsia="仿宋" w:cs="仿宋"/>
          <w:color w:val="auto"/>
          <w:highlight w:val="none"/>
        </w:rPr>
      </w:pPr>
    </w:p>
    <w:p w14:paraId="0E1FCCD6">
      <w:pPr>
        <w:pStyle w:val="14"/>
        <w:rPr>
          <w:rFonts w:hint="eastAsia" w:ascii="仿宋" w:hAnsi="仿宋" w:eastAsia="仿宋" w:cs="仿宋"/>
          <w:color w:val="auto"/>
          <w:highlight w:val="none"/>
        </w:rPr>
      </w:pPr>
    </w:p>
    <w:p w14:paraId="6BC5586D">
      <w:pPr>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 标 文 件</w:t>
      </w:r>
    </w:p>
    <w:p w14:paraId="496B24D6">
      <w:pPr>
        <w:adjustRightInd w:val="0"/>
        <w:snapToGrid w:val="0"/>
        <w:spacing w:line="360" w:lineRule="auto"/>
        <w:jc w:val="center"/>
        <w:rPr>
          <w:rFonts w:hint="eastAsia" w:ascii="仿宋" w:hAnsi="仿宋" w:eastAsia="仿宋" w:cs="仿宋"/>
          <w:b/>
          <w:color w:val="auto"/>
          <w:sz w:val="28"/>
          <w:szCs w:val="18"/>
          <w:highlight w:val="none"/>
        </w:rPr>
      </w:pPr>
      <w:r>
        <w:rPr>
          <w:rFonts w:hint="eastAsia" w:ascii="仿宋" w:hAnsi="仿宋" w:eastAsia="仿宋" w:cs="仿宋"/>
          <w:b/>
          <w:color w:val="auto"/>
          <w:sz w:val="28"/>
          <w:szCs w:val="18"/>
          <w:highlight w:val="none"/>
        </w:rPr>
        <w:t>（项目编号：</w:t>
      </w:r>
      <w:r>
        <w:rPr>
          <w:rFonts w:hint="eastAsia" w:ascii="仿宋" w:hAnsi="仿宋" w:eastAsia="仿宋" w:cs="仿宋"/>
          <w:b/>
          <w:color w:val="auto"/>
          <w:sz w:val="28"/>
          <w:szCs w:val="18"/>
          <w:highlight w:val="none"/>
          <w:lang w:eastAsia="zh-CN"/>
        </w:rPr>
        <w:t>xsj-20250530</w:t>
      </w:r>
      <w:r>
        <w:rPr>
          <w:rFonts w:hint="eastAsia" w:ascii="仿宋" w:hAnsi="仿宋" w:eastAsia="仿宋" w:cs="仿宋"/>
          <w:b/>
          <w:color w:val="auto"/>
          <w:sz w:val="28"/>
          <w:szCs w:val="18"/>
          <w:highlight w:val="none"/>
        </w:rPr>
        <w:t>）</w:t>
      </w:r>
    </w:p>
    <w:p w14:paraId="430C25DB">
      <w:pPr>
        <w:adjustRightInd w:val="0"/>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 xml:space="preserve">     </w:t>
      </w:r>
    </w:p>
    <w:p w14:paraId="7BF5F135">
      <w:pPr>
        <w:pStyle w:val="14"/>
        <w:rPr>
          <w:rFonts w:hint="eastAsia" w:ascii="仿宋" w:hAnsi="仿宋" w:eastAsia="仿宋" w:cs="仿宋"/>
          <w:color w:val="auto"/>
          <w:highlight w:val="none"/>
        </w:rPr>
      </w:pPr>
    </w:p>
    <w:p w14:paraId="2DC0825C">
      <w:pPr>
        <w:ind w:firstLine="420"/>
        <w:rPr>
          <w:rFonts w:hint="eastAsia" w:ascii="仿宋" w:hAnsi="仿宋" w:eastAsia="仿宋" w:cs="仿宋"/>
          <w:color w:val="auto"/>
          <w:sz w:val="28"/>
          <w:szCs w:val="28"/>
          <w:highlight w:val="none"/>
        </w:rPr>
      </w:pPr>
    </w:p>
    <w:tbl>
      <w:tblPr>
        <w:tblStyle w:val="41"/>
        <w:tblpPr w:leftFromText="180" w:rightFromText="180" w:vertAnchor="text" w:horzAnchor="margin" w:tblpY="400"/>
        <w:tblW w:w="9399" w:type="dxa"/>
        <w:tblInd w:w="0" w:type="dxa"/>
        <w:tblLayout w:type="fixed"/>
        <w:tblCellMar>
          <w:top w:w="0" w:type="dxa"/>
          <w:left w:w="108" w:type="dxa"/>
          <w:bottom w:w="0" w:type="dxa"/>
          <w:right w:w="108" w:type="dxa"/>
        </w:tblCellMar>
      </w:tblPr>
      <w:tblGrid>
        <w:gridCol w:w="1756"/>
        <w:gridCol w:w="7643"/>
      </w:tblGrid>
      <w:tr w14:paraId="60DED848">
        <w:tblPrEx>
          <w:tblCellMar>
            <w:top w:w="0" w:type="dxa"/>
            <w:left w:w="108" w:type="dxa"/>
            <w:bottom w:w="0" w:type="dxa"/>
            <w:right w:w="108" w:type="dxa"/>
          </w:tblCellMar>
        </w:tblPrEx>
        <w:trPr>
          <w:trHeight w:val="1459" w:hRule="atLeast"/>
        </w:trPr>
        <w:tc>
          <w:tcPr>
            <w:tcW w:w="1756" w:type="dxa"/>
            <w:vAlign w:val="center"/>
          </w:tcPr>
          <w:p w14:paraId="7AC67508">
            <w:pPr>
              <w:tabs>
                <w:tab w:val="left" w:pos="8504"/>
              </w:tabs>
              <w:spacing w:line="360" w:lineRule="auto"/>
              <w:rPr>
                <w:rFonts w:hint="eastAsia" w:ascii="仿宋" w:hAnsi="仿宋" w:eastAsia="仿宋" w:cs="仿宋"/>
                <w:b/>
                <w:color w:val="auto"/>
                <w:spacing w:val="14"/>
                <w:sz w:val="28"/>
                <w:szCs w:val="28"/>
                <w:highlight w:val="none"/>
              </w:rPr>
            </w:pPr>
            <w:r>
              <w:rPr>
                <w:rFonts w:hint="eastAsia" w:ascii="仿宋" w:hAnsi="仿宋" w:eastAsia="仿宋" w:cs="仿宋"/>
                <w:b/>
                <w:color w:val="auto"/>
                <w:spacing w:val="14"/>
                <w:sz w:val="28"/>
                <w:szCs w:val="28"/>
                <w:highlight w:val="none"/>
              </w:rPr>
              <w:t>采 购 人：</w:t>
            </w:r>
          </w:p>
          <w:p w14:paraId="2B9205AF">
            <w:pPr>
              <w:tabs>
                <w:tab w:val="left" w:pos="8504"/>
              </w:tabs>
              <w:spacing w:line="360" w:lineRule="auto"/>
              <w:rPr>
                <w:rFonts w:hint="eastAsia" w:ascii="仿宋" w:hAnsi="仿宋" w:eastAsia="仿宋" w:cs="仿宋"/>
                <w:b/>
                <w:color w:val="auto"/>
                <w:spacing w:val="14"/>
                <w:sz w:val="28"/>
                <w:szCs w:val="28"/>
                <w:highlight w:val="none"/>
              </w:rPr>
            </w:pPr>
            <w:r>
              <w:rPr>
                <w:rFonts w:hint="eastAsia" w:ascii="仿宋" w:hAnsi="仿宋" w:eastAsia="仿宋" w:cs="仿宋"/>
                <w:b/>
                <w:color w:val="auto"/>
                <w:spacing w:val="14"/>
                <w:sz w:val="28"/>
                <w:szCs w:val="28"/>
                <w:highlight w:val="none"/>
              </w:rPr>
              <w:t>采购代理：</w:t>
            </w:r>
          </w:p>
        </w:tc>
        <w:tc>
          <w:tcPr>
            <w:tcW w:w="7643" w:type="dxa"/>
            <w:vAlign w:val="center"/>
          </w:tcPr>
          <w:p w14:paraId="18BAFFA1">
            <w:pPr>
              <w:tabs>
                <w:tab w:val="left" w:pos="8504"/>
              </w:tabs>
              <w:spacing w:line="360" w:lineRule="auto"/>
              <w:rPr>
                <w:rFonts w:hint="eastAsia" w:ascii="仿宋" w:hAnsi="仿宋" w:eastAsia="仿宋" w:cs="仿宋"/>
                <w:b/>
                <w:color w:val="auto"/>
                <w:spacing w:val="14"/>
                <w:sz w:val="28"/>
                <w:szCs w:val="28"/>
                <w:highlight w:val="none"/>
                <w:lang w:eastAsia="zh-CN"/>
              </w:rPr>
            </w:pPr>
            <w:r>
              <w:rPr>
                <w:rFonts w:hint="eastAsia" w:ascii="仿宋" w:hAnsi="仿宋" w:eastAsia="仿宋" w:cs="仿宋"/>
                <w:b/>
                <w:color w:val="auto"/>
                <w:spacing w:val="14"/>
                <w:sz w:val="28"/>
                <w:szCs w:val="28"/>
                <w:highlight w:val="none"/>
                <w:lang w:eastAsia="zh-CN"/>
              </w:rPr>
              <w:t>新疆维吾尔自治区地质局地球物理化学探矿中心</w:t>
            </w:r>
          </w:p>
          <w:p w14:paraId="11BDC5EA">
            <w:pPr>
              <w:tabs>
                <w:tab w:val="left" w:pos="8504"/>
              </w:tabs>
              <w:spacing w:line="360" w:lineRule="auto"/>
              <w:rPr>
                <w:rFonts w:hint="eastAsia" w:ascii="仿宋" w:hAnsi="仿宋" w:eastAsia="仿宋" w:cs="仿宋"/>
                <w:color w:val="auto"/>
                <w:highlight w:val="none"/>
              </w:rPr>
            </w:pPr>
            <w:r>
              <w:rPr>
                <w:rFonts w:hint="eastAsia" w:ascii="仿宋" w:hAnsi="仿宋" w:eastAsia="仿宋" w:cs="仿宋"/>
                <w:b/>
                <w:color w:val="auto"/>
                <w:spacing w:val="14"/>
                <w:sz w:val="28"/>
                <w:szCs w:val="28"/>
                <w:highlight w:val="none"/>
              </w:rPr>
              <w:t>新疆新世纪招标有限公司</w:t>
            </w:r>
          </w:p>
        </w:tc>
      </w:tr>
    </w:tbl>
    <w:p w14:paraId="5119DED0">
      <w:pPr>
        <w:spacing w:line="360" w:lineRule="atLeast"/>
        <w:ind w:firstLine="3514" w:firstLineChars="1250"/>
        <w:rPr>
          <w:rFonts w:hint="eastAsia" w:ascii="仿宋" w:hAnsi="仿宋" w:eastAsia="仿宋" w:cs="仿宋"/>
          <w:b/>
          <w:color w:val="auto"/>
          <w:sz w:val="28"/>
          <w:szCs w:val="28"/>
          <w:highlight w:val="none"/>
        </w:rPr>
      </w:pPr>
    </w:p>
    <w:p w14:paraId="6684C207">
      <w:pPr>
        <w:spacing w:line="360" w:lineRule="atLeast"/>
        <w:ind w:firstLine="3514" w:firstLineChars="1250"/>
        <w:rPr>
          <w:rFonts w:hint="eastAsia" w:ascii="仿宋" w:hAnsi="仿宋" w:eastAsia="仿宋" w:cs="仿宋"/>
          <w:b/>
          <w:color w:val="auto"/>
          <w:sz w:val="28"/>
          <w:szCs w:val="28"/>
          <w:highlight w:val="none"/>
        </w:rPr>
      </w:pPr>
    </w:p>
    <w:p w14:paraId="584BCD31">
      <w:pPr>
        <w:spacing w:line="360" w:lineRule="atLeast"/>
        <w:ind w:firstLine="3514" w:firstLineChars="1250"/>
        <w:rPr>
          <w:rFonts w:hint="eastAsia" w:ascii="仿宋" w:hAnsi="仿宋" w:eastAsia="仿宋" w:cs="仿宋"/>
          <w:color w:val="auto"/>
          <w:sz w:val="48"/>
          <w:szCs w:val="48"/>
          <w:highlight w:val="none"/>
        </w:rPr>
      </w:pPr>
      <w:r>
        <w:rPr>
          <w:rFonts w:hint="eastAsia" w:ascii="仿宋" w:hAnsi="仿宋" w:eastAsia="仿宋" w:cs="仿宋"/>
          <w:b/>
          <w:color w:val="auto"/>
          <w:sz w:val="28"/>
          <w:szCs w:val="28"/>
          <w:highlight w:val="none"/>
        </w:rPr>
        <w:t>二〇二</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月</w:t>
      </w:r>
    </w:p>
    <w:p w14:paraId="68DC9547">
      <w:pPr>
        <w:adjustRightInd w:val="0"/>
        <w:snapToGrid w:val="0"/>
        <w:spacing w:line="480" w:lineRule="exact"/>
        <w:rPr>
          <w:rFonts w:hint="eastAsia" w:ascii="仿宋" w:hAnsi="仿宋" w:eastAsia="仿宋" w:cs="仿宋"/>
          <w:bCs/>
          <w:color w:val="auto"/>
          <w:sz w:val="32"/>
          <w:szCs w:val="32"/>
          <w:highlight w:val="none"/>
        </w:rPr>
      </w:pPr>
    </w:p>
    <w:p w14:paraId="258C071D">
      <w:pPr>
        <w:widowControl/>
        <w:jc w:val="left"/>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br w:type="page"/>
      </w:r>
    </w:p>
    <w:p w14:paraId="7F985402">
      <w:pPr>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目录</w:t>
      </w:r>
    </w:p>
    <w:p w14:paraId="6325E162">
      <w:pPr>
        <w:pStyle w:val="27"/>
        <w:tabs>
          <w:tab w:val="right" w:leader="dot" w:pos="9354"/>
        </w:tabs>
        <w:rPr>
          <w:color w:val="auto"/>
          <w:highlight w:val="none"/>
        </w:rPr>
      </w:pPr>
      <w:r>
        <w:rPr>
          <w:rStyle w:val="51"/>
          <w:rFonts w:hint="eastAsia" w:ascii="仿宋" w:hAnsi="仿宋" w:eastAsia="仿宋" w:cs="仿宋"/>
          <w:b/>
          <w:color w:val="auto"/>
          <w:sz w:val="24"/>
          <w:highlight w:val="none"/>
        </w:rPr>
        <w:fldChar w:fldCharType="begin"/>
      </w:r>
      <w:r>
        <w:rPr>
          <w:rStyle w:val="51"/>
          <w:rFonts w:hint="eastAsia" w:ascii="仿宋" w:hAnsi="仿宋" w:eastAsia="仿宋" w:cs="仿宋"/>
          <w:b/>
          <w:color w:val="auto"/>
          <w:sz w:val="24"/>
          <w:highlight w:val="none"/>
        </w:rPr>
        <w:instrText xml:space="preserve">TOC \o "1-3" \h \u </w:instrText>
      </w:r>
      <w:r>
        <w:rPr>
          <w:rStyle w:val="51"/>
          <w:rFonts w:hint="eastAsia" w:ascii="仿宋" w:hAnsi="仿宋" w:eastAsia="仿宋" w:cs="仿宋"/>
          <w:b/>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_Toc1186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8"/>
          <w:highlight w:val="none"/>
        </w:rPr>
        <w:t>公开招标公告</w:t>
      </w:r>
      <w:r>
        <w:rPr>
          <w:color w:val="auto"/>
          <w:highlight w:val="none"/>
        </w:rPr>
        <w:tab/>
      </w:r>
      <w:r>
        <w:rPr>
          <w:color w:val="auto"/>
          <w:highlight w:val="none"/>
        </w:rPr>
        <w:fldChar w:fldCharType="begin"/>
      </w:r>
      <w:r>
        <w:rPr>
          <w:color w:val="auto"/>
          <w:highlight w:val="none"/>
        </w:rPr>
        <w:instrText xml:space="preserve"> PAGEREF _Toc1186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highlight w:val="none"/>
        </w:rPr>
        <w:fldChar w:fldCharType="end"/>
      </w:r>
    </w:p>
    <w:p w14:paraId="234559F0">
      <w:pPr>
        <w:pStyle w:val="27"/>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_Toc31961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_Toc31961 \h </w:instrText>
      </w:r>
      <w:r>
        <w:rPr>
          <w:color w:val="auto"/>
          <w:highlight w:val="none"/>
        </w:rPr>
        <w:fldChar w:fldCharType="separate"/>
      </w:r>
      <w:r>
        <w:rPr>
          <w:color w:val="auto"/>
          <w:highlight w:val="none"/>
        </w:rPr>
        <w:t>5</w:t>
      </w:r>
      <w:r>
        <w:rPr>
          <w:color w:val="auto"/>
          <w:highlight w:val="none"/>
        </w:rPr>
        <w:fldChar w:fldCharType="end"/>
      </w:r>
      <w:r>
        <w:rPr>
          <w:rFonts w:hint="eastAsia" w:ascii="仿宋" w:hAnsi="仿宋" w:eastAsia="仿宋" w:cs="仿宋"/>
          <w:color w:val="auto"/>
          <w:highlight w:val="none"/>
        </w:rPr>
        <w:fldChar w:fldCharType="end"/>
      </w:r>
    </w:p>
    <w:p w14:paraId="138A025D">
      <w:pPr>
        <w:pStyle w:val="27"/>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_Toc21391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_Toc21391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color w:val="auto"/>
          <w:highlight w:val="none"/>
        </w:rPr>
        <w:fldChar w:fldCharType="end"/>
      </w:r>
    </w:p>
    <w:p w14:paraId="5B264432">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_Toc3661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1．总则</w:t>
      </w:r>
      <w:r>
        <w:rPr>
          <w:color w:val="auto"/>
          <w:highlight w:val="none"/>
        </w:rPr>
        <w:tab/>
      </w:r>
      <w:r>
        <w:rPr>
          <w:color w:val="auto"/>
          <w:highlight w:val="none"/>
        </w:rPr>
        <w:fldChar w:fldCharType="begin"/>
      </w:r>
      <w:r>
        <w:rPr>
          <w:color w:val="auto"/>
          <w:highlight w:val="none"/>
        </w:rPr>
        <w:instrText xml:space="preserve"> PAGEREF _Toc3661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color w:val="auto"/>
          <w:highlight w:val="none"/>
        </w:rPr>
        <w:fldChar w:fldCharType="end"/>
      </w:r>
    </w:p>
    <w:p w14:paraId="5661A8AD">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_Toc27298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2．招标文件</w:t>
      </w:r>
      <w:r>
        <w:rPr>
          <w:color w:val="auto"/>
          <w:highlight w:val="none"/>
        </w:rPr>
        <w:tab/>
      </w:r>
      <w:r>
        <w:rPr>
          <w:color w:val="auto"/>
          <w:highlight w:val="none"/>
        </w:rPr>
        <w:fldChar w:fldCharType="begin"/>
      </w:r>
      <w:r>
        <w:rPr>
          <w:color w:val="auto"/>
          <w:highlight w:val="none"/>
        </w:rPr>
        <w:instrText xml:space="preserve"> PAGEREF _Toc27298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highlight w:val="none"/>
        </w:rPr>
        <w:fldChar w:fldCharType="end"/>
      </w:r>
    </w:p>
    <w:p w14:paraId="1F2AE8B4">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_Toc5223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3．投标文件</w:t>
      </w:r>
      <w:r>
        <w:rPr>
          <w:color w:val="auto"/>
          <w:highlight w:val="none"/>
        </w:rPr>
        <w:tab/>
      </w:r>
      <w:r>
        <w:rPr>
          <w:color w:val="auto"/>
          <w:highlight w:val="none"/>
        </w:rPr>
        <w:fldChar w:fldCharType="begin"/>
      </w:r>
      <w:r>
        <w:rPr>
          <w:color w:val="auto"/>
          <w:highlight w:val="none"/>
        </w:rPr>
        <w:instrText xml:space="preserve"> PAGEREF _Toc5223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highlight w:val="none"/>
        </w:rPr>
        <w:fldChar w:fldCharType="end"/>
      </w:r>
    </w:p>
    <w:p w14:paraId="33BE5838">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_Toc28025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4．投标</w:t>
      </w:r>
      <w:r>
        <w:rPr>
          <w:color w:val="auto"/>
          <w:highlight w:val="none"/>
        </w:rPr>
        <w:tab/>
      </w:r>
      <w:r>
        <w:rPr>
          <w:color w:val="auto"/>
          <w:highlight w:val="none"/>
        </w:rPr>
        <w:fldChar w:fldCharType="begin"/>
      </w:r>
      <w:r>
        <w:rPr>
          <w:color w:val="auto"/>
          <w:highlight w:val="none"/>
        </w:rPr>
        <w:instrText xml:space="preserve"> PAGEREF _Toc28025 \h </w:instrText>
      </w:r>
      <w:r>
        <w:rPr>
          <w:color w:val="auto"/>
          <w:highlight w:val="none"/>
        </w:rPr>
        <w:fldChar w:fldCharType="separate"/>
      </w:r>
      <w:r>
        <w:rPr>
          <w:color w:val="auto"/>
          <w:highlight w:val="none"/>
        </w:rPr>
        <w:t>16</w:t>
      </w:r>
      <w:r>
        <w:rPr>
          <w:color w:val="auto"/>
          <w:highlight w:val="none"/>
        </w:rPr>
        <w:fldChar w:fldCharType="end"/>
      </w:r>
      <w:r>
        <w:rPr>
          <w:rFonts w:hint="eastAsia" w:ascii="仿宋" w:hAnsi="仿宋" w:eastAsia="仿宋" w:cs="仿宋"/>
          <w:color w:val="auto"/>
          <w:highlight w:val="none"/>
        </w:rPr>
        <w:fldChar w:fldCharType="end"/>
      </w:r>
    </w:p>
    <w:p w14:paraId="22FD6271">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_Toc26385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5．开标</w:t>
      </w:r>
      <w:r>
        <w:rPr>
          <w:color w:val="auto"/>
          <w:highlight w:val="none"/>
        </w:rPr>
        <w:tab/>
      </w:r>
      <w:r>
        <w:rPr>
          <w:color w:val="auto"/>
          <w:highlight w:val="none"/>
        </w:rPr>
        <w:fldChar w:fldCharType="begin"/>
      </w:r>
      <w:r>
        <w:rPr>
          <w:color w:val="auto"/>
          <w:highlight w:val="none"/>
        </w:rPr>
        <w:instrText xml:space="preserve"> PAGEREF _Toc26385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color w:val="auto"/>
          <w:highlight w:val="none"/>
        </w:rPr>
        <w:fldChar w:fldCharType="end"/>
      </w:r>
    </w:p>
    <w:p w14:paraId="612825CF">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6．评标</w:t>
      </w:r>
      <w:r>
        <w:rPr>
          <w:color w:val="auto"/>
          <w:highlight w:val="none"/>
        </w:rPr>
        <w:tab/>
      </w:r>
      <w:r>
        <w:rPr>
          <w:color w:val="auto"/>
          <w:highlight w:val="none"/>
        </w:rPr>
        <w:fldChar w:fldCharType="begin"/>
      </w:r>
      <w:r>
        <w:rPr>
          <w:color w:val="auto"/>
          <w:highlight w:val="none"/>
        </w:rPr>
        <w:instrText xml:space="preserve"> PAGEREF _Toc5139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color w:val="auto"/>
          <w:highlight w:val="none"/>
        </w:rPr>
        <w:fldChar w:fldCharType="end"/>
      </w:r>
    </w:p>
    <w:p w14:paraId="3BD5C640">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7．定标及合同授予</w:t>
      </w:r>
      <w:r>
        <w:rPr>
          <w:color w:val="auto"/>
          <w:highlight w:val="none"/>
        </w:rPr>
        <w:tab/>
      </w:r>
      <w:r>
        <w:rPr>
          <w:color w:val="auto"/>
          <w:highlight w:val="none"/>
        </w:rPr>
        <w:fldChar w:fldCharType="begin"/>
      </w:r>
      <w:r>
        <w:rPr>
          <w:color w:val="auto"/>
          <w:highlight w:val="none"/>
        </w:rPr>
        <w:instrText xml:space="preserve"> PAGEREF _Toc1820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color w:val="auto"/>
          <w:highlight w:val="none"/>
        </w:rPr>
        <w:fldChar w:fldCharType="end"/>
      </w:r>
    </w:p>
    <w:p w14:paraId="77B157B1">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_Toc10630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8．纪律和监督</w:t>
      </w:r>
      <w:r>
        <w:rPr>
          <w:color w:val="auto"/>
          <w:highlight w:val="none"/>
        </w:rPr>
        <w:tab/>
      </w:r>
      <w:r>
        <w:rPr>
          <w:color w:val="auto"/>
          <w:highlight w:val="none"/>
        </w:rPr>
        <w:fldChar w:fldCharType="begin"/>
      </w:r>
      <w:r>
        <w:rPr>
          <w:color w:val="auto"/>
          <w:highlight w:val="none"/>
        </w:rPr>
        <w:instrText xml:space="preserve"> PAGEREF _Toc10630 \h </w:instrText>
      </w:r>
      <w:r>
        <w:rPr>
          <w:color w:val="auto"/>
          <w:highlight w:val="none"/>
        </w:rPr>
        <w:fldChar w:fldCharType="separate"/>
      </w:r>
      <w:r>
        <w:rPr>
          <w:color w:val="auto"/>
          <w:highlight w:val="none"/>
        </w:rPr>
        <w:t>19</w:t>
      </w:r>
      <w:r>
        <w:rPr>
          <w:color w:val="auto"/>
          <w:highlight w:val="none"/>
        </w:rPr>
        <w:fldChar w:fldCharType="end"/>
      </w:r>
      <w:r>
        <w:rPr>
          <w:rFonts w:hint="eastAsia" w:ascii="仿宋" w:hAnsi="仿宋" w:eastAsia="仿宋" w:cs="仿宋"/>
          <w:color w:val="auto"/>
          <w:highlight w:val="none"/>
        </w:rPr>
        <w:fldChar w:fldCharType="end"/>
      </w:r>
    </w:p>
    <w:p w14:paraId="2CBB25E8">
      <w:pPr>
        <w:pStyle w:val="27"/>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_Toc21164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_Toc21164 \h </w:instrText>
      </w:r>
      <w:r>
        <w:rPr>
          <w:color w:val="auto"/>
          <w:highlight w:val="none"/>
        </w:rPr>
        <w:fldChar w:fldCharType="separate"/>
      </w:r>
      <w:r>
        <w:rPr>
          <w:color w:val="auto"/>
          <w:highlight w:val="none"/>
        </w:rPr>
        <w:t>20</w:t>
      </w:r>
      <w:r>
        <w:rPr>
          <w:color w:val="auto"/>
          <w:highlight w:val="none"/>
        </w:rPr>
        <w:fldChar w:fldCharType="end"/>
      </w:r>
      <w:r>
        <w:rPr>
          <w:rFonts w:hint="eastAsia" w:ascii="仿宋" w:hAnsi="仿宋" w:eastAsia="仿宋" w:cs="仿宋"/>
          <w:color w:val="auto"/>
          <w:highlight w:val="none"/>
        </w:rPr>
        <w:fldChar w:fldCharType="end"/>
      </w:r>
    </w:p>
    <w:p w14:paraId="3E51A2F0">
      <w:pPr>
        <w:pStyle w:val="19"/>
        <w:tabs>
          <w:tab w:val="right" w:leader="dot" w:pos="9354"/>
        </w:tabs>
        <w:ind w:left="0" w:leftChars="0" w:firstLine="420" w:firstLineChars="200"/>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_Toc23868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_Toc23868 \h </w:instrText>
      </w:r>
      <w:r>
        <w:rPr>
          <w:color w:val="auto"/>
          <w:highlight w:val="none"/>
        </w:rPr>
        <w:fldChar w:fldCharType="separate"/>
      </w:r>
      <w:r>
        <w:rPr>
          <w:color w:val="auto"/>
          <w:highlight w:val="none"/>
        </w:rPr>
        <w:t>20</w:t>
      </w:r>
      <w:r>
        <w:rPr>
          <w:color w:val="auto"/>
          <w:highlight w:val="none"/>
        </w:rPr>
        <w:fldChar w:fldCharType="end"/>
      </w:r>
      <w:r>
        <w:rPr>
          <w:rFonts w:hint="eastAsia" w:ascii="仿宋" w:hAnsi="仿宋" w:eastAsia="仿宋" w:cs="仿宋"/>
          <w:color w:val="auto"/>
          <w:highlight w:val="none"/>
        </w:rPr>
        <w:fldChar w:fldCharType="end"/>
      </w:r>
    </w:p>
    <w:p w14:paraId="11CF54D2">
      <w:pPr>
        <w:pStyle w:val="19"/>
        <w:tabs>
          <w:tab w:val="right" w:leader="dot" w:pos="9354"/>
        </w:tabs>
        <w:ind w:left="0" w:leftChars="0" w:firstLine="420" w:firstLineChars="200"/>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_Toc17904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1. 评标方法</w:t>
      </w:r>
      <w:r>
        <w:rPr>
          <w:color w:val="auto"/>
          <w:highlight w:val="none"/>
        </w:rPr>
        <w:tab/>
      </w:r>
      <w:r>
        <w:rPr>
          <w:color w:val="auto"/>
          <w:highlight w:val="none"/>
        </w:rPr>
        <w:fldChar w:fldCharType="begin"/>
      </w:r>
      <w:r>
        <w:rPr>
          <w:color w:val="auto"/>
          <w:highlight w:val="none"/>
        </w:rPr>
        <w:instrText xml:space="preserve"> PAGEREF _Toc17904 \h </w:instrText>
      </w:r>
      <w:r>
        <w:rPr>
          <w:color w:val="auto"/>
          <w:highlight w:val="none"/>
        </w:rPr>
        <w:fldChar w:fldCharType="separate"/>
      </w:r>
      <w:r>
        <w:rPr>
          <w:color w:val="auto"/>
          <w:highlight w:val="none"/>
        </w:rPr>
        <w:t>23</w:t>
      </w:r>
      <w:r>
        <w:rPr>
          <w:color w:val="auto"/>
          <w:highlight w:val="none"/>
        </w:rPr>
        <w:fldChar w:fldCharType="end"/>
      </w:r>
      <w:r>
        <w:rPr>
          <w:rFonts w:hint="eastAsia" w:ascii="仿宋" w:hAnsi="仿宋" w:eastAsia="仿宋" w:cs="仿宋"/>
          <w:color w:val="auto"/>
          <w:highlight w:val="none"/>
        </w:rPr>
        <w:fldChar w:fldCharType="end"/>
      </w:r>
    </w:p>
    <w:p w14:paraId="695A5C78">
      <w:pPr>
        <w:pStyle w:val="19"/>
        <w:tabs>
          <w:tab w:val="right" w:leader="dot" w:pos="9354"/>
        </w:tabs>
        <w:ind w:left="0" w:leftChars="0" w:firstLine="420" w:firstLineChars="200"/>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_Toc25431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2. 评标标准</w:t>
      </w:r>
      <w:r>
        <w:rPr>
          <w:color w:val="auto"/>
          <w:highlight w:val="none"/>
        </w:rPr>
        <w:tab/>
      </w:r>
      <w:r>
        <w:rPr>
          <w:color w:val="auto"/>
          <w:highlight w:val="none"/>
        </w:rPr>
        <w:fldChar w:fldCharType="begin"/>
      </w:r>
      <w:r>
        <w:rPr>
          <w:color w:val="auto"/>
          <w:highlight w:val="none"/>
        </w:rPr>
        <w:instrText xml:space="preserve"> PAGEREF _Toc25431 \h </w:instrText>
      </w:r>
      <w:r>
        <w:rPr>
          <w:color w:val="auto"/>
          <w:highlight w:val="none"/>
        </w:rPr>
        <w:fldChar w:fldCharType="separate"/>
      </w:r>
      <w:r>
        <w:rPr>
          <w:color w:val="auto"/>
          <w:highlight w:val="none"/>
        </w:rPr>
        <w:t>23</w:t>
      </w:r>
      <w:r>
        <w:rPr>
          <w:color w:val="auto"/>
          <w:highlight w:val="none"/>
        </w:rPr>
        <w:fldChar w:fldCharType="end"/>
      </w:r>
      <w:r>
        <w:rPr>
          <w:rFonts w:hint="eastAsia" w:ascii="仿宋" w:hAnsi="仿宋" w:eastAsia="仿宋" w:cs="仿宋"/>
          <w:color w:val="auto"/>
          <w:highlight w:val="none"/>
        </w:rPr>
        <w:fldChar w:fldCharType="end"/>
      </w:r>
    </w:p>
    <w:p w14:paraId="34313C43">
      <w:pPr>
        <w:pStyle w:val="19"/>
        <w:tabs>
          <w:tab w:val="right" w:leader="dot" w:pos="9354"/>
        </w:tabs>
        <w:ind w:left="0" w:leftChars="0" w:firstLine="420" w:firstLineChars="200"/>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_Toc29324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3. 评标程序</w:t>
      </w:r>
      <w:r>
        <w:rPr>
          <w:color w:val="auto"/>
          <w:highlight w:val="none"/>
        </w:rPr>
        <w:tab/>
      </w:r>
      <w:r>
        <w:rPr>
          <w:color w:val="auto"/>
          <w:highlight w:val="none"/>
        </w:rPr>
        <w:fldChar w:fldCharType="begin"/>
      </w:r>
      <w:r>
        <w:rPr>
          <w:color w:val="auto"/>
          <w:highlight w:val="none"/>
        </w:rPr>
        <w:instrText xml:space="preserve"> PAGEREF _Toc29324 \h </w:instrText>
      </w:r>
      <w:r>
        <w:rPr>
          <w:color w:val="auto"/>
          <w:highlight w:val="none"/>
        </w:rPr>
        <w:fldChar w:fldCharType="separate"/>
      </w:r>
      <w:r>
        <w:rPr>
          <w:color w:val="auto"/>
          <w:highlight w:val="none"/>
        </w:rPr>
        <w:t>24</w:t>
      </w:r>
      <w:r>
        <w:rPr>
          <w:color w:val="auto"/>
          <w:highlight w:val="none"/>
        </w:rPr>
        <w:fldChar w:fldCharType="end"/>
      </w:r>
      <w:r>
        <w:rPr>
          <w:rFonts w:hint="eastAsia" w:ascii="仿宋" w:hAnsi="仿宋" w:eastAsia="仿宋" w:cs="仿宋"/>
          <w:color w:val="auto"/>
          <w:highlight w:val="none"/>
        </w:rPr>
        <w:fldChar w:fldCharType="end"/>
      </w:r>
    </w:p>
    <w:p w14:paraId="1D04A6ED">
      <w:pPr>
        <w:pStyle w:val="27"/>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_Toc1253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_Toc1253 \h </w:instrText>
      </w:r>
      <w:r>
        <w:rPr>
          <w:color w:val="auto"/>
          <w:highlight w:val="none"/>
        </w:rPr>
        <w:fldChar w:fldCharType="separate"/>
      </w:r>
      <w:r>
        <w:rPr>
          <w:color w:val="auto"/>
          <w:highlight w:val="none"/>
        </w:rPr>
        <w:t>30</w:t>
      </w:r>
      <w:r>
        <w:rPr>
          <w:color w:val="auto"/>
          <w:highlight w:val="none"/>
        </w:rPr>
        <w:fldChar w:fldCharType="end"/>
      </w:r>
      <w:r>
        <w:rPr>
          <w:rFonts w:hint="eastAsia" w:ascii="仿宋" w:hAnsi="仿宋" w:eastAsia="仿宋" w:cs="仿宋"/>
          <w:color w:val="auto"/>
          <w:highlight w:val="none"/>
        </w:rPr>
        <w:fldChar w:fldCharType="end"/>
      </w:r>
    </w:p>
    <w:p w14:paraId="3375A58A">
      <w:pPr>
        <w:pStyle w:val="27"/>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_Toc27487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第四章 服务标准和要求</w:t>
      </w:r>
      <w:r>
        <w:rPr>
          <w:color w:val="auto"/>
          <w:highlight w:val="none"/>
        </w:rPr>
        <w:tab/>
      </w:r>
      <w:r>
        <w:rPr>
          <w:color w:val="auto"/>
          <w:highlight w:val="none"/>
        </w:rPr>
        <w:fldChar w:fldCharType="begin"/>
      </w:r>
      <w:r>
        <w:rPr>
          <w:color w:val="auto"/>
          <w:highlight w:val="none"/>
        </w:rPr>
        <w:instrText xml:space="preserve"> PAGEREF _Toc27487 \h </w:instrText>
      </w:r>
      <w:r>
        <w:rPr>
          <w:color w:val="auto"/>
          <w:highlight w:val="none"/>
        </w:rPr>
        <w:fldChar w:fldCharType="separate"/>
      </w:r>
      <w:r>
        <w:rPr>
          <w:color w:val="auto"/>
          <w:highlight w:val="none"/>
        </w:rPr>
        <w:t>41</w:t>
      </w:r>
      <w:r>
        <w:rPr>
          <w:color w:val="auto"/>
          <w:highlight w:val="none"/>
        </w:rPr>
        <w:fldChar w:fldCharType="end"/>
      </w:r>
      <w:r>
        <w:rPr>
          <w:rFonts w:hint="eastAsia" w:ascii="仿宋" w:hAnsi="仿宋" w:eastAsia="仿宋" w:cs="仿宋"/>
          <w:color w:val="auto"/>
          <w:highlight w:val="none"/>
        </w:rPr>
        <w:fldChar w:fldCharType="end"/>
      </w:r>
    </w:p>
    <w:p w14:paraId="1E69DC2E">
      <w:pPr>
        <w:pStyle w:val="27"/>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_Toc1807 \h </w:instrText>
      </w:r>
      <w:r>
        <w:rPr>
          <w:color w:val="auto"/>
          <w:highlight w:val="none"/>
        </w:rPr>
        <w:fldChar w:fldCharType="separate"/>
      </w:r>
      <w:r>
        <w:rPr>
          <w:color w:val="auto"/>
          <w:highlight w:val="none"/>
        </w:rPr>
        <w:t>56</w:t>
      </w:r>
      <w:r>
        <w:rPr>
          <w:color w:val="auto"/>
          <w:highlight w:val="none"/>
        </w:rPr>
        <w:fldChar w:fldCharType="end"/>
      </w:r>
      <w:r>
        <w:rPr>
          <w:rFonts w:hint="eastAsia" w:ascii="仿宋" w:hAnsi="仿宋" w:eastAsia="仿宋" w:cs="仿宋"/>
          <w:color w:val="auto"/>
          <w:highlight w:val="none"/>
        </w:rPr>
        <w:fldChar w:fldCharType="end"/>
      </w:r>
    </w:p>
    <w:p w14:paraId="027A0F9B">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_Toc3990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目录</w:t>
      </w:r>
      <w:r>
        <w:rPr>
          <w:color w:val="auto"/>
          <w:highlight w:val="none"/>
        </w:rPr>
        <w:tab/>
      </w:r>
      <w:r>
        <w:rPr>
          <w:color w:val="auto"/>
          <w:highlight w:val="none"/>
        </w:rPr>
        <w:fldChar w:fldCharType="begin"/>
      </w:r>
      <w:r>
        <w:rPr>
          <w:color w:val="auto"/>
          <w:highlight w:val="none"/>
        </w:rPr>
        <w:instrText xml:space="preserve"> PAGEREF _Toc3990 \h </w:instrText>
      </w:r>
      <w:r>
        <w:rPr>
          <w:color w:val="auto"/>
          <w:highlight w:val="none"/>
        </w:rPr>
        <w:fldChar w:fldCharType="separate"/>
      </w:r>
      <w:r>
        <w:rPr>
          <w:color w:val="auto"/>
          <w:highlight w:val="none"/>
        </w:rPr>
        <w:t>57</w:t>
      </w:r>
      <w:r>
        <w:rPr>
          <w:color w:val="auto"/>
          <w:highlight w:val="none"/>
        </w:rPr>
        <w:fldChar w:fldCharType="end"/>
      </w:r>
      <w:r>
        <w:rPr>
          <w:rFonts w:hint="eastAsia" w:ascii="仿宋" w:hAnsi="仿宋" w:eastAsia="仿宋" w:cs="仿宋"/>
          <w:color w:val="auto"/>
          <w:highlight w:val="none"/>
        </w:rPr>
        <w:fldChar w:fldCharType="end"/>
      </w:r>
    </w:p>
    <w:p w14:paraId="492D9E2A">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_Toc18537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一、投标函</w:t>
      </w:r>
      <w:r>
        <w:rPr>
          <w:color w:val="auto"/>
          <w:highlight w:val="none"/>
        </w:rPr>
        <w:tab/>
      </w:r>
      <w:r>
        <w:rPr>
          <w:color w:val="auto"/>
          <w:highlight w:val="none"/>
        </w:rPr>
        <w:fldChar w:fldCharType="begin"/>
      </w:r>
      <w:r>
        <w:rPr>
          <w:color w:val="auto"/>
          <w:highlight w:val="none"/>
        </w:rPr>
        <w:instrText xml:space="preserve"> PAGEREF _Toc18537 \h </w:instrText>
      </w:r>
      <w:r>
        <w:rPr>
          <w:color w:val="auto"/>
          <w:highlight w:val="none"/>
        </w:rPr>
        <w:fldChar w:fldCharType="separate"/>
      </w:r>
      <w:r>
        <w:rPr>
          <w:color w:val="auto"/>
          <w:highlight w:val="none"/>
        </w:rPr>
        <w:t>58</w:t>
      </w:r>
      <w:r>
        <w:rPr>
          <w:color w:val="auto"/>
          <w:highlight w:val="none"/>
        </w:rPr>
        <w:fldChar w:fldCharType="end"/>
      </w:r>
      <w:r>
        <w:rPr>
          <w:rFonts w:hint="eastAsia" w:ascii="仿宋" w:hAnsi="仿宋" w:eastAsia="仿宋" w:cs="仿宋"/>
          <w:color w:val="auto"/>
          <w:highlight w:val="none"/>
        </w:rPr>
        <w:fldChar w:fldCharType="end"/>
      </w:r>
    </w:p>
    <w:p w14:paraId="5006291B">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_Toc14116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二、开标一览表</w:t>
      </w:r>
      <w:r>
        <w:rPr>
          <w:color w:val="auto"/>
          <w:highlight w:val="none"/>
        </w:rPr>
        <w:tab/>
      </w:r>
      <w:r>
        <w:rPr>
          <w:color w:val="auto"/>
          <w:highlight w:val="none"/>
        </w:rPr>
        <w:fldChar w:fldCharType="begin"/>
      </w:r>
      <w:r>
        <w:rPr>
          <w:color w:val="auto"/>
          <w:highlight w:val="none"/>
        </w:rPr>
        <w:instrText xml:space="preserve"> PAGEREF _Toc14116 \h </w:instrText>
      </w:r>
      <w:r>
        <w:rPr>
          <w:color w:val="auto"/>
          <w:highlight w:val="none"/>
        </w:rPr>
        <w:fldChar w:fldCharType="separate"/>
      </w:r>
      <w:r>
        <w:rPr>
          <w:color w:val="auto"/>
          <w:highlight w:val="none"/>
        </w:rPr>
        <w:t>59</w:t>
      </w:r>
      <w:r>
        <w:rPr>
          <w:color w:val="auto"/>
          <w:highlight w:val="none"/>
        </w:rPr>
        <w:fldChar w:fldCharType="end"/>
      </w:r>
      <w:r>
        <w:rPr>
          <w:rFonts w:hint="eastAsia" w:ascii="仿宋" w:hAnsi="仿宋" w:eastAsia="仿宋" w:cs="仿宋"/>
          <w:color w:val="auto"/>
          <w:highlight w:val="none"/>
        </w:rPr>
        <w:fldChar w:fldCharType="end"/>
      </w:r>
    </w:p>
    <w:p w14:paraId="0B8CD40C">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_Toc11784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三、投标价格明细表</w:t>
      </w:r>
      <w:r>
        <w:rPr>
          <w:color w:val="auto"/>
          <w:highlight w:val="none"/>
        </w:rPr>
        <w:tab/>
      </w:r>
      <w:r>
        <w:rPr>
          <w:color w:val="auto"/>
          <w:highlight w:val="none"/>
        </w:rPr>
        <w:fldChar w:fldCharType="begin"/>
      </w:r>
      <w:r>
        <w:rPr>
          <w:color w:val="auto"/>
          <w:highlight w:val="none"/>
        </w:rPr>
        <w:instrText xml:space="preserve"> PAGEREF _Toc11784 \h </w:instrText>
      </w:r>
      <w:r>
        <w:rPr>
          <w:color w:val="auto"/>
          <w:highlight w:val="none"/>
        </w:rPr>
        <w:fldChar w:fldCharType="separate"/>
      </w:r>
      <w:r>
        <w:rPr>
          <w:color w:val="auto"/>
          <w:highlight w:val="none"/>
        </w:rPr>
        <w:t>60</w:t>
      </w:r>
      <w:r>
        <w:rPr>
          <w:color w:val="auto"/>
          <w:highlight w:val="none"/>
        </w:rPr>
        <w:fldChar w:fldCharType="end"/>
      </w:r>
      <w:r>
        <w:rPr>
          <w:rFonts w:hint="eastAsia" w:ascii="仿宋" w:hAnsi="仿宋" w:eastAsia="仿宋" w:cs="仿宋"/>
          <w:color w:val="auto"/>
          <w:highlight w:val="none"/>
        </w:rPr>
        <w:fldChar w:fldCharType="end"/>
      </w:r>
    </w:p>
    <w:p w14:paraId="3FD468B0">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_Toc5136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四、商务条款偏离表</w:t>
      </w:r>
      <w:r>
        <w:rPr>
          <w:color w:val="auto"/>
          <w:highlight w:val="none"/>
        </w:rPr>
        <w:tab/>
      </w:r>
      <w:r>
        <w:rPr>
          <w:color w:val="auto"/>
          <w:highlight w:val="none"/>
        </w:rPr>
        <w:fldChar w:fldCharType="begin"/>
      </w:r>
      <w:r>
        <w:rPr>
          <w:color w:val="auto"/>
          <w:highlight w:val="none"/>
        </w:rPr>
        <w:instrText xml:space="preserve"> PAGEREF _Toc5136 \h </w:instrText>
      </w:r>
      <w:r>
        <w:rPr>
          <w:color w:val="auto"/>
          <w:highlight w:val="none"/>
        </w:rPr>
        <w:fldChar w:fldCharType="separate"/>
      </w:r>
      <w:r>
        <w:rPr>
          <w:color w:val="auto"/>
          <w:highlight w:val="none"/>
        </w:rPr>
        <w:t>61</w:t>
      </w:r>
      <w:r>
        <w:rPr>
          <w:color w:val="auto"/>
          <w:highlight w:val="none"/>
        </w:rPr>
        <w:fldChar w:fldCharType="end"/>
      </w:r>
      <w:r>
        <w:rPr>
          <w:rFonts w:hint="eastAsia" w:ascii="仿宋" w:hAnsi="仿宋" w:eastAsia="仿宋" w:cs="仿宋"/>
          <w:color w:val="auto"/>
          <w:highlight w:val="none"/>
        </w:rPr>
        <w:fldChar w:fldCharType="end"/>
      </w:r>
    </w:p>
    <w:p w14:paraId="595B29CF">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_Toc1549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五、技术条款偏离表</w:t>
      </w:r>
      <w:r>
        <w:rPr>
          <w:color w:val="auto"/>
          <w:highlight w:val="none"/>
        </w:rPr>
        <w:tab/>
      </w:r>
      <w:r>
        <w:rPr>
          <w:color w:val="auto"/>
          <w:highlight w:val="none"/>
        </w:rPr>
        <w:fldChar w:fldCharType="begin"/>
      </w:r>
      <w:r>
        <w:rPr>
          <w:color w:val="auto"/>
          <w:highlight w:val="none"/>
        </w:rPr>
        <w:instrText xml:space="preserve"> PAGEREF _Toc1549 \h </w:instrText>
      </w:r>
      <w:r>
        <w:rPr>
          <w:color w:val="auto"/>
          <w:highlight w:val="none"/>
        </w:rPr>
        <w:fldChar w:fldCharType="separate"/>
      </w:r>
      <w:r>
        <w:rPr>
          <w:color w:val="auto"/>
          <w:highlight w:val="none"/>
        </w:rPr>
        <w:t>62</w:t>
      </w:r>
      <w:r>
        <w:rPr>
          <w:color w:val="auto"/>
          <w:highlight w:val="none"/>
        </w:rPr>
        <w:fldChar w:fldCharType="end"/>
      </w:r>
      <w:r>
        <w:rPr>
          <w:rFonts w:hint="eastAsia" w:ascii="仿宋" w:hAnsi="仿宋" w:eastAsia="仿宋" w:cs="仿宋"/>
          <w:color w:val="auto"/>
          <w:highlight w:val="none"/>
        </w:rPr>
        <w:fldChar w:fldCharType="end"/>
      </w:r>
    </w:p>
    <w:p w14:paraId="67231384">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_Toc30533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六、法定代表人身份证明书</w:t>
      </w:r>
      <w:r>
        <w:rPr>
          <w:color w:val="auto"/>
          <w:highlight w:val="none"/>
        </w:rPr>
        <w:tab/>
      </w:r>
      <w:r>
        <w:rPr>
          <w:color w:val="auto"/>
          <w:highlight w:val="none"/>
        </w:rPr>
        <w:fldChar w:fldCharType="begin"/>
      </w:r>
      <w:r>
        <w:rPr>
          <w:color w:val="auto"/>
          <w:highlight w:val="none"/>
        </w:rPr>
        <w:instrText xml:space="preserve"> PAGEREF _Toc30533 \h </w:instrText>
      </w:r>
      <w:r>
        <w:rPr>
          <w:color w:val="auto"/>
          <w:highlight w:val="none"/>
        </w:rPr>
        <w:fldChar w:fldCharType="separate"/>
      </w:r>
      <w:r>
        <w:rPr>
          <w:color w:val="auto"/>
          <w:highlight w:val="none"/>
        </w:rPr>
        <w:t>63</w:t>
      </w:r>
      <w:r>
        <w:rPr>
          <w:color w:val="auto"/>
          <w:highlight w:val="none"/>
        </w:rPr>
        <w:fldChar w:fldCharType="end"/>
      </w:r>
      <w:r>
        <w:rPr>
          <w:rFonts w:hint="eastAsia" w:ascii="仿宋" w:hAnsi="仿宋" w:eastAsia="仿宋" w:cs="仿宋"/>
          <w:color w:val="auto"/>
          <w:highlight w:val="none"/>
        </w:rPr>
        <w:fldChar w:fldCharType="end"/>
      </w:r>
    </w:p>
    <w:p w14:paraId="5E921908">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_Toc29637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七、法定代表人授权委托书</w:t>
      </w:r>
      <w:r>
        <w:rPr>
          <w:color w:val="auto"/>
          <w:highlight w:val="none"/>
        </w:rPr>
        <w:tab/>
      </w:r>
      <w:r>
        <w:rPr>
          <w:color w:val="auto"/>
          <w:highlight w:val="none"/>
        </w:rPr>
        <w:fldChar w:fldCharType="begin"/>
      </w:r>
      <w:r>
        <w:rPr>
          <w:color w:val="auto"/>
          <w:highlight w:val="none"/>
        </w:rPr>
        <w:instrText xml:space="preserve"> PAGEREF _Toc29637 \h </w:instrText>
      </w:r>
      <w:r>
        <w:rPr>
          <w:color w:val="auto"/>
          <w:highlight w:val="none"/>
        </w:rPr>
        <w:fldChar w:fldCharType="separate"/>
      </w:r>
      <w:r>
        <w:rPr>
          <w:color w:val="auto"/>
          <w:highlight w:val="none"/>
        </w:rPr>
        <w:t>64</w:t>
      </w:r>
      <w:r>
        <w:rPr>
          <w:color w:val="auto"/>
          <w:highlight w:val="none"/>
        </w:rPr>
        <w:fldChar w:fldCharType="end"/>
      </w:r>
      <w:r>
        <w:rPr>
          <w:rFonts w:hint="eastAsia" w:ascii="仿宋" w:hAnsi="仿宋" w:eastAsia="仿宋" w:cs="仿宋"/>
          <w:color w:val="auto"/>
          <w:highlight w:val="none"/>
        </w:rPr>
        <w:fldChar w:fldCharType="end"/>
      </w:r>
    </w:p>
    <w:p w14:paraId="4B2BEF74">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_Toc23743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八、投标人基本情况</w:t>
      </w:r>
      <w:r>
        <w:rPr>
          <w:color w:val="auto"/>
          <w:highlight w:val="none"/>
        </w:rPr>
        <w:tab/>
      </w:r>
      <w:r>
        <w:rPr>
          <w:color w:val="auto"/>
          <w:highlight w:val="none"/>
        </w:rPr>
        <w:fldChar w:fldCharType="begin"/>
      </w:r>
      <w:r>
        <w:rPr>
          <w:color w:val="auto"/>
          <w:highlight w:val="none"/>
        </w:rPr>
        <w:instrText xml:space="preserve"> PAGEREF _Toc23743 \h </w:instrText>
      </w:r>
      <w:r>
        <w:rPr>
          <w:color w:val="auto"/>
          <w:highlight w:val="none"/>
        </w:rPr>
        <w:fldChar w:fldCharType="separate"/>
      </w:r>
      <w:r>
        <w:rPr>
          <w:color w:val="auto"/>
          <w:highlight w:val="none"/>
        </w:rPr>
        <w:t>65</w:t>
      </w:r>
      <w:r>
        <w:rPr>
          <w:color w:val="auto"/>
          <w:highlight w:val="none"/>
        </w:rPr>
        <w:fldChar w:fldCharType="end"/>
      </w:r>
      <w:r>
        <w:rPr>
          <w:rFonts w:hint="eastAsia" w:ascii="仿宋" w:hAnsi="仿宋" w:eastAsia="仿宋" w:cs="仿宋"/>
          <w:color w:val="auto"/>
          <w:highlight w:val="none"/>
        </w:rPr>
        <w:fldChar w:fldCharType="end"/>
      </w:r>
    </w:p>
    <w:p w14:paraId="6DA2A879">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_Toc22928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8.1、法人或者其他组织的营业执照等证明文件，自然人的身份证明</w:t>
      </w:r>
      <w:r>
        <w:rPr>
          <w:color w:val="auto"/>
          <w:highlight w:val="none"/>
        </w:rPr>
        <w:tab/>
      </w:r>
      <w:r>
        <w:rPr>
          <w:color w:val="auto"/>
          <w:highlight w:val="none"/>
        </w:rPr>
        <w:fldChar w:fldCharType="begin"/>
      </w:r>
      <w:r>
        <w:rPr>
          <w:color w:val="auto"/>
          <w:highlight w:val="none"/>
        </w:rPr>
        <w:instrText xml:space="preserve"> PAGEREF _Toc22928 \h </w:instrText>
      </w:r>
      <w:r>
        <w:rPr>
          <w:color w:val="auto"/>
          <w:highlight w:val="none"/>
        </w:rPr>
        <w:fldChar w:fldCharType="separate"/>
      </w:r>
      <w:r>
        <w:rPr>
          <w:color w:val="auto"/>
          <w:highlight w:val="none"/>
        </w:rPr>
        <w:t>66</w:t>
      </w:r>
      <w:r>
        <w:rPr>
          <w:color w:val="auto"/>
          <w:highlight w:val="none"/>
        </w:rPr>
        <w:fldChar w:fldCharType="end"/>
      </w:r>
      <w:r>
        <w:rPr>
          <w:rFonts w:hint="eastAsia" w:ascii="仿宋" w:hAnsi="仿宋" w:eastAsia="仿宋" w:cs="仿宋"/>
          <w:color w:val="auto"/>
          <w:highlight w:val="none"/>
        </w:rPr>
        <w:fldChar w:fldCharType="end"/>
      </w:r>
    </w:p>
    <w:p w14:paraId="52031DB0">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8.2、财务状况报告，依法缴纳税收和社会保障资金的相关材料</w:t>
      </w:r>
      <w:r>
        <w:rPr>
          <w:color w:val="auto"/>
          <w:highlight w:val="none"/>
        </w:rPr>
        <w:tab/>
      </w:r>
      <w:r>
        <w:rPr>
          <w:color w:val="auto"/>
          <w:highlight w:val="none"/>
        </w:rPr>
        <w:fldChar w:fldCharType="begin"/>
      </w:r>
      <w:r>
        <w:rPr>
          <w:color w:val="auto"/>
          <w:highlight w:val="none"/>
        </w:rPr>
        <w:instrText xml:space="preserve"> PAGEREF _Toc591 \h </w:instrText>
      </w:r>
      <w:r>
        <w:rPr>
          <w:color w:val="auto"/>
          <w:highlight w:val="none"/>
        </w:rPr>
        <w:fldChar w:fldCharType="separate"/>
      </w:r>
      <w:r>
        <w:rPr>
          <w:color w:val="auto"/>
          <w:highlight w:val="none"/>
        </w:rPr>
        <w:t>67</w:t>
      </w:r>
      <w:r>
        <w:rPr>
          <w:color w:val="auto"/>
          <w:highlight w:val="none"/>
        </w:rPr>
        <w:fldChar w:fldCharType="end"/>
      </w:r>
      <w:r>
        <w:rPr>
          <w:rFonts w:hint="eastAsia" w:ascii="仿宋" w:hAnsi="仿宋" w:eastAsia="仿宋" w:cs="仿宋"/>
          <w:color w:val="auto"/>
          <w:highlight w:val="none"/>
        </w:rPr>
        <w:fldChar w:fldCharType="end"/>
      </w:r>
    </w:p>
    <w:p w14:paraId="6990CDD3">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_Toc5928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8.3、具备履行合同所必需的设备和专业技术能力的证明材料</w:t>
      </w:r>
      <w:r>
        <w:rPr>
          <w:color w:val="auto"/>
          <w:highlight w:val="none"/>
        </w:rPr>
        <w:tab/>
      </w:r>
      <w:r>
        <w:rPr>
          <w:color w:val="auto"/>
          <w:highlight w:val="none"/>
        </w:rPr>
        <w:fldChar w:fldCharType="begin"/>
      </w:r>
      <w:r>
        <w:rPr>
          <w:color w:val="auto"/>
          <w:highlight w:val="none"/>
        </w:rPr>
        <w:instrText xml:space="preserve"> PAGEREF _Toc5928 \h </w:instrText>
      </w:r>
      <w:r>
        <w:rPr>
          <w:color w:val="auto"/>
          <w:highlight w:val="none"/>
        </w:rPr>
        <w:fldChar w:fldCharType="separate"/>
      </w:r>
      <w:r>
        <w:rPr>
          <w:color w:val="auto"/>
          <w:highlight w:val="none"/>
        </w:rPr>
        <w:t>68</w:t>
      </w:r>
      <w:r>
        <w:rPr>
          <w:color w:val="auto"/>
          <w:highlight w:val="none"/>
        </w:rPr>
        <w:fldChar w:fldCharType="end"/>
      </w:r>
      <w:r>
        <w:rPr>
          <w:rFonts w:hint="eastAsia" w:ascii="仿宋" w:hAnsi="仿宋" w:eastAsia="仿宋" w:cs="仿宋"/>
          <w:color w:val="auto"/>
          <w:highlight w:val="none"/>
        </w:rPr>
        <w:fldChar w:fldCharType="end"/>
      </w:r>
    </w:p>
    <w:p w14:paraId="08C59579">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_Toc9548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8.4、参加政府采购活动前3年内在经营活动中没有重大违法记录的书面声明</w:t>
      </w:r>
      <w:r>
        <w:rPr>
          <w:color w:val="auto"/>
          <w:highlight w:val="none"/>
        </w:rPr>
        <w:tab/>
      </w:r>
      <w:r>
        <w:rPr>
          <w:color w:val="auto"/>
          <w:highlight w:val="none"/>
        </w:rPr>
        <w:fldChar w:fldCharType="begin"/>
      </w:r>
      <w:r>
        <w:rPr>
          <w:color w:val="auto"/>
          <w:highlight w:val="none"/>
        </w:rPr>
        <w:instrText xml:space="preserve"> PAGEREF _Toc9548 \h </w:instrText>
      </w:r>
      <w:r>
        <w:rPr>
          <w:color w:val="auto"/>
          <w:highlight w:val="none"/>
        </w:rPr>
        <w:fldChar w:fldCharType="separate"/>
      </w:r>
      <w:r>
        <w:rPr>
          <w:color w:val="auto"/>
          <w:highlight w:val="none"/>
        </w:rPr>
        <w:t>69</w:t>
      </w:r>
      <w:r>
        <w:rPr>
          <w:color w:val="auto"/>
          <w:highlight w:val="none"/>
        </w:rPr>
        <w:fldChar w:fldCharType="end"/>
      </w:r>
      <w:r>
        <w:rPr>
          <w:rFonts w:hint="eastAsia" w:ascii="仿宋" w:hAnsi="仿宋" w:eastAsia="仿宋" w:cs="仿宋"/>
          <w:color w:val="auto"/>
          <w:highlight w:val="none"/>
        </w:rPr>
        <w:fldChar w:fldCharType="end"/>
      </w:r>
    </w:p>
    <w:p w14:paraId="13CB0662">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_Toc26372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8.5、具备法律、行政法规规定的其他条件的证明材料</w:t>
      </w:r>
      <w:r>
        <w:rPr>
          <w:color w:val="auto"/>
          <w:highlight w:val="none"/>
        </w:rPr>
        <w:tab/>
      </w:r>
      <w:r>
        <w:rPr>
          <w:color w:val="auto"/>
          <w:highlight w:val="none"/>
        </w:rPr>
        <w:fldChar w:fldCharType="begin"/>
      </w:r>
      <w:r>
        <w:rPr>
          <w:color w:val="auto"/>
          <w:highlight w:val="none"/>
        </w:rPr>
        <w:instrText xml:space="preserve"> PAGEREF _Toc26372 \h </w:instrText>
      </w:r>
      <w:r>
        <w:rPr>
          <w:color w:val="auto"/>
          <w:highlight w:val="none"/>
        </w:rPr>
        <w:fldChar w:fldCharType="separate"/>
      </w:r>
      <w:r>
        <w:rPr>
          <w:color w:val="auto"/>
          <w:highlight w:val="none"/>
        </w:rPr>
        <w:t>70</w:t>
      </w:r>
      <w:r>
        <w:rPr>
          <w:color w:val="auto"/>
          <w:highlight w:val="none"/>
        </w:rPr>
        <w:fldChar w:fldCharType="end"/>
      </w:r>
      <w:r>
        <w:rPr>
          <w:rFonts w:hint="eastAsia" w:ascii="仿宋" w:hAnsi="仿宋" w:eastAsia="仿宋" w:cs="仿宋"/>
          <w:color w:val="auto"/>
          <w:highlight w:val="none"/>
        </w:rPr>
        <w:fldChar w:fldCharType="end"/>
      </w:r>
    </w:p>
    <w:p w14:paraId="0B898F19">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_Toc9955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九、</w:t>
      </w:r>
      <w:r>
        <w:rPr>
          <w:rFonts w:hint="eastAsia" w:ascii="仿宋" w:hAnsi="仿宋" w:eastAsia="仿宋" w:cs="仿宋"/>
          <w:bCs/>
          <w:color w:val="auto"/>
          <w:szCs w:val="24"/>
          <w:highlight w:val="none"/>
          <w:shd w:val="clear" w:color="auto" w:fill="FFFFFF" w:themeFill="background1"/>
        </w:rPr>
        <w:t>投标人近三年类似项目业绩表</w:t>
      </w:r>
      <w:r>
        <w:rPr>
          <w:color w:val="auto"/>
          <w:highlight w:val="none"/>
        </w:rPr>
        <w:tab/>
      </w:r>
      <w:r>
        <w:rPr>
          <w:color w:val="auto"/>
          <w:highlight w:val="none"/>
        </w:rPr>
        <w:fldChar w:fldCharType="begin"/>
      </w:r>
      <w:r>
        <w:rPr>
          <w:color w:val="auto"/>
          <w:highlight w:val="none"/>
        </w:rPr>
        <w:instrText xml:space="preserve"> PAGEREF _Toc9955 \h </w:instrText>
      </w:r>
      <w:r>
        <w:rPr>
          <w:color w:val="auto"/>
          <w:highlight w:val="none"/>
        </w:rPr>
        <w:fldChar w:fldCharType="separate"/>
      </w:r>
      <w:r>
        <w:rPr>
          <w:color w:val="auto"/>
          <w:highlight w:val="none"/>
        </w:rPr>
        <w:t>73</w:t>
      </w:r>
      <w:r>
        <w:rPr>
          <w:color w:val="auto"/>
          <w:highlight w:val="none"/>
        </w:rPr>
        <w:fldChar w:fldCharType="end"/>
      </w:r>
      <w:r>
        <w:rPr>
          <w:rFonts w:hint="eastAsia" w:ascii="仿宋" w:hAnsi="仿宋" w:eastAsia="仿宋" w:cs="仿宋"/>
          <w:color w:val="auto"/>
          <w:highlight w:val="none"/>
        </w:rPr>
        <w:fldChar w:fldCharType="end"/>
      </w:r>
    </w:p>
    <w:p w14:paraId="653929F0">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_Toc15333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w:t>
      </w:r>
      <w:r>
        <w:rPr>
          <w:rFonts w:hint="eastAsia" w:ascii="仿宋" w:hAnsi="仿宋" w:eastAsia="仿宋" w:cs="仿宋"/>
          <w:bCs/>
          <w:color w:val="auto"/>
          <w:szCs w:val="24"/>
          <w:highlight w:val="none"/>
          <w:shd w:val="clear" w:color="auto" w:fill="FFFFFF" w:themeFill="background1"/>
        </w:rPr>
        <w:t>项目负责人简历表</w:t>
      </w:r>
      <w:r>
        <w:rPr>
          <w:color w:val="auto"/>
          <w:highlight w:val="none"/>
        </w:rPr>
        <w:tab/>
      </w:r>
      <w:r>
        <w:rPr>
          <w:color w:val="auto"/>
          <w:highlight w:val="none"/>
        </w:rPr>
        <w:fldChar w:fldCharType="begin"/>
      </w:r>
      <w:r>
        <w:rPr>
          <w:color w:val="auto"/>
          <w:highlight w:val="none"/>
        </w:rPr>
        <w:instrText xml:space="preserve"> PAGEREF _Toc15333 \h </w:instrText>
      </w:r>
      <w:r>
        <w:rPr>
          <w:color w:val="auto"/>
          <w:highlight w:val="none"/>
        </w:rPr>
        <w:fldChar w:fldCharType="separate"/>
      </w:r>
      <w:r>
        <w:rPr>
          <w:color w:val="auto"/>
          <w:highlight w:val="none"/>
        </w:rPr>
        <w:t>74</w:t>
      </w:r>
      <w:r>
        <w:rPr>
          <w:color w:val="auto"/>
          <w:highlight w:val="none"/>
        </w:rPr>
        <w:fldChar w:fldCharType="end"/>
      </w:r>
      <w:r>
        <w:rPr>
          <w:rFonts w:hint="eastAsia" w:ascii="仿宋" w:hAnsi="仿宋" w:eastAsia="仿宋" w:cs="仿宋"/>
          <w:color w:val="auto"/>
          <w:highlight w:val="none"/>
        </w:rPr>
        <w:fldChar w:fldCharType="end"/>
      </w:r>
    </w:p>
    <w:p w14:paraId="3A87EAD3">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_Toc5101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shd w:val="clear" w:color="auto" w:fill="FFFFFF" w:themeFill="background1"/>
        </w:rPr>
        <w:t>十一、拟派本项目服务人员情况表</w:t>
      </w:r>
      <w:r>
        <w:rPr>
          <w:color w:val="auto"/>
          <w:highlight w:val="none"/>
        </w:rPr>
        <w:tab/>
      </w:r>
      <w:r>
        <w:rPr>
          <w:color w:val="auto"/>
          <w:highlight w:val="none"/>
        </w:rPr>
        <w:fldChar w:fldCharType="begin"/>
      </w:r>
      <w:r>
        <w:rPr>
          <w:color w:val="auto"/>
          <w:highlight w:val="none"/>
        </w:rPr>
        <w:instrText xml:space="preserve"> PAGEREF _Toc5101 \h </w:instrText>
      </w:r>
      <w:r>
        <w:rPr>
          <w:color w:val="auto"/>
          <w:highlight w:val="none"/>
        </w:rPr>
        <w:fldChar w:fldCharType="separate"/>
      </w:r>
      <w:r>
        <w:rPr>
          <w:color w:val="auto"/>
          <w:highlight w:val="none"/>
        </w:rPr>
        <w:t>75</w:t>
      </w:r>
      <w:r>
        <w:rPr>
          <w:color w:val="auto"/>
          <w:highlight w:val="none"/>
        </w:rPr>
        <w:fldChar w:fldCharType="end"/>
      </w:r>
      <w:r>
        <w:rPr>
          <w:rFonts w:hint="eastAsia" w:ascii="仿宋" w:hAnsi="仿宋" w:eastAsia="仿宋" w:cs="仿宋"/>
          <w:color w:val="auto"/>
          <w:highlight w:val="none"/>
        </w:rPr>
        <w:fldChar w:fldCharType="end"/>
      </w:r>
    </w:p>
    <w:p w14:paraId="2819EEEC">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_Toc18396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十二、</w:t>
      </w:r>
      <w:r>
        <w:rPr>
          <w:rFonts w:hint="eastAsia" w:ascii="仿宋" w:hAnsi="仿宋" w:eastAsia="仿宋" w:cs="仿宋"/>
          <w:bCs/>
          <w:color w:val="auto"/>
          <w:szCs w:val="24"/>
          <w:highlight w:val="none"/>
          <w:shd w:val="clear" w:color="auto" w:fill="FFFFFF" w:themeFill="background1"/>
        </w:rPr>
        <w:t>服务方案</w:t>
      </w:r>
      <w:r>
        <w:rPr>
          <w:color w:val="auto"/>
          <w:highlight w:val="none"/>
        </w:rPr>
        <w:tab/>
      </w:r>
      <w:r>
        <w:rPr>
          <w:color w:val="auto"/>
          <w:highlight w:val="none"/>
        </w:rPr>
        <w:fldChar w:fldCharType="begin"/>
      </w:r>
      <w:r>
        <w:rPr>
          <w:color w:val="auto"/>
          <w:highlight w:val="none"/>
        </w:rPr>
        <w:instrText xml:space="preserve"> PAGEREF _Toc18396 \h </w:instrText>
      </w:r>
      <w:r>
        <w:rPr>
          <w:color w:val="auto"/>
          <w:highlight w:val="none"/>
        </w:rPr>
        <w:fldChar w:fldCharType="separate"/>
      </w:r>
      <w:r>
        <w:rPr>
          <w:color w:val="auto"/>
          <w:highlight w:val="none"/>
        </w:rPr>
        <w:t>76</w:t>
      </w:r>
      <w:r>
        <w:rPr>
          <w:color w:val="auto"/>
          <w:highlight w:val="none"/>
        </w:rPr>
        <w:fldChar w:fldCharType="end"/>
      </w:r>
      <w:r>
        <w:rPr>
          <w:rFonts w:hint="eastAsia" w:ascii="仿宋" w:hAnsi="仿宋" w:eastAsia="仿宋" w:cs="仿宋"/>
          <w:color w:val="auto"/>
          <w:highlight w:val="none"/>
        </w:rPr>
        <w:fldChar w:fldCharType="end"/>
      </w:r>
    </w:p>
    <w:p w14:paraId="6A400B77">
      <w:pPr>
        <w:pStyle w:val="3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_Toc13425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十三、其他需要提交的资料</w:t>
      </w:r>
      <w:r>
        <w:rPr>
          <w:color w:val="auto"/>
          <w:highlight w:val="none"/>
        </w:rPr>
        <w:tab/>
      </w:r>
      <w:r>
        <w:rPr>
          <w:color w:val="auto"/>
          <w:highlight w:val="none"/>
        </w:rPr>
        <w:fldChar w:fldCharType="begin"/>
      </w:r>
      <w:r>
        <w:rPr>
          <w:color w:val="auto"/>
          <w:highlight w:val="none"/>
        </w:rPr>
        <w:instrText xml:space="preserve"> PAGEREF _Toc13425 \h </w:instrText>
      </w:r>
      <w:r>
        <w:rPr>
          <w:color w:val="auto"/>
          <w:highlight w:val="none"/>
        </w:rPr>
        <w:fldChar w:fldCharType="separate"/>
      </w:r>
      <w:r>
        <w:rPr>
          <w:color w:val="auto"/>
          <w:highlight w:val="none"/>
        </w:rPr>
        <w:t>76</w:t>
      </w:r>
      <w:r>
        <w:rPr>
          <w:color w:val="auto"/>
          <w:highlight w:val="none"/>
        </w:rPr>
        <w:fldChar w:fldCharType="end"/>
      </w:r>
      <w:r>
        <w:rPr>
          <w:rFonts w:hint="eastAsia" w:ascii="仿宋" w:hAnsi="仿宋" w:eastAsia="仿宋" w:cs="仿宋"/>
          <w:color w:val="auto"/>
          <w:highlight w:val="none"/>
        </w:rPr>
        <w:fldChar w:fldCharType="end"/>
      </w:r>
    </w:p>
    <w:p w14:paraId="1614ADFC">
      <w:pPr>
        <w:pStyle w:val="27"/>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_Toc24631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_Toc24631 \h </w:instrText>
      </w:r>
      <w:r>
        <w:rPr>
          <w:color w:val="auto"/>
          <w:highlight w:val="none"/>
        </w:rPr>
        <w:fldChar w:fldCharType="separate"/>
      </w:r>
      <w:r>
        <w:rPr>
          <w:color w:val="auto"/>
          <w:highlight w:val="none"/>
        </w:rPr>
        <w:t>77</w:t>
      </w:r>
      <w:r>
        <w:rPr>
          <w:color w:val="auto"/>
          <w:highlight w:val="none"/>
        </w:rPr>
        <w:fldChar w:fldCharType="end"/>
      </w:r>
      <w:r>
        <w:rPr>
          <w:rFonts w:hint="eastAsia" w:ascii="仿宋" w:hAnsi="仿宋" w:eastAsia="仿宋" w:cs="仿宋"/>
          <w:color w:val="auto"/>
          <w:highlight w:val="none"/>
        </w:rPr>
        <w:fldChar w:fldCharType="end"/>
      </w:r>
    </w:p>
    <w:p w14:paraId="7CD2DE69">
      <w:pPr>
        <w:pStyle w:val="27"/>
        <w:tabs>
          <w:tab w:val="right" w:leader="dot" w:pos="9344"/>
        </w:tabs>
        <w:spacing w:line="276" w:lineRule="auto"/>
        <w:rPr>
          <w:rFonts w:hint="eastAsia" w:ascii="仿宋" w:hAnsi="仿宋" w:eastAsia="仿宋" w:cs="仿宋"/>
          <w:b/>
          <w:bCs/>
          <w:color w:val="auto"/>
          <w:highlight w:val="none"/>
        </w:rPr>
        <w:sectPr>
          <w:footerReference r:id="rId6" w:type="first"/>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r>
        <w:rPr>
          <w:rFonts w:hint="eastAsia" w:ascii="仿宋" w:hAnsi="仿宋" w:eastAsia="仿宋" w:cs="仿宋"/>
          <w:color w:val="auto"/>
          <w:highlight w:val="none"/>
        </w:rPr>
        <w:fldChar w:fldCharType="end"/>
      </w:r>
    </w:p>
    <w:p w14:paraId="7A518CD3">
      <w:pPr>
        <w:keepNext/>
        <w:widowControl/>
        <w:spacing w:after="120" w:afterLines="50" w:line="360" w:lineRule="auto"/>
        <w:jc w:val="center"/>
        <w:outlineLvl w:val="0"/>
        <w:rPr>
          <w:rFonts w:hint="eastAsia" w:ascii="仿宋" w:hAnsi="仿宋" w:eastAsia="仿宋" w:cs="仿宋"/>
          <w:b/>
          <w:bCs/>
          <w:color w:val="auto"/>
          <w:sz w:val="28"/>
          <w:szCs w:val="28"/>
          <w:highlight w:val="none"/>
        </w:rPr>
      </w:pPr>
      <w:bookmarkStart w:id="0" w:name="_Toc1186"/>
      <w:r>
        <w:rPr>
          <w:rFonts w:hint="eastAsia" w:ascii="仿宋" w:hAnsi="仿宋" w:eastAsia="仿宋" w:cs="仿宋"/>
          <w:b/>
          <w:bCs/>
          <w:color w:val="auto"/>
          <w:sz w:val="28"/>
          <w:szCs w:val="28"/>
          <w:highlight w:val="none"/>
          <w:lang w:eastAsia="zh-CN"/>
        </w:rPr>
        <w:t>新疆维吾尔自治区地质局地球物理化学探矿中心钻探服务项目第四批</w:t>
      </w:r>
      <w:r>
        <w:rPr>
          <w:rFonts w:hint="eastAsia" w:ascii="仿宋" w:hAnsi="仿宋" w:eastAsia="仿宋" w:cs="仿宋"/>
          <w:b/>
          <w:bCs/>
          <w:color w:val="auto"/>
          <w:sz w:val="28"/>
          <w:szCs w:val="28"/>
          <w:highlight w:val="none"/>
        </w:rPr>
        <w:t>公开招标公告</w:t>
      </w:r>
      <w:bookmarkEnd w:id="0"/>
    </w:p>
    <w:p w14:paraId="1A38DB6B">
      <w:pPr>
        <w:widowControl/>
        <w:spacing w:before="60" w:after="60"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项目概况</w:t>
      </w:r>
    </w:p>
    <w:p w14:paraId="78B16DD9">
      <w:pPr>
        <w:widowControl/>
        <w:spacing w:before="60" w:after="60"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新疆维吾尔自治区地质局地球物理化学探矿中心钻探服务项目第四批</w:t>
      </w:r>
      <w:r>
        <w:rPr>
          <w:rFonts w:hint="eastAsia" w:ascii="仿宋" w:hAnsi="仿宋" w:eastAsia="仿宋" w:cs="仿宋"/>
          <w:color w:val="auto"/>
          <w:kern w:val="0"/>
          <w:sz w:val="24"/>
          <w:szCs w:val="24"/>
          <w:highlight w:val="none"/>
        </w:rPr>
        <w:t xml:space="preserve"> 招标项目的潜在投标人应在政采云平台http://www.zcygov.cn获取招标文件，并于</w:t>
      </w:r>
      <w:r>
        <w:rPr>
          <w:rFonts w:hint="eastAsia" w:ascii="仿宋" w:hAnsi="仿宋" w:eastAsia="仿宋" w:cs="仿宋"/>
          <w:color w:val="auto"/>
          <w:kern w:val="0"/>
          <w:sz w:val="24"/>
          <w:szCs w:val="24"/>
          <w:highlight w:val="none"/>
          <w:lang w:eastAsia="zh-CN"/>
        </w:rPr>
        <w:t>2025年07月24日11:00</w:t>
      </w:r>
      <w:r>
        <w:rPr>
          <w:rFonts w:hint="eastAsia" w:ascii="仿宋" w:hAnsi="仿宋" w:eastAsia="仿宋" w:cs="仿宋"/>
          <w:color w:val="auto"/>
          <w:kern w:val="0"/>
          <w:sz w:val="24"/>
          <w:szCs w:val="24"/>
          <w:highlight w:val="none"/>
        </w:rPr>
        <w:t>（北京时间）前递交投标文件。</w:t>
      </w:r>
    </w:p>
    <w:p w14:paraId="359659DB">
      <w:pPr>
        <w:widowControl/>
        <w:spacing w:before="60" w:after="60"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一、项目基本情况</w:t>
      </w:r>
    </w:p>
    <w:p w14:paraId="777A13B6">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招标方式：公开招标</w:t>
      </w:r>
    </w:p>
    <w:p w14:paraId="4ECCDB28">
      <w:pPr>
        <w:widowControl/>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项目编号：</w:t>
      </w:r>
      <w:r>
        <w:rPr>
          <w:rFonts w:hint="eastAsia" w:ascii="仿宋" w:hAnsi="仿宋" w:eastAsia="仿宋" w:cs="仿宋"/>
          <w:color w:val="auto"/>
          <w:kern w:val="0"/>
          <w:sz w:val="24"/>
          <w:szCs w:val="24"/>
          <w:highlight w:val="none"/>
          <w:lang w:eastAsia="zh-CN"/>
        </w:rPr>
        <w:t>xsj-20250530</w:t>
      </w:r>
    </w:p>
    <w:p w14:paraId="7E444CFA">
      <w:pPr>
        <w:widowControl/>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eastAsia="zh-CN"/>
        </w:rPr>
        <w:t>新疆维吾尔自治区地质局地球物理化学探矿中心钻探服务项目第四批</w:t>
      </w:r>
    </w:p>
    <w:p w14:paraId="474F410E">
      <w:pPr>
        <w:widowControl/>
        <w:spacing w:before="60" w:after="60" w:line="360" w:lineRule="auto"/>
        <w:ind w:firstLine="48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预算金额（元）：17</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55000</w:t>
      </w:r>
    </w:p>
    <w:p w14:paraId="7AFCBB91">
      <w:pPr>
        <w:widowControl/>
        <w:spacing w:before="60" w:after="60" w:line="360" w:lineRule="auto"/>
        <w:ind w:firstLine="48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最高限价（元）：</w:t>
      </w:r>
      <w:r>
        <w:rPr>
          <w:rFonts w:hint="eastAsia" w:ascii="仿宋" w:hAnsi="仿宋" w:eastAsia="仿宋" w:cs="仿宋"/>
          <w:color w:val="auto"/>
          <w:kern w:val="0"/>
          <w:sz w:val="24"/>
          <w:szCs w:val="24"/>
          <w:highlight w:val="none"/>
          <w:lang w:val="en-US" w:eastAsia="zh-CN"/>
        </w:rPr>
        <w:t>8850000、5120000、3885000</w:t>
      </w:r>
    </w:p>
    <w:p w14:paraId="4B58211A">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采购需求：</w:t>
      </w:r>
      <w:r>
        <w:rPr>
          <w:rFonts w:hint="eastAsia" w:ascii="仿宋" w:hAnsi="仿宋" w:eastAsia="仿宋" w:cs="仿宋"/>
          <w:color w:val="auto"/>
          <w:kern w:val="0"/>
          <w:sz w:val="24"/>
          <w:szCs w:val="24"/>
          <w:highlight w:val="none"/>
        </w:rPr>
        <w:tab/>
      </w:r>
    </w:p>
    <w:p w14:paraId="58517D34">
      <w:pPr>
        <w:widowControl/>
        <w:tabs>
          <w:tab w:val="left" w:pos="7125"/>
        </w:tabs>
        <w:spacing w:before="60" w:after="60" w:line="360" w:lineRule="auto"/>
        <w:ind w:firstLine="48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标项</w:t>
      </w:r>
      <w:r>
        <w:rPr>
          <w:rFonts w:hint="eastAsia" w:ascii="仿宋" w:hAnsi="仿宋" w:eastAsia="仿宋" w:cs="仿宋"/>
          <w:b/>
          <w:bCs/>
          <w:color w:val="auto"/>
          <w:kern w:val="0"/>
          <w:sz w:val="24"/>
          <w:szCs w:val="24"/>
          <w:highlight w:val="none"/>
          <w:lang w:val="en-US" w:eastAsia="zh-CN"/>
        </w:rPr>
        <w:t>一</w:t>
      </w:r>
    </w:p>
    <w:p w14:paraId="34155F55">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标项名称:</w:t>
      </w:r>
      <w:r>
        <w:rPr>
          <w:rFonts w:hint="eastAsia" w:ascii="仿宋" w:hAnsi="仿宋" w:eastAsia="仿宋" w:cs="仿宋"/>
          <w:color w:val="auto"/>
          <w:kern w:val="0"/>
          <w:sz w:val="24"/>
          <w:szCs w:val="24"/>
          <w:highlight w:val="none"/>
          <w:lang w:eastAsia="zh-CN"/>
        </w:rPr>
        <w:t>新疆维吾尔自治区地质局地球物理化学探矿中心钻探服务项目第四批（</w:t>
      </w:r>
      <w:r>
        <w:rPr>
          <w:rFonts w:hint="eastAsia" w:ascii="仿宋" w:hAnsi="仿宋" w:eastAsia="仿宋" w:cs="仿宋"/>
          <w:color w:val="auto"/>
          <w:kern w:val="0"/>
          <w:sz w:val="24"/>
          <w:szCs w:val="24"/>
          <w:highlight w:val="none"/>
          <w:lang w:val="en-US" w:eastAsia="zh-CN"/>
        </w:rPr>
        <w:t>1包</w:t>
      </w:r>
      <w:r>
        <w:rPr>
          <w:rFonts w:hint="eastAsia" w:ascii="仿宋" w:hAnsi="仿宋" w:eastAsia="仿宋" w:cs="仿宋"/>
          <w:color w:val="auto"/>
          <w:kern w:val="0"/>
          <w:sz w:val="24"/>
          <w:szCs w:val="24"/>
          <w:highlight w:val="none"/>
          <w:lang w:eastAsia="zh-CN"/>
        </w:rPr>
        <w:t>）</w:t>
      </w:r>
    </w:p>
    <w:p w14:paraId="11063B38">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数量:不限</w:t>
      </w:r>
    </w:p>
    <w:p w14:paraId="05E899F0">
      <w:pPr>
        <w:widowControl/>
        <w:tabs>
          <w:tab w:val="left" w:pos="7125"/>
        </w:tabs>
        <w:spacing w:before="60" w:after="60" w:line="360" w:lineRule="auto"/>
        <w:ind w:firstLine="48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预算金额（元）: </w:t>
      </w:r>
      <w:r>
        <w:rPr>
          <w:rFonts w:hint="eastAsia" w:ascii="仿宋" w:hAnsi="仿宋" w:eastAsia="仿宋" w:cs="仿宋"/>
          <w:color w:val="auto"/>
          <w:kern w:val="0"/>
          <w:sz w:val="24"/>
          <w:szCs w:val="24"/>
          <w:highlight w:val="none"/>
          <w:lang w:val="en-US" w:eastAsia="zh-CN"/>
        </w:rPr>
        <w:t>8850000</w:t>
      </w:r>
    </w:p>
    <w:p w14:paraId="06DC08F0">
      <w:pPr>
        <w:widowControl/>
        <w:tabs>
          <w:tab w:val="left" w:pos="7125"/>
        </w:tabs>
        <w:spacing w:before="60" w:after="60" w:line="360" w:lineRule="auto"/>
        <w:ind w:firstLine="48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简要规格描述或项目基本概况介绍、用途：新疆阿克陶县吐根曼苏一带金铜矿普查（增量）钻探服务</w:t>
      </w:r>
    </w:p>
    <w:p w14:paraId="766781C1">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p w14:paraId="3EDFDB31">
      <w:pPr>
        <w:widowControl/>
        <w:tabs>
          <w:tab w:val="left" w:pos="7125"/>
        </w:tabs>
        <w:spacing w:before="60" w:after="60" w:line="360" w:lineRule="auto"/>
        <w:ind w:firstLine="48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标项</w:t>
      </w:r>
      <w:r>
        <w:rPr>
          <w:rFonts w:hint="eastAsia" w:ascii="仿宋" w:hAnsi="仿宋" w:eastAsia="仿宋" w:cs="仿宋"/>
          <w:b/>
          <w:bCs/>
          <w:color w:val="auto"/>
          <w:kern w:val="0"/>
          <w:sz w:val="24"/>
          <w:szCs w:val="24"/>
          <w:highlight w:val="none"/>
          <w:lang w:val="en-US" w:eastAsia="zh-CN"/>
        </w:rPr>
        <w:t>二</w:t>
      </w:r>
    </w:p>
    <w:p w14:paraId="7D786D33">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标项名称:</w:t>
      </w:r>
      <w:r>
        <w:rPr>
          <w:rFonts w:hint="eastAsia" w:ascii="仿宋" w:hAnsi="仿宋" w:eastAsia="仿宋" w:cs="仿宋"/>
          <w:color w:val="auto"/>
          <w:kern w:val="0"/>
          <w:sz w:val="24"/>
          <w:szCs w:val="24"/>
          <w:highlight w:val="none"/>
          <w:lang w:eastAsia="zh-CN"/>
        </w:rPr>
        <w:t>新疆维吾尔自治区地质局地球物理化学探矿中心钻探服务项目第四批（</w:t>
      </w:r>
      <w:r>
        <w:rPr>
          <w:rFonts w:hint="eastAsia" w:ascii="仿宋" w:hAnsi="仿宋" w:eastAsia="仿宋" w:cs="仿宋"/>
          <w:color w:val="auto"/>
          <w:kern w:val="0"/>
          <w:sz w:val="24"/>
          <w:szCs w:val="24"/>
          <w:highlight w:val="none"/>
          <w:lang w:val="en-US" w:eastAsia="zh-CN"/>
        </w:rPr>
        <w:t>2包</w:t>
      </w:r>
      <w:r>
        <w:rPr>
          <w:rFonts w:hint="eastAsia" w:ascii="仿宋" w:hAnsi="仿宋" w:eastAsia="仿宋" w:cs="仿宋"/>
          <w:color w:val="auto"/>
          <w:kern w:val="0"/>
          <w:sz w:val="24"/>
          <w:szCs w:val="24"/>
          <w:highlight w:val="none"/>
          <w:lang w:eastAsia="zh-CN"/>
        </w:rPr>
        <w:t>）</w:t>
      </w:r>
    </w:p>
    <w:p w14:paraId="7650A9DD">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数量:不限</w:t>
      </w:r>
    </w:p>
    <w:p w14:paraId="46002765">
      <w:pPr>
        <w:widowControl/>
        <w:tabs>
          <w:tab w:val="left" w:pos="7125"/>
        </w:tabs>
        <w:spacing w:before="60" w:after="60" w:line="360" w:lineRule="auto"/>
        <w:ind w:firstLine="48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预算金额（元）: </w:t>
      </w:r>
      <w:r>
        <w:rPr>
          <w:rFonts w:hint="eastAsia" w:ascii="仿宋" w:hAnsi="仿宋" w:eastAsia="仿宋" w:cs="仿宋"/>
          <w:color w:val="auto"/>
          <w:kern w:val="0"/>
          <w:sz w:val="24"/>
          <w:szCs w:val="24"/>
          <w:highlight w:val="none"/>
          <w:lang w:val="en-US" w:eastAsia="zh-CN"/>
        </w:rPr>
        <w:t>5120000</w:t>
      </w:r>
    </w:p>
    <w:p w14:paraId="7D972B33">
      <w:pPr>
        <w:widowControl/>
        <w:tabs>
          <w:tab w:val="left" w:pos="7125"/>
        </w:tabs>
        <w:spacing w:before="60" w:after="60" w:line="360" w:lineRule="auto"/>
        <w:ind w:firstLine="48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简要规格描述或项目基本概况介绍、用途：新疆福海县阔克锌铜矿普查（增量）地表钻探服务</w:t>
      </w:r>
    </w:p>
    <w:p w14:paraId="28A25B88">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p w14:paraId="73D4F4AC">
      <w:pPr>
        <w:widowControl/>
        <w:tabs>
          <w:tab w:val="left" w:pos="7125"/>
        </w:tabs>
        <w:spacing w:before="60" w:after="60" w:line="360" w:lineRule="auto"/>
        <w:ind w:firstLine="48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标项</w:t>
      </w:r>
      <w:r>
        <w:rPr>
          <w:rFonts w:hint="eastAsia" w:ascii="仿宋" w:hAnsi="仿宋" w:eastAsia="仿宋" w:cs="仿宋"/>
          <w:b/>
          <w:bCs/>
          <w:color w:val="auto"/>
          <w:kern w:val="0"/>
          <w:sz w:val="24"/>
          <w:szCs w:val="24"/>
          <w:highlight w:val="none"/>
          <w:lang w:val="en-US" w:eastAsia="zh-CN"/>
        </w:rPr>
        <w:t>三</w:t>
      </w:r>
    </w:p>
    <w:p w14:paraId="1836D117">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标项名称:</w:t>
      </w:r>
      <w:r>
        <w:rPr>
          <w:rFonts w:hint="eastAsia" w:ascii="仿宋" w:hAnsi="仿宋" w:eastAsia="仿宋" w:cs="仿宋"/>
          <w:color w:val="auto"/>
          <w:kern w:val="0"/>
          <w:sz w:val="24"/>
          <w:szCs w:val="24"/>
          <w:highlight w:val="none"/>
          <w:lang w:eastAsia="zh-CN"/>
        </w:rPr>
        <w:t>新疆维吾尔自治区地质局地球物理化学探矿中心钻探服务项目第四批（</w:t>
      </w:r>
      <w:r>
        <w:rPr>
          <w:rFonts w:hint="eastAsia" w:ascii="仿宋" w:hAnsi="仿宋" w:eastAsia="仿宋" w:cs="仿宋"/>
          <w:color w:val="auto"/>
          <w:kern w:val="0"/>
          <w:sz w:val="24"/>
          <w:szCs w:val="24"/>
          <w:highlight w:val="none"/>
          <w:lang w:val="en-US" w:eastAsia="zh-CN"/>
        </w:rPr>
        <w:t>3包</w:t>
      </w:r>
      <w:r>
        <w:rPr>
          <w:rFonts w:hint="eastAsia" w:ascii="仿宋" w:hAnsi="仿宋" w:eastAsia="仿宋" w:cs="仿宋"/>
          <w:color w:val="auto"/>
          <w:kern w:val="0"/>
          <w:sz w:val="24"/>
          <w:szCs w:val="24"/>
          <w:highlight w:val="none"/>
          <w:lang w:eastAsia="zh-CN"/>
        </w:rPr>
        <w:t>）</w:t>
      </w:r>
    </w:p>
    <w:p w14:paraId="34D20628">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数量:不限</w:t>
      </w:r>
    </w:p>
    <w:p w14:paraId="60B14B1B">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预算金额（元）: </w:t>
      </w:r>
      <w:r>
        <w:rPr>
          <w:rFonts w:hint="eastAsia" w:ascii="仿宋" w:hAnsi="仿宋" w:eastAsia="仿宋" w:cs="仿宋"/>
          <w:color w:val="auto"/>
          <w:kern w:val="0"/>
          <w:sz w:val="24"/>
          <w:szCs w:val="24"/>
          <w:highlight w:val="none"/>
          <w:lang w:val="en-US" w:eastAsia="zh-CN"/>
        </w:rPr>
        <w:t>3885000</w:t>
      </w:r>
    </w:p>
    <w:p w14:paraId="3154DF9C">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简要规格描述或项目基本概况介绍、用途：</w:t>
      </w:r>
      <w:r>
        <w:rPr>
          <w:rFonts w:hint="eastAsia" w:ascii="仿宋" w:hAnsi="仿宋" w:eastAsia="仿宋" w:cs="仿宋"/>
          <w:color w:val="auto"/>
          <w:kern w:val="0"/>
          <w:sz w:val="24"/>
          <w:szCs w:val="24"/>
          <w:highlight w:val="none"/>
          <w:lang w:val="en-US" w:eastAsia="zh-CN"/>
        </w:rPr>
        <w:t>新疆托里县哈图-科克塔勒一带金矿普查</w:t>
      </w:r>
      <w:r>
        <w:rPr>
          <w:rFonts w:hint="eastAsia" w:ascii="仿宋" w:hAnsi="仿宋" w:eastAsia="仿宋" w:cs="仿宋"/>
          <w:color w:val="auto"/>
          <w:kern w:val="0"/>
          <w:sz w:val="24"/>
          <w:szCs w:val="24"/>
          <w:highlight w:val="none"/>
        </w:rPr>
        <w:t>（增量）</w:t>
      </w:r>
      <w:r>
        <w:rPr>
          <w:rFonts w:hint="eastAsia" w:ascii="仿宋" w:hAnsi="仿宋" w:eastAsia="仿宋" w:cs="仿宋"/>
          <w:color w:val="auto"/>
          <w:kern w:val="0"/>
          <w:sz w:val="24"/>
          <w:szCs w:val="24"/>
          <w:highlight w:val="none"/>
          <w:lang w:val="en-US" w:eastAsia="zh-CN"/>
        </w:rPr>
        <w:t>地表钻探服务</w:t>
      </w:r>
    </w:p>
    <w:p w14:paraId="44C5007E">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p w14:paraId="68F81668">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shd w:val="clear" w:color="auto" w:fill="FFFFFF" w:themeFill="background1"/>
          <w:lang w:eastAsia="zh-CN"/>
        </w:rPr>
      </w:pPr>
      <w:r>
        <w:rPr>
          <w:rFonts w:hint="eastAsia" w:ascii="仿宋" w:hAnsi="仿宋" w:eastAsia="仿宋" w:cs="仿宋"/>
          <w:color w:val="auto"/>
          <w:kern w:val="0"/>
          <w:sz w:val="24"/>
          <w:szCs w:val="24"/>
          <w:highlight w:val="none"/>
        </w:rPr>
        <w:t>合同履约期限：</w:t>
      </w:r>
      <w:r>
        <w:rPr>
          <w:rFonts w:hint="eastAsia" w:ascii="仿宋" w:hAnsi="仿宋" w:eastAsia="仿宋" w:cs="仿宋"/>
          <w:color w:val="auto"/>
          <w:kern w:val="0"/>
          <w:sz w:val="24"/>
          <w:szCs w:val="24"/>
          <w:highlight w:val="none"/>
          <w:lang w:val="en-US" w:eastAsia="zh-CN"/>
        </w:rPr>
        <w:t>【标项1】自签订合同日起至2025年10月30日【标项2】自签订合同日起至2025年9月30日【标项3】自签订合同日起至2025年9月30日</w:t>
      </w:r>
    </w:p>
    <w:p w14:paraId="4457565C">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不接受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联合体投标。</w:t>
      </w:r>
    </w:p>
    <w:p w14:paraId="2A61264B">
      <w:pPr>
        <w:widowControl/>
        <w:spacing w:before="60" w:after="60"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二、申请人的资格要求：</w:t>
      </w:r>
    </w:p>
    <w:p w14:paraId="1FB5FF22">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1.满足《中华人民共和国政府采购法》第二十二条规定；</w:t>
      </w:r>
    </w:p>
    <w:p w14:paraId="16305CA1">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2.落实政府采购政策需满足的资格要求：符合促进中小企业发展政策的，依据规定给予评审优惠。</w:t>
      </w:r>
    </w:p>
    <w:p w14:paraId="7FE0406A">
      <w:pPr>
        <w:keepNext w:val="0"/>
        <w:keepLines w:val="0"/>
        <w:pageBreakBefore w:val="0"/>
        <w:widowControl/>
        <w:kinsoku/>
        <w:wordWrap w:val="0"/>
        <w:overflowPunct/>
        <w:topLinePunct w:val="0"/>
        <w:autoSpaceDE/>
        <w:autoSpaceDN/>
        <w:bidi w:val="0"/>
        <w:adjustRightInd/>
        <w:snapToGrid/>
        <w:spacing w:before="60" w:after="60" w:line="360" w:lineRule="auto"/>
        <w:ind w:firstLine="482"/>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3.本项目的特定资格要求：</w:t>
      </w:r>
      <w:r>
        <w:rPr>
          <w:rFonts w:hint="eastAsia" w:ascii="仿宋" w:hAnsi="仿宋" w:eastAsia="仿宋" w:cs="仿宋"/>
          <w:color w:val="auto"/>
          <w:kern w:val="0"/>
          <w:sz w:val="24"/>
          <w:highlight w:val="none"/>
        </w:rPr>
        <w:t>如在“信用中国”网站（www.creditchina.gov.cn）、中国政府采购网（www.ccgp.gov.cn）等渠道被列入失信被执行人、重大税收违法失信主体、政府采购严重违法失信行为记录名单及其它不符合《中华人民共和国政府采购法》第二十二条规定条件的</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，尚在处罚期内的将被拒绝参加本次</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活动。</w:t>
      </w:r>
    </w:p>
    <w:p w14:paraId="2CBE7F40">
      <w:pPr>
        <w:widowControl/>
        <w:spacing w:before="60" w:after="60"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p>
    <w:p w14:paraId="087BA461">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时间：202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07</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03</w:t>
      </w:r>
      <w:r>
        <w:rPr>
          <w:rFonts w:hint="eastAsia" w:ascii="仿宋" w:hAnsi="仿宋" w:eastAsia="仿宋" w:cs="仿宋"/>
          <w:color w:val="auto"/>
          <w:kern w:val="0"/>
          <w:sz w:val="24"/>
          <w:szCs w:val="24"/>
          <w:highlight w:val="none"/>
        </w:rPr>
        <w:t>日至202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07</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日，每天上午00:00至1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:00，下午1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:00至23:59（北京时间，法定节假日除外）</w:t>
      </w:r>
    </w:p>
    <w:p w14:paraId="11C86AA9">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地点：政采云平台http://www.zcygov.cn</w:t>
      </w:r>
    </w:p>
    <w:p w14:paraId="41EE59B8">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方式：免费获取，</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val="en-US" w:eastAsia="zh-CN"/>
        </w:rPr>
        <w:t>登录</w:t>
      </w:r>
      <w:r>
        <w:rPr>
          <w:rFonts w:hint="eastAsia" w:ascii="仿宋" w:hAnsi="仿宋" w:eastAsia="仿宋" w:cs="仿宋"/>
          <w:color w:val="auto"/>
          <w:kern w:val="0"/>
          <w:sz w:val="24"/>
          <w:szCs w:val="24"/>
          <w:highlight w:val="none"/>
        </w:rPr>
        <w:t>政采云账户（网址：https://www.zcygov.cn/）,在线申请获取招标文件（登录政府采购云平台→采购项目→获取采购文件→申请，审核通过后可下载招标文件，如有操作性问题，可与政采云在线客服进行咨询，咨询电话：95763</w:t>
      </w:r>
    </w:p>
    <w:p w14:paraId="179FC21A">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售价（元）：0</w:t>
      </w:r>
    </w:p>
    <w:p w14:paraId="778EE0C3">
      <w:pPr>
        <w:widowControl/>
        <w:spacing w:before="60" w:after="60"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四、提交投标文件截止时间、开标时间和地点</w:t>
      </w:r>
    </w:p>
    <w:p w14:paraId="73728197">
      <w:pPr>
        <w:widowControl/>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提交投标文件截止时间：</w:t>
      </w:r>
      <w:r>
        <w:rPr>
          <w:rFonts w:hint="eastAsia" w:ascii="仿宋" w:hAnsi="仿宋" w:eastAsia="仿宋" w:cs="仿宋"/>
          <w:color w:val="auto"/>
          <w:kern w:val="0"/>
          <w:sz w:val="24"/>
          <w:szCs w:val="24"/>
          <w:highlight w:val="none"/>
          <w:lang w:eastAsia="zh-CN"/>
        </w:rPr>
        <w:t>2025年07月24日11:00（北京时间）</w:t>
      </w:r>
    </w:p>
    <w:p w14:paraId="0B4FC5A7">
      <w:pPr>
        <w:widowControl/>
        <w:spacing w:before="60" w:after="60" w:line="360" w:lineRule="auto"/>
        <w:ind w:firstLine="480"/>
        <w:jc w:val="left"/>
        <w:rPr>
          <w:rStyle w:val="213"/>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投标地点：</w:t>
      </w:r>
      <w:bookmarkStart w:id="1" w:name="_Hlk129254397"/>
      <w:r>
        <w:rPr>
          <w:rStyle w:val="213"/>
          <w:rFonts w:hint="eastAsia" w:ascii="仿宋" w:hAnsi="仿宋" w:eastAsia="仿宋" w:cs="仿宋"/>
          <w:color w:val="auto"/>
          <w:sz w:val="24"/>
          <w:szCs w:val="24"/>
          <w:highlight w:val="none"/>
          <w:lang w:eastAsia="zh-CN"/>
        </w:rPr>
        <w:t>投标人</w:t>
      </w:r>
      <w:r>
        <w:rPr>
          <w:rStyle w:val="213"/>
          <w:rFonts w:hint="eastAsia" w:ascii="仿宋" w:hAnsi="仿宋" w:eastAsia="仿宋" w:cs="仿宋"/>
          <w:color w:val="auto"/>
          <w:sz w:val="24"/>
          <w:szCs w:val="24"/>
          <w:highlight w:val="none"/>
        </w:rPr>
        <w:t>应在此之前将加密的投标文件上传至政采云平台对应位置 (逾期送达或不符合规定的投标文件将被拒绝接收)。</w:t>
      </w:r>
      <w:bookmarkEnd w:id="1"/>
    </w:p>
    <w:p w14:paraId="2B613935">
      <w:pPr>
        <w:widowControl/>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开标时间：</w:t>
      </w:r>
      <w:r>
        <w:rPr>
          <w:rFonts w:hint="eastAsia" w:ascii="仿宋" w:hAnsi="仿宋" w:eastAsia="仿宋" w:cs="仿宋"/>
          <w:color w:val="auto"/>
          <w:kern w:val="0"/>
          <w:sz w:val="24"/>
          <w:szCs w:val="24"/>
          <w:highlight w:val="none"/>
          <w:lang w:eastAsia="zh-CN"/>
        </w:rPr>
        <w:t>2025年07月24日11:00（北京时间）</w:t>
      </w:r>
    </w:p>
    <w:p w14:paraId="331C87B4">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开标地点：</w:t>
      </w:r>
      <w:r>
        <w:rPr>
          <w:rStyle w:val="213"/>
          <w:rFonts w:hint="eastAsia" w:ascii="仿宋" w:hAnsi="仿宋" w:eastAsia="仿宋" w:cs="仿宋"/>
          <w:color w:val="auto"/>
          <w:sz w:val="24"/>
          <w:szCs w:val="24"/>
          <w:highlight w:val="none"/>
        </w:rPr>
        <w:t>政采云平台https://www.zcygov.cn/不见面开标大厅</w:t>
      </w:r>
    </w:p>
    <w:p w14:paraId="0968F2A0">
      <w:pPr>
        <w:widowControl/>
        <w:spacing w:before="60" w:after="60"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五、公告期限</w:t>
      </w:r>
    </w:p>
    <w:p w14:paraId="50EB0326">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C74D264">
      <w:pPr>
        <w:widowControl/>
        <w:spacing w:before="60" w:after="60"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六、其他补充事宜</w:t>
      </w:r>
    </w:p>
    <w:p w14:paraId="0BA5642E">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1.本项目实行电子招投标，</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须登录政采云平台申请获取采购文件，并需要使用CA锁，登录政采云电子投标客户端制作投标文件，若</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参与投标,自行承担与投标有关的一切费用。</w:t>
      </w:r>
    </w:p>
    <w:p w14:paraId="7769A20C">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应在开标前确保是新疆维吾尔自治区政府采购网正式注册入库的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，并完成CA数字证书申领。因未注册入库、未办理CA数字证书等原因造成无法投标或投标失败等后果的由</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自行承担</w:t>
      </w:r>
      <w:r>
        <w:rPr>
          <w:rFonts w:hint="eastAsia" w:ascii="仿宋" w:hAnsi="仿宋" w:eastAsia="仿宋" w:cs="仿宋"/>
          <w:color w:val="auto"/>
          <w:kern w:val="0"/>
          <w:sz w:val="24"/>
          <w:szCs w:val="24"/>
          <w:highlight w:val="none"/>
          <w:lang w:eastAsia="zh-CN"/>
        </w:rPr>
        <w:t>。</w:t>
      </w:r>
    </w:p>
    <w:p w14:paraId="308C2351">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可前往新疆政府采购网（http://www.ccgp-xinjiang.gov.cn/）下载专区，下载政采云电子投标客户端，安装完成后，可通过账号密码或CA登录客户端进行投标文件制作。</w:t>
      </w:r>
    </w:p>
    <w:p w14:paraId="3375C79F">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在开标时须携带制作加密电子投标文件所使用的CA锁，电脑须提前配置好浏览器，以便开标时在线解密。</w:t>
      </w:r>
    </w:p>
    <w:p w14:paraId="4FBB9EB7">
      <w:pPr>
        <w:widowControl/>
        <w:tabs>
          <w:tab w:val="left" w:pos="7125"/>
        </w:tabs>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5.投标</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应当在投标截止时间前，将生成的“电子加密投标文件”上传递交至“政府采购云平台”，投标截止时间以后上传递交的投标文件将被“政府采购云平台”拒收。</w:t>
      </w:r>
    </w:p>
    <w:p w14:paraId="4B2D5703">
      <w:pPr>
        <w:widowControl/>
        <w:tabs>
          <w:tab w:val="left" w:pos="7125"/>
        </w:tabs>
        <w:spacing w:before="60" w:after="60" w:line="360" w:lineRule="auto"/>
        <w:ind w:firstLine="48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七、对本次采购提出询问，请按以下方式联系</w:t>
      </w:r>
    </w:p>
    <w:p w14:paraId="09782B9B">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1.采购人信息</w:t>
      </w:r>
    </w:p>
    <w:p w14:paraId="17665F9C">
      <w:pPr>
        <w:widowControl/>
        <w:spacing w:before="60" w:after="60" w:line="360" w:lineRule="auto"/>
        <w:ind w:firstLine="48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eastAsia="zh-CN"/>
        </w:rPr>
        <w:t>新疆维吾尔自治区地质局地球物理化学探矿中心</w:t>
      </w:r>
    </w:p>
    <w:p w14:paraId="695C603C">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地址：乌鲁木齐市沙依巴克区西虹西路1018号</w:t>
      </w:r>
    </w:p>
    <w:p w14:paraId="2817EA87">
      <w:pPr>
        <w:widowControl/>
        <w:spacing w:before="60" w:after="60" w:line="360" w:lineRule="auto"/>
        <w:ind w:firstLine="48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项目联系人：徐辉</w:t>
      </w:r>
    </w:p>
    <w:p w14:paraId="65D90C0E">
      <w:pPr>
        <w:widowControl/>
        <w:spacing w:before="60" w:after="60" w:line="360" w:lineRule="auto"/>
        <w:ind w:firstLine="48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项目联系方式：13899961421</w:t>
      </w:r>
    </w:p>
    <w:p w14:paraId="6713E224">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p>
    <w:p w14:paraId="539A1AE4">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名称：新疆新世纪招标有限公司</w:t>
      </w:r>
    </w:p>
    <w:p w14:paraId="2A3A58BA">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地址：乌鲁木齐市新兴街20号凤凰科技大厦五楼</w:t>
      </w:r>
    </w:p>
    <w:p w14:paraId="32FD51FD">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联系方式：</w:t>
      </w:r>
      <w:r>
        <w:rPr>
          <w:rFonts w:hint="eastAsia" w:ascii="仿宋" w:hAnsi="仿宋" w:eastAsia="仿宋" w:cs="仿宋"/>
          <w:color w:val="auto"/>
          <w:kern w:val="0"/>
          <w:sz w:val="24"/>
          <w:szCs w:val="24"/>
          <w:highlight w:val="none"/>
          <w:lang w:val="en-US" w:eastAsia="zh-CN"/>
        </w:rPr>
        <w:t>17609941920、13109969229</w:t>
      </w:r>
    </w:p>
    <w:p w14:paraId="79CDA967">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3.项目联系方式</w:t>
      </w:r>
    </w:p>
    <w:p w14:paraId="6C23A6E1">
      <w:pPr>
        <w:widowControl/>
        <w:spacing w:before="60" w:after="60" w:line="360" w:lineRule="auto"/>
        <w:ind w:firstLine="48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项目联系人：</w:t>
      </w:r>
      <w:r>
        <w:rPr>
          <w:rFonts w:hint="eastAsia" w:ascii="仿宋" w:hAnsi="仿宋" w:eastAsia="仿宋" w:cs="仿宋"/>
          <w:color w:val="auto"/>
          <w:kern w:val="0"/>
          <w:sz w:val="24"/>
          <w:szCs w:val="24"/>
          <w:highlight w:val="none"/>
          <w:lang w:val="en-US" w:eastAsia="zh-CN"/>
        </w:rPr>
        <w:t>闵俊瑀、宋金龙</w:t>
      </w:r>
    </w:p>
    <w:p w14:paraId="7A2E1E4B">
      <w:pPr>
        <w:widowControl/>
        <w:spacing w:before="60" w:after="60" w:line="360" w:lineRule="auto"/>
        <w:ind w:firstLine="48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项目联系方式：</w:t>
      </w:r>
      <w:r>
        <w:rPr>
          <w:rFonts w:hint="eastAsia" w:ascii="仿宋" w:hAnsi="仿宋" w:eastAsia="仿宋" w:cs="仿宋"/>
          <w:color w:val="auto"/>
          <w:kern w:val="0"/>
          <w:sz w:val="24"/>
          <w:szCs w:val="24"/>
          <w:highlight w:val="none"/>
          <w:lang w:val="en-US" w:eastAsia="zh-CN"/>
        </w:rPr>
        <w:t>17609941920、13109969229</w:t>
      </w:r>
    </w:p>
    <w:p w14:paraId="73EDD95A">
      <w:pPr>
        <w:widowControl/>
        <w:spacing w:before="60" w:after="60"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B3EA91D">
      <w:pPr>
        <w:spacing w:line="440" w:lineRule="exact"/>
        <w:jc w:val="center"/>
        <w:outlineLvl w:val="0"/>
        <w:rPr>
          <w:rFonts w:hint="eastAsia" w:ascii="仿宋" w:hAnsi="仿宋" w:eastAsia="仿宋" w:cs="仿宋"/>
          <w:b/>
          <w:color w:val="auto"/>
          <w:sz w:val="28"/>
          <w:szCs w:val="28"/>
          <w:highlight w:val="none"/>
        </w:rPr>
      </w:pPr>
      <w:bookmarkStart w:id="2" w:name="_Toc31961"/>
      <w:r>
        <w:rPr>
          <w:rFonts w:hint="eastAsia" w:ascii="仿宋" w:hAnsi="仿宋" w:eastAsia="仿宋" w:cs="仿宋"/>
          <w:b/>
          <w:color w:val="auto"/>
          <w:sz w:val="28"/>
          <w:szCs w:val="28"/>
          <w:highlight w:val="none"/>
        </w:rPr>
        <w:t>投标人须知前附表</w:t>
      </w:r>
      <w:bookmarkEnd w:id="2"/>
    </w:p>
    <w:tbl>
      <w:tblPr>
        <w:tblStyle w:val="42"/>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97"/>
        <w:gridCol w:w="1633"/>
        <w:gridCol w:w="6850"/>
      </w:tblGrid>
      <w:tr w14:paraId="22C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tcBorders>
              <w:top w:val="single" w:color="auto" w:sz="4" w:space="0"/>
              <w:left w:val="single" w:color="auto" w:sz="4" w:space="0"/>
              <w:bottom w:val="single" w:color="auto" w:sz="4" w:space="0"/>
              <w:right w:val="single" w:color="auto" w:sz="4" w:space="0"/>
            </w:tcBorders>
            <w:shd w:val="clear" w:color="auto" w:fill="FFFFFF"/>
            <w:vAlign w:val="center"/>
          </w:tcPr>
          <w:p w14:paraId="07834A4D">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项号</w:t>
            </w:r>
          </w:p>
        </w:tc>
        <w:tc>
          <w:tcPr>
            <w:tcW w:w="84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FC6E70B">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编列内容</w:t>
            </w:r>
          </w:p>
        </w:tc>
      </w:tr>
      <w:tr w14:paraId="263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restart"/>
            <w:tcBorders>
              <w:top w:val="single" w:color="auto" w:sz="4" w:space="0"/>
            </w:tcBorders>
            <w:shd w:val="clear" w:color="auto" w:fill="FFFFFF"/>
            <w:vAlign w:val="center"/>
          </w:tcPr>
          <w:p w14:paraId="335463E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3" w:type="dxa"/>
            <w:tcBorders>
              <w:top w:val="single" w:color="auto" w:sz="4" w:space="0"/>
            </w:tcBorders>
            <w:shd w:val="clear" w:color="auto" w:fill="FFFFFF"/>
            <w:vAlign w:val="center"/>
          </w:tcPr>
          <w:p w14:paraId="6889571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850" w:type="dxa"/>
            <w:tcBorders>
              <w:top w:val="single" w:color="auto" w:sz="4" w:space="0"/>
            </w:tcBorders>
            <w:shd w:val="clear" w:color="auto" w:fill="FFFFFF"/>
            <w:vAlign w:val="center"/>
          </w:tcPr>
          <w:p w14:paraId="52820973">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新疆维吾尔自治区地质局地球物理化学探矿中心钻探服务项目第四批</w:t>
            </w:r>
          </w:p>
        </w:tc>
      </w:tr>
      <w:tr w14:paraId="4BCA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57A2DC10">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0773DC3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6850" w:type="dxa"/>
            <w:shd w:val="clear" w:color="auto" w:fill="FFFFFF"/>
            <w:vAlign w:val="center"/>
          </w:tcPr>
          <w:p w14:paraId="14CDD530">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xsj-20250530</w:t>
            </w:r>
          </w:p>
        </w:tc>
      </w:tr>
      <w:tr w14:paraId="7EC6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233378E8">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68BB11CA">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w:t>
            </w:r>
          </w:p>
        </w:tc>
        <w:tc>
          <w:tcPr>
            <w:tcW w:w="6850" w:type="dxa"/>
            <w:shd w:val="clear" w:color="auto" w:fill="FFFFFF"/>
            <w:vAlign w:val="center"/>
          </w:tcPr>
          <w:p w14:paraId="2DD05AE7">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标项一：新疆维吾尔自治区地质局地球物理化学探矿中心钻探服务项目第四批（1包）</w:t>
            </w:r>
          </w:p>
          <w:p w14:paraId="465B2623">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标项二：新疆维吾尔自治区地质局地球物理化学探矿中心钻探服务项目第四批（2包）</w:t>
            </w:r>
          </w:p>
          <w:p w14:paraId="3D36D107">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标项三：新疆维吾尔自治区地质局地球物理化学探矿中心钻探服务项目第四批（3包）</w:t>
            </w:r>
          </w:p>
        </w:tc>
      </w:tr>
      <w:tr w14:paraId="394D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4AA80B5D">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44B81D1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850" w:type="dxa"/>
            <w:shd w:val="clear" w:color="auto" w:fill="FFFFFF"/>
            <w:vAlign w:val="center"/>
          </w:tcPr>
          <w:p w14:paraId="3BE1BB6F">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新疆维吾尔自治区地质局地球物理化学探矿中心</w:t>
            </w:r>
          </w:p>
        </w:tc>
      </w:tr>
      <w:tr w14:paraId="569A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4ADEC214">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0774439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6850" w:type="dxa"/>
            <w:shd w:val="clear" w:color="auto" w:fill="FFFFFF"/>
            <w:vAlign w:val="center"/>
          </w:tcPr>
          <w:p w14:paraId="5D85233F">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新疆新世纪招标有限公司</w:t>
            </w:r>
          </w:p>
        </w:tc>
      </w:tr>
      <w:tr w14:paraId="1E62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393187D7">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48A902A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w:t>
            </w:r>
          </w:p>
        </w:tc>
        <w:tc>
          <w:tcPr>
            <w:tcW w:w="6850" w:type="dxa"/>
            <w:shd w:val="clear" w:color="auto" w:fill="FFFFFF"/>
            <w:vAlign w:val="center"/>
          </w:tcPr>
          <w:p w14:paraId="7BC12CCE">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财政资金</w:t>
            </w:r>
          </w:p>
        </w:tc>
      </w:tr>
      <w:tr w14:paraId="55AE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3E3AD518">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2E97303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采购预算金额</w:t>
            </w:r>
          </w:p>
        </w:tc>
        <w:tc>
          <w:tcPr>
            <w:tcW w:w="6850" w:type="dxa"/>
            <w:shd w:val="clear" w:color="auto" w:fill="FFFFFF"/>
            <w:vAlign w:val="center"/>
          </w:tcPr>
          <w:p w14:paraId="21454250">
            <w:pPr>
              <w:widowControl/>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标项一：885.00万</w:t>
            </w:r>
          </w:p>
          <w:p w14:paraId="348BEAB3">
            <w:pPr>
              <w:widowControl/>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标项二：512.00万</w:t>
            </w:r>
          </w:p>
          <w:p w14:paraId="59E38898">
            <w:pPr>
              <w:widowControl/>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标项三：388.50万</w:t>
            </w:r>
          </w:p>
        </w:tc>
      </w:tr>
      <w:tr w14:paraId="3FD3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515BB944">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6D8EA3F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服务周期</w:t>
            </w:r>
          </w:p>
        </w:tc>
        <w:tc>
          <w:tcPr>
            <w:tcW w:w="6850" w:type="dxa"/>
            <w:shd w:val="clear" w:color="auto" w:fill="FFFFFF"/>
            <w:vAlign w:val="center"/>
          </w:tcPr>
          <w:p w14:paraId="61C51E52">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标项一：自签订合同日起至2025年10月30日</w:t>
            </w:r>
          </w:p>
          <w:p w14:paraId="36ADCC60">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标项二：自签订合同日起至2025年9月30日</w:t>
            </w:r>
          </w:p>
          <w:p w14:paraId="1D793729">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标项三：自签订合同日起至2025年9月30日</w:t>
            </w:r>
          </w:p>
        </w:tc>
      </w:tr>
      <w:tr w14:paraId="7858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3F4E8E3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3" w:type="dxa"/>
            <w:shd w:val="clear" w:color="auto" w:fill="FFFFFF"/>
            <w:vAlign w:val="center"/>
          </w:tcPr>
          <w:p w14:paraId="78B9DAA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采购范围</w:t>
            </w:r>
          </w:p>
        </w:tc>
        <w:tc>
          <w:tcPr>
            <w:tcW w:w="6850" w:type="dxa"/>
            <w:shd w:val="clear" w:color="auto" w:fill="FFFFFF"/>
            <w:vAlign w:val="center"/>
          </w:tcPr>
          <w:p w14:paraId="41ECC7C3">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新疆维吾尔自治区地质局地球物理化学探矿中心钻探服务项目第四批范围内的所有工作内容，关于采购范围的详细说明见招标文件第四章“服务标准和要求”。</w:t>
            </w:r>
          </w:p>
        </w:tc>
      </w:tr>
      <w:tr w14:paraId="0787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restart"/>
            <w:shd w:val="clear" w:color="auto" w:fill="FFFFFF"/>
            <w:vAlign w:val="center"/>
          </w:tcPr>
          <w:p w14:paraId="1FAA192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33" w:type="dxa"/>
            <w:shd w:val="clear" w:color="auto" w:fill="FFFFFF"/>
            <w:vAlign w:val="center"/>
          </w:tcPr>
          <w:p w14:paraId="7F04EB1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p>
        </w:tc>
        <w:tc>
          <w:tcPr>
            <w:tcW w:w="6850" w:type="dxa"/>
            <w:shd w:val="clear" w:color="auto" w:fill="FFFFFF"/>
            <w:vAlign w:val="center"/>
          </w:tcPr>
          <w:p w14:paraId="5816F96D">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公开招标</w:t>
            </w:r>
          </w:p>
        </w:tc>
      </w:tr>
      <w:tr w14:paraId="3A5F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6DEE2808">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36ABE80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资格审查方式</w:t>
            </w:r>
          </w:p>
        </w:tc>
        <w:tc>
          <w:tcPr>
            <w:tcW w:w="6850" w:type="dxa"/>
            <w:shd w:val="clear" w:color="auto" w:fill="FFFFFF"/>
            <w:vAlign w:val="center"/>
          </w:tcPr>
          <w:p w14:paraId="0E0F5A7D">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资格后审</w:t>
            </w:r>
          </w:p>
        </w:tc>
      </w:tr>
      <w:tr w14:paraId="6B63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restart"/>
            <w:shd w:val="clear" w:color="auto" w:fill="FFFFFF"/>
            <w:vAlign w:val="center"/>
          </w:tcPr>
          <w:p w14:paraId="0F3BA69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633" w:type="dxa"/>
            <w:shd w:val="clear" w:color="auto" w:fill="FFFFFF"/>
            <w:vAlign w:val="center"/>
          </w:tcPr>
          <w:p w14:paraId="221C1A8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6850" w:type="dxa"/>
            <w:shd w:val="clear" w:color="auto" w:fill="FFFFFF"/>
            <w:vAlign w:val="center"/>
          </w:tcPr>
          <w:p w14:paraId="2BA53C95">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综合评分法</w:t>
            </w:r>
          </w:p>
        </w:tc>
      </w:tr>
      <w:tr w14:paraId="612D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6A8930B4">
            <w:pPr>
              <w:spacing w:line="360" w:lineRule="auto"/>
              <w:jc w:val="center"/>
              <w:rPr>
                <w:rFonts w:hint="eastAsia" w:ascii="仿宋" w:hAnsi="仿宋" w:eastAsia="仿宋" w:cs="仿宋"/>
                <w:color w:val="auto"/>
                <w:sz w:val="24"/>
                <w:szCs w:val="24"/>
                <w:highlight w:val="none"/>
              </w:rPr>
            </w:pPr>
          </w:p>
        </w:tc>
        <w:tc>
          <w:tcPr>
            <w:tcW w:w="1633" w:type="dxa"/>
            <w:shd w:val="clear" w:color="auto" w:fill="FFFFFF"/>
            <w:vAlign w:val="center"/>
          </w:tcPr>
          <w:p w14:paraId="51D2A8A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定标方法</w:t>
            </w:r>
          </w:p>
        </w:tc>
        <w:tc>
          <w:tcPr>
            <w:tcW w:w="6850" w:type="dxa"/>
            <w:shd w:val="clear" w:color="auto" w:fill="FFFFFF"/>
            <w:vAlign w:val="center"/>
          </w:tcPr>
          <w:p w14:paraId="0215F0ED">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评标小组推荐三名中标候选人</w:t>
            </w:r>
          </w:p>
        </w:tc>
      </w:tr>
      <w:tr w14:paraId="72E2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6BD53AF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633" w:type="dxa"/>
            <w:shd w:val="clear" w:color="auto" w:fill="FFFFFF"/>
            <w:vAlign w:val="center"/>
          </w:tcPr>
          <w:p w14:paraId="019D25C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投标人最低资格条件和能力</w:t>
            </w:r>
          </w:p>
        </w:tc>
        <w:tc>
          <w:tcPr>
            <w:tcW w:w="6850" w:type="dxa"/>
            <w:shd w:val="clear" w:color="auto" w:fill="FFFFFF"/>
            <w:vAlign w:val="center"/>
          </w:tcPr>
          <w:p w14:paraId="60817D96">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14:paraId="4191FFAB">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2.落实政府采购政策需满足的资格要求：符合促进中小企业发展政策的，依据规定给予评审优惠。</w:t>
            </w:r>
          </w:p>
          <w:p w14:paraId="3AA626A7">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招标活动。</w:t>
            </w:r>
          </w:p>
        </w:tc>
      </w:tr>
      <w:tr w14:paraId="2009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6D048D7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633" w:type="dxa"/>
            <w:shd w:val="clear" w:color="auto" w:fill="FFFFFF"/>
            <w:vAlign w:val="center"/>
          </w:tcPr>
          <w:p w14:paraId="2C4A3DB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招标文件费</w:t>
            </w:r>
          </w:p>
        </w:tc>
        <w:tc>
          <w:tcPr>
            <w:tcW w:w="6850" w:type="dxa"/>
            <w:shd w:val="clear" w:color="auto" w:fill="FFFFFF"/>
            <w:vAlign w:val="center"/>
          </w:tcPr>
          <w:p w14:paraId="35A0CB53">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0元/份</w:t>
            </w:r>
          </w:p>
        </w:tc>
      </w:tr>
      <w:tr w14:paraId="6AFB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0033255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633" w:type="dxa"/>
            <w:shd w:val="clear" w:color="auto" w:fill="FFFFFF"/>
            <w:vAlign w:val="center"/>
          </w:tcPr>
          <w:p w14:paraId="7AB13D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6850" w:type="dxa"/>
            <w:shd w:val="clear" w:color="auto" w:fill="FFFFFF"/>
            <w:vAlign w:val="center"/>
          </w:tcPr>
          <w:p w14:paraId="4606FE70">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标项一：170001元整</w:t>
            </w:r>
          </w:p>
          <w:p w14:paraId="3552659C">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标项二：100002元整</w:t>
            </w:r>
          </w:p>
          <w:p w14:paraId="692350AD">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标项三：70003元整</w:t>
            </w:r>
          </w:p>
          <w:p w14:paraId="044C80BA">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注：详见第一章3.4.2条</w:t>
            </w:r>
          </w:p>
        </w:tc>
      </w:tr>
      <w:tr w14:paraId="0F0E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45A6A54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633" w:type="dxa"/>
            <w:shd w:val="clear" w:color="auto" w:fill="FFFFFF"/>
            <w:vAlign w:val="center"/>
          </w:tcPr>
          <w:p w14:paraId="4DF26BAB">
            <w:pPr>
              <w:keepNext/>
              <w:widowControl/>
              <w:spacing w:line="360" w:lineRule="auto"/>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w:t>
            </w:r>
          </w:p>
        </w:tc>
        <w:tc>
          <w:tcPr>
            <w:tcW w:w="6850" w:type="dxa"/>
            <w:shd w:val="clear" w:color="auto" w:fill="FFFFFF"/>
            <w:vAlign w:val="center"/>
          </w:tcPr>
          <w:p w14:paraId="70C7AAC4">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☑不组织</w:t>
            </w:r>
          </w:p>
          <w:p w14:paraId="42CCA43B">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□统一组织</w:t>
            </w:r>
          </w:p>
        </w:tc>
      </w:tr>
      <w:tr w14:paraId="6626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0C2E8AB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633" w:type="dxa"/>
            <w:shd w:val="clear" w:color="auto" w:fill="FFFFFF"/>
            <w:vAlign w:val="center"/>
          </w:tcPr>
          <w:p w14:paraId="39CF021E">
            <w:pPr>
              <w:keepNext/>
              <w:widowControl/>
              <w:spacing w:line="360" w:lineRule="auto"/>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p>
        </w:tc>
        <w:tc>
          <w:tcPr>
            <w:tcW w:w="6850" w:type="dxa"/>
            <w:shd w:val="clear" w:color="auto" w:fill="FFFFFF"/>
            <w:vAlign w:val="center"/>
          </w:tcPr>
          <w:p w14:paraId="1B4FDED5">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w:t>
            </w:r>
          </w:p>
          <w:p w14:paraId="2BF9489B">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tc>
      </w:tr>
      <w:tr w14:paraId="7486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28758C1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633" w:type="dxa"/>
            <w:shd w:val="clear" w:color="auto" w:fill="FFFFFF"/>
            <w:vAlign w:val="center"/>
          </w:tcPr>
          <w:p w14:paraId="7580D57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6850" w:type="dxa"/>
            <w:shd w:val="clear" w:color="auto" w:fill="FFFFFF"/>
            <w:vAlign w:val="center"/>
          </w:tcPr>
          <w:p w14:paraId="10201B7E">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提出询问的，应当在投标文件递交截止时间15日前以书面形式（加盖公章）递交至新疆新世纪招标有限公司，否则采购人不作任何解释。</w:t>
            </w:r>
          </w:p>
          <w:p w14:paraId="0606C3EE">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提出质疑的，应当在获取招标文件或者招标公告期限届满之日起7个工作日内一次性以书面形式（按照财政部制定的质疑函范本编写）提出并递交至采购代理机构。</w:t>
            </w:r>
          </w:p>
          <w:p w14:paraId="2AC56547">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质疑接收人：闵俊瑀；联系方式：0991-4661782。</w:t>
            </w:r>
          </w:p>
          <w:p w14:paraId="400DB9B1">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7416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42C5479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633" w:type="dxa"/>
            <w:shd w:val="clear" w:color="auto" w:fill="FFFFFF"/>
            <w:vAlign w:val="center"/>
          </w:tcPr>
          <w:p w14:paraId="058A2D2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w:t>
            </w:r>
          </w:p>
        </w:tc>
        <w:tc>
          <w:tcPr>
            <w:tcW w:w="6850" w:type="dxa"/>
            <w:shd w:val="clear" w:color="auto" w:fill="FFFFFF"/>
            <w:vAlign w:val="center"/>
          </w:tcPr>
          <w:p w14:paraId="2C10935C">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6118B163">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0C90514B">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3、加密的电子投标文件应在投标文件递交截止时间前通过政采云平台上传完成。逾期上传或者未上传指定地点的投标文件，不予受理。</w:t>
            </w:r>
          </w:p>
          <w:p w14:paraId="0331C17A">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0EB15BA5">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5、如遇“政采云平台（https://www.zcygov.cn/）”电子交易规则调整，以最新要求为准。</w:t>
            </w:r>
          </w:p>
        </w:tc>
      </w:tr>
      <w:tr w14:paraId="0407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2744A78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633" w:type="dxa"/>
            <w:shd w:val="clear" w:color="auto" w:fill="FFFFFF"/>
            <w:vAlign w:val="center"/>
          </w:tcPr>
          <w:p w14:paraId="665E8A1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6850" w:type="dxa"/>
            <w:shd w:val="clear" w:color="auto" w:fill="FFFFFF"/>
            <w:vAlign w:val="center"/>
          </w:tcPr>
          <w:p w14:paraId="25BB7E40">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截止时间：2025年07月24日11:00（北京时间）</w:t>
            </w:r>
          </w:p>
          <w:p w14:paraId="5ADD8315">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递交地点：加密的电子响应文件（.jmbs格式）应在投标文件递交截止时间前通过政采云平台上传完成。</w:t>
            </w:r>
          </w:p>
        </w:tc>
      </w:tr>
      <w:tr w14:paraId="631D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77A0B03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633" w:type="dxa"/>
            <w:shd w:val="clear" w:color="auto" w:fill="FFFFFF"/>
            <w:vAlign w:val="center"/>
          </w:tcPr>
          <w:p w14:paraId="3050556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w:t>
            </w:r>
          </w:p>
        </w:tc>
        <w:tc>
          <w:tcPr>
            <w:tcW w:w="6850" w:type="dxa"/>
            <w:shd w:val="clear" w:color="auto" w:fill="FFFFFF"/>
            <w:vAlign w:val="center"/>
          </w:tcPr>
          <w:p w14:paraId="2FD18443">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时间：2025年07月24日11:00（北京时间）</w:t>
            </w:r>
          </w:p>
          <w:p w14:paraId="5A56E2AD">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地点：政采云平台（https://www.zcygov.cn/）</w:t>
            </w:r>
          </w:p>
        </w:tc>
      </w:tr>
      <w:tr w14:paraId="7A39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74DD892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633" w:type="dxa"/>
            <w:shd w:val="clear" w:color="auto" w:fill="FFFFFF"/>
            <w:vAlign w:val="center"/>
          </w:tcPr>
          <w:p w14:paraId="041DCF0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850" w:type="dxa"/>
            <w:shd w:val="clear" w:color="auto" w:fill="FFFFFF"/>
            <w:vAlign w:val="center"/>
          </w:tcPr>
          <w:p w14:paraId="79738C83">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自投标截止之日90日历日</w:t>
            </w:r>
          </w:p>
        </w:tc>
      </w:tr>
      <w:tr w14:paraId="3CEF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16BC41C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633" w:type="dxa"/>
            <w:shd w:val="clear" w:color="auto" w:fill="FFFFFF"/>
            <w:vAlign w:val="center"/>
          </w:tcPr>
          <w:p w14:paraId="1E64D1B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公告发布媒体</w:t>
            </w:r>
          </w:p>
        </w:tc>
        <w:tc>
          <w:tcPr>
            <w:tcW w:w="6850" w:type="dxa"/>
            <w:shd w:val="clear" w:color="auto" w:fill="FFFFFF"/>
            <w:vAlign w:val="center"/>
          </w:tcPr>
          <w:p w14:paraId="1065C571">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新疆政府采购网(http://www.ccgp-xinjiang.gov.cn/)</w:t>
            </w:r>
          </w:p>
        </w:tc>
      </w:tr>
      <w:tr w14:paraId="137A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6D6494F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633" w:type="dxa"/>
            <w:shd w:val="clear" w:color="auto" w:fill="FFFFFF"/>
            <w:vAlign w:val="center"/>
          </w:tcPr>
          <w:p w14:paraId="4B19344B">
            <w:pPr>
              <w:keepNext/>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履约保证金</w:t>
            </w:r>
          </w:p>
        </w:tc>
        <w:tc>
          <w:tcPr>
            <w:tcW w:w="6850" w:type="dxa"/>
            <w:shd w:val="clear" w:color="auto" w:fill="FFFFFF"/>
            <w:vAlign w:val="center"/>
          </w:tcPr>
          <w:p w14:paraId="4F2E7C39">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□不交纳</w:t>
            </w:r>
          </w:p>
          <w:p w14:paraId="15A9ECC2">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☑交纳</w:t>
            </w:r>
          </w:p>
          <w:p w14:paraId="40580B70">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履约保证金的交纳必须以公对公账户进行电汇或转账，否则不予认可。</w:t>
            </w:r>
          </w:p>
          <w:p w14:paraId="18C9B3D0">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交纳时间：合同签订后3个工作日</w:t>
            </w:r>
          </w:p>
          <w:p w14:paraId="276027DD">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交纳金额：中标金额*5%</w:t>
            </w:r>
          </w:p>
          <w:p w14:paraId="5D2222AB">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项目完成验收合格，质保期结束无质量问题，合同履行完成后无息退还。</w:t>
            </w:r>
          </w:p>
        </w:tc>
      </w:tr>
      <w:tr w14:paraId="2A4E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6BEC917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633" w:type="dxa"/>
            <w:shd w:val="clear" w:color="auto" w:fill="FFFFFF"/>
            <w:vAlign w:val="center"/>
          </w:tcPr>
          <w:p w14:paraId="3C386B0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中小企业政策说明</w:t>
            </w:r>
          </w:p>
        </w:tc>
        <w:tc>
          <w:tcPr>
            <w:tcW w:w="6850" w:type="dxa"/>
            <w:shd w:val="clear" w:color="auto" w:fill="FFFFFF"/>
            <w:vAlign w:val="center"/>
          </w:tcPr>
          <w:p w14:paraId="51BA4A34">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DEA75F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B8D63CE">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3、在货物采购项目中，投标人提供的货物既有中小企业制造货物，也有大型企业制造货物的，不享受本办法规定的中小企业扶持政策。</w:t>
            </w:r>
          </w:p>
          <w:p w14:paraId="408E17B1">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4、以联合体形式参加政府采购活动，联合体各方均为中小企业的，联合体视同中小企业。其中，联合体各方均为小微企业的，联合体视同小微企业。</w:t>
            </w:r>
          </w:p>
          <w:p w14:paraId="033F459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5、投标人经享受扶持政策获得政府采购合同的，小微企业不得将合同分包给大中型企业，中型企业不得将合同分包给大型企业；</w:t>
            </w:r>
          </w:p>
          <w:p w14:paraId="1A6A9D53">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6、本项目中小企业扶持政策：①、符合政府采购优先(节约能源、保护环境) 采购政策及促进中小企业(监狱企业、残疾人福利性单位) 发展政策的，依据规定给予评审优惠。②、因落实政府采购政策对小微企业、残疾人福利性单位、监狱企业的价格给予10%价格扣除；以扣除后的价格参与评审，不重复享受价格扣除政策。</w:t>
            </w:r>
          </w:p>
          <w:p w14:paraId="4AEBEB7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7、根据“关于印发中小企业划型标准规定的通知(工信部联企业〔2011〕300号)”等有关规定，本项目标的所属行业为</w:t>
            </w:r>
            <w:r>
              <w:rPr>
                <w:rFonts w:hint="eastAsia" w:ascii="仿宋" w:hAnsi="仿宋" w:eastAsia="仿宋" w:cs="仿宋"/>
                <w:b/>
                <w:bCs/>
                <w:color w:val="auto"/>
                <w:kern w:val="0"/>
                <w:sz w:val="24"/>
                <w:szCs w:val="24"/>
                <w:highlight w:val="none"/>
                <w:u w:val="single"/>
              </w:rPr>
              <w:t>其他未列明行业。</w:t>
            </w:r>
          </w:p>
        </w:tc>
      </w:tr>
      <w:tr w14:paraId="52B3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74C9EC7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633" w:type="dxa"/>
            <w:shd w:val="clear" w:color="auto" w:fill="FFFFFF"/>
            <w:vAlign w:val="center"/>
          </w:tcPr>
          <w:p w14:paraId="380F500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招标代理费</w:t>
            </w:r>
          </w:p>
        </w:tc>
        <w:tc>
          <w:tcPr>
            <w:tcW w:w="6850" w:type="dxa"/>
            <w:shd w:val="clear" w:color="auto" w:fill="FFFFFF"/>
            <w:vAlign w:val="center"/>
          </w:tcPr>
          <w:p w14:paraId="35B8E208">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中标单位在收到中标通知书前，以中标价格为基准，计算标准和方法参照国家计委《招标代理服务费管理暂行办法》的通知(计价格[2002]1980号)下浮40%，由中标单位向新疆新世纪招标有限公司支付代理服务费。</w:t>
            </w:r>
          </w:p>
        </w:tc>
      </w:tr>
      <w:tr w14:paraId="605D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52FA519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633" w:type="dxa"/>
            <w:shd w:val="clear" w:color="auto" w:fill="FFFFFF"/>
            <w:vAlign w:val="center"/>
          </w:tcPr>
          <w:p w14:paraId="0CA4DD9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6850" w:type="dxa"/>
            <w:shd w:val="clear" w:color="auto" w:fill="FFFFFF"/>
            <w:vAlign w:val="center"/>
          </w:tcPr>
          <w:p w14:paraId="59408ACA">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1、付款币种：本次招标所述的项目资金均以人民币支付。</w:t>
            </w:r>
          </w:p>
          <w:p w14:paraId="06BCCD90">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2、付款方式：最终付款方式以后期与甲方签订合同为准。</w:t>
            </w:r>
          </w:p>
        </w:tc>
      </w:tr>
      <w:tr w14:paraId="5930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269EDE77">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633" w:type="dxa"/>
            <w:shd w:val="clear" w:color="auto" w:fill="FFFFFF"/>
            <w:vAlign w:val="center"/>
          </w:tcPr>
          <w:p w14:paraId="24318A7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6850" w:type="dxa"/>
            <w:shd w:val="clear" w:color="auto" w:fill="FFFFFF"/>
            <w:vAlign w:val="center"/>
          </w:tcPr>
          <w:p w14:paraId="0F45858B">
            <w:pPr>
              <w:widowControl/>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本表内容如与后文内容不一致处，以本表为准。</w:t>
            </w:r>
          </w:p>
        </w:tc>
      </w:tr>
    </w:tbl>
    <w:p w14:paraId="344E556C">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FFC1C28">
      <w:pPr>
        <w:spacing w:line="360" w:lineRule="auto"/>
        <w:jc w:val="center"/>
        <w:outlineLvl w:val="0"/>
        <w:rPr>
          <w:rFonts w:hint="eastAsia" w:ascii="仿宋" w:hAnsi="仿宋" w:eastAsia="仿宋" w:cs="仿宋"/>
          <w:b/>
          <w:color w:val="auto"/>
          <w:sz w:val="28"/>
          <w:szCs w:val="28"/>
          <w:highlight w:val="none"/>
        </w:rPr>
      </w:pPr>
      <w:bookmarkStart w:id="3" w:name="_Toc21391"/>
      <w:r>
        <w:rPr>
          <w:rFonts w:hint="eastAsia" w:ascii="仿宋" w:hAnsi="仿宋" w:eastAsia="仿宋" w:cs="仿宋"/>
          <w:b/>
          <w:color w:val="auto"/>
          <w:sz w:val="28"/>
          <w:szCs w:val="28"/>
          <w:highlight w:val="none"/>
        </w:rPr>
        <w:t>第一章 投标人须知</w:t>
      </w:r>
      <w:bookmarkEnd w:id="3"/>
      <w:bookmarkStart w:id="4" w:name="_BookMark_2"/>
      <w:bookmarkEnd w:id="4"/>
    </w:p>
    <w:p w14:paraId="7EDE3CD7">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3661"/>
      <w:bookmarkStart w:id="6" w:name="_Toc535592195"/>
      <w:r>
        <w:rPr>
          <w:rFonts w:hint="eastAsia" w:ascii="仿宋" w:hAnsi="仿宋" w:eastAsia="仿宋" w:cs="仿宋"/>
          <w:b/>
          <w:color w:val="auto"/>
          <w:sz w:val="24"/>
          <w:szCs w:val="24"/>
          <w:highlight w:val="none"/>
        </w:rPr>
        <w:t>1．总则</w:t>
      </w:r>
      <w:bookmarkEnd w:id="5"/>
      <w:bookmarkEnd w:id="6"/>
    </w:p>
    <w:p w14:paraId="306B9A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 招标项目概况</w:t>
      </w:r>
    </w:p>
    <w:p w14:paraId="79BF9F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1.1.1项目名称：详见投标人须知前附表。</w:t>
      </w:r>
    </w:p>
    <w:p w14:paraId="4960261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1.1.2项目编号：详见投标人须知前附表。</w:t>
      </w:r>
    </w:p>
    <w:p w14:paraId="6793CF9A">
      <w:pPr>
        <w:widowControl/>
        <w:shd w:val="clear" w:color="auto" w:fill="FFFFFF"/>
        <w:snapToGrid w:val="0"/>
        <w:spacing w:line="360" w:lineRule="auto"/>
        <w:ind w:firstLine="480" w:firstLineChars="200"/>
        <w:rPr>
          <w:rFonts w:hint="eastAsia"/>
          <w:color w:val="auto"/>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3标项名称</w:t>
      </w:r>
      <w:r>
        <w:rPr>
          <w:rFonts w:hint="eastAsia" w:ascii="仿宋" w:hAnsi="仿宋" w:eastAsia="仿宋" w:cs="仿宋"/>
          <w:color w:val="auto"/>
          <w:kern w:val="0"/>
          <w:sz w:val="24"/>
          <w:szCs w:val="24"/>
          <w:highlight w:val="none"/>
        </w:rPr>
        <w:t>：详见投标人须知前附表。</w:t>
      </w:r>
    </w:p>
    <w:p w14:paraId="09D035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采购人：详见投标人须知前附表。</w:t>
      </w:r>
    </w:p>
    <w:p w14:paraId="2513F6F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采购代理机构：详见投标人须知前附表。</w:t>
      </w:r>
    </w:p>
    <w:p w14:paraId="4223BB1C">
      <w:pPr>
        <w:pStyle w:val="2"/>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资金来源：详见投标人须知前附表。</w:t>
      </w:r>
    </w:p>
    <w:p w14:paraId="361A06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采购预算金额：详见投标人须知前附表。</w:t>
      </w:r>
    </w:p>
    <w:p w14:paraId="3D579D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服务周期：详见投标人须知前附表。</w:t>
      </w:r>
    </w:p>
    <w:p w14:paraId="6F15296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1.2采购范围：详见投标人须知前附表。</w:t>
      </w:r>
    </w:p>
    <w:p w14:paraId="0C751C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 采购方式和资格审查方式</w:t>
      </w:r>
    </w:p>
    <w:p w14:paraId="083D83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 采购方式：详见投标人须知前附表。</w:t>
      </w:r>
    </w:p>
    <w:p w14:paraId="0CFAFE2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 资格审查方式：详见投标人须知前附表。</w:t>
      </w:r>
    </w:p>
    <w:p w14:paraId="53E4743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评标办法及定标方法</w:t>
      </w:r>
    </w:p>
    <w:p w14:paraId="4712A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 评标办法：详见投标人须知前附表。</w:t>
      </w:r>
    </w:p>
    <w:p w14:paraId="0BF3D80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 定标方法：详见投标人须知前附表。</w:t>
      </w:r>
    </w:p>
    <w:p w14:paraId="7D6023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 投标人资格条件</w:t>
      </w:r>
    </w:p>
    <w:p w14:paraId="4B6088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 投标人应具备承担本招标项目的资格条件，具体要求详见投标人须知前附表。</w:t>
      </w:r>
    </w:p>
    <w:p w14:paraId="1EF7F4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1.5.2 投标人须知前附表规定接受联合体投标的，除应符合本章第1.5.1款和投标人须知前附表的要求外，还应遵守以下规定：（1）联合体各方应按招标文件提供的格式签订联合体协议书，明确联合体牵头人和各方权利义务；（2）联合体各方不得再以自己名义单独或参加其他联合体在本招标项目中投标。</w:t>
      </w:r>
    </w:p>
    <w:p w14:paraId="753C7AF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1.5.3 投标人不得存在下列情形之一，否则相关投标均应被否决：</w:t>
      </w:r>
    </w:p>
    <w:p w14:paraId="3BA72E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（1）与采购人存在利害关系可能影响招标公正性的法人、其他组织或者个人的；</w:t>
      </w:r>
    </w:p>
    <w:p w14:paraId="18139F6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（2）单位负责人为同一人或者存在控股、管理关系的不同单位，参加同一标段投标或者未划分标段的同一招标项目投标的；</w:t>
      </w:r>
    </w:p>
    <w:p w14:paraId="2F265B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（3）法定代表人为同一个人的两个及两个以上法人，母公司、全资子公司及其控股公司，参加同一标段投标或者未划分标段的同一招标项目投标的；</w:t>
      </w:r>
    </w:p>
    <w:p w14:paraId="6CB16C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（4）被责令停业的； </w:t>
      </w:r>
    </w:p>
    <w:p w14:paraId="1BC8EB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（5）被暂停或取消投标资格的； </w:t>
      </w:r>
    </w:p>
    <w:p w14:paraId="7005C93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（6）财产被接管或冻结的；</w:t>
      </w:r>
    </w:p>
    <w:p w14:paraId="3C4A78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（7）在最近三年内有骗取中标或严重违约或重大质量问题的；</w:t>
      </w:r>
    </w:p>
    <w:p w14:paraId="5E6FED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（8）法律规定的其他情形。</w:t>
      </w:r>
      <w:bookmarkStart w:id="7" w:name="_BookMark_5"/>
      <w:bookmarkEnd w:id="7"/>
    </w:p>
    <w:p w14:paraId="3BC41BB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1.6费用承担</w:t>
      </w:r>
    </w:p>
    <w:p w14:paraId="68C8E72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1.6.1招标文件费：详见投标人须知前附表。</w:t>
      </w:r>
    </w:p>
    <w:p w14:paraId="7C10D9D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1.6.2投标人应承担其编制投标文件与递交投标文件所涉及的一切费用，无论投标结果如何，采购人及采购代理机构对上述费用不作任何补偿。采购代理咨询费由中标人支付。</w:t>
      </w:r>
    </w:p>
    <w:p w14:paraId="51295DE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1.7投标保证金：详见投标人须知前附表。</w:t>
      </w:r>
    </w:p>
    <w:p w14:paraId="3EC55E0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1.8踏勘现场</w:t>
      </w:r>
    </w:p>
    <w:p w14:paraId="00E9BC2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1.8.1 投标人须知前附表规定组织踏勘现场的，采购人或采购代理机构按投标人须知前附表规定的时间、地点组织投标人踏勘项目现场。 </w:t>
      </w:r>
    </w:p>
    <w:p w14:paraId="5C1CEF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1.8.2 投标人踏勘现场发生的费用自理。</w:t>
      </w:r>
    </w:p>
    <w:p w14:paraId="087AD1A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1.8.3 除采购人或采购代理机构的原因外，投标人自行负责在踏勘现场中所发生的人员伤亡和财产损失。</w:t>
      </w:r>
    </w:p>
    <w:p w14:paraId="2FAC45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1.8.4 采购人或采购代理机构在踏勘现场中介绍的项目有关情况，供投标人在编制投标文件时参考，采购人或采购代理机构不对投标人据此作出的判断和决策负责。</w:t>
      </w:r>
    </w:p>
    <w:p w14:paraId="64AAE6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 是否允许联合体投标：详见投标人须知前附表。</w:t>
      </w:r>
    </w:p>
    <w:p w14:paraId="38EB63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 招标答疑会和招标澄清答疑要求</w:t>
      </w:r>
    </w:p>
    <w:p w14:paraId="4091AB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 投标人若有疑问，应按投标人须知前附表规定的时间、方式向采购人或采购代理机构提出，要求采购人对招标文件予以澄清。</w:t>
      </w:r>
    </w:p>
    <w:p w14:paraId="2FCB34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1.10.2 采购人或采购代理机构将按照投标人须知前附表规定的时间方式对投标人的疑问作出统一的解答。</w:t>
      </w:r>
    </w:p>
    <w:p w14:paraId="2F5F83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1.11投标文件：详见投标人须知前附表。</w:t>
      </w:r>
    </w:p>
    <w:p w14:paraId="11B749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1.12投标文件递交：详见投标人须知前附表。</w:t>
      </w:r>
    </w:p>
    <w:p w14:paraId="133DB1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1.13开标：详见投标人须知前附表。</w:t>
      </w:r>
    </w:p>
    <w:p w14:paraId="56CD378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1.14投标有效期：详见投标人须知前附表。</w:t>
      </w:r>
    </w:p>
    <w:p w14:paraId="4171FC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1.15公告发布媒体：详见投标人须知前附表。</w:t>
      </w:r>
    </w:p>
    <w:p w14:paraId="7449FCD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1.16履约保证金：详见投标人须知前附表。</w:t>
      </w:r>
    </w:p>
    <w:p w14:paraId="6D9950E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1.17中小企业政策说明：详见投标人须知前附表。</w:t>
      </w:r>
    </w:p>
    <w:p w14:paraId="29C549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w:t>
      </w:r>
      <w:r>
        <w:rPr>
          <w:rFonts w:hint="eastAsia" w:ascii="仿宋" w:hAnsi="仿宋" w:eastAsia="仿宋" w:cs="仿宋"/>
          <w:color w:val="auto"/>
          <w:sz w:val="24"/>
          <w:szCs w:val="24"/>
          <w:highlight w:val="none"/>
        </w:rPr>
        <w:t>招标代理费</w:t>
      </w:r>
      <w:r>
        <w:rPr>
          <w:rFonts w:hint="eastAsia" w:ascii="仿宋" w:hAnsi="仿宋" w:eastAsia="仿宋" w:cs="仿宋"/>
          <w:color w:val="auto"/>
          <w:kern w:val="0"/>
          <w:sz w:val="24"/>
          <w:szCs w:val="24"/>
          <w:highlight w:val="none"/>
        </w:rPr>
        <w:t>：详见投标人须知前附表。</w:t>
      </w:r>
    </w:p>
    <w:p w14:paraId="437B543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w:t>
      </w:r>
      <w:r>
        <w:rPr>
          <w:rFonts w:hint="eastAsia" w:ascii="仿宋" w:hAnsi="仿宋" w:eastAsia="仿宋" w:cs="仿宋"/>
          <w:color w:val="auto"/>
          <w:sz w:val="24"/>
          <w:szCs w:val="24"/>
          <w:highlight w:val="none"/>
        </w:rPr>
        <w:t>付款方式</w:t>
      </w:r>
      <w:r>
        <w:rPr>
          <w:rFonts w:hint="eastAsia" w:ascii="仿宋" w:hAnsi="仿宋" w:eastAsia="仿宋" w:cs="仿宋"/>
          <w:color w:val="auto"/>
          <w:kern w:val="0"/>
          <w:sz w:val="24"/>
          <w:szCs w:val="24"/>
          <w:highlight w:val="none"/>
        </w:rPr>
        <w:t>：详见投标人须知前附表。</w:t>
      </w:r>
    </w:p>
    <w:p w14:paraId="6F6CCA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1.20保密</w:t>
      </w:r>
    </w:p>
    <w:p w14:paraId="1F3D7C7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7BF5E2D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1.21语言文字</w:t>
      </w:r>
    </w:p>
    <w:p w14:paraId="63E5EC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43884F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1.22计量单位</w:t>
      </w:r>
    </w:p>
    <w:p w14:paraId="4069D49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0556A9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1.23偏离</w:t>
      </w:r>
    </w:p>
    <w:p w14:paraId="67F1A3A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投标文件与招标文件某些要求产生偏离的，偏离应当符合招标文件规定的偏离范围和幅度。</w:t>
      </w:r>
    </w:p>
    <w:p w14:paraId="2EAEBD1B">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27298"/>
      <w:bookmarkStart w:id="9" w:name="_Toc535592196"/>
      <w:r>
        <w:rPr>
          <w:rFonts w:hint="eastAsia" w:ascii="仿宋" w:hAnsi="仿宋" w:eastAsia="仿宋" w:cs="仿宋"/>
          <w:b/>
          <w:color w:val="auto"/>
          <w:sz w:val="24"/>
          <w:szCs w:val="24"/>
          <w:highlight w:val="none"/>
        </w:rPr>
        <w:t>2．招标文件</w:t>
      </w:r>
      <w:bookmarkEnd w:id="8"/>
      <w:bookmarkEnd w:id="9"/>
    </w:p>
    <w:p w14:paraId="49856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80F63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（1）投标人须知；</w:t>
      </w:r>
    </w:p>
    <w:p w14:paraId="49275CD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（2）评标办法；</w:t>
      </w:r>
    </w:p>
    <w:p w14:paraId="3E758A4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（3）合同条款；</w:t>
      </w:r>
    </w:p>
    <w:p w14:paraId="4785B1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（4）服务标准和要求；</w:t>
      </w:r>
    </w:p>
    <w:p w14:paraId="31B3673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（5）投标文件格式；</w:t>
      </w:r>
    </w:p>
    <w:p w14:paraId="35317E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（6）补充条款。</w:t>
      </w:r>
    </w:p>
    <w:p w14:paraId="3F9EB5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根据本章第2.4款和第2.5款对招标文件所作的澄清、修改，构成招标文件的组成部分。</w:t>
      </w:r>
    </w:p>
    <w:p w14:paraId="119FF0A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 招标文件的获取</w:t>
      </w:r>
    </w:p>
    <w:p w14:paraId="1FCE2A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凡有意参加并符合投标人须知前附表“投标人资格条件和能力”的投标人，均可在采购代理机构获取招标文件。</w:t>
      </w:r>
    </w:p>
    <w:p w14:paraId="59FF43F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招标文件的澄清</w:t>
      </w:r>
    </w:p>
    <w:p w14:paraId="2F9983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2FE5C5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5CB0D8A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2CCE1D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4A9ABB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在投标人须知前附表规定的截止时间前，无论出于何种原因，采购代理机构和采购人可主动地或在解答潜在投标人提出的澄清问题时对招标文件进行修改。</w:t>
      </w:r>
    </w:p>
    <w:p w14:paraId="5B01512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44368E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为使投标人准备投标时有充分时间对招标文件的修改部分进行研究，采购人可适当推迟投标截止期。</w:t>
      </w:r>
    </w:p>
    <w:p w14:paraId="268737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当采购人发放的招标文件及招标文件的答疑文件、修改文件、补充文件前后不一致，发生矛盾情况时，以最后发出的为准。</w:t>
      </w:r>
    </w:p>
    <w:p w14:paraId="08DB4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2.4.6 如果招标文件各个组成部分之间出现歧义或相互矛盾，或任何文件中呈现明显的或不符合逻辑的错误等，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1E843EA4">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0" w:name="_BookMark_6"/>
      <w:bookmarkEnd w:id="10"/>
      <w:bookmarkStart w:id="11" w:name="_Toc535592197"/>
      <w:bookmarkStart w:id="12" w:name="_Toc5223"/>
      <w:r>
        <w:rPr>
          <w:rFonts w:hint="eastAsia" w:ascii="仿宋" w:hAnsi="仿宋" w:eastAsia="仿宋" w:cs="仿宋"/>
          <w:b/>
          <w:color w:val="auto"/>
          <w:sz w:val="24"/>
          <w:szCs w:val="24"/>
          <w:highlight w:val="none"/>
        </w:rPr>
        <w:t>3．投标文件</w:t>
      </w:r>
      <w:bookmarkEnd w:id="11"/>
      <w:bookmarkEnd w:id="12"/>
    </w:p>
    <w:p w14:paraId="0C4C5A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0332686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3.1.1投标文件应包括下列内容：</w:t>
      </w:r>
    </w:p>
    <w:p w14:paraId="6DCDC6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一、投标函</w:t>
      </w:r>
    </w:p>
    <w:p w14:paraId="589B6F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二、开标一览表</w:t>
      </w:r>
    </w:p>
    <w:p w14:paraId="2937C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4A3A7C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1B59A9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77F687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52E092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B5FF5F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八、投标人基本情况</w:t>
      </w:r>
    </w:p>
    <w:p w14:paraId="140AD6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8.1、法人或者其他组织的营业执照等证明文件，自然人的身份证明</w:t>
      </w:r>
    </w:p>
    <w:p w14:paraId="4525C3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8.2、财务状况报告，依法缴纳税收和社会保障资金的相关材料</w:t>
      </w:r>
    </w:p>
    <w:p w14:paraId="250A0F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8.3、具备履行合同所必需的设备和专业技术能力的证明材料</w:t>
      </w:r>
    </w:p>
    <w:p w14:paraId="793E37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8.4、参加政府采购活动前3年内在经营活动中没有重大违法记录的书面声明</w:t>
      </w:r>
    </w:p>
    <w:p w14:paraId="7C91DE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8.5、具备法律、行政法规规定的其他条件的证明材料</w:t>
      </w:r>
    </w:p>
    <w:p w14:paraId="1C53E4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九、投标人近三年类似项目业绩表</w:t>
      </w:r>
    </w:p>
    <w:p w14:paraId="70B2E6E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十、项目负责人简历表</w:t>
      </w:r>
    </w:p>
    <w:p w14:paraId="3783C4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十一、拟派本项目服务人员情况表</w:t>
      </w:r>
    </w:p>
    <w:p w14:paraId="63A067F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十二、服务方案</w:t>
      </w:r>
    </w:p>
    <w:p w14:paraId="47DB50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十三、其他需要提交的资料</w:t>
      </w:r>
    </w:p>
    <w:p w14:paraId="196B5D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3.1.2 投标人须知前附表规定不接受联合体投标的，或投标人没有组成联合体的，投标文件不包括本章所指的联合体协议书。 </w:t>
      </w:r>
    </w:p>
    <w:p w14:paraId="0439F7F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62E094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59F532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投标人的投标价格不能超出本项目采购预算金额。</w:t>
      </w:r>
    </w:p>
    <w:p w14:paraId="4828383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D70C9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4611131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 </w:t>
      </w:r>
    </w:p>
    <w:p w14:paraId="5E19016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3.3.3 投标保证金的有效期与投标有效期一致。</w:t>
      </w:r>
    </w:p>
    <w:p w14:paraId="0F59A1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0357E2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2A82C976">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5F8EDFDE">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117BC497">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73714D26">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272FBDA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69BDF1BB">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 投标保证金是为了保护采购人免遭因投标人的行为而蒙受损失。采购人在因投标人的行为受到损害时可根据相关法律规定没收投标人的投标保证金。</w:t>
      </w:r>
    </w:p>
    <w:p w14:paraId="4A5E821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59E72AE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074CEF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 有下列情形之一的，投标保证金不予退还：</w:t>
      </w:r>
    </w:p>
    <w:p w14:paraId="59E81C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1CD3850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（2）中标人在收到中标通知书后，无正当理由拒签合同协议书或在签订合同时提出附加条件或者更改合同实质性内容的；</w:t>
      </w:r>
    </w:p>
    <w:p w14:paraId="74278A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68F4DC8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1FF8E7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72E632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4DADFF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13" w:name="_BookMark_7"/>
      <w:bookmarkEnd w:id="13"/>
      <w:bookmarkStart w:id="14" w:name="_Toc535592198"/>
      <w:r>
        <w:rPr>
          <w:rFonts w:hint="eastAsia" w:ascii="仿宋" w:hAnsi="仿宋" w:eastAsia="仿宋" w:cs="仿宋"/>
          <w:color w:val="auto"/>
          <w:kern w:val="0"/>
          <w:sz w:val="24"/>
          <w:szCs w:val="24"/>
          <w:highlight w:val="none"/>
          <w:shd w:val="clear" w:color="auto" w:fill="FFFFFF" w:themeFill="background1"/>
        </w:rPr>
        <w:t>3.5.3电子投标文件使用政采云平台投标文件制作工具以及招标文件要求进行制作编制。投标文件制作时，按照招标文件中明确的投标文件目录和格式进行编制，保证目录清晰、内容完整。</w:t>
      </w:r>
    </w:p>
    <w:p w14:paraId="083433E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3.5.4电子投标文件须使用投标人电子公章及法定代表人的电子签名。</w:t>
      </w:r>
    </w:p>
    <w:p w14:paraId="545142AD">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szCs w:val="24"/>
          <w:highlight w:val="none"/>
          <w:shd w:val="clear" w:color="auto" w:fill="FFFFFF" w:themeFill="background1"/>
        </w:rPr>
        <w:t>。</w:t>
      </w:r>
    </w:p>
    <w:p w14:paraId="349CFAE2">
      <w:pPr>
        <w:tabs>
          <w:tab w:val="center" w:pos="4832"/>
          <w:tab w:val="left" w:pos="7140"/>
        </w:tabs>
        <w:spacing w:line="360" w:lineRule="auto"/>
        <w:ind w:firstLine="470" w:firstLineChars="196"/>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3.5.6</w:t>
      </w:r>
      <w:r>
        <w:rPr>
          <w:rFonts w:hint="eastAsia" w:ascii="仿宋" w:hAnsi="仿宋" w:eastAsia="仿宋" w:cs="仿宋"/>
          <w:color w:val="auto"/>
          <w:sz w:val="24"/>
          <w:szCs w:val="24"/>
          <w:highlight w:val="none"/>
          <w:shd w:val="clear" w:color="auto" w:fill="FFFFFF" w:themeFill="background1"/>
        </w:rPr>
        <w:t>未按招标文件要求签署和盖章的投标文件，其投标将被认定为投标无效。</w:t>
      </w:r>
    </w:p>
    <w:p w14:paraId="0B311A8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5" w:name="_Toc28025"/>
      <w:r>
        <w:rPr>
          <w:rFonts w:hint="eastAsia" w:ascii="仿宋" w:hAnsi="仿宋" w:eastAsia="仿宋" w:cs="仿宋"/>
          <w:b/>
          <w:color w:val="auto"/>
          <w:sz w:val="24"/>
          <w:szCs w:val="24"/>
          <w:highlight w:val="none"/>
        </w:rPr>
        <w:t>4．投标</w:t>
      </w:r>
      <w:bookmarkEnd w:id="14"/>
      <w:bookmarkEnd w:id="15"/>
    </w:p>
    <w:p w14:paraId="76AE2177">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6" w:name="_BookMark_8"/>
      <w:bookmarkEnd w:id="16"/>
      <w:bookmarkStart w:id="17"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3B6997A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6AE2A8DE">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5B4343D0">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2BE6397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19D997D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0E50A5D7">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（1）逾期上传的投标文件；</w:t>
      </w:r>
    </w:p>
    <w:p w14:paraId="6D6F01C0">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（2）未按招标文件要求加密的投标文件。</w:t>
      </w:r>
    </w:p>
    <w:p w14:paraId="20CF37F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7217601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A5DAA45">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6D109C0E">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34B29FCC">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2C2BF48F">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8" w:name="_Toc26385"/>
      <w:r>
        <w:rPr>
          <w:rFonts w:hint="eastAsia" w:ascii="仿宋" w:hAnsi="仿宋" w:eastAsia="仿宋" w:cs="仿宋"/>
          <w:b/>
          <w:color w:val="auto"/>
          <w:sz w:val="24"/>
          <w:szCs w:val="24"/>
          <w:highlight w:val="none"/>
        </w:rPr>
        <w:t>5．开标</w:t>
      </w:r>
      <w:bookmarkEnd w:id="17"/>
      <w:bookmarkEnd w:id="18"/>
    </w:p>
    <w:p w14:paraId="0DBCB8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56BD1B3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采购人在投标人须知前附表规定的时间、地点公开开标，并邀请所有投标人的法定代表人或其授权委托人参加。</w:t>
      </w:r>
    </w:p>
    <w:p w14:paraId="1669B1E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BBFE0F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6445C98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0AFFE6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（2）开启报价文件</w:t>
      </w:r>
    </w:p>
    <w:p w14:paraId="27702C1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（3）投标人线上签字确认</w:t>
      </w:r>
    </w:p>
    <w:p w14:paraId="626C3A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709499A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9" w:name="_BookMark_9"/>
      <w:bookmarkEnd w:id="19"/>
      <w:bookmarkStart w:id="20" w:name="_Toc535592200"/>
      <w:bookmarkStart w:id="21" w:name="_Toc5139"/>
      <w:r>
        <w:rPr>
          <w:rFonts w:hint="eastAsia" w:ascii="仿宋" w:hAnsi="仿宋" w:eastAsia="仿宋" w:cs="仿宋"/>
          <w:b/>
          <w:color w:val="auto"/>
          <w:sz w:val="24"/>
          <w:szCs w:val="24"/>
          <w:highlight w:val="none"/>
        </w:rPr>
        <w:t>6．评标</w:t>
      </w:r>
      <w:bookmarkEnd w:id="20"/>
      <w:bookmarkEnd w:id="21"/>
    </w:p>
    <w:p w14:paraId="3A3D7F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评标小组</w:t>
      </w:r>
    </w:p>
    <w:p w14:paraId="5BAF9D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评标由采购人按照《政府采购评标专家管理办法》财库〔2016〕198号，依法组建的评标小组负责。评标小组由采购人熟悉相关业务的代表，以及有关技术、经济等方面的专家组成。</w:t>
      </w:r>
    </w:p>
    <w:p w14:paraId="3E9FE9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评标小组成员有下列情形之一的，应当回避：</w:t>
      </w:r>
    </w:p>
    <w:p w14:paraId="2C17EF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27E1EA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4C68FD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682C4C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6.2 评标原则 </w:t>
      </w:r>
    </w:p>
    <w:p w14:paraId="3A00BE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582C1C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92D2E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评标小组按照招标文件中规定的方法、评标因素、标准和程序对投标文件进行评标。</w:t>
      </w:r>
    </w:p>
    <w:p w14:paraId="36AB8E1E">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2" w:name="_BookMark_10"/>
      <w:bookmarkEnd w:id="22"/>
      <w:bookmarkStart w:id="23" w:name="_Toc1820"/>
      <w:bookmarkStart w:id="24" w:name="_Toc535592201"/>
      <w:r>
        <w:rPr>
          <w:rFonts w:hint="eastAsia" w:ascii="仿宋" w:hAnsi="仿宋" w:eastAsia="仿宋" w:cs="仿宋"/>
          <w:b/>
          <w:color w:val="auto"/>
          <w:sz w:val="24"/>
          <w:szCs w:val="24"/>
          <w:highlight w:val="none"/>
        </w:rPr>
        <w:t>7．定标及合同授予</w:t>
      </w:r>
      <w:bookmarkEnd w:id="23"/>
      <w:bookmarkEnd w:id="24"/>
    </w:p>
    <w:p w14:paraId="531D22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7C667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505D4A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 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63514E1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DDB11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6CE013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 履约保证金</w:t>
      </w:r>
    </w:p>
    <w:p w14:paraId="5533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22A86D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中标人不能按要求提交履约保证金的，视为放弃中标，其投标保证金不予退还；给采购人造成的损失超过投标保证金数额的，中标人还应当对超过部分予以赔偿。</w:t>
      </w:r>
    </w:p>
    <w:p w14:paraId="73656F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 签订合同</w:t>
      </w:r>
    </w:p>
    <w:p w14:paraId="0BD4A8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6C2130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6ADC22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7.4.3发出中标通知书后，中标人无正当理由拒签合同的，采购人取消其中标资格，其投标保证金不予退还；给采购人造成的损失超过投标保证金数额的，中标人还应当对超过部分予以赔偿。</w:t>
      </w:r>
    </w:p>
    <w:p w14:paraId="15C5E5EA">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5" w:name="_BookMark_11"/>
      <w:bookmarkEnd w:id="25"/>
      <w:bookmarkStart w:id="26" w:name="_Toc535592202"/>
      <w:bookmarkStart w:id="27" w:name="_Toc10630"/>
      <w:r>
        <w:rPr>
          <w:rFonts w:hint="eastAsia" w:ascii="仿宋" w:hAnsi="仿宋" w:eastAsia="仿宋" w:cs="仿宋"/>
          <w:b/>
          <w:color w:val="auto"/>
          <w:sz w:val="24"/>
          <w:szCs w:val="24"/>
          <w:highlight w:val="none"/>
        </w:rPr>
        <w:t>8．纪律和监督</w:t>
      </w:r>
      <w:bookmarkEnd w:id="26"/>
      <w:bookmarkEnd w:id="27"/>
    </w:p>
    <w:p w14:paraId="4A04F24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6D3E2C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488CE9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6DF910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投标人不得相互串通投标或者与采购人串通投标，不得向采购人或者评标小组成员行贿谋取中标，不得以他人名义投标或者以其他方式弄虚作假骗取中标；投标人不得以任何方式干扰、影响评标工作。</w:t>
      </w:r>
    </w:p>
    <w:p w14:paraId="4026C1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对评标小组成员的纪律要求</w:t>
      </w:r>
    </w:p>
    <w:p w14:paraId="58C854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评标小组成员不得收受他人的财物或者其他好处，不得向他人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对投标文件的评标和比较、中标候选人的推荐情况以及评标有关的其他情况。在评标活动中，评标小组成员不得擅离职守，影响评标程序正常进行，不得使用评标办法没有规定的评标因素和标准进行评标。</w:t>
      </w:r>
    </w:p>
    <w:p w14:paraId="1DB920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104F1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对投标文件的评标和比较、中标候选人的推荐情况以及评标有关的其他情况。在评标活动中，与评标活动有关的工作人员不得擅离职守，影响评标程序正常进行。</w:t>
      </w:r>
    </w:p>
    <w:p w14:paraId="2021C1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2D0DFDCE">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66EDE37B">
      <w:pPr>
        <w:widowControl/>
        <w:shd w:val="clear" w:color="auto" w:fill="FFFFFF"/>
        <w:snapToGrid w:val="0"/>
        <w:spacing w:line="360" w:lineRule="auto"/>
        <w:jc w:val="center"/>
        <w:outlineLvl w:val="0"/>
        <w:rPr>
          <w:rFonts w:hint="eastAsia" w:ascii="仿宋" w:hAnsi="仿宋" w:eastAsia="仿宋" w:cs="仿宋"/>
          <w:b/>
          <w:color w:val="auto"/>
          <w:sz w:val="28"/>
          <w:szCs w:val="28"/>
          <w:highlight w:val="none"/>
        </w:rPr>
      </w:pPr>
      <w:bookmarkStart w:id="28" w:name="_Toc21164"/>
      <w:r>
        <w:rPr>
          <w:rFonts w:hint="eastAsia" w:ascii="仿宋" w:hAnsi="仿宋" w:eastAsia="仿宋" w:cs="仿宋"/>
          <w:b/>
          <w:color w:val="auto"/>
          <w:sz w:val="28"/>
          <w:szCs w:val="28"/>
          <w:highlight w:val="none"/>
        </w:rPr>
        <w:t>第二章 评标办法</w:t>
      </w:r>
      <w:bookmarkEnd w:id="28"/>
    </w:p>
    <w:p w14:paraId="641BCEAC">
      <w:pPr>
        <w:tabs>
          <w:tab w:val="center" w:pos="4832"/>
          <w:tab w:val="left" w:pos="7140"/>
        </w:tabs>
        <w:spacing w:line="360" w:lineRule="auto"/>
        <w:jc w:val="center"/>
        <w:outlineLvl w:val="2"/>
        <w:rPr>
          <w:rFonts w:hint="eastAsia" w:ascii="仿宋" w:hAnsi="仿宋" w:eastAsia="仿宋" w:cs="仿宋"/>
          <w:b/>
          <w:color w:val="auto"/>
          <w:sz w:val="28"/>
          <w:szCs w:val="28"/>
          <w:highlight w:val="none"/>
        </w:rPr>
      </w:pPr>
      <w:bookmarkStart w:id="29" w:name="_BookMark_1"/>
      <w:bookmarkEnd w:id="29"/>
      <w:bookmarkStart w:id="30" w:name="_Toc23868"/>
      <w:bookmarkStart w:id="31" w:name="_Toc58342531"/>
      <w:bookmarkStart w:id="32" w:name="_Toc501719166"/>
      <w:r>
        <w:rPr>
          <w:rFonts w:hint="eastAsia" w:ascii="仿宋" w:hAnsi="仿宋" w:eastAsia="仿宋" w:cs="仿宋"/>
          <w:b/>
          <w:color w:val="auto"/>
          <w:sz w:val="28"/>
          <w:szCs w:val="28"/>
          <w:highlight w:val="none"/>
        </w:rPr>
        <w:t>评审办法前附表</w:t>
      </w:r>
      <w:bookmarkEnd w:id="30"/>
      <w:bookmarkEnd w:id="31"/>
    </w:p>
    <w:tbl>
      <w:tblPr>
        <w:tblStyle w:val="41"/>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53"/>
        <w:gridCol w:w="2519"/>
        <w:gridCol w:w="5260"/>
      </w:tblGrid>
      <w:tr w14:paraId="76225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332" w:type="pct"/>
            <w:tcBorders>
              <w:tl2br w:val="nil"/>
              <w:tr2bl w:val="nil"/>
            </w:tcBorders>
            <w:tcMar>
              <w:top w:w="0" w:type="dxa"/>
              <w:left w:w="28" w:type="dxa"/>
              <w:bottom w:w="0" w:type="dxa"/>
              <w:right w:w="28" w:type="dxa"/>
            </w:tcMar>
            <w:vAlign w:val="center"/>
          </w:tcPr>
          <w:p w14:paraId="131BA21B">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511" w:type="pct"/>
            <w:tcBorders>
              <w:tl2br w:val="nil"/>
              <w:tr2bl w:val="nil"/>
            </w:tcBorders>
            <w:tcMar>
              <w:top w:w="0" w:type="dxa"/>
              <w:left w:w="28" w:type="dxa"/>
              <w:bottom w:w="0" w:type="dxa"/>
              <w:right w:w="28" w:type="dxa"/>
            </w:tcMar>
            <w:vAlign w:val="center"/>
          </w:tcPr>
          <w:p w14:paraId="6B314243">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条款内容</w:t>
            </w:r>
          </w:p>
        </w:tc>
        <w:tc>
          <w:tcPr>
            <w:tcW w:w="3156" w:type="pct"/>
            <w:tcBorders>
              <w:tl2br w:val="nil"/>
              <w:tr2bl w:val="nil"/>
            </w:tcBorders>
            <w:tcMar>
              <w:top w:w="0" w:type="dxa"/>
              <w:left w:w="28" w:type="dxa"/>
              <w:bottom w:w="0" w:type="dxa"/>
              <w:right w:w="28" w:type="dxa"/>
            </w:tcMar>
            <w:vAlign w:val="center"/>
          </w:tcPr>
          <w:p w14:paraId="0EB84DC8">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编列内容</w:t>
            </w:r>
          </w:p>
        </w:tc>
      </w:tr>
      <w:tr w14:paraId="325F7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0" w:hRule="atLeast"/>
          <w:jc w:val="center"/>
        </w:trPr>
        <w:tc>
          <w:tcPr>
            <w:tcW w:w="332" w:type="pct"/>
            <w:tcBorders>
              <w:tl2br w:val="nil"/>
              <w:tr2bl w:val="nil"/>
            </w:tcBorders>
            <w:tcMar>
              <w:top w:w="0" w:type="dxa"/>
              <w:left w:w="28" w:type="dxa"/>
              <w:bottom w:w="0" w:type="dxa"/>
              <w:right w:w="28" w:type="dxa"/>
            </w:tcMar>
            <w:vAlign w:val="center"/>
          </w:tcPr>
          <w:p w14:paraId="4E64E8F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11" w:type="pct"/>
            <w:tcBorders>
              <w:tl2br w:val="nil"/>
              <w:tr2bl w:val="nil"/>
            </w:tcBorders>
            <w:tcMar>
              <w:top w:w="0" w:type="dxa"/>
              <w:left w:w="28" w:type="dxa"/>
              <w:bottom w:w="0" w:type="dxa"/>
              <w:right w:w="28" w:type="dxa"/>
            </w:tcMar>
            <w:vAlign w:val="center"/>
          </w:tcPr>
          <w:p w14:paraId="79E4CF8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分值构成及权重</w:t>
            </w:r>
          </w:p>
          <w:p w14:paraId="5896A6C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(总分100分)</w:t>
            </w:r>
          </w:p>
        </w:tc>
        <w:tc>
          <w:tcPr>
            <w:tcW w:w="3156" w:type="pct"/>
            <w:tcBorders>
              <w:tl2br w:val="nil"/>
              <w:tr2bl w:val="nil"/>
            </w:tcBorders>
            <w:tcMar>
              <w:top w:w="0" w:type="dxa"/>
              <w:left w:w="28" w:type="dxa"/>
              <w:bottom w:w="0" w:type="dxa"/>
              <w:right w:w="28" w:type="dxa"/>
            </w:tcMar>
            <w:vAlign w:val="center"/>
          </w:tcPr>
          <w:p w14:paraId="5678709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1.详细评审部分</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分</w:t>
            </w:r>
          </w:p>
          <w:p w14:paraId="7C683B0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r>
      <w:tr w14:paraId="15FA1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 w:hRule="atLeast"/>
          <w:jc w:val="center"/>
        </w:trPr>
        <w:tc>
          <w:tcPr>
            <w:tcW w:w="332" w:type="pct"/>
            <w:tcBorders>
              <w:tl2br w:val="nil"/>
              <w:tr2bl w:val="nil"/>
            </w:tcBorders>
            <w:tcMar>
              <w:top w:w="0" w:type="dxa"/>
              <w:left w:w="28" w:type="dxa"/>
              <w:bottom w:w="0" w:type="dxa"/>
              <w:right w:w="28" w:type="dxa"/>
            </w:tcMar>
            <w:vAlign w:val="center"/>
          </w:tcPr>
          <w:p w14:paraId="05F8A9A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11" w:type="pct"/>
            <w:tcBorders>
              <w:tl2br w:val="nil"/>
              <w:tr2bl w:val="nil"/>
            </w:tcBorders>
            <w:tcMar>
              <w:top w:w="0" w:type="dxa"/>
              <w:left w:w="28" w:type="dxa"/>
              <w:bottom w:w="0" w:type="dxa"/>
              <w:right w:w="28" w:type="dxa"/>
            </w:tcMar>
            <w:vAlign w:val="center"/>
          </w:tcPr>
          <w:p w14:paraId="50717FC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w:t>
            </w:r>
          </w:p>
        </w:tc>
        <w:tc>
          <w:tcPr>
            <w:tcW w:w="3156" w:type="pct"/>
            <w:tcBorders>
              <w:tl2br w:val="nil"/>
              <w:tr2bl w:val="nil"/>
            </w:tcBorders>
            <w:tcMar>
              <w:top w:w="0" w:type="dxa"/>
              <w:left w:w="28" w:type="dxa"/>
              <w:bottom w:w="0" w:type="dxa"/>
              <w:right w:w="28" w:type="dxa"/>
            </w:tcMar>
            <w:vAlign w:val="center"/>
          </w:tcPr>
          <w:p w14:paraId="4470C01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详见《资格审查标准》</w:t>
            </w:r>
          </w:p>
        </w:tc>
      </w:tr>
      <w:tr w14:paraId="4F5A83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332" w:type="pct"/>
            <w:tcBorders>
              <w:tl2br w:val="nil"/>
              <w:tr2bl w:val="nil"/>
            </w:tcBorders>
            <w:tcMar>
              <w:top w:w="0" w:type="dxa"/>
              <w:left w:w="28" w:type="dxa"/>
              <w:bottom w:w="0" w:type="dxa"/>
              <w:right w:w="28" w:type="dxa"/>
            </w:tcMar>
            <w:vAlign w:val="center"/>
          </w:tcPr>
          <w:p w14:paraId="4EC8A04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11" w:type="pct"/>
            <w:tcBorders>
              <w:tl2br w:val="nil"/>
              <w:tr2bl w:val="nil"/>
            </w:tcBorders>
            <w:tcMar>
              <w:top w:w="0" w:type="dxa"/>
              <w:left w:w="28" w:type="dxa"/>
              <w:bottom w:w="0" w:type="dxa"/>
              <w:right w:w="28" w:type="dxa"/>
            </w:tcMar>
            <w:vAlign w:val="center"/>
          </w:tcPr>
          <w:p w14:paraId="43A353C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w:t>
            </w:r>
          </w:p>
        </w:tc>
        <w:tc>
          <w:tcPr>
            <w:tcW w:w="3156" w:type="pct"/>
            <w:tcBorders>
              <w:tl2br w:val="nil"/>
              <w:tr2bl w:val="nil"/>
            </w:tcBorders>
            <w:tcMar>
              <w:top w:w="0" w:type="dxa"/>
              <w:left w:w="28" w:type="dxa"/>
              <w:bottom w:w="0" w:type="dxa"/>
              <w:right w:w="28" w:type="dxa"/>
            </w:tcMar>
            <w:vAlign w:val="center"/>
          </w:tcPr>
          <w:p w14:paraId="1ED6F7C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详见《符合性审查标准》</w:t>
            </w:r>
          </w:p>
        </w:tc>
      </w:tr>
      <w:tr w14:paraId="5F4C1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332" w:type="pct"/>
            <w:tcBorders>
              <w:tl2br w:val="nil"/>
              <w:tr2bl w:val="nil"/>
            </w:tcBorders>
            <w:tcMar>
              <w:top w:w="0" w:type="dxa"/>
              <w:left w:w="28" w:type="dxa"/>
              <w:bottom w:w="0" w:type="dxa"/>
              <w:right w:w="28" w:type="dxa"/>
            </w:tcMar>
            <w:vAlign w:val="center"/>
          </w:tcPr>
          <w:p w14:paraId="2CF65CB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11" w:type="pct"/>
            <w:tcBorders>
              <w:tl2br w:val="nil"/>
              <w:tr2bl w:val="nil"/>
            </w:tcBorders>
            <w:tcMar>
              <w:top w:w="0" w:type="dxa"/>
              <w:left w:w="28" w:type="dxa"/>
              <w:bottom w:w="0" w:type="dxa"/>
              <w:right w:w="28" w:type="dxa"/>
            </w:tcMar>
            <w:vAlign w:val="center"/>
          </w:tcPr>
          <w:p w14:paraId="309548C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详细评审</w:t>
            </w:r>
          </w:p>
        </w:tc>
        <w:tc>
          <w:tcPr>
            <w:tcW w:w="3156" w:type="pct"/>
            <w:tcBorders>
              <w:tl2br w:val="nil"/>
              <w:tr2bl w:val="nil"/>
            </w:tcBorders>
            <w:tcMar>
              <w:top w:w="0" w:type="dxa"/>
              <w:left w:w="28" w:type="dxa"/>
              <w:bottom w:w="0" w:type="dxa"/>
              <w:right w:w="28" w:type="dxa"/>
            </w:tcMar>
            <w:vAlign w:val="center"/>
          </w:tcPr>
          <w:p w14:paraId="4106408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详见《详细评审标准》及本节第3.5款</w:t>
            </w:r>
          </w:p>
        </w:tc>
      </w:tr>
    </w:tbl>
    <w:p w14:paraId="047E2425">
      <w:pPr>
        <w:widowControl/>
        <w:shd w:val="clear" w:color="auto" w:fill="FFFFFF"/>
        <w:snapToGrid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《资格审查标准》</w:t>
      </w:r>
      <w:bookmarkEnd w:id="32"/>
    </w:p>
    <w:tbl>
      <w:tblPr>
        <w:tblStyle w:val="41"/>
        <w:tblW w:w="501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39"/>
        <w:gridCol w:w="3506"/>
        <w:gridCol w:w="4271"/>
      </w:tblGrid>
      <w:tr w14:paraId="799A3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4" w:type="pct"/>
            <w:tcBorders>
              <w:tl2br w:val="nil"/>
              <w:tr2bl w:val="nil"/>
            </w:tcBorders>
            <w:vAlign w:val="center"/>
          </w:tcPr>
          <w:p w14:paraId="1DA8D5A8">
            <w:pPr>
              <w:spacing w:line="360" w:lineRule="auto"/>
              <w:jc w:val="center"/>
              <w:rPr>
                <w:rFonts w:hint="eastAsia" w:ascii="仿宋" w:hAnsi="仿宋" w:eastAsia="仿宋" w:cs="仿宋"/>
                <w:b/>
                <w:bCs/>
                <w:color w:val="auto"/>
                <w:sz w:val="24"/>
                <w:szCs w:val="24"/>
                <w:highlight w:val="none"/>
                <w:shd w:val="clear" w:color="auto" w:fill="FFFFFF" w:themeFill="background1"/>
              </w:rPr>
            </w:pPr>
            <w:bookmarkStart w:id="33" w:name="_Toc501719167"/>
            <w:r>
              <w:rPr>
                <w:rFonts w:hint="eastAsia" w:ascii="仿宋" w:hAnsi="仿宋" w:eastAsia="仿宋" w:cs="仿宋"/>
                <w:b/>
                <w:bCs/>
                <w:color w:val="auto"/>
                <w:sz w:val="24"/>
                <w:szCs w:val="24"/>
                <w:highlight w:val="none"/>
                <w:shd w:val="clear" w:color="auto" w:fill="FFFFFF" w:themeFill="background1"/>
              </w:rPr>
              <w:t>序号</w:t>
            </w:r>
          </w:p>
        </w:tc>
        <w:tc>
          <w:tcPr>
            <w:tcW w:w="2108" w:type="pct"/>
            <w:tcBorders>
              <w:tl2br w:val="nil"/>
              <w:tr2bl w:val="nil"/>
            </w:tcBorders>
            <w:vAlign w:val="center"/>
          </w:tcPr>
          <w:p w14:paraId="545C04EC">
            <w:pPr>
              <w:spacing w:line="360" w:lineRule="auto"/>
              <w:jc w:val="center"/>
              <w:rPr>
                <w:rFonts w:hint="eastAsia" w:ascii="仿宋" w:hAnsi="仿宋" w:eastAsia="仿宋" w:cs="仿宋"/>
                <w:b/>
                <w:bCs/>
                <w:color w:val="auto"/>
                <w:sz w:val="24"/>
                <w:szCs w:val="24"/>
                <w:highlight w:val="none"/>
                <w:shd w:val="clear" w:color="auto" w:fill="FFFFFF" w:themeFill="background1"/>
              </w:rPr>
            </w:pPr>
            <w:r>
              <w:rPr>
                <w:rFonts w:hint="eastAsia" w:ascii="仿宋" w:hAnsi="仿宋" w:eastAsia="仿宋" w:cs="仿宋"/>
                <w:b/>
                <w:bCs/>
                <w:color w:val="auto"/>
                <w:sz w:val="24"/>
                <w:szCs w:val="24"/>
                <w:highlight w:val="none"/>
                <w:shd w:val="clear" w:color="auto" w:fill="FFFFFF" w:themeFill="background1"/>
              </w:rPr>
              <w:t>审查要求</w:t>
            </w:r>
          </w:p>
        </w:tc>
        <w:tc>
          <w:tcPr>
            <w:tcW w:w="2566" w:type="pct"/>
            <w:tcBorders>
              <w:tl2br w:val="nil"/>
              <w:tr2bl w:val="nil"/>
            </w:tcBorders>
            <w:vAlign w:val="center"/>
          </w:tcPr>
          <w:p w14:paraId="68C9609D">
            <w:pPr>
              <w:spacing w:line="360" w:lineRule="auto"/>
              <w:jc w:val="center"/>
              <w:rPr>
                <w:rFonts w:hint="eastAsia" w:ascii="仿宋" w:hAnsi="仿宋" w:eastAsia="仿宋" w:cs="仿宋"/>
                <w:b/>
                <w:bCs/>
                <w:color w:val="auto"/>
                <w:sz w:val="24"/>
                <w:szCs w:val="24"/>
                <w:highlight w:val="none"/>
                <w:shd w:val="clear" w:color="auto" w:fill="FFFFFF" w:themeFill="background1"/>
              </w:rPr>
            </w:pPr>
            <w:r>
              <w:rPr>
                <w:rFonts w:hint="eastAsia" w:ascii="仿宋" w:hAnsi="仿宋" w:eastAsia="仿宋" w:cs="仿宋"/>
                <w:b/>
                <w:bCs/>
                <w:color w:val="auto"/>
                <w:sz w:val="24"/>
                <w:szCs w:val="24"/>
                <w:highlight w:val="none"/>
                <w:shd w:val="clear" w:color="auto" w:fill="FFFFFF" w:themeFill="background1"/>
              </w:rPr>
              <w:t>要求说明</w:t>
            </w:r>
          </w:p>
        </w:tc>
      </w:tr>
      <w:tr w14:paraId="1262B7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4" w:type="pct"/>
            <w:tcBorders>
              <w:tl2br w:val="nil"/>
              <w:tr2bl w:val="nil"/>
            </w:tcBorders>
            <w:vAlign w:val="center"/>
          </w:tcPr>
          <w:p w14:paraId="0478CB3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1</w:t>
            </w:r>
          </w:p>
        </w:tc>
        <w:tc>
          <w:tcPr>
            <w:tcW w:w="2108" w:type="pct"/>
            <w:tcBorders>
              <w:tl2br w:val="nil"/>
              <w:tr2bl w:val="nil"/>
            </w:tcBorders>
            <w:vAlign w:val="center"/>
          </w:tcPr>
          <w:p w14:paraId="6D1F81E9">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满足《中华人民共和国政府采购法》第二十二条规定。</w:t>
            </w:r>
          </w:p>
        </w:tc>
        <w:tc>
          <w:tcPr>
            <w:tcW w:w="2566" w:type="pct"/>
            <w:tcBorders>
              <w:tl2br w:val="nil"/>
              <w:tr2bl w:val="nil"/>
            </w:tcBorders>
            <w:vAlign w:val="center"/>
          </w:tcPr>
          <w:p w14:paraId="3EAE12E3">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08B63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4" w:type="pct"/>
            <w:tcBorders>
              <w:tl2br w:val="nil"/>
              <w:tr2bl w:val="nil"/>
            </w:tcBorders>
            <w:vAlign w:val="center"/>
          </w:tcPr>
          <w:p w14:paraId="14C716DE">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2</w:t>
            </w:r>
          </w:p>
        </w:tc>
        <w:tc>
          <w:tcPr>
            <w:tcW w:w="2108" w:type="pct"/>
            <w:tcBorders>
              <w:tl2br w:val="nil"/>
              <w:tr2bl w:val="nil"/>
            </w:tcBorders>
            <w:vAlign w:val="center"/>
          </w:tcPr>
          <w:p w14:paraId="37CA06FA">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w:t>
            </w:r>
            <w:r>
              <w:rPr>
                <w:rFonts w:hint="eastAsia" w:ascii="仿宋" w:hAnsi="仿宋" w:eastAsia="仿宋" w:cs="仿宋"/>
                <w:color w:val="auto"/>
                <w:sz w:val="24"/>
                <w:szCs w:val="24"/>
                <w:highlight w:val="none"/>
                <w:shd w:val="clear" w:color="auto" w:fill="FFFFFF" w:themeFill="background1"/>
                <w:lang w:eastAsia="zh-CN"/>
              </w:rPr>
              <w:t>招标</w:t>
            </w:r>
            <w:r>
              <w:rPr>
                <w:rFonts w:hint="eastAsia" w:ascii="仿宋" w:hAnsi="仿宋" w:eastAsia="仿宋" w:cs="仿宋"/>
                <w:color w:val="auto"/>
                <w:sz w:val="24"/>
                <w:szCs w:val="24"/>
                <w:highlight w:val="none"/>
                <w:shd w:val="clear" w:color="auto" w:fill="FFFFFF" w:themeFill="background1"/>
              </w:rPr>
              <w:t>活动。</w:t>
            </w:r>
          </w:p>
        </w:tc>
        <w:tc>
          <w:tcPr>
            <w:tcW w:w="2566" w:type="pct"/>
            <w:tcBorders>
              <w:tl2br w:val="nil"/>
              <w:tr2bl w:val="nil"/>
            </w:tcBorders>
            <w:vAlign w:val="center"/>
          </w:tcPr>
          <w:p w14:paraId="255204DD">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以采购人或者采购代理机构查询记录为准。</w:t>
            </w:r>
          </w:p>
        </w:tc>
      </w:tr>
      <w:tr w14:paraId="7A433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4" w:type="pct"/>
            <w:tcBorders>
              <w:tl2br w:val="nil"/>
              <w:tr2bl w:val="nil"/>
            </w:tcBorders>
            <w:vAlign w:val="center"/>
          </w:tcPr>
          <w:p w14:paraId="433A49E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3</w:t>
            </w:r>
          </w:p>
        </w:tc>
        <w:tc>
          <w:tcPr>
            <w:tcW w:w="2108" w:type="pct"/>
            <w:tcBorders>
              <w:tl2br w:val="nil"/>
              <w:tr2bl w:val="nil"/>
            </w:tcBorders>
            <w:vAlign w:val="center"/>
          </w:tcPr>
          <w:p w14:paraId="511D483D">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投标保证金必须按照招标文件要求缴纳。</w:t>
            </w:r>
          </w:p>
        </w:tc>
        <w:tc>
          <w:tcPr>
            <w:tcW w:w="2566" w:type="pct"/>
            <w:tcBorders>
              <w:tl2br w:val="nil"/>
              <w:tr2bl w:val="nil"/>
            </w:tcBorders>
            <w:vAlign w:val="center"/>
          </w:tcPr>
          <w:p w14:paraId="2EA0F2F4">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保证金缴纳凭证：投标人可将本项目保证金支付的汇款凭证、支票、汇票</w:t>
            </w:r>
            <w:r>
              <w:rPr>
                <w:rFonts w:hint="eastAsia" w:ascii="仿宋" w:hAnsi="仿宋" w:eastAsia="仿宋" w:cs="仿宋"/>
                <w:color w:val="auto"/>
                <w:sz w:val="24"/>
                <w:szCs w:val="24"/>
                <w:highlight w:val="none"/>
                <w:shd w:val="clear" w:color="auto" w:fill="FFFFFF" w:themeFill="background1"/>
                <w:lang w:eastAsia="zh-CN"/>
              </w:rPr>
              <w:t>、</w:t>
            </w:r>
            <w:r>
              <w:rPr>
                <w:rFonts w:hint="eastAsia" w:ascii="仿宋" w:hAnsi="仿宋" w:eastAsia="仿宋" w:cs="仿宋"/>
                <w:color w:val="auto"/>
                <w:sz w:val="24"/>
                <w:szCs w:val="24"/>
                <w:highlight w:val="none"/>
                <w:shd w:val="clear" w:color="auto" w:fill="FFFFFF" w:themeFill="background1"/>
                <w:lang w:val="en-US" w:eastAsia="zh-CN"/>
              </w:rPr>
              <w:t>保函</w:t>
            </w:r>
            <w:r>
              <w:rPr>
                <w:rFonts w:hint="eastAsia" w:ascii="仿宋" w:hAnsi="仿宋" w:eastAsia="仿宋" w:cs="仿宋"/>
                <w:color w:val="auto"/>
                <w:sz w:val="24"/>
                <w:szCs w:val="24"/>
                <w:highlight w:val="none"/>
                <w:shd w:val="clear" w:color="auto" w:fill="FFFFFF" w:themeFill="background1"/>
              </w:rPr>
              <w:t>或保证金收据的扫描件作为缴纳凭证制作在投标文件中。</w:t>
            </w:r>
          </w:p>
        </w:tc>
      </w:tr>
      <w:tr w14:paraId="604420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0" w:hRule="atLeast"/>
          <w:jc w:val="center"/>
        </w:trPr>
        <w:tc>
          <w:tcPr>
            <w:tcW w:w="5000" w:type="pct"/>
            <w:gridSpan w:val="3"/>
            <w:tcBorders>
              <w:tl2br w:val="nil"/>
              <w:tr2bl w:val="nil"/>
            </w:tcBorders>
            <w:vAlign w:val="center"/>
          </w:tcPr>
          <w:p w14:paraId="2BCCE95E">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28A9CE73">
      <w:pPr>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《符合性审查标准》</w:t>
      </w:r>
      <w:bookmarkEnd w:id="33"/>
    </w:p>
    <w:tbl>
      <w:tblPr>
        <w:tblStyle w:val="41"/>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66"/>
        <w:gridCol w:w="6683"/>
        <w:gridCol w:w="1047"/>
      </w:tblGrid>
      <w:tr w14:paraId="1A755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atLeast"/>
          <w:jc w:val="center"/>
        </w:trPr>
        <w:tc>
          <w:tcPr>
            <w:tcW w:w="341" w:type="pct"/>
            <w:tcBorders>
              <w:tl2br w:val="nil"/>
              <w:tr2bl w:val="nil"/>
            </w:tcBorders>
            <w:vAlign w:val="center"/>
          </w:tcPr>
          <w:p w14:paraId="347FB060">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序号</w:t>
            </w:r>
          </w:p>
        </w:tc>
        <w:tc>
          <w:tcPr>
            <w:tcW w:w="4028" w:type="pct"/>
            <w:tcBorders>
              <w:tl2br w:val="nil"/>
              <w:tr2bl w:val="nil"/>
            </w:tcBorders>
            <w:vAlign w:val="center"/>
          </w:tcPr>
          <w:p w14:paraId="11D627D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审查要求</w:t>
            </w:r>
          </w:p>
        </w:tc>
        <w:tc>
          <w:tcPr>
            <w:tcW w:w="630" w:type="pct"/>
            <w:tcBorders>
              <w:tl2br w:val="nil"/>
              <w:tr2bl w:val="nil"/>
            </w:tcBorders>
            <w:vAlign w:val="center"/>
          </w:tcPr>
          <w:p w14:paraId="65B9E508">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要求说明</w:t>
            </w:r>
          </w:p>
        </w:tc>
      </w:tr>
      <w:tr w14:paraId="1E6ED3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41" w:type="pct"/>
            <w:tcBorders>
              <w:tl2br w:val="nil"/>
              <w:tr2bl w:val="nil"/>
            </w:tcBorders>
            <w:vAlign w:val="center"/>
          </w:tcPr>
          <w:p w14:paraId="7C62D2BD">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1</w:t>
            </w:r>
          </w:p>
        </w:tc>
        <w:tc>
          <w:tcPr>
            <w:tcW w:w="4028" w:type="pct"/>
            <w:tcBorders>
              <w:tl2br w:val="nil"/>
              <w:tr2bl w:val="nil"/>
            </w:tcBorders>
            <w:vAlign w:val="center"/>
          </w:tcPr>
          <w:p w14:paraId="36C2371C">
            <w:pPr>
              <w:widowControl/>
              <w:shd w:val="clear" w:color="auto" w:fill="FFFFFF"/>
              <w:snapToGrid w:val="0"/>
              <w:spacing w:line="360" w:lineRule="auto"/>
              <w:rPr>
                <w:rFonts w:hint="eastAsia" w:ascii="仿宋" w:hAnsi="仿宋" w:eastAsia="仿宋" w:cs="仿宋"/>
                <w:color w:val="auto"/>
                <w:sz w:val="24"/>
                <w:szCs w:val="24"/>
                <w:highlight w:val="none"/>
                <w:shd w:val="clear" w:color="auto" w:fill="FFFFFF" w:themeFill="background1"/>
                <w:lang w:eastAsia="zh-CN"/>
              </w:rPr>
            </w:pPr>
            <w:r>
              <w:rPr>
                <w:rFonts w:hint="eastAsia" w:ascii="仿宋" w:hAnsi="仿宋" w:eastAsia="仿宋" w:cs="仿宋"/>
                <w:color w:val="auto"/>
                <w:sz w:val="24"/>
                <w:szCs w:val="24"/>
                <w:highlight w:val="none"/>
                <w:shd w:val="clear" w:color="auto" w:fill="FFFFFF" w:themeFill="background1"/>
                <w:lang w:val="en-US" w:eastAsia="zh-CN"/>
              </w:rPr>
              <w:t>投标文件</w:t>
            </w:r>
            <w:r>
              <w:rPr>
                <w:rFonts w:hint="eastAsia" w:ascii="仿宋" w:hAnsi="仿宋" w:eastAsia="仿宋" w:cs="仿宋"/>
                <w:color w:val="auto"/>
                <w:sz w:val="24"/>
                <w:szCs w:val="24"/>
                <w:highlight w:val="none"/>
                <w:shd w:val="clear" w:color="auto" w:fill="FFFFFF" w:themeFill="background1"/>
              </w:rPr>
              <w:t>必须按照</w:t>
            </w:r>
            <w:r>
              <w:rPr>
                <w:rFonts w:hint="eastAsia" w:ascii="仿宋" w:hAnsi="仿宋" w:eastAsia="仿宋" w:cs="仿宋"/>
                <w:color w:val="auto"/>
                <w:sz w:val="24"/>
                <w:szCs w:val="24"/>
                <w:highlight w:val="none"/>
                <w:shd w:val="clear" w:color="auto" w:fill="FFFFFF" w:themeFill="background1"/>
                <w:lang w:val="en-US" w:eastAsia="zh-CN"/>
              </w:rPr>
              <w:t>招标</w:t>
            </w:r>
            <w:r>
              <w:rPr>
                <w:rFonts w:hint="eastAsia" w:ascii="仿宋" w:hAnsi="仿宋" w:eastAsia="仿宋" w:cs="仿宋"/>
                <w:color w:val="auto"/>
                <w:sz w:val="24"/>
                <w:szCs w:val="24"/>
                <w:highlight w:val="none"/>
                <w:shd w:val="clear" w:color="auto" w:fill="FFFFFF" w:themeFill="background1"/>
              </w:rPr>
              <w:t>文件规定要求加盖</w:t>
            </w:r>
            <w:r>
              <w:rPr>
                <w:rFonts w:hint="eastAsia" w:ascii="仿宋" w:hAnsi="仿宋" w:eastAsia="仿宋" w:cs="仿宋"/>
                <w:color w:val="auto"/>
                <w:sz w:val="24"/>
                <w:szCs w:val="24"/>
                <w:highlight w:val="none"/>
                <w:shd w:val="clear" w:color="auto" w:fill="FFFFFF" w:themeFill="background1"/>
                <w:lang w:val="en-US" w:eastAsia="zh-CN"/>
              </w:rPr>
              <w:t>投标人</w:t>
            </w:r>
            <w:r>
              <w:rPr>
                <w:rFonts w:hint="eastAsia" w:ascii="仿宋" w:hAnsi="仿宋" w:eastAsia="仿宋" w:cs="仿宋"/>
                <w:color w:val="auto"/>
                <w:sz w:val="24"/>
                <w:szCs w:val="24"/>
                <w:highlight w:val="none"/>
                <w:shd w:val="clear" w:color="auto" w:fill="FFFFFF" w:themeFill="background1"/>
              </w:rPr>
              <w:t>、法定代表人电子印章</w:t>
            </w:r>
            <w:r>
              <w:rPr>
                <w:rFonts w:hint="eastAsia" w:ascii="仿宋" w:hAnsi="仿宋" w:eastAsia="仿宋" w:cs="仿宋"/>
                <w:color w:val="auto"/>
                <w:sz w:val="24"/>
                <w:szCs w:val="24"/>
                <w:highlight w:val="none"/>
                <w:shd w:val="clear" w:color="auto" w:fill="FFFFFF" w:themeFill="background1"/>
                <w:lang w:eastAsia="zh-CN"/>
              </w:rPr>
              <w:t>；</w:t>
            </w:r>
          </w:p>
        </w:tc>
        <w:tc>
          <w:tcPr>
            <w:tcW w:w="630" w:type="pct"/>
            <w:tcBorders>
              <w:tl2br w:val="nil"/>
              <w:tr2bl w:val="nil"/>
            </w:tcBorders>
            <w:vAlign w:val="center"/>
          </w:tcPr>
          <w:p w14:paraId="3C97912B">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w:t>
            </w:r>
          </w:p>
        </w:tc>
      </w:tr>
      <w:tr w14:paraId="06D660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41" w:type="pct"/>
            <w:tcBorders>
              <w:tl2br w:val="nil"/>
              <w:tr2bl w:val="nil"/>
            </w:tcBorders>
            <w:vAlign w:val="center"/>
          </w:tcPr>
          <w:p w14:paraId="57F01AAE">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2</w:t>
            </w:r>
          </w:p>
        </w:tc>
        <w:tc>
          <w:tcPr>
            <w:tcW w:w="4028" w:type="pct"/>
            <w:tcBorders>
              <w:tl2br w:val="nil"/>
              <w:tr2bl w:val="nil"/>
            </w:tcBorders>
            <w:vAlign w:val="center"/>
          </w:tcPr>
          <w:p w14:paraId="35CD709E">
            <w:pPr>
              <w:widowControl/>
              <w:shd w:val="clear" w:color="auto" w:fill="FFFFFF"/>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项目负责人简历表必须提供；</w:t>
            </w:r>
          </w:p>
        </w:tc>
        <w:tc>
          <w:tcPr>
            <w:tcW w:w="630" w:type="pct"/>
            <w:tcBorders>
              <w:tl2br w:val="nil"/>
              <w:tr2bl w:val="nil"/>
            </w:tcBorders>
            <w:vAlign w:val="center"/>
          </w:tcPr>
          <w:p w14:paraId="11364868">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w:t>
            </w:r>
          </w:p>
        </w:tc>
      </w:tr>
      <w:tr w14:paraId="74E8B2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41" w:type="pct"/>
            <w:tcBorders>
              <w:tl2br w:val="nil"/>
              <w:tr2bl w:val="nil"/>
            </w:tcBorders>
            <w:vAlign w:val="center"/>
          </w:tcPr>
          <w:p w14:paraId="1651275C">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3</w:t>
            </w:r>
          </w:p>
        </w:tc>
        <w:tc>
          <w:tcPr>
            <w:tcW w:w="4028" w:type="pct"/>
            <w:tcBorders>
              <w:tl2br w:val="nil"/>
              <w:tr2bl w:val="nil"/>
            </w:tcBorders>
            <w:vAlign w:val="center"/>
          </w:tcPr>
          <w:p w14:paraId="0A7A3D79">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rPr>
              <w:t>拟派本项目主要服务人员情况表必须提供；</w:t>
            </w:r>
          </w:p>
        </w:tc>
        <w:tc>
          <w:tcPr>
            <w:tcW w:w="630" w:type="pct"/>
            <w:tcBorders>
              <w:tl2br w:val="nil"/>
              <w:tr2bl w:val="nil"/>
            </w:tcBorders>
            <w:vAlign w:val="center"/>
          </w:tcPr>
          <w:p w14:paraId="1235E06F">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w:t>
            </w:r>
          </w:p>
        </w:tc>
      </w:tr>
      <w:tr w14:paraId="26E7D3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41" w:type="pct"/>
            <w:tcBorders>
              <w:tl2br w:val="nil"/>
              <w:tr2bl w:val="nil"/>
            </w:tcBorders>
            <w:vAlign w:val="center"/>
          </w:tcPr>
          <w:p w14:paraId="6D35CF74">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4</w:t>
            </w:r>
          </w:p>
        </w:tc>
        <w:tc>
          <w:tcPr>
            <w:tcW w:w="4028" w:type="pct"/>
            <w:tcBorders>
              <w:tl2br w:val="nil"/>
              <w:tr2bl w:val="nil"/>
            </w:tcBorders>
            <w:vAlign w:val="center"/>
          </w:tcPr>
          <w:p w14:paraId="492FAF88">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rPr>
              <w:t>服务周期必须满足</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文件要求；</w:t>
            </w:r>
          </w:p>
        </w:tc>
        <w:tc>
          <w:tcPr>
            <w:tcW w:w="630" w:type="pct"/>
            <w:tcBorders>
              <w:tl2br w:val="nil"/>
              <w:tr2bl w:val="nil"/>
            </w:tcBorders>
            <w:vAlign w:val="center"/>
          </w:tcPr>
          <w:p w14:paraId="69E3360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w:t>
            </w:r>
          </w:p>
        </w:tc>
      </w:tr>
      <w:tr w14:paraId="01AF8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41" w:type="pct"/>
            <w:tcBorders>
              <w:tl2br w:val="nil"/>
              <w:tr2bl w:val="nil"/>
            </w:tcBorders>
            <w:vAlign w:val="center"/>
          </w:tcPr>
          <w:p w14:paraId="19593D88">
            <w:pPr>
              <w:spacing w:line="360" w:lineRule="auto"/>
              <w:jc w:val="center"/>
              <w:rPr>
                <w:rFonts w:hint="eastAsia" w:ascii="仿宋" w:hAnsi="仿宋" w:eastAsia="仿宋" w:cs="仿宋"/>
                <w:color w:val="auto"/>
                <w:sz w:val="24"/>
                <w:szCs w:val="24"/>
                <w:highlight w:val="none"/>
                <w:shd w:val="clear" w:color="auto" w:fill="FFFFFF" w:themeFill="background1"/>
                <w:lang w:val="en-US" w:eastAsia="zh-CN"/>
              </w:rPr>
            </w:pPr>
            <w:r>
              <w:rPr>
                <w:rFonts w:hint="eastAsia" w:ascii="仿宋" w:hAnsi="仿宋" w:eastAsia="仿宋" w:cs="仿宋"/>
                <w:color w:val="auto"/>
                <w:sz w:val="24"/>
                <w:szCs w:val="24"/>
                <w:highlight w:val="none"/>
                <w:shd w:val="clear" w:color="auto" w:fill="FFFFFF" w:themeFill="background1"/>
                <w:lang w:val="en-US" w:eastAsia="zh-CN"/>
              </w:rPr>
              <w:t>5</w:t>
            </w:r>
          </w:p>
        </w:tc>
        <w:tc>
          <w:tcPr>
            <w:tcW w:w="4028" w:type="pct"/>
            <w:tcBorders>
              <w:tl2br w:val="nil"/>
              <w:tr2bl w:val="nil"/>
            </w:tcBorders>
            <w:vAlign w:val="center"/>
          </w:tcPr>
          <w:p w14:paraId="41F04586">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价格不得超过</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须知前附表中的采购预算金额；</w:t>
            </w:r>
          </w:p>
        </w:tc>
        <w:tc>
          <w:tcPr>
            <w:tcW w:w="630" w:type="pct"/>
            <w:tcBorders>
              <w:tl2br w:val="nil"/>
              <w:tr2bl w:val="nil"/>
            </w:tcBorders>
            <w:vAlign w:val="center"/>
          </w:tcPr>
          <w:p w14:paraId="4DA150C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w:t>
            </w:r>
          </w:p>
        </w:tc>
      </w:tr>
      <w:tr w14:paraId="65E6CD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41" w:type="pct"/>
            <w:tcBorders>
              <w:tl2br w:val="nil"/>
              <w:tr2bl w:val="nil"/>
            </w:tcBorders>
            <w:vAlign w:val="center"/>
          </w:tcPr>
          <w:p w14:paraId="137F1673">
            <w:pPr>
              <w:spacing w:line="360" w:lineRule="auto"/>
              <w:jc w:val="center"/>
              <w:rPr>
                <w:rFonts w:hint="eastAsia" w:ascii="仿宋" w:hAnsi="仿宋" w:eastAsia="仿宋" w:cs="仿宋"/>
                <w:color w:val="auto"/>
                <w:sz w:val="24"/>
                <w:szCs w:val="24"/>
                <w:highlight w:val="none"/>
                <w:shd w:val="clear" w:color="auto" w:fill="FFFFFF" w:themeFill="background1"/>
                <w:lang w:val="en-US" w:eastAsia="zh-CN"/>
              </w:rPr>
            </w:pPr>
            <w:r>
              <w:rPr>
                <w:rFonts w:hint="eastAsia" w:ascii="仿宋" w:hAnsi="仿宋" w:eastAsia="仿宋" w:cs="仿宋"/>
                <w:color w:val="auto"/>
                <w:sz w:val="24"/>
                <w:szCs w:val="24"/>
                <w:highlight w:val="none"/>
                <w:shd w:val="clear" w:color="auto" w:fill="FFFFFF" w:themeFill="background1"/>
                <w:lang w:val="en-US" w:eastAsia="zh-CN"/>
              </w:rPr>
              <w:t>6</w:t>
            </w:r>
          </w:p>
        </w:tc>
        <w:tc>
          <w:tcPr>
            <w:tcW w:w="4028" w:type="pct"/>
            <w:tcBorders>
              <w:tl2br w:val="nil"/>
              <w:tr2bl w:val="nil"/>
            </w:tcBorders>
          </w:tcPr>
          <w:p w14:paraId="646B4C6C">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文件没有不符合</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文件实质性要求的。</w:t>
            </w:r>
          </w:p>
        </w:tc>
        <w:tc>
          <w:tcPr>
            <w:tcW w:w="630" w:type="pct"/>
            <w:tcBorders>
              <w:tl2br w:val="nil"/>
              <w:tr2bl w:val="nil"/>
            </w:tcBorders>
            <w:vAlign w:val="center"/>
          </w:tcPr>
          <w:p w14:paraId="3825679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w:t>
            </w:r>
          </w:p>
        </w:tc>
      </w:tr>
      <w:tr w14:paraId="26B9A9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00" w:type="pct"/>
            <w:gridSpan w:val="3"/>
            <w:tcBorders>
              <w:tl2br w:val="nil"/>
              <w:tr2bl w:val="nil"/>
            </w:tcBorders>
            <w:vAlign w:val="center"/>
          </w:tcPr>
          <w:p w14:paraId="3C97FB1E">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备注：符合性审查中有一项不满足评审标准的，评标委员会将认定该投标人不通过符合性审查，不得进入下一阶段评审。并且不允许投标人通过修改或撤销其不符合要求的差异或保留，使之成为具有响应性的投标。</w:t>
            </w:r>
          </w:p>
        </w:tc>
      </w:tr>
    </w:tbl>
    <w:p w14:paraId="081BE18B">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《详细评审标准》</w:t>
      </w:r>
    </w:p>
    <w:tbl>
      <w:tblPr>
        <w:tblStyle w:val="41"/>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0"/>
        <w:gridCol w:w="1132"/>
        <w:gridCol w:w="547"/>
        <w:gridCol w:w="5818"/>
      </w:tblGrid>
      <w:tr w14:paraId="76911E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2122" w:type="dxa"/>
            <w:gridSpan w:val="2"/>
            <w:tcBorders>
              <w:tl2br w:val="nil"/>
              <w:tr2bl w:val="nil"/>
            </w:tcBorders>
            <w:vAlign w:val="center"/>
          </w:tcPr>
          <w:p w14:paraId="133E9837">
            <w:pPr>
              <w:spacing w:line="360" w:lineRule="auto"/>
              <w:ind w:right="638" w:rightChars="304"/>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评分因素</w:t>
            </w:r>
          </w:p>
        </w:tc>
        <w:tc>
          <w:tcPr>
            <w:tcW w:w="547" w:type="dxa"/>
            <w:tcBorders>
              <w:tl2br w:val="nil"/>
              <w:tr2bl w:val="nil"/>
            </w:tcBorders>
            <w:vAlign w:val="center"/>
          </w:tcPr>
          <w:p w14:paraId="72590550">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分值</w:t>
            </w:r>
          </w:p>
        </w:tc>
        <w:tc>
          <w:tcPr>
            <w:tcW w:w="5818" w:type="dxa"/>
            <w:tcBorders>
              <w:tl2br w:val="nil"/>
              <w:tr2bl w:val="nil"/>
            </w:tcBorders>
            <w:vAlign w:val="center"/>
          </w:tcPr>
          <w:p w14:paraId="71107DEE">
            <w:pPr>
              <w:spacing w:line="360" w:lineRule="auto"/>
              <w:ind w:right="-31" w:rightChars="-15"/>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评分细则</w:t>
            </w:r>
          </w:p>
        </w:tc>
      </w:tr>
      <w:tr w14:paraId="2D8B3A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2122" w:type="dxa"/>
            <w:gridSpan w:val="2"/>
            <w:tcBorders>
              <w:tl2br w:val="nil"/>
              <w:tr2bl w:val="nil"/>
            </w:tcBorders>
            <w:vAlign w:val="center"/>
          </w:tcPr>
          <w:p w14:paraId="4D3057F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tc>
        <w:tc>
          <w:tcPr>
            <w:tcW w:w="547" w:type="dxa"/>
            <w:tcBorders>
              <w:tl2br w:val="nil"/>
              <w:tr2bl w:val="nil"/>
            </w:tcBorders>
            <w:vAlign w:val="center"/>
          </w:tcPr>
          <w:p w14:paraId="411BD9F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0</w:t>
            </w:r>
          </w:p>
        </w:tc>
        <w:tc>
          <w:tcPr>
            <w:tcW w:w="5818" w:type="dxa"/>
            <w:tcBorders>
              <w:tl2br w:val="nil"/>
              <w:tr2bl w:val="nil"/>
            </w:tcBorders>
            <w:vAlign w:val="center"/>
          </w:tcPr>
          <w:p w14:paraId="5AF0F3A9">
            <w:pPr>
              <w:pStyle w:val="25"/>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要求且投标价格最低的有效投标报价（即除低于成本报价以外的报价）为评标基准价。其他投标人的价格分统一按照下列公式计算：</w:t>
            </w:r>
          </w:p>
          <w:p w14:paraId="72060207">
            <w:pPr>
              <w:pStyle w:val="25"/>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投标报价得分=（评标基准价/投标报价）×价格满分分值</w:t>
            </w:r>
          </w:p>
        </w:tc>
      </w:tr>
      <w:tr w14:paraId="3CF7DE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990" w:type="dxa"/>
            <w:vMerge w:val="restart"/>
            <w:tcBorders>
              <w:tl2br w:val="nil"/>
              <w:tr2bl w:val="nil"/>
            </w:tcBorders>
            <w:vAlign w:val="center"/>
          </w:tcPr>
          <w:p w14:paraId="67CF32F2">
            <w:pPr>
              <w:pStyle w:val="25"/>
              <w:spacing w:line="360" w:lineRule="auto"/>
              <w:ind w:right="-19" w:rightChars="-9"/>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1132" w:type="dxa"/>
            <w:tcBorders>
              <w:tl2br w:val="nil"/>
              <w:tr2bl w:val="nil"/>
            </w:tcBorders>
            <w:vAlign w:val="center"/>
          </w:tcPr>
          <w:p w14:paraId="4521C299">
            <w:pPr>
              <w:pStyle w:val="25"/>
              <w:spacing w:line="360" w:lineRule="auto"/>
              <w:ind w:right="31" w:rightChars="15"/>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类似项目业绩</w:t>
            </w:r>
          </w:p>
        </w:tc>
        <w:tc>
          <w:tcPr>
            <w:tcW w:w="547" w:type="dxa"/>
            <w:tcBorders>
              <w:tl2br w:val="nil"/>
              <w:tr2bl w:val="nil"/>
            </w:tcBorders>
            <w:vAlign w:val="center"/>
          </w:tcPr>
          <w:p w14:paraId="683B1A78">
            <w:pPr>
              <w:pStyle w:val="25"/>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818" w:type="dxa"/>
            <w:tcBorders>
              <w:tl2br w:val="nil"/>
              <w:tr2bl w:val="nil"/>
            </w:tcBorders>
            <w:vAlign w:val="center"/>
          </w:tcPr>
          <w:p w14:paraId="3339A61E">
            <w:pPr>
              <w:pStyle w:val="25"/>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投标人近三年（202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月1日-至今）类似</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业绩每提供1份得2分，满分10分，须提供合同</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（包含合同首页、关键页、签字盖章页）</w:t>
            </w:r>
          </w:p>
          <w:p w14:paraId="2CCCBB41">
            <w:pPr>
              <w:pStyle w:val="25"/>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注：1.未提供相关证明材料或提供证明材料不全者不得分。</w:t>
            </w:r>
          </w:p>
          <w:p w14:paraId="1C019021">
            <w:pPr>
              <w:pStyle w:val="25"/>
              <w:spacing w:line="360" w:lineRule="auto"/>
              <w:ind w:right="-31" w:rightChars="-1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2.投标人提供虚假证明材料的，按虚假投标处理。</w:t>
            </w:r>
          </w:p>
        </w:tc>
      </w:tr>
      <w:tr w14:paraId="1C7FAB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990" w:type="dxa"/>
            <w:vMerge w:val="continue"/>
            <w:tcBorders>
              <w:tl2br w:val="nil"/>
              <w:tr2bl w:val="nil"/>
            </w:tcBorders>
            <w:vAlign w:val="center"/>
          </w:tcPr>
          <w:p w14:paraId="0C705DAB">
            <w:pPr>
              <w:pStyle w:val="25"/>
              <w:spacing w:line="360" w:lineRule="auto"/>
              <w:ind w:right="-19" w:rightChars="-9"/>
              <w:jc w:val="center"/>
              <w:rPr>
                <w:rFonts w:hint="eastAsia" w:ascii="仿宋" w:hAnsi="仿宋" w:eastAsia="仿宋" w:cs="仿宋"/>
                <w:color w:val="auto"/>
                <w:sz w:val="24"/>
                <w:szCs w:val="24"/>
                <w:highlight w:val="none"/>
              </w:rPr>
            </w:pPr>
          </w:p>
        </w:tc>
        <w:tc>
          <w:tcPr>
            <w:tcW w:w="1132" w:type="dxa"/>
            <w:tcBorders>
              <w:tl2br w:val="nil"/>
              <w:tr2bl w:val="nil"/>
            </w:tcBorders>
            <w:vAlign w:val="center"/>
          </w:tcPr>
          <w:p w14:paraId="6351C032">
            <w:pPr>
              <w:pStyle w:val="2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技术团队</w:t>
            </w:r>
          </w:p>
        </w:tc>
        <w:tc>
          <w:tcPr>
            <w:tcW w:w="547" w:type="dxa"/>
            <w:tcBorders>
              <w:tl2br w:val="nil"/>
              <w:tr2bl w:val="nil"/>
            </w:tcBorders>
            <w:vAlign w:val="center"/>
          </w:tcPr>
          <w:p w14:paraId="04666C48">
            <w:pPr>
              <w:pStyle w:val="2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5818" w:type="dxa"/>
            <w:tcBorders>
              <w:tl2br w:val="nil"/>
              <w:tr2bl w:val="nil"/>
            </w:tcBorders>
            <w:vAlign w:val="center"/>
          </w:tcPr>
          <w:p w14:paraId="5A70C19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拟投入本项目服务人员中每有1人具有中级工程师</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证书（相关专业）得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03030A28">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注：专职技术人员须提供</w:t>
            </w:r>
            <w:r>
              <w:rPr>
                <w:rFonts w:hint="eastAsia" w:ascii="仿宋" w:hAnsi="仿宋" w:eastAsia="仿宋" w:cs="仿宋"/>
                <w:color w:val="auto"/>
                <w:sz w:val="24"/>
                <w:szCs w:val="24"/>
                <w:highlight w:val="none"/>
                <w:lang w:val="en-US" w:eastAsia="zh-CN"/>
              </w:rPr>
              <w:t>职称</w:t>
            </w:r>
            <w:r>
              <w:rPr>
                <w:rFonts w:hint="eastAsia" w:ascii="仿宋" w:hAnsi="仿宋" w:eastAsia="仿宋" w:cs="仿宋"/>
                <w:color w:val="auto"/>
                <w:sz w:val="24"/>
                <w:szCs w:val="24"/>
                <w:highlight w:val="none"/>
              </w:rPr>
              <w:t>证书复印件及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近半年任一个月</w:t>
            </w:r>
            <w:r>
              <w:rPr>
                <w:rFonts w:hint="eastAsia" w:ascii="仿宋" w:hAnsi="仿宋" w:eastAsia="仿宋" w:cs="仿宋"/>
                <w:color w:val="auto"/>
                <w:sz w:val="24"/>
                <w:szCs w:val="24"/>
                <w:highlight w:val="none"/>
              </w:rPr>
              <w:t>社保证明</w:t>
            </w:r>
            <w:r>
              <w:rPr>
                <w:rFonts w:hint="eastAsia" w:ascii="仿宋" w:hAnsi="仿宋" w:eastAsia="仿宋" w:cs="仿宋"/>
                <w:color w:val="auto"/>
                <w:sz w:val="24"/>
                <w:szCs w:val="24"/>
                <w:highlight w:val="none"/>
                <w:lang w:val="en-US" w:eastAsia="zh-CN"/>
              </w:rPr>
              <w:t>或劳务合同</w:t>
            </w:r>
            <w:r>
              <w:rPr>
                <w:rFonts w:hint="eastAsia" w:ascii="仿宋" w:hAnsi="仿宋" w:eastAsia="仿宋" w:cs="仿宋"/>
                <w:color w:val="auto"/>
                <w:sz w:val="24"/>
                <w:szCs w:val="24"/>
                <w:highlight w:val="none"/>
                <w:lang w:eastAsia="zh-CN"/>
              </w:rPr>
              <w:t>）。</w:t>
            </w:r>
          </w:p>
        </w:tc>
      </w:tr>
      <w:tr w14:paraId="700918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990" w:type="dxa"/>
            <w:vMerge w:val="continue"/>
            <w:tcBorders>
              <w:tl2br w:val="nil"/>
              <w:tr2bl w:val="nil"/>
            </w:tcBorders>
            <w:vAlign w:val="center"/>
          </w:tcPr>
          <w:p w14:paraId="6EB729D2">
            <w:pPr>
              <w:pStyle w:val="25"/>
              <w:spacing w:line="360" w:lineRule="auto"/>
              <w:ind w:right="-19" w:rightChars="-9"/>
              <w:jc w:val="center"/>
              <w:rPr>
                <w:rFonts w:hint="eastAsia" w:ascii="仿宋" w:hAnsi="仿宋" w:eastAsia="仿宋" w:cs="仿宋"/>
                <w:color w:val="auto"/>
                <w:sz w:val="24"/>
                <w:szCs w:val="24"/>
                <w:highlight w:val="none"/>
              </w:rPr>
            </w:pPr>
          </w:p>
        </w:tc>
        <w:tc>
          <w:tcPr>
            <w:tcW w:w="1132" w:type="dxa"/>
            <w:tcBorders>
              <w:tl2br w:val="nil"/>
              <w:tr2bl w:val="nil"/>
            </w:tcBorders>
            <w:vAlign w:val="center"/>
          </w:tcPr>
          <w:p w14:paraId="6B91CA51">
            <w:pPr>
              <w:pStyle w:val="2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olor w:val="auto"/>
                <w:kern w:val="0"/>
                <w:sz w:val="24"/>
                <w:szCs w:val="24"/>
                <w:highlight w:val="none"/>
              </w:rPr>
              <w:t>相关仪器设备</w:t>
            </w:r>
          </w:p>
        </w:tc>
        <w:tc>
          <w:tcPr>
            <w:tcW w:w="547" w:type="dxa"/>
            <w:tcBorders>
              <w:tl2br w:val="nil"/>
              <w:tr2bl w:val="nil"/>
            </w:tcBorders>
            <w:vAlign w:val="center"/>
          </w:tcPr>
          <w:p w14:paraId="2618E392">
            <w:pPr>
              <w:pStyle w:val="25"/>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5818" w:type="dxa"/>
            <w:tcBorders>
              <w:tl2br w:val="nil"/>
              <w:tr2bl w:val="nil"/>
            </w:tcBorders>
            <w:vAlign w:val="center"/>
          </w:tcPr>
          <w:p w14:paraId="756873C9">
            <w:pPr>
              <w:keepNext w:val="0"/>
              <w:keepLines w:val="0"/>
              <w:widowControl/>
              <w:suppressLineNumbers w:val="0"/>
              <w:spacing w:before="0" w:beforeAutospacing="0" w:after="0" w:afterAutospacing="0" w:line="360" w:lineRule="auto"/>
              <w:ind w:left="0" w:leftChars="0" w:right="0" w:rightChars="0"/>
              <w:jc w:val="left"/>
              <w:textAlignment w:val="top"/>
              <w:rPr>
                <w:rFonts w:hint="default" w:ascii="仿宋" w:hAnsi="仿宋" w:eastAsia="仿宋"/>
                <w:color w:val="auto"/>
                <w:kern w:val="0"/>
                <w:sz w:val="24"/>
                <w:szCs w:val="24"/>
                <w:highlight w:val="none"/>
                <w:lang w:val="en-US" w:eastAsia="zh-CN"/>
              </w:rPr>
            </w:pPr>
            <w:r>
              <w:rPr>
                <w:rFonts w:hint="eastAsia" w:ascii="仿宋" w:hAnsi="仿宋" w:eastAsia="仿宋"/>
                <w:color w:val="auto"/>
                <w:kern w:val="0"/>
                <w:sz w:val="24"/>
                <w:szCs w:val="24"/>
                <w:highlight w:val="none"/>
              </w:rPr>
              <w:t>满足本</w:t>
            </w:r>
            <w:r>
              <w:rPr>
                <w:rFonts w:hint="eastAsia" w:ascii="仿宋" w:hAnsi="仿宋" w:eastAsia="仿宋"/>
                <w:color w:val="auto"/>
                <w:kern w:val="0"/>
                <w:sz w:val="24"/>
                <w:szCs w:val="24"/>
                <w:highlight w:val="none"/>
                <w:lang w:val="en-US" w:eastAsia="zh-CN"/>
              </w:rPr>
              <w:t>项目</w:t>
            </w:r>
            <w:r>
              <w:rPr>
                <w:rFonts w:hint="eastAsia" w:ascii="仿宋" w:hAnsi="仿宋" w:eastAsia="仿宋"/>
                <w:color w:val="auto"/>
                <w:kern w:val="0"/>
                <w:sz w:val="24"/>
                <w:szCs w:val="24"/>
                <w:highlight w:val="none"/>
              </w:rPr>
              <w:t>各项要求</w:t>
            </w:r>
            <w:r>
              <w:rPr>
                <w:rFonts w:hint="eastAsia" w:ascii="仿宋" w:hAnsi="仿宋" w:eastAsia="仿宋"/>
                <w:color w:val="auto"/>
                <w:kern w:val="0"/>
                <w:sz w:val="24"/>
                <w:szCs w:val="24"/>
                <w:highlight w:val="none"/>
                <w:lang w:val="en-US" w:eastAsia="zh-CN"/>
              </w:rPr>
              <w:t>的钻探仪器设备，每提供一种与本项目服务有关的钻探仪器设备得1分，最高得5分。</w:t>
            </w:r>
          </w:p>
          <w:p w14:paraId="226580B5">
            <w:pPr>
              <w:keepNext w:val="0"/>
              <w:keepLines w:val="0"/>
              <w:widowControl/>
              <w:suppressLineNumbers w:val="0"/>
              <w:spacing w:before="0" w:beforeAutospacing="0" w:after="0" w:afterAutospacing="0" w:line="360" w:lineRule="auto"/>
              <w:ind w:left="0" w:leftChars="0" w:right="0" w:rightChars="0"/>
              <w:jc w:val="lef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注：须提供</w:t>
            </w:r>
            <w:r>
              <w:rPr>
                <w:rFonts w:hint="eastAsia" w:ascii="仿宋" w:hAnsi="仿宋" w:eastAsia="仿宋" w:cs="仿宋"/>
                <w:color w:val="auto"/>
                <w:sz w:val="24"/>
                <w:szCs w:val="24"/>
                <w:highlight w:val="none"/>
                <w:lang w:val="en-US" w:eastAsia="zh-CN"/>
              </w:rPr>
              <w:t>购买凭证（如购置发票、合同等）或租赁合同、</w:t>
            </w:r>
            <w:r>
              <w:rPr>
                <w:rFonts w:hint="eastAsia" w:ascii="仿宋" w:hAnsi="仿宋" w:eastAsia="仿宋"/>
                <w:color w:val="auto"/>
                <w:kern w:val="0"/>
                <w:sz w:val="24"/>
                <w:szCs w:val="24"/>
                <w:highlight w:val="none"/>
                <w:lang w:val="en-US" w:eastAsia="zh-CN"/>
              </w:rPr>
              <w:t>设备</w:t>
            </w:r>
            <w:r>
              <w:rPr>
                <w:rFonts w:hint="eastAsia" w:ascii="仿宋" w:hAnsi="仿宋" w:eastAsia="仿宋" w:cs="仿宋"/>
                <w:color w:val="auto"/>
                <w:sz w:val="24"/>
                <w:szCs w:val="24"/>
                <w:highlight w:val="none"/>
                <w:lang w:val="en-US" w:eastAsia="zh-CN"/>
              </w:rPr>
              <w:t>照片、设备清单</w:t>
            </w:r>
            <w:r>
              <w:rPr>
                <w:rFonts w:hint="eastAsia" w:ascii="仿宋" w:hAnsi="仿宋" w:eastAsia="仿宋" w:cs="仿宋"/>
                <w:color w:val="auto"/>
                <w:sz w:val="24"/>
                <w:szCs w:val="24"/>
                <w:highlight w:val="none"/>
                <w:lang w:eastAsia="zh-CN"/>
              </w:rPr>
              <w:t>。</w:t>
            </w:r>
          </w:p>
        </w:tc>
      </w:tr>
      <w:tr w14:paraId="6EAC73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990" w:type="dxa"/>
            <w:vMerge w:val="restart"/>
            <w:tcBorders>
              <w:tl2br w:val="nil"/>
              <w:tr2bl w:val="nil"/>
            </w:tcBorders>
            <w:vAlign w:val="center"/>
          </w:tcPr>
          <w:p w14:paraId="6A25A104">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部分(</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w:t>
            </w:r>
          </w:p>
        </w:tc>
        <w:tc>
          <w:tcPr>
            <w:tcW w:w="1132" w:type="dxa"/>
            <w:tcBorders>
              <w:tl2br w:val="nil"/>
              <w:tr2bl w:val="nil"/>
            </w:tcBorders>
            <w:vAlign w:val="center"/>
          </w:tcPr>
          <w:p w14:paraId="195BF512">
            <w:pPr>
              <w:pStyle w:val="25"/>
              <w:spacing w:line="360" w:lineRule="auto"/>
              <w:ind w:right="31" w:rightChars="1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实施方案</w:t>
            </w:r>
          </w:p>
        </w:tc>
        <w:tc>
          <w:tcPr>
            <w:tcW w:w="547" w:type="dxa"/>
            <w:tcBorders>
              <w:tl2br w:val="nil"/>
              <w:tr2bl w:val="nil"/>
            </w:tcBorders>
            <w:vAlign w:val="center"/>
          </w:tcPr>
          <w:p w14:paraId="35C017D9">
            <w:pPr>
              <w:pStyle w:val="25"/>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5818" w:type="dxa"/>
            <w:tcBorders>
              <w:tl2br w:val="nil"/>
              <w:tr2bl w:val="nil"/>
            </w:tcBorders>
            <w:vAlign w:val="center"/>
          </w:tcPr>
          <w:p w14:paraId="1423532F">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提供详细的项目实施方案包括：</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项目前期资料收集及物资准备</w:t>
            </w:r>
            <w:r>
              <w:rPr>
                <w:rFonts w:hint="eastAsia" w:ascii="仿宋" w:hAnsi="仿宋" w:eastAsia="仿宋" w:cs="仿宋"/>
                <w:color w:val="auto"/>
                <w:sz w:val="24"/>
                <w:szCs w:val="24"/>
                <w:highlight w:val="none"/>
                <w:lang w:val="en-US" w:eastAsia="zh-CN"/>
              </w:rPr>
              <w:t>②钻探施工实施方案；③项目重点难点分析及解决方案；④生态绿色勘查‌;⑤组织架构及专业分工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⑥</w:t>
            </w:r>
            <w:r>
              <w:rPr>
                <w:rFonts w:hint="eastAsia" w:ascii="仿宋" w:hAnsi="仿宋" w:eastAsia="仿宋" w:cs="仿宋"/>
                <w:color w:val="auto"/>
                <w:sz w:val="24"/>
                <w:szCs w:val="24"/>
                <w:highlight w:val="none"/>
                <w:lang w:eastAsia="zh-CN"/>
              </w:rPr>
              <w:t>安全管理措施；</w:t>
            </w:r>
            <w:r>
              <w:rPr>
                <w:rFonts w:hint="eastAsia" w:ascii="仿宋" w:hAnsi="仿宋" w:eastAsia="仿宋" w:cs="仿宋"/>
                <w:color w:val="auto"/>
                <w:sz w:val="24"/>
                <w:szCs w:val="24"/>
                <w:highlight w:val="none"/>
                <w:lang w:val="en-US" w:eastAsia="zh-CN"/>
              </w:rPr>
              <w:t>⑦设备与后勤‌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部分要素</w:t>
            </w:r>
            <w:r>
              <w:rPr>
                <w:rFonts w:hint="eastAsia" w:ascii="仿宋" w:hAnsi="仿宋" w:eastAsia="仿宋" w:cs="仿宋"/>
                <w:color w:val="auto"/>
                <w:sz w:val="24"/>
                <w:szCs w:val="24"/>
                <w:highlight w:val="none"/>
              </w:rPr>
              <w:t>。</w:t>
            </w:r>
          </w:p>
          <w:p w14:paraId="77AA5C2D">
            <w:pPr>
              <w:pStyle w:val="25"/>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所有要素齐全且完全满足项目要求得</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分;每缺少一项内容的扣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分;每有一处缺陷的扣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分;扣完为止，未提供不得分。(缺陷是指:存在不适用该项目实际情况的情形、凭空编造、内容前后不一致、前后逻辑错误、涉及的规范及标准错误、地点区域错误、内容缺失、不符合采购需求的任意一项)</w:t>
            </w:r>
          </w:p>
        </w:tc>
      </w:tr>
      <w:tr w14:paraId="49907D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990" w:type="dxa"/>
            <w:vMerge w:val="continue"/>
            <w:tcBorders>
              <w:tl2br w:val="nil"/>
              <w:tr2bl w:val="nil"/>
            </w:tcBorders>
            <w:vAlign w:val="center"/>
          </w:tcPr>
          <w:p w14:paraId="2C420717">
            <w:pPr>
              <w:widowControl/>
              <w:spacing w:line="360" w:lineRule="auto"/>
              <w:jc w:val="left"/>
              <w:rPr>
                <w:rFonts w:hint="eastAsia" w:ascii="仿宋" w:hAnsi="仿宋" w:eastAsia="仿宋" w:cs="仿宋"/>
                <w:color w:val="auto"/>
                <w:sz w:val="24"/>
                <w:szCs w:val="24"/>
                <w:highlight w:val="none"/>
              </w:rPr>
            </w:pPr>
          </w:p>
        </w:tc>
        <w:tc>
          <w:tcPr>
            <w:tcW w:w="1132" w:type="dxa"/>
            <w:tcBorders>
              <w:tl2br w:val="nil"/>
              <w:tr2bl w:val="nil"/>
            </w:tcBorders>
            <w:shd w:val="clear" w:color="auto" w:fill="auto"/>
            <w:vAlign w:val="center"/>
          </w:tcPr>
          <w:p w14:paraId="348AF2BA">
            <w:pPr>
              <w:pStyle w:val="25"/>
              <w:spacing w:line="360" w:lineRule="auto"/>
              <w:ind w:right="31" w:rightChars="15"/>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进度计划保障措施</w:t>
            </w:r>
          </w:p>
        </w:tc>
        <w:tc>
          <w:tcPr>
            <w:tcW w:w="547" w:type="dxa"/>
            <w:tcBorders>
              <w:tl2br w:val="nil"/>
              <w:tr2bl w:val="nil"/>
            </w:tcBorders>
            <w:shd w:val="clear" w:color="auto" w:fill="auto"/>
            <w:vAlign w:val="center"/>
          </w:tcPr>
          <w:p w14:paraId="457A204B">
            <w:pPr>
              <w:pStyle w:val="25"/>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5818" w:type="dxa"/>
            <w:tcBorders>
              <w:tl2br w:val="nil"/>
              <w:tr2bl w:val="nil"/>
            </w:tcBorders>
            <w:shd w:val="clear" w:color="auto" w:fill="auto"/>
            <w:vAlign w:val="top"/>
          </w:tcPr>
          <w:p w14:paraId="379A2C2D">
            <w:pPr>
              <w:pStyle w:val="25"/>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提供详细进度计划保障措施</w:t>
            </w:r>
            <w:r>
              <w:rPr>
                <w:rFonts w:hint="eastAsia" w:ascii="仿宋" w:hAnsi="仿宋" w:eastAsia="仿宋" w:cs="仿宋"/>
                <w:color w:val="auto"/>
                <w:sz w:val="24"/>
                <w:szCs w:val="24"/>
                <w:highlight w:val="none"/>
                <w:lang w:val="en-US" w:eastAsia="zh-CN"/>
              </w:rPr>
              <w:t>包括:①</w:t>
            </w:r>
            <w:r>
              <w:rPr>
                <w:rFonts w:hint="eastAsia" w:ascii="仿宋" w:hAnsi="仿宋" w:eastAsia="仿宋" w:cs="仿宋"/>
                <w:color w:val="auto"/>
                <w:sz w:val="24"/>
                <w:szCs w:val="24"/>
                <w:highlight w:val="none"/>
              </w:rPr>
              <w:t>项目实施的</w:t>
            </w:r>
            <w:r>
              <w:rPr>
                <w:rFonts w:hint="eastAsia" w:ascii="仿宋" w:hAnsi="仿宋" w:eastAsia="仿宋" w:cs="仿宋"/>
                <w:color w:val="auto"/>
                <w:sz w:val="24"/>
                <w:szCs w:val="24"/>
                <w:highlight w:val="none"/>
                <w:lang w:val="zh-CN"/>
              </w:rPr>
              <w:t>任务划分；</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val="zh-CN"/>
              </w:rPr>
              <w:t>关键时间节点把握；</w:t>
            </w: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rPr>
              <w:t>提供进度计划保障措施，</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部分要素。</w:t>
            </w:r>
          </w:p>
          <w:p w14:paraId="5344AEB9">
            <w:pPr>
              <w:pStyle w:val="25"/>
              <w:spacing w:line="360" w:lineRule="auto"/>
              <w:ind w:right="-31" w:rightChars="-15"/>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所有要素齐全且完全满足项目要求得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分;每缺少一项内容的扣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分;每有一处缺陷的扣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分;扣完为止，未提供不得分。(缺陷是指:存在不适用该项目实际情况的情形、凭空编造、内容前后不一致、前后逻辑错误、涉及的规范及标准错误、地点区域错误、内容缺失、不符合采购需求的任意一项)</w:t>
            </w:r>
          </w:p>
        </w:tc>
      </w:tr>
      <w:tr w14:paraId="29C3C0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990" w:type="dxa"/>
            <w:vMerge w:val="continue"/>
            <w:tcBorders>
              <w:tl2br w:val="nil"/>
              <w:tr2bl w:val="nil"/>
            </w:tcBorders>
            <w:vAlign w:val="center"/>
          </w:tcPr>
          <w:p w14:paraId="60959F97">
            <w:pPr>
              <w:widowControl/>
              <w:spacing w:line="360" w:lineRule="auto"/>
              <w:jc w:val="left"/>
              <w:rPr>
                <w:rFonts w:hint="eastAsia" w:ascii="仿宋" w:hAnsi="仿宋" w:eastAsia="仿宋" w:cs="仿宋"/>
                <w:color w:val="auto"/>
                <w:sz w:val="24"/>
                <w:szCs w:val="24"/>
                <w:highlight w:val="none"/>
              </w:rPr>
            </w:pPr>
          </w:p>
        </w:tc>
        <w:tc>
          <w:tcPr>
            <w:tcW w:w="1132" w:type="dxa"/>
            <w:tcBorders>
              <w:tl2br w:val="nil"/>
              <w:tr2bl w:val="nil"/>
            </w:tcBorders>
            <w:shd w:val="clear" w:color="auto" w:fill="auto"/>
            <w:vAlign w:val="center"/>
          </w:tcPr>
          <w:p w14:paraId="1A8D3998">
            <w:pPr>
              <w:pStyle w:val="25"/>
              <w:spacing w:line="360" w:lineRule="auto"/>
              <w:ind w:right="31" w:rightChars="15"/>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服务质量控制措施</w:t>
            </w:r>
          </w:p>
        </w:tc>
        <w:tc>
          <w:tcPr>
            <w:tcW w:w="547" w:type="dxa"/>
            <w:tcBorders>
              <w:tl2br w:val="nil"/>
              <w:tr2bl w:val="nil"/>
            </w:tcBorders>
            <w:shd w:val="clear" w:color="auto" w:fill="auto"/>
            <w:vAlign w:val="center"/>
          </w:tcPr>
          <w:p w14:paraId="3FA413D8">
            <w:pPr>
              <w:pStyle w:val="25"/>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w:t>
            </w:r>
          </w:p>
        </w:tc>
        <w:tc>
          <w:tcPr>
            <w:tcW w:w="5818" w:type="dxa"/>
            <w:tcBorders>
              <w:tl2br w:val="nil"/>
              <w:tr2bl w:val="nil"/>
            </w:tcBorders>
            <w:shd w:val="clear" w:color="auto" w:fill="auto"/>
            <w:vAlign w:val="center"/>
          </w:tcPr>
          <w:p w14:paraId="1B173E27">
            <w:pPr>
              <w:pStyle w:val="25"/>
              <w:spacing w:line="360" w:lineRule="auto"/>
              <w:ind w:right="-31" w:rightChars="-1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服务质量控制措施包括但不限于：①质量管理组织机构；②团队人员职责分工；③</w:t>
            </w:r>
            <w:r>
              <w:rPr>
                <w:rFonts w:hint="eastAsia" w:ascii="仿宋" w:hAnsi="仿宋" w:eastAsia="仿宋" w:cs="仿宋"/>
                <w:color w:val="auto"/>
                <w:sz w:val="24"/>
                <w:szCs w:val="24"/>
                <w:highlight w:val="none"/>
                <w:lang w:val="en-US" w:eastAsia="zh-CN"/>
              </w:rPr>
              <w:t>钻孔</w:t>
            </w:r>
            <w:r>
              <w:rPr>
                <w:rFonts w:hint="eastAsia" w:ascii="仿宋" w:hAnsi="仿宋" w:eastAsia="仿宋" w:cs="仿宋"/>
                <w:color w:val="auto"/>
                <w:sz w:val="24"/>
                <w:szCs w:val="24"/>
                <w:highlight w:val="none"/>
              </w:rPr>
              <w:t>质量保证措施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④</w:t>
            </w:r>
            <w:r>
              <w:rPr>
                <w:rFonts w:hint="eastAsia" w:ascii="仿宋" w:hAnsi="仿宋" w:eastAsia="仿宋" w:cs="仿宋"/>
                <w:color w:val="auto"/>
                <w:sz w:val="24"/>
                <w:szCs w:val="24"/>
                <w:highlight w:val="none"/>
                <w:lang w:val="en-US" w:eastAsia="zh-CN"/>
              </w:rPr>
              <w:t>环境保护措施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部分要素</w:t>
            </w:r>
            <w:r>
              <w:rPr>
                <w:rFonts w:hint="eastAsia" w:ascii="仿宋" w:hAnsi="仿宋" w:eastAsia="仿宋" w:cs="仿宋"/>
                <w:color w:val="auto"/>
                <w:sz w:val="24"/>
                <w:szCs w:val="24"/>
                <w:highlight w:val="none"/>
                <w:lang w:eastAsia="zh-CN"/>
              </w:rPr>
              <w:t>。</w:t>
            </w:r>
          </w:p>
          <w:p w14:paraId="3A1C7BD3">
            <w:pPr>
              <w:pStyle w:val="25"/>
              <w:spacing w:line="360" w:lineRule="auto"/>
              <w:ind w:right="-31" w:rightChars="-15"/>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所有要素齐全且完全满足项目要求得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分，每缺一个要素扣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分，每个要素里每有一处内容缺陷扣</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未提供不得分。(缺陷是指:存在不适用该项目实际情况的情形、凭空编造、内容前后不一致、前后逻辑错误、涉及的规范及标准错误、地点区域错误、内容缺失、不符合采购需求的任意一项)。</w:t>
            </w:r>
          </w:p>
        </w:tc>
      </w:tr>
      <w:tr w14:paraId="51B210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990" w:type="dxa"/>
            <w:vMerge w:val="continue"/>
            <w:tcBorders>
              <w:tl2br w:val="nil"/>
              <w:tr2bl w:val="nil"/>
            </w:tcBorders>
            <w:vAlign w:val="center"/>
          </w:tcPr>
          <w:p w14:paraId="6D25D330">
            <w:pPr>
              <w:widowControl/>
              <w:spacing w:line="360" w:lineRule="auto"/>
              <w:jc w:val="left"/>
              <w:rPr>
                <w:rFonts w:hint="eastAsia" w:ascii="仿宋" w:hAnsi="仿宋" w:eastAsia="仿宋" w:cs="仿宋"/>
                <w:color w:val="auto"/>
                <w:sz w:val="24"/>
                <w:szCs w:val="24"/>
                <w:highlight w:val="none"/>
              </w:rPr>
            </w:pPr>
          </w:p>
        </w:tc>
        <w:tc>
          <w:tcPr>
            <w:tcW w:w="1132" w:type="dxa"/>
            <w:tcBorders>
              <w:tl2br w:val="nil"/>
              <w:tr2bl w:val="nil"/>
            </w:tcBorders>
            <w:shd w:val="clear" w:color="auto" w:fill="auto"/>
            <w:vAlign w:val="center"/>
          </w:tcPr>
          <w:p w14:paraId="5AAB9D53">
            <w:pPr>
              <w:pStyle w:val="25"/>
              <w:spacing w:line="360" w:lineRule="auto"/>
              <w:ind w:right="31" w:rightChars="15"/>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应急预案</w:t>
            </w:r>
          </w:p>
        </w:tc>
        <w:tc>
          <w:tcPr>
            <w:tcW w:w="547" w:type="dxa"/>
            <w:tcBorders>
              <w:tl2br w:val="nil"/>
              <w:tr2bl w:val="nil"/>
            </w:tcBorders>
            <w:shd w:val="clear" w:color="auto" w:fill="auto"/>
            <w:vAlign w:val="center"/>
          </w:tcPr>
          <w:p w14:paraId="0F3523B6">
            <w:pPr>
              <w:pStyle w:val="25"/>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5818" w:type="dxa"/>
            <w:tcBorders>
              <w:tl2br w:val="nil"/>
              <w:tr2bl w:val="nil"/>
            </w:tcBorders>
            <w:shd w:val="clear" w:color="auto" w:fill="auto"/>
            <w:vAlign w:val="center"/>
          </w:tcPr>
          <w:p w14:paraId="4644D3DE">
            <w:pPr>
              <w:pStyle w:val="25"/>
              <w:spacing w:line="360" w:lineRule="auto"/>
              <w:ind w:right="-31" w:rightChars="-1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应急预案</w:t>
            </w:r>
            <w:r>
              <w:rPr>
                <w:rFonts w:hint="eastAsia" w:ascii="仿宋" w:hAnsi="仿宋" w:eastAsia="仿宋" w:cs="仿宋"/>
                <w:color w:val="auto"/>
                <w:sz w:val="24"/>
                <w:szCs w:val="24"/>
                <w:highlight w:val="none"/>
              </w:rPr>
              <w:t>包括但不限于：①应急组织机构及职责；②重点事故分类及响应措施；③专项应急预案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④应急保障措施；</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部分要素</w:t>
            </w:r>
            <w:r>
              <w:rPr>
                <w:rFonts w:hint="eastAsia" w:ascii="仿宋" w:hAnsi="仿宋" w:eastAsia="仿宋" w:cs="仿宋"/>
                <w:color w:val="auto"/>
                <w:sz w:val="24"/>
                <w:szCs w:val="24"/>
                <w:highlight w:val="none"/>
                <w:lang w:eastAsia="zh-CN"/>
              </w:rPr>
              <w:t>。</w:t>
            </w:r>
          </w:p>
          <w:p w14:paraId="3A9DFF93">
            <w:pPr>
              <w:pStyle w:val="25"/>
              <w:spacing w:line="360" w:lineRule="auto"/>
              <w:ind w:right="-31" w:rightChars="-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所有要素齐全且完全满足项目要求得</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分，每缺一个要素扣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分，每个要素里每有一处内容缺陷扣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未提供不得分。(缺陷是指:存在不适用该项目实际情况的情形、凭空编造、内容前后不一致、前后逻辑错误、涉及的规范及标准错误、地点区域错误、内容缺失、不符合采购需求的任意一项)。</w:t>
            </w:r>
          </w:p>
        </w:tc>
      </w:tr>
    </w:tbl>
    <w:p w14:paraId="39A6D238">
      <w:pPr>
        <w:rPr>
          <w:rFonts w:hint="eastAsia" w:ascii="仿宋" w:hAnsi="仿宋" w:eastAsia="仿宋" w:cs="仿宋"/>
          <w:color w:val="auto"/>
          <w:highlight w:val="none"/>
        </w:rPr>
      </w:pPr>
    </w:p>
    <w:p w14:paraId="1ADE3567">
      <w:pPr>
        <w:tabs>
          <w:tab w:val="center" w:pos="4832"/>
          <w:tab w:val="left" w:pos="7140"/>
        </w:tabs>
        <w:spacing w:line="360" w:lineRule="auto"/>
        <w:ind w:firstLine="472" w:firstLineChars="196"/>
        <w:jc w:val="left"/>
        <w:outlineLvl w:val="2"/>
        <w:rPr>
          <w:rFonts w:hint="eastAsia" w:ascii="仿宋" w:hAnsi="仿宋" w:eastAsia="仿宋" w:cs="仿宋"/>
          <w:b/>
          <w:color w:val="auto"/>
          <w:sz w:val="24"/>
          <w:szCs w:val="24"/>
          <w:highlight w:val="none"/>
        </w:rPr>
      </w:pPr>
      <w:bookmarkStart w:id="34" w:name="_Toc17904"/>
      <w:r>
        <w:rPr>
          <w:rFonts w:hint="eastAsia" w:ascii="仿宋" w:hAnsi="仿宋" w:eastAsia="仿宋" w:cs="仿宋"/>
          <w:b/>
          <w:color w:val="auto"/>
          <w:sz w:val="24"/>
          <w:szCs w:val="24"/>
          <w:highlight w:val="none"/>
        </w:rPr>
        <w:t>1. 评标方法</w:t>
      </w:r>
      <w:bookmarkEnd w:id="34"/>
    </w:p>
    <w:p w14:paraId="57F9B6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本次评标采用综合评分法。评标小组对满足招标文件实质性要求的投标文件，按照本节规定的评标标准进行评标。评标中各评委若发生意见分歧，以少数服从多数原则确定。</w:t>
      </w:r>
    </w:p>
    <w:p w14:paraId="137EF545">
      <w:pPr>
        <w:tabs>
          <w:tab w:val="center" w:pos="4832"/>
          <w:tab w:val="left" w:pos="7140"/>
        </w:tabs>
        <w:spacing w:line="360" w:lineRule="auto"/>
        <w:ind w:firstLine="472" w:firstLineChars="196"/>
        <w:jc w:val="left"/>
        <w:outlineLvl w:val="2"/>
        <w:rPr>
          <w:rFonts w:hint="eastAsia" w:ascii="仿宋" w:hAnsi="仿宋" w:eastAsia="仿宋" w:cs="仿宋"/>
          <w:b/>
          <w:color w:val="auto"/>
          <w:sz w:val="24"/>
          <w:szCs w:val="24"/>
          <w:highlight w:val="none"/>
        </w:rPr>
      </w:pPr>
      <w:bookmarkStart w:id="35" w:name="_Toc25431"/>
      <w:r>
        <w:rPr>
          <w:rFonts w:hint="eastAsia" w:ascii="仿宋" w:hAnsi="仿宋" w:eastAsia="仿宋" w:cs="仿宋"/>
          <w:b/>
          <w:color w:val="auto"/>
          <w:sz w:val="24"/>
          <w:szCs w:val="24"/>
          <w:highlight w:val="none"/>
        </w:rPr>
        <w:t>2. 评标标准</w:t>
      </w:r>
      <w:bookmarkEnd w:id="35"/>
    </w:p>
    <w:p w14:paraId="297BF5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资格审查：评标因素和评标标准见《资格审查标准》。</w:t>
      </w:r>
    </w:p>
    <w:p w14:paraId="6224CB67">
      <w:pPr>
        <w:widowControl/>
        <w:shd w:val="clear" w:color="auto" w:fill="FFFFFF"/>
        <w:snapToGrid w:val="0"/>
        <w:spacing w:line="360" w:lineRule="auto"/>
        <w:ind w:left="479" w:leftChars="22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 符合性审查：评标因素和评标标准见《符合性审查标准》。</w:t>
      </w:r>
    </w:p>
    <w:p w14:paraId="55D41529">
      <w:pPr>
        <w:widowControl/>
        <w:shd w:val="clear" w:color="auto" w:fill="FFFFFF"/>
        <w:snapToGrid w:val="0"/>
        <w:spacing w:line="360" w:lineRule="auto"/>
        <w:ind w:left="479" w:leftChars="22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2.3详细评审：</w:t>
      </w:r>
    </w:p>
    <w:p w14:paraId="422E0D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2.3.1详细评审：评标因素和评标标准见《详细评审标准》及本节第3.5款。</w:t>
      </w:r>
    </w:p>
    <w:p w14:paraId="1AEBDDF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投标报价评分标准：</w:t>
      </w:r>
    </w:p>
    <w:p w14:paraId="2FEBE84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（1）分值构成及权重：见评标办法前附表。</w:t>
      </w:r>
    </w:p>
    <w:p w14:paraId="44D136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（2）评标基准价计算：见评标办法前附表。</w:t>
      </w:r>
    </w:p>
    <w:p w14:paraId="4C3FB7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0305845A">
      <w:pPr>
        <w:tabs>
          <w:tab w:val="center" w:pos="4832"/>
          <w:tab w:val="left" w:pos="7140"/>
        </w:tabs>
        <w:spacing w:line="360" w:lineRule="auto"/>
        <w:ind w:firstLine="472" w:firstLineChars="196"/>
        <w:jc w:val="left"/>
        <w:outlineLvl w:val="2"/>
        <w:rPr>
          <w:rFonts w:hint="eastAsia" w:ascii="仿宋" w:hAnsi="仿宋" w:eastAsia="仿宋" w:cs="仿宋"/>
          <w:b/>
          <w:color w:val="auto"/>
          <w:sz w:val="24"/>
          <w:szCs w:val="24"/>
          <w:highlight w:val="none"/>
        </w:rPr>
      </w:pPr>
      <w:bookmarkStart w:id="36" w:name="_Toc29324"/>
      <w:r>
        <w:rPr>
          <w:rFonts w:hint="eastAsia" w:ascii="仿宋" w:hAnsi="仿宋" w:eastAsia="仿宋" w:cs="仿宋"/>
          <w:b/>
          <w:color w:val="auto"/>
          <w:sz w:val="24"/>
          <w:szCs w:val="24"/>
          <w:highlight w:val="none"/>
        </w:rPr>
        <w:t>3. 评标程序</w:t>
      </w:r>
      <w:bookmarkEnd w:id="36"/>
    </w:p>
    <w:p w14:paraId="4ACFE1DA">
      <w:pPr>
        <w:tabs>
          <w:tab w:val="center" w:pos="4832"/>
          <w:tab w:val="left" w:pos="7140"/>
        </w:tabs>
        <w:spacing w:line="360" w:lineRule="auto"/>
        <w:ind w:firstLine="470" w:firstLineChars="19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3.1基本程序</w:t>
      </w:r>
    </w:p>
    <w:p w14:paraId="313A4A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FE492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（1）评标准备</w:t>
      </w:r>
    </w:p>
    <w:p w14:paraId="24BB97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（2）资格审查</w:t>
      </w:r>
    </w:p>
    <w:p w14:paraId="3B2322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（3）符合性审查</w:t>
      </w:r>
    </w:p>
    <w:p w14:paraId="4C2AE7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（4）详细评审</w:t>
      </w:r>
    </w:p>
    <w:p w14:paraId="0820FDD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（5）澄清、说明或补正</w:t>
      </w:r>
    </w:p>
    <w:p w14:paraId="1AF403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（6）推荐中标候选人及提交评标报告</w:t>
      </w:r>
    </w:p>
    <w:p w14:paraId="67D7276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1D28B3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3.2.1评标小组成员签到</w:t>
      </w:r>
    </w:p>
    <w:p w14:paraId="326793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评标小组成员到达评标现场时应当在签到表上签到以证明其出席。</w:t>
      </w:r>
    </w:p>
    <w:p w14:paraId="078B79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评标小组的分工</w:t>
      </w:r>
    </w:p>
    <w:p w14:paraId="4D0E28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3.2.2.1评标小组首先推选一名评标小组主任。评标小组主任负责评标活动的组织领导工作。评标小组主任与评标小组其他成员具有同等的评标权力。</w:t>
      </w:r>
    </w:p>
    <w:p w14:paraId="6DAF495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评标小组主任除履行自己作为评标小组成员独立评标的职责外，主要负责以下工作：</w:t>
      </w:r>
    </w:p>
    <w:p w14:paraId="5EE842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（1）组织评标小组成员学习招标文件；</w:t>
      </w:r>
    </w:p>
    <w:p w14:paraId="5EB328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（2）汇总各评标小组成员认为需要投标人澄清、说明或者补正的问题；</w:t>
      </w:r>
    </w:p>
    <w:p w14:paraId="7FB7E4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（3）组织评标小组对投标人质询并对投标人的答复进行评标；</w:t>
      </w:r>
    </w:p>
    <w:p w14:paraId="35F4A2A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3298E0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（5）组织收回评标过程中使用的文件、表格和评标记录以及其他资料，并查验评标记录的完整性及有效性；</w:t>
      </w:r>
    </w:p>
    <w:p w14:paraId="78FDA11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6308FAE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33918D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5DCCBE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14:paraId="06A7869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采购人或采购代理机构应当向评标小组提供评标所需的信息和数据，包括：</w:t>
      </w:r>
    </w:p>
    <w:p w14:paraId="371406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329516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60B949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1D8F33B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6FE3BC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（5）其他信息和数据。</w:t>
      </w:r>
    </w:p>
    <w:p w14:paraId="3E18D7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3.3资格审查（适用于资格后审）</w:t>
      </w:r>
    </w:p>
    <w:p w14:paraId="60BFF8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58EF47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3.4符合性审查</w:t>
      </w:r>
    </w:p>
    <w:p w14:paraId="6F8F80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小组依据本章规定的评标因素和评标标准，对投标人的投标文件进行符合性审查。符合性审查有一项未通过评标标准，评标小组将认定整个投标文件不响应招标文件而否决其投标，并且不允许投标人通过修改或撤销其不符合要求的差异或保留，使之成为具有响应性的投标。</w:t>
      </w:r>
    </w:p>
    <w:p w14:paraId="357039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3.4.2符合性审查条款是指对本招标项目产生了重大影响的重大偏差，而且纠正此类偏差将会对响应本次招标的其他投标人的竞争地位产生不公正的影响。</w:t>
      </w:r>
    </w:p>
    <w:p w14:paraId="05E185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3D69859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3.5详细评审</w:t>
      </w:r>
    </w:p>
    <w:p w14:paraId="60854D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 只有通过了资格审查、符合性审查且投标人不少于3个方可进入详细评审。</w:t>
      </w:r>
    </w:p>
    <w:p w14:paraId="0B06CB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 澄清、说明和补正</w:t>
      </w:r>
    </w:p>
    <w:p w14:paraId="0ED207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06F0A1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BC9FC3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3.5.3澄清、说明和补正内容不得改变投标文件的实质性内容（算术性错误修正的除外）。投标人的书面澄清、说明和补正属于投标文件的组成部分。</w:t>
      </w:r>
    </w:p>
    <w:p w14:paraId="250C18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401CD12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3.5.5评标小组对投标人提交的澄清、说明或补正有疑问的，可以要求投标人进一步澄清、说明或补正，直至满足评标小组的要求。</w:t>
      </w:r>
    </w:p>
    <w:p w14:paraId="5379CB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3.5.6评委评分：评委按照《详细评审标准》评分，投标人详细评审得分等于全部评委评分的算术平均值。</w:t>
      </w:r>
    </w:p>
    <w:p w14:paraId="0A46E9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3.5.7 算术错误修正：投标价格有算术错误的，评标小组按以下原则对投标价格进行修正，修正的价格经投标人书面确认后具有约束力。投标人不接受修正价格的，其投标将被否决。</w:t>
      </w:r>
    </w:p>
    <w:p w14:paraId="07D309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（1）投标文件中的大写金额与小写金额不一致的，以大写金额为准；</w:t>
      </w:r>
    </w:p>
    <w:p w14:paraId="032FEF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（2）总价金额与依据单价计算出的结果不一致的，以单价金额为准修正总价，但单价金额小数点有明显错误的除外。</w:t>
      </w:r>
    </w:p>
    <w:p w14:paraId="442366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3.5.8 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1FD519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3.5.9投标报价评分：对投标报价进行投标报价得分计算，计算方法详见评标办法前附表。</w:t>
      </w:r>
    </w:p>
    <w:p w14:paraId="65678C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3.5.10 汇总评分结果，评分分值计算保留小数点后两位，小数点后第三位“四舍五入”。</w:t>
      </w:r>
    </w:p>
    <w:p w14:paraId="53B723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3.6.11 详细评审工作全部结束后，投标人总得分排序按照以下原则进行。</w:t>
      </w:r>
    </w:p>
    <w:p w14:paraId="067DB1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3.6.11.1按照总得分由高到低顺序对投标人进行排序；</w:t>
      </w:r>
    </w:p>
    <w:p w14:paraId="507EBE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3.6.11.2总得分相同时报价低的投标人排序靠前；</w:t>
      </w:r>
    </w:p>
    <w:p w14:paraId="6F2A3A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3.6.11.3总得分相同且报价相同的，采取随机抽取方式确定排序顺序。</w:t>
      </w:r>
    </w:p>
    <w:p w14:paraId="4242C7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3.7推荐中标候选人及提交评标报告</w:t>
      </w:r>
    </w:p>
    <w:p w14:paraId="09F79EC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3.7.1评标小组推荐中标候选人，总得分排序第一的投标人将被确定为第一中标候选人，以此类推确定出规定数量的中标候选人。</w:t>
      </w:r>
    </w:p>
    <w:p w14:paraId="1F9C3D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3.7.2当通过了资格审查、符合性审查后，投标人少于3个时，采购人应当依法重新招标。</w:t>
      </w:r>
    </w:p>
    <w:p w14:paraId="5AD8941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3.7.3 评标小组完成评标后，应当向采购人提交书面评标报告。</w:t>
      </w:r>
    </w:p>
    <w:p w14:paraId="2480E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3.8特殊情况的处置程序</w:t>
      </w:r>
    </w:p>
    <w:p w14:paraId="1244A3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关于评标活动暂停</w:t>
      </w:r>
    </w:p>
    <w:p w14:paraId="1F8AA7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55E739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3.8.2关于评标中途更换评委</w:t>
      </w:r>
    </w:p>
    <w:p w14:paraId="37B6F5D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3.8.2.1 除非发生下列情况之一，评标小组成员不得在评标中途更换：</w:t>
      </w:r>
    </w:p>
    <w:p w14:paraId="1883850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70C98C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（2）根据法律法规规定，某个或某几个评标小组成员需要回避。</w:t>
      </w:r>
    </w:p>
    <w:p w14:paraId="2A3E27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3.8.2.2 退出评标的评标小组成员，其已完成的评标行为无效，由更换的评委进行评标。</w:t>
      </w:r>
    </w:p>
    <w:p w14:paraId="697B1A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在评标环节中，需评标小组就某项定性的评标结论做出表决的，由评标小组全体成员按照少数服从多数的原则确定。</w:t>
      </w:r>
    </w:p>
    <w:p w14:paraId="5795956A">
      <w:pPr>
        <w:widowControl/>
        <w:shd w:val="clear" w:color="auto" w:fill="FFFFFF"/>
        <w:snapToGrid w:val="0"/>
        <w:spacing w:line="360" w:lineRule="auto"/>
        <w:jc w:val="center"/>
        <w:rPr>
          <w:rFonts w:hint="eastAsia" w:ascii="仿宋" w:hAnsi="仿宋" w:eastAsia="仿宋" w:cs="仿宋"/>
          <w:b/>
          <w:color w:val="auto"/>
          <w:sz w:val="24"/>
          <w:szCs w:val="24"/>
          <w:highlight w:val="none"/>
        </w:rPr>
      </w:pPr>
      <w:bookmarkStart w:id="37" w:name="_Toc485312286"/>
      <w:r>
        <w:rPr>
          <w:rFonts w:hint="eastAsia" w:ascii="仿宋" w:hAnsi="仿宋" w:eastAsia="仿宋" w:cs="仿宋"/>
          <w:b/>
          <w:color w:val="auto"/>
          <w:sz w:val="24"/>
          <w:szCs w:val="24"/>
          <w:highlight w:val="none"/>
        </w:rPr>
        <w:t>问题澄清通知</w:t>
      </w:r>
    </w:p>
    <w:p w14:paraId="624F63CB">
      <w:pPr>
        <w:spacing w:line="360" w:lineRule="auto"/>
        <w:rPr>
          <w:rFonts w:hint="eastAsia" w:ascii="仿宋" w:hAnsi="仿宋" w:eastAsia="仿宋" w:cs="仿宋"/>
          <w:color w:val="auto"/>
          <w:sz w:val="24"/>
          <w:szCs w:val="24"/>
          <w:highlight w:val="none"/>
        </w:rPr>
      </w:pPr>
    </w:p>
    <w:p w14:paraId="5BEE92AA">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（投标人名称）：</w:t>
      </w:r>
    </w:p>
    <w:p w14:paraId="29DC64A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（招标项目名称）招标的评标小组，对你方的投标文件进行了仔细的审查，现需你方对本通知所附质疑问卷中的问题以书面形式予以澄清、说明或者补正。</w:t>
      </w:r>
    </w:p>
    <w:p w14:paraId="6E685AE9">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质疑问题：</w:t>
      </w:r>
    </w:p>
    <w:p w14:paraId="1C3AABCF">
      <w:pPr>
        <w:spacing w:line="360" w:lineRule="auto"/>
        <w:rPr>
          <w:rFonts w:hint="eastAsia" w:ascii="仿宋" w:hAnsi="仿宋" w:eastAsia="仿宋" w:cs="仿宋"/>
          <w:color w:val="auto"/>
          <w:kern w:val="0"/>
          <w:sz w:val="24"/>
          <w:szCs w:val="24"/>
          <w:highlight w:val="none"/>
        </w:rPr>
      </w:pPr>
    </w:p>
    <w:p w14:paraId="6B505FA7">
      <w:pPr>
        <w:spacing w:line="360" w:lineRule="auto"/>
        <w:rPr>
          <w:rFonts w:hint="eastAsia" w:ascii="仿宋" w:hAnsi="仿宋" w:eastAsia="仿宋" w:cs="仿宋"/>
          <w:color w:val="auto"/>
          <w:kern w:val="0"/>
          <w:sz w:val="24"/>
          <w:szCs w:val="24"/>
          <w:highlight w:val="none"/>
        </w:rPr>
      </w:pPr>
    </w:p>
    <w:p w14:paraId="1AA3E22B">
      <w:pPr>
        <w:spacing w:line="360" w:lineRule="auto"/>
        <w:rPr>
          <w:rFonts w:hint="eastAsia" w:ascii="仿宋" w:hAnsi="仿宋" w:eastAsia="仿宋" w:cs="仿宋"/>
          <w:color w:val="auto"/>
          <w:kern w:val="0"/>
          <w:sz w:val="24"/>
          <w:szCs w:val="24"/>
          <w:highlight w:val="none"/>
        </w:rPr>
      </w:pPr>
    </w:p>
    <w:p w14:paraId="0F255F88">
      <w:pPr>
        <w:spacing w:line="360" w:lineRule="auto"/>
        <w:rPr>
          <w:rFonts w:hint="eastAsia" w:ascii="仿宋" w:hAnsi="仿宋" w:eastAsia="仿宋" w:cs="仿宋"/>
          <w:color w:val="auto"/>
          <w:kern w:val="0"/>
          <w:sz w:val="24"/>
          <w:szCs w:val="24"/>
          <w:highlight w:val="none"/>
        </w:rPr>
      </w:pPr>
    </w:p>
    <w:p w14:paraId="31E32D63">
      <w:pPr>
        <w:spacing w:line="360" w:lineRule="auto"/>
        <w:rPr>
          <w:rFonts w:hint="eastAsia" w:ascii="仿宋" w:hAnsi="仿宋" w:eastAsia="仿宋" w:cs="仿宋"/>
          <w:color w:val="auto"/>
          <w:kern w:val="0"/>
          <w:sz w:val="24"/>
          <w:szCs w:val="24"/>
          <w:highlight w:val="none"/>
        </w:rPr>
      </w:pPr>
    </w:p>
    <w:p w14:paraId="3A0417D3">
      <w:pPr>
        <w:spacing w:line="360" w:lineRule="auto"/>
        <w:rPr>
          <w:rFonts w:hint="eastAsia" w:ascii="仿宋" w:hAnsi="仿宋" w:eastAsia="仿宋" w:cs="仿宋"/>
          <w:color w:val="auto"/>
          <w:kern w:val="0"/>
          <w:sz w:val="24"/>
          <w:szCs w:val="24"/>
          <w:highlight w:val="none"/>
        </w:rPr>
      </w:pPr>
    </w:p>
    <w:p w14:paraId="1CF8CC1C">
      <w:pPr>
        <w:spacing w:line="360" w:lineRule="auto"/>
        <w:rPr>
          <w:rFonts w:hint="eastAsia" w:ascii="仿宋" w:hAnsi="仿宋" w:eastAsia="仿宋" w:cs="仿宋"/>
          <w:color w:val="auto"/>
          <w:kern w:val="0"/>
          <w:sz w:val="24"/>
          <w:szCs w:val="24"/>
          <w:highlight w:val="none"/>
        </w:rPr>
      </w:pPr>
    </w:p>
    <w:p w14:paraId="56E87C31">
      <w:pPr>
        <w:spacing w:line="360" w:lineRule="auto"/>
        <w:rPr>
          <w:rFonts w:hint="eastAsia" w:ascii="仿宋" w:hAnsi="仿宋" w:eastAsia="仿宋" w:cs="仿宋"/>
          <w:color w:val="auto"/>
          <w:kern w:val="0"/>
          <w:sz w:val="24"/>
          <w:szCs w:val="24"/>
          <w:highlight w:val="none"/>
        </w:rPr>
      </w:pPr>
    </w:p>
    <w:p w14:paraId="393CAAC0">
      <w:pPr>
        <w:spacing w:line="360" w:lineRule="auto"/>
        <w:rPr>
          <w:rFonts w:hint="eastAsia" w:ascii="仿宋" w:hAnsi="仿宋" w:eastAsia="仿宋" w:cs="仿宋"/>
          <w:color w:val="auto"/>
          <w:kern w:val="0"/>
          <w:sz w:val="24"/>
          <w:szCs w:val="24"/>
          <w:highlight w:val="none"/>
        </w:rPr>
      </w:pPr>
    </w:p>
    <w:p w14:paraId="00D0E836">
      <w:pPr>
        <w:spacing w:line="360" w:lineRule="auto"/>
        <w:rPr>
          <w:rFonts w:hint="eastAsia" w:ascii="仿宋" w:hAnsi="仿宋" w:eastAsia="仿宋" w:cs="仿宋"/>
          <w:color w:val="auto"/>
          <w:kern w:val="0"/>
          <w:sz w:val="24"/>
          <w:szCs w:val="24"/>
          <w:highlight w:val="none"/>
        </w:rPr>
      </w:pPr>
    </w:p>
    <w:p w14:paraId="144B777F">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w:t>
      </w:r>
      <w:r>
        <w:rPr>
          <w:rFonts w:hint="eastAsia" w:ascii="仿宋" w:hAnsi="仿宋" w:eastAsia="仿宋" w:cs="仿宋"/>
          <w:color w:val="auto"/>
          <w:kern w:val="0"/>
          <w:sz w:val="24"/>
          <w:szCs w:val="24"/>
          <w:highlight w:val="none"/>
          <w:lang w:val="en-US" w:eastAsia="zh-CN"/>
        </w:rPr>
        <w:t>成</w:t>
      </w:r>
      <w:r>
        <w:rPr>
          <w:rFonts w:hint="eastAsia" w:ascii="仿宋" w:hAnsi="仿宋" w:eastAsia="仿宋" w:cs="仿宋"/>
          <w:color w:val="auto"/>
          <w:kern w:val="0"/>
          <w:sz w:val="24"/>
          <w:szCs w:val="24"/>
          <w:highlight w:val="none"/>
        </w:rPr>
        <w:t>员（签字）：</w:t>
      </w:r>
    </w:p>
    <w:p w14:paraId="18D0208F">
      <w:pPr>
        <w:spacing w:line="360" w:lineRule="auto"/>
        <w:rPr>
          <w:rFonts w:hint="eastAsia" w:ascii="仿宋" w:hAnsi="仿宋" w:eastAsia="仿宋" w:cs="仿宋"/>
          <w:color w:val="auto"/>
          <w:kern w:val="0"/>
          <w:sz w:val="24"/>
          <w:szCs w:val="24"/>
          <w:highlight w:val="none"/>
        </w:rPr>
      </w:pPr>
    </w:p>
    <w:p w14:paraId="164A685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日期：年月日</w:t>
      </w:r>
    </w:p>
    <w:p w14:paraId="1299A52B">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sz w:val="24"/>
          <w:szCs w:val="24"/>
          <w:highlight w:val="none"/>
        </w:rPr>
        <w:t>问题的澄清、说明或补正</w:t>
      </w:r>
    </w:p>
    <w:p w14:paraId="4E3DCA5A">
      <w:pPr>
        <w:rPr>
          <w:rFonts w:hint="eastAsia" w:ascii="仿宋" w:hAnsi="仿宋" w:eastAsia="仿宋" w:cs="仿宋"/>
          <w:color w:val="auto"/>
          <w:kern w:val="0"/>
          <w:sz w:val="24"/>
          <w:szCs w:val="24"/>
          <w:highlight w:val="none"/>
        </w:rPr>
      </w:pPr>
    </w:p>
    <w:p w14:paraId="7E2BE8EC">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w:t>
      </w:r>
    </w:p>
    <w:p w14:paraId="0C44CB7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（招标项目名称）的问题澄清通知已收悉，现澄清、说明或者补正如下：</w:t>
      </w:r>
    </w:p>
    <w:p w14:paraId="3B69103A">
      <w:pPr>
        <w:spacing w:line="360" w:lineRule="auto"/>
        <w:rPr>
          <w:rFonts w:hint="eastAsia" w:ascii="仿宋" w:hAnsi="仿宋" w:eastAsia="仿宋" w:cs="仿宋"/>
          <w:color w:val="auto"/>
          <w:kern w:val="0"/>
          <w:sz w:val="24"/>
          <w:szCs w:val="24"/>
          <w:highlight w:val="none"/>
        </w:rPr>
      </w:pPr>
    </w:p>
    <w:p w14:paraId="24DEA8AC">
      <w:pPr>
        <w:spacing w:line="360" w:lineRule="auto"/>
        <w:rPr>
          <w:rFonts w:hint="eastAsia" w:ascii="仿宋" w:hAnsi="仿宋" w:eastAsia="仿宋" w:cs="仿宋"/>
          <w:color w:val="auto"/>
          <w:kern w:val="0"/>
          <w:sz w:val="24"/>
          <w:szCs w:val="24"/>
          <w:highlight w:val="none"/>
        </w:rPr>
      </w:pPr>
    </w:p>
    <w:p w14:paraId="5B4A4A7A">
      <w:pPr>
        <w:spacing w:line="360" w:lineRule="auto"/>
        <w:rPr>
          <w:rFonts w:hint="eastAsia" w:ascii="仿宋" w:hAnsi="仿宋" w:eastAsia="仿宋" w:cs="仿宋"/>
          <w:color w:val="auto"/>
          <w:kern w:val="0"/>
          <w:sz w:val="24"/>
          <w:szCs w:val="24"/>
          <w:highlight w:val="none"/>
        </w:rPr>
      </w:pPr>
    </w:p>
    <w:p w14:paraId="1CC62EE1">
      <w:pPr>
        <w:spacing w:line="360" w:lineRule="auto"/>
        <w:rPr>
          <w:rFonts w:hint="eastAsia" w:ascii="仿宋" w:hAnsi="仿宋" w:eastAsia="仿宋" w:cs="仿宋"/>
          <w:color w:val="auto"/>
          <w:kern w:val="0"/>
          <w:sz w:val="24"/>
          <w:szCs w:val="24"/>
          <w:highlight w:val="none"/>
        </w:rPr>
      </w:pPr>
    </w:p>
    <w:p w14:paraId="392C195B">
      <w:pPr>
        <w:spacing w:line="360" w:lineRule="auto"/>
        <w:rPr>
          <w:rFonts w:hint="eastAsia" w:ascii="仿宋" w:hAnsi="仿宋" w:eastAsia="仿宋" w:cs="仿宋"/>
          <w:color w:val="auto"/>
          <w:kern w:val="0"/>
          <w:sz w:val="24"/>
          <w:szCs w:val="24"/>
          <w:highlight w:val="none"/>
        </w:rPr>
      </w:pPr>
    </w:p>
    <w:p w14:paraId="7E9BB402">
      <w:pPr>
        <w:spacing w:line="360" w:lineRule="auto"/>
        <w:rPr>
          <w:rFonts w:hint="eastAsia" w:ascii="仿宋" w:hAnsi="仿宋" w:eastAsia="仿宋" w:cs="仿宋"/>
          <w:color w:val="auto"/>
          <w:kern w:val="0"/>
          <w:sz w:val="24"/>
          <w:szCs w:val="24"/>
          <w:highlight w:val="none"/>
        </w:rPr>
      </w:pPr>
    </w:p>
    <w:p w14:paraId="6FB09DBB">
      <w:pPr>
        <w:spacing w:line="360" w:lineRule="auto"/>
        <w:rPr>
          <w:rFonts w:hint="eastAsia" w:ascii="仿宋" w:hAnsi="仿宋" w:eastAsia="仿宋" w:cs="仿宋"/>
          <w:color w:val="auto"/>
          <w:kern w:val="0"/>
          <w:sz w:val="24"/>
          <w:szCs w:val="24"/>
          <w:highlight w:val="none"/>
        </w:rPr>
      </w:pPr>
    </w:p>
    <w:p w14:paraId="3E4C47B6">
      <w:pPr>
        <w:spacing w:line="360" w:lineRule="auto"/>
        <w:rPr>
          <w:rFonts w:hint="eastAsia" w:ascii="仿宋" w:hAnsi="仿宋" w:eastAsia="仿宋" w:cs="仿宋"/>
          <w:color w:val="auto"/>
          <w:kern w:val="0"/>
          <w:sz w:val="24"/>
          <w:szCs w:val="24"/>
          <w:highlight w:val="none"/>
        </w:rPr>
      </w:pPr>
    </w:p>
    <w:p w14:paraId="5A4002A8">
      <w:pPr>
        <w:spacing w:line="360" w:lineRule="auto"/>
        <w:rPr>
          <w:rFonts w:hint="eastAsia" w:ascii="仿宋" w:hAnsi="仿宋" w:eastAsia="仿宋" w:cs="仿宋"/>
          <w:color w:val="auto"/>
          <w:kern w:val="0"/>
          <w:sz w:val="24"/>
          <w:szCs w:val="24"/>
          <w:highlight w:val="none"/>
        </w:rPr>
      </w:pPr>
    </w:p>
    <w:p w14:paraId="24662435">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法定代表人或其授权委托人（签字）：</w:t>
      </w:r>
    </w:p>
    <w:p w14:paraId="74E408E2">
      <w:pPr>
        <w:spacing w:line="360" w:lineRule="auto"/>
        <w:rPr>
          <w:rFonts w:hint="eastAsia" w:ascii="仿宋" w:hAnsi="仿宋" w:eastAsia="仿宋" w:cs="仿宋"/>
          <w:color w:val="auto"/>
          <w:kern w:val="0"/>
          <w:sz w:val="24"/>
          <w:szCs w:val="24"/>
          <w:highlight w:val="none"/>
        </w:rPr>
      </w:pPr>
    </w:p>
    <w:p w14:paraId="4E78125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日期：年月日</w:t>
      </w:r>
    </w:p>
    <w:p w14:paraId="49DB5075">
      <w:pPr>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38" w:name="_Toc1253"/>
      <w:r>
        <w:rPr>
          <w:rFonts w:hint="eastAsia" w:ascii="仿宋" w:hAnsi="仿宋" w:eastAsia="仿宋" w:cs="仿宋"/>
          <w:b/>
          <w:color w:val="auto"/>
          <w:sz w:val="24"/>
          <w:szCs w:val="24"/>
          <w:highlight w:val="none"/>
        </w:rPr>
        <w:t>第三章 合同条款</w:t>
      </w:r>
      <w:bookmarkEnd w:id="37"/>
      <w:bookmarkEnd w:id="38"/>
    </w:p>
    <w:p w14:paraId="699CC449">
      <w:pPr>
        <w:pStyle w:val="223"/>
        <w:ind w:firstLine="0"/>
        <w:jc w:val="center"/>
        <w:rPr>
          <w:rFonts w:hint="eastAsia" w:ascii="仿宋" w:hAnsi="仿宋" w:eastAsia="仿宋" w:cs="仿宋"/>
          <w:b/>
          <w:color w:val="auto"/>
          <w:szCs w:val="24"/>
          <w:highlight w:val="none"/>
        </w:rPr>
      </w:pPr>
    </w:p>
    <w:p w14:paraId="1845D665">
      <w:pPr>
        <w:pStyle w:val="223"/>
        <w:ind w:firstLine="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7BB0E605">
      <w:pPr>
        <w:pStyle w:val="223"/>
        <w:ind w:firstLine="0"/>
        <w:rPr>
          <w:rFonts w:hint="eastAsia" w:ascii="仿宋" w:hAnsi="仿宋" w:eastAsia="仿宋" w:cs="仿宋"/>
          <w:color w:val="auto"/>
          <w:szCs w:val="24"/>
          <w:highlight w:val="none"/>
        </w:rPr>
      </w:pPr>
    </w:p>
    <w:p w14:paraId="349B94BE">
      <w:pPr>
        <w:pStyle w:val="223"/>
        <w:ind w:firstLine="0"/>
        <w:rPr>
          <w:rFonts w:hint="eastAsia" w:ascii="仿宋" w:hAnsi="仿宋" w:eastAsia="仿宋" w:cs="仿宋"/>
          <w:color w:val="auto"/>
          <w:szCs w:val="24"/>
          <w:highlight w:val="none"/>
        </w:rPr>
      </w:pPr>
    </w:p>
    <w:p w14:paraId="7C24DC55">
      <w:pPr>
        <w:spacing w:before="120" w:line="22" w:lineRule="atLeast"/>
        <w:rPr>
          <w:rFonts w:hint="eastAsia" w:ascii="仿宋" w:hAnsi="仿宋" w:eastAsia="仿宋" w:cs="仿宋"/>
          <w:color w:val="auto"/>
          <w:sz w:val="24"/>
          <w:highlight w:val="none"/>
        </w:rPr>
      </w:pPr>
    </w:p>
    <w:p w14:paraId="49DA13FF">
      <w:pPr>
        <w:spacing w:before="120" w:line="22" w:lineRule="atLeast"/>
        <w:rPr>
          <w:rFonts w:hint="eastAsia" w:ascii="仿宋" w:hAnsi="仿宋" w:eastAsia="仿宋" w:cs="仿宋"/>
          <w:color w:val="auto"/>
          <w:sz w:val="24"/>
          <w:highlight w:val="none"/>
        </w:rPr>
      </w:pPr>
    </w:p>
    <w:p w14:paraId="475AC86E">
      <w:pPr>
        <w:spacing w:before="120" w:line="22" w:lineRule="atLeast"/>
        <w:rPr>
          <w:rFonts w:hint="eastAsia" w:ascii="仿宋" w:hAnsi="仿宋" w:eastAsia="仿宋" w:cs="仿宋"/>
          <w:color w:val="auto"/>
          <w:sz w:val="24"/>
          <w:highlight w:val="none"/>
        </w:rPr>
      </w:pPr>
    </w:p>
    <w:p w14:paraId="26003AED">
      <w:pPr>
        <w:spacing w:before="120" w:line="22" w:lineRule="atLeast"/>
        <w:rPr>
          <w:rFonts w:hint="eastAsia" w:ascii="仿宋" w:hAnsi="仿宋" w:eastAsia="仿宋" w:cs="仿宋"/>
          <w:color w:val="auto"/>
          <w:sz w:val="24"/>
          <w:highlight w:val="none"/>
        </w:rPr>
      </w:pPr>
    </w:p>
    <w:p w14:paraId="3D2522F4">
      <w:pPr>
        <w:pStyle w:val="224"/>
        <w:spacing w:before="120" w:line="22" w:lineRule="atLeast"/>
        <w:ind w:left="2158" w:leftChars="456" w:hanging="1200" w:hangingChars="500"/>
        <w:rPr>
          <w:rFonts w:hint="eastAsia" w:ascii="仿宋" w:hAnsi="仿宋" w:eastAsia="仿宋" w:cs="仿宋"/>
          <w:color w:val="auto"/>
          <w:szCs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新疆维吾尔自治区地质局地球物理化学探矿中心钻探服务项目第四批</w:t>
      </w:r>
    </w:p>
    <w:p w14:paraId="33D1E48A">
      <w:pPr>
        <w:rPr>
          <w:rFonts w:hint="eastAsia" w:ascii="仿宋" w:hAnsi="仿宋" w:eastAsia="仿宋" w:cs="仿宋"/>
          <w:color w:val="auto"/>
          <w:highlight w:val="none"/>
        </w:rPr>
      </w:pPr>
    </w:p>
    <w:p w14:paraId="11B2A8E1">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新疆维吾尔自治区地质局地球物理化学探矿中心</w:t>
      </w:r>
      <w:r>
        <w:rPr>
          <w:rFonts w:hint="eastAsia" w:ascii="仿宋" w:hAnsi="仿宋" w:eastAsia="仿宋" w:cs="仿宋"/>
          <w:color w:val="auto"/>
          <w:sz w:val="24"/>
          <w:highlight w:val="none"/>
          <w:u w:val="single"/>
        </w:rPr>
        <w:t xml:space="preserve">   </w:t>
      </w:r>
    </w:p>
    <w:p w14:paraId="6E175D01">
      <w:pPr>
        <w:spacing w:before="120" w:line="22" w:lineRule="atLeast"/>
        <w:ind w:left="960"/>
        <w:rPr>
          <w:rFonts w:hint="eastAsia" w:ascii="仿宋" w:hAnsi="仿宋" w:eastAsia="仿宋" w:cs="仿宋"/>
          <w:color w:val="auto"/>
          <w:sz w:val="24"/>
          <w:highlight w:val="none"/>
        </w:rPr>
      </w:pPr>
    </w:p>
    <w:p w14:paraId="4B77903B">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7574A99">
      <w:pPr>
        <w:spacing w:before="120" w:line="22" w:lineRule="atLeast"/>
        <w:rPr>
          <w:rFonts w:hint="eastAsia" w:ascii="仿宋" w:hAnsi="仿宋" w:eastAsia="仿宋" w:cs="仿宋"/>
          <w:color w:val="auto"/>
          <w:sz w:val="24"/>
          <w:highlight w:val="none"/>
        </w:rPr>
      </w:pPr>
    </w:p>
    <w:p w14:paraId="417D0975">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5F912D3">
      <w:pPr>
        <w:spacing w:before="120" w:line="22" w:lineRule="atLeast"/>
        <w:rPr>
          <w:rFonts w:hint="eastAsia" w:ascii="仿宋" w:hAnsi="仿宋" w:eastAsia="仿宋" w:cs="仿宋"/>
          <w:color w:val="auto"/>
          <w:sz w:val="24"/>
          <w:highlight w:val="none"/>
        </w:rPr>
      </w:pPr>
    </w:p>
    <w:p w14:paraId="45B4714F">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9510DC6">
      <w:pPr>
        <w:autoSpaceDE w:val="0"/>
        <w:autoSpaceDN w:val="0"/>
        <w:adjustRightInd w:val="0"/>
        <w:spacing w:line="600" w:lineRule="exact"/>
        <w:ind w:firstLine="640"/>
        <w:jc w:val="center"/>
        <w:rPr>
          <w:rFonts w:hint="eastAsia" w:ascii="仿宋" w:hAnsi="仿宋" w:eastAsia="仿宋" w:cs="仿宋"/>
          <w:color w:val="auto"/>
          <w:sz w:val="24"/>
          <w:highlight w:val="none"/>
        </w:rPr>
        <w:sectPr>
          <w:footerReference r:id="rId9" w:type="first"/>
          <w:headerReference r:id="rId7" w:type="default"/>
          <w:footerReference r:id="rId8" w:type="default"/>
          <w:pgSz w:w="11907" w:h="16840"/>
          <w:pgMar w:top="1474" w:right="1814" w:bottom="1474" w:left="1814" w:header="851" w:footer="851" w:gutter="0"/>
          <w:pgNumType w:fmt="decimal" w:start="1"/>
          <w:cols w:space="720" w:num="1"/>
          <w:titlePg/>
          <w:docGrid w:linePitch="462" w:charSpace="0"/>
        </w:sectPr>
      </w:pPr>
    </w:p>
    <w:p w14:paraId="6093B7B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新疆维吾尔自治区地质局地球物理化学探矿中心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新疆维吾尔自治区地质局地球物理化学探矿中心钻探服务项目第四批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评标</w:t>
      </w:r>
      <w:r>
        <w:rPr>
          <w:rFonts w:hint="eastAsia" w:ascii="仿宋" w:hAnsi="仿宋" w:eastAsia="仿宋" w:cs="仿宋"/>
          <w:color w:val="auto"/>
          <w:sz w:val="24"/>
          <w:highlight w:val="none"/>
          <w:u w:val="single"/>
        </w:rPr>
        <w:t xml:space="preserve">小组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为该项目中标供应商。现于中标通知书发出之日起三十日内，按照采购文件确定的事项签订本合同。</w:t>
      </w:r>
    </w:p>
    <w:p w14:paraId="4A6B7B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新疆维吾尔自治区地质局地球物理化学探矿中心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E0C8F24">
      <w:pPr>
        <w:spacing w:line="560" w:lineRule="exact"/>
        <w:ind w:firstLine="482" w:firstLineChars="200"/>
        <w:rPr>
          <w:rFonts w:hint="eastAsia" w:ascii="仿宋" w:hAnsi="仿宋" w:eastAsia="仿宋" w:cs="仿宋"/>
          <w:color w:val="auto"/>
          <w:sz w:val="24"/>
          <w:highlight w:val="none"/>
        </w:rPr>
      </w:pPr>
      <w:bookmarkStart w:id="39" w:name="_Toc28855"/>
      <w:bookmarkStart w:id="40" w:name="_Toc82617970"/>
      <w:bookmarkStart w:id="41" w:name="_Toc20421"/>
      <w:bookmarkStart w:id="42" w:name="_Toc37868828"/>
      <w:bookmarkStart w:id="43" w:name="_Toc15367"/>
      <w:bookmarkStart w:id="44" w:name="_Toc19273"/>
      <w:bookmarkStart w:id="45" w:name="_Toc22967"/>
      <w:bookmarkStart w:id="46" w:name="_Toc2591674"/>
      <w:r>
        <w:rPr>
          <w:rFonts w:hint="eastAsia" w:ascii="仿宋" w:hAnsi="仿宋" w:eastAsia="仿宋" w:cs="仿宋"/>
          <w:b/>
          <w:color w:val="auto"/>
          <w:sz w:val="24"/>
          <w:highlight w:val="none"/>
        </w:rPr>
        <w:t>1.1 合同组成部分</w:t>
      </w:r>
      <w:bookmarkEnd w:id="39"/>
      <w:bookmarkEnd w:id="40"/>
      <w:bookmarkEnd w:id="41"/>
      <w:bookmarkEnd w:id="42"/>
      <w:bookmarkEnd w:id="43"/>
      <w:bookmarkEnd w:id="44"/>
      <w:bookmarkEnd w:id="45"/>
      <w:bookmarkEnd w:id="46"/>
    </w:p>
    <w:p w14:paraId="140927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A574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45304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68AA6F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50A15A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3F5A28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6693ABE">
      <w:pPr>
        <w:spacing w:line="560" w:lineRule="exact"/>
        <w:ind w:firstLine="482" w:firstLineChars="200"/>
        <w:rPr>
          <w:rFonts w:hint="eastAsia" w:ascii="仿宋" w:hAnsi="仿宋" w:eastAsia="仿宋" w:cs="仿宋"/>
          <w:b/>
          <w:color w:val="auto"/>
          <w:sz w:val="24"/>
          <w:highlight w:val="none"/>
        </w:rPr>
      </w:pPr>
      <w:bookmarkStart w:id="47" w:name="_Toc82617971"/>
      <w:bookmarkStart w:id="48" w:name="_Toc6311"/>
      <w:bookmarkStart w:id="49" w:name="_Toc6773"/>
      <w:bookmarkStart w:id="50" w:name="_Toc37868829"/>
      <w:bookmarkStart w:id="51" w:name="_Toc2591675"/>
      <w:bookmarkStart w:id="52" w:name="_Toc22185"/>
      <w:bookmarkStart w:id="53" w:name="_Toc18585"/>
      <w:bookmarkStart w:id="54" w:name="_Toc2918"/>
      <w:r>
        <w:rPr>
          <w:rFonts w:hint="eastAsia" w:ascii="仿宋" w:hAnsi="仿宋" w:eastAsia="仿宋" w:cs="仿宋"/>
          <w:b/>
          <w:color w:val="auto"/>
          <w:sz w:val="24"/>
          <w:highlight w:val="none"/>
        </w:rPr>
        <w:t>1.2 标的</w:t>
      </w:r>
      <w:bookmarkEnd w:id="47"/>
      <w:bookmarkEnd w:id="48"/>
      <w:bookmarkEnd w:id="49"/>
      <w:bookmarkEnd w:id="50"/>
      <w:bookmarkEnd w:id="51"/>
      <w:bookmarkEnd w:id="52"/>
      <w:bookmarkEnd w:id="53"/>
      <w:bookmarkEnd w:id="54"/>
    </w:p>
    <w:p w14:paraId="78B3447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AA50F2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95ED9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DC9C76">
      <w:pPr>
        <w:spacing w:line="560" w:lineRule="exact"/>
        <w:ind w:firstLine="482" w:firstLineChars="200"/>
        <w:rPr>
          <w:rFonts w:hint="eastAsia" w:ascii="仿宋" w:hAnsi="仿宋" w:eastAsia="仿宋" w:cs="仿宋"/>
          <w:b/>
          <w:color w:val="auto"/>
          <w:sz w:val="24"/>
          <w:highlight w:val="none"/>
        </w:rPr>
      </w:pPr>
      <w:bookmarkStart w:id="55" w:name="_Toc1386"/>
      <w:bookmarkStart w:id="56" w:name="_Toc4929"/>
      <w:bookmarkStart w:id="57" w:name="_Toc13918"/>
      <w:bookmarkStart w:id="58" w:name="_Toc82617972"/>
      <w:bookmarkStart w:id="59" w:name="_Toc37868830"/>
      <w:bookmarkStart w:id="60" w:name="_Toc5635"/>
      <w:bookmarkStart w:id="61" w:name="_Toc2591676"/>
      <w:bookmarkStart w:id="62" w:name="_Toc21124"/>
      <w:r>
        <w:rPr>
          <w:rFonts w:hint="eastAsia" w:ascii="仿宋" w:hAnsi="仿宋" w:eastAsia="仿宋" w:cs="仿宋"/>
          <w:b/>
          <w:color w:val="auto"/>
          <w:sz w:val="24"/>
          <w:highlight w:val="none"/>
        </w:rPr>
        <w:t>1.3 价款</w:t>
      </w:r>
      <w:bookmarkEnd w:id="55"/>
      <w:bookmarkEnd w:id="56"/>
      <w:bookmarkEnd w:id="57"/>
      <w:bookmarkEnd w:id="58"/>
      <w:bookmarkEnd w:id="59"/>
      <w:bookmarkEnd w:id="60"/>
      <w:bookmarkEnd w:id="61"/>
      <w:bookmarkEnd w:id="62"/>
    </w:p>
    <w:p w14:paraId="7E555D0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B8EF6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分项价格：</w:t>
      </w:r>
    </w:p>
    <w:p w14:paraId="4B2CC9B5">
      <w:pPr>
        <w:spacing w:line="560" w:lineRule="exact"/>
        <w:ind w:firstLine="480" w:firstLineChars="200"/>
        <w:rPr>
          <w:rFonts w:hint="eastAsia" w:ascii="仿宋" w:hAnsi="仿宋" w:eastAsia="仿宋" w:cs="仿宋"/>
          <w:color w:val="auto"/>
          <w:sz w:val="24"/>
          <w:highlight w:val="none"/>
        </w:rPr>
      </w:pPr>
    </w:p>
    <w:tbl>
      <w:tblPr>
        <w:tblStyle w:val="4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416"/>
        <w:gridCol w:w="3312"/>
      </w:tblGrid>
      <w:tr w14:paraId="348E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4E746C27">
            <w:pPr>
              <w:pStyle w:val="225"/>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2377" w:type="pct"/>
            <w:vAlign w:val="center"/>
          </w:tcPr>
          <w:p w14:paraId="4ED61CC2">
            <w:pPr>
              <w:pStyle w:val="225"/>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分项名称</w:t>
            </w:r>
          </w:p>
        </w:tc>
        <w:tc>
          <w:tcPr>
            <w:tcW w:w="1783" w:type="pct"/>
            <w:vAlign w:val="center"/>
          </w:tcPr>
          <w:p w14:paraId="53B142B0">
            <w:pPr>
              <w:pStyle w:val="225"/>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分项价格</w:t>
            </w:r>
          </w:p>
        </w:tc>
      </w:tr>
      <w:tr w14:paraId="69B8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1C56B77B">
            <w:pPr>
              <w:pStyle w:val="225"/>
              <w:spacing w:line="560" w:lineRule="exact"/>
              <w:jc w:val="center"/>
              <w:rPr>
                <w:rFonts w:hint="eastAsia" w:ascii="仿宋" w:hAnsi="仿宋" w:eastAsia="仿宋" w:cs="仿宋"/>
                <w:color w:val="auto"/>
                <w:kern w:val="2"/>
                <w:sz w:val="24"/>
                <w:szCs w:val="24"/>
                <w:highlight w:val="none"/>
              </w:rPr>
            </w:pPr>
          </w:p>
        </w:tc>
        <w:tc>
          <w:tcPr>
            <w:tcW w:w="2377" w:type="pct"/>
            <w:vAlign w:val="center"/>
          </w:tcPr>
          <w:p w14:paraId="30ABF614">
            <w:pPr>
              <w:pStyle w:val="225"/>
              <w:spacing w:line="560" w:lineRule="exact"/>
              <w:jc w:val="center"/>
              <w:rPr>
                <w:rFonts w:hint="eastAsia" w:ascii="仿宋" w:hAnsi="仿宋" w:eastAsia="仿宋" w:cs="仿宋"/>
                <w:color w:val="auto"/>
                <w:kern w:val="2"/>
                <w:sz w:val="24"/>
                <w:szCs w:val="24"/>
                <w:highlight w:val="none"/>
              </w:rPr>
            </w:pPr>
          </w:p>
        </w:tc>
        <w:tc>
          <w:tcPr>
            <w:tcW w:w="1783" w:type="pct"/>
            <w:vAlign w:val="center"/>
          </w:tcPr>
          <w:p w14:paraId="7EBF7ED2">
            <w:pPr>
              <w:pStyle w:val="225"/>
              <w:spacing w:line="560" w:lineRule="exact"/>
              <w:jc w:val="center"/>
              <w:rPr>
                <w:rFonts w:hint="eastAsia" w:ascii="仿宋" w:hAnsi="仿宋" w:eastAsia="仿宋" w:cs="仿宋"/>
                <w:color w:val="auto"/>
                <w:kern w:val="2"/>
                <w:sz w:val="24"/>
                <w:szCs w:val="24"/>
                <w:highlight w:val="none"/>
              </w:rPr>
            </w:pPr>
          </w:p>
        </w:tc>
      </w:tr>
      <w:tr w14:paraId="4E58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234A2F89">
            <w:pPr>
              <w:pStyle w:val="225"/>
              <w:spacing w:line="560" w:lineRule="exact"/>
              <w:jc w:val="center"/>
              <w:rPr>
                <w:rFonts w:hint="eastAsia" w:ascii="仿宋" w:hAnsi="仿宋" w:eastAsia="仿宋" w:cs="仿宋"/>
                <w:color w:val="auto"/>
                <w:kern w:val="2"/>
                <w:sz w:val="24"/>
                <w:szCs w:val="24"/>
                <w:highlight w:val="none"/>
              </w:rPr>
            </w:pPr>
          </w:p>
        </w:tc>
        <w:tc>
          <w:tcPr>
            <w:tcW w:w="2377" w:type="pct"/>
            <w:vAlign w:val="center"/>
          </w:tcPr>
          <w:p w14:paraId="11992903">
            <w:pPr>
              <w:pStyle w:val="225"/>
              <w:spacing w:line="560" w:lineRule="exact"/>
              <w:jc w:val="center"/>
              <w:rPr>
                <w:rFonts w:hint="eastAsia" w:ascii="仿宋" w:hAnsi="仿宋" w:eastAsia="仿宋" w:cs="仿宋"/>
                <w:color w:val="auto"/>
                <w:kern w:val="2"/>
                <w:sz w:val="24"/>
                <w:szCs w:val="24"/>
                <w:highlight w:val="none"/>
              </w:rPr>
            </w:pPr>
          </w:p>
        </w:tc>
        <w:tc>
          <w:tcPr>
            <w:tcW w:w="1783" w:type="pct"/>
            <w:vAlign w:val="center"/>
          </w:tcPr>
          <w:p w14:paraId="12C07BBA">
            <w:pPr>
              <w:pStyle w:val="225"/>
              <w:spacing w:line="560" w:lineRule="exact"/>
              <w:jc w:val="center"/>
              <w:rPr>
                <w:rFonts w:hint="eastAsia" w:ascii="仿宋" w:hAnsi="仿宋" w:eastAsia="仿宋" w:cs="仿宋"/>
                <w:color w:val="auto"/>
                <w:kern w:val="2"/>
                <w:sz w:val="24"/>
                <w:szCs w:val="24"/>
                <w:highlight w:val="none"/>
              </w:rPr>
            </w:pPr>
          </w:p>
        </w:tc>
      </w:tr>
      <w:tr w14:paraId="7081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05CA53E2">
            <w:pPr>
              <w:pStyle w:val="225"/>
              <w:spacing w:line="560" w:lineRule="exact"/>
              <w:jc w:val="center"/>
              <w:rPr>
                <w:rFonts w:hint="eastAsia" w:ascii="仿宋" w:hAnsi="仿宋" w:eastAsia="仿宋" w:cs="仿宋"/>
                <w:color w:val="auto"/>
                <w:kern w:val="2"/>
                <w:sz w:val="24"/>
                <w:szCs w:val="24"/>
                <w:highlight w:val="none"/>
              </w:rPr>
            </w:pPr>
          </w:p>
        </w:tc>
        <w:tc>
          <w:tcPr>
            <w:tcW w:w="2377" w:type="pct"/>
            <w:vAlign w:val="center"/>
          </w:tcPr>
          <w:p w14:paraId="7BEF6374">
            <w:pPr>
              <w:pStyle w:val="225"/>
              <w:spacing w:line="560" w:lineRule="exact"/>
              <w:jc w:val="center"/>
              <w:rPr>
                <w:rFonts w:hint="eastAsia" w:ascii="仿宋" w:hAnsi="仿宋" w:eastAsia="仿宋" w:cs="仿宋"/>
                <w:color w:val="auto"/>
                <w:kern w:val="2"/>
                <w:sz w:val="24"/>
                <w:szCs w:val="24"/>
                <w:highlight w:val="none"/>
              </w:rPr>
            </w:pPr>
          </w:p>
        </w:tc>
        <w:tc>
          <w:tcPr>
            <w:tcW w:w="1783" w:type="pct"/>
            <w:vAlign w:val="center"/>
          </w:tcPr>
          <w:p w14:paraId="63851F71">
            <w:pPr>
              <w:pStyle w:val="225"/>
              <w:spacing w:line="560" w:lineRule="exact"/>
              <w:jc w:val="center"/>
              <w:rPr>
                <w:rFonts w:hint="eastAsia" w:ascii="仿宋" w:hAnsi="仿宋" w:eastAsia="仿宋" w:cs="仿宋"/>
                <w:color w:val="auto"/>
                <w:kern w:val="2"/>
                <w:sz w:val="24"/>
                <w:szCs w:val="24"/>
                <w:highlight w:val="none"/>
              </w:rPr>
            </w:pPr>
          </w:p>
        </w:tc>
      </w:tr>
      <w:tr w14:paraId="46A3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44CD4A12">
            <w:pPr>
              <w:pStyle w:val="225"/>
              <w:spacing w:line="560" w:lineRule="exact"/>
              <w:jc w:val="center"/>
              <w:rPr>
                <w:rFonts w:hint="eastAsia" w:ascii="仿宋" w:hAnsi="仿宋" w:eastAsia="仿宋" w:cs="仿宋"/>
                <w:color w:val="auto"/>
                <w:kern w:val="2"/>
                <w:sz w:val="24"/>
                <w:szCs w:val="24"/>
                <w:highlight w:val="none"/>
              </w:rPr>
            </w:pPr>
          </w:p>
        </w:tc>
        <w:tc>
          <w:tcPr>
            <w:tcW w:w="2377" w:type="pct"/>
            <w:vAlign w:val="center"/>
          </w:tcPr>
          <w:p w14:paraId="28CFE178">
            <w:pPr>
              <w:pStyle w:val="225"/>
              <w:spacing w:line="560" w:lineRule="exact"/>
              <w:jc w:val="center"/>
              <w:rPr>
                <w:rFonts w:hint="eastAsia" w:ascii="仿宋" w:hAnsi="仿宋" w:eastAsia="仿宋" w:cs="仿宋"/>
                <w:color w:val="auto"/>
                <w:kern w:val="2"/>
                <w:sz w:val="24"/>
                <w:szCs w:val="24"/>
                <w:highlight w:val="none"/>
              </w:rPr>
            </w:pPr>
          </w:p>
        </w:tc>
        <w:tc>
          <w:tcPr>
            <w:tcW w:w="1783" w:type="pct"/>
            <w:vAlign w:val="center"/>
          </w:tcPr>
          <w:p w14:paraId="22EA4A7B">
            <w:pPr>
              <w:pStyle w:val="225"/>
              <w:spacing w:line="560" w:lineRule="exact"/>
              <w:jc w:val="center"/>
              <w:rPr>
                <w:rFonts w:hint="eastAsia" w:ascii="仿宋" w:hAnsi="仿宋" w:eastAsia="仿宋" w:cs="仿宋"/>
                <w:color w:val="auto"/>
                <w:kern w:val="2"/>
                <w:sz w:val="24"/>
                <w:szCs w:val="24"/>
                <w:highlight w:val="none"/>
              </w:rPr>
            </w:pPr>
          </w:p>
        </w:tc>
      </w:tr>
      <w:tr w14:paraId="4710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vAlign w:val="center"/>
          </w:tcPr>
          <w:p w14:paraId="5A7BED5C">
            <w:pPr>
              <w:pStyle w:val="225"/>
              <w:spacing w:line="560" w:lineRule="exact"/>
              <w:ind w:firstLine="48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总价</w:t>
            </w:r>
          </w:p>
        </w:tc>
        <w:tc>
          <w:tcPr>
            <w:tcW w:w="1783" w:type="pct"/>
            <w:vAlign w:val="center"/>
          </w:tcPr>
          <w:p w14:paraId="09E7CE79">
            <w:pPr>
              <w:pStyle w:val="225"/>
              <w:spacing w:line="560" w:lineRule="exact"/>
              <w:rPr>
                <w:rFonts w:hint="eastAsia" w:ascii="仿宋" w:hAnsi="仿宋" w:eastAsia="仿宋" w:cs="仿宋"/>
                <w:color w:val="auto"/>
                <w:kern w:val="2"/>
                <w:sz w:val="24"/>
                <w:szCs w:val="24"/>
                <w:highlight w:val="none"/>
              </w:rPr>
            </w:pPr>
          </w:p>
        </w:tc>
      </w:tr>
    </w:tbl>
    <w:p w14:paraId="182DD6D2">
      <w:pPr>
        <w:spacing w:line="560" w:lineRule="exact"/>
        <w:ind w:firstLine="482" w:firstLineChars="200"/>
        <w:rPr>
          <w:rFonts w:hint="eastAsia" w:ascii="仿宋" w:hAnsi="仿宋" w:eastAsia="仿宋" w:cs="仿宋"/>
          <w:b/>
          <w:color w:val="auto"/>
          <w:sz w:val="24"/>
          <w:highlight w:val="none"/>
        </w:rPr>
      </w:pPr>
      <w:bookmarkStart w:id="63" w:name="_Toc37868831"/>
      <w:bookmarkStart w:id="64" w:name="_Toc82617973"/>
      <w:bookmarkStart w:id="65" w:name="_Toc14993"/>
      <w:bookmarkStart w:id="66" w:name="_Toc2591677"/>
      <w:bookmarkStart w:id="67" w:name="_Toc3654"/>
      <w:bookmarkStart w:id="68" w:name="_Toc30506"/>
      <w:bookmarkStart w:id="69" w:name="_Toc30158"/>
      <w:bookmarkStart w:id="70" w:name="_Toc26916"/>
      <w:r>
        <w:rPr>
          <w:rFonts w:hint="eastAsia" w:ascii="仿宋" w:hAnsi="仿宋" w:eastAsia="仿宋" w:cs="仿宋"/>
          <w:b/>
          <w:color w:val="auto"/>
          <w:sz w:val="24"/>
          <w:highlight w:val="none"/>
        </w:rPr>
        <w:t>1.4 付款方式和发票开具方式</w:t>
      </w:r>
      <w:bookmarkEnd w:id="63"/>
      <w:bookmarkEnd w:id="64"/>
      <w:bookmarkEnd w:id="65"/>
      <w:bookmarkEnd w:id="66"/>
      <w:bookmarkEnd w:id="67"/>
      <w:bookmarkEnd w:id="68"/>
      <w:bookmarkEnd w:id="69"/>
      <w:bookmarkEnd w:id="70"/>
    </w:p>
    <w:p w14:paraId="6EFD2A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2C684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发票开具方式：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69DB04">
      <w:pPr>
        <w:spacing w:line="560" w:lineRule="exact"/>
        <w:ind w:firstLine="482" w:firstLineChars="200"/>
        <w:rPr>
          <w:rFonts w:hint="eastAsia" w:ascii="仿宋" w:hAnsi="仿宋" w:eastAsia="仿宋" w:cs="仿宋"/>
          <w:b/>
          <w:color w:val="auto"/>
          <w:sz w:val="24"/>
          <w:highlight w:val="none"/>
        </w:rPr>
      </w:pPr>
      <w:bookmarkStart w:id="71" w:name="_Toc2591678"/>
      <w:bookmarkStart w:id="72" w:name="_Toc82617974"/>
      <w:bookmarkStart w:id="73" w:name="_Toc31421"/>
      <w:bookmarkStart w:id="74" w:name="_Toc3625"/>
      <w:bookmarkStart w:id="75" w:name="_Toc4760"/>
      <w:bookmarkStart w:id="76" w:name="_Toc37868832"/>
      <w:bookmarkStart w:id="77" w:name="_Toc11108"/>
      <w:bookmarkStart w:id="78" w:name="_Toc8772"/>
      <w:r>
        <w:rPr>
          <w:rFonts w:hint="eastAsia" w:ascii="仿宋" w:hAnsi="仿宋" w:eastAsia="仿宋" w:cs="仿宋"/>
          <w:b/>
          <w:color w:val="auto"/>
          <w:sz w:val="24"/>
          <w:highlight w:val="none"/>
        </w:rPr>
        <w:t>1.5 履行期限、地点和方式</w:t>
      </w:r>
      <w:bookmarkEnd w:id="71"/>
      <w:bookmarkEnd w:id="72"/>
      <w:bookmarkEnd w:id="73"/>
      <w:bookmarkEnd w:id="74"/>
      <w:bookmarkEnd w:id="75"/>
      <w:bookmarkEnd w:id="76"/>
      <w:bookmarkEnd w:id="77"/>
      <w:bookmarkEnd w:id="78"/>
    </w:p>
    <w:p w14:paraId="180C796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6FDE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C86953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86365B7">
      <w:pPr>
        <w:spacing w:line="560" w:lineRule="exact"/>
        <w:ind w:firstLine="482" w:firstLineChars="200"/>
        <w:rPr>
          <w:rFonts w:hint="eastAsia" w:ascii="仿宋" w:hAnsi="仿宋" w:eastAsia="仿宋" w:cs="仿宋"/>
          <w:color w:val="auto"/>
          <w:sz w:val="24"/>
          <w:highlight w:val="none"/>
          <w:u w:val="single"/>
        </w:rPr>
      </w:pPr>
      <w:bookmarkStart w:id="79" w:name="_Toc5698"/>
      <w:bookmarkStart w:id="80" w:name="_Toc24662"/>
      <w:bookmarkStart w:id="81" w:name="_Toc37868833"/>
      <w:bookmarkStart w:id="82" w:name="_Toc2591679"/>
      <w:bookmarkStart w:id="83" w:name="_Toc8586"/>
      <w:bookmarkStart w:id="84" w:name="_Toc3079"/>
      <w:bookmarkStart w:id="85" w:name="_Toc82617975"/>
      <w:bookmarkStart w:id="86" w:name="_Toc2375"/>
      <w:r>
        <w:rPr>
          <w:rFonts w:hint="eastAsia" w:ascii="仿宋" w:hAnsi="仿宋" w:eastAsia="仿宋" w:cs="仿宋"/>
          <w:b/>
          <w:color w:val="auto"/>
          <w:sz w:val="24"/>
          <w:highlight w:val="none"/>
        </w:rPr>
        <w:t>1.6 违约责任</w:t>
      </w:r>
      <w:bookmarkEnd w:id="79"/>
      <w:bookmarkEnd w:id="80"/>
      <w:bookmarkEnd w:id="81"/>
      <w:bookmarkEnd w:id="82"/>
      <w:bookmarkEnd w:id="83"/>
      <w:bookmarkEnd w:id="84"/>
      <w:bookmarkEnd w:id="85"/>
      <w:bookmarkEnd w:id="86"/>
    </w:p>
    <w:p w14:paraId="6E26D1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75B7E9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17A68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31E71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F2294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A615E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AC4F0E6">
      <w:pPr>
        <w:spacing w:line="560" w:lineRule="exact"/>
        <w:ind w:firstLine="482" w:firstLineChars="200"/>
        <w:rPr>
          <w:rFonts w:hint="eastAsia" w:ascii="仿宋" w:hAnsi="仿宋" w:eastAsia="仿宋" w:cs="仿宋"/>
          <w:b/>
          <w:color w:val="auto"/>
          <w:sz w:val="24"/>
          <w:highlight w:val="none"/>
        </w:rPr>
      </w:pPr>
      <w:bookmarkStart w:id="87" w:name="_Toc2591680"/>
      <w:bookmarkStart w:id="88" w:name="_Toc32454"/>
      <w:bookmarkStart w:id="89" w:name="_Toc9497"/>
      <w:bookmarkStart w:id="90" w:name="_Toc18683"/>
      <w:bookmarkStart w:id="91" w:name="_Toc30329"/>
      <w:bookmarkStart w:id="92" w:name="_Toc37868834"/>
      <w:bookmarkStart w:id="93" w:name="_Toc82617976"/>
      <w:bookmarkStart w:id="94" w:name="_Toc26807"/>
      <w:r>
        <w:rPr>
          <w:rFonts w:hint="eastAsia" w:ascii="仿宋" w:hAnsi="仿宋" w:eastAsia="仿宋" w:cs="仿宋"/>
          <w:b/>
          <w:color w:val="auto"/>
          <w:sz w:val="24"/>
          <w:highlight w:val="none"/>
        </w:rPr>
        <w:t>1.7 合同争议的解决</w:t>
      </w:r>
      <w:bookmarkEnd w:id="87"/>
      <w:bookmarkEnd w:id="88"/>
      <w:bookmarkEnd w:id="89"/>
      <w:bookmarkEnd w:id="90"/>
      <w:bookmarkEnd w:id="91"/>
      <w:bookmarkEnd w:id="92"/>
      <w:bookmarkEnd w:id="93"/>
      <w:bookmarkEnd w:id="94"/>
    </w:p>
    <w:p w14:paraId="6FC6D7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14:paraId="6672CA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仲裁委员会依申请仲裁时其现行有效的仲裁规则裁决；</w:t>
      </w:r>
    </w:p>
    <w:p w14:paraId="6E3635F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highlight w:val="none"/>
        </w:rPr>
        <w:t>人民法院起诉。</w:t>
      </w:r>
    </w:p>
    <w:p w14:paraId="6D32425C">
      <w:pPr>
        <w:spacing w:line="560" w:lineRule="exact"/>
        <w:ind w:firstLine="482" w:firstLineChars="200"/>
        <w:rPr>
          <w:rFonts w:hint="eastAsia" w:ascii="仿宋" w:hAnsi="仿宋" w:eastAsia="仿宋" w:cs="仿宋"/>
          <w:b/>
          <w:color w:val="auto"/>
          <w:sz w:val="24"/>
          <w:highlight w:val="none"/>
        </w:rPr>
      </w:pPr>
      <w:bookmarkStart w:id="95" w:name="_Toc15827"/>
      <w:bookmarkStart w:id="96" w:name="_Toc12273"/>
      <w:bookmarkStart w:id="97" w:name="_Toc26227"/>
      <w:bookmarkStart w:id="98" w:name="_Toc23784"/>
      <w:bookmarkStart w:id="99" w:name="_Toc82617977"/>
      <w:bookmarkStart w:id="100" w:name="_Toc2591681"/>
      <w:bookmarkStart w:id="101" w:name="_Toc37868835"/>
      <w:bookmarkStart w:id="102" w:name="_Toc16417"/>
      <w:r>
        <w:rPr>
          <w:rFonts w:hint="eastAsia" w:ascii="仿宋" w:hAnsi="仿宋" w:eastAsia="仿宋" w:cs="仿宋"/>
          <w:b/>
          <w:color w:val="auto"/>
          <w:sz w:val="24"/>
          <w:highlight w:val="none"/>
        </w:rPr>
        <w:t>1.8 合同生效</w:t>
      </w:r>
      <w:bookmarkEnd w:id="95"/>
      <w:bookmarkEnd w:id="96"/>
      <w:bookmarkEnd w:id="97"/>
      <w:bookmarkEnd w:id="98"/>
      <w:bookmarkEnd w:id="99"/>
      <w:bookmarkEnd w:id="100"/>
      <w:bookmarkEnd w:id="101"/>
      <w:bookmarkEnd w:id="102"/>
    </w:p>
    <w:p w14:paraId="49B56FF6">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3C8BD5C1">
      <w:pPr>
        <w:autoSpaceDE w:val="0"/>
        <w:autoSpaceDN w:val="0"/>
        <w:adjustRightInd w:val="0"/>
        <w:spacing w:line="560" w:lineRule="exact"/>
        <w:rPr>
          <w:rFonts w:hint="eastAsia" w:ascii="仿宋" w:hAnsi="仿宋" w:eastAsia="仿宋" w:cs="仿宋"/>
          <w:color w:val="auto"/>
          <w:sz w:val="24"/>
          <w:highlight w:val="none"/>
          <w:lang w:val="zh-CN"/>
        </w:rPr>
      </w:pPr>
    </w:p>
    <w:p w14:paraId="6FF17F6A">
      <w:pPr>
        <w:autoSpaceDE w:val="0"/>
        <w:autoSpaceDN w:val="0"/>
        <w:adjustRightInd w:val="0"/>
        <w:spacing w:line="560" w:lineRule="exact"/>
        <w:rPr>
          <w:rFonts w:hint="eastAsia" w:ascii="仿宋" w:hAnsi="仿宋" w:eastAsia="仿宋" w:cs="仿宋"/>
          <w:b/>
          <w:color w:val="auto"/>
          <w:sz w:val="24"/>
          <w:highlight w:val="none"/>
          <w:lang w:val="zh-CN"/>
        </w:rPr>
      </w:pPr>
    </w:p>
    <w:p w14:paraId="3CE4F2A1">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6254F305">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FCA4FBA">
      <w:pPr>
        <w:autoSpaceDE w:val="0"/>
        <w:autoSpaceDN w:val="0"/>
        <w:adjustRightInd w:val="0"/>
        <w:spacing w:line="560" w:lineRule="exact"/>
        <w:rPr>
          <w:rFonts w:hint="eastAsia" w:ascii="仿宋" w:hAnsi="仿宋" w:eastAsia="仿宋" w:cs="仿宋"/>
          <w:color w:val="auto"/>
          <w:sz w:val="24"/>
          <w:highlight w:val="none"/>
          <w:lang w:val="zh-CN"/>
        </w:rPr>
      </w:pPr>
    </w:p>
    <w:p w14:paraId="0826EE2C">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CA0E5CC">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05620876">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5DCA39BB">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8AF7D84">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DE00CE8">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5B19FBC">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D14DB61">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CF547DB">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B6D0599">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41DC8A1">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F8CE283">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6BF8F268">
      <w:pPr>
        <w:widowControl/>
        <w:spacing w:line="560" w:lineRule="exact"/>
        <w:jc w:val="left"/>
        <w:rPr>
          <w:rFonts w:hint="eastAsia" w:ascii="仿宋" w:hAnsi="仿宋" w:eastAsia="仿宋" w:cs="仿宋"/>
          <w:b/>
          <w:color w:val="auto"/>
          <w:highlight w:val="none"/>
        </w:rPr>
      </w:pPr>
      <w:bookmarkStart w:id="103" w:name="_Toc331685783"/>
    </w:p>
    <w:p w14:paraId="3D4E6A88">
      <w:pPr>
        <w:widowControl/>
        <w:spacing w:line="560" w:lineRule="exact"/>
        <w:jc w:val="left"/>
        <w:rPr>
          <w:rFonts w:hint="eastAsia" w:ascii="仿宋" w:hAnsi="仿宋" w:eastAsia="仿宋" w:cs="仿宋"/>
          <w:b/>
          <w:color w:val="auto"/>
          <w:highlight w:val="none"/>
        </w:rPr>
      </w:pPr>
    </w:p>
    <w:p w14:paraId="3F1A696F">
      <w:pPr>
        <w:pStyle w:val="223"/>
        <w:spacing w:line="560" w:lineRule="exact"/>
        <w:ind w:firstLine="2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br w:type="page"/>
      </w:r>
      <w:r>
        <w:rPr>
          <w:rFonts w:hint="eastAsia" w:ascii="仿宋" w:hAnsi="仿宋" w:eastAsia="仿宋" w:cs="仿宋"/>
          <w:b/>
          <w:color w:val="auto"/>
          <w:szCs w:val="24"/>
          <w:highlight w:val="none"/>
        </w:rPr>
        <w:t>第二部分 合同一般条款</w:t>
      </w:r>
      <w:bookmarkEnd w:id="103"/>
    </w:p>
    <w:p w14:paraId="2392ABAD">
      <w:pPr>
        <w:spacing w:line="560" w:lineRule="exact"/>
        <w:ind w:firstLine="482" w:firstLineChars="200"/>
        <w:rPr>
          <w:rFonts w:hint="eastAsia" w:ascii="仿宋" w:hAnsi="仿宋" w:eastAsia="仿宋" w:cs="仿宋"/>
          <w:b/>
          <w:color w:val="auto"/>
          <w:sz w:val="24"/>
          <w:highlight w:val="none"/>
        </w:rPr>
      </w:pPr>
      <w:bookmarkStart w:id="104" w:name="_Ref467378499"/>
      <w:bookmarkStart w:id="105" w:name="_Ref467379214"/>
      <w:bookmarkStart w:id="106" w:name="_Ref467379094"/>
      <w:bookmarkStart w:id="107" w:name="_Toc14021"/>
      <w:bookmarkStart w:id="108" w:name="_Toc37868836"/>
      <w:bookmarkStart w:id="109" w:name="_Ref467379195"/>
      <w:bookmarkStart w:id="110" w:name="_Toc259093669"/>
      <w:bookmarkStart w:id="111" w:name="_Toc2591682"/>
      <w:bookmarkStart w:id="112" w:name="_Toc31297"/>
      <w:bookmarkStart w:id="113" w:name="_Ref467378404"/>
      <w:bookmarkStart w:id="114" w:name="_Toc25079"/>
      <w:bookmarkStart w:id="115" w:name="_Ref467379109"/>
      <w:bookmarkStart w:id="116" w:name="_Toc279701240"/>
      <w:bookmarkStart w:id="117" w:name="_Ref467379205"/>
      <w:bookmarkStart w:id="118" w:name="_Ref467378463"/>
      <w:bookmarkStart w:id="119" w:name="_Ref467379225"/>
      <w:bookmarkStart w:id="120" w:name="_Toc82617978"/>
      <w:bookmarkStart w:id="121" w:name="_Toc487900349"/>
      <w:bookmarkStart w:id="122" w:name="_Toc19680"/>
      <w:bookmarkStart w:id="123" w:name="_Toc5228"/>
      <w:bookmarkStart w:id="124" w:name="_Ref467379101"/>
      <w:r>
        <w:rPr>
          <w:rFonts w:hint="eastAsia" w:ascii="仿宋" w:hAnsi="仿宋" w:eastAsia="仿宋" w:cs="仿宋"/>
          <w:b/>
          <w:color w:val="auto"/>
          <w:sz w:val="24"/>
          <w:highlight w:val="none"/>
        </w:rPr>
        <w:t>2.1 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3ED95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327AF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6CD36DE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5BD8A17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2E0C4A86">
      <w:pPr>
        <w:spacing w:line="560" w:lineRule="exact"/>
        <w:ind w:firstLine="480" w:firstLineChars="200"/>
        <w:rPr>
          <w:rFonts w:hint="eastAsia" w:ascii="仿宋" w:hAnsi="仿宋" w:eastAsia="仿宋" w:cs="仿宋"/>
          <w:color w:val="auto"/>
          <w:sz w:val="24"/>
          <w:highlight w:val="none"/>
        </w:rPr>
      </w:pPr>
      <w:bookmarkStart w:id="125" w:name="_Ref467378840"/>
      <w:r>
        <w:rPr>
          <w:rFonts w:hint="eastAsia" w:ascii="仿宋" w:hAnsi="仿宋" w:eastAsia="仿宋" w:cs="仿宋"/>
          <w:color w:val="auto"/>
          <w:sz w:val="24"/>
          <w:highlight w:val="none"/>
        </w:rPr>
        <w:t>2.1.4 “甲方”系指与中标供应商签署合同的采购人</w:t>
      </w:r>
      <w:bookmarkEnd w:id="125"/>
      <w:r>
        <w:rPr>
          <w:rFonts w:hint="eastAsia" w:ascii="仿宋" w:hAnsi="仿宋" w:eastAsia="仿宋" w:cs="仿宋"/>
          <w:color w:val="auto"/>
          <w:sz w:val="24"/>
          <w:highlight w:val="none"/>
        </w:rPr>
        <w:t>；采购人委托采购代理机构代表其与乙方签订合同的，采购人的授权委托书作为合同附件。</w:t>
      </w:r>
    </w:p>
    <w:p w14:paraId="1DFC1BCE">
      <w:pPr>
        <w:spacing w:line="560" w:lineRule="exact"/>
        <w:ind w:firstLine="480" w:firstLineChars="200"/>
        <w:rPr>
          <w:rFonts w:hint="eastAsia" w:ascii="仿宋" w:hAnsi="仿宋" w:eastAsia="仿宋" w:cs="仿宋"/>
          <w:color w:val="auto"/>
          <w:sz w:val="24"/>
          <w:highlight w:val="none"/>
        </w:rPr>
      </w:pPr>
      <w:bookmarkStart w:id="126" w:name="_Ref467379400"/>
      <w:r>
        <w:rPr>
          <w:rFonts w:hint="eastAsia" w:ascii="仿宋" w:hAnsi="仿宋" w:eastAsia="仿宋" w:cs="仿宋"/>
          <w:color w:val="auto"/>
          <w:sz w:val="24"/>
          <w:highlight w:val="none"/>
        </w:rPr>
        <w:t>2.1.5 “乙方”系指根据合同约定提供服务的中标供应商</w:t>
      </w:r>
      <w:bookmarkEnd w:id="126"/>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78240A">
      <w:pPr>
        <w:spacing w:line="560" w:lineRule="exact"/>
        <w:ind w:firstLine="480" w:firstLineChars="200"/>
        <w:rPr>
          <w:rFonts w:hint="eastAsia" w:ascii="仿宋" w:hAnsi="仿宋" w:eastAsia="仿宋" w:cs="仿宋"/>
          <w:color w:val="auto"/>
          <w:sz w:val="24"/>
          <w:highlight w:val="none"/>
        </w:rPr>
      </w:pPr>
      <w:bookmarkStart w:id="127" w:name="_Ref467379436"/>
      <w:r>
        <w:rPr>
          <w:rFonts w:hint="eastAsia" w:ascii="仿宋" w:hAnsi="仿宋" w:eastAsia="仿宋" w:cs="仿宋"/>
          <w:color w:val="auto"/>
          <w:sz w:val="24"/>
          <w:highlight w:val="none"/>
        </w:rPr>
        <w:t>2.1.6 “现场”系指合同约定提供服务的地点。</w:t>
      </w:r>
      <w:bookmarkEnd w:id="127"/>
    </w:p>
    <w:p w14:paraId="279C3C5F">
      <w:pPr>
        <w:spacing w:line="560" w:lineRule="exact"/>
        <w:ind w:firstLine="482" w:firstLineChars="200"/>
        <w:rPr>
          <w:rFonts w:hint="eastAsia" w:ascii="仿宋" w:hAnsi="仿宋" w:eastAsia="仿宋" w:cs="仿宋"/>
          <w:b/>
          <w:color w:val="auto"/>
          <w:sz w:val="24"/>
          <w:highlight w:val="none"/>
        </w:rPr>
      </w:pPr>
      <w:bookmarkStart w:id="128" w:name="_Toc3769"/>
      <w:bookmarkStart w:id="129" w:name="_Toc2591683"/>
      <w:bookmarkStart w:id="130" w:name="_Toc37868837"/>
      <w:bookmarkStart w:id="131" w:name="_Toc82617979"/>
      <w:bookmarkStart w:id="132" w:name="_Toc23289"/>
      <w:bookmarkStart w:id="133" w:name="_Toc487900350"/>
      <w:bookmarkStart w:id="134" w:name="_Toc279701241"/>
      <w:bookmarkStart w:id="135" w:name="_Toc31402"/>
      <w:bookmarkStart w:id="136" w:name="_Toc259093670"/>
      <w:bookmarkStart w:id="137" w:name="_Toc16752"/>
      <w:bookmarkStart w:id="138" w:name="_Toc19539"/>
      <w:r>
        <w:rPr>
          <w:rFonts w:hint="eastAsia" w:ascii="仿宋" w:hAnsi="仿宋" w:eastAsia="仿宋" w:cs="仿宋"/>
          <w:b/>
          <w:color w:val="auto"/>
          <w:sz w:val="24"/>
          <w:highlight w:val="none"/>
        </w:rPr>
        <w:t>2.2 技术规范</w:t>
      </w:r>
      <w:bookmarkEnd w:id="128"/>
      <w:bookmarkEnd w:id="129"/>
      <w:bookmarkEnd w:id="130"/>
      <w:bookmarkEnd w:id="131"/>
      <w:bookmarkEnd w:id="132"/>
      <w:bookmarkEnd w:id="133"/>
      <w:bookmarkEnd w:id="134"/>
      <w:bookmarkEnd w:id="135"/>
      <w:bookmarkEnd w:id="136"/>
      <w:bookmarkEnd w:id="137"/>
      <w:bookmarkEnd w:id="138"/>
    </w:p>
    <w:p w14:paraId="6B7FF8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73BD31E">
      <w:pPr>
        <w:spacing w:line="560" w:lineRule="exact"/>
        <w:ind w:firstLine="482" w:firstLineChars="200"/>
        <w:rPr>
          <w:rFonts w:hint="eastAsia" w:ascii="仿宋" w:hAnsi="仿宋" w:eastAsia="仿宋" w:cs="仿宋"/>
          <w:b/>
          <w:color w:val="auto"/>
          <w:sz w:val="24"/>
          <w:highlight w:val="none"/>
        </w:rPr>
      </w:pPr>
      <w:bookmarkStart w:id="139" w:name="_Toc487900351"/>
      <w:bookmarkStart w:id="140" w:name="_Toc27945"/>
      <w:bookmarkStart w:id="141" w:name="_Toc82617980"/>
      <w:bookmarkStart w:id="142" w:name="_Toc4133"/>
      <w:bookmarkStart w:id="143" w:name="_Toc2591684"/>
      <w:bookmarkStart w:id="144" w:name="_Toc37868838"/>
      <w:bookmarkStart w:id="145" w:name="_Toc12412"/>
      <w:bookmarkStart w:id="146" w:name="_Toc9161"/>
      <w:bookmarkStart w:id="147" w:name="_Toc279701242"/>
      <w:bookmarkStart w:id="148" w:name="_Toc259093671"/>
      <w:bookmarkStart w:id="149" w:name="_Toc13673"/>
      <w:r>
        <w:rPr>
          <w:rFonts w:hint="eastAsia" w:ascii="仿宋" w:hAnsi="仿宋" w:eastAsia="仿宋" w:cs="仿宋"/>
          <w:b/>
          <w:color w:val="auto"/>
          <w:sz w:val="24"/>
          <w:highlight w:val="none"/>
        </w:rPr>
        <w:t>2.3 知识产权</w:t>
      </w:r>
      <w:bookmarkEnd w:id="139"/>
      <w:bookmarkEnd w:id="140"/>
      <w:bookmarkEnd w:id="141"/>
      <w:bookmarkEnd w:id="142"/>
      <w:bookmarkEnd w:id="143"/>
      <w:bookmarkEnd w:id="144"/>
      <w:bookmarkEnd w:id="145"/>
      <w:bookmarkEnd w:id="146"/>
      <w:bookmarkEnd w:id="147"/>
      <w:bookmarkEnd w:id="148"/>
      <w:bookmarkEnd w:id="149"/>
    </w:p>
    <w:p w14:paraId="122272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FC833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88458B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7D60CA71">
      <w:pPr>
        <w:spacing w:line="560" w:lineRule="exact"/>
        <w:ind w:firstLine="480" w:firstLineChars="200"/>
        <w:rPr>
          <w:rFonts w:hint="eastAsia" w:ascii="仿宋" w:hAnsi="仿宋" w:eastAsia="仿宋" w:cs="仿宋"/>
          <w:color w:val="auto"/>
          <w:sz w:val="24"/>
          <w:highlight w:val="none"/>
        </w:rPr>
      </w:pPr>
      <w:bookmarkStart w:id="150" w:name="_Ref467379657"/>
      <w:r>
        <w:rPr>
          <w:rFonts w:hint="eastAsia" w:ascii="仿宋" w:hAnsi="仿宋" w:eastAsia="仿宋" w:cs="仿宋"/>
          <w:color w:val="auto"/>
          <w:sz w:val="24"/>
          <w:highlight w:val="none"/>
        </w:rPr>
        <w:t>2.4.1</w:t>
      </w:r>
      <w:bookmarkEnd w:id="150"/>
      <w:bookmarkStart w:id="151" w:name="_Toc186431854"/>
      <w:bookmarkStart w:id="152" w:name="_Ref467379793"/>
      <w:bookmarkStart w:id="153" w:name="_Toc279701247"/>
      <w:bookmarkStart w:id="154" w:name="_Toc259093676"/>
      <w:bookmarkStart w:id="155" w:name="_Toc487900357"/>
      <w:bookmarkStart w:id="156" w:name="_Ref467379807"/>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604D338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151"/>
      <w:bookmarkStart w:id="157" w:name="_Toc186431855"/>
      <w:r>
        <w:rPr>
          <w:rFonts w:hint="eastAsia" w:ascii="仿宋" w:hAnsi="仿宋" w:eastAsia="仿宋" w:cs="仿宋"/>
          <w:color w:val="auto"/>
          <w:sz w:val="24"/>
          <w:highlight w:val="none"/>
        </w:rPr>
        <w:t>。</w:t>
      </w:r>
    </w:p>
    <w:bookmarkEnd w:id="157"/>
    <w:p w14:paraId="0549E0DB">
      <w:pPr>
        <w:spacing w:line="560" w:lineRule="exact"/>
        <w:ind w:firstLine="482" w:firstLineChars="200"/>
        <w:rPr>
          <w:rFonts w:hint="eastAsia" w:ascii="仿宋" w:hAnsi="仿宋" w:eastAsia="仿宋" w:cs="仿宋"/>
          <w:b/>
          <w:color w:val="auto"/>
          <w:sz w:val="24"/>
          <w:highlight w:val="none"/>
        </w:rPr>
      </w:pPr>
      <w:bookmarkStart w:id="158" w:name="_Toc22011"/>
      <w:bookmarkStart w:id="159" w:name="_Toc26555"/>
      <w:bookmarkStart w:id="160" w:name="_Toc31233"/>
      <w:bookmarkStart w:id="161" w:name="_Toc2591685"/>
      <w:bookmarkStart w:id="162" w:name="_Toc32670"/>
      <w:bookmarkStart w:id="163" w:name="_Toc82617981"/>
      <w:bookmarkStart w:id="164" w:name="_Toc15447"/>
      <w:bookmarkStart w:id="165" w:name="_Toc37868839"/>
      <w:r>
        <w:rPr>
          <w:rFonts w:hint="eastAsia" w:ascii="仿宋" w:hAnsi="仿宋" w:eastAsia="仿宋" w:cs="仿宋"/>
          <w:b/>
          <w:color w:val="auto"/>
          <w:sz w:val="24"/>
          <w:highlight w:val="none"/>
        </w:rPr>
        <w:t>2.5 结算方式和付款条件</w:t>
      </w:r>
      <w:bookmarkEnd w:id="152"/>
      <w:bookmarkEnd w:id="153"/>
      <w:bookmarkEnd w:id="154"/>
      <w:bookmarkEnd w:id="155"/>
      <w:bookmarkEnd w:id="156"/>
      <w:bookmarkEnd w:id="158"/>
      <w:bookmarkEnd w:id="159"/>
      <w:bookmarkEnd w:id="160"/>
      <w:bookmarkEnd w:id="161"/>
      <w:bookmarkEnd w:id="162"/>
      <w:bookmarkEnd w:id="163"/>
      <w:bookmarkEnd w:id="164"/>
      <w:bookmarkEnd w:id="165"/>
    </w:p>
    <w:p w14:paraId="4FC257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DD11D65">
      <w:pPr>
        <w:spacing w:line="560" w:lineRule="exact"/>
        <w:ind w:firstLine="482" w:firstLineChars="200"/>
        <w:rPr>
          <w:rFonts w:hint="eastAsia" w:ascii="仿宋" w:hAnsi="仿宋" w:eastAsia="仿宋" w:cs="仿宋"/>
          <w:b/>
          <w:color w:val="auto"/>
          <w:sz w:val="24"/>
          <w:highlight w:val="none"/>
        </w:rPr>
      </w:pPr>
      <w:bookmarkStart w:id="166" w:name="_Toc259093677"/>
      <w:bookmarkStart w:id="167" w:name="_Toc279701248"/>
      <w:bookmarkStart w:id="168" w:name="_Ref467379863"/>
      <w:bookmarkStart w:id="169" w:name="_Ref467379852"/>
      <w:bookmarkStart w:id="170" w:name="_Toc487900358"/>
      <w:bookmarkStart w:id="171" w:name="_Ref467379923"/>
      <w:bookmarkStart w:id="172" w:name="_Toc16163"/>
      <w:bookmarkStart w:id="173" w:name="_Toc13154"/>
      <w:bookmarkStart w:id="174" w:name="_Toc18990"/>
      <w:bookmarkStart w:id="175" w:name="_Toc30507"/>
      <w:bookmarkStart w:id="176" w:name="_Toc37868840"/>
      <w:bookmarkStart w:id="177" w:name="_Toc82617982"/>
      <w:bookmarkStart w:id="178" w:name="_Toc2591686"/>
      <w:bookmarkStart w:id="179" w:name="_Toc13467"/>
      <w:r>
        <w:rPr>
          <w:rFonts w:hint="eastAsia" w:ascii="仿宋" w:hAnsi="仿宋" w:eastAsia="仿宋" w:cs="仿宋"/>
          <w:b/>
          <w:color w:val="auto"/>
          <w:sz w:val="24"/>
          <w:highlight w:val="none"/>
        </w:rPr>
        <w:t>2.6 技术资料</w:t>
      </w:r>
      <w:bookmarkEnd w:id="166"/>
      <w:bookmarkEnd w:id="167"/>
      <w:bookmarkEnd w:id="168"/>
      <w:bookmarkEnd w:id="169"/>
      <w:bookmarkEnd w:id="170"/>
      <w:bookmarkEnd w:id="171"/>
      <w:r>
        <w:rPr>
          <w:rFonts w:hint="eastAsia" w:ascii="仿宋" w:hAnsi="仿宋" w:eastAsia="仿宋" w:cs="仿宋"/>
          <w:b/>
          <w:color w:val="auto"/>
          <w:sz w:val="24"/>
          <w:highlight w:val="none"/>
        </w:rPr>
        <w:t>和保密义务</w:t>
      </w:r>
      <w:bookmarkEnd w:id="172"/>
      <w:bookmarkEnd w:id="173"/>
      <w:bookmarkEnd w:id="174"/>
      <w:bookmarkEnd w:id="175"/>
      <w:bookmarkEnd w:id="176"/>
      <w:bookmarkEnd w:id="177"/>
      <w:bookmarkEnd w:id="178"/>
      <w:bookmarkEnd w:id="179"/>
    </w:p>
    <w:p w14:paraId="21AD3C2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23CFC8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B75D5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C25544B">
      <w:pPr>
        <w:spacing w:line="560" w:lineRule="exact"/>
        <w:ind w:firstLine="482" w:firstLineChars="200"/>
        <w:rPr>
          <w:rFonts w:hint="eastAsia" w:ascii="仿宋" w:hAnsi="仿宋" w:eastAsia="仿宋" w:cs="仿宋"/>
          <w:b/>
          <w:color w:val="auto"/>
          <w:sz w:val="24"/>
          <w:highlight w:val="none"/>
        </w:rPr>
      </w:pPr>
      <w:bookmarkStart w:id="180" w:name="_Toc2591687"/>
      <w:bookmarkStart w:id="181" w:name="_Toc19069"/>
      <w:bookmarkStart w:id="182" w:name="_Toc37868841"/>
      <w:bookmarkStart w:id="183" w:name="_Toc82617983"/>
      <w:bookmarkStart w:id="184" w:name="_Toc259093681"/>
      <w:bookmarkStart w:id="185" w:name="_Toc487900362"/>
      <w:bookmarkStart w:id="186" w:name="_Toc279701252"/>
      <w:r>
        <w:rPr>
          <w:rFonts w:hint="eastAsia" w:ascii="仿宋" w:hAnsi="仿宋" w:eastAsia="仿宋" w:cs="仿宋"/>
          <w:b/>
          <w:color w:val="auto"/>
          <w:sz w:val="24"/>
          <w:highlight w:val="none"/>
        </w:rPr>
        <w:t>2.7 质量保证</w:t>
      </w:r>
      <w:bookmarkEnd w:id="180"/>
      <w:bookmarkEnd w:id="181"/>
      <w:bookmarkEnd w:id="182"/>
      <w:bookmarkEnd w:id="183"/>
    </w:p>
    <w:p w14:paraId="742273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E8F80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892499F">
      <w:pPr>
        <w:spacing w:line="560" w:lineRule="exact"/>
        <w:ind w:firstLine="482" w:firstLineChars="200"/>
        <w:rPr>
          <w:rFonts w:hint="eastAsia" w:ascii="仿宋" w:hAnsi="仿宋" w:eastAsia="仿宋" w:cs="仿宋"/>
          <w:b/>
          <w:color w:val="auto"/>
          <w:sz w:val="24"/>
          <w:highlight w:val="none"/>
        </w:rPr>
      </w:pPr>
      <w:bookmarkStart w:id="187" w:name="_Toc2591688"/>
      <w:bookmarkStart w:id="188" w:name="_Toc37868842"/>
      <w:bookmarkStart w:id="189" w:name="_Toc22267"/>
      <w:bookmarkStart w:id="190" w:name="_Toc82617984"/>
      <w:r>
        <w:rPr>
          <w:rFonts w:hint="eastAsia" w:ascii="仿宋" w:hAnsi="仿宋" w:eastAsia="仿宋" w:cs="仿宋"/>
          <w:b/>
          <w:color w:val="auto"/>
          <w:sz w:val="24"/>
          <w:highlight w:val="none"/>
        </w:rPr>
        <w:t>2.8 延迟</w:t>
      </w:r>
      <w:bookmarkEnd w:id="184"/>
      <w:bookmarkEnd w:id="185"/>
      <w:bookmarkEnd w:id="186"/>
      <w:r>
        <w:rPr>
          <w:rFonts w:hint="eastAsia" w:ascii="仿宋" w:hAnsi="仿宋" w:eastAsia="仿宋" w:cs="仿宋"/>
          <w:b/>
          <w:color w:val="auto"/>
          <w:sz w:val="24"/>
          <w:highlight w:val="none"/>
        </w:rPr>
        <w:t>履行</w:t>
      </w:r>
      <w:bookmarkEnd w:id="187"/>
      <w:bookmarkEnd w:id="188"/>
      <w:bookmarkEnd w:id="189"/>
      <w:bookmarkEnd w:id="190"/>
    </w:p>
    <w:p w14:paraId="2BD31E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EB14CCF">
      <w:pPr>
        <w:spacing w:line="560" w:lineRule="exact"/>
        <w:ind w:firstLine="482" w:firstLineChars="200"/>
        <w:rPr>
          <w:rFonts w:hint="eastAsia" w:ascii="仿宋" w:hAnsi="仿宋" w:eastAsia="仿宋" w:cs="仿宋"/>
          <w:b/>
          <w:color w:val="auto"/>
          <w:sz w:val="24"/>
          <w:highlight w:val="none"/>
        </w:rPr>
      </w:pPr>
      <w:bookmarkStart w:id="191" w:name="_Toc82617985"/>
      <w:bookmarkStart w:id="192" w:name="_Toc2591689"/>
      <w:bookmarkStart w:id="193" w:name="_Toc37868843"/>
      <w:bookmarkStart w:id="194" w:name="_Toc10611"/>
      <w:bookmarkStart w:id="195" w:name="_Toc279701254"/>
      <w:bookmarkStart w:id="196" w:name="_Toc487900364"/>
      <w:bookmarkStart w:id="197" w:name="_Ref467378121"/>
      <w:bookmarkStart w:id="198" w:name="_Toc259093683"/>
      <w:r>
        <w:rPr>
          <w:rFonts w:hint="eastAsia" w:ascii="仿宋" w:hAnsi="仿宋" w:eastAsia="仿宋" w:cs="仿宋"/>
          <w:b/>
          <w:color w:val="auto"/>
          <w:sz w:val="24"/>
          <w:highlight w:val="none"/>
        </w:rPr>
        <w:t>2.9 合同变更</w:t>
      </w:r>
      <w:bookmarkEnd w:id="191"/>
      <w:bookmarkEnd w:id="192"/>
      <w:bookmarkEnd w:id="193"/>
      <w:bookmarkEnd w:id="194"/>
    </w:p>
    <w:p w14:paraId="323EA2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71D8DE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199" w:name="_Toc279701259"/>
      <w:bookmarkStart w:id="200" w:name="_Toc487900369"/>
      <w:bookmarkStart w:id="201" w:name="_Toc259093688"/>
    </w:p>
    <w:p w14:paraId="48230F89">
      <w:pPr>
        <w:spacing w:line="560" w:lineRule="exact"/>
        <w:ind w:firstLine="482" w:firstLineChars="200"/>
        <w:rPr>
          <w:rFonts w:hint="eastAsia" w:ascii="仿宋" w:hAnsi="仿宋" w:eastAsia="仿宋" w:cs="仿宋"/>
          <w:b/>
          <w:color w:val="auto"/>
          <w:sz w:val="24"/>
          <w:highlight w:val="none"/>
        </w:rPr>
      </w:pPr>
      <w:bookmarkStart w:id="202" w:name="_Toc37868844"/>
      <w:bookmarkStart w:id="203" w:name="_Toc82617986"/>
      <w:bookmarkStart w:id="204" w:name="_Toc21830"/>
      <w:bookmarkStart w:id="205" w:name="_Toc2591690"/>
      <w:bookmarkStart w:id="206" w:name="_Toc23368"/>
      <w:bookmarkStart w:id="207" w:name="_Toc26689"/>
      <w:bookmarkStart w:id="208" w:name="_Toc42"/>
      <w:bookmarkStart w:id="209" w:name="_Toc10663"/>
      <w:r>
        <w:rPr>
          <w:rFonts w:hint="eastAsia" w:ascii="仿宋" w:hAnsi="仿宋" w:eastAsia="仿宋" w:cs="仿宋"/>
          <w:b/>
          <w:color w:val="auto"/>
          <w:sz w:val="24"/>
          <w:highlight w:val="none"/>
        </w:rPr>
        <w:t>2.10 合同转让</w:t>
      </w:r>
      <w:bookmarkEnd w:id="199"/>
      <w:bookmarkEnd w:id="200"/>
      <w:bookmarkEnd w:id="201"/>
      <w:r>
        <w:rPr>
          <w:rFonts w:hint="eastAsia" w:ascii="仿宋" w:hAnsi="仿宋" w:eastAsia="仿宋" w:cs="仿宋"/>
          <w:b/>
          <w:color w:val="auto"/>
          <w:sz w:val="24"/>
          <w:highlight w:val="none"/>
        </w:rPr>
        <w:t>和分包</w:t>
      </w:r>
      <w:bookmarkEnd w:id="202"/>
      <w:bookmarkEnd w:id="203"/>
      <w:bookmarkEnd w:id="204"/>
      <w:bookmarkEnd w:id="205"/>
      <w:bookmarkEnd w:id="206"/>
      <w:bookmarkEnd w:id="207"/>
      <w:bookmarkEnd w:id="208"/>
      <w:bookmarkEnd w:id="209"/>
    </w:p>
    <w:p w14:paraId="4CCC2E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557DD4B">
      <w:pPr>
        <w:spacing w:line="560" w:lineRule="exact"/>
        <w:ind w:firstLine="482" w:firstLineChars="200"/>
        <w:rPr>
          <w:rFonts w:hint="eastAsia" w:ascii="仿宋" w:hAnsi="仿宋" w:eastAsia="仿宋" w:cs="仿宋"/>
          <w:b/>
          <w:color w:val="auto"/>
          <w:sz w:val="24"/>
          <w:highlight w:val="none"/>
        </w:rPr>
      </w:pPr>
      <w:bookmarkStart w:id="210" w:name="_Toc37868845"/>
      <w:bookmarkStart w:id="211" w:name="_Toc14371"/>
      <w:bookmarkStart w:id="212" w:name="_Toc82617987"/>
      <w:bookmarkStart w:id="213" w:name="_Toc4720"/>
      <w:bookmarkStart w:id="214" w:name="_Toc25571"/>
      <w:bookmarkStart w:id="215" w:name="_Toc26633"/>
      <w:bookmarkStart w:id="216" w:name="_Toc2591691"/>
      <w:bookmarkStart w:id="217" w:name="_Toc32494"/>
      <w:r>
        <w:rPr>
          <w:rFonts w:hint="eastAsia" w:ascii="仿宋" w:hAnsi="仿宋" w:eastAsia="仿宋" w:cs="仿宋"/>
          <w:b/>
          <w:color w:val="auto"/>
          <w:sz w:val="24"/>
          <w:highlight w:val="none"/>
        </w:rPr>
        <w:t>2.11 不可抗力</w:t>
      </w:r>
      <w:bookmarkEnd w:id="210"/>
      <w:bookmarkEnd w:id="211"/>
      <w:bookmarkEnd w:id="212"/>
      <w:bookmarkEnd w:id="213"/>
      <w:bookmarkEnd w:id="214"/>
      <w:bookmarkEnd w:id="215"/>
      <w:bookmarkEnd w:id="216"/>
      <w:bookmarkEnd w:id="217"/>
    </w:p>
    <w:p w14:paraId="0AEB48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3BDBF2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DC3933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394CE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7336172">
      <w:pPr>
        <w:spacing w:line="560" w:lineRule="exact"/>
        <w:ind w:firstLine="482" w:firstLineChars="200"/>
        <w:rPr>
          <w:rFonts w:hint="eastAsia" w:ascii="仿宋" w:hAnsi="仿宋" w:eastAsia="仿宋" w:cs="仿宋"/>
          <w:b/>
          <w:color w:val="auto"/>
          <w:sz w:val="24"/>
          <w:highlight w:val="none"/>
        </w:rPr>
      </w:pPr>
      <w:bookmarkStart w:id="218" w:name="_Toc25783"/>
      <w:bookmarkStart w:id="219" w:name="_Toc259093684"/>
      <w:bookmarkStart w:id="220" w:name="_Toc2591692"/>
      <w:bookmarkStart w:id="221" w:name="_Toc23854"/>
      <w:bookmarkStart w:id="222" w:name="_Toc487900365"/>
      <w:bookmarkStart w:id="223" w:name="_Toc279701255"/>
      <w:bookmarkStart w:id="224" w:name="_Toc3638"/>
      <w:bookmarkStart w:id="225" w:name="_Toc24465"/>
      <w:bookmarkStart w:id="226" w:name="_Toc14115"/>
      <w:bookmarkStart w:id="227" w:name="_Toc37868846"/>
      <w:bookmarkStart w:id="228" w:name="_Toc82617988"/>
      <w:r>
        <w:rPr>
          <w:rFonts w:hint="eastAsia" w:ascii="仿宋" w:hAnsi="仿宋" w:eastAsia="仿宋" w:cs="仿宋"/>
          <w:b/>
          <w:color w:val="auto"/>
          <w:sz w:val="24"/>
          <w:highlight w:val="none"/>
        </w:rPr>
        <w:t>2.12 税费</w:t>
      </w:r>
      <w:bookmarkEnd w:id="218"/>
      <w:bookmarkEnd w:id="219"/>
      <w:bookmarkEnd w:id="220"/>
      <w:bookmarkEnd w:id="221"/>
      <w:bookmarkEnd w:id="222"/>
      <w:bookmarkEnd w:id="223"/>
      <w:bookmarkEnd w:id="224"/>
      <w:bookmarkEnd w:id="225"/>
      <w:bookmarkEnd w:id="226"/>
      <w:bookmarkEnd w:id="227"/>
      <w:bookmarkEnd w:id="228"/>
    </w:p>
    <w:p w14:paraId="4993D8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96AEF69">
      <w:pPr>
        <w:spacing w:line="560" w:lineRule="exact"/>
        <w:ind w:firstLine="482" w:firstLineChars="200"/>
        <w:rPr>
          <w:rFonts w:hint="eastAsia" w:ascii="仿宋" w:hAnsi="仿宋" w:eastAsia="仿宋" w:cs="仿宋"/>
          <w:b/>
          <w:color w:val="auto"/>
          <w:sz w:val="24"/>
          <w:highlight w:val="none"/>
        </w:rPr>
      </w:pPr>
      <w:bookmarkStart w:id="229" w:name="_Toc37868847"/>
      <w:bookmarkStart w:id="230" w:name="_Toc7315"/>
      <w:bookmarkStart w:id="231" w:name="_Toc30105"/>
      <w:bookmarkStart w:id="232" w:name="_Toc26883"/>
      <w:bookmarkStart w:id="233" w:name="_Toc487900368"/>
      <w:bookmarkStart w:id="234" w:name="_Toc82617989"/>
      <w:bookmarkStart w:id="235" w:name="_Toc2591693"/>
      <w:bookmarkStart w:id="236" w:name="_Toc279701258"/>
      <w:bookmarkStart w:id="237" w:name="_Toc14814"/>
      <w:bookmarkStart w:id="238" w:name="_Toc25525"/>
      <w:bookmarkStart w:id="239" w:name="_Toc259093687"/>
      <w:r>
        <w:rPr>
          <w:rFonts w:hint="eastAsia" w:ascii="仿宋" w:hAnsi="仿宋" w:eastAsia="仿宋" w:cs="仿宋"/>
          <w:b/>
          <w:color w:val="auto"/>
          <w:sz w:val="24"/>
          <w:highlight w:val="none"/>
        </w:rPr>
        <w:t>2.13 乙方破产</w:t>
      </w:r>
      <w:bookmarkEnd w:id="229"/>
      <w:bookmarkEnd w:id="230"/>
      <w:bookmarkEnd w:id="231"/>
      <w:bookmarkEnd w:id="232"/>
      <w:bookmarkEnd w:id="233"/>
      <w:bookmarkEnd w:id="234"/>
      <w:bookmarkEnd w:id="235"/>
      <w:bookmarkEnd w:id="236"/>
      <w:bookmarkEnd w:id="237"/>
      <w:bookmarkEnd w:id="238"/>
      <w:bookmarkEnd w:id="239"/>
    </w:p>
    <w:p w14:paraId="12A075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CA15C68">
      <w:pPr>
        <w:spacing w:line="560" w:lineRule="exact"/>
        <w:ind w:firstLine="482" w:firstLineChars="200"/>
        <w:rPr>
          <w:rFonts w:hint="eastAsia" w:ascii="仿宋" w:hAnsi="仿宋" w:eastAsia="仿宋" w:cs="仿宋"/>
          <w:b/>
          <w:color w:val="auto"/>
          <w:sz w:val="24"/>
          <w:highlight w:val="none"/>
        </w:rPr>
      </w:pPr>
      <w:bookmarkStart w:id="240" w:name="_Toc1123"/>
      <w:bookmarkStart w:id="241" w:name="_Toc2016"/>
      <w:bookmarkStart w:id="242" w:name="_Toc37868848"/>
      <w:bookmarkStart w:id="243" w:name="_Toc82617990"/>
      <w:bookmarkStart w:id="244" w:name="_Toc23323"/>
      <w:bookmarkStart w:id="245" w:name="_Toc2591694"/>
      <w:r>
        <w:rPr>
          <w:rFonts w:hint="eastAsia" w:ascii="仿宋" w:hAnsi="仿宋" w:eastAsia="仿宋" w:cs="仿宋"/>
          <w:b/>
          <w:color w:val="auto"/>
          <w:sz w:val="24"/>
          <w:highlight w:val="none"/>
        </w:rPr>
        <w:t>2.14 合同中止、终止</w:t>
      </w:r>
      <w:bookmarkEnd w:id="240"/>
      <w:bookmarkEnd w:id="241"/>
      <w:bookmarkEnd w:id="242"/>
      <w:bookmarkEnd w:id="243"/>
      <w:bookmarkEnd w:id="244"/>
      <w:bookmarkEnd w:id="245"/>
    </w:p>
    <w:p w14:paraId="6C6163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E92DF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5A31DC3">
      <w:pPr>
        <w:spacing w:line="560" w:lineRule="exact"/>
        <w:ind w:firstLine="482" w:firstLineChars="200"/>
        <w:rPr>
          <w:rFonts w:hint="eastAsia" w:ascii="仿宋" w:hAnsi="仿宋" w:eastAsia="仿宋" w:cs="仿宋"/>
          <w:b/>
          <w:color w:val="auto"/>
          <w:sz w:val="24"/>
          <w:highlight w:val="none"/>
        </w:rPr>
      </w:pPr>
      <w:bookmarkStart w:id="246" w:name="_Toc37868849"/>
      <w:bookmarkStart w:id="247" w:name="_Toc2591695"/>
      <w:bookmarkStart w:id="248" w:name="_Toc14525"/>
      <w:bookmarkStart w:id="249" w:name="_Toc82617991"/>
      <w:bookmarkStart w:id="250" w:name="_Toc17363"/>
      <w:bookmarkStart w:id="251" w:name="_Toc1969"/>
      <w:r>
        <w:rPr>
          <w:rFonts w:hint="eastAsia" w:ascii="仿宋" w:hAnsi="仿宋" w:eastAsia="仿宋" w:cs="仿宋"/>
          <w:b/>
          <w:color w:val="auto"/>
          <w:sz w:val="24"/>
          <w:highlight w:val="none"/>
        </w:rPr>
        <w:t>2.15 检验和验收</w:t>
      </w:r>
      <w:bookmarkEnd w:id="246"/>
      <w:bookmarkEnd w:id="247"/>
      <w:bookmarkEnd w:id="248"/>
      <w:bookmarkEnd w:id="249"/>
      <w:bookmarkEnd w:id="250"/>
      <w:bookmarkEnd w:id="251"/>
    </w:p>
    <w:p w14:paraId="56AE026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0B255D2">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监测机构参加）对乙方履约的验收，即：按照合同约定的标准，组织对乙方履约情况的验收，并出具验收书；向社会公众提供的公共服务项目，验收时应当邀请服务对象参与并出具意见，验收结果应当向社会公告；</w:t>
      </w:r>
    </w:p>
    <w:p w14:paraId="6754E95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195"/>
    <w:bookmarkEnd w:id="196"/>
    <w:bookmarkEnd w:id="197"/>
    <w:bookmarkEnd w:id="198"/>
    <w:p w14:paraId="1C03BE23">
      <w:pPr>
        <w:spacing w:line="560" w:lineRule="exact"/>
        <w:ind w:firstLine="482" w:firstLineChars="200"/>
        <w:rPr>
          <w:rFonts w:hint="eastAsia" w:ascii="仿宋" w:hAnsi="仿宋" w:eastAsia="仿宋" w:cs="仿宋"/>
          <w:b/>
          <w:color w:val="auto"/>
          <w:sz w:val="24"/>
          <w:highlight w:val="none"/>
        </w:rPr>
      </w:pPr>
      <w:bookmarkStart w:id="252" w:name="_Toc487900371"/>
      <w:bookmarkStart w:id="253" w:name="_Toc279701261"/>
      <w:bookmarkStart w:id="254" w:name="_Toc259093690"/>
      <w:bookmarkStart w:id="255" w:name="_Toc2591696"/>
      <w:bookmarkStart w:id="256" w:name="_Toc2308"/>
      <w:bookmarkStart w:id="257" w:name="_Toc9808"/>
      <w:bookmarkStart w:id="258" w:name="_Toc37868850"/>
      <w:bookmarkStart w:id="259" w:name="_Toc25198"/>
      <w:bookmarkStart w:id="260" w:name="_Toc31892"/>
      <w:bookmarkStart w:id="261" w:name="_Toc82617992"/>
      <w:bookmarkStart w:id="262" w:name="_Toc12666"/>
      <w:r>
        <w:rPr>
          <w:rFonts w:hint="eastAsia" w:ascii="仿宋" w:hAnsi="仿宋" w:eastAsia="仿宋" w:cs="仿宋"/>
          <w:b/>
          <w:color w:val="auto"/>
          <w:sz w:val="24"/>
          <w:highlight w:val="none"/>
        </w:rPr>
        <w:t>2.16 通知</w:t>
      </w:r>
      <w:bookmarkEnd w:id="252"/>
      <w:bookmarkEnd w:id="253"/>
      <w:bookmarkEnd w:id="254"/>
      <w:r>
        <w:rPr>
          <w:rFonts w:hint="eastAsia" w:ascii="仿宋" w:hAnsi="仿宋" w:eastAsia="仿宋" w:cs="仿宋"/>
          <w:b/>
          <w:color w:val="auto"/>
          <w:sz w:val="24"/>
          <w:highlight w:val="none"/>
        </w:rPr>
        <w:t>和送达</w:t>
      </w:r>
      <w:bookmarkEnd w:id="255"/>
      <w:bookmarkEnd w:id="256"/>
      <w:bookmarkEnd w:id="257"/>
      <w:bookmarkEnd w:id="258"/>
      <w:bookmarkEnd w:id="259"/>
      <w:bookmarkEnd w:id="260"/>
      <w:bookmarkEnd w:id="261"/>
      <w:bookmarkEnd w:id="262"/>
    </w:p>
    <w:p w14:paraId="2FE0C9C9">
      <w:pPr>
        <w:spacing w:line="560" w:lineRule="exact"/>
        <w:ind w:firstLine="480" w:firstLineChars="200"/>
        <w:rPr>
          <w:rFonts w:hint="eastAsia" w:ascii="仿宋" w:hAnsi="仿宋" w:eastAsia="仿宋" w:cs="仿宋"/>
          <w:color w:val="auto"/>
          <w:sz w:val="24"/>
          <w:highlight w:val="none"/>
        </w:rPr>
      </w:pPr>
      <w:bookmarkStart w:id="263" w:name="_Toc7073"/>
      <w:bookmarkStart w:id="264" w:name="_Toc29220"/>
      <w:bookmarkStart w:id="265" w:name="_Toc279701262"/>
      <w:bookmarkStart w:id="266" w:name="_Toc487900372"/>
      <w:bookmarkStart w:id="267" w:name="_Toc259093691"/>
      <w:r>
        <w:rPr>
          <w:rFonts w:hint="eastAsia" w:ascii="仿宋" w:hAnsi="仿宋" w:eastAsia="仿宋" w:cs="仿宋"/>
          <w:color w:val="auto"/>
          <w:sz w:val="24"/>
          <w:highlight w:val="none"/>
        </w:rPr>
        <w:t>2.16.1 任何一方因履行合同而以合同第一部分尾部所列明的发出的所有通知、文件、材料，均视为已向对方当事人送达；任何一方变更上述送达方式或者地址的，应于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263"/>
      <w:bookmarkEnd w:id="264"/>
    </w:p>
    <w:p w14:paraId="1441FD54">
      <w:pPr>
        <w:spacing w:line="560" w:lineRule="exact"/>
        <w:ind w:firstLine="480" w:firstLineChars="200"/>
        <w:rPr>
          <w:rFonts w:hint="eastAsia" w:ascii="仿宋" w:hAnsi="仿宋" w:eastAsia="仿宋" w:cs="仿宋"/>
          <w:color w:val="auto"/>
          <w:sz w:val="24"/>
          <w:highlight w:val="none"/>
        </w:rPr>
      </w:pPr>
      <w:bookmarkStart w:id="268" w:name="_Toc27674"/>
      <w:bookmarkStart w:id="269" w:name="_Toc18401"/>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bookmarkEnd w:id="265"/>
    <w:bookmarkEnd w:id="266"/>
    <w:bookmarkEnd w:id="267"/>
    <w:p w14:paraId="27CD4DB7">
      <w:pPr>
        <w:spacing w:line="560" w:lineRule="exact"/>
        <w:ind w:firstLine="482" w:firstLineChars="200"/>
        <w:rPr>
          <w:rFonts w:hint="eastAsia" w:ascii="仿宋" w:hAnsi="仿宋" w:eastAsia="仿宋" w:cs="仿宋"/>
          <w:b/>
          <w:color w:val="auto"/>
          <w:sz w:val="24"/>
          <w:highlight w:val="none"/>
        </w:rPr>
      </w:pPr>
      <w:bookmarkStart w:id="270" w:name="_Toc279701263"/>
      <w:bookmarkStart w:id="271" w:name="_Toc487900373"/>
      <w:bookmarkStart w:id="272" w:name="_Toc82617993"/>
      <w:bookmarkStart w:id="273" w:name="_Toc20808"/>
      <w:bookmarkStart w:id="274" w:name="_Toc27644"/>
      <w:bookmarkStart w:id="275" w:name="_Toc259093692"/>
      <w:bookmarkStart w:id="276" w:name="_Toc5063"/>
      <w:bookmarkStart w:id="277" w:name="_Toc12254"/>
      <w:bookmarkStart w:id="278" w:name="_Toc37868851"/>
      <w:bookmarkStart w:id="279" w:name="_Toc2591697"/>
      <w:bookmarkStart w:id="280" w:name="_Toc28906"/>
      <w:r>
        <w:rPr>
          <w:rFonts w:hint="eastAsia" w:ascii="仿宋" w:hAnsi="仿宋" w:eastAsia="仿宋" w:cs="仿宋"/>
          <w:b/>
          <w:color w:val="auto"/>
          <w:sz w:val="24"/>
          <w:highlight w:val="none"/>
        </w:rPr>
        <w:t>2.17 合同使用的文字和适用的法律</w:t>
      </w:r>
      <w:bookmarkEnd w:id="270"/>
      <w:bookmarkEnd w:id="271"/>
      <w:bookmarkEnd w:id="272"/>
      <w:bookmarkEnd w:id="273"/>
      <w:bookmarkEnd w:id="274"/>
      <w:bookmarkEnd w:id="275"/>
      <w:bookmarkEnd w:id="276"/>
      <w:bookmarkEnd w:id="277"/>
      <w:bookmarkEnd w:id="278"/>
      <w:bookmarkEnd w:id="279"/>
      <w:bookmarkEnd w:id="280"/>
    </w:p>
    <w:p w14:paraId="536811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w:t>
      </w:r>
      <w:r>
        <w:rPr>
          <w:rFonts w:hint="eastAsia" w:ascii="仿宋" w:hAnsi="仿宋" w:eastAsia="仿宋" w:cs="仿宋"/>
          <w:color w:val="auto"/>
          <w:sz w:val="24"/>
          <w:highlight w:val="none"/>
          <w:lang w:val="en-US" w:eastAsia="zh-CN"/>
        </w:rPr>
        <w:t>写</w:t>
      </w:r>
      <w:r>
        <w:rPr>
          <w:rFonts w:hint="eastAsia" w:ascii="仿宋" w:hAnsi="仿宋" w:eastAsia="仿宋" w:cs="仿宋"/>
          <w:color w:val="auto"/>
          <w:sz w:val="24"/>
          <w:highlight w:val="none"/>
        </w:rPr>
        <w:t>、变更和解释；</w:t>
      </w:r>
    </w:p>
    <w:p w14:paraId="1EC799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2C747B97">
      <w:pPr>
        <w:spacing w:line="560" w:lineRule="exact"/>
        <w:ind w:firstLine="482" w:firstLineChars="200"/>
        <w:rPr>
          <w:rFonts w:hint="eastAsia" w:ascii="仿宋" w:hAnsi="仿宋" w:eastAsia="仿宋" w:cs="仿宋"/>
          <w:b/>
          <w:color w:val="auto"/>
          <w:sz w:val="24"/>
          <w:highlight w:val="none"/>
        </w:rPr>
      </w:pPr>
      <w:bookmarkStart w:id="281" w:name="_Toc259093693"/>
      <w:bookmarkStart w:id="282" w:name="_Toc279701264"/>
      <w:bookmarkStart w:id="283" w:name="_Toc27127"/>
      <w:bookmarkStart w:id="284" w:name="_Toc27403"/>
      <w:bookmarkStart w:id="285" w:name="_Toc82617994"/>
      <w:bookmarkStart w:id="286" w:name="_Toc1492"/>
      <w:bookmarkStart w:id="287" w:name="_Toc22266"/>
      <w:bookmarkStart w:id="288" w:name="_Toc37868852"/>
      <w:bookmarkStart w:id="289" w:name="_Toc2591698"/>
      <w:bookmarkStart w:id="290" w:name="_Toc30096"/>
      <w:bookmarkStart w:id="291" w:name="_Toc487900374"/>
      <w:r>
        <w:rPr>
          <w:rFonts w:hint="eastAsia" w:ascii="仿宋" w:hAnsi="仿宋" w:eastAsia="仿宋" w:cs="仿宋"/>
          <w:b/>
          <w:color w:val="auto"/>
          <w:sz w:val="24"/>
          <w:highlight w:val="none"/>
        </w:rPr>
        <w:t>2.18 履约保证金</w:t>
      </w:r>
      <w:bookmarkEnd w:id="281"/>
      <w:bookmarkEnd w:id="282"/>
      <w:bookmarkEnd w:id="283"/>
      <w:bookmarkEnd w:id="284"/>
      <w:bookmarkEnd w:id="285"/>
      <w:bookmarkEnd w:id="286"/>
      <w:bookmarkEnd w:id="287"/>
      <w:bookmarkEnd w:id="288"/>
      <w:bookmarkEnd w:id="289"/>
      <w:bookmarkEnd w:id="290"/>
    </w:p>
    <w:p w14:paraId="35605D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14:paraId="3682B58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7EC9D8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1"/>
    <w:p w14:paraId="579C04E9">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 合同份数</w:t>
      </w:r>
    </w:p>
    <w:p w14:paraId="258EFEB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AE217A1">
      <w:pPr>
        <w:pStyle w:val="223"/>
        <w:spacing w:line="560" w:lineRule="exact"/>
        <w:ind w:firstLine="0"/>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br w:type="page"/>
      </w:r>
      <w:bookmarkStart w:id="292" w:name="_Toc331685784"/>
      <w:r>
        <w:rPr>
          <w:rFonts w:hint="eastAsia" w:ascii="仿宋" w:hAnsi="仿宋" w:eastAsia="仿宋" w:cs="仿宋"/>
          <w:b/>
          <w:color w:val="auto"/>
          <w:szCs w:val="24"/>
          <w:highlight w:val="none"/>
        </w:rPr>
        <w:t>第三部分  合同专用条款</w:t>
      </w:r>
      <w:bookmarkEnd w:id="292"/>
    </w:p>
    <w:p w14:paraId="40295923">
      <w:pPr>
        <w:spacing w:line="560" w:lineRule="exact"/>
        <w:ind w:firstLine="480" w:firstLineChars="200"/>
        <w:rPr>
          <w:rFonts w:hint="eastAsia" w:ascii="仿宋" w:hAnsi="仿宋" w:eastAsia="仿宋" w:cs="仿宋"/>
          <w:color w:val="auto"/>
          <w:sz w:val="24"/>
          <w:highlight w:val="none"/>
        </w:rPr>
      </w:pPr>
    </w:p>
    <w:tbl>
      <w:tblPr>
        <w:tblStyle w:val="41"/>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32"/>
      </w:tblGrid>
      <w:tr w14:paraId="2BEB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4" w:type="dxa"/>
            <w:vAlign w:val="center"/>
          </w:tcPr>
          <w:p w14:paraId="696B748C">
            <w:pPr>
              <w:pStyle w:val="20"/>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7232" w:type="dxa"/>
            <w:vAlign w:val="center"/>
          </w:tcPr>
          <w:p w14:paraId="150F63E5">
            <w:pPr>
              <w:pStyle w:val="20"/>
              <w:jc w:val="center"/>
              <w:rPr>
                <w:rFonts w:hint="eastAsia" w:ascii="仿宋" w:hAnsi="仿宋" w:eastAsia="仿宋" w:cs="仿宋"/>
                <w:b/>
                <w:color w:val="auto"/>
                <w:highlight w:val="none"/>
              </w:rPr>
            </w:pPr>
            <w:r>
              <w:rPr>
                <w:rFonts w:hint="eastAsia" w:ascii="仿宋" w:hAnsi="仿宋" w:eastAsia="仿宋" w:cs="仿宋"/>
                <w:b/>
                <w:color w:val="auto"/>
                <w:highlight w:val="none"/>
              </w:rPr>
              <w:t>内　　容</w:t>
            </w:r>
          </w:p>
        </w:tc>
      </w:tr>
      <w:tr w14:paraId="0F4F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vAlign w:val="center"/>
          </w:tcPr>
          <w:p w14:paraId="1C2FB831">
            <w:pPr>
              <w:pStyle w:val="2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232" w:type="dxa"/>
            <w:vAlign w:val="center"/>
          </w:tcPr>
          <w:p w14:paraId="52F53A00">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合同名称：</w:t>
            </w:r>
          </w:p>
          <w:p w14:paraId="77DE318A">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合同编号：</w:t>
            </w:r>
          </w:p>
        </w:tc>
      </w:tr>
      <w:tr w14:paraId="7E4B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4" w:type="dxa"/>
            <w:vMerge w:val="restart"/>
            <w:vAlign w:val="center"/>
          </w:tcPr>
          <w:p w14:paraId="5B52C9EA">
            <w:pPr>
              <w:pStyle w:val="2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7232" w:type="dxa"/>
            <w:vAlign w:val="center"/>
          </w:tcPr>
          <w:p w14:paraId="60CBF1B0">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甲方名称：</w:t>
            </w:r>
          </w:p>
        </w:tc>
      </w:tr>
      <w:tr w14:paraId="209F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84" w:type="dxa"/>
            <w:vMerge w:val="continue"/>
            <w:vAlign w:val="center"/>
          </w:tcPr>
          <w:p w14:paraId="7832437E">
            <w:pPr>
              <w:pStyle w:val="20"/>
              <w:jc w:val="center"/>
              <w:rPr>
                <w:rFonts w:hint="eastAsia" w:ascii="仿宋" w:hAnsi="仿宋" w:eastAsia="仿宋" w:cs="仿宋"/>
                <w:color w:val="auto"/>
                <w:highlight w:val="none"/>
              </w:rPr>
            </w:pPr>
          </w:p>
        </w:tc>
        <w:tc>
          <w:tcPr>
            <w:tcW w:w="7232" w:type="dxa"/>
            <w:vAlign w:val="center"/>
          </w:tcPr>
          <w:p w14:paraId="0E14646C">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甲方地址：</w:t>
            </w:r>
          </w:p>
        </w:tc>
      </w:tr>
      <w:tr w14:paraId="7C1D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vMerge w:val="continue"/>
            <w:vAlign w:val="center"/>
          </w:tcPr>
          <w:p w14:paraId="1F3F3E1B">
            <w:pPr>
              <w:pStyle w:val="20"/>
              <w:jc w:val="center"/>
              <w:rPr>
                <w:rFonts w:hint="eastAsia" w:ascii="仿宋" w:hAnsi="仿宋" w:eastAsia="仿宋" w:cs="仿宋"/>
                <w:color w:val="auto"/>
                <w:highlight w:val="none"/>
              </w:rPr>
            </w:pPr>
          </w:p>
        </w:tc>
        <w:tc>
          <w:tcPr>
            <w:tcW w:w="7232" w:type="dxa"/>
            <w:vAlign w:val="center"/>
          </w:tcPr>
          <w:p w14:paraId="0C1BA007">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甲方联系人：　　　电话：</w:t>
            </w:r>
          </w:p>
        </w:tc>
      </w:tr>
      <w:tr w14:paraId="6C9B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4" w:type="dxa"/>
            <w:vMerge w:val="restart"/>
            <w:vAlign w:val="center"/>
          </w:tcPr>
          <w:p w14:paraId="5703C60A">
            <w:pPr>
              <w:pStyle w:val="2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7232" w:type="dxa"/>
            <w:vAlign w:val="center"/>
          </w:tcPr>
          <w:p w14:paraId="2DE1E56B">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乙方名称：</w:t>
            </w:r>
          </w:p>
        </w:tc>
      </w:tr>
      <w:tr w14:paraId="4DC1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4" w:type="dxa"/>
            <w:vMerge w:val="continue"/>
            <w:vAlign w:val="center"/>
          </w:tcPr>
          <w:p w14:paraId="77528DB7">
            <w:pPr>
              <w:pStyle w:val="20"/>
              <w:jc w:val="center"/>
              <w:rPr>
                <w:rFonts w:hint="eastAsia" w:ascii="仿宋" w:hAnsi="仿宋" w:eastAsia="仿宋" w:cs="仿宋"/>
                <w:color w:val="auto"/>
                <w:highlight w:val="none"/>
              </w:rPr>
            </w:pPr>
          </w:p>
        </w:tc>
        <w:tc>
          <w:tcPr>
            <w:tcW w:w="7232" w:type="dxa"/>
            <w:vAlign w:val="center"/>
          </w:tcPr>
          <w:p w14:paraId="563945F1">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乙方地址：</w:t>
            </w:r>
          </w:p>
        </w:tc>
      </w:tr>
      <w:tr w14:paraId="151A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4" w:type="dxa"/>
            <w:vMerge w:val="continue"/>
            <w:vAlign w:val="center"/>
          </w:tcPr>
          <w:p w14:paraId="0E7DD92F">
            <w:pPr>
              <w:pStyle w:val="20"/>
              <w:jc w:val="center"/>
              <w:rPr>
                <w:rFonts w:hint="eastAsia" w:ascii="仿宋" w:hAnsi="仿宋" w:eastAsia="仿宋" w:cs="仿宋"/>
                <w:color w:val="auto"/>
                <w:highlight w:val="none"/>
              </w:rPr>
            </w:pPr>
          </w:p>
        </w:tc>
        <w:tc>
          <w:tcPr>
            <w:tcW w:w="7232" w:type="dxa"/>
            <w:vAlign w:val="center"/>
          </w:tcPr>
          <w:p w14:paraId="53D65793">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乙方联系人：　　　电话：</w:t>
            </w:r>
          </w:p>
        </w:tc>
      </w:tr>
      <w:tr w14:paraId="6821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4" w:type="dxa"/>
            <w:vMerge w:val="continue"/>
            <w:vAlign w:val="center"/>
          </w:tcPr>
          <w:p w14:paraId="3B7886B7">
            <w:pPr>
              <w:pStyle w:val="20"/>
              <w:jc w:val="center"/>
              <w:rPr>
                <w:rFonts w:hint="eastAsia" w:ascii="仿宋" w:hAnsi="仿宋" w:eastAsia="仿宋" w:cs="仿宋"/>
                <w:color w:val="auto"/>
                <w:highlight w:val="none"/>
              </w:rPr>
            </w:pPr>
          </w:p>
        </w:tc>
        <w:tc>
          <w:tcPr>
            <w:tcW w:w="7232" w:type="dxa"/>
            <w:vAlign w:val="center"/>
          </w:tcPr>
          <w:p w14:paraId="6032F27E">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乙方开户银行名称：</w:t>
            </w:r>
          </w:p>
          <w:p w14:paraId="66C93463">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账号：</w:t>
            </w:r>
          </w:p>
        </w:tc>
      </w:tr>
      <w:tr w14:paraId="5B77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Align w:val="center"/>
          </w:tcPr>
          <w:p w14:paraId="62FE920A">
            <w:pPr>
              <w:pStyle w:val="2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7232" w:type="dxa"/>
            <w:vAlign w:val="center"/>
          </w:tcPr>
          <w:p w14:paraId="61D0EBA6">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合同金额：</w:t>
            </w:r>
          </w:p>
        </w:tc>
      </w:tr>
      <w:tr w14:paraId="5AEC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4" w:type="dxa"/>
            <w:vAlign w:val="center"/>
          </w:tcPr>
          <w:p w14:paraId="0C6E2199">
            <w:pPr>
              <w:pStyle w:val="2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7232" w:type="dxa"/>
            <w:vAlign w:val="center"/>
          </w:tcPr>
          <w:p w14:paraId="31E4D4E3">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合同履行期限：</w:t>
            </w:r>
          </w:p>
        </w:tc>
      </w:tr>
      <w:tr w14:paraId="5DD0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84" w:type="dxa"/>
            <w:vAlign w:val="center"/>
          </w:tcPr>
          <w:p w14:paraId="00F4DC38">
            <w:pPr>
              <w:pStyle w:val="2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7232" w:type="dxa"/>
            <w:vAlign w:val="center"/>
          </w:tcPr>
          <w:p w14:paraId="662693C0">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服务履行期：</w:t>
            </w:r>
          </w:p>
        </w:tc>
      </w:tr>
      <w:tr w14:paraId="57F2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84" w:type="dxa"/>
            <w:vAlign w:val="center"/>
          </w:tcPr>
          <w:p w14:paraId="725B1567">
            <w:pPr>
              <w:pStyle w:val="2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7232" w:type="dxa"/>
            <w:vAlign w:val="center"/>
          </w:tcPr>
          <w:p w14:paraId="3DBCC337">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验收方式及标准：</w:t>
            </w:r>
          </w:p>
        </w:tc>
      </w:tr>
      <w:tr w14:paraId="6D4C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384" w:type="dxa"/>
            <w:vAlign w:val="center"/>
          </w:tcPr>
          <w:p w14:paraId="15678385">
            <w:pPr>
              <w:pStyle w:val="2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7232" w:type="dxa"/>
            <w:vAlign w:val="center"/>
          </w:tcPr>
          <w:p w14:paraId="5DE4FCAD">
            <w:pPr>
              <w:pStyle w:val="20"/>
              <w:spacing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付款方式：</w:t>
            </w:r>
          </w:p>
          <w:p w14:paraId="0A73AA28">
            <w:pPr>
              <w:pStyle w:val="20"/>
              <w:spacing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1.本合同以人民币付款。</w:t>
            </w:r>
          </w:p>
          <w:p w14:paraId="350595BA">
            <w:pPr>
              <w:pStyle w:val="20"/>
              <w:spacing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2.付款计划安排：</w:t>
            </w:r>
          </w:p>
        </w:tc>
      </w:tr>
      <w:tr w14:paraId="1C11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84" w:type="dxa"/>
            <w:vAlign w:val="center"/>
          </w:tcPr>
          <w:p w14:paraId="3FF67AA0">
            <w:pPr>
              <w:pStyle w:val="2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7232" w:type="dxa"/>
            <w:vAlign w:val="center"/>
          </w:tcPr>
          <w:p w14:paraId="29458298">
            <w:pPr>
              <w:pStyle w:val="20"/>
              <w:jc w:val="left"/>
              <w:rPr>
                <w:rFonts w:hint="eastAsia" w:ascii="仿宋" w:hAnsi="仿宋" w:eastAsia="仿宋" w:cs="仿宋"/>
                <w:color w:val="auto"/>
                <w:highlight w:val="none"/>
              </w:rPr>
            </w:pPr>
            <w:r>
              <w:rPr>
                <w:rFonts w:hint="eastAsia" w:ascii="仿宋" w:hAnsi="仿宋" w:eastAsia="仿宋" w:cs="仿宋"/>
                <w:color w:val="auto"/>
                <w:highlight w:val="none"/>
              </w:rPr>
              <w:t>履约保证金及其返还：</w:t>
            </w:r>
          </w:p>
        </w:tc>
      </w:tr>
    </w:tbl>
    <w:p w14:paraId="725A0AEA">
      <w:pPr>
        <w:spacing w:line="400" w:lineRule="exact"/>
        <w:jc w:val="center"/>
        <w:rPr>
          <w:rFonts w:hint="eastAsia" w:ascii="仿宋" w:hAnsi="仿宋" w:eastAsia="仿宋" w:cs="仿宋"/>
          <w:b/>
          <w:color w:val="auto"/>
          <w:sz w:val="24"/>
          <w:szCs w:val="24"/>
          <w:highlight w:val="none"/>
        </w:rPr>
      </w:pPr>
      <w:bookmarkStart w:id="293" w:name="第五部分第一章"/>
      <w:r>
        <w:rPr>
          <w:rFonts w:hint="eastAsia" w:ascii="仿宋" w:hAnsi="仿宋" w:eastAsia="仿宋" w:cs="仿宋"/>
          <w:b/>
          <w:color w:val="auto"/>
          <w:sz w:val="24"/>
          <w:szCs w:val="24"/>
          <w:highlight w:val="none"/>
        </w:rPr>
        <w:t>（仅供参考，具体以实际签订的内容为准）</w:t>
      </w:r>
      <w:bookmarkEnd w:id="293"/>
    </w:p>
    <w:p w14:paraId="51F62649">
      <w:pPr>
        <w:pStyle w:val="2"/>
        <w:rPr>
          <w:rFonts w:hint="eastAsia" w:ascii="仿宋" w:hAnsi="仿宋" w:eastAsia="仿宋" w:cs="仿宋"/>
          <w:color w:val="auto"/>
          <w:highlight w:val="none"/>
          <w:shd w:val="clear" w:color="auto" w:fill="FFFFFF" w:themeFill="background1"/>
        </w:rPr>
      </w:pPr>
    </w:p>
    <w:p w14:paraId="486995C4">
      <w:pPr>
        <w:widowControl/>
        <w:jc w:val="lef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4A1EC96B">
      <w:pPr>
        <w:pStyle w:val="2"/>
        <w:jc w:val="center"/>
        <w:outlineLvl w:val="0"/>
        <w:rPr>
          <w:rFonts w:hint="eastAsia" w:ascii="仿宋" w:hAnsi="仿宋" w:eastAsia="仿宋" w:cs="仿宋"/>
          <w:b w:val="0"/>
          <w:bCs/>
          <w:color w:val="auto"/>
          <w:sz w:val="24"/>
          <w:szCs w:val="24"/>
          <w:highlight w:val="none"/>
        </w:rPr>
      </w:pPr>
      <w:bookmarkStart w:id="294" w:name="_Toc27487"/>
      <w:r>
        <w:rPr>
          <w:rFonts w:hint="eastAsia" w:ascii="仿宋" w:hAnsi="仿宋" w:eastAsia="仿宋" w:cs="仿宋"/>
          <w:b/>
          <w:color w:val="auto"/>
          <w:szCs w:val="24"/>
          <w:highlight w:val="none"/>
        </w:rPr>
        <w:t>第四章 服务标准和要求</w:t>
      </w:r>
      <w:bookmarkEnd w:id="294"/>
      <w:bookmarkStart w:id="295" w:name="_Toc138639074"/>
      <w:bookmarkEnd w:id="295"/>
      <w:bookmarkStart w:id="296" w:name="_Toc138638702"/>
      <w:bookmarkEnd w:id="296"/>
      <w:bookmarkStart w:id="297" w:name="_Toc138639091"/>
      <w:bookmarkEnd w:id="297"/>
      <w:bookmarkStart w:id="298" w:name="_Toc138638910"/>
      <w:bookmarkEnd w:id="298"/>
      <w:bookmarkStart w:id="299" w:name="_Toc138638535"/>
      <w:bookmarkEnd w:id="299"/>
      <w:bookmarkStart w:id="300" w:name="_Toc138638907"/>
      <w:bookmarkEnd w:id="300"/>
      <w:bookmarkStart w:id="301" w:name="_Toc138638509"/>
      <w:bookmarkEnd w:id="301"/>
      <w:bookmarkStart w:id="302" w:name="_Toc138638883"/>
      <w:bookmarkEnd w:id="302"/>
      <w:bookmarkStart w:id="303" w:name="_Toc138638719"/>
      <w:bookmarkEnd w:id="303"/>
      <w:bookmarkStart w:id="304" w:name="_Toc138638884"/>
      <w:bookmarkEnd w:id="304"/>
      <w:bookmarkStart w:id="305" w:name="_Toc138639090"/>
      <w:bookmarkEnd w:id="305"/>
      <w:bookmarkStart w:id="306" w:name="_Toc138638538"/>
      <w:bookmarkEnd w:id="306"/>
      <w:bookmarkStart w:id="307" w:name="_Toc138639145"/>
      <w:bookmarkEnd w:id="307"/>
      <w:bookmarkStart w:id="308" w:name="_Toc138638534"/>
      <w:bookmarkEnd w:id="308"/>
      <w:bookmarkStart w:id="309" w:name="_合同文件的组成及解释顺序"/>
      <w:bookmarkEnd w:id="309"/>
      <w:bookmarkStart w:id="310" w:name="_Toc138638906"/>
      <w:bookmarkEnd w:id="310"/>
      <w:bookmarkStart w:id="311" w:name="_Toc138638773"/>
      <w:bookmarkEnd w:id="311"/>
      <w:bookmarkStart w:id="312" w:name="_Toc138638718"/>
      <w:bookmarkEnd w:id="312"/>
      <w:bookmarkStart w:id="313" w:name="_Toc138638510"/>
      <w:bookmarkEnd w:id="313"/>
      <w:bookmarkStart w:id="314" w:name="_Toc531016893"/>
    </w:p>
    <w:p w14:paraId="391A06D3">
      <w:pPr>
        <w:spacing w:before="156" w:beforeLines="50" w:after="156" w:afterLines="50" w:line="360" w:lineRule="auto"/>
        <w:ind w:firstLine="482" w:firstLineChars="200"/>
        <w:rPr>
          <w:rFonts w:hint="default" w:ascii="仿宋" w:hAnsi="仿宋" w:eastAsia="仿宋_GB2312" w:cs="Times New Roman"/>
          <w:b/>
          <w:bCs/>
          <w:color w:val="auto"/>
          <w:sz w:val="24"/>
          <w:szCs w:val="24"/>
          <w:highlight w:val="none"/>
          <w:lang w:val="en-US" w:eastAsia="zh-CN"/>
        </w:rPr>
      </w:pPr>
      <w:r>
        <w:rPr>
          <w:rFonts w:hint="eastAsia" w:ascii="仿宋" w:hAnsi="仿宋" w:eastAsia="仿宋_GB2312" w:cs="Times New Roman"/>
          <w:b/>
          <w:bCs/>
          <w:color w:val="auto"/>
          <w:sz w:val="24"/>
          <w:szCs w:val="24"/>
          <w:highlight w:val="none"/>
          <w:lang w:val="en-US" w:eastAsia="zh-CN"/>
        </w:rPr>
        <w:t>标项一</w:t>
      </w:r>
    </w:p>
    <w:p w14:paraId="51338D65">
      <w:pPr>
        <w:spacing w:before="156" w:beforeLines="50" w:after="156" w:afterLines="50" w:line="360" w:lineRule="auto"/>
        <w:ind w:firstLine="482" w:firstLineChars="200"/>
        <w:rPr>
          <w:rFonts w:hint="eastAsia" w:ascii="仿宋" w:hAnsi="仿宋" w:eastAsia="仿宋_GB2312" w:cs="Times New Roman"/>
          <w:b/>
          <w:bCs/>
          <w:color w:val="auto"/>
          <w:sz w:val="24"/>
          <w:szCs w:val="24"/>
          <w:highlight w:val="none"/>
        </w:rPr>
      </w:pPr>
      <w:r>
        <w:rPr>
          <w:rFonts w:hint="eastAsia" w:ascii="仿宋" w:hAnsi="仿宋" w:eastAsia="仿宋_GB2312" w:cs="Times New Roman"/>
          <w:b/>
          <w:bCs/>
          <w:color w:val="auto"/>
          <w:sz w:val="24"/>
          <w:szCs w:val="24"/>
          <w:highlight w:val="none"/>
        </w:rPr>
        <w:t>一、招标概况</w:t>
      </w:r>
    </w:p>
    <w:p w14:paraId="0395885F">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1.标项名称:新疆维吾尔自治区地质局地球物理化学探矿中心钻探服务项目第</w:t>
      </w:r>
      <w:r>
        <w:rPr>
          <w:rFonts w:hint="eastAsia" w:ascii="仿宋" w:hAnsi="仿宋" w:eastAsia="仿宋_GB2312" w:cs="Times New Roman"/>
          <w:color w:val="auto"/>
          <w:sz w:val="24"/>
          <w:szCs w:val="24"/>
          <w:highlight w:val="none"/>
          <w:lang w:val="en-US" w:eastAsia="zh-CN"/>
        </w:rPr>
        <w:t>四</w:t>
      </w:r>
      <w:r>
        <w:rPr>
          <w:rFonts w:hint="eastAsia" w:ascii="仿宋" w:hAnsi="仿宋" w:eastAsia="仿宋_GB2312" w:cs="Times New Roman"/>
          <w:color w:val="auto"/>
          <w:sz w:val="24"/>
          <w:szCs w:val="24"/>
          <w:highlight w:val="none"/>
        </w:rPr>
        <w:t>批（1包）</w:t>
      </w:r>
    </w:p>
    <w:p w14:paraId="799B6CB2">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2.项目内容</w:t>
      </w:r>
      <w:r>
        <w:rPr>
          <w:rFonts w:hint="eastAsia" w:ascii="仿宋" w:hAnsi="仿宋" w:eastAsia="仿宋_GB2312" w:cs="Times New Roman"/>
          <w:color w:val="auto"/>
          <w:sz w:val="24"/>
          <w:szCs w:val="24"/>
          <w:highlight w:val="none"/>
          <w:lang w:val="en-US" w:eastAsia="zh-CN"/>
        </w:rPr>
        <w:t>:</w:t>
      </w:r>
      <w:r>
        <w:rPr>
          <w:rFonts w:hint="eastAsia" w:ascii="仿宋" w:hAnsi="仿宋" w:eastAsia="仿宋_GB2312" w:cs="Times New Roman"/>
          <w:color w:val="auto"/>
          <w:sz w:val="24"/>
          <w:szCs w:val="24"/>
          <w:highlight w:val="none"/>
        </w:rPr>
        <w:t xml:space="preserve"> 新疆阿克陶县吐根曼苏一带金铜矿普查（增量）钻探服务</w:t>
      </w:r>
    </w:p>
    <w:p w14:paraId="0F9A8F30">
      <w:pPr>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3</w:t>
      </w:r>
      <w:r>
        <w:rPr>
          <w:rFonts w:hint="eastAsia" w:ascii="仿宋" w:hAnsi="仿宋" w:eastAsia="仿宋_GB2312" w:cs="Times New Roman"/>
          <w:color w:val="auto"/>
          <w:sz w:val="24"/>
          <w:szCs w:val="24"/>
          <w:highlight w:val="none"/>
        </w:rPr>
        <w:t>.项目实施地点：新疆阿克陶县。</w:t>
      </w:r>
    </w:p>
    <w:p w14:paraId="56CF632C">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4</w:t>
      </w:r>
      <w:r>
        <w:rPr>
          <w:rFonts w:hint="eastAsia" w:ascii="仿宋" w:hAnsi="仿宋" w:eastAsia="仿宋_GB2312" w:cs="Times New Roman"/>
          <w:color w:val="auto"/>
          <w:sz w:val="24"/>
          <w:szCs w:val="24"/>
          <w:highlight w:val="none"/>
        </w:rPr>
        <w:t>.实物工作量：设计进尺</w:t>
      </w:r>
      <w:r>
        <w:rPr>
          <w:rFonts w:hint="eastAsia" w:ascii="仿宋" w:hAnsi="仿宋" w:eastAsia="仿宋_GB2312" w:cs="Times New Roman"/>
          <w:color w:val="auto"/>
          <w:sz w:val="24"/>
          <w:szCs w:val="24"/>
          <w:highlight w:val="none"/>
          <w:lang w:val="en-US" w:eastAsia="zh-CN"/>
        </w:rPr>
        <w:t>5000</w:t>
      </w:r>
      <w:r>
        <w:rPr>
          <w:rFonts w:hint="eastAsia" w:ascii="仿宋" w:hAnsi="仿宋" w:eastAsia="仿宋_GB2312" w:cs="Times New Roman"/>
          <w:color w:val="auto"/>
          <w:sz w:val="24"/>
          <w:szCs w:val="24"/>
          <w:highlight w:val="none"/>
        </w:rPr>
        <w:t>米。</w:t>
      </w:r>
    </w:p>
    <w:p w14:paraId="2041DAA6">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5</w:t>
      </w:r>
      <w:r>
        <w:rPr>
          <w:rFonts w:hint="eastAsia" w:ascii="仿宋" w:hAnsi="仿宋" w:eastAsia="仿宋_GB2312" w:cs="Times New Roman"/>
          <w:color w:val="auto"/>
          <w:sz w:val="24"/>
          <w:szCs w:val="24"/>
          <w:highlight w:val="none"/>
        </w:rPr>
        <w:t>.项目投资额：</w:t>
      </w:r>
      <w:r>
        <w:rPr>
          <w:rFonts w:hint="eastAsia" w:ascii="仿宋" w:hAnsi="仿宋" w:eastAsia="仿宋_GB2312" w:cs="Times New Roman"/>
          <w:color w:val="auto"/>
          <w:sz w:val="24"/>
          <w:szCs w:val="24"/>
          <w:highlight w:val="none"/>
          <w:lang w:val="en-US" w:eastAsia="zh-CN"/>
        </w:rPr>
        <w:t>885.00</w:t>
      </w:r>
      <w:r>
        <w:rPr>
          <w:rFonts w:hint="eastAsia" w:ascii="仿宋" w:hAnsi="仿宋" w:eastAsia="仿宋_GB2312" w:cs="Times New Roman"/>
          <w:color w:val="auto"/>
          <w:sz w:val="24"/>
          <w:szCs w:val="24"/>
          <w:highlight w:val="none"/>
        </w:rPr>
        <w:t>万元。</w:t>
      </w:r>
    </w:p>
    <w:p w14:paraId="01B8C34C">
      <w:pPr>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6</w:t>
      </w:r>
      <w:r>
        <w:rPr>
          <w:rFonts w:hint="eastAsia" w:ascii="仿宋" w:hAnsi="仿宋" w:eastAsia="仿宋_GB2312" w:cs="Times New Roman"/>
          <w:color w:val="auto"/>
          <w:sz w:val="24"/>
          <w:szCs w:val="24"/>
          <w:highlight w:val="none"/>
        </w:rPr>
        <w:t>.工程期限:自签订合同日起至2025年</w:t>
      </w:r>
      <w:r>
        <w:rPr>
          <w:rFonts w:hint="eastAsia" w:ascii="仿宋" w:hAnsi="仿宋" w:eastAsia="仿宋_GB2312" w:cs="Times New Roman"/>
          <w:color w:val="auto"/>
          <w:sz w:val="24"/>
          <w:szCs w:val="24"/>
          <w:highlight w:val="none"/>
          <w:lang w:val="en-US" w:eastAsia="zh-CN"/>
        </w:rPr>
        <w:t>10</w:t>
      </w:r>
      <w:r>
        <w:rPr>
          <w:rFonts w:hint="eastAsia" w:ascii="仿宋" w:hAnsi="仿宋" w:eastAsia="仿宋_GB2312" w:cs="Times New Roman"/>
          <w:color w:val="auto"/>
          <w:sz w:val="24"/>
          <w:szCs w:val="24"/>
          <w:highlight w:val="none"/>
        </w:rPr>
        <w:t>月</w:t>
      </w:r>
      <w:r>
        <w:rPr>
          <w:rFonts w:hint="eastAsia" w:ascii="仿宋" w:hAnsi="仿宋" w:eastAsia="仿宋_GB2312" w:cs="Times New Roman"/>
          <w:color w:val="auto"/>
          <w:sz w:val="24"/>
          <w:szCs w:val="24"/>
          <w:highlight w:val="none"/>
          <w:lang w:val="en-US" w:eastAsia="zh-CN"/>
        </w:rPr>
        <w:t>30</w:t>
      </w:r>
      <w:r>
        <w:rPr>
          <w:rFonts w:hint="eastAsia" w:ascii="仿宋" w:hAnsi="仿宋" w:eastAsia="仿宋_GB2312" w:cs="Times New Roman"/>
          <w:color w:val="auto"/>
          <w:sz w:val="24"/>
          <w:szCs w:val="24"/>
          <w:highlight w:val="none"/>
        </w:rPr>
        <w:t>日。</w:t>
      </w:r>
    </w:p>
    <w:p w14:paraId="30B8B7C1">
      <w:pPr>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7</w:t>
      </w:r>
      <w:r>
        <w:rPr>
          <w:rFonts w:hint="eastAsia" w:ascii="仿宋" w:hAnsi="仿宋" w:eastAsia="仿宋_GB2312" w:cs="Times New Roman"/>
          <w:color w:val="auto"/>
          <w:sz w:val="24"/>
          <w:szCs w:val="24"/>
          <w:highlight w:val="none"/>
        </w:rPr>
        <w:t>.本次招标工程实行固定综合单价承包，在施工期内不因任何因素变化而调整。</w:t>
      </w:r>
    </w:p>
    <w:p w14:paraId="19B5FE7F">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8</w:t>
      </w:r>
      <w:r>
        <w:rPr>
          <w:rFonts w:hint="eastAsia" w:ascii="仿宋" w:hAnsi="仿宋" w:eastAsia="仿宋_GB2312" w:cs="Times New Roman"/>
          <w:color w:val="auto"/>
          <w:sz w:val="24"/>
          <w:szCs w:val="24"/>
          <w:highlight w:val="none"/>
        </w:rPr>
        <w:t>.承包人自备施工中所需拉水设备、供水管及水泵；施工中产生的水、电费用由承包方承担，承包方此次报价应包含水电费用。</w:t>
      </w:r>
    </w:p>
    <w:p w14:paraId="307583FC">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9</w:t>
      </w:r>
      <w:r>
        <w:rPr>
          <w:rFonts w:hint="eastAsia" w:ascii="仿宋" w:hAnsi="仿宋" w:eastAsia="仿宋_GB2312" w:cs="Times New Roman"/>
          <w:color w:val="auto"/>
          <w:sz w:val="24"/>
          <w:szCs w:val="24"/>
          <w:highlight w:val="none"/>
        </w:rPr>
        <w:t>.发包人不提供任何人工及材料，投标价格中应包括钻机平台、场地修筑、人工、材料（含岩心箱）、劈芯取样、施工设备及配套设施、人员交通及作业人员食宿、设备设施移位安装维护、企业管理费、措施费、利润、规费、税金、安全风险等和政策性文件规定的属于承包人的所有费用。</w:t>
      </w:r>
    </w:p>
    <w:p w14:paraId="7AD913D3">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10</w:t>
      </w:r>
      <w:r>
        <w:rPr>
          <w:rFonts w:hint="eastAsia" w:ascii="仿宋" w:hAnsi="仿宋" w:eastAsia="仿宋_GB2312" w:cs="Times New Roman"/>
          <w:color w:val="auto"/>
          <w:sz w:val="24"/>
          <w:szCs w:val="24"/>
          <w:highlight w:val="none"/>
        </w:rPr>
        <w:t>.在合同期满或合同解除后15日内，承包人需将施工所用设备、材料及设施等全部撤出施工现场，所有费用由承包人自行承担。</w:t>
      </w:r>
    </w:p>
    <w:p w14:paraId="07456582">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1</w:t>
      </w:r>
      <w:r>
        <w:rPr>
          <w:rFonts w:hint="eastAsia" w:ascii="仿宋" w:hAnsi="仿宋" w:eastAsia="仿宋_GB2312" w:cs="Times New Roman"/>
          <w:color w:val="auto"/>
          <w:sz w:val="24"/>
          <w:szCs w:val="24"/>
          <w:highlight w:val="none"/>
          <w:lang w:val="en-US" w:eastAsia="zh-CN"/>
        </w:rPr>
        <w:t>1</w:t>
      </w:r>
      <w:r>
        <w:rPr>
          <w:rFonts w:hint="eastAsia" w:ascii="仿宋" w:hAnsi="仿宋" w:eastAsia="仿宋_GB2312" w:cs="Times New Roman"/>
          <w:color w:val="auto"/>
          <w:sz w:val="24"/>
          <w:szCs w:val="24"/>
          <w:highlight w:val="none"/>
        </w:rPr>
        <w:t>、质量等级标准：合格及以标准。</w:t>
      </w:r>
    </w:p>
    <w:p w14:paraId="2742BA55">
      <w:pPr>
        <w:adjustRightInd w:val="0"/>
        <w:snapToGrid w:val="0"/>
        <w:spacing w:before="156" w:beforeLines="50" w:after="156" w:afterLines="50"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二、工区概况</w:t>
      </w:r>
    </w:p>
    <w:p w14:paraId="502B3822">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1.位置、交通</w:t>
      </w:r>
    </w:p>
    <w:p w14:paraId="0FB9798C">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工作区行政区划隶属阿克陶县管辖，中心区位于阿克陶县180°方位，直线距离50千米（见图1-1）。区内交通较为便利，由喀什市沿吐和高速(G3012)向南行至英吉沙县，转向西南经X473至艾古斯乡，从艾古斯乡向东南行进约20千米简易道路至工作区中心位置，越野汽车可通行。</w:t>
      </w:r>
    </w:p>
    <w:p w14:paraId="026A7C81">
      <w:pPr>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工作区地理极值坐标(CGCS2000坐标系)为：75°54′48″～76°06′10″；38°38′05″～38°48′17″，共分两个区。</w:t>
      </w:r>
    </w:p>
    <w:p w14:paraId="3B860067">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2.自然地理及气候条件</w:t>
      </w:r>
    </w:p>
    <w:p w14:paraId="2460D78E">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工作区位于西昆仑山西段,为高山与丘陵接触地带，地形切割较强烈，海拔1793～2850米，平均海拔2300米左右，相对高差500米以上，平均高差360米左右，山脉走势呈北东-南西向，地势南西高北东低。</w:t>
      </w:r>
    </w:p>
    <w:p w14:paraId="35AC9DB0">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工作区属典型的大陆性干旱季风气候,干旱、少雨雪，夏季酷暑、光照时间长,年平均气温为11.3℃,年降水量为62.8毫米,该区浮尘天气较严重，年平均浮尘日25.7天，最佳野外工作时间为3月中旬至10月底。</w:t>
      </w:r>
    </w:p>
    <w:p w14:paraId="5B081370">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区内属内陆水系,夏季水流较大，冬季基本无水流，水流均汇入库山河中，该河流夏季水流量大，含沙量大，无法作为生活用水，出山后汇入艾古斯乡绿洲区，为当地农业灌溉使用，生活用水一般从艾古斯乡及其辖下村庄取用。</w:t>
      </w:r>
    </w:p>
    <w:p w14:paraId="66E8A736">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3.钻探施工技术条件</w:t>
      </w:r>
    </w:p>
    <w:p w14:paraId="2731F23B">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本次钻探工作区位于区域逆冲推覆断裂的北东部，地貌上位于高山山前地带，山势起伏相对不大，沿着山间冲沟可达矿体位置，交通较为便利，钻探施工条件较好。</w:t>
      </w:r>
    </w:p>
    <w:p w14:paraId="31F2C33A">
      <w:pPr>
        <w:spacing w:before="156" w:beforeLines="50" w:after="156" w:afterLines="50" w:line="360" w:lineRule="auto"/>
        <w:ind w:firstLine="480" w:firstLineChars="200"/>
        <w:rPr>
          <w:rFonts w:ascii="仿宋" w:hAnsi="仿宋" w:eastAsia="仿宋" w:cs="Times New Roman"/>
          <w:color w:val="auto"/>
          <w:sz w:val="24"/>
          <w:szCs w:val="24"/>
          <w:highlight w:val="none"/>
        </w:rPr>
      </w:pPr>
      <w:r>
        <w:rPr>
          <w:rFonts w:hint="eastAsia" w:ascii="仿宋" w:hAnsi="仿宋" w:eastAsia="仿宋_GB2312" w:cs="Times New Roman"/>
          <w:color w:val="auto"/>
          <w:sz w:val="24"/>
          <w:szCs w:val="24"/>
          <w:highlight w:val="none"/>
        </w:rPr>
        <w:t>矿区出露地层为一套晚泥盆世碎屑岩，Ⅱ号矿化带内地层</w:t>
      </w:r>
      <w:r>
        <w:rPr>
          <w:rFonts w:ascii="仿宋" w:hAnsi="仿宋" w:eastAsia="仿宋_GB2312" w:cs="Times New Roman"/>
          <w:color w:val="auto"/>
          <w:sz w:val="24"/>
          <w:szCs w:val="24"/>
          <w:highlight w:val="none"/>
        </w:rPr>
        <w:t>具强劈理化，原始层理已无法确认</w:t>
      </w:r>
      <w:r>
        <w:rPr>
          <w:rFonts w:hint="eastAsia" w:ascii="仿宋" w:hAnsi="仿宋" w:eastAsia="仿宋_GB2312" w:cs="Times New Roman"/>
          <w:color w:val="auto"/>
          <w:sz w:val="24"/>
          <w:szCs w:val="24"/>
          <w:highlight w:val="none"/>
        </w:rPr>
        <w:t>，带内</w:t>
      </w:r>
      <w:r>
        <w:rPr>
          <w:rFonts w:ascii="仿宋" w:hAnsi="仿宋" w:eastAsia="仿宋_GB2312" w:cs="Times New Roman"/>
          <w:color w:val="auto"/>
          <w:sz w:val="24"/>
          <w:szCs w:val="24"/>
          <w:highlight w:val="none"/>
        </w:rPr>
        <w:t>岩石十分破碎</w:t>
      </w:r>
      <w:r>
        <w:rPr>
          <w:rFonts w:hint="eastAsia" w:ascii="仿宋" w:hAnsi="仿宋" w:eastAsia="仿宋_GB2312" w:cs="Times New Roman"/>
          <w:color w:val="auto"/>
          <w:sz w:val="24"/>
          <w:szCs w:val="24"/>
          <w:highlight w:val="none"/>
        </w:rPr>
        <w:t>，变形强烈。该带内圈出的矿体</w:t>
      </w:r>
      <w:r>
        <w:rPr>
          <w:rFonts w:ascii="仿宋" w:hAnsi="仿宋" w:eastAsia="仿宋_GB2312" w:cs="Times New Roman"/>
          <w:color w:val="auto"/>
          <w:sz w:val="24"/>
          <w:szCs w:val="24"/>
          <w:highlight w:val="none"/>
        </w:rPr>
        <w:t>倾向320</w:t>
      </w:r>
      <w:r>
        <w:rPr>
          <w:rFonts w:hint="eastAsia" w:ascii="仿宋" w:hAnsi="仿宋" w:eastAsia="仿宋_GB2312" w:cs="Times New Roman"/>
          <w:color w:val="auto"/>
          <w:sz w:val="24"/>
          <w:szCs w:val="24"/>
          <w:highlight w:val="none"/>
        </w:rPr>
        <w:t>°～</w:t>
      </w:r>
      <w:r>
        <w:rPr>
          <w:rFonts w:ascii="仿宋" w:hAnsi="仿宋" w:eastAsia="仿宋_GB2312" w:cs="Times New Roman"/>
          <w:color w:val="auto"/>
          <w:sz w:val="24"/>
          <w:szCs w:val="24"/>
          <w:highlight w:val="none"/>
        </w:rPr>
        <w:t>31</w:t>
      </w:r>
      <w:r>
        <w:rPr>
          <w:rFonts w:hint="eastAsia" w:ascii="仿宋" w:hAnsi="仿宋" w:eastAsia="仿宋_GB2312" w:cs="Times New Roman"/>
          <w:color w:val="auto"/>
          <w:sz w:val="24"/>
          <w:szCs w:val="24"/>
          <w:highlight w:val="none"/>
        </w:rPr>
        <w:t>°，</w:t>
      </w:r>
      <w:r>
        <w:rPr>
          <w:rFonts w:ascii="仿宋" w:hAnsi="仿宋" w:eastAsia="仿宋_GB2312" w:cs="Times New Roman"/>
          <w:color w:val="auto"/>
          <w:sz w:val="24"/>
          <w:szCs w:val="24"/>
          <w:highlight w:val="none"/>
        </w:rPr>
        <w:t>倾角55</w:t>
      </w:r>
      <w:r>
        <w:rPr>
          <w:rFonts w:hint="eastAsia" w:ascii="仿宋" w:hAnsi="仿宋" w:eastAsia="仿宋_GB2312" w:cs="Times New Roman"/>
          <w:color w:val="auto"/>
          <w:sz w:val="24"/>
          <w:szCs w:val="24"/>
          <w:highlight w:val="none"/>
        </w:rPr>
        <w:t>°～</w:t>
      </w:r>
      <w:r>
        <w:rPr>
          <w:rFonts w:ascii="仿宋" w:hAnsi="仿宋" w:eastAsia="仿宋_GB2312" w:cs="Times New Roman"/>
          <w:color w:val="auto"/>
          <w:sz w:val="24"/>
          <w:szCs w:val="24"/>
          <w:highlight w:val="none"/>
        </w:rPr>
        <w:t>78°</w:t>
      </w:r>
      <w:r>
        <w:rPr>
          <w:rFonts w:hint="eastAsia" w:ascii="仿宋" w:hAnsi="仿宋" w:eastAsia="仿宋_GB2312" w:cs="Times New Roman"/>
          <w:color w:val="auto"/>
          <w:sz w:val="24"/>
          <w:szCs w:val="24"/>
          <w:highlight w:val="none"/>
        </w:rPr>
        <w:t>，矿(化)体主要赋存于奇自拉夫组第二段构造岩中。工作区圈出的矿带规模较大，矿体较连续，含矿围岩倾角较大，多在60°以上，采用钻探的方式对矿体进行深部控制是可行的，也利于钻探的深部见矿。</w:t>
      </w:r>
    </w:p>
    <w:p w14:paraId="2F3A017F">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钻孔所遇岩石特征简述如下：</w:t>
      </w:r>
    </w:p>
    <w:p w14:paraId="347A0EAD">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钻孔所遇地层为奇自拉夫组，在矿区内岩性为一套构造变质石英砂岩，粒度从粉砂状到细粒均有，局部为千枚岩、片岩，主要</w:t>
      </w:r>
      <w:r>
        <w:rPr>
          <w:rFonts w:hint="eastAsia" w:ascii="仿宋" w:hAnsi="仿宋" w:eastAsia="仿宋_GB2312" w:cs="Times New Roman"/>
          <w:bCs/>
          <w:color w:val="auto"/>
          <w:sz w:val="24"/>
          <w:szCs w:val="24"/>
          <w:highlight w:val="none"/>
        </w:rPr>
        <w:t>岩性有碎裂岩屑石英砂岩、变质砂岩、绢云母千枚岩及石英脉。与矿化有关的岩性主要为石英脉及蚀变千枚岩，矿化处岩石多具褐铁矿化</w:t>
      </w:r>
      <w:r>
        <w:rPr>
          <w:rFonts w:hint="eastAsia" w:ascii="仿宋" w:hAnsi="仿宋" w:eastAsia="仿宋_GB2312" w:cs="Times New Roman"/>
          <w:color w:val="auto"/>
          <w:sz w:val="24"/>
          <w:szCs w:val="24"/>
          <w:highlight w:val="none"/>
        </w:rPr>
        <w:t>。岩石孔隙度较小，透水性中等，稳定性差，岩石硬度为Ⅵ～Ⅶ级。按照岩石的上述物理性质，岩石的可钻性、节理机械性质见下表。</w:t>
      </w:r>
    </w:p>
    <w:p w14:paraId="552A16EF">
      <w:pPr>
        <w:spacing w:before="156" w:beforeLines="50" w:after="156" w:afterLines="50" w:line="360" w:lineRule="auto"/>
        <w:jc w:val="center"/>
        <w:rPr>
          <w:rFonts w:hint="eastAsia" w:ascii="仿宋" w:hAnsi="仿宋" w:eastAsia="仿宋_GB2312" w:cs="Times New Roman"/>
          <w:color w:val="auto"/>
          <w:sz w:val="24"/>
          <w:szCs w:val="24"/>
          <w:highlight w:val="none"/>
        </w:rPr>
      </w:pPr>
    </w:p>
    <w:p w14:paraId="08DBD6C0">
      <w:pPr>
        <w:spacing w:before="156" w:beforeLines="50" w:after="156" w:afterLines="50" w:line="360" w:lineRule="auto"/>
        <w:jc w:val="center"/>
        <w:rPr>
          <w:rFonts w:hint="eastAsia" w:ascii="仿宋" w:hAnsi="仿宋" w:eastAsia="仿宋_GB2312" w:cs="Times New Roman"/>
          <w:color w:val="auto"/>
          <w:sz w:val="24"/>
          <w:szCs w:val="24"/>
          <w:highlight w:val="none"/>
        </w:rPr>
      </w:pPr>
    </w:p>
    <w:p w14:paraId="17ABFB65">
      <w:pPr>
        <w:spacing w:before="156" w:beforeLines="50" w:after="156" w:afterLines="50" w:line="360" w:lineRule="auto"/>
        <w:jc w:val="center"/>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岩心钻探岩石可钻性、研磨性一览表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1134"/>
        <w:gridCol w:w="851"/>
        <w:gridCol w:w="1030"/>
        <w:gridCol w:w="954"/>
        <w:gridCol w:w="1134"/>
        <w:gridCol w:w="1378"/>
      </w:tblGrid>
      <w:tr w14:paraId="16AA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31" w:type="dxa"/>
            <w:noWrap w:val="0"/>
            <w:vAlign w:val="center"/>
          </w:tcPr>
          <w:p w14:paraId="7B708DB6">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岩石名称</w:t>
            </w:r>
          </w:p>
        </w:tc>
        <w:tc>
          <w:tcPr>
            <w:tcW w:w="1134" w:type="dxa"/>
            <w:noWrap w:val="0"/>
            <w:vAlign w:val="center"/>
          </w:tcPr>
          <w:p w14:paraId="3AFA3529">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软硬</w:t>
            </w:r>
          </w:p>
          <w:p w14:paraId="1B475BBB">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程度</w:t>
            </w:r>
          </w:p>
        </w:tc>
        <w:tc>
          <w:tcPr>
            <w:tcW w:w="851" w:type="dxa"/>
            <w:noWrap w:val="0"/>
            <w:vAlign w:val="center"/>
          </w:tcPr>
          <w:p w14:paraId="609357FA">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可钻性</w:t>
            </w:r>
          </w:p>
        </w:tc>
        <w:tc>
          <w:tcPr>
            <w:tcW w:w="1030" w:type="dxa"/>
            <w:noWrap w:val="0"/>
            <w:vAlign w:val="center"/>
          </w:tcPr>
          <w:p w14:paraId="44F33182">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研磨性</w:t>
            </w:r>
          </w:p>
        </w:tc>
        <w:tc>
          <w:tcPr>
            <w:tcW w:w="954" w:type="dxa"/>
            <w:noWrap w:val="0"/>
            <w:vAlign w:val="center"/>
          </w:tcPr>
          <w:p w14:paraId="04FC21AC">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节理</w:t>
            </w:r>
          </w:p>
          <w:p w14:paraId="385070B7">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裂隙</w:t>
            </w:r>
          </w:p>
        </w:tc>
        <w:tc>
          <w:tcPr>
            <w:tcW w:w="1134" w:type="dxa"/>
            <w:noWrap w:val="0"/>
            <w:vAlign w:val="center"/>
          </w:tcPr>
          <w:p w14:paraId="79A9900D">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破碎</w:t>
            </w:r>
          </w:p>
          <w:p w14:paraId="7A06CCB5">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程度</w:t>
            </w:r>
          </w:p>
        </w:tc>
        <w:tc>
          <w:tcPr>
            <w:tcW w:w="1378" w:type="dxa"/>
            <w:noWrap w:val="0"/>
            <w:vAlign w:val="center"/>
          </w:tcPr>
          <w:p w14:paraId="7B4B69CC">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漏失性</w:t>
            </w:r>
          </w:p>
        </w:tc>
      </w:tr>
      <w:tr w14:paraId="09ED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231" w:type="dxa"/>
            <w:noWrap w:val="0"/>
            <w:vAlign w:val="center"/>
          </w:tcPr>
          <w:p w14:paraId="575FDD8A">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碎裂岩屑石英砂岩</w:t>
            </w:r>
          </w:p>
        </w:tc>
        <w:tc>
          <w:tcPr>
            <w:tcW w:w="1134" w:type="dxa"/>
            <w:noWrap w:val="0"/>
            <w:vAlign w:val="center"/>
          </w:tcPr>
          <w:p w14:paraId="4152B379">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851" w:type="dxa"/>
            <w:noWrap w:val="0"/>
            <w:vAlign w:val="center"/>
          </w:tcPr>
          <w:p w14:paraId="0C3D05E7">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ascii="仿宋" w:hAnsi="仿宋" w:eastAsia="仿宋" w:cs="Times New Roman"/>
                <w:color w:val="auto"/>
                <w:sz w:val="24"/>
                <w:szCs w:val="24"/>
                <w:highlight w:val="none"/>
              </w:rPr>
              <w:t>7</w:t>
            </w:r>
            <w:r>
              <w:rPr>
                <w:rFonts w:hint="eastAsia" w:ascii="仿宋" w:hAnsi="仿宋" w:eastAsia="仿宋" w:cs="Times New Roman"/>
                <w:color w:val="auto"/>
                <w:sz w:val="24"/>
                <w:szCs w:val="24"/>
                <w:highlight w:val="none"/>
              </w:rPr>
              <w:t>级</w:t>
            </w:r>
          </w:p>
        </w:tc>
        <w:tc>
          <w:tcPr>
            <w:tcW w:w="1030" w:type="dxa"/>
            <w:noWrap w:val="0"/>
            <w:vAlign w:val="center"/>
          </w:tcPr>
          <w:p w14:paraId="5571A35F">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954" w:type="dxa"/>
            <w:noWrap w:val="0"/>
            <w:vAlign w:val="center"/>
          </w:tcPr>
          <w:p w14:paraId="3DD687DF">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1134" w:type="dxa"/>
            <w:noWrap w:val="0"/>
            <w:vAlign w:val="center"/>
          </w:tcPr>
          <w:p w14:paraId="2DB0D7B8">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较破碎</w:t>
            </w:r>
          </w:p>
        </w:tc>
        <w:tc>
          <w:tcPr>
            <w:tcW w:w="1378" w:type="dxa"/>
            <w:noWrap w:val="0"/>
            <w:vAlign w:val="center"/>
          </w:tcPr>
          <w:p w14:paraId="6E81FBA3">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较少</w:t>
            </w:r>
          </w:p>
        </w:tc>
      </w:tr>
      <w:tr w14:paraId="5948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231" w:type="dxa"/>
            <w:noWrap w:val="0"/>
            <w:vAlign w:val="center"/>
          </w:tcPr>
          <w:p w14:paraId="401E8ADE">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变质砂岩</w:t>
            </w:r>
          </w:p>
        </w:tc>
        <w:tc>
          <w:tcPr>
            <w:tcW w:w="1134" w:type="dxa"/>
            <w:noWrap w:val="0"/>
            <w:vAlign w:val="center"/>
          </w:tcPr>
          <w:p w14:paraId="15FB5B4F">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较软</w:t>
            </w:r>
          </w:p>
        </w:tc>
        <w:tc>
          <w:tcPr>
            <w:tcW w:w="851" w:type="dxa"/>
            <w:noWrap w:val="0"/>
            <w:vAlign w:val="center"/>
          </w:tcPr>
          <w:p w14:paraId="25673DDF">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6级</w:t>
            </w:r>
          </w:p>
        </w:tc>
        <w:tc>
          <w:tcPr>
            <w:tcW w:w="1030" w:type="dxa"/>
            <w:noWrap w:val="0"/>
            <w:vAlign w:val="center"/>
          </w:tcPr>
          <w:p w14:paraId="731E04B0">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954" w:type="dxa"/>
            <w:noWrap w:val="0"/>
            <w:vAlign w:val="center"/>
          </w:tcPr>
          <w:p w14:paraId="0AB3E7CB">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1134" w:type="dxa"/>
            <w:noWrap w:val="0"/>
            <w:vAlign w:val="center"/>
          </w:tcPr>
          <w:p w14:paraId="26B79950">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较破碎</w:t>
            </w:r>
          </w:p>
        </w:tc>
        <w:tc>
          <w:tcPr>
            <w:tcW w:w="1378" w:type="dxa"/>
            <w:noWrap w:val="0"/>
            <w:vAlign w:val="center"/>
          </w:tcPr>
          <w:p w14:paraId="4966D168">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较少</w:t>
            </w:r>
          </w:p>
        </w:tc>
      </w:tr>
      <w:tr w14:paraId="5A7C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31" w:type="dxa"/>
            <w:noWrap w:val="0"/>
            <w:vAlign w:val="center"/>
          </w:tcPr>
          <w:p w14:paraId="228E95B3">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石英脉</w:t>
            </w:r>
          </w:p>
        </w:tc>
        <w:tc>
          <w:tcPr>
            <w:tcW w:w="1134" w:type="dxa"/>
            <w:noWrap w:val="0"/>
            <w:vAlign w:val="center"/>
          </w:tcPr>
          <w:p w14:paraId="1FB63C32">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硬</w:t>
            </w:r>
          </w:p>
        </w:tc>
        <w:tc>
          <w:tcPr>
            <w:tcW w:w="851" w:type="dxa"/>
            <w:noWrap w:val="0"/>
            <w:vAlign w:val="center"/>
          </w:tcPr>
          <w:p w14:paraId="082C7260">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10级</w:t>
            </w:r>
          </w:p>
        </w:tc>
        <w:tc>
          <w:tcPr>
            <w:tcW w:w="1030" w:type="dxa"/>
            <w:noWrap w:val="0"/>
            <w:vAlign w:val="center"/>
          </w:tcPr>
          <w:p w14:paraId="4B8D85C6">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弱</w:t>
            </w:r>
          </w:p>
        </w:tc>
        <w:tc>
          <w:tcPr>
            <w:tcW w:w="954" w:type="dxa"/>
            <w:noWrap w:val="0"/>
            <w:vAlign w:val="center"/>
          </w:tcPr>
          <w:p w14:paraId="786E11B2">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弱</w:t>
            </w:r>
          </w:p>
        </w:tc>
        <w:tc>
          <w:tcPr>
            <w:tcW w:w="1134" w:type="dxa"/>
            <w:noWrap w:val="0"/>
            <w:vAlign w:val="center"/>
          </w:tcPr>
          <w:p w14:paraId="7622C082">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弱</w:t>
            </w:r>
          </w:p>
        </w:tc>
        <w:tc>
          <w:tcPr>
            <w:tcW w:w="1378" w:type="dxa"/>
            <w:noWrap w:val="0"/>
            <w:vAlign w:val="center"/>
          </w:tcPr>
          <w:p w14:paraId="1265C015">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较少</w:t>
            </w:r>
          </w:p>
        </w:tc>
      </w:tr>
      <w:tr w14:paraId="05F4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31" w:type="dxa"/>
            <w:noWrap w:val="0"/>
            <w:vAlign w:val="center"/>
          </w:tcPr>
          <w:p w14:paraId="7E8AFC74">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绢云母千枚岩</w:t>
            </w:r>
          </w:p>
        </w:tc>
        <w:tc>
          <w:tcPr>
            <w:tcW w:w="1134" w:type="dxa"/>
            <w:noWrap w:val="0"/>
            <w:vAlign w:val="center"/>
          </w:tcPr>
          <w:p w14:paraId="51035344">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851" w:type="dxa"/>
            <w:noWrap w:val="0"/>
            <w:vAlign w:val="center"/>
          </w:tcPr>
          <w:p w14:paraId="7577A3A4">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ascii="仿宋" w:hAnsi="仿宋" w:eastAsia="仿宋" w:cs="Times New Roman"/>
                <w:color w:val="auto"/>
                <w:sz w:val="24"/>
                <w:szCs w:val="24"/>
                <w:highlight w:val="none"/>
              </w:rPr>
              <w:t>6</w:t>
            </w:r>
            <w:r>
              <w:rPr>
                <w:rFonts w:hint="eastAsia" w:ascii="仿宋" w:hAnsi="仿宋" w:eastAsia="仿宋" w:cs="Times New Roman"/>
                <w:color w:val="auto"/>
                <w:sz w:val="24"/>
                <w:szCs w:val="24"/>
                <w:highlight w:val="none"/>
              </w:rPr>
              <w:t>级</w:t>
            </w:r>
          </w:p>
        </w:tc>
        <w:tc>
          <w:tcPr>
            <w:tcW w:w="1030" w:type="dxa"/>
            <w:noWrap w:val="0"/>
            <w:vAlign w:val="center"/>
          </w:tcPr>
          <w:p w14:paraId="3F8F1784">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954" w:type="dxa"/>
            <w:noWrap w:val="0"/>
            <w:vAlign w:val="center"/>
          </w:tcPr>
          <w:p w14:paraId="625DD8C5">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1134" w:type="dxa"/>
            <w:noWrap w:val="0"/>
            <w:vAlign w:val="center"/>
          </w:tcPr>
          <w:p w14:paraId="2B30BC89">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破碎</w:t>
            </w:r>
          </w:p>
        </w:tc>
        <w:tc>
          <w:tcPr>
            <w:tcW w:w="1378" w:type="dxa"/>
            <w:noWrap w:val="0"/>
            <w:vAlign w:val="center"/>
          </w:tcPr>
          <w:p w14:paraId="06FBAA64">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较少</w:t>
            </w:r>
          </w:p>
        </w:tc>
      </w:tr>
      <w:tr w14:paraId="7400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31" w:type="dxa"/>
            <w:noWrap w:val="0"/>
            <w:vAlign w:val="center"/>
          </w:tcPr>
          <w:p w14:paraId="5BB5A5CA">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绢云母片岩</w:t>
            </w:r>
          </w:p>
        </w:tc>
        <w:tc>
          <w:tcPr>
            <w:tcW w:w="1134" w:type="dxa"/>
            <w:noWrap w:val="0"/>
            <w:vAlign w:val="center"/>
          </w:tcPr>
          <w:p w14:paraId="093B2068">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较硬</w:t>
            </w:r>
          </w:p>
        </w:tc>
        <w:tc>
          <w:tcPr>
            <w:tcW w:w="851" w:type="dxa"/>
            <w:noWrap w:val="0"/>
            <w:vAlign w:val="center"/>
          </w:tcPr>
          <w:p w14:paraId="6A3A66CF">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8级</w:t>
            </w:r>
          </w:p>
        </w:tc>
        <w:tc>
          <w:tcPr>
            <w:tcW w:w="1030" w:type="dxa"/>
            <w:noWrap w:val="0"/>
            <w:vAlign w:val="center"/>
          </w:tcPr>
          <w:p w14:paraId="765D6F60">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954" w:type="dxa"/>
            <w:noWrap w:val="0"/>
            <w:vAlign w:val="center"/>
          </w:tcPr>
          <w:p w14:paraId="675A4F4C">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1134" w:type="dxa"/>
            <w:noWrap w:val="0"/>
            <w:vAlign w:val="center"/>
          </w:tcPr>
          <w:p w14:paraId="7CA5D0DF">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较破碎</w:t>
            </w:r>
          </w:p>
        </w:tc>
        <w:tc>
          <w:tcPr>
            <w:tcW w:w="1378" w:type="dxa"/>
            <w:noWrap w:val="0"/>
            <w:vAlign w:val="center"/>
          </w:tcPr>
          <w:p w14:paraId="44646099">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较少</w:t>
            </w:r>
          </w:p>
        </w:tc>
      </w:tr>
    </w:tbl>
    <w:p w14:paraId="3724070B">
      <w:pPr>
        <w:spacing w:before="156" w:beforeLines="50" w:after="156" w:afterLines="5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三、招标内容</w:t>
      </w:r>
    </w:p>
    <w:p w14:paraId="1F0E00E0">
      <w:pPr>
        <w:widowControl w:val="0"/>
        <w:spacing w:before="156" w:beforeLines="50" w:after="156" w:afterLines="50" w:line="360" w:lineRule="auto"/>
        <w:ind w:firstLine="480" w:firstLineChars="200"/>
        <w:jc w:val="both"/>
        <w:rPr>
          <w:rFonts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1.钻孔的具体位置根据前期工作的成果来确定，主要对矿（化）体、含矿层</w:t>
      </w:r>
      <w:r>
        <w:rPr>
          <w:rFonts w:ascii="仿宋" w:hAnsi="仿宋" w:eastAsia="仿宋_GB2312" w:cs="Times New Roman"/>
          <w:color w:val="auto"/>
          <w:kern w:val="2"/>
          <w:sz w:val="24"/>
          <w:szCs w:val="24"/>
          <w:highlight w:val="none"/>
          <w:lang w:val="en-US" w:eastAsia="zh-CN" w:bidi="ar-SA"/>
        </w:rPr>
        <w:t>覆盖区、</w:t>
      </w:r>
      <w:r>
        <w:rPr>
          <w:rFonts w:hint="eastAsia" w:ascii="仿宋" w:hAnsi="仿宋" w:eastAsia="仿宋_GB2312" w:cs="Times New Roman"/>
          <w:color w:val="auto"/>
          <w:kern w:val="2"/>
          <w:sz w:val="24"/>
          <w:szCs w:val="24"/>
          <w:highlight w:val="none"/>
          <w:lang w:val="en-US" w:eastAsia="zh-CN" w:bidi="ar-SA"/>
        </w:rPr>
        <w:t>物化探异常等进行验证。首选对Ⅱ号矿化</w:t>
      </w:r>
      <w:r>
        <w:rPr>
          <w:rFonts w:ascii="仿宋" w:hAnsi="仿宋" w:eastAsia="仿宋_GB2312" w:cs="Times New Roman"/>
          <w:color w:val="auto"/>
          <w:kern w:val="2"/>
          <w:sz w:val="24"/>
          <w:szCs w:val="24"/>
          <w:highlight w:val="none"/>
          <w:lang w:val="en-US" w:eastAsia="zh-CN" w:bidi="ar-SA"/>
        </w:rPr>
        <w:t>带的</w:t>
      </w:r>
      <w:r>
        <w:rPr>
          <w:rFonts w:hint="eastAsia" w:ascii="仿宋" w:hAnsi="仿宋" w:eastAsia="仿宋_GB2312" w:cs="Times New Roman"/>
          <w:color w:val="auto"/>
          <w:kern w:val="2"/>
          <w:sz w:val="24"/>
          <w:szCs w:val="24"/>
          <w:highlight w:val="none"/>
          <w:lang w:val="en-US" w:eastAsia="zh-CN" w:bidi="ar-SA"/>
        </w:rPr>
        <w:t>Ⅱ-</w:t>
      </w:r>
      <w:r>
        <w:rPr>
          <w:rFonts w:ascii="仿宋" w:hAnsi="仿宋" w:eastAsia="仿宋_GB2312" w:cs="Times New Roman"/>
          <w:color w:val="auto"/>
          <w:kern w:val="2"/>
          <w:sz w:val="24"/>
          <w:szCs w:val="24"/>
          <w:highlight w:val="none"/>
          <w:lang w:val="en-US" w:eastAsia="zh-CN" w:bidi="ar-SA"/>
        </w:rPr>
        <w:t>8</w:t>
      </w:r>
      <w:r>
        <w:rPr>
          <w:rFonts w:hint="eastAsia" w:ascii="仿宋" w:hAnsi="仿宋" w:eastAsia="仿宋_GB2312" w:cs="Times New Roman"/>
          <w:color w:val="auto"/>
          <w:kern w:val="2"/>
          <w:sz w:val="24"/>
          <w:szCs w:val="24"/>
          <w:highlight w:val="none"/>
          <w:lang w:val="en-US" w:eastAsia="zh-CN" w:bidi="ar-SA"/>
        </w:rPr>
        <w:t>金进行</w:t>
      </w:r>
      <w:r>
        <w:rPr>
          <w:rFonts w:ascii="仿宋" w:hAnsi="仿宋" w:eastAsia="仿宋_GB2312" w:cs="Times New Roman"/>
          <w:color w:val="auto"/>
          <w:kern w:val="2"/>
          <w:sz w:val="24"/>
          <w:szCs w:val="24"/>
          <w:highlight w:val="none"/>
          <w:lang w:val="en-US" w:eastAsia="zh-CN" w:bidi="ar-SA"/>
        </w:rPr>
        <w:t>探索，进一步查明该矿体的资源前景，其次对其余</w:t>
      </w:r>
      <w:r>
        <w:rPr>
          <w:rFonts w:hint="eastAsia" w:ascii="仿宋" w:hAnsi="仿宋" w:eastAsia="仿宋_GB2312" w:cs="Times New Roman"/>
          <w:color w:val="auto"/>
          <w:kern w:val="2"/>
          <w:sz w:val="24"/>
          <w:szCs w:val="24"/>
          <w:highlight w:val="none"/>
          <w:lang w:val="en-US" w:eastAsia="zh-CN" w:bidi="ar-SA"/>
        </w:rPr>
        <w:t>及</w:t>
      </w:r>
      <w:r>
        <w:rPr>
          <w:rFonts w:ascii="仿宋" w:hAnsi="仿宋" w:eastAsia="仿宋_GB2312" w:cs="Times New Roman"/>
          <w:color w:val="auto"/>
          <w:kern w:val="2"/>
          <w:sz w:val="24"/>
          <w:szCs w:val="24"/>
          <w:highlight w:val="none"/>
          <w:lang w:val="en-US" w:eastAsia="zh-CN" w:bidi="ar-SA"/>
        </w:rPr>
        <w:t>新发现的矿（化）体、成矿有利区进行追索和验证，扩大找矿</w:t>
      </w:r>
      <w:r>
        <w:rPr>
          <w:rFonts w:hint="eastAsia" w:ascii="仿宋" w:hAnsi="仿宋" w:eastAsia="仿宋_GB2312" w:cs="Times New Roman"/>
          <w:color w:val="auto"/>
          <w:kern w:val="2"/>
          <w:sz w:val="24"/>
          <w:szCs w:val="24"/>
          <w:highlight w:val="none"/>
          <w:lang w:val="en-US" w:eastAsia="zh-CN" w:bidi="ar-SA"/>
        </w:rPr>
        <w:t>空间，考虑到深部矿体的变化特征及地表地形的影响，本次钻探工程可根据阶段成果，在综合分析、研究的基础上调整；本年度如发现了新的厚大矿（化）体，可择优安排工作量对其进行深部追索。</w:t>
      </w:r>
    </w:p>
    <w:p w14:paraId="350CE7DE">
      <w:pPr>
        <w:widowControl w:val="0"/>
        <w:spacing w:before="156" w:beforeLines="50" w:after="156" w:afterLines="50" w:line="360" w:lineRule="auto"/>
        <w:ind w:firstLine="480" w:firstLineChars="200"/>
        <w:jc w:val="both"/>
        <w:rPr>
          <w:rFonts w:hint="eastAsia"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2.主要实物工作量：</w:t>
      </w:r>
    </w:p>
    <w:p w14:paraId="0FCD9D6D">
      <w:pPr>
        <w:widowControl w:val="0"/>
        <w:spacing w:before="156" w:beforeLines="50" w:after="156" w:afterLines="50" w:line="360" w:lineRule="auto"/>
        <w:ind w:firstLine="480" w:firstLineChars="200"/>
        <w:jc w:val="both"/>
        <w:rPr>
          <w:rFonts w:hint="eastAsia"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钻探5000米</w:t>
      </w:r>
    </w:p>
    <w:p w14:paraId="7CCF161F">
      <w:pPr>
        <w:spacing w:before="156" w:beforeLines="50" w:after="156" w:afterLines="5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四、技术标准及要求</w:t>
      </w:r>
    </w:p>
    <w:p w14:paraId="11061C51">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1.工程验收标准和质量评定标准执行地质钻探岩心规程。终孔孔径φ75mm。</w:t>
      </w:r>
    </w:p>
    <w:p w14:paraId="66B358B1">
      <w:pPr>
        <w:spacing w:before="156" w:beforeLines="50" w:after="156" w:afterLines="5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执行国家、地方颁发的法律、法规和有关的行业规程、规范、技术标准，以及安全操作规程。适用规范标准符合现行的地质岩心钻探、安全、环保、节能等法律法规强制要求。</w:t>
      </w:r>
    </w:p>
    <w:p w14:paraId="6F43CFE4">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3.岩(矿)心采取率要求：岩心采取率一般应大于70%，矿心采取率与矿体顶底板3～5米内的围岩采取率应大于80%，不得人为拉长岩(矿)心。厚大的矿体,按连续5～8米计算平均采取率,钻进中要注意保持矿心的完整。</w:t>
      </w:r>
    </w:p>
    <w:p w14:paraId="78D0E3B5">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4.倾角和方位角测量要求</w:t>
      </w:r>
    </w:p>
    <w:p w14:paraId="7787FA86">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A.钻孔轴线的形态及空间位置的三维坐标由勘查设计确定，同时给出实际轴线与设计轴线偏离的最大允许值。</w:t>
      </w:r>
    </w:p>
    <w:p w14:paraId="3C3F8B7A">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B.在钻进过程中，应系统测量倾角和方位角，所有钻孔开孔后25米测量一次倾角和方位角。</w:t>
      </w:r>
    </w:p>
    <w:p w14:paraId="3128E682">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直孔每钻进100米，应测1次倾角和方位角；斜孔每钻进50米应测1次倾角和方位角；矿体顶、底板应加测一次倾角和方位角；定向和易偏斜钻孔，应适当缩短测量间距。施工单位应及时计算确定钻孔轴线的形态及空间位置。</w:t>
      </w:r>
    </w:p>
    <w:p w14:paraId="35C0BFDC">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按勘查设计的方位角与倾角钻进。斜孔每钻进100米，方位角允许偏差为1～2°；直孔施工中每100米倾角偏斜不应超过2°，斜孔不应超过3°，有特殊要求时，按勘查设计或合同要求执行。超差时应检查原因，校正仪器后再重测；如钻孔歪斜，其终孔位置一般不允许超过原设计要求线距的1/4。若超差严重达不到设计目的时，应采取措施纠正或补救。</w:t>
      </w:r>
    </w:p>
    <w:p w14:paraId="623E4656">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E.在有磁性干扰的地层(含矿体)中，采用不受干扰的测斜仪测斜；各种测斜仪器在使用前应经过检查和校正。</w:t>
      </w:r>
    </w:p>
    <w:p w14:paraId="2FD15884">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5.孔深误差验证要求</w:t>
      </w:r>
    </w:p>
    <w:p w14:paraId="05226E4D">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除主矿体(层)及终孔应进行孔深误差验证外，一般直孔每钻进100米，斜孔每钻进50米，换层、见矿均应验证1次。验证时应使用钢尺丈量，对记录孔深与验证孔深产生的正负误差一般不允许大于1‰。超过时要重新丈量并合理平差，钻孔编录地质人员应及时校正孔深</w:t>
      </w:r>
    </w:p>
    <w:p w14:paraId="1E4B4FEA">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一般情况下，孔深误差在允许范围内可不进行平差；验证误差小于0.5米时，在最后2个回次中按回次进尺平差；验证误差大于0.5米时，在最后3个回次中按回次进尺大小比例平差；若误差段内有矿体(层)时，则按分层厚度加权平差。孔深验证若超出允许范围，应重新测量并找出原因.及时校正孔深。</w:t>
      </w:r>
    </w:p>
    <w:p w14:paraId="060FBECC">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6.简易水文观测要求</w:t>
      </w:r>
    </w:p>
    <w:p w14:paraId="75D5F1D8">
      <w:pPr>
        <w:spacing w:before="156" w:beforeLines="50" w:after="156" w:afterLines="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所有施工钻孔均应按规范要求进行简易水文观测。在钻进中如遇有老窿、大裂隙、钻具突然下落、漏水、返水、涌水和溶洞、破碎带、气体涌出、油气显示、水温异常、严重坍塌、掉块等情况，应按要求进行记录。</w:t>
      </w:r>
    </w:p>
    <w:p w14:paraId="26717A69">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_GB2312" w:cs="Times New Roman"/>
          <w:color w:val="auto"/>
          <w:sz w:val="24"/>
          <w:szCs w:val="24"/>
          <w:highlight w:val="none"/>
        </w:rPr>
        <w:t>7.</w:t>
      </w:r>
      <w:r>
        <w:rPr>
          <w:rFonts w:hint="eastAsia" w:ascii="仿宋" w:hAnsi="仿宋" w:eastAsia="仿宋" w:cs="仿宋"/>
          <w:bCs/>
          <w:color w:val="auto"/>
          <w:sz w:val="24"/>
          <w:szCs w:val="24"/>
          <w:highlight w:val="none"/>
        </w:rPr>
        <w:t>原始班报表</w:t>
      </w:r>
    </w:p>
    <w:p w14:paraId="3BA71951">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钻探班报表用钢笔填写，真实、齐全、准确;交接班记录表班长要求亲笔签字，不得代签;终孔后装订成册,要求干净、整洁。</w:t>
      </w:r>
    </w:p>
    <w:p w14:paraId="1C061BCC">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8.封孔要求</w:t>
      </w:r>
    </w:p>
    <w:p w14:paraId="1623513E">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A.临近终孔时，施工单位应根据地质人员提供的实际钻孔柱状图和水文地质人员提出的封孔要求,编写封孔设计，交机台实施。 </w:t>
      </w:r>
    </w:p>
    <w:p w14:paraId="19D741AE">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停钻后，应按设计要求进行封孔，并做好封孔记录。一般要求封孔水泥柱进入基岩的长度不应小于5米；矿体所在部位、矿体顶板以上5米、底板以下5米应封孔。对于井工开采的煤炭勘查钻孔，应按有关规定进行封孔。</w:t>
      </w:r>
    </w:p>
    <w:p w14:paraId="764648AA">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C.封孔时不应从孔口一次性倒入水泥，应用水泵注入水泥浆，从下往上依次封孔。凡使用泥浆钻进的钻孔，应在洗刷封孔部位的泥皮后，再行封孔。</w:t>
      </w:r>
    </w:p>
    <w:p w14:paraId="15442C39">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D.根据设计要求，需要对封孔质量进行验证时，应进行透孔质量检查，透孔检查率为5%～10%。若发现封孔质量存在问题，应进行重新封孔。</w:t>
      </w:r>
    </w:p>
    <w:p w14:paraId="5AB1988A">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E.当地质人员与水文地质人员没有提出特殊要求时，钻孔终孔后应起拔井口管，并在孔口中心处设立埋深不小于5米的水泥标志桩(用水泥固定)。</w:t>
      </w:r>
    </w:p>
    <w:p w14:paraId="7556671E">
      <w:pPr>
        <w:spacing w:before="156" w:beforeLines="50" w:after="156" w:afterLines="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F.封孔后，机长应将钻孔封孔设计和封孔记录送交设计单位和施工单位存档。</w:t>
      </w:r>
    </w:p>
    <w:p w14:paraId="6C574BB8">
      <w:pPr>
        <w:spacing w:before="156" w:beforeLines="50" w:after="156" w:afterLines="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9、劳动力及设备配备能力要求：</w:t>
      </w:r>
    </w:p>
    <w:p w14:paraId="102E8A8C">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A.现场必须配备项目经理至少1名、专职安全员1名，现场施工人员必须具有一定安全理论知识；</w:t>
      </w:r>
    </w:p>
    <w:p w14:paraId="1E6ED7C3">
      <w:pPr>
        <w:spacing w:before="156" w:beforeLines="50" w:after="156" w:afterLines="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B.劳动力配备应满足探矿需求，并保证工作期限内成员稳定，钻机主操手必须配备具有长期操作经验的技术人员；</w:t>
      </w:r>
    </w:p>
    <w:p w14:paraId="32D550E1">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C.特种作业人员需持证上岗；</w:t>
      </w:r>
    </w:p>
    <w:p w14:paraId="13C26B7D">
      <w:pPr>
        <w:spacing w:before="156" w:beforeLines="50" w:after="156" w:afterLines="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D.同时配备3-4台能够满足施工需要的钻探设备设施。</w:t>
      </w:r>
    </w:p>
    <w:p w14:paraId="3B199C39">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10.坚持安全、文明、和谐施工原则。实施地质钻探安全生产标准化建设，以人为本，协调好地方关系。</w:t>
      </w:r>
    </w:p>
    <w:p w14:paraId="2E99367E">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11.坚持技术创新原则。采用先进适用的设备、技术、工艺、材料，开展绿色勘査地质钻探工作,有效减少对生态环境影响的程度、范围及持续时间。</w:t>
      </w:r>
      <w:r>
        <w:rPr>
          <w:rFonts w:hint="eastAsia" w:ascii="仿宋" w:hAnsi="仿宋" w:eastAsia="仿宋" w:cs="仿宋"/>
          <w:bCs/>
          <w:color w:val="auto"/>
          <w:sz w:val="24"/>
          <w:szCs w:val="24"/>
          <w:highlight w:val="none"/>
        </w:rPr>
        <w:br w:type="page"/>
      </w:r>
    </w:p>
    <w:p w14:paraId="4EDC89DB">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标项二</w:t>
      </w:r>
    </w:p>
    <w:p w14:paraId="79C8CA92">
      <w:pPr>
        <w:adjustRightInd w:val="0"/>
        <w:snapToGrid w:val="0"/>
        <w:spacing w:before="156" w:beforeLines="50" w:after="156" w:afterLines="5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一、招标概况</w:t>
      </w:r>
    </w:p>
    <w:p w14:paraId="4EE0F81F">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1.标项名称:新疆维吾尔自治区地质局地球物理化学探矿中心钻探服务项目第</w:t>
      </w:r>
      <w:r>
        <w:rPr>
          <w:rFonts w:hint="eastAsia" w:ascii="仿宋" w:hAnsi="仿宋" w:eastAsia="仿宋_GB2312" w:cs="Times New Roman"/>
          <w:color w:val="auto"/>
          <w:sz w:val="24"/>
          <w:szCs w:val="24"/>
          <w:highlight w:val="none"/>
          <w:lang w:val="en-US" w:eastAsia="zh-CN"/>
        </w:rPr>
        <w:t>四</w:t>
      </w:r>
      <w:r>
        <w:rPr>
          <w:rFonts w:hint="eastAsia" w:ascii="仿宋" w:hAnsi="仿宋" w:eastAsia="仿宋_GB2312" w:cs="Times New Roman"/>
          <w:color w:val="auto"/>
          <w:sz w:val="24"/>
          <w:szCs w:val="24"/>
          <w:highlight w:val="none"/>
        </w:rPr>
        <w:t>批（</w:t>
      </w:r>
      <w:r>
        <w:rPr>
          <w:rFonts w:hint="eastAsia" w:ascii="仿宋" w:hAnsi="仿宋" w:eastAsia="仿宋_GB2312" w:cs="Times New Roman"/>
          <w:color w:val="auto"/>
          <w:sz w:val="24"/>
          <w:szCs w:val="24"/>
          <w:highlight w:val="none"/>
          <w:lang w:val="en-US" w:eastAsia="zh-CN"/>
        </w:rPr>
        <w:t>2</w:t>
      </w:r>
      <w:r>
        <w:rPr>
          <w:rFonts w:hint="eastAsia" w:ascii="仿宋" w:hAnsi="仿宋" w:eastAsia="仿宋_GB2312" w:cs="Times New Roman"/>
          <w:color w:val="auto"/>
          <w:sz w:val="24"/>
          <w:szCs w:val="24"/>
          <w:highlight w:val="none"/>
        </w:rPr>
        <w:t>包）</w:t>
      </w:r>
    </w:p>
    <w:p w14:paraId="40E6EEC5">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2.项目内容</w:t>
      </w:r>
      <w:r>
        <w:rPr>
          <w:rFonts w:hint="eastAsia" w:ascii="仿宋" w:hAnsi="仿宋" w:eastAsia="仿宋_GB2312" w:cs="Times New Roman"/>
          <w:color w:val="auto"/>
          <w:sz w:val="24"/>
          <w:szCs w:val="24"/>
          <w:highlight w:val="none"/>
          <w:lang w:val="en-US" w:eastAsia="zh-CN"/>
        </w:rPr>
        <w:t>:</w:t>
      </w:r>
      <w:r>
        <w:rPr>
          <w:rFonts w:hint="eastAsia" w:ascii="仿宋" w:hAnsi="仿宋" w:eastAsia="仿宋_GB2312" w:cs="Times New Roman"/>
          <w:color w:val="auto"/>
          <w:sz w:val="24"/>
          <w:szCs w:val="24"/>
          <w:highlight w:val="none"/>
        </w:rPr>
        <w:t>新疆福海县阔克锌铜矿普查（增量）地表钻探服务</w:t>
      </w:r>
    </w:p>
    <w:p w14:paraId="15BCD228">
      <w:pPr>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3</w:t>
      </w:r>
      <w:r>
        <w:rPr>
          <w:rFonts w:hint="eastAsia" w:ascii="仿宋" w:hAnsi="仿宋" w:eastAsia="仿宋_GB2312" w:cs="Times New Roman"/>
          <w:color w:val="auto"/>
          <w:sz w:val="24"/>
          <w:szCs w:val="24"/>
          <w:highlight w:val="none"/>
        </w:rPr>
        <w:t>.项目实施地点：新疆福海县</w:t>
      </w:r>
    </w:p>
    <w:p w14:paraId="31451EBF">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4</w:t>
      </w:r>
      <w:r>
        <w:rPr>
          <w:rFonts w:hint="eastAsia" w:ascii="仿宋" w:hAnsi="仿宋" w:eastAsia="仿宋_GB2312" w:cs="Times New Roman"/>
          <w:color w:val="auto"/>
          <w:sz w:val="24"/>
          <w:szCs w:val="24"/>
          <w:highlight w:val="none"/>
        </w:rPr>
        <w:t>.实物工作量：设计钻探进尺</w:t>
      </w:r>
      <w:r>
        <w:rPr>
          <w:rFonts w:hint="eastAsia" w:ascii="仿宋" w:hAnsi="仿宋" w:eastAsia="仿宋_GB2312" w:cs="Times New Roman"/>
          <w:color w:val="auto"/>
          <w:sz w:val="24"/>
          <w:szCs w:val="24"/>
          <w:highlight w:val="none"/>
          <w:lang w:val="en-US" w:eastAsia="zh-CN"/>
        </w:rPr>
        <w:t>4000</w:t>
      </w:r>
      <w:r>
        <w:rPr>
          <w:rFonts w:hint="eastAsia" w:ascii="仿宋" w:hAnsi="仿宋" w:eastAsia="仿宋_GB2312" w:cs="Times New Roman"/>
          <w:color w:val="auto"/>
          <w:sz w:val="24"/>
          <w:szCs w:val="24"/>
          <w:highlight w:val="none"/>
        </w:rPr>
        <w:t>米</w:t>
      </w:r>
    </w:p>
    <w:p w14:paraId="110777FC">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5</w:t>
      </w:r>
      <w:r>
        <w:rPr>
          <w:rFonts w:hint="eastAsia" w:ascii="仿宋" w:hAnsi="仿宋" w:eastAsia="仿宋_GB2312" w:cs="Times New Roman"/>
          <w:color w:val="auto"/>
          <w:sz w:val="24"/>
          <w:szCs w:val="24"/>
          <w:highlight w:val="none"/>
        </w:rPr>
        <w:t>.项目投资额：</w:t>
      </w:r>
      <w:r>
        <w:rPr>
          <w:rFonts w:hint="eastAsia" w:ascii="仿宋" w:hAnsi="仿宋" w:eastAsia="仿宋_GB2312" w:cs="Times New Roman"/>
          <w:color w:val="auto"/>
          <w:sz w:val="24"/>
          <w:szCs w:val="24"/>
          <w:highlight w:val="none"/>
          <w:lang w:val="en-US" w:eastAsia="zh-CN"/>
        </w:rPr>
        <w:t>512.00</w:t>
      </w:r>
      <w:r>
        <w:rPr>
          <w:rFonts w:hint="eastAsia" w:ascii="仿宋" w:hAnsi="仿宋" w:eastAsia="仿宋_GB2312" w:cs="Times New Roman"/>
          <w:color w:val="auto"/>
          <w:sz w:val="24"/>
          <w:szCs w:val="24"/>
          <w:highlight w:val="none"/>
        </w:rPr>
        <w:t>万元</w:t>
      </w:r>
    </w:p>
    <w:p w14:paraId="7FBC59CA">
      <w:pPr>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6</w:t>
      </w:r>
      <w:r>
        <w:rPr>
          <w:rFonts w:hint="eastAsia" w:ascii="仿宋" w:hAnsi="仿宋" w:eastAsia="仿宋_GB2312" w:cs="Times New Roman"/>
          <w:color w:val="auto"/>
          <w:sz w:val="24"/>
          <w:szCs w:val="24"/>
          <w:highlight w:val="none"/>
        </w:rPr>
        <w:t>.工程期限:自签订合同日起至2025年</w:t>
      </w:r>
      <w:r>
        <w:rPr>
          <w:rFonts w:hint="eastAsia" w:ascii="仿宋" w:hAnsi="仿宋" w:eastAsia="仿宋_GB2312" w:cs="Times New Roman"/>
          <w:color w:val="auto"/>
          <w:sz w:val="24"/>
          <w:szCs w:val="24"/>
          <w:highlight w:val="none"/>
          <w:lang w:val="en-US" w:eastAsia="zh-CN"/>
        </w:rPr>
        <w:t>9</w:t>
      </w:r>
      <w:r>
        <w:rPr>
          <w:rFonts w:hint="eastAsia" w:ascii="仿宋" w:hAnsi="仿宋" w:eastAsia="仿宋_GB2312" w:cs="Times New Roman"/>
          <w:color w:val="auto"/>
          <w:sz w:val="24"/>
          <w:szCs w:val="24"/>
          <w:highlight w:val="none"/>
        </w:rPr>
        <w:t>月30日</w:t>
      </w:r>
    </w:p>
    <w:p w14:paraId="58C9BF6E">
      <w:pPr>
        <w:adjustRightInd w:val="0"/>
        <w:snapToGrid w:val="0"/>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7</w:t>
      </w:r>
      <w:r>
        <w:rPr>
          <w:rFonts w:hint="eastAsia" w:ascii="仿宋" w:hAnsi="仿宋" w:eastAsia="仿宋_GB2312" w:cs="Times New Roman"/>
          <w:color w:val="auto"/>
          <w:sz w:val="24"/>
          <w:szCs w:val="24"/>
          <w:highlight w:val="none"/>
        </w:rPr>
        <w:t>.本次招标工程实行固定综合单价承包，在施工期内不因任何因素变化而调整。</w:t>
      </w:r>
    </w:p>
    <w:p w14:paraId="7F60F94B">
      <w:pPr>
        <w:adjustRightInd w:val="0"/>
        <w:snapToGrid w:val="0"/>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8</w:t>
      </w:r>
      <w:r>
        <w:rPr>
          <w:rFonts w:hint="eastAsia" w:ascii="仿宋" w:hAnsi="仿宋" w:eastAsia="仿宋_GB2312" w:cs="Times New Roman"/>
          <w:color w:val="auto"/>
          <w:sz w:val="24"/>
          <w:szCs w:val="24"/>
          <w:highlight w:val="none"/>
        </w:rPr>
        <w:t>.承包人自备施工中所需拉水设备、供水管及水泵；施工中产生的水、电费用由承包方承担，承包方此次报价应包含水电费用。</w:t>
      </w:r>
    </w:p>
    <w:p w14:paraId="4D00D6DC">
      <w:pPr>
        <w:adjustRightInd w:val="0"/>
        <w:snapToGrid w:val="0"/>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9</w:t>
      </w:r>
      <w:r>
        <w:rPr>
          <w:rFonts w:hint="eastAsia" w:ascii="仿宋" w:hAnsi="仿宋" w:eastAsia="仿宋_GB2312" w:cs="Times New Roman"/>
          <w:color w:val="auto"/>
          <w:sz w:val="24"/>
          <w:szCs w:val="24"/>
          <w:highlight w:val="none"/>
        </w:rPr>
        <w:t>.发包人不提供任何人工及材料，投标价格中应包括钻机平台、场地修筑、人工、材料（含岩心箱）、劈芯取样、施工设备及配套设施、人员交通及作业人员食宿、设备设施移位安装维护、企业管理费、措施费、利润、规费、税金、安全风险等和政策性文件规定的属于承包人的所有费用。</w:t>
      </w:r>
    </w:p>
    <w:p w14:paraId="4151905E">
      <w:pPr>
        <w:adjustRightInd w:val="0"/>
        <w:snapToGrid w:val="0"/>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10</w:t>
      </w:r>
      <w:r>
        <w:rPr>
          <w:rFonts w:hint="eastAsia" w:ascii="仿宋" w:hAnsi="仿宋" w:eastAsia="仿宋_GB2312" w:cs="Times New Roman"/>
          <w:color w:val="auto"/>
          <w:sz w:val="24"/>
          <w:szCs w:val="24"/>
          <w:highlight w:val="none"/>
        </w:rPr>
        <w:t>.在合同期满或合同解除后15日内，承包人需将施工所用设备、材料及设施等全部撤出施工现场，所有费用由承包人自行承担。</w:t>
      </w:r>
    </w:p>
    <w:p w14:paraId="012A192F">
      <w:pPr>
        <w:adjustRightInd w:val="0"/>
        <w:snapToGrid w:val="0"/>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1</w:t>
      </w:r>
      <w:r>
        <w:rPr>
          <w:rFonts w:hint="eastAsia" w:ascii="仿宋" w:hAnsi="仿宋" w:eastAsia="仿宋_GB2312" w:cs="Times New Roman"/>
          <w:color w:val="auto"/>
          <w:sz w:val="24"/>
          <w:szCs w:val="24"/>
          <w:highlight w:val="none"/>
          <w:lang w:val="en-US" w:eastAsia="zh-CN"/>
        </w:rPr>
        <w:t>1</w:t>
      </w:r>
      <w:r>
        <w:rPr>
          <w:rFonts w:hint="eastAsia" w:ascii="仿宋" w:hAnsi="仿宋" w:eastAsia="仿宋_GB2312" w:cs="Times New Roman"/>
          <w:color w:val="auto"/>
          <w:sz w:val="24"/>
          <w:szCs w:val="24"/>
          <w:highlight w:val="none"/>
        </w:rPr>
        <w:t>、质量等级标准：合格及以上标准。</w:t>
      </w:r>
    </w:p>
    <w:p w14:paraId="1100B7B5">
      <w:pPr>
        <w:adjustRightInd w:val="0"/>
        <w:snapToGrid w:val="0"/>
        <w:spacing w:before="156" w:beforeLines="50" w:after="156" w:afterLines="50"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二、工区概况</w:t>
      </w:r>
    </w:p>
    <w:p w14:paraId="024CD016">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1.位置、交通</w:t>
      </w:r>
    </w:p>
    <w:p w14:paraId="6742E6FF">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工作区位于福海县和富蕴县接壤部位，行政区划隶属福海县管辖，南东距富蕴90千米，北西距北屯105千米，中部有库尔特乡至G216的简易道路通过，一般车辆均可通行，交通极为便利。</w:t>
      </w:r>
    </w:p>
    <w:p w14:paraId="12DE5216">
      <w:pPr>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工作区地理极值坐标(CGCS2000坐标系)为：88°47′35″～89°00′20″；47°15′48″～47°20′01″。</w:t>
      </w:r>
    </w:p>
    <w:p w14:paraId="3280B692">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2.自然地理及气候条件</w:t>
      </w:r>
    </w:p>
    <w:p w14:paraId="38DC2717">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工作区处于阿尔泰山东段南缘山前地带，属低山丘陵区，沟谷发育，地形总体西高东低，海拔805～1211米，相对高差400米左右，一般高差在100米左右，地形较为平坦,山脉总体走势呈NW-SE向，阳坡基岩裸露，阴坡覆盖较厚，区内植被较发育。</w:t>
      </w:r>
    </w:p>
    <w:p w14:paraId="3174153F">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区内属典型高寒大陆性气候，夏季炎热少雨，冬季严寒多雪，冬长夏短，积雪期11月到次年4月，年平均温度4～6℃，年最高气温38℃以上，最低－41℃，日温差10～20℃，最冷在12～1月，最热7～8月，无霜期约120天。在夏秋季多为东南-东风,冬春季则为西北风，西北风一般在3～5级。年降雨量130～170毫米，7～8月为雨季，降雨一般北部多、南部少，昼夜一般降水量达13～18毫米，有时达34毫米，最高降雨量达1000毫米，偶见雨雪夹冰雹。区内无常年地表水系，仅有5～8口上升泉，泉水终年流量不大，一般流出地表后很快渗入地下。工作区东约500～2000米分布有自北向南径流的常年性二级水系喀拉额尔齐斯河，最后汇入到南部的额尔齐斯河中（由东向西），该河水量充沛，可供大中型矿山企业生产，通过以往水质分析成果，认为该水沉淀后可以作为生活用水。</w:t>
      </w:r>
    </w:p>
    <w:p w14:paraId="5CBDE39B">
      <w:pPr>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该区总体属山地草场，无固定居民，夏季有哈萨克族为主的牧民临时居住，距离最近的居民点为工区东南约30千米的库尔特乡，居住有哈萨克、蒙古、汉及少数俄罗斯、回族，居民主要以放牧为主，部分从事采矿业。工区耕地少，粮食蔬菜不能自给，工作所需生产、生活用品依托于富蕴县和北屯市，区内无电力设施，但离工区直线距离7千米有沙尔布拉克水电站，目前生产及生活用电需自行解决。</w:t>
      </w:r>
    </w:p>
    <w:p w14:paraId="70BC8E2B">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3.钻探施工技术条件</w:t>
      </w:r>
    </w:p>
    <w:p w14:paraId="04EEC49A">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本次钻探工作区位于区域逆冲推覆断裂的北东部，地貌上位于高山山前地带，山势起伏相对不大，沿着山间冲沟可达矿体位置，交通较为便利，钻探施工条件较好。</w:t>
      </w:r>
    </w:p>
    <w:p w14:paraId="53F94646">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矿区出露地层为中～深变质地层，为一套低角闪岩相—高绿片岩相岩石，地层向北倾，产状10～40°∠60～85°，矿(化)体主要赋存于康布铁堡组的矽卡岩化斜长角闪片岩的透辉石绿帘石（矽卡岩）中。钻孔所遇岩石特征简述如下：</w:t>
      </w:r>
    </w:p>
    <w:p w14:paraId="60709F20">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下泥盆统康布铁堡组第二岩性段(D1k2)：主要岩性为斜长角闪片岩、黑云母石英片岩、二云石英片岩、斜长角闪片岩、斜长角闪岩夹薄层绿帘阳起片岩、矽卡岩化斜长角闪片岩、透辉石绿帘石（矽卡岩）（含矿层位）。与矿化有关的岩性主要为斜长角闪片岩、黑云母石英片岩，矿化处岩石多具褐铁矿化。岩石孔隙度较小，透水性中等，稳定性好，主要含矿岩石为透辉石绿帘石（矽卡岩）岩石硬度为Ⅵ级。按照岩石的上述物理性质，岩石的可钻性、节理机械性质见下表。</w:t>
      </w:r>
    </w:p>
    <w:p w14:paraId="3A435127">
      <w:pPr>
        <w:spacing w:before="156" w:beforeLines="50" w:after="156" w:afterLines="50" w:line="360" w:lineRule="auto"/>
        <w:ind w:firstLine="480" w:firstLineChars="200"/>
        <w:jc w:val="center"/>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岩心钻探岩石可钻性、研磨性一览表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784"/>
        <w:gridCol w:w="939"/>
        <w:gridCol w:w="939"/>
        <w:gridCol w:w="764"/>
        <w:gridCol w:w="1080"/>
        <w:gridCol w:w="1260"/>
      </w:tblGrid>
      <w:tr w14:paraId="16DC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387" w:type="dxa"/>
            <w:noWrap w:val="0"/>
            <w:vAlign w:val="center"/>
          </w:tcPr>
          <w:p w14:paraId="1D458B72">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岩石名称</w:t>
            </w:r>
          </w:p>
        </w:tc>
        <w:tc>
          <w:tcPr>
            <w:tcW w:w="784" w:type="dxa"/>
            <w:noWrap w:val="0"/>
            <w:vAlign w:val="center"/>
          </w:tcPr>
          <w:p w14:paraId="586D7CE2">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软硬</w:t>
            </w:r>
          </w:p>
          <w:p w14:paraId="2126ECC5">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程度</w:t>
            </w:r>
          </w:p>
        </w:tc>
        <w:tc>
          <w:tcPr>
            <w:tcW w:w="0" w:type="auto"/>
            <w:noWrap w:val="0"/>
            <w:vAlign w:val="center"/>
          </w:tcPr>
          <w:p w14:paraId="6EAD4B04">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可钻性</w:t>
            </w:r>
          </w:p>
        </w:tc>
        <w:tc>
          <w:tcPr>
            <w:tcW w:w="0" w:type="auto"/>
            <w:noWrap w:val="0"/>
            <w:vAlign w:val="center"/>
          </w:tcPr>
          <w:p w14:paraId="4591E1AA">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研磨性</w:t>
            </w:r>
          </w:p>
        </w:tc>
        <w:tc>
          <w:tcPr>
            <w:tcW w:w="764" w:type="dxa"/>
            <w:noWrap w:val="0"/>
            <w:vAlign w:val="center"/>
          </w:tcPr>
          <w:p w14:paraId="69EABF9E">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节理</w:t>
            </w:r>
          </w:p>
          <w:p w14:paraId="7360362E">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裂隙</w:t>
            </w:r>
          </w:p>
        </w:tc>
        <w:tc>
          <w:tcPr>
            <w:tcW w:w="1080" w:type="dxa"/>
            <w:noWrap w:val="0"/>
            <w:vAlign w:val="center"/>
          </w:tcPr>
          <w:p w14:paraId="2C818076">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破碎</w:t>
            </w:r>
          </w:p>
          <w:p w14:paraId="6516C219">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程度</w:t>
            </w:r>
          </w:p>
        </w:tc>
        <w:tc>
          <w:tcPr>
            <w:tcW w:w="1260" w:type="dxa"/>
            <w:noWrap w:val="0"/>
            <w:vAlign w:val="center"/>
          </w:tcPr>
          <w:p w14:paraId="7DB872E6">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漏失性</w:t>
            </w:r>
          </w:p>
        </w:tc>
      </w:tr>
      <w:tr w14:paraId="0829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387" w:type="dxa"/>
            <w:noWrap w:val="0"/>
            <w:vAlign w:val="center"/>
          </w:tcPr>
          <w:p w14:paraId="37FB3D32">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透辉石绿帘石（矽卡岩）</w:t>
            </w:r>
          </w:p>
        </w:tc>
        <w:tc>
          <w:tcPr>
            <w:tcW w:w="784" w:type="dxa"/>
            <w:noWrap w:val="0"/>
            <w:vAlign w:val="center"/>
          </w:tcPr>
          <w:p w14:paraId="50B70D3D">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0" w:type="auto"/>
            <w:noWrap w:val="0"/>
            <w:vAlign w:val="center"/>
          </w:tcPr>
          <w:p w14:paraId="18D0BC71">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6级</w:t>
            </w:r>
          </w:p>
        </w:tc>
        <w:tc>
          <w:tcPr>
            <w:tcW w:w="0" w:type="auto"/>
            <w:noWrap w:val="0"/>
            <w:vAlign w:val="center"/>
          </w:tcPr>
          <w:p w14:paraId="202EF311">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764" w:type="dxa"/>
            <w:noWrap w:val="0"/>
            <w:vAlign w:val="center"/>
          </w:tcPr>
          <w:p w14:paraId="0729092A">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1080" w:type="dxa"/>
            <w:noWrap w:val="0"/>
            <w:vAlign w:val="center"/>
          </w:tcPr>
          <w:p w14:paraId="40073B2A">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较破碎</w:t>
            </w:r>
          </w:p>
        </w:tc>
        <w:tc>
          <w:tcPr>
            <w:tcW w:w="1260" w:type="dxa"/>
            <w:noWrap w:val="0"/>
            <w:vAlign w:val="center"/>
          </w:tcPr>
          <w:p w14:paraId="41ADF598">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漏失</w:t>
            </w:r>
          </w:p>
        </w:tc>
      </w:tr>
      <w:tr w14:paraId="27B1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87" w:type="dxa"/>
            <w:noWrap w:val="0"/>
            <w:vAlign w:val="center"/>
          </w:tcPr>
          <w:p w14:paraId="02489047">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黑云母石英片岩</w:t>
            </w:r>
          </w:p>
        </w:tc>
        <w:tc>
          <w:tcPr>
            <w:tcW w:w="784" w:type="dxa"/>
            <w:noWrap w:val="0"/>
            <w:vAlign w:val="center"/>
          </w:tcPr>
          <w:p w14:paraId="06C57486">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较软</w:t>
            </w:r>
          </w:p>
        </w:tc>
        <w:tc>
          <w:tcPr>
            <w:tcW w:w="0" w:type="auto"/>
            <w:noWrap w:val="0"/>
            <w:vAlign w:val="center"/>
          </w:tcPr>
          <w:p w14:paraId="58896252">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ascii="仿宋" w:hAnsi="仿宋" w:eastAsia="仿宋" w:cs="Times New Roman"/>
                <w:color w:val="auto"/>
                <w:sz w:val="24"/>
                <w:szCs w:val="24"/>
                <w:highlight w:val="none"/>
              </w:rPr>
              <w:t>7</w:t>
            </w:r>
            <w:r>
              <w:rPr>
                <w:rFonts w:hint="eastAsia" w:ascii="仿宋" w:hAnsi="仿宋" w:eastAsia="仿宋" w:cs="Times New Roman"/>
                <w:color w:val="auto"/>
                <w:sz w:val="24"/>
                <w:szCs w:val="24"/>
                <w:highlight w:val="none"/>
              </w:rPr>
              <w:t>级</w:t>
            </w:r>
          </w:p>
        </w:tc>
        <w:tc>
          <w:tcPr>
            <w:tcW w:w="0" w:type="auto"/>
            <w:noWrap w:val="0"/>
            <w:vAlign w:val="center"/>
          </w:tcPr>
          <w:p w14:paraId="540304C7">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764" w:type="dxa"/>
            <w:noWrap w:val="0"/>
            <w:vAlign w:val="center"/>
          </w:tcPr>
          <w:p w14:paraId="1093B86D">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1080" w:type="dxa"/>
            <w:noWrap w:val="0"/>
            <w:vAlign w:val="center"/>
          </w:tcPr>
          <w:p w14:paraId="73B699B8">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较破碎</w:t>
            </w:r>
          </w:p>
        </w:tc>
        <w:tc>
          <w:tcPr>
            <w:tcW w:w="1260" w:type="dxa"/>
            <w:noWrap w:val="0"/>
            <w:vAlign w:val="center"/>
          </w:tcPr>
          <w:p w14:paraId="039C6170">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漏失</w:t>
            </w:r>
          </w:p>
        </w:tc>
      </w:tr>
      <w:tr w14:paraId="7A0A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87" w:type="dxa"/>
            <w:noWrap w:val="0"/>
            <w:vAlign w:val="center"/>
          </w:tcPr>
          <w:p w14:paraId="1C4095EB">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斜长角闪片岩</w:t>
            </w:r>
          </w:p>
        </w:tc>
        <w:tc>
          <w:tcPr>
            <w:tcW w:w="784" w:type="dxa"/>
            <w:noWrap w:val="0"/>
            <w:vAlign w:val="center"/>
          </w:tcPr>
          <w:p w14:paraId="3260C8D1">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硬</w:t>
            </w:r>
          </w:p>
        </w:tc>
        <w:tc>
          <w:tcPr>
            <w:tcW w:w="0" w:type="auto"/>
            <w:noWrap w:val="0"/>
            <w:vAlign w:val="center"/>
          </w:tcPr>
          <w:p w14:paraId="6F639CB1">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ascii="仿宋" w:hAnsi="仿宋" w:eastAsia="仿宋" w:cs="Times New Roman"/>
                <w:color w:val="auto"/>
                <w:sz w:val="24"/>
                <w:szCs w:val="24"/>
                <w:highlight w:val="none"/>
              </w:rPr>
              <w:t>7</w:t>
            </w:r>
            <w:r>
              <w:rPr>
                <w:rFonts w:hint="eastAsia" w:ascii="仿宋" w:hAnsi="仿宋" w:eastAsia="仿宋" w:cs="Times New Roman"/>
                <w:color w:val="auto"/>
                <w:sz w:val="24"/>
                <w:szCs w:val="24"/>
                <w:highlight w:val="none"/>
              </w:rPr>
              <w:t>级</w:t>
            </w:r>
          </w:p>
        </w:tc>
        <w:tc>
          <w:tcPr>
            <w:tcW w:w="0" w:type="auto"/>
            <w:noWrap w:val="0"/>
            <w:vAlign w:val="top"/>
          </w:tcPr>
          <w:p w14:paraId="55DEA7CA">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764" w:type="dxa"/>
            <w:noWrap w:val="0"/>
            <w:vAlign w:val="top"/>
          </w:tcPr>
          <w:p w14:paraId="29D41B56">
            <w:pPr>
              <w:spacing w:before="0" w:beforeLines="0" w:after="0" w:afterLines="0" w:line="360" w:lineRule="auto"/>
              <w:ind w:firstLine="0" w:firstLineChars="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1080" w:type="dxa"/>
            <w:noWrap w:val="0"/>
            <w:vAlign w:val="center"/>
          </w:tcPr>
          <w:p w14:paraId="4404E548">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较破碎</w:t>
            </w:r>
          </w:p>
        </w:tc>
        <w:tc>
          <w:tcPr>
            <w:tcW w:w="1260" w:type="dxa"/>
            <w:noWrap w:val="0"/>
            <w:vAlign w:val="center"/>
          </w:tcPr>
          <w:p w14:paraId="7719BBF7">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漏失</w:t>
            </w:r>
          </w:p>
        </w:tc>
      </w:tr>
    </w:tbl>
    <w:p w14:paraId="5298812D">
      <w:pPr>
        <w:spacing w:before="156" w:beforeLines="50" w:after="156" w:afterLines="5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三、招标内容</w:t>
      </w:r>
    </w:p>
    <w:p w14:paraId="594B8337">
      <w:pPr>
        <w:widowControl w:val="0"/>
        <w:spacing w:before="156" w:beforeLines="50" w:after="156" w:afterLines="50" w:line="360" w:lineRule="auto"/>
        <w:ind w:firstLine="480" w:firstLineChars="200"/>
        <w:jc w:val="both"/>
        <w:rPr>
          <w:rFonts w:hint="eastAsia"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本次钻孔布置分为两个阶段：</w:t>
      </w:r>
    </w:p>
    <w:p w14:paraId="533E9B07">
      <w:pPr>
        <w:widowControl w:val="0"/>
        <w:spacing w:before="156" w:beforeLines="50" w:after="156" w:afterLines="50" w:line="360" w:lineRule="auto"/>
        <w:ind w:firstLine="480" w:firstLineChars="200"/>
        <w:jc w:val="both"/>
        <w:rPr>
          <w:rFonts w:hint="eastAsia"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第一阶段：对Ⅱ号金银铅多金属矿化带，Ⅰ、Ⅲ号锌铜矿化带，Ⅴ号铜铁矿化带内矿体厚大部位和成矿有利地段，结合激电测深、井-地激发极化法测量和以往成果开展深部验证。Ⅰ号矿化带内以Ⅰ-1、Ⅰ-4矿体为重点，在3线布置ZKⅠ302后排孔，进一步追索矿体深部延伸情况；在11线、12线、33线和43线、16线分别布置ZKⅠ1101、ZKⅠ1201、ZKⅠ3301、ZKⅠ4301、ZKⅠ1601探索孔，进一步追索矿化带及矿体向东、西延伸规模及深部延伸情况。Ⅱ号矿化带内以Ⅱ-1、Ⅱ-4和Ⅱ-5矿体为重点，在0线和7线布置ZKⅡ004（远景孔）和 ZKⅡ702后排孔，进一步追索矿体深部延伸情况；在11线和16线分别布置ZKⅡ1101和ZKⅡ1601探索孔，进一步追索矿化带及矿体向东、西延伸规模及深部延伸情况。Ⅲ号矿化带内以Ⅲ-6、Ⅲ-7矿体为重点，在20线布置ZKⅢ2002后排孔，进一步追索矿体深部延伸情况；在12线布置ZKⅢ1201远景孔，进一步追索矿化带及矿体向西延伸规模及深部延伸情况。Ⅴ号矿化带(西）区内以Ⅴ-1矿体为重点，在0线布置ZKx003反向孔，追索矿体在深部的产状、品位、厚度等变化情况；在2线布置ZKX201远景孔，进一步追索矿化带及矿体向东延伸规模及深部延伸情况。第一阶段初步设计16个孔，具体根据实际见矿情况调整。</w:t>
      </w:r>
    </w:p>
    <w:p w14:paraId="066859A8">
      <w:pPr>
        <w:widowControl w:val="0"/>
        <w:spacing w:before="156" w:beforeLines="50" w:after="156" w:afterLines="50" w:line="360" w:lineRule="auto"/>
        <w:ind w:firstLine="480" w:firstLineChars="200"/>
        <w:jc w:val="both"/>
        <w:rPr>
          <w:rFonts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第二阶段：对区内新圈出的矿（化）体，择优开展深部验证，预设机动孔240米，初步设计1个孔。</w:t>
      </w:r>
    </w:p>
    <w:p w14:paraId="2EAD2A74">
      <w:pPr>
        <w:widowControl w:val="0"/>
        <w:spacing w:before="156" w:beforeLines="50" w:after="156" w:afterLines="50" w:line="360" w:lineRule="auto"/>
        <w:ind w:firstLine="480" w:firstLineChars="200"/>
        <w:jc w:val="both"/>
        <w:rPr>
          <w:rFonts w:hint="eastAsia"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考虑到深部矿体变化特征及地表地形的影响，本次钻探可根据目标体的变化特征调整。</w:t>
      </w:r>
    </w:p>
    <w:p w14:paraId="54ACF784">
      <w:pPr>
        <w:widowControl w:val="0"/>
        <w:spacing w:before="156" w:beforeLines="50" w:after="156" w:afterLines="50" w:line="360" w:lineRule="auto"/>
        <w:ind w:firstLine="480" w:firstLineChars="200"/>
        <w:jc w:val="both"/>
        <w:rPr>
          <w:rFonts w:hint="eastAsia"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主要实物工作量：</w:t>
      </w:r>
    </w:p>
    <w:p w14:paraId="351A7175">
      <w:pPr>
        <w:widowControl w:val="0"/>
        <w:spacing w:before="156" w:beforeLines="50" w:after="156" w:afterLines="50" w:line="360" w:lineRule="auto"/>
        <w:ind w:firstLine="480" w:firstLineChars="200"/>
        <w:jc w:val="both"/>
        <w:rPr>
          <w:rFonts w:hint="eastAsia"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钻探4000米</w:t>
      </w:r>
    </w:p>
    <w:p w14:paraId="1DB4E44D">
      <w:pPr>
        <w:spacing w:before="156" w:beforeLines="50" w:after="156" w:afterLines="5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四、技术标准及要求</w:t>
      </w:r>
    </w:p>
    <w:p w14:paraId="6BAC7210">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1.工程验收标准和质量评定标准执行地质钻探岩心规程，终孔孔径φ75mm。</w:t>
      </w:r>
    </w:p>
    <w:p w14:paraId="5ECA843B">
      <w:pPr>
        <w:spacing w:before="156" w:beforeLines="50" w:after="156" w:afterLines="5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执行国家、地方颁发的法律、法规和有关的行业规程、规范、技术标准，以及安全操作规程。适用规范标准符合现行的地质岩心钻探、安全、环保、节能等法律法规强制要求。</w:t>
      </w:r>
    </w:p>
    <w:p w14:paraId="654A7921">
      <w:pPr>
        <w:spacing w:before="156" w:beforeLines="50" w:after="156" w:afterLines="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3.岩(矿)心采取率要求</w:t>
      </w:r>
    </w:p>
    <w:p w14:paraId="1D94CAA8">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A.地质要求取心的岩层、全钻孔平均岩心采取率大于70％；</w:t>
      </w:r>
    </w:p>
    <w:p w14:paraId="5E69AFAF">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B.矿化带重要标志层以及矿层与矿层顶、底板各3～5米范围内不得低于80%；</w:t>
      </w:r>
    </w:p>
    <w:p w14:paraId="2A3342D2">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C.可采的薄矿层（厚度不小于4～5米），每层平均采取率不低于80%，厚度较大的矿层从矿层顶板开始每5米或10米的平均采取率不低于85%；</w:t>
      </w:r>
    </w:p>
    <w:p w14:paraId="3BCA72BE">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D.取出的岩心，应洗净后自上而下按次序装箱，不得颠倒或任意拉长，岩心应按规定编号，每回次应填放岩心票（包括没有岩心的回次），岩心箱应进行编号，箱子规格要符合要求。</w:t>
      </w:r>
    </w:p>
    <w:p w14:paraId="4402F484">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4.钻孔弯曲与测量间距要求</w:t>
      </w:r>
    </w:p>
    <w:p w14:paraId="241F7E81">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A.直孔允许顶角每100米弯曲2度，斜孔每100米弯曲3度，孔深误差一般小于千分之一；</w:t>
      </w:r>
    </w:p>
    <w:p w14:paraId="037A42E5">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B.方位角偏差一般不超过勘探网1/3—1/4；</w:t>
      </w:r>
    </w:p>
    <w:p w14:paraId="5F2094A5">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C.所有钻孔开孔后25米应测量一次倾角和方位角，斜孔每钻进50米测一次顶角和方位角；直孔每钻进50米测一次顶角和方位角。</w:t>
      </w:r>
    </w:p>
    <w:p w14:paraId="581D8D5D">
      <w:pPr>
        <w:spacing w:before="156" w:beforeLines="50" w:after="156" w:afterLines="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D.终孔测斜地质编录员应在现场监测。</w:t>
      </w:r>
    </w:p>
    <w:p w14:paraId="7A6602FF">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5.孔深误差验证要求</w:t>
      </w:r>
    </w:p>
    <w:p w14:paraId="5366ED39">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A.斜孔每钻进50米、直孔每钻进100米、进出含矿层（矿层小于5米只测一次）、终孔后均要进行一次孔深测量，误差小于千分之一可不修正孔深；</w:t>
      </w:r>
    </w:p>
    <w:p w14:paraId="2C018520">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B.测量要使用经过校正的钢尺；</w:t>
      </w:r>
    </w:p>
    <w:p w14:paraId="2793558D">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C.见矿与终孔校正，地质编录员应在现场监测。</w:t>
      </w:r>
    </w:p>
    <w:p w14:paraId="469DD95B">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6.简易水文观测要求</w:t>
      </w:r>
    </w:p>
    <w:p w14:paraId="79F0A0BD">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A.在以清水为冲洗液的钻孔每班至少要测1～2次孔内水位，未下好井口管的孔段和泥浆钻进的钻孔可以不测；</w:t>
      </w:r>
    </w:p>
    <w:p w14:paraId="6FF30B2A">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B.每次观测应在提钻后下钻前各测量一次，其间隔时间应大于5分钟；</w:t>
      </w:r>
    </w:p>
    <w:p w14:paraId="39186611">
      <w:pPr>
        <w:spacing w:before="156" w:beforeLines="50" w:after="156" w:afterLines="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C.钻进时遇有涌水、漏水、溶洞等现象应及时记录其孔深。</w:t>
      </w:r>
    </w:p>
    <w:p w14:paraId="603D5CA7">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_GB2312" w:cs="Times New Roman"/>
          <w:color w:val="auto"/>
          <w:sz w:val="24"/>
          <w:szCs w:val="24"/>
          <w:highlight w:val="none"/>
        </w:rPr>
        <w:t>7.</w:t>
      </w:r>
      <w:r>
        <w:rPr>
          <w:rFonts w:hint="eastAsia" w:ascii="仿宋" w:hAnsi="仿宋" w:eastAsia="仿宋" w:cs="仿宋"/>
          <w:bCs/>
          <w:color w:val="auto"/>
          <w:sz w:val="24"/>
          <w:szCs w:val="24"/>
          <w:highlight w:val="none"/>
        </w:rPr>
        <w:t>原始班报表</w:t>
      </w:r>
    </w:p>
    <w:p w14:paraId="24D45A26">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钻探班报表用钢笔填写，真实、齐全、准确;交接班记录表班长要求亲笔签字，不得代签;终孔后装订成册,要求干净、整洁。</w:t>
      </w:r>
    </w:p>
    <w:p w14:paraId="77E5DEEE">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8.封孔要求</w:t>
      </w:r>
    </w:p>
    <w:p w14:paraId="0BAC25E4">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A.要有封孔通知书和封孔设计书；</w:t>
      </w:r>
    </w:p>
    <w:p w14:paraId="47D3970D">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B.水泥封孔要用325号以上未过期的水泥，水灰比要符合设计要求；</w:t>
      </w:r>
    </w:p>
    <w:p w14:paraId="0F7FBDC3">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C.每封完一层要在封孔段顶部位置取水泥浆样证实；</w:t>
      </w:r>
    </w:p>
    <w:p w14:paraId="74E58347">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D.搬迁后要埋水泥标桩，并保证其质量，并做好标记。</w:t>
      </w:r>
    </w:p>
    <w:p w14:paraId="76840326">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9.生态环境保护</w:t>
      </w:r>
    </w:p>
    <w:p w14:paraId="6861F519">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A.钻探设备搬迁和修筑钻场所用土地应在批复的红线范围内。</w:t>
      </w:r>
    </w:p>
    <w:p w14:paraId="2D62B535">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B.应避免污染钻场周边的土壤、地表水和地下水。</w:t>
      </w:r>
    </w:p>
    <w:p w14:paraId="27CDC8EA">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C.终孔后冲洗液应进行回收或固化处理。废弃油料、钻屑、垃圾等进行无害化处理。</w:t>
      </w:r>
    </w:p>
    <w:p w14:paraId="00CA77FC">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D.施工结束后恢复钻场地貌和植被。</w:t>
      </w:r>
    </w:p>
    <w:p w14:paraId="6B07D807">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10、劳动力及设备配备能力要求</w:t>
      </w:r>
    </w:p>
    <w:p w14:paraId="03FD52F5">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A.现场必须配备项目经理至少1名、兼职安全员1名，现场施工人员必须具有一定安全理论知识；</w:t>
      </w:r>
    </w:p>
    <w:p w14:paraId="5DF81064">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B.劳动力配备应满足探矿需求，并保证工作期限内成员稳定，钻机主操手必须配备具有长期操作经验的技术人员；</w:t>
      </w:r>
    </w:p>
    <w:p w14:paraId="622115AF">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C.特种作业人员需持证上岗；</w:t>
      </w:r>
    </w:p>
    <w:p w14:paraId="28C2658C">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D.应配备2台以上能够满足施工需要的钻探设备设施。</w:t>
      </w:r>
    </w:p>
    <w:p w14:paraId="624D24DD">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11.坚持安全、文明、和谐施工原则。实施地质钻探安全生产标准化建设，以人为本，协调好地方关系。</w:t>
      </w:r>
    </w:p>
    <w:p w14:paraId="38DB978A">
      <w:pPr>
        <w:spacing w:before="156" w:beforeLines="50" w:after="156" w:afterLines="50" w:line="360" w:lineRule="auto"/>
        <w:ind w:firstLine="48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12.坚持技术创新原则。采用先进适用的设备、技术、工艺、材料，开展绿色勘査地质钻探工作,有效减少对生态环境影响的程度、范围及持续时间。</w:t>
      </w:r>
    </w:p>
    <w:p w14:paraId="1FB030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p>
    <w:p w14:paraId="7BBF7CBA">
      <w:pPr>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5A0D55B6">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标项三</w:t>
      </w:r>
    </w:p>
    <w:p w14:paraId="723D1B54">
      <w:pPr>
        <w:adjustRightInd w:val="0"/>
        <w:snapToGrid w:val="0"/>
        <w:spacing w:before="156" w:beforeLines="50" w:after="156" w:afterLines="50" w:line="360" w:lineRule="auto"/>
        <w:ind w:firstLine="482" w:firstLineChars="200"/>
        <w:rPr>
          <w:rFonts w:hint="eastAsia" w:ascii="仿宋" w:hAnsi="仿宋" w:eastAsia="仿宋" w:cs="仿宋"/>
          <w:b/>
          <w:bCs/>
          <w:color w:val="auto"/>
          <w:sz w:val="24"/>
          <w:szCs w:val="24"/>
          <w:highlight w:val="none"/>
        </w:rPr>
      </w:pPr>
      <w:bookmarkStart w:id="315" w:name="_Hlk192679573"/>
      <w:bookmarkStart w:id="316" w:name="_Hlk126061610"/>
      <w:r>
        <w:rPr>
          <w:rFonts w:hint="eastAsia" w:ascii="仿宋" w:hAnsi="仿宋" w:eastAsia="仿宋" w:cs="仿宋"/>
          <w:b/>
          <w:bCs/>
          <w:color w:val="auto"/>
          <w:sz w:val="24"/>
          <w:szCs w:val="24"/>
          <w:highlight w:val="none"/>
        </w:rPr>
        <w:t>一、招标概况</w:t>
      </w:r>
    </w:p>
    <w:p w14:paraId="15B002CB">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1.标项名称:新疆维吾尔自治区地质局地球物理化学探矿中心钻探服务项目第</w:t>
      </w:r>
      <w:r>
        <w:rPr>
          <w:rFonts w:hint="eastAsia" w:ascii="仿宋" w:hAnsi="仿宋" w:eastAsia="仿宋_GB2312" w:cs="Times New Roman"/>
          <w:color w:val="auto"/>
          <w:sz w:val="24"/>
          <w:szCs w:val="24"/>
          <w:highlight w:val="none"/>
          <w:lang w:val="en-US" w:eastAsia="zh-CN"/>
        </w:rPr>
        <w:t>四</w:t>
      </w:r>
      <w:r>
        <w:rPr>
          <w:rFonts w:hint="eastAsia" w:ascii="仿宋" w:hAnsi="仿宋" w:eastAsia="仿宋_GB2312" w:cs="Times New Roman"/>
          <w:color w:val="auto"/>
          <w:sz w:val="24"/>
          <w:szCs w:val="24"/>
          <w:highlight w:val="none"/>
        </w:rPr>
        <w:t>批（</w:t>
      </w:r>
      <w:r>
        <w:rPr>
          <w:rFonts w:hint="eastAsia" w:ascii="仿宋" w:hAnsi="仿宋" w:eastAsia="仿宋_GB2312" w:cs="Times New Roman"/>
          <w:color w:val="auto"/>
          <w:sz w:val="24"/>
          <w:szCs w:val="24"/>
          <w:highlight w:val="none"/>
          <w:lang w:val="en-US" w:eastAsia="zh-CN"/>
        </w:rPr>
        <w:t>3</w:t>
      </w:r>
      <w:r>
        <w:rPr>
          <w:rFonts w:hint="eastAsia" w:ascii="仿宋" w:hAnsi="仿宋" w:eastAsia="仿宋_GB2312" w:cs="Times New Roman"/>
          <w:color w:val="auto"/>
          <w:sz w:val="24"/>
          <w:szCs w:val="24"/>
          <w:highlight w:val="none"/>
        </w:rPr>
        <w:t>包）</w:t>
      </w:r>
    </w:p>
    <w:p w14:paraId="33D7D64B">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lang w:val="en-US" w:eastAsia="zh-CN"/>
        </w:rPr>
      </w:pPr>
      <w:r>
        <w:rPr>
          <w:rFonts w:hint="eastAsia" w:ascii="仿宋" w:hAnsi="仿宋" w:eastAsia="仿宋_GB2312" w:cs="Times New Roman"/>
          <w:color w:val="auto"/>
          <w:sz w:val="24"/>
          <w:szCs w:val="24"/>
          <w:highlight w:val="none"/>
        </w:rPr>
        <w:t>2.项目内容</w:t>
      </w:r>
      <w:r>
        <w:rPr>
          <w:rFonts w:hint="eastAsia" w:ascii="仿宋" w:hAnsi="仿宋" w:eastAsia="仿宋_GB2312" w:cs="Times New Roman"/>
          <w:color w:val="auto"/>
          <w:sz w:val="24"/>
          <w:szCs w:val="24"/>
          <w:highlight w:val="none"/>
          <w:lang w:val="en-US" w:eastAsia="zh-CN"/>
        </w:rPr>
        <w:t>:</w:t>
      </w:r>
      <w:r>
        <w:rPr>
          <w:rFonts w:hint="eastAsia" w:ascii="仿宋" w:hAnsi="仿宋" w:eastAsia="仿宋_GB2312" w:cs="Times New Roman"/>
          <w:color w:val="auto"/>
          <w:sz w:val="24"/>
          <w:szCs w:val="24"/>
          <w:highlight w:val="none"/>
        </w:rPr>
        <w:t xml:space="preserve"> 新疆托里县哈图-科克塔勒一带金矿普查（增量）地表钻探服务</w:t>
      </w:r>
    </w:p>
    <w:p w14:paraId="6217BB48">
      <w:pPr>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2.项目实施地点：新疆托里县</w:t>
      </w:r>
    </w:p>
    <w:p w14:paraId="10F323E6">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3</w:t>
      </w:r>
      <w:r>
        <w:rPr>
          <w:rFonts w:hint="eastAsia" w:ascii="仿宋" w:hAnsi="仿宋" w:eastAsia="仿宋_GB2312" w:cs="Times New Roman"/>
          <w:color w:val="auto"/>
          <w:sz w:val="24"/>
          <w:szCs w:val="24"/>
          <w:highlight w:val="none"/>
        </w:rPr>
        <w:t>.实物工作量：设计钻探进尺</w:t>
      </w:r>
      <w:r>
        <w:rPr>
          <w:rFonts w:hint="eastAsia" w:ascii="仿宋" w:hAnsi="仿宋" w:eastAsia="仿宋_GB2312" w:cs="Times New Roman"/>
          <w:color w:val="auto"/>
          <w:sz w:val="24"/>
          <w:szCs w:val="24"/>
          <w:highlight w:val="none"/>
          <w:lang w:val="en-US" w:eastAsia="zh-CN"/>
        </w:rPr>
        <w:t>3700</w:t>
      </w:r>
      <w:r>
        <w:rPr>
          <w:rFonts w:hint="eastAsia" w:ascii="仿宋" w:hAnsi="仿宋" w:eastAsia="仿宋_GB2312" w:cs="Times New Roman"/>
          <w:color w:val="auto"/>
          <w:sz w:val="24"/>
          <w:szCs w:val="24"/>
          <w:highlight w:val="none"/>
        </w:rPr>
        <w:t>米</w:t>
      </w:r>
    </w:p>
    <w:p w14:paraId="3B737AE7">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4</w:t>
      </w:r>
      <w:r>
        <w:rPr>
          <w:rFonts w:hint="eastAsia" w:ascii="仿宋" w:hAnsi="仿宋" w:eastAsia="仿宋_GB2312" w:cs="Times New Roman"/>
          <w:color w:val="auto"/>
          <w:sz w:val="24"/>
          <w:szCs w:val="24"/>
          <w:highlight w:val="none"/>
        </w:rPr>
        <w:t>.项目投资额：</w:t>
      </w:r>
      <w:r>
        <w:rPr>
          <w:rFonts w:hint="eastAsia" w:ascii="仿宋" w:hAnsi="仿宋" w:eastAsia="仿宋_GB2312" w:cs="Times New Roman"/>
          <w:color w:val="auto"/>
          <w:sz w:val="24"/>
          <w:szCs w:val="24"/>
          <w:highlight w:val="none"/>
          <w:lang w:val="en-US" w:eastAsia="zh-CN"/>
        </w:rPr>
        <w:t>388.50</w:t>
      </w:r>
      <w:r>
        <w:rPr>
          <w:rFonts w:hint="eastAsia" w:ascii="仿宋" w:hAnsi="仿宋" w:eastAsia="仿宋_GB2312" w:cs="Times New Roman"/>
          <w:color w:val="auto"/>
          <w:sz w:val="24"/>
          <w:szCs w:val="24"/>
          <w:highlight w:val="none"/>
        </w:rPr>
        <w:t>万元</w:t>
      </w:r>
    </w:p>
    <w:p w14:paraId="7AD0CF5C">
      <w:pPr>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5</w:t>
      </w:r>
      <w:r>
        <w:rPr>
          <w:rFonts w:hint="eastAsia" w:ascii="仿宋" w:hAnsi="仿宋" w:eastAsia="仿宋_GB2312" w:cs="Times New Roman"/>
          <w:color w:val="auto"/>
          <w:sz w:val="24"/>
          <w:szCs w:val="24"/>
          <w:highlight w:val="none"/>
        </w:rPr>
        <w:t>.工程期限:自签订合同日起至2025年</w:t>
      </w:r>
      <w:r>
        <w:rPr>
          <w:rFonts w:hint="eastAsia" w:ascii="仿宋" w:hAnsi="仿宋" w:eastAsia="仿宋_GB2312" w:cs="Times New Roman"/>
          <w:color w:val="auto"/>
          <w:sz w:val="24"/>
          <w:szCs w:val="24"/>
          <w:highlight w:val="none"/>
          <w:lang w:val="en-US" w:eastAsia="zh-CN"/>
        </w:rPr>
        <w:t>9</w:t>
      </w:r>
      <w:r>
        <w:rPr>
          <w:rFonts w:hint="eastAsia" w:ascii="仿宋" w:hAnsi="仿宋" w:eastAsia="仿宋_GB2312" w:cs="Times New Roman"/>
          <w:color w:val="auto"/>
          <w:sz w:val="24"/>
          <w:szCs w:val="24"/>
          <w:highlight w:val="none"/>
        </w:rPr>
        <w:t>月30日</w:t>
      </w:r>
    </w:p>
    <w:p w14:paraId="4F07A47C">
      <w:pPr>
        <w:adjustRightInd w:val="0"/>
        <w:snapToGrid w:val="0"/>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6</w:t>
      </w:r>
      <w:r>
        <w:rPr>
          <w:rFonts w:hint="eastAsia" w:ascii="仿宋" w:hAnsi="仿宋" w:eastAsia="仿宋_GB2312" w:cs="Times New Roman"/>
          <w:color w:val="auto"/>
          <w:sz w:val="24"/>
          <w:szCs w:val="24"/>
          <w:highlight w:val="none"/>
        </w:rPr>
        <w:t>.本次招标工程实行固定综合单价承包，在施工期内不因任何因素变化而调整。</w:t>
      </w:r>
    </w:p>
    <w:p w14:paraId="11AEA8D5">
      <w:pPr>
        <w:adjustRightInd w:val="0"/>
        <w:snapToGrid w:val="0"/>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7</w:t>
      </w:r>
      <w:r>
        <w:rPr>
          <w:rFonts w:hint="eastAsia" w:ascii="仿宋" w:hAnsi="仿宋" w:eastAsia="仿宋_GB2312" w:cs="Times New Roman"/>
          <w:color w:val="auto"/>
          <w:sz w:val="24"/>
          <w:szCs w:val="24"/>
          <w:highlight w:val="none"/>
        </w:rPr>
        <w:t>.承包人自备施工中所需拉水设备、供水管及水泵；施工中产生的水、电费用由承包方承担，承包方此次报价应包含水电费用。</w:t>
      </w:r>
    </w:p>
    <w:p w14:paraId="34CFB871">
      <w:pPr>
        <w:adjustRightInd w:val="0"/>
        <w:snapToGrid w:val="0"/>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8</w:t>
      </w:r>
      <w:r>
        <w:rPr>
          <w:rFonts w:hint="eastAsia" w:ascii="仿宋" w:hAnsi="仿宋" w:eastAsia="仿宋_GB2312" w:cs="Times New Roman"/>
          <w:color w:val="auto"/>
          <w:sz w:val="24"/>
          <w:szCs w:val="24"/>
          <w:highlight w:val="none"/>
        </w:rPr>
        <w:t>.发包人不提供任何人工及材料，投标价格中应包括钻机平台、场地修筑、人工、材料（含岩心箱）、劈芯取样、施工设备及配套设施、人员交通及作业人员食宿、设备设施移位安装维护、企业管理费、措施费、利润、规费、税金、安全风险等和政策性文件规定的属于承包人的所有费用。</w:t>
      </w:r>
    </w:p>
    <w:p w14:paraId="5FDED482">
      <w:pPr>
        <w:adjustRightInd w:val="0"/>
        <w:snapToGrid w:val="0"/>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lang w:val="en-US" w:eastAsia="zh-CN"/>
        </w:rPr>
        <w:t>9</w:t>
      </w:r>
      <w:r>
        <w:rPr>
          <w:rFonts w:hint="eastAsia" w:ascii="仿宋" w:hAnsi="仿宋" w:eastAsia="仿宋_GB2312" w:cs="Times New Roman"/>
          <w:color w:val="auto"/>
          <w:sz w:val="24"/>
          <w:szCs w:val="24"/>
          <w:highlight w:val="none"/>
        </w:rPr>
        <w:t>.在合同期满或合同解除后15日内，承包人需将施工所用设备、材料及设施等全部撤出施工现场，所有费用由承包人自行承担。</w:t>
      </w:r>
    </w:p>
    <w:p w14:paraId="2F95153F">
      <w:pPr>
        <w:adjustRightInd w:val="0"/>
        <w:snapToGrid w:val="0"/>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1</w:t>
      </w:r>
      <w:r>
        <w:rPr>
          <w:rFonts w:hint="eastAsia" w:ascii="仿宋" w:hAnsi="仿宋" w:eastAsia="仿宋_GB2312" w:cs="Times New Roman"/>
          <w:color w:val="auto"/>
          <w:sz w:val="24"/>
          <w:szCs w:val="24"/>
          <w:highlight w:val="none"/>
          <w:lang w:val="en-US" w:eastAsia="zh-CN"/>
        </w:rPr>
        <w:t>0</w:t>
      </w:r>
      <w:r>
        <w:rPr>
          <w:rFonts w:hint="eastAsia" w:ascii="仿宋" w:hAnsi="仿宋" w:eastAsia="仿宋_GB2312" w:cs="Times New Roman"/>
          <w:color w:val="auto"/>
          <w:sz w:val="24"/>
          <w:szCs w:val="24"/>
          <w:highlight w:val="none"/>
        </w:rPr>
        <w:t>、质量等级标准：合格及以上标准。</w:t>
      </w:r>
    </w:p>
    <w:p w14:paraId="0B3A907B">
      <w:pPr>
        <w:adjustRightInd w:val="0"/>
        <w:snapToGrid w:val="0"/>
        <w:spacing w:before="156" w:beforeLines="50" w:after="156" w:afterLines="50"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二、工区概况</w:t>
      </w:r>
    </w:p>
    <w:p w14:paraId="7BE60717">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1.位置、交通</w:t>
      </w:r>
    </w:p>
    <w:p w14:paraId="6E41434F">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普查区行政区划隶属于新疆托里县管辖，南东距克拉玛依市65千米，南西距托里县90千米。克塔高速公路（G3015）和S221省道自东南至西北贯穿普查区，此外，区内分布有可通行汽车便道众多。同时与乌鲁木齐、奎屯、塔城、阿勒泰等城市都有省道、国道相连，区内便道汽车可达普查区，交通较为便利。</w:t>
      </w:r>
    </w:p>
    <w:p w14:paraId="14A6BED3">
      <w:pPr>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普查区地理极值坐标(CGCS2000坐标系)为：84°30′44″～84°37′30″；45°59′30″～46°04′15″。</w:t>
      </w:r>
    </w:p>
    <w:p w14:paraId="2259ED6A">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2.自然地理及气候条件</w:t>
      </w:r>
    </w:p>
    <w:p w14:paraId="6192627E">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普查区位于玛依勒山北缘，准噶尔盆地西北缘，属中低山丘陵区，地势总体中西部高，南北部及东部低。地势起伏一般，海拔高程600～1400米，切割深度50～400米。中、西部山脊多为平台状、尖棱状，多形成峡谷和“V”形谷；东部山脊多为平台状，山脊线多为穹状，坡缓，多形成“U”形谷。</w:t>
      </w:r>
    </w:p>
    <w:p w14:paraId="7387CB80">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气候属标准的大陆性气候，气候变化较大。夏季气温一般26℃～32℃，最高气温达34.9℃～40.2℃。冬季除风雪天外，一般气温变化在</w:t>
      </w:r>
      <w:r>
        <w:rPr>
          <w:rFonts w:hint="eastAsia" w:ascii="微软雅黑" w:hAnsi="微软雅黑" w:eastAsia="微软雅黑" w:cs="微软雅黑"/>
          <w:color w:val="auto"/>
          <w:sz w:val="24"/>
          <w:szCs w:val="24"/>
          <w:highlight w:val="none"/>
        </w:rPr>
        <w:t>﹣</w:t>
      </w:r>
      <w:r>
        <w:rPr>
          <w:rFonts w:hint="eastAsia" w:ascii="仿宋" w:hAnsi="仿宋" w:eastAsia="仿宋_GB2312" w:cs="Times New Roman"/>
          <w:color w:val="auto"/>
          <w:sz w:val="24"/>
          <w:szCs w:val="24"/>
          <w:highlight w:val="none"/>
        </w:rPr>
        <w:t>29℃～</w:t>
      </w:r>
      <w:r>
        <w:rPr>
          <w:rFonts w:hint="eastAsia" w:ascii="微软雅黑" w:hAnsi="微软雅黑" w:eastAsia="微软雅黑" w:cs="微软雅黑"/>
          <w:color w:val="auto"/>
          <w:sz w:val="24"/>
          <w:szCs w:val="24"/>
          <w:highlight w:val="none"/>
        </w:rPr>
        <w:t>﹣</w:t>
      </w:r>
      <w:r>
        <w:rPr>
          <w:rFonts w:hint="eastAsia" w:ascii="仿宋" w:hAnsi="仿宋" w:eastAsia="仿宋_GB2312" w:cs="Times New Roman"/>
          <w:color w:val="auto"/>
          <w:sz w:val="24"/>
          <w:szCs w:val="24"/>
          <w:highlight w:val="none"/>
        </w:rPr>
        <w:t>5.6℃。本区多风，以西北风为主。风季多在4～5月及9～l0月。风力一般4～5级，最大达11～12级。一般持续1～3天，最长可达4～5天。降水量不大，月降水量一般几十毫米至一百毫米，最大月降水量为264毫米。雨季为6～8月，占全年降水量的60%，一般为暴雨。每年9～10月降雪，l1月结冻，最大冻结深度在l米以上。4月中旬至5月初为融雪期。每年5～10月为最佳野外工作时间。</w:t>
      </w:r>
    </w:p>
    <w:p w14:paraId="17431095">
      <w:pPr>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普查区所需的一般生产、生活物资从铁厂沟镇购买。大型物资设备需到克拉玛依等地采购。生产生活用水可由普查区西南约4.5千米的安格提河，电力由铁厂沟电厂提供。区内大部分地区可实现手机通信。</w:t>
      </w:r>
    </w:p>
    <w:p w14:paraId="155BD81A">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3.钻探施工技术条件</w:t>
      </w:r>
    </w:p>
    <w:p w14:paraId="35639E3B">
      <w:pPr>
        <w:spacing w:before="156" w:beforeLines="50" w:after="156" w:afterLines="50" w:line="360" w:lineRule="auto"/>
        <w:ind w:firstLine="480" w:firstLineChars="200"/>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本次钻探工作区位于准噶尔盆地西北缘，地貌上属中低山丘陵区，地势总体中西部高，南北部及东部低。地势起伏一般，沿着山间冲沟可达矿体位置，交通较为便利，钻探施工条件较好。</w:t>
      </w:r>
    </w:p>
    <w:p w14:paraId="13EB6341">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矿区出露地层为火山碎屑岩复理石沉积建造地层，地层向南东倾，产状135～160°∠50～80°，矿(化)体主要赋存于中泥盆统巴尔雷克组和上石炭统成吉思汗山组地层中。钻孔所遇岩石特征简述如下：</w:t>
      </w:r>
    </w:p>
    <w:p w14:paraId="089C6B33">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中泥盆统巴尔雷克组（D2b）：主要岩性为硅质岩、凝灰质粉砂岩、硅质粉砂岩、含砾不等粒长石岩屑粗砂岩、沉凝灰岩夹少量凝灰质细砂岩、不等粒长石岩屑凝灰质砂岩、凝灰质细砂岩不均匀互层夹沉凝灰岩、凝灰质泥岩夹硅质粉砂岩、沉凝灰岩偶见少量长石岩屑细砂岩。</w:t>
      </w:r>
    </w:p>
    <w:p w14:paraId="79891EFC">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上石炭统成吉思汗山组地层（C2c）：主要岩性为沉凝灰岩、凝灰质粉砂岩、硅质粉砂岩、玄武岩夹硅质岩、凝灰质砂岩、大量灰岩透镜体夹少量长石岩屑砂岩。</w:t>
      </w:r>
    </w:p>
    <w:p w14:paraId="1EFB42D4">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岩石孔隙度较小，透水性中等，稳定性好，主要含矿岩石为凝灰岩、凝灰质粉砂岩、沉凝灰岩、石英岩等。岩石硬度为Ⅷ级。按照岩石的上述物理性质，岩石的可钻性、节理机械性质见下表。</w:t>
      </w:r>
    </w:p>
    <w:p w14:paraId="586871A3">
      <w:pPr>
        <w:spacing w:before="156" w:beforeLines="50" w:after="156" w:afterLines="50" w:line="360" w:lineRule="auto"/>
        <w:ind w:firstLine="480" w:firstLineChars="200"/>
        <w:jc w:val="center"/>
        <w:rPr>
          <w:rFonts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岩心钻探岩石可钻性、研磨性一览表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1205"/>
        <w:gridCol w:w="939"/>
        <w:gridCol w:w="939"/>
        <w:gridCol w:w="1066"/>
        <w:gridCol w:w="1134"/>
        <w:gridCol w:w="1341"/>
      </w:tblGrid>
      <w:tr w14:paraId="5FBA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66" w:type="dxa"/>
            <w:noWrap w:val="0"/>
            <w:vAlign w:val="center"/>
          </w:tcPr>
          <w:p w14:paraId="3BF22108">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岩石名称</w:t>
            </w:r>
          </w:p>
        </w:tc>
        <w:tc>
          <w:tcPr>
            <w:tcW w:w="1205" w:type="dxa"/>
            <w:noWrap w:val="0"/>
            <w:vAlign w:val="center"/>
          </w:tcPr>
          <w:p w14:paraId="0E105030">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软硬程度</w:t>
            </w:r>
          </w:p>
        </w:tc>
        <w:tc>
          <w:tcPr>
            <w:tcW w:w="0" w:type="auto"/>
            <w:noWrap w:val="0"/>
            <w:vAlign w:val="center"/>
          </w:tcPr>
          <w:p w14:paraId="1950CBE8">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可钻性</w:t>
            </w:r>
          </w:p>
        </w:tc>
        <w:tc>
          <w:tcPr>
            <w:tcW w:w="0" w:type="auto"/>
            <w:noWrap w:val="0"/>
            <w:vAlign w:val="center"/>
          </w:tcPr>
          <w:p w14:paraId="71EB1FF7">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研磨性</w:t>
            </w:r>
          </w:p>
        </w:tc>
        <w:tc>
          <w:tcPr>
            <w:tcW w:w="1066" w:type="dxa"/>
            <w:noWrap w:val="0"/>
            <w:vAlign w:val="center"/>
          </w:tcPr>
          <w:p w14:paraId="686D691B">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节理裂隙</w:t>
            </w:r>
          </w:p>
        </w:tc>
        <w:tc>
          <w:tcPr>
            <w:tcW w:w="1134" w:type="dxa"/>
            <w:noWrap w:val="0"/>
            <w:vAlign w:val="center"/>
          </w:tcPr>
          <w:p w14:paraId="2537A782">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破碎程度</w:t>
            </w:r>
          </w:p>
        </w:tc>
        <w:tc>
          <w:tcPr>
            <w:tcW w:w="1341" w:type="dxa"/>
            <w:noWrap w:val="0"/>
            <w:vAlign w:val="center"/>
          </w:tcPr>
          <w:p w14:paraId="721ADFC9">
            <w:pPr>
              <w:spacing w:before="0" w:beforeLines="0" w:after="0" w:afterLines="0" w:line="360" w:lineRule="auto"/>
              <w:ind w:firstLine="0" w:firstLineChars="0"/>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漏失性</w:t>
            </w:r>
          </w:p>
        </w:tc>
      </w:tr>
      <w:tr w14:paraId="6B4D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966" w:type="dxa"/>
            <w:noWrap w:val="0"/>
            <w:vAlign w:val="center"/>
          </w:tcPr>
          <w:p w14:paraId="0EA341F4">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凝灰质粉砂岩</w:t>
            </w:r>
          </w:p>
        </w:tc>
        <w:tc>
          <w:tcPr>
            <w:tcW w:w="1205" w:type="dxa"/>
            <w:noWrap w:val="0"/>
            <w:vAlign w:val="center"/>
          </w:tcPr>
          <w:p w14:paraId="1F4E70FA">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0" w:type="auto"/>
            <w:noWrap w:val="0"/>
            <w:vAlign w:val="center"/>
          </w:tcPr>
          <w:p w14:paraId="7D1EABAF">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6级</w:t>
            </w:r>
          </w:p>
        </w:tc>
        <w:tc>
          <w:tcPr>
            <w:tcW w:w="0" w:type="auto"/>
            <w:noWrap w:val="0"/>
            <w:vAlign w:val="center"/>
          </w:tcPr>
          <w:p w14:paraId="362C2E1D">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1066" w:type="dxa"/>
            <w:noWrap w:val="0"/>
            <w:vAlign w:val="center"/>
          </w:tcPr>
          <w:p w14:paraId="27FF7785">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1134" w:type="dxa"/>
            <w:noWrap w:val="0"/>
            <w:vAlign w:val="center"/>
          </w:tcPr>
          <w:p w14:paraId="2AD810B8">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较破碎</w:t>
            </w:r>
          </w:p>
        </w:tc>
        <w:tc>
          <w:tcPr>
            <w:tcW w:w="1341" w:type="dxa"/>
            <w:noWrap w:val="0"/>
            <w:vAlign w:val="center"/>
          </w:tcPr>
          <w:p w14:paraId="3681EEA6">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漏失</w:t>
            </w:r>
          </w:p>
        </w:tc>
      </w:tr>
      <w:tr w14:paraId="641F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66" w:type="dxa"/>
            <w:noWrap w:val="0"/>
            <w:vAlign w:val="center"/>
          </w:tcPr>
          <w:p w14:paraId="330FB1C2">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凝灰岩</w:t>
            </w:r>
          </w:p>
        </w:tc>
        <w:tc>
          <w:tcPr>
            <w:tcW w:w="1205" w:type="dxa"/>
            <w:noWrap w:val="0"/>
            <w:vAlign w:val="center"/>
          </w:tcPr>
          <w:p w14:paraId="6FAF0C79">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较软</w:t>
            </w:r>
          </w:p>
        </w:tc>
        <w:tc>
          <w:tcPr>
            <w:tcW w:w="0" w:type="auto"/>
            <w:noWrap w:val="0"/>
            <w:vAlign w:val="center"/>
          </w:tcPr>
          <w:p w14:paraId="2270480F">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ascii="仿宋" w:hAnsi="仿宋" w:eastAsia="仿宋" w:cs="Times New Roman"/>
                <w:color w:val="auto"/>
                <w:sz w:val="24"/>
                <w:szCs w:val="24"/>
                <w:highlight w:val="none"/>
              </w:rPr>
              <w:t>7</w:t>
            </w:r>
            <w:r>
              <w:rPr>
                <w:rFonts w:hint="eastAsia" w:ascii="仿宋" w:hAnsi="仿宋" w:eastAsia="仿宋" w:cs="Times New Roman"/>
                <w:color w:val="auto"/>
                <w:sz w:val="24"/>
                <w:szCs w:val="24"/>
                <w:highlight w:val="none"/>
              </w:rPr>
              <w:t>级</w:t>
            </w:r>
          </w:p>
        </w:tc>
        <w:tc>
          <w:tcPr>
            <w:tcW w:w="0" w:type="auto"/>
            <w:noWrap w:val="0"/>
            <w:vAlign w:val="center"/>
          </w:tcPr>
          <w:p w14:paraId="62BA36BA">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1066" w:type="dxa"/>
            <w:noWrap w:val="0"/>
            <w:vAlign w:val="center"/>
          </w:tcPr>
          <w:p w14:paraId="3853DEBC">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1134" w:type="dxa"/>
            <w:noWrap w:val="0"/>
            <w:vAlign w:val="center"/>
          </w:tcPr>
          <w:p w14:paraId="2E9C563F">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较破碎</w:t>
            </w:r>
          </w:p>
        </w:tc>
        <w:tc>
          <w:tcPr>
            <w:tcW w:w="1341" w:type="dxa"/>
            <w:noWrap w:val="0"/>
            <w:vAlign w:val="center"/>
          </w:tcPr>
          <w:p w14:paraId="406DF9B3">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漏失</w:t>
            </w:r>
          </w:p>
        </w:tc>
      </w:tr>
      <w:tr w14:paraId="7CEA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66" w:type="dxa"/>
            <w:noWrap w:val="0"/>
            <w:vAlign w:val="center"/>
          </w:tcPr>
          <w:p w14:paraId="5510744B">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沉凝灰岩</w:t>
            </w:r>
          </w:p>
        </w:tc>
        <w:tc>
          <w:tcPr>
            <w:tcW w:w="1205" w:type="dxa"/>
            <w:noWrap w:val="0"/>
            <w:vAlign w:val="center"/>
          </w:tcPr>
          <w:p w14:paraId="0DDC2B3A">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硬</w:t>
            </w:r>
          </w:p>
        </w:tc>
        <w:tc>
          <w:tcPr>
            <w:tcW w:w="0" w:type="auto"/>
            <w:noWrap w:val="0"/>
            <w:vAlign w:val="center"/>
          </w:tcPr>
          <w:p w14:paraId="35CA0BAF">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ascii="仿宋" w:hAnsi="仿宋" w:eastAsia="仿宋" w:cs="Times New Roman"/>
                <w:color w:val="auto"/>
                <w:sz w:val="24"/>
                <w:szCs w:val="24"/>
                <w:highlight w:val="none"/>
              </w:rPr>
              <w:t>7</w:t>
            </w:r>
            <w:r>
              <w:rPr>
                <w:rFonts w:hint="eastAsia" w:ascii="仿宋" w:hAnsi="仿宋" w:eastAsia="仿宋" w:cs="Times New Roman"/>
                <w:color w:val="auto"/>
                <w:sz w:val="24"/>
                <w:szCs w:val="24"/>
                <w:highlight w:val="none"/>
              </w:rPr>
              <w:t>级</w:t>
            </w:r>
          </w:p>
        </w:tc>
        <w:tc>
          <w:tcPr>
            <w:tcW w:w="0" w:type="auto"/>
            <w:noWrap w:val="0"/>
            <w:vAlign w:val="top"/>
          </w:tcPr>
          <w:p w14:paraId="1B22530F">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1066" w:type="dxa"/>
            <w:noWrap w:val="0"/>
            <w:vAlign w:val="top"/>
          </w:tcPr>
          <w:p w14:paraId="0C9E4F9C">
            <w:pPr>
              <w:spacing w:before="0" w:beforeLines="0" w:after="0" w:afterLines="0" w:line="360" w:lineRule="auto"/>
              <w:ind w:firstLine="0" w:firstLineChars="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中</w:t>
            </w:r>
          </w:p>
        </w:tc>
        <w:tc>
          <w:tcPr>
            <w:tcW w:w="1134" w:type="dxa"/>
            <w:noWrap w:val="0"/>
            <w:vAlign w:val="center"/>
          </w:tcPr>
          <w:p w14:paraId="720A7EF8">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较破碎</w:t>
            </w:r>
          </w:p>
        </w:tc>
        <w:tc>
          <w:tcPr>
            <w:tcW w:w="1341" w:type="dxa"/>
            <w:noWrap w:val="0"/>
            <w:vAlign w:val="center"/>
          </w:tcPr>
          <w:p w14:paraId="099BADC0">
            <w:pPr>
              <w:spacing w:before="0" w:beforeLines="0" w:after="0" w:afterLines="0" w:line="360" w:lineRule="auto"/>
              <w:ind w:firstLine="0" w:firstLineChars="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漏失</w:t>
            </w:r>
          </w:p>
        </w:tc>
      </w:tr>
    </w:tbl>
    <w:p w14:paraId="560774FA">
      <w:pPr>
        <w:spacing w:before="156" w:beforeLines="50" w:after="156" w:afterLines="5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三、招标内容</w:t>
      </w:r>
    </w:p>
    <w:p w14:paraId="326B1AA6">
      <w:pPr>
        <w:widowControl w:val="0"/>
        <w:spacing w:before="156" w:beforeLines="50" w:after="156" w:afterLines="50" w:line="360" w:lineRule="auto"/>
        <w:ind w:firstLine="480" w:firstLineChars="200"/>
        <w:jc w:val="both"/>
        <w:rPr>
          <w:rFonts w:hint="eastAsia"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本次钻探工作布置分为两层次布设。</w:t>
      </w:r>
    </w:p>
    <w:p w14:paraId="41F0678E">
      <w:pPr>
        <w:widowControl w:val="0"/>
        <w:spacing w:before="156" w:beforeLines="50" w:after="156" w:afterLines="50" w:line="360" w:lineRule="auto"/>
        <w:ind w:firstLine="480" w:firstLineChars="200"/>
        <w:jc w:val="both"/>
        <w:rPr>
          <w:rFonts w:hint="eastAsia"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第一层次：结合以往工作成果，首先对已圈出的金矿（化）体择优开展钻探验证，主要目的是了解金矿（化）体深部延伸情况和蚀变带深部含矿性；</w:t>
      </w:r>
    </w:p>
    <w:p w14:paraId="068F0673">
      <w:pPr>
        <w:widowControl w:val="0"/>
        <w:spacing w:before="156" w:beforeLines="50" w:after="156" w:afterLines="50" w:line="360" w:lineRule="auto"/>
        <w:ind w:firstLine="480" w:firstLineChars="200"/>
        <w:jc w:val="both"/>
        <w:rPr>
          <w:rFonts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第二层次：对区内新圈出的矿体（带）、地质背景较好的物探异常及成矿有利部位，择优开展深部钻探验证，进一步扩大找矿前景。</w:t>
      </w:r>
    </w:p>
    <w:p w14:paraId="55898C0F">
      <w:pPr>
        <w:widowControl w:val="0"/>
        <w:spacing w:before="156" w:beforeLines="50" w:after="156" w:afterLines="50" w:line="360" w:lineRule="auto"/>
        <w:ind w:firstLine="480" w:firstLineChars="200"/>
        <w:jc w:val="both"/>
        <w:rPr>
          <w:rFonts w:hint="eastAsia"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考虑到深部矿体变化特征及地表地形的影响，本次钻探可根据目标体的变化特征调整。</w:t>
      </w:r>
    </w:p>
    <w:p w14:paraId="196F40AE">
      <w:pPr>
        <w:widowControl w:val="0"/>
        <w:spacing w:before="156" w:beforeLines="50" w:after="156" w:afterLines="50" w:line="360" w:lineRule="auto"/>
        <w:ind w:firstLine="480" w:firstLineChars="200"/>
        <w:jc w:val="both"/>
        <w:rPr>
          <w:rFonts w:ascii="仿宋" w:hAnsi="仿宋" w:eastAsia="仿宋_GB2312" w:cs="Times New Roman"/>
          <w:color w:val="auto"/>
          <w:kern w:val="2"/>
          <w:sz w:val="24"/>
          <w:szCs w:val="24"/>
          <w:highlight w:val="none"/>
          <w:lang w:val="en-US" w:eastAsia="zh-CN" w:bidi="ar-SA"/>
        </w:rPr>
      </w:pPr>
      <w:r>
        <w:rPr>
          <w:rFonts w:hint="eastAsia" w:ascii="仿宋" w:hAnsi="仿宋" w:eastAsia="仿宋_GB2312" w:cs="Times New Roman"/>
          <w:color w:val="auto"/>
          <w:kern w:val="2"/>
          <w:sz w:val="24"/>
          <w:szCs w:val="24"/>
          <w:highlight w:val="none"/>
          <w:lang w:val="en-US" w:eastAsia="zh-CN" w:bidi="ar-SA"/>
        </w:rPr>
        <w:t>主要实物工作量：</w:t>
      </w:r>
    </w:p>
    <w:p w14:paraId="46C662DF">
      <w:pPr>
        <w:spacing w:before="156" w:beforeLines="50" w:after="156" w:afterLines="50" w:line="360" w:lineRule="auto"/>
        <w:ind w:firstLine="480" w:firstLineChars="200"/>
        <w:rPr>
          <w:rFonts w:hint="eastAsia" w:ascii="仿宋" w:hAnsi="仿宋" w:eastAsia="仿宋_GB2312" w:cs="Times New Roman"/>
          <w:color w:val="auto"/>
          <w:sz w:val="24"/>
          <w:szCs w:val="24"/>
          <w:highlight w:val="none"/>
        </w:rPr>
      </w:pPr>
      <w:r>
        <w:rPr>
          <w:rFonts w:hint="eastAsia" w:ascii="仿宋" w:hAnsi="仿宋" w:eastAsia="仿宋_GB2312" w:cs="Times New Roman"/>
          <w:color w:val="auto"/>
          <w:sz w:val="24"/>
          <w:szCs w:val="24"/>
          <w:highlight w:val="none"/>
        </w:rPr>
        <w:t>钻探3</w:t>
      </w:r>
      <w:r>
        <w:rPr>
          <w:rFonts w:hint="eastAsia" w:ascii="仿宋" w:hAnsi="仿宋" w:eastAsia="仿宋_GB2312" w:cs="Times New Roman"/>
          <w:color w:val="auto"/>
          <w:sz w:val="24"/>
          <w:szCs w:val="24"/>
          <w:highlight w:val="none"/>
          <w:lang w:val="en-US" w:eastAsia="zh-CN"/>
        </w:rPr>
        <w:t>7</w:t>
      </w:r>
      <w:r>
        <w:rPr>
          <w:rFonts w:hint="eastAsia" w:ascii="仿宋" w:hAnsi="仿宋" w:eastAsia="仿宋_GB2312" w:cs="Times New Roman"/>
          <w:color w:val="auto"/>
          <w:sz w:val="24"/>
          <w:szCs w:val="24"/>
          <w:highlight w:val="none"/>
        </w:rPr>
        <w:t>00米</w:t>
      </w:r>
    </w:p>
    <w:p w14:paraId="3A83E127">
      <w:pPr>
        <w:spacing w:before="156" w:beforeLines="50" w:after="156" w:afterLines="5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四、技术标准及要求</w:t>
      </w:r>
    </w:p>
    <w:p w14:paraId="6E727A32">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1.工程验收标准和质量评定标准执行地质钻探岩心规程，终孔孔径φ75mm。</w:t>
      </w:r>
    </w:p>
    <w:p w14:paraId="35CB99D2">
      <w:pPr>
        <w:spacing w:before="156" w:beforeLines="50" w:after="156" w:afterLines="5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执行国家、地方颁发的法律、法规和有关的行业规程、规范、技术标准，以及安全操作规程。适用规范标准符合现行的地质岩心钻探、安全、环保、节能等法律法规强制要求。</w:t>
      </w:r>
    </w:p>
    <w:p w14:paraId="6818D9F1">
      <w:pPr>
        <w:spacing w:before="156" w:beforeLines="50" w:after="156" w:afterLines="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3.岩(矿)心采取率要求</w:t>
      </w:r>
    </w:p>
    <w:p w14:paraId="6C2C2632">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A.地质要求取心的岩层、全钻孔平均岩心采取率大于70％；</w:t>
      </w:r>
    </w:p>
    <w:p w14:paraId="24F7ED85">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B.矿化带重要标志层以及矿层与矿层顶、底板各3～5米范围内不得低于80%；</w:t>
      </w:r>
    </w:p>
    <w:p w14:paraId="7A2635BA">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C.可采的薄矿层（厚度不小于4～5米），每层平均采取率不低于80%，厚度较大的矿层从矿层顶板开始每5米或10米的平均采取率不低于85%；</w:t>
      </w:r>
    </w:p>
    <w:p w14:paraId="4B10944E">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D.取出的岩心，应洗净后自上而下按次序装箱，不得颠倒或任意拉长，岩心应按规定编号，每回次应填放岩心票（包括没有岩心的回次），岩心箱应进行编号，箱子规格要符合要求。</w:t>
      </w:r>
    </w:p>
    <w:p w14:paraId="438255DF">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4.钻孔弯曲与测量间距要求</w:t>
      </w:r>
    </w:p>
    <w:p w14:paraId="2D139416">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A.直孔允许顶角每100米弯曲2度，斜孔每100米弯曲3度，孔深误差一般小于千分之一；</w:t>
      </w:r>
    </w:p>
    <w:p w14:paraId="0DDD7282">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B.方位角偏差一般不超过勘探网1/3—1/4；</w:t>
      </w:r>
    </w:p>
    <w:p w14:paraId="1C3385B5">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C.所有钻孔开孔后25米应测量一次倾角和方位角，斜孔每钻进50米测一次顶角和方位角；直孔每钻进50米测一次顶角和方位角。</w:t>
      </w:r>
    </w:p>
    <w:p w14:paraId="461C7191">
      <w:pPr>
        <w:spacing w:before="156" w:beforeLines="50" w:after="156" w:afterLines="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D.终孔测斜地质编录员应在现场监测。</w:t>
      </w:r>
    </w:p>
    <w:p w14:paraId="166AB169">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5.孔深误差验证要求</w:t>
      </w:r>
    </w:p>
    <w:p w14:paraId="084B14CD">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A.斜孔每钻进50米、直孔每钻进100米、进出含矿层（矿层小于5米只测一次）、终孔后均要进行一次孔深测量，误差小于千分之一可不修正孔深；</w:t>
      </w:r>
    </w:p>
    <w:p w14:paraId="7942FBAD">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B.测量要使用经过校正的钢尺；</w:t>
      </w:r>
    </w:p>
    <w:p w14:paraId="7B601F16">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C.见矿与终孔校正，地质编录员应在现场监测。</w:t>
      </w:r>
    </w:p>
    <w:p w14:paraId="3EAF83E6">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6.简易水文观测要求</w:t>
      </w:r>
    </w:p>
    <w:p w14:paraId="16C1C79E">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A.在以清水为冲洗液的钻孔每班至少要测1～2次孔内水位，未下好井口管的孔段和泥浆钻进的钻孔可以不测；</w:t>
      </w:r>
    </w:p>
    <w:p w14:paraId="018CF0F9">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B.每次观测应在提钻后下钻前各测量一次，其间隔时间应大于5分钟；</w:t>
      </w:r>
    </w:p>
    <w:p w14:paraId="325D4B24">
      <w:pPr>
        <w:spacing w:before="156" w:beforeLines="50" w:after="156" w:afterLines="50"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C.钻进时遇有涌水、漏水、溶洞等现象应及时记录其孔深。</w:t>
      </w:r>
    </w:p>
    <w:p w14:paraId="68F032F9">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_GB2312" w:cs="Times New Roman"/>
          <w:color w:val="auto"/>
          <w:sz w:val="24"/>
          <w:szCs w:val="24"/>
          <w:highlight w:val="none"/>
        </w:rPr>
        <w:t>7.</w:t>
      </w:r>
      <w:r>
        <w:rPr>
          <w:rFonts w:hint="eastAsia" w:ascii="仿宋" w:hAnsi="仿宋" w:eastAsia="仿宋" w:cs="仿宋"/>
          <w:bCs/>
          <w:color w:val="auto"/>
          <w:sz w:val="24"/>
          <w:szCs w:val="24"/>
          <w:highlight w:val="none"/>
        </w:rPr>
        <w:t>原始班报表</w:t>
      </w:r>
    </w:p>
    <w:p w14:paraId="1EDE92BF">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钻探班报表用钢笔填写，真实、齐全、准确;交接班记录表班长要求亲笔签字，不得代签;终孔后装订成册,要求干净、整洁。</w:t>
      </w:r>
    </w:p>
    <w:p w14:paraId="19FF5D9A">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8.封孔要求</w:t>
      </w:r>
    </w:p>
    <w:p w14:paraId="0D9C5788">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A.要有封孔通知书和封孔设计书；</w:t>
      </w:r>
    </w:p>
    <w:p w14:paraId="380B21A0">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B.水泥封孔要用325号以上未过期的水泥，水灰比要符合设计要求；</w:t>
      </w:r>
    </w:p>
    <w:p w14:paraId="757821CA">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C.每封完一层要在封孔段顶部位置取水泥浆样证实；</w:t>
      </w:r>
    </w:p>
    <w:p w14:paraId="398711E8">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D.搬迁后要埋水泥标桩，并保证其质量，并做好标记。</w:t>
      </w:r>
    </w:p>
    <w:p w14:paraId="3661079B">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9.生态环境保护</w:t>
      </w:r>
    </w:p>
    <w:p w14:paraId="39D1C933">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A.钻探设备搬迁和修筑钻场所用土地应在批复的红线范围内。</w:t>
      </w:r>
    </w:p>
    <w:p w14:paraId="6C05D15A">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B.应避免污染钻场周边的土壤、地表水和地下水。</w:t>
      </w:r>
    </w:p>
    <w:p w14:paraId="70F446FC">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C.终孔后冲洗液应进行回收或固化处理。废弃油料、钻屑、垃圾等进行无害化处理。</w:t>
      </w:r>
    </w:p>
    <w:p w14:paraId="3416EF20">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D.施工结束后恢复钻场地貌和植被。</w:t>
      </w:r>
    </w:p>
    <w:p w14:paraId="7AAD4213">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10、劳动力及设备配备能力要求</w:t>
      </w:r>
    </w:p>
    <w:p w14:paraId="7B49BD3F">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A.现场必须配备项目经理至少1名、兼职安全员1名，现场施工人员必须具有一定安全理论知识；</w:t>
      </w:r>
    </w:p>
    <w:p w14:paraId="729EFB7D">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B.劳动力配备应满足探矿需求，并保证工作期限内成员稳定，钻机主操手必须配备具有长期操作经验的技术人员；</w:t>
      </w:r>
    </w:p>
    <w:p w14:paraId="22796E75">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C.特种作业人员需持证上岗；</w:t>
      </w:r>
    </w:p>
    <w:p w14:paraId="37A2AF30">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D.应配备2台能够满足施工需要的钻探设备设施。</w:t>
      </w:r>
    </w:p>
    <w:p w14:paraId="30D79735">
      <w:pPr>
        <w:spacing w:before="156" w:beforeLines="50" w:after="156" w:afterLines="5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11.坚持安全、文明、和谐施工原则。实施地质钻探安全生产标准化建设，以人为本，协调好地方关系。</w:t>
      </w:r>
    </w:p>
    <w:p w14:paraId="6BB510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12.坚持技术创新原则。采用先进适用的设备、技术、工艺、材料，开展绿色勘査地质钻探工作,有效减少对生态环境影响的程度、范围及持续时间。</w:t>
      </w:r>
      <w:bookmarkEnd w:id="315"/>
    </w:p>
    <w:bookmarkEnd w:id="316"/>
    <w:p w14:paraId="593CD154">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4D9BB22F">
      <w:pPr>
        <w:spacing w:line="440" w:lineRule="exact"/>
        <w:jc w:val="center"/>
        <w:outlineLvl w:val="0"/>
        <w:rPr>
          <w:rFonts w:hint="eastAsia" w:ascii="仿宋" w:hAnsi="仿宋" w:eastAsia="仿宋" w:cs="仿宋"/>
          <w:b/>
          <w:color w:val="auto"/>
          <w:sz w:val="24"/>
          <w:szCs w:val="24"/>
          <w:highlight w:val="none"/>
        </w:rPr>
      </w:pPr>
      <w:bookmarkStart w:id="317" w:name="_Toc1807"/>
      <w:r>
        <w:rPr>
          <w:rFonts w:hint="eastAsia" w:ascii="仿宋" w:hAnsi="仿宋" w:eastAsia="仿宋" w:cs="仿宋"/>
          <w:b/>
          <w:color w:val="auto"/>
          <w:sz w:val="24"/>
          <w:szCs w:val="24"/>
          <w:highlight w:val="none"/>
        </w:rPr>
        <w:t>第五章 投标文件格式</w:t>
      </w:r>
      <w:bookmarkEnd w:id="314"/>
      <w:bookmarkEnd w:id="317"/>
    </w:p>
    <w:p w14:paraId="533C9DBC">
      <w:pPr>
        <w:rPr>
          <w:rFonts w:hint="eastAsia" w:ascii="仿宋" w:hAnsi="仿宋" w:eastAsia="仿宋" w:cs="仿宋"/>
          <w:b/>
          <w:color w:val="auto"/>
          <w:sz w:val="24"/>
          <w:szCs w:val="24"/>
          <w:highlight w:val="none"/>
        </w:rPr>
      </w:pPr>
    </w:p>
    <w:p w14:paraId="5EB6B1CB">
      <w:pPr>
        <w:rPr>
          <w:rFonts w:hint="eastAsia" w:ascii="仿宋" w:hAnsi="仿宋" w:eastAsia="仿宋" w:cs="仿宋"/>
          <w:b/>
          <w:color w:val="auto"/>
          <w:sz w:val="24"/>
          <w:szCs w:val="24"/>
          <w:highlight w:val="none"/>
        </w:rPr>
      </w:pPr>
    </w:p>
    <w:p w14:paraId="73DD11A3">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31985BD1">
      <w:pPr>
        <w:spacing w:line="480" w:lineRule="auto"/>
        <w:jc w:val="center"/>
        <w:rPr>
          <w:rFonts w:hint="eastAsia" w:ascii="仿宋" w:hAnsi="仿宋" w:eastAsia="仿宋" w:cs="仿宋"/>
          <w:b/>
          <w:color w:val="auto"/>
          <w:sz w:val="24"/>
          <w:szCs w:val="24"/>
          <w:highlight w:val="none"/>
          <w:bdr w:val="single" w:color="auto" w:sz="4" w:space="0"/>
        </w:rPr>
      </w:pPr>
    </w:p>
    <w:p w14:paraId="0A717214">
      <w:pPr>
        <w:spacing w:line="480" w:lineRule="auto"/>
        <w:jc w:val="center"/>
        <w:rPr>
          <w:rFonts w:hint="eastAsia" w:ascii="仿宋" w:hAnsi="仿宋" w:eastAsia="仿宋" w:cs="仿宋"/>
          <w:b/>
          <w:color w:val="auto"/>
          <w:sz w:val="24"/>
          <w:szCs w:val="24"/>
          <w:highlight w:val="none"/>
          <w:bdr w:val="single" w:color="auto" w:sz="4" w:space="0"/>
        </w:rPr>
      </w:pPr>
    </w:p>
    <w:p w14:paraId="5A6D865F">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3ECF9EAB">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p>
    <w:p w14:paraId="7B29DEB4">
      <w:pPr>
        <w:pStyle w:val="2"/>
        <w:jc w:val="center"/>
        <w:rPr>
          <w:rFonts w:hint="eastAsia"/>
          <w:color w:val="auto"/>
          <w:highlight w:val="none"/>
        </w:rPr>
      </w:pP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lang w:val="en-US" w:eastAsia="zh-CN"/>
        </w:rPr>
        <w:t>标项名称</w:t>
      </w:r>
      <w:r>
        <w:rPr>
          <w:rFonts w:hint="eastAsia" w:ascii="仿宋" w:hAnsi="仿宋" w:eastAsia="仿宋" w:cs="仿宋"/>
          <w:b/>
          <w:bCs/>
          <w:color w:val="auto"/>
          <w:sz w:val="24"/>
          <w:szCs w:val="24"/>
          <w:highlight w:val="none"/>
          <w:u w:val="single"/>
          <w:lang w:eastAsia="zh-CN"/>
        </w:rPr>
        <w:t>）</w:t>
      </w:r>
    </w:p>
    <w:p w14:paraId="5C076A1C">
      <w:pPr>
        <w:spacing w:line="300" w:lineRule="exact"/>
        <w:jc w:val="center"/>
        <w:rPr>
          <w:rFonts w:hint="eastAsia" w:ascii="仿宋" w:hAnsi="仿宋" w:eastAsia="仿宋" w:cs="仿宋"/>
          <w:b/>
          <w:bCs/>
          <w:color w:val="auto"/>
          <w:sz w:val="24"/>
          <w:szCs w:val="24"/>
          <w:highlight w:val="none"/>
        </w:rPr>
      </w:pPr>
    </w:p>
    <w:p w14:paraId="4BF3801A">
      <w:pPr>
        <w:spacing w:line="300" w:lineRule="exact"/>
        <w:jc w:val="center"/>
        <w:rPr>
          <w:rFonts w:hint="eastAsia" w:ascii="仿宋" w:hAnsi="仿宋" w:eastAsia="仿宋" w:cs="仿宋"/>
          <w:b/>
          <w:bCs/>
          <w:color w:val="auto"/>
          <w:sz w:val="24"/>
          <w:szCs w:val="24"/>
          <w:highlight w:val="none"/>
        </w:rPr>
      </w:pPr>
    </w:p>
    <w:p w14:paraId="60FB9DFD">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5BA56F5">
      <w:pPr>
        <w:spacing w:line="720" w:lineRule="auto"/>
        <w:rPr>
          <w:rFonts w:hint="eastAsia" w:ascii="仿宋" w:hAnsi="仿宋" w:eastAsia="仿宋" w:cs="仿宋"/>
          <w:color w:val="auto"/>
          <w:sz w:val="24"/>
          <w:szCs w:val="24"/>
          <w:highlight w:val="none"/>
        </w:rPr>
      </w:pPr>
    </w:p>
    <w:p w14:paraId="2B5542D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283858D">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6B56C806">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14D3D16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3CDDF5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264C3C03">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0F4DEC96">
      <w:pPr>
        <w:spacing w:line="720" w:lineRule="auto"/>
        <w:rPr>
          <w:rFonts w:hint="eastAsia" w:ascii="仿宋" w:hAnsi="仿宋" w:eastAsia="仿宋" w:cs="仿宋"/>
          <w:color w:val="auto"/>
          <w:sz w:val="24"/>
          <w:szCs w:val="24"/>
          <w:highlight w:val="none"/>
        </w:rPr>
      </w:pPr>
    </w:p>
    <w:p w14:paraId="07859F3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14:paraId="1D7C55D3">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318" w:name="_Toc3990"/>
      <w:bookmarkStart w:id="319" w:name="_Toc531016894"/>
      <w:r>
        <w:rPr>
          <w:rFonts w:hint="eastAsia" w:ascii="仿宋" w:hAnsi="仿宋" w:eastAsia="仿宋" w:cs="仿宋"/>
          <w:b/>
          <w:color w:val="auto"/>
          <w:sz w:val="24"/>
          <w:szCs w:val="24"/>
          <w:highlight w:val="none"/>
        </w:rPr>
        <w:t>目录</w:t>
      </w:r>
      <w:bookmarkEnd w:id="318"/>
      <w:bookmarkEnd w:id="319"/>
    </w:p>
    <w:p w14:paraId="0A69CF2E">
      <w:pPr>
        <w:spacing w:line="360" w:lineRule="auto"/>
        <w:rPr>
          <w:rFonts w:hint="eastAsia" w:ascii="仿宋" w:hAnsi="仿宋" w:eastAsia="仿宋" w:cs="仿宋"/>
          <w:bCs/>
          <w:color w:val="auto"/>
          <w:sz w:val="24"/>
          <w:szCs w:val="24"/>
          <w:highlight w:val="none"/>
          <w:shd w:val="clear" w:color="auto" w:fill="FFFFFF" w:themeFill="background1"/>
        </w:rPr>
      </w:pPr>
    </w:p>
    <w:p w14:paraId="68853A58">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一、投标函</w:t>
      </w:r>
    </w:p>
    <w:p w14:paraId="29FC6A5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二、开标一览表</w:t>
      </w:r>
    </w:p>
    <w:p w14:paraId="46874E0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三、投标价格明细表</w:t>
      </w:r>
    </w:p>
    <w:p w14:paraId="1F150F5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四、商务条款偏离表</w:t>
      </w:r>
    </w:p>
    <w:p w14:paraId="35080DF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五、技术条款偏离表</w:t>
      </w:r>
    </w:p>
    <w:p w14:paraId="0C165D56">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六、法定代表人身份证明书</w:t>
      </w:r>
    </w:p>
    <w:p w14:paraId="671AB7D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七、法定代表人授权委托书</w:t>
      </w:r>
    </w:p>
    <w:p w14:paraId="71448FE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八、投标人基本情况</w:t>
      </w:r>
    </w:p>
    <w:p w14:paraId="62DE8B02">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8.1、法人或者其他组织的营业执照等证明文件，自然人的身份证明</w:t>
      </w:r>
    </w:p>
    <w:p w14:paraId="2338C8E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8.2、财务状况报告，依法缴纳税收和社会保障资金的相关材料</w:t>
      </w:r>
    </w:p>
    <w:p w14:paraId="12A32F1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8.3、具备履行合同所必需的设备和专业技术能力的证明材料</w:t>
      </w:r>
    </w:p>
    <w:p w14:paraId="67B3E74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8.4、参加政府采购活动前3年内在经营活动中没有重大违法记录的书面声明</w:t>
      </w:r>
    </w:p>
    <w:p w14:paraId="36D81A5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8.5、具备法律、行政法规规定的其他条件的证明材料</w:t>
      </w:r>
    </w:p>
    <w:p w14:paraId="281D507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九、投标人近三年类似项目业绩表</w:t>
      </w:r>
    </w:p>
    <w:p w14:paraId="68F4FA4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十、项目负责人简历表</w:t>
      </w:r>
    </w:p>
    <w:p w14:paraId="40E11A5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十一、拟派本项目服务人员情况表</w:t>
      </w:r>
    </w:p>
    <w:p w14:paraId="7AE6E98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十二、服务方案</w:t>
      </w:r>
    </w:p>
    <w:p w14:paraId="192F4A0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十三、其他需要提交的资料</w:t>
      </w:r>
    </w:p>
    <w:p w14:paraId="057C09A6">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41ADDBF9">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rPr>
        <w:br w:type="page"/>
      </w:r>
      <w:bookmarkStart w:id="320" w:name="_Toc18537"/>
      <w:bookmarkStart w:id="321" w:name="_Toc507586166"/>
      <w:bookmarkStart w:id="322" w:name="_Toc38446470"/>
      <w:bookmarkStart w:id="323" w:name="_Toc11555"/>
      <w:bookmarkStart w:id="324" w:name="_Toc533503181"/>
      <w:r>
        <w:rPr>
          <w:rFonts w:hint="eastAsia" w:ascii="仿宋" w:hAnsi="仿宋" w:eastAsia="仿宋" w:cs="仿宋"/>
          <w:b/>
          <w:color w:val="auto"/>
          <w:sz w:val="24"/>
          <w:szCs w:val="24"/>
          <w:highlight w:val="none"/>
          <w:shd w:val="clear" w:color="auto" w:fill="FFFFFF" w:themeFill="background1"/>
        </w:rPr>
        <w:t>一、投标函</w:t>
      </w:r>
      <w:bookmarkEnd w:id="320"/>
      <w:bookmarkEnd w:id="321"/>
      <w:bookmarkEnd w:id="322"/>
      <w:bookmarkEnd w:id="323"/>
      <w:bookmarkEnd w:id="324"/>
    </w:p>
    <w:p w14:paraId="18CD0FA5">
      <w:pPr>
        <w:widowControl/>
        <w:shd w:val="clear" w:color="auto" w:fill="FFFFFF"/>
        <w:snapToGrid w:val="0"/>
        <w:spacing w:line="336" w:lineRule="auto"/>
        <w:jc w:val="left"/>
        <w:rPr>
          <w:rFonts w:hint="eastAsia" w:ascii="仿宋" w:hAnsi="仿宋" w:eastAsia="仿宋" w:cs="仿宋"/>
          <w:color w:val="auto"/>
          <w:kern w:val="0"/>
          <w:sz w:val="24"/>
          <w:szCs w:val="24"/>
          <w:highlight w:val="none"/>
          <w:shd w:val="clear" w:color="auto" w:fill="FFFFFF" w:themeFill="background1"/>
        </w:rPr>
      </w:pPr>
    </w:p>
    <w:p w14:paraId="29372AC9">
      <w:pPr>
        <w:widowControl/>
        <w:shd w:val="clear" w:color="auto" w:fill="FFFFFF"/>
        <w:snapToGrid w:val="0"/>
        <w:spacing w:line="336"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（采购人名称）</w:t>
      </w:r>
    </w:p>
    <w:p w14:paraId="25EAC3DA">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根据已收到的</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项目的</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，遵照《中华人民共和国政府采购法》等有关法律法规的规定，经考察现场和充分研究贵方的</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的全部内容后，我方郑重承诺如下：</w:t>
      </w:r>
    </w:p>
    <w:p w14:paraId="59CD34C3">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1</w:t>
      </w:r>
      <w:r>
        <w:rPr>
          <w:rFonts w:hint="eastAsia" w:ascii="仿宋" w:hAnsi="仿宋" w:eastAsia="仿宋" w:cs="仿宋"/>
          <w:color w:val="auto"/>
          <w:kern w:val="0"/>
          <w:sz w:val="24"/>
          <w:szCs w:val="24"/>
          <w:highlight w:val="none"/>
          <w:shd w:val="clear" w:color="auto" w:fill="FFFFFF" w:themeFill="background1"/>
        </w:rPr>
        <w:t>.如果我方中标，我方将在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规定的时间内签订合同。如果我方违约，除没收投标保证金外，贵方有权终止我方中标并选择其它成交投标人。</w:t>
      </w:r>
    </w:p>
    <w:p w14:paraId="15CE26A3">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2</w:t>
      </w:r>
      <w:r>
        <w:rPr>
          <w:rFonts w:hint="eastAsia" w:ascii="仿宋" w:hAnsi="仿宋" w:eastAsia="仿宋" w:cs="仿宋"/>
          <w:color w:val="auto"/>
          <w:kern w:val="0"/>
          <w:sz w:val="24"/>
          <w:szCs w:val="24"/>
          <w:highlight w:val="none"/>
          <w:shd w:val="clear" w:color="auto" w:fill="FFFFFF" w:themeFill="background1"/>
        </w:rPr>
        <w:t>.本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0578BB20">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3</w:t>
      </w:r>
      <w:r>
        <w:rPr>
          <w:rFonts w:hint="eastAsia" w:ascii="仿宋" w:hAnsi="仿宋" w:eastAsia="仿宋" w:cs="仿宋"/>
          <w:color w:val="auto"/>
          <w:kern w:val="0"/>
          <w:sz w:val="24"/>
          <w:szCs w:val="24"/>
          <w:highlight w:val="none"/>
          <w:shd w:val="clear" w:color="auto" w:fill="FFFFFF" w:themeFill="background1"/>
        </w:rPr>
        <w:t>.我方已详细阅读</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全部内容且完全理解，同意放弃对这方面有不明及误解的权力。若有违反，同意被废除投标资格并接受处罚。</w:t>
      </w:r>
    </w:p>
    <w:p w14:paraId="2B7E69B0">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4</w:t>
      </w:r>
      <w:r>
        <w:rPr>
          <w:rFonts w:hint="eastAsia" w:ascii="仿宋" w:hAnsi="仿宋" w:eastAsia="仿宋" w:cs="仿宋"/>
          <w:color w:val="auto"/>
          <w:kern w:val="0"/>
          <w:sz w:val="24"/>
          <w:szCs w:val="24"/>
          <w:highlight w:val="none"/>
          <w:shd w:val="clear" w:color="auto" w:fill="FFFFFF" w:themeFill="background1"/>
        </w:rPr>
        <w:t>.我方保证</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内容无任何虚假、未侵犯他人知识产权。如有虚假，同意废除中标资格并被没收投标担保，承担因侵犯他人知识产权而由此引起的全部法律责任和经济责任。</w:t>
      </w:r>
    </w:p>
    <w:p w14:paraId="46D18ADF">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5</w:t>
      </w:r>
      <w:r>
        <w:rPr>
          <w:rFonts w:hint="eastAsia" w:ascii="仿宋" w:hAnsi="仿宋" w:eastAsia="仿宋" w:cs="仿宋"/>
          <w:color w:val="auto"/>
          <w:kern w:val="0"/>
          <w:sz w:val="24"/>
          <w:szCs w:val="24"/>
          <w:highlight w:val="none"/>
          <w:shd w:val="clear" w:color="auto" w:fill="FFFFFF" w:themeFill="background1"/>
        </w:rPr>
        <w:t>.我方愿意提供贵方可能要求的与投标有关的一切数据或资料，完全理解贵方不一定接受最低投标报价的投标或收到的任何投标。</w:t>
      </w:r>
    </w:p>
    <w:p w14:paraId="77A125C2">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6</w:t>
      </w:r>
      <w:r>
        <w:rPr>
          <w:rFonts w:hint="eastAsia" w:ascii="仿宋" w:hAnsi="仿宋" w:eastAsia="仿宋" w:cs="仿宋"/>
          <w:color w:val="auto"/>
          <w:kern w:val="0"/>
          <w:sz w:val="24"/>
          <w:szCs w:val="24"/>
          <w:highlight w:val="none"/>
          <w:shd w:val="clear" w:color="auto" w:fill="FFFFFF" w:themeFill="background1"/>
        </w:rPr>
        <w:t>.我方派法定代表人或其授权委托人作为我方代表，负责按时参加开标会并签署与投标有关的相关文件等。</w:t>
      </w:r>
    </w:p>
    <w:p w14:paraId="7D4028B6">
      <w:pPr>
        <w:widowControl/>
        <w:shd w:val="clear" w:color="auto" w:fill="FFFFFF"/>
        <w:snapToGrid w:val="0"/>
        <w:spacing w:line="336" w:lineRule="auto"/>
        <w:ind w:firstLine="420"/>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7</w:t>
      </w:r>
      <w:r>
        <w:rPr>
          <w:rFonts w:hint="eastAsia" w:ascii="仿宋" w:hAnsi="仿宋" w:eastAsia="仿宋" w:cs="仿宋"/>
          <w:color w:val="auto"/>
          <w:kern w:val="0"/>
          <w:sz w:val="24"/>
          <w:szCs w:val="24"/>
          <w:highlight w:val="none"/>
          <w:shd w:val="clear" w:color="auto" w:fill="FFFFFF" w:themeFill="background1"/>
        </w:rPr>
        <w:t>.我方</w:t>
      </w:r>
      <w:r>
        <w:rPr>
          <w:rFonts w:hint="eastAsia" w:ascii="仿宋" w:hAnsi="仿宋" w:eastAsia="仿宋" w:cs="仿宋"/>
          <w:color w:val="auto"/>
          <w:sz w:val="24"/>
          <w:szCs w:val="24"/>
          <w:highlight w:val="none"/>
          <w:shd w:val="clear" w:color="auto" w:fill="FFFFFF" w:themeFill="background1"/>
        </w:rPr>
        <w:t>保证按招标文件及合同约定原则处理因采购人原因增加或调整的工作量及其他事宜。</w:t>
      </w:r>
    </w:p>
    <w:p w14:paraId="38E25BB7">
      <w:pPr>
        <w:widowControl/>
        <w:shd w:val="clear" w:color="auto" w:fill="FFFFFF"/>
        <w:snapToGrid w:val="0"/>
        <w:spacing w:line="336"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8</w:t>
      </w:r>
      <w:r>
        <w:rPr>
          <w:rFonts w:hint="eastAsia" w:ascii="仿宋" w:hAnsi="仿宋" w:eastAsia="仿宋" w:cs="仿宋"/>
          <w:color w:val="auto"/>
          <w:kern w:val="0"/>
          <w:sz w:val="24"/>
          <w:szCs w:val="24"/>
          <w:highlight w:val="none"/>
          <w:shd w:val="clear" w:color="auto" w:fill="FFFFFF" w:themeFill="background1"/>
        </w:rPr>
        <w:t>.如我方中标，我方自愿向采购代理机构支付咨询费，并在合同签订后3个工作日内向采购代理机构提供采购合同原件一份用于采购资料备案工作。</w:t>
      </w:r>
    </w:p>
    <w:p w14:paraId="44B45704">
      <w:pPr>
        <w:widowControl/>
        <w:shd w:val="clear" w:color="auto" w:fill="FFFFFF"/>
        <w:snapToGrid w:val="0"/>
        <w:spacing w:line="336" w:lineRule="auto"/>
        <w:jc w:val="left"/>
        <w:rPr>
          <w:rFonts w:hint="eastAsia" w:ascii="仿宋" w:hAnsi="仿宋" w:eastAsia="仿宋" w:cs="仿宋"/>
          <w:color w:val="auto"/>
          <w:kern w:val="0"/>
          <w:sz w:val="24"/>
          <w:szCs w:val="24"/>
          <w:highlight w:val="none"/>
          <w:shd w:val="clear" w:color="auto" w:fill="FFFFFF" w:themeFill="background1"/>
        </w:rPr>
      </w:pPr>
    </w:p>
    <w:p w14:paraId="44FA9BDB">
      <w:pPr>
        <w:widowControl/>
        <w:shd w:val="clear" w:color="auto" w:fill="FFFFFF"/>
        <w:snapToGrid w:val="0"/>
        <w:spacing w:line="336"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3C46D2D4">
      <w:pPr>
        <w:widowControl/>
        <w:shd w:val="clear" w:color="auto" w:fill="FFFFFF"/>
        <w:snapToGrid w:val="0"/>
        <w:spacing w:line="336" w:lineRule="auto"/>
        <w:jc w:val="left"/>
        <w:rPr>
          <w:rFonts w:hint="eastAsia" w:ascii="仿宋" w:hAnsi="仿宋" w:eastAsia="仿宋" w:cs="仿宋"/>
          <w:color w:val="auto"/>
          <w:kern w:val="0"/>
          <w:sz w:val="24"/>
          <w:szCs w:val="24"/>
          <w:highlight w:val="none"/>
          <w:shd w:val="clear" w:color="auto" w:fill="FFFFFF" w:themeFill="background1"/>
        </w:rPr>
      </w:pPr>
    </w:p>
    <w:p w14:paraId="48E6341C">
      <w:pPr>
        <w:widowControl/>
        <w:shd w:val="clear" w:color="auto" w:fill="FFFFFF"/>
        <w:snapToGrid w:val="0"/>
        <w:spacing w:line="336"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（盖章）                       </w:t>
      </w:r>
    </w:p>
    <w:p w14:paraId="6ED98DE4">
      <w:pPr>
        <w:widowControl/>
        <w:shd w:val="clear" w:color="auto" w:fill="FFFFFF"/>
        <w:snapToGrid w:val="0"/>
        <w:spacing w:line="336" w:lineRule="auto"/>
        <w:jc w:val="righ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日期：年 月 日</w:t>
      </w:r>
    </w:p>
    <w:p w14:paraId="5F2FFDD7">
      <w:pPr>
        <w:rPr>
          <w:rFonts w:hint="eastAsia" w:ascii="仿宋" w:hAnsi="仿宋" w:eastAsia="仿宋" w:cs="仿宋"/>
          <w:b/>
          <w:color w:val="auto"/>
          <w:sz w:val="24"/>
          <w:szCs w:val="24"/>
          <w:highlight w:val="none"/>
          <w:shd w:val="clear" w:color="auto" w:fill="FFFFFF" w:themeFill="background1"/>
        </w:rPr>
      </w:pPr>
      <w:bookmarkStart w:id="325" w:name="_Toc26164"/>
      <w:bookmarkStart w:id="326" w:name="_Toc533503184"/>
      <w:bookmarkStart w:id="327" w:name="_Toc38446474"/>
      <w:bookmarkStart w:id="328" w:name="_Toc507586169"/>
      <w:r>
        <w:rPr>
          <w:rFonts w:hint="eastAsia" w:ascii="仿宋" w:hAnsi="仿宋" w:eastAsia="仿宋" w:cs="仿宋"/>
          <w:b/>
          <w:color w:val="auto"/>
          <w:sz w:val="24"/>
          <w:szCs w:val="24"/>
          <w:highlight w:val="none"/>
          <w:shd w:val="clear" w:color="auto" w:fill="FFFFFF" w:themeFill="background1"/>
        </w:rPr>
        <w:br w:type="page"/>
      </w:r>
    </w:p>
    <w:p w14:paraId="168E9701">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29" w:name="_Toc14116"/>
      <w:r>
        <w:rPr>
          <w:rFonts w:hint="eastAsia" w:ascii="仿宋" w:hAnsi="仿宋" w:eastAsia="仿宋" w:cs="仿宋"/>
          <w:b/>
          <w:color w:val="auto"/>
          <w:sz w:val="24"/>
          <w:szCs w:val="24"/>
          <w:highlight w:val="none"/>
          <w:shd w:val="clear" w:color="auto" w:fill="FFFFFF" w:themeFill="background1"/>
        </w:rPr>
        <w:t>二、开标一览表</w:t>
      </w:r>
      <w:bookmarkEnd w:id="329"/>
    </w:p>
    <w:p w14:paraId="433FAC06">
      <w:pPr>
        <w:pStyle w:val="40"/>
        <w:ind w:firstLine="234"/>
        <w:jc w:val="right"/>
        <w:rPr>
          <w:rFonts w:hint="eastAsia" w:ascii="仿宋" w:hAnsi="仿宋" w:eastAsia="仿宋" w:cs="仿宋"/>
          <w:color w:val="auto"/>
          <w:spacing w:val="-3"/>
          <w:sz w:val="24"/>
          <w:szCs w:val="24"/>
          <w:highlight w:val="none"/>
        </w:rPr>
      </w:pPr>
    </w:p>
    <w:p w14:paraId="20650C28">
      <w:pPr>
        <w:pStyle w:val="40"/>
        <w:ind w:firstLine="234"/>
        <w:jc w:val="righ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报价单位：</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民</w:t>
      </w:r>
      <w:r>
        <w:rPr>
          <w:rFonts w:hint="eastAsia" w:ascii="仿宋" w:hAnsi="仿宋" w:eastAsia="仿宋" w:cs="仿宋"/>
          <w:color w:val="auto"/>
          <w:sz w:val="24"/>
          <w:szCs w:val="24"/>
          <w:highlight w:val="none"/>
        </w:rPr>
        <w:t>币元</w:t>
      </w:r>
    </w:p>
    <w:p w14:paraId="000CA0B7">
      <w:pPr>
        <w:pStyle w:val="40"/>
        <w:ind w:firstLine="240"/>
        <w:jc w:val="right"/>
        <w:rPr>
          <w:rFonts w:hint="eastAsia" w:ascii="仿宋" w:hAnsi="仿宋" w:eastAsia="仿宋" w:cs="仿宋"/>
          <w:color w:val="auto"/>
          <w:sz w:val="24"/>
          <w:szCs w:val="24"/>
          <w:highlight w:val="none"/>
        </w:rPr>
      </w:pPr>
    </w:p>
    <w:tbl>
      <w:tblPr>
        <w:tblStyle w:val="41"/>
        <w:tblW w:w="9220" w:type="dxa"/>
        <w:tblInd w:w="93" w:type="dxa"/>
        <w:tblLayout w:type="autofit"/>
        <w:tblCellMar>
          <w:top w:w="0" w:type="dxa"/>
          <w:left w:w="108" w:type="dxa"/>
          <w:bottom w:w="0" w:type="dxa"/>
          <w:right w:w="108" w:type="dxa"/>
        </w:tblCellMar>
      </w:tblPr>
      <w:tblGrid>
        <w:gridCol w:w="2384"/>
        <w:gridCol w:w="6836"/>
      </w:tblGrid>
      <w:tr w14:paraId="774F39F0">
        <w:tblPrEx>
          <w:tblCellMar>
            <w:top w:w="0" w:type="dxa"/>
            <w:left w:w="108" w:type="dxa"/>
            <w:bottom w:w="0" w:type="dxa"/>
            <w:right w:w="108" w:type="dxa"/>
          </w:tblCellMar>
        </w:tblPrEx>
        <w:trPr>
          <w:trHeight w:val="506" w:hRule="atLeast"/>
        </w:trPr>
        <w:tc>
          <w:tcPr>
            <w:tcW w:w="2384" w:type="dxa"/>
            <w:tcBorders>
              <w:top w:val="single" w:color="auto" w:sz="4" w:space="0"/>
              <w:left w:val="single" w:color="auto" w:sz="4" w:space="0"/>
              <w:bottom w:val="single" w:color="auto" w:sz="4" w:space="0"/>
              <w:right w:val="single" w:color="auto" w:sz="4" w:space="0"/>
            </w:tcBorders>
            <w:vAlign w:val="center"/>
          </w:tcPr>
          <w:p w14:paraId="274AAC89">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836" w:type="dxa"/>
            <w:tcBorders>
              <w:top w:val="single" w:color="auto" w:sz="4" w:space="0"/>
              <w:left w:val="nil"/>
              <w:bottom w:val="single" w:color="auto" w:sz="4" w:space="0"/>
              <w:right w:val="single" w:color="auto" w:sz="4" w:space="0"/>
            </w:tcBorders>
            <w:vAlign w:val="center"/>
          </w:tcPr>
          <w:p w14:paraId="682085D7">
            <w:pPr>
              <w:widowControl/>
              <w:spacing w:line="360" w:lineRule="auto"/>
              <w:rPr>
                <w:rFonts w:hint="eastAsia" w:ascii="仿宋" w:hAnsi="仿宋" w:eastAsia="仿宋" w:cs="仿宋"/>
                <w:color w:val="auto"/>
                <w:sz w:val="24"/>
                <w:szCs w:val="24"/>
                <w:highlight w:val="none"/>
              </w:rPr>
            </w:pPr>
          </w:p>
        </w:tc>
      </w:tr>
      <w:tr w14:paraId="124CCC7A">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41CFA219">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6836" w:type="dxa"/>
            <w:tcBorders>
              <w:top w:val="single" w:color="auto" w:sz="4" w:space="0"/>
              <w:left w:val="nil"/>
              <w:bottom w:val="single" w:color="auto" w:sz="4" w:space="0"/>
              <w:right w:val="single" w:color="auto" w:sz="4" w:space="0"/>
            </w:tcBorders>
            <w:vAlign w:val="center"/>
          </w:tcPr>
          <w:p w14:paraId="12766200">
            <w:pPr>
              <w:widowControl/>
              <w:spacing w:line="360" w:lineRule="auto"/>
              <w:rPr>
                <w:rFonts w:hint="eastAsia" w:ascii="仿宋" w:hAnsi="仿宋" w:eastAsia="仿宋" w:cs="仿宋"/>
                <w:color w:val="auto"/>
                <w:sz w:val="24"/>
                <w:szCs w:val="24"/>
                <w:highlight w:val="none"/>
              </w:rPr>
            </w:pPr>
          </w:p>
        </w:tc>
      </w:tr>
      <w:tr w14:paraId="4D56CBA6">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63199415">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标项名称</w:t>
            </w:r>
          </w:p>
        </w:tc>
        <w:tc>
          <w:tcPr>
            <w:tcW w:w="6836" w:type="dxa"/>
            <w:tcBorders>
              <w:top w:val="single" w:color="auto" w:sz="4" w:space="0"/>
              <w:left w:val="nil"/>
              <w:bottom w:val="single" w:color="auto" w:sz="4" w:space="0"/>
              <w:right w:val="single" w:color="auto" w:sz="4" w:space="0"/>
            </w:tcBorders>
            <w:vAlign w:val="center"/>
          </w:tcPr>
          <w:p w14:paraId="7E7C69BA">
            <w:pPr>
              <w:widowControl/>
              <w:spacing w:line="360" w:lineRule="auto"/>
              <w:rPr>
                <w:rFonts w:hint="eastAsia" w:ascii="仿宋" w:hAnsi="仿宋" w:eastAsia="仿宋" w:cs="仿宋"/>
                <w:color w:val="auto"/>
                <w:sz w:val="24"/>
                <w:szCs w:val="24"/>
                <w:highlight w:val="none"/>
              </w:rPr>
            </w:pPr>
          </w:p>
        </w:tc>
      </w:tr>
      <w:tr w14:paraId="383A4DFC">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793B5C55">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6836" w:type="dxa"/>
            <w:tcBorders>
              <w:top w:val="single" w:color="auto" w:sz="4" w:space="0"/>
              <w:left w:val="nil"/>
              <w:bottom w:val="single" w:color="auto" w:sz="4" w:space="0"/>
              <w:right w:val="single" w:color="auto" w:sz="4" w:space="0"/>
            </w:tcBorders>
            <w:vAlign w:val="center"/>
          </w:tcPr>
          <w:p w14:paraId="0CDD2950">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大写：   </w:t>
            </w:r>
          </w:p>
          <w:p w14:paraId="59D35E03">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r>
      <w:tr w14:paraId="25404140">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50C6EFE0">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themeFill="background1"/>
              </w:rPr>
              <w:t>服务周期</w:t>
            </w:r>
          </w:p>
        </w:tc>
        <w:tc>
          <w:tcPr>
            <w:tcW w:w="6836" w:type="dxa"/>
            <w:tcBorders>
              <w:top w:val="single" w:color="auto" w:sz="4" w:space="0"/>
              <w:left w:val="nil"/>
              <w:bottom w:val="single" w:color="auto" w:sz="4" w:space="0"/>
              <w:right w:val="single" w:color="auto" w:sz="4" w:space="0"/>
            </w:tcBorders>
            <w:vAlign w:val="center"/>
          </w:tcPr>
          <w:p w14:paraId="291D16F2">
            <w:pPr>
              <w:widowControl/>
              <w:spacing w:line="360" w:lineRule="auto"/>
              <w:rPr>
                <w:rFonts w:hint="eastAsia" w:ascii="仿宋" w:hAnsi="仿宋" w:eastAsia="仿宋" w:cs="仿宋"/>
                <w:color w:val="auto"/>
                <w:sz w:val="24"/>
                <w:szCs w:val="24"/>
                <w:highlight w:val="none"/>
              </w:rPr>
            </w:pPr>
          </w:p>
        </w:tc>
      </w:tr>
      <w:tr w14:paraId="1EDE8848">
        <w:tblPrEx>
          <w:tblCellMar>
            <w:top w:w="0" w:type="dxa"/>
            <w:left w:w="108" w:type="dxa"/>
            <w:bottom w:w="0" w:type="dxa"/>
            <w:right w:w="108" w:type="dxa"/>
          </w:tblCellMar>
        </w:tblPrEx>
        <w:trPr>
          <w:trHeight w:val="443" w:hRule="atLeast"/>
        </w:trPr>
        <w:tc>
          <w:tcPr>
            <w:tcW w:w="2384" w:type="dxa"/>
            <w:tcBorders>
              <w:top w:val="single" w:color="auto" w:sz="4" w:space="0"/>
              <w:left w:val="single" w:color="auto" w:sz="4" w:space="0"/>
              <w:bottom w:val="single" w:color="auto" w:sz="4" w:space="0"/>
              <w:right w:val="single" w:color="auto" w:sz="4" w:space="0"/>
            </w:tcBorders>
            <w:vAlign w:val="center"/>
          </w:tcPr>
          <w:p w14:paraId="6E815BC1">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备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注</w:t>
            </w:r>
          </w:p>
        </w:tc>
        <w:tc>
          <w:tcPr>
            <w:tcW w:w="6836" w:type="dxa"/>
            <w:tcBorders>
              <w:top w:val="single" w:color="auto" w:sz="4" w:space="0"/>
              <w:left w:val="nil"/>
              <w:bottom w:val="single" w:color="auto" w:sz="4" w:space="0"/>
              <w:right w:val="single" w:color="auto" w:sz="4" w:space="0"/>
            </w:tcBorders>
            <w:vAlign w:val="center"/>
          </w:tcPr>
          <w:p w14:paraId="145334BE">
            <w:pPr>
              <w:widowControl/>
              <w:spacing w:line="360" w:lineRule="auto"/>
              <w:rPr>
                <w:rFonts w:hint="eastAsia" w:ascii="仿宋" w:hAnsi="仿宋" w:eastAsia="仿宋" w:cs="仿宋"/>
                <w:color w:val="auto"/>
                <w:sz w:val="24"/>
                <w:szCs w:val="24"/>
                <w:highlight w:val="none"/>
              </w:rPr>
            </w:pPr>
          </w:p>
        </w:tc>
      </w:tr>
    </w:tbl>
    <w:p w14:paraId="3087940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p>
    <w:p w14:paraId="1B38516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w:t>
      </w:r>
      <w:r>
        <w:rPr>
          <w:rFonts w:hint="eastAsia" w:ascii="仿宋" w:hAnsi="仿宋" w:eastAsia="仿宋" w:cs="仿宋"/>
          <w:color w:val="auto"/>
          <w:sz w:val="24"/>
          <w:szCs w:val="24"/>
          <w:highlight w:val="none"/>
          <w:shd w:val="clear" w:color="auto" w:fill="FFFFFF" w:themeFill="background1"/>
        </w:rPr>
        <w:t>投标人的服务只允许有一个报价，采购人不接受有任何选择的报价。投标价格应包括投标人履行本项目合同（如果成交）所必须的所有成本费用和成交投标人应承担的一切费用，包括但不仅限于必要资料、交通、保险、人工费、税费等一切费用。未列和没有填写的项目费用，采购人将视为已包括在投标价格中。</w:t>
      </w:r>
    </w:p>
    <w:p w14:paraId="06F453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2、“开标一览表”为多页的，每页均需由法定代表人盖章并盖投标人印章。</w:t>
      </w:r>
    </w:p>
    <w:p w14:paraId="0A85BC1B">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D76A7E6">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66B336C">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16BCDEA7">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4CAD13F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（盖章）                       </w:t>
      </w:r>
    </w:p>
    <w:p w14:paraId="39761259">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日期：年 月 日</w:t>
      </w:r>
    </w:p>
    <w:p w14:paraId="71B712A7">
      <w:pPr>
        <w:pStyle w:val="40"/>
        <w:ind w:firstLine="210"/>
        <w:rPr>
          <w:rFonts w:hint="eastAsia" w:ascii="仿宋" w:hAnsi="仿宋" w:eastAsia="仿宋" w:cs="仿宋"/>
          <w:color w:val="auto"/>
          <w:highlight w:val="none"/>
          <w:shd w:val="clear" w:color="auto" w:fill="FFFFFF" w:themeFill="background1"/>
        </w:rPr>
      </w:pPr>
    </w:p>
    <w:p w14:paraId="168EE4C1">
      <w:pPr>
        <w:widowControl/>
        <w:jc w:val="lef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17FB9D70">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30" w:name="_Toc11784"/>
      <w:r>
        <w:rPr>
          <w:rFonts w:hint="eastAsia" w:ascii="仿宋" w:hAnsi="仿宋" w:eastAsia="仿宋" w:cs="仿宋"/>
          <w:b/>
          <w:color w:val="auto"/>
          <w:sz w:val="24"/>
          <w:szCs w:val="24"/>
          <w:highlight w:val="none"/>
          <w:shd w:val="clear" w:color="auto" w:fill="FFFFFF" w:themeFill="background1"/>
        </w:rPr>
        <w:t>三、投标价格明细表</w:t>
      </w:r>
      <w:bookmarkEnd w:id="325"/>
      <w:bookmarkEnd w:id="330"/>
    </w:p>
    <w:tbl>
      <w:tblPr>
        <w:tblStyle w:val="41"/>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7"/>
        <w:gridCol w:w="1517"/>
        <w:gridCol w:w="1069"/>
        <w:gridCol w:w="1157"/>
        <w:gridCol w:w="1532"/>
        <w:gridCol w:w="11"/>
        <w:gridCol w:w="1526"/>
        <w:gridCol w:w="1541"/>
      </w:tblGrid>
      <w:tr w14:paraId="2502F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500" w:type="pct"/>
            <w:vAlign w:val="center"/>
          </w:tcPr>
          <w:p w14:paraId="1D422A11">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817" w:type="pct"/>
            <w:tcBorders>
              <w:right w:val="single" w:color="auto" w:sz="4" w:space="0"/>
            </w:tcBorders>
            <w:vAlign w:val="center"/>
          </w:tcPr>
          <w:p w14:paraId="10AB3EC2">
            <w:pPr>
              <w:shd w:val="clea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服务名称</w:t>
            </w:r>
          </w:p>
        </w:tc>
        <w:tc>
          <w:tcPr>
            <w:tcW w:w="576" w:type="pct"/>
            <w:tcBorders>
              <w:left w:val="single" w:color="auto" w:sz="4" w:space="0"/>
            </w:tcBorders>
            <w:vAlign w:val="center"/>
          </w:tcPr>
          <w:p w14:paraId="0E340DD4">
            <w:pPr>
              <w:shd w:val="clea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数量</w:t>
            </w:r>
          </w:p>
        </w:tc>
        <w:tc>
          <w:tcPr>
            <w:tcW w:w="623" w:type="pct"/>
            <w:tcBorders>
              <w:right w:val="single" w:color="auto" w:sz="4" w:space="0"/>
            </w:tcBorders>
            <w:vAlign w:val="center"/>
          </w:tcPr>
          <w:p w14:paraId="16F4C6E3">
            <w:pPr>
              <w:shd w:val="clea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单位</w:t>
            </w:r>
          </w:p>
        </w:tc>
        <w:tc>
          <w:tcPr>
            <w:tcW w:w="825" w:type="pct"/>
            <w:tcBorders>
              <w:left w:val="single" w:color="auto" w:sz="4" w:space="0"/>
            </w:tcBorders>
            <w:vAlign w:val="center"/>
          </w:tcPr>
          <w:p w14:paraId="164441B8">
            <w:pPr>
              <w:shd w:val="clea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w:t>
            </w:r>
            <w:r>
              <w:rPr>
                <w:rFonts w:hint="eastAsia" w:ascii="仿宋" w:hAnsi="仿宋" w:eastAsia="仿宋" w:cs="仿宋"/>
                <w:bCs/>
                <w:color w:val="auto"/>
                <w:sz w:val="24"/>
                <w:szCs w:val="24"/>
                <w:highlight w:val="none"/>
              </w:rPr>
              <w:t>（元）</w:t>
            </w:r>
          </w:p>
        </w:tc>
        <w:tc>
          <w:tcPr>
            <w:tcW w:w="826" w:type="pct"/>
            <w:gridSpan w:val="2"/>
            <w:tcBorders>
              <w:left w:val="single" w:color="auto" w:sz="4" w:space="0"/>
            </w:tcBorders>
            <w:vAlign w:val="center"/>
          </w:tcPr>
          <w:p w14:paraId="126C18F7">
            <w:pPr>
              <w:shd w:val="clea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报价</w:t>
            </w:r>
            <w:r>
              <w:rPr>
                <w:rFonts w:hint="eastAsia" w:ascii="仿宋" w:hAnsi="仿宋" w:eastAsia="仿宋" w:cs="仿宋"/>
                <w:bCs/>
                <w:color w:val="auto"/>
                <w:sz w:val="24"/>
                <w:szCs w:val="24"/>
                <w:highlight w:val="none"/>
              </w:rPr>
              <w:t>（元）</w:t>
            </w:r>
          </w:p>
        </w:tc>
        <w:tc>
          <w:tcPr>
            <w:tcW w:w="830" w:type="pct"/>
            <w:vAlign w:val="center"/>
          </w:tcPr>
          <w:p w14:paraId="1B993935">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4C9B4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500" w:type="pct"/>
            <w:vAlign w:val="center"/>
          </w:tcPr>
          <w:p w14:paraId="4F91EB06">
            <w:pPr>
              <w:shd w:val="clear"/>
              <w:spacing w:line="360" w:lineRule="auto"/>
              <w:jc w:val="center"/>
              <w:rPr>
                <w:rFonts w:hint="eastAsia" w:ascii="仿宋" w:hAnsi="仿宋" w:eastAsia="仿宋" w:cs="仿宋"/>
                <w:bCs/>
                <w:color w:val="auto"/>
                <w:sz w:val="24"/>
                <w:szCs w:val="24"/>
                <w:highlight w:val="none"/>
              </w:rPr>
            </w:pPr>
          </w:p>
        </w:tc>
        <w:tc>
          <w:tcPr>
            <w:tcW w:w="817" w:type="pct"/>
            <w:tcBorders>
              <w:right w:val="single" w:color="auto" w:sz="4" w:space="0"/>
            </w:tcBorders>
            <w:vAlign w:val="center"/>
          </w:tcPr>
          <w:p w14:paraId="1CCCDDEB">
            <w:pPr>
              <w:shd w:val="clear"/>
              <w:spacing w:line="360" w:lineRule="auto"/>
              <w:jc w:val="center"/>
              <w:rPr>
                <w:rFonts w:hint="eastAsia" w:ascii="仿宋" w:hAnsi="仿宋" w:eastAsia="仿宋" w:cs="仿宋"/>
                <w:bCs/>
                <w:color w:val="auto"/>
                <w:sz w:val="24"/>
                <w:szCs w:val="24"/>
                <w:highlight w:val="none"/>
              </w:rPr>
            </w:pPr>
          </w:p>
        </w:tc>
        <w:tc>
          <w:tcPr>
            <w:tcW w:w="576" w:type="pct"/>
            <w:tcBorders>
              <w:left w:val="single" w:color="auto" w:sz="4" w:space="0"/>
            </w:tcBorders>
            <w:vAlign w:val="center"/>
          </w:tcPr>
          <w:p w14:paraId="08B1CE7F">
            <w:pPr>
              <w:shd w:val="clear"/>
              <w:spacing w:line="360" w:lineRule="auto"/>
              <w:jc w:val="center"/>
              <w:rPr>
                <w:rFonts w:hint="eastAsia" w:ascii="仿宋" w:hAnsi="仿宋" w:eastAsia="仿宋" w:cs="仿宋"/>
                <w:bCs/>
                <w:color w:val="auto"/>
                <w:sz w:val="24"/>
                <w:szCs w:val="24"/>
                <w:highlight w:val="none"/>
              </w:rPr>
            </w:pPr>
          </w:p>
        </w:tc>
        <w:tc>
          <w:tcPr>
            <w:tcW w:w="623" w:type="pct"/>
            <w:tcBorders>
              <w:right w:val="single" w:color="auto" w:sz="4" w:space="0"/>
            </w:tcBorders>
            <w:vAlign w:val="center"/>
          </w:tcPr>
          <w:p w14:paraId="3B7ACD92">
            <w:pPr>
              <w:shd w:val="clear"/>
              <w:spacing w:line="360" w:lineRule="auto"/>
              <w:jc w:val="center"/>
              <w:rPr>
                <w:rFonts w:hint="eastAsia" w:ascii="仿宋" w:hAnsi="仿宋" w:eastAsia="仿宋" w:cs="仿宋"/>
                <w:color w:val="auto"/>
                <w:kern w:val="0"/>
                <w:sz w:val="24"/>
                <w:szCs w:val="24"/>
                <w:highlight w:val="none"/>
              </w:rPr>
            </w:pPr>
          </w:p>
        </w:tc>
        <w:tc>
          <w:tcPr>
            <w:tcW w:w="825" w:type="pct"/>
            <w:tcBorders>
              <w:left w:val="single" w:color="auto" w:sz="4" w:space="0"/>
            </w:tcBorders>
            <w:vAlign w:val="center"/>
          </w:tcPr>
          <w:p w14:paraId="52C83E8B">
            <w:pPr>
              <w:shd w:val="clear"/>
              <w:spacing w:line="360" w:lineRule="auto"/>
              <w:jc w:val="center"/>
              <w:rPr>
                <w:rFonts w:hint="eastAsia" w:ascii="仿宋" w:hAnsi="仿宋" w:eastAsia="仿宋" w:cs="仿宋"/>
                <w:color w:val="auto"/>
                <w:kern w:val="0"/>
                <w:sz w:val="24"/>
                <w:szCs w:val="24"/>
                <w:highlight w:val="none"/>
              </w:rPr>
            </w:pPr>
          </w:p>
        </w:tc>
        <w:tc>
          <w:tcPr>
            <w:tcW w:w="826" w:type="pct"/>
            <w:gridSpan w:val="2"/>
            <w:tcBorders>
              <w:left w:val="single" w:color="auto" w:sz="4" w:space="0"/>
            </w:tcBorders>
            <w:vAlign w:val="center"/>
          </w:tcPr>
          <w:p w14:paraId="60B8C785">
            <w:pPr>
              <w:shd w:val="clear"/>
              <w:spacing w:line="360" w:lineRule="auto"/>
              <w:jc w:val="center"/>
              <w:rPr>
                <w:rFonts w:hint="eastAsia" w:ascii="仿宋" w:hAnsi="仿宋" w:eastAsia="仿宋" w:cs="仿宋"/>
                <w:color w:val="auto"/>
                <w:kern w:val="0"/>
                <w:sz w:val="24"/>
                <w:szCs w:val="24"/>
                <w:highlight w:val="none"/>
              </w:rPr>
            </w:pPr>
          </w:p>
        </w:tc>
        <w:tc>
          <w:tcPr>
            <w:tcW w:w="830" w:type="pct"/>
            <w:vAlign w:val="center"/>
          </w:tcPr>
          <w:p w14:paraId="330C1A42">
            <w:pPr>
              <w:shd w:val="clear"/>
              <w:spacing w:line="360" w:lineRule="auto"/>
              <w:jc w:val="center"/>
              <w:rPr>
                <w:rFonts w:hint="eastAsia" w:ascii="仿宋" w:hAnsi="仿宋" w:eastAsia="仿宋" w:cs="仿宋"/>
                <w:bCs/>
                <w:color w:val="auto"/>
                <w:sz w:val="24"/>
                <w:szCs w:val="24"/>
                <w:highlight w:val="none"/>
              </w:rPr>
            </w:pPr>
          </w:p>
        </w:tc>
      </w:tr>
      <w:tr w14:paraId="7DDDC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500" w:type="pct"/>
            <w:vAlign w:val="center"/>
          </w:tcPr>
          <w:p w14:paraId="738A38D9">
            <w:pPr>
              <w:shd w:val="clear"/>
              <w:spacing w:line="360" w:lineRule="auto"/>
              <w:jc w:val="center"/>
              <w:rPr>
                <w:rFonts w:hint="eastAsia" w:ascii="仿宋" w:hAnsi="仿宋" w:eastAsia="仿宋" w:cs="仿宋"/>
                <w:bCs/>
                <w:color w:val="auto"/>
                <w:sz w:val="24"/>
                <w:szCs w:val="24"/>
                <w:highlight w:val="none"/>
              </w:rPr>
            </w:pPr>
          </w:p>
        </w:tc>
        <w:tc>
          <w:tcPr>
            <w:tcW w:w="817" w:type="pct"/>
            <w:tcBorders>
              <w:right w:val="single" w:color="auto" w:sz="4" w:space="0"/>
            </w:tcBorders>
            <w:vAlign w:val="center"/>
          </w:tcPr>
          <w:p w14:paraId="27B5B4AA">
            <w:pPr>
              <w:shd w:val="clear"/>
              <w:spacing w:line="360" w:lineRule="auto"/>
              <w:jc w:val="center"/>
              <w:rPr>
                <w:rFonts w:hint="eastAsia" w:ascii="仿宋" w:hAnsi="仿宋" w:eastAsia="仿宋" w:cs="仿宋"/>
                <w:bCs/>
                <w:color w:val="auto"/>
                <w:sz w:val="24"/>
                <w:szCs w:val="24"/>
                <w:highlight w:val="none"/>
              </w:rPr>
            </w:pPr>
          </w:p>
        </w:tc>
        <w:tc>
          <w:tcPr>
            <w:tcW w:w="576" w:type="pct"/>
            <w:tcBorders>
              <w:left w:val="single" w:color="auto" w:sz="4" w:space="0"/>
            </w:tcBorders>
            <w:vAlign w:val="center"/>
          </w:tcPr>
          <w:p w14:paraId="21A2D912">
            <w:pPr>
              <w:shd w:val="clear"/>
              <w:spacing w:line="360" w:lineRule="auto"/>
              <w:jc w:val="center"/>
              <w:rPr>
                <w:rFonts w:hint="eastAsia" w:ascii="仿宋" w:hAnsi="仿宋" w:eastAsia="仿宋" w:cs="仿宋"/>
                <w:bCs/>
                <w:color w:val="auto"/>
                <w:sz w:val="24"/>
                <w:szCs w:val="24"/>
                <w:highlight w:val="none"/>
              </w:rPr>
            </w:pPr>
          </w:p>
        </w:tc>
        <w:tc>
          <w:tcPr>
            <w:tcW w:w="623" w:type="pct"/>
            <w:tcBorders>
              <w:right w:val="single" w:color="auto" w:sz="4" w:space="0"/>
            </w:tcBorders>
            <w:vAlign w:val="center"/>
          </w:tcPr>
          <w:p w14:paraId="1A4F078F">
            <w:pPr>
              <w:shd w:val="clear"/>
              <w:spacing w:line="360" w:lineRule="auto"/>
              <w:jc w:val="center"/>
              <w:rPr>
                <w:rFonts w:hint="eastAsia" w:ascii="仿宋" w:hAnsi="仿宋" w:eastAsia="仿宋" w:cs="仿宋"/>
                <w:color w:val="auto"/>
                <w:kern w:val="0"/>
                <w:sz w:val="24"/>
                <w:szCs w:val="24"/>
                <w:highlight w:val="none"/>
              </w:rPr>
            </w:pPr>
          </w:p>
        </w:tc>
        <w:tc>
          <w:tcPr>
            <w:tcW w:w="825" w:type="pct"/>
            <w:tcBorders>
              <w:left w:val="single" w:color="auto" w:sz="4" w:space="0"/>
            </w:tcBorders>
            <w:vAlign w:val="center"/>
          </w:tcPr>
          <w:p w14:paraId="1FB55984">
            <w:pPr>
              <w:shd w:val="clear"/>
              <w:spacing w:line="360" w:lineRule="auto"/>
              <w:jc w:val="center"/>
              <w:rPr>
                <w:rFonts w:hint="eastAsia" w:ascii="仿宋" w:hAnsi="仿宋" w:eastAsia="仿宋" w:cs="仿宋"/>
                <w:color w:val="auto"/>
                <w:kern w:val="0"/>
                <w:sz w:val="24"/>
                <w:szCs w:val="24"/>
                <w:highlight w:val="none"/>
              </w:rPr>
            </w:pPr>
          </w:p>
        </w:tc>
        <w:tc>
          <w:tcPr>
            <w:tcW w:w="826" w:type="pct"/>
            <w:gridSpan w:val="2"/>
            <w:tcBorders>
              <w:left w:val="single" w:color="auto" w:sz="4" w:space="0"/>
            </w:tcBorders>
            <w:vAlign w:val="center"/>
          </w:tcPr>
          <w:p w14:paraId="5830E97A">
            <w:pPr>
              <w:shd w:val="clear"/>
              <w:spacing w:line="360" w:lineRule="auto"/>
              <w:jc w:val="center"/>
              <w:rPr>
                <w:rFonts w:hint="eastAsia" w:ascii="仿宋" w:hAnsi="仿宋" w:eastAsia="仿宋" w:cs="仿宋"/>
                <w:color w:val="auto"/>
                <w:kern w:val="0"/>
                <w:sz w:val="24"/>
                <w:szCs w:val="24"/>
                <w:highlight w:val="none"/>
              </w:rPr>
            </w:pPr>
          </w:p>
        </w:tc>
        <w:tc>
          <w:tcPr>
            <w:tcW w:w="830" w:type="pct"/>
            <w:vAlign w:val="center"/>
          </w:tcPr>
          <w:p w14:paraId="53683085">
            <w:pPr>
              <w:shd w:val="clear"/>
              <w:spacing w:line="360" w:lineRule="auto"/>
              <w:jc w:val="center"/>
              <w:rPr>
                <w:rFonts w:hint="eastAsia" w:ascii="仿宋" w:hAnsi="仿宋" w:eastAsia="仿宋" w:cs="仿宋"/>
                <w:bCs/>
                <w:color w:val="auto"/>
                <w:sz w:val="24"/>
                <w:szCs w:val="24"/>
                <w:highlight w:val="none"/>
              </w:rPr>
            </w:pPr>
          </w:p>
        </w:tc>
      </w:tr>
      <w:tr w14:paraId="67052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500" w:type="pct"/>
            <w:vAlign w:val="center"/>
          </w:tcPr>
          <w:p w14:paraId="36ACB053">
            <w:pPr>
              <w:shd w:val="clear"/>
              <w:spacing w:line="360" w:lineRule="auto"/>
              <w:jc w:val="center"/>
              <w:rPr>
                <w:rFonts w:hint="eastAsia" w:ascii="仿宋" w:hAnsi="仿宋" w:eastAsia="仿宋" w:cs="仿宋"/>
                <w:bCs/>
                <w:color w:val="auto"/>
                <w:sz w:val="24"/>
                <w:szCs w:val="24"/>
                <w:highlight w:val="none"/>
              </w:rPr>
            </w:pPr>
          </w:p>
        </w:tc>
        <w:tc>
          <w:tcPr>
            <w:tcW w:w="817" w:type="pct"/>
            <w:tcBorders>
              <w:right w:val="single" w:color="auto" w:sz="4" w:space="0"/>
            </w:tcBorders>
            <w:vAlign w:val="center"/>
          </w:tcPr>
          <w:p w14:paraId="5FC60D16">
            <w:pPr>
              <w:shd w:val="clear"/>
              <w:spacing w:line="360" w:lineRule="auto"/>
              <w:jc w:val="center"/>
              <w:rPr>
                <w:rFonts w:hint="eastAsia" w:ascii="仿宋" w:hAnsi="仿宋" w:eastAsia="仿宋" w:cs="仿宋"/>
                <w:bCs/>
                <w:color w:val="auto"/>
                <w:sz w:val="24"/>
                <w:szCs w:val="24"/>
                <w:highlight w:val="none"/>
              </w:rPr>
            </w:pPr>
          </w:p>
        </w:tc>
        <w:tc>
          <w:tcPr>
            <w:tcW w:w="576" w:type="pct"/>
            <w:tcBorders>
              <w:left w:val="single" w:color="auto" w:sz="4" w:space="0"/>
            </w:tcBorders>
            <w:vAlign w:val="center"/>
          </w:tcPr>
          <w:p w14:paraId="2FA90F77">
            <w:pPr>
              <w:shd w:val="clear"/>
              <w:spacing w:line="360" w:lineRule="auto"/>
              <w:jc w:val="center"/>
              <w:rPr>
                <w:rFonts w:hint="eastAsia" w:ascii="仿宋" w:hAnsi="仿宋" w:eastAsia="仿宋" w:cs="仿宋"/>
                <w:bCs/>
                <w:color w:val="auto"/>
                <w:sz w:val="24"/>
                <w:szCs w:val="24"/>
                <w:highlight w:val="none"/>
              </w:rPr>
            </w:pPr>
          </w:p>
        </w:tc>
        <w:tc>
          <w:tcPr>
            <w:tcW w:w="623" w:type="pct"/>
            <w:tcBorders>
              <w:right w:val="single" w:color="auto" w:sz="4" w:space="0"/>
            </w:tcBorders>
            <w:vAlign w:val="center"/>
          </w:tcPr>
          <w:p w14:paraId="2B872B76">
            <w:pPr>
              <w:shd w:val="clear"/>
              <w:spacing w:line="360" w:lineRule="auto"/>
              <w:jc w:val="center"/>
              <w:rPr>
                <w:rFonts w:hint="eastAsia" w:ascii="仿宋" w:hAnsi="仿宋" w:eastAsia="仿宋" w:cs="仿宋"/>
                <w:color w:val="auto"/>
                <w:kern w:val="0"/>
                <w:sz w:val="24"/>
                <w:szCs w:val="24"/>
                <w:highlight w:val="none"/>
              </w:rPr>
            </w:pPr>
          </w:p>
        </w:tc>
        <w:tc>
          <w:tcPr>
            <w:tcW w:w="825" w:type="pct"/>
            <w:tcBorders>
              <w:left w:val="single" w:color="auto" w:sz="4" w:space="0"/>
            </w:tcBorders>
            <w:vAlign w:val="center"/>
          </w:tcPr>
          <w:p w14:paraId="690A5256">
            <w:pPr>
              <w:shd w:val="clear"/>
              <w:spacing w:line="360" w:lineRule="auto"/>
              <w:jc w:val="center"/>
              <w:rPr>
                <w:rFonts w:hint="eastAsia" w:ascii="仿宋" w:hAnsi="仿宋" w:eastAsia="仿宋" w:cs="仿宋"/>
                <w:color w:val="auto"/>
                <w:kern w:val="0"/>
                <w:sz w:val="24"/>
                <w:szCs w:val="24"/>
                <w:highlight w:val="none"/>
              </w:rPr>
            </w:pPr>
          </w:p>
        </w:tc>
        <w:tc>
          <w:tcPr>
            <w:tcW w:w="826" w:type="pct"/>
            <w:gridSpan w:val="2"/>
            <w:tcBorders>
              <w:left w:val="single" w:color="auto" w:sz="4" w:space="0"/>
            </w:tcBorders>
            <w:vAlign w:val="center"/>
          </w:tcPr>
          <w:p w14:paraId="1E20EA35">
            <w:pPr>
              <w:shd w:val="clear"/>
              <w:spacing w:line="360" w:lineRule="auto"/>
              <w:jc w:val="center"/>
              <w:rPr>
                <w:rFonts w:hint="eastAsia" w:ascii="仿宋" w:hAnsi="仿宋" w:eastAsia="仿宋" w:cs="仿宋"/>
                <w:color w:val="auto"/>
                <w:kern w:val="0"/>
                <w:sz w:val="24"/>
                <w:szCs w:val="24"/>
                <w:highlight w:val="none"/>
              </w:rPr>
            </w:pPr>
          </w:p>
        </w:tc>
        <w:tc>
          <w:tcPr>
            <w:tcW w:w="830" w:type="pct"/>
            <w:vAlign w:val="center"/>
          </w:tcPr>
          <w:p w14:paraId="0B8A93BB">
            <w:pPr>
              <w:shd w:val="clear"/>
              <w:spacing w:line="360" w:lineRule="auto"/>
              <w:jc w:val="center"/>
              <w:rPr>
                <w:rFonts w:hint="eastAsia" w:ascii="仿宋" w:hAnsi="仿宋" w:eastAsia="仿宋" w:cs="仿宋"/>
                <w:bCs/>
                <w:color w:val="auto"/>
                <w:sz w:val="24"/>
                <w:szCs w:val="24"/>
                <w:highlight w:val="none"/>
              </w:rPr>
            </w:pPr>
          </w:p>
        </w:tc>
      </w:tr>
      <w:tr w14:paraId="50DB9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 w:hRule="atLeast"/>
          <w:jc w:val="center"/>
        </w:trPr>
        <w:tc>
          <w:tcPr>
            <w:tcW w:w="500" w:type="pct"/>
            <w:vAlign w:val="center"/>
          </w:tcPr>
          <w:p w14:paraId="70F50AB8">
            <w:pPr>
              <w:shd w:val="clear"/>
              <w:spacing w:line="360" w:lineRule="auto"/>
              <w:jc w:val="center"/>
              <w:rPr>
                <w:rFonts w:hint="eastAsia" w:ascii="仿宋" w:hAnsi="仿宋" w:eastAsia="仿宋" w:cs="仿宋"/>
                <w:bCs/>
                <w:color w:val="auto"/>
                <w:sz w:val="24"/>
                <w:szCs w:val="24"/>
                <w:highlight w:val="none"/>
              </w:rPr>
            </w:pPr>
          </w:p>
        </w:tc>
        <w:tc>
          <w:tcPr>
            <w:tcW w:w="817" w:type="pct"/>
            <w:tcBorders>
              <w:right w:val="single" w:color="auto" w:sz="4" w:space="0"/>
            </w:tcBorders>
            <w:vAlign w:val="center"/>
          </w:tcPr>
          <w:p w14:paraId="66FF8B1A">
            <w:pPr>
              <w:shd w:val="clear"/>
              <w:spacing w:line="360" w:lineRule="auto"/>
              <w:jc w:val="center"/>
              <w:rPr>
                <w:rFonts w:hint="eastAsia" w:ascii="仿宋" w:hAnsi="仿宋" w:eastAsia="仿宋" w:cs="仿宋"/>
                <w:bCs/>
                <w:color w:val="auto"/>
                <w:sz w:val="24"/>
                <w:szCs w:val="24"/>
                <w:highlight w:val="none"/>
              </w:rPr>
            </w:pPr>
          </w:p>
        </w:tc>
        <w:tc>
          <w:tcPr>
            <w:tcW w:w="576" w:type="pct"/>
            <w:tcBorders>
              <w:left w:val="single" w:color="auto" w:sz="4" w:space="0"/>
            </w:tcBorders>
            <w:vAlign w:val="center"/>
          </w:tcPr>
          <w:p w14:paraId="783F44BE">
            <w:pPr>
              <w:shd w:val="clear"/>
              <w:spacing w:line="360" w:lineRule="auto"/>
              <w:jc w:val="center"/>
              <w:rPr>
                <w:rFonts w:hint="eastAsia" w:ascii="仿宋" w:hAnsi="仿宋" w:eastAsia="仿宋" w:cs="仿宋"/>
                <w:bCs/>
                <w:color w:val="auto"/>
                <w:sz w:val="24"/>
                <w:szCs w:val="24"/>
                <w:highlight w:val="none"/>
              </w:rPr>
            </w:pPr>
          </w:p>
        </w:tc>
        <w:tc>
          <w:tcPr>
            <w:tcW w:w="623" w:type="pct"/>
            <w:tcBorders>
              <w:right w:val="single" w:color="auto" w:sz="4" w:space="0"/>
            </w:tcBorders>
            <w:vAlign w:val="center"/>
          </w:tcPr>
          <w:p w14:paraId="4FFE1800">
            <w:pPr>
              <w:shd w:val="clear"/>
              <w:spacing w:line="360" w:lineRule="auto"/>
              <w:jc w:val="center"/>
              <w:rPr>
                <w:rFonts w:hint="eastAsia" w:ascii="仿宋" w:hAnsi="仿宋" w:eastAsia="仿宋" w:cs="仿宋"/>
                <w:color w:val="auto"/>
                <w:kern w:val="0"/>
                <w:sz w:val="24"/>
                <w:szCs w:val="24"/>
                <w:highlight w:val="none"/>
              </w:rPr>
            </w:pPr>
          </w:p>
        </w:tc>
        <w:tc>
          <w:tcPr>
            <w:tcW w:w="825" w:type="pct"/>
            <w:tcBorders>
              <w:left w:val="single" w:color="auto" w:sz="4" w:space="0"/>
            </w:tcBorders>
            <w:vAlign w:val="center"/>
          </w:tcPr>
          <w:p w14:paraId="3CEF7EC2">
            <w:pPr>
              <w:shd w:val="clear"/>
              <w:spacing w:line="360" w:lineRule="auto"/>
              <w:jc w:val="center"/>
              <w:rPr>
                <w:rFonts w:hint="eastAsia" w:ascii="仿宋" w:hAnsi="仿宋" w:eastAsia="仿宋" w:cs="仿宋"/>
                <w:color w:val="auto"/>
                <w:kern w:val="0"/>
                <w:sz w:val="24"/>
                <w:szCs w:val="24"/>
                <w:highlight w:val="none"/>
              </w:rPr>
            </w:pPr>
          </w:p>
        </w:tc>
        <w:tc>
          <w:tcPr>
            <w:tcW w:w="826" w:type="pct"/>
            <w:gridSpan w:val="2"/>
            <w:tcBorders>
              <w:left w:val="single" w:color="auto" w:sz="4" w:space="0"/>
            </w:tcBorders>
            <w:vAlign w:val="center"/>
          </w:tcPr>
          <w:p w14:paraId="6E63E5F1">
            <w:pPr>
              <w:shd w:val="clear"/>
              <w:spacing w:line="360" w:lineRule="auto"/>
              <w:jc w:val="center"/>
              <w:rPr>
                <w:rFonts w:hint="eastAsia" w:ascii="仿宋" w:hAnsi="仿宋" w:eastAsia="仿宋" w:cs="仿宋"/>
                <w:color w:val="auto"/>
                <w:kern w:val="0"/>
                <w:sz w:val="24"/>
                <w:szCs w:val="24"/>
                <w:highlight w:val="none"/>
              </w:rPr>
            </w:pPr>
          </w:p>
        </w:tc>
        <w:tc>
          <w:tcPr>
            <w:tcW w:w="830" w:type="pct"/>
            <w:vAlign w:val="center"/>
          </w:tcPr>
          <w:p w14:paraId="39DAA82C">
            <w:pPr>
              <w:shd w:val="clear"/>
              <w:spacing w:line="360" w:lineRule="auto"/>
              <w:jc w:val="center"/>
              <w:rPr>
                <w:rFonts w:hint="eastAsia" w:ascii="仿宋" w:hAnsi="仿宋" w:eastAsia="仿宋" w:cs="仿宋"/>
                <w:bCs/>
                <w:color w:val="auto"/>
                <w:sz w:val="24"/>
                <w:szCs w:val="24"/>
                <w:highlight w:val="none"/>
              </w:rPr>
            </w:pPr>
          </w:p>
        </w:tc>
      </w:tr>
      <w:tr w14:paraId="5B83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 w:hRule="atLeast"/>
          <w:jc w:val="center"/>
        </w:trPr>
        <w:tc>
          <w:tcPr>
            <w:tcW w:w="500" w:type="pct"/>
            <w:vAlign w:val="center"/>
          </w:tcPr>
          <w:p w14:paraId="5AF07CE8">
            <w:pPr>
              <w:shd w:val="clear"/>
              <w:spacing w:line="360" w:lineRule="auto"/>
              <w:jc w:val="center"/>
              <w:rPr>
                <w:rFonts w:hint="eastAsia" w:ascii="仿宋" w:hAnsi="仿宋" w:eastAsia="仿宋" w:cs="仿宋"/>
                <w:bCs/>
                <w:color w:val="auto"/>
                <w:sz w:val="24"/>
                <w:szCs w:val="24"/>
                <w:highlight w:val="none"/>
              </w:rPr>
            </w:pPr>
          </w:p>
        </w:tc>
        <w:tc>
          <w:tcPr>
            <w:tcW w:w="817" w:type="pct"/>
            <w:tcBorders>
              <w:right w:val="single" w:color="auto" w:sz="4" w:space="0"/>
            </w:tcBorders>
            <w:vAlign w:val="center"/>
          </w:tcPr>
          <w:p w14:paraId="51CC6C64">
            <w:pPr>
              <w:shd w:val="clear"/>
              <w:spacing w:line="360" w:lineRule="auto"/>
              <w:jc w:val="center"/>
              <w:rPr>
                <w:rFonts w:hint="eastAsia" w:ascii="仿宋" w:hAnsi="仿宋" w:eastAsia="仿宋" w:cs="仿宋"/>
                <w:bCs/>
                <w:color w:val="auto"/>
                <w:sz w:val="24"/>
                <w:szCs w:val="24"/>
                <w:highlight w:val="none"/>
              </w:rPr>
            </w:pPr>
          </w:p>
        </w:tc>
        <w:tc>
          <w:tcPr>
            <w:tcW w:w="576" w:type="pct"/>
            <w:tcBorders>
              <w:left w:val="single" w:color="auto" w:sz="4" w:space="0"/>
            </w:tcBorders>
            <w:vAlign w:val="center"/>
          </w:tcPr>
          <w:p w14:paraId="3BF6FD12">
            <w:pPr>
              <w:shd w:val="clear"/>
              <w:spacing w:line="360" w:lineRule="auto"/>
              <w:jc w:val="center"/>
              <w:rPr>
                <w:rFonts w:hint="eastAsia" w:ascii="仿宋" w:hAnsi="仿宋" w:eastAsia="仿宋" w:cs="仿宋"/>
                <w:bCs/>
                <w:color w:val="auto"/>
                <w:sz w:val="24"/>
                <w:szCs w:val="24"/>
                <w:highlight w:val="none"/>
              </w:rPr>
            </w:pPr>
          </w:p>
        </w:tc>
        <w:tc>
          <w:tcPr>
            <w:tcW w:w="623" w:type="pct"/>
            <w:tcBorders>
              <w:right w:val="single" w:color="auto" w:sz="4" w:space="0"/>
            </w:tcBorders>
            <w:vAlign w:val="center"/>
          </w:tcPr>
          <w:p w14:paraId="0CFCBD66">
            <w:pPr>
              <w:shd w:val="clear"/>
              <w:spacing w:line="360" w:lineRule="auto"/>
              <w:jc w:val="center"/>
              <w:rPr>
                <w:rFonts w:hint="eastAsia" w:ascii="仿宋" w:hAnsi="仿宋" w:eastAsia="仿宋" w:cs="仿宋"/>
                <w:color w:val="auto"/>
                <w:kern w:val="0"/>
                <w:sz w:val="24"/>
                <w:szCs w:val="24"/>
                <w:highlight w:val="none"/>
              </w:rPr>
            </w:pPr>
          </w:p>
        </w:tc>
        <w:tc>
          <w:tcPr>
            <w:tcW w:w="825" w:type="pct"/>
            <w:tcBorders>
              <w:left w:val="single" w:color="auto" w:sz="4" w:space="0"/>
            </w:tcBorders>
            <w:vAlign w:val="center"/>
          </w:tcPr>
          <w:p w14:paraId="07957814">
            <w:pPr>
              <w:shd w:val="clear"/>
              <w:spacing w:line="360" w:lineRule="auto"/>
              <w:jc w:val="center"/>
              <w:rPr>
                <w:rFonts w:hint="eastAsia" w:ascii="仿宋" w:hAnsi="仿宋" w:eastAsia="仿宋" w:cs="仿宋"/>
                <w:color w:val="auto"/>
                <w:kern w:val="0"/>
                <w:sz w:val="24"/>
                <w:szCs w:val="24"/>
                <w:highlight w:val="none"/>
              </w:rPr>
            </w:pPr>
          </w:p>
        </w:tc>
        <w:tc>
          <w:tcPr>
            <w:tcW w:w="826" w:type="pct"/>
            <w:gridSpan w:val="2"/>
            <w:tcBorders>
              <w:left w:val="single" w:color="auto" w:sz="4" w:space="0"/>
            </w:tcBorders>
            <w:vAlign w:val="center"/>
          </w:tcPr>
          <w:p w14:paraId="3473496B">
            <w:pPr>
              <w:shd w:val="clear"/>
              <w:spacing w:line="360" w:lineRule="auto"/>
              <w:jc w:val="center"/>
              <w:rPr>
                <w:rFonts w:hint="eastAsia" w:ascii="仿宋" w:hAnsi="仿宋" w:eastAsia="仿宋" w:cs="仿宋"/>
                <w:color w:val="auto"/>
                <w:kern w:val="0"/>
                <w:sz w:val="24"/>
                <w:szCs w:val="24"/>
                <w:highlight w:val="none"/>
              </w:rPr>
            </w:pPr>
          </w:p>
        </w:tc>
        <w:tc>
          <w:tcPr>
            <w:tcW w:w="830" w:type="pct"/>
            <w:vAlign w:val="center"/>
          </w:tcPr>
          <w:p w14:paraId="38330720">
            <w:pPr>
              <w:shd w:val="clear"/>
              <w:spacing w:line="360" w:lineRule="auto"/>
              <w:jc w:val="center"/>
              <w:rPr>
                <w:rFonts w:hint="eastAsia" w:ascii="仿宋" w:hAnsi="仿宋" w:eastAsia="仿宋" w:cs="仿宋"/>
                <w:bCs/>
                <w:color w:val="auto"/>
                <w:sz w:val="24"/>
                <w:szCs w:val="24"/>
                <w:highlight w:val="none"/>
              </w:rPr>
            </w:pPr>
          </w:p>
        </w:tc>
      </w:tr>
      <w:tr w14:paraId="62C12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 w:hRule="atLeast"/>
          <w:jc w:val="center"/>
        </w:trPr>
        <w:tc>
          <w:tcPr>
            <w:tcW w:w="500" w:type="pct"/>
            <w:vAlign w:val="center"/>
          </w:tcPr>
          <w:p w14:paraId="691E5068">
            <w:pPr>
              <w:shd w:val="clear"/>
              <w:spacing w:line="360" w:lineRule="auto"/>
              <w:jc w:val="center"/>
              <w:rPr>
                <w:rFonts w:hint="eastAsia" w:ascii="仿宋" w:hAnsi="仿宋" w:eastAsia="仿宋" w:cs="仿宋"/>
                <w:bCs/>
                <w:color w:val="auto"/>
                <w:sz w:val="24"/>
                <w:szCs w:val="24"/>
                <w:highlight w:val="none"/>
              </w:rPr>
            </w:pPr>
          </w:p>
        </w:tc>
        <w:tc>
          <w:tcPr>
            <w:tcW w:w="817" w:type="pct"/>
            <w:tcBorders>
              <w:right w:val="single" w:color="auto" w:sz="4" w:space="0"/>
            </w:tcBorders>
            <w:vAlign w:val="center"/>
          </w:tcPr>
          <w:p w14:paraId="6CE78C26">
            <w:pPr>
              <w:shd w:val="clear"/>
              <w:spacing w:line="360" w:lineRule="auto"/>
              <w:jc w:val="center"/>
              <w:rPr>
                <w:rFonts w:hint="eastAsia" w:ascii="仿宋" w:hAnsi="仿宋" w:eastAsia="仿宋" w:cs="仿宋"/>
                <w:color w:val="auto"/>
                <w:kern w:val="0"/>
                <w:sz w:val="24"/>
                <w:szCs w:val="24"/>
                <w:highlight w:val="none"/>
              </w:rPr>
            </w:pPr>
          </w:p>
        </w:tc>
        <w:tc>
          <w:tcPr>
            <w:tcW w:w="576" w:type="pct"/>
            <w:tcBorders>
              <w:left w:val="single" w:color="auto" w:sz="4" w:space="0"/>
            </w:tcBorders>
            <w:vAlign w:val="center"/>
          </w:tcPr>
          <w:p w14:paraId="6B5F65AA">
            <w:pPr>
              <w:shd w:val="clear"/>
              <w:spacing w:line="360" w:lineRule="auto"/>
              <w:jc w:val="center"/>
              <w:rPr>
                <w:rFonts w:hint="eastAsia" w:ascii="仿宋" w:hAnsi="仿宋" w:eastAsia="仿宋" w:cs="仿宋"/>
                <w:color w:val="auto"/>
                <w:kern w:val="0"/>
                <w:sz w:val="24"/>
                <w:szCs w:val="24"/>
                <w:highlight w:val="none"/>
              </w:rPr>
            </w:pPr>
          </w:p>
        </w:tc>
        <w:tc>
          <w:tcPr>
            <w:tcW w:w="623" w:type="pct"/>
            <w:tcBorders>
              <w:right w:val="single" w:color="auto" w:sz="4" w:space="0"/>
            </w:tcBorders>
            <w:vAlign w:val="center"/>
          </w:tcPr>
          <w:p w14:paraId="76C6A9F2">
            <w:pPr>
              <w:shd w:val="clear"/>
              <w:spacing w:line="360" w:lineRule="auto"/>
              <w:jc w:val="center"/>
              <w:rPr>
                <w:rFonts w:hint="eastAsia" w:ascii="仿宋" w:hAnsi="仿宋" w:eastAsia="仿宋" w:cs="仿宋"/>
                <w:color w:val="auto"/>
                <w:kern w:val="0"/>
                <w:sz w:val="24"/>
                <w:szCs w:val="24"/>
                <w:highlight w:val="none"/>
              </w:rPr>
            </w:pPr>
          </w:p>
        </w:tc>
        <w:tc>
          <w:tcPr>
            <w:tcW w:w="825" w:type="pct"/>
            <w:tcBorders>
              <w:left w:val="single" w:color="auto" w:sz="4" w:space="0"/>
            </w:tcBorders>
            <w:vAlign w:val="center"/>
          </w:tcPr>
          <w:p w14:paraId="2103186B">
            <w:pPr>
              <w:shd w:val="clear"/>
              <w:spacing w:line="360" w:lineRule="auto"/>
              <w:jc w:val="center"/>
              <w:rPr>
                <w:rFonts w:hint="eastAsia" w:ascii="仿宋" w:hAnsi="仿宋" w:eastAsia="仿宋" w:cs="仿宋"/>
                <w:color w:val="auto"/>
                <w:kern w:val="0"/>
                <w:sz w:val="24"/>
                <w:szCs w:val="24"/>
                <w:highlight w:val="none"/>
              </w:rPr>
            </w:pPr>
          </w:p>
        </w:tc>
        <w:tc>
          <w:tcPr>
            <w:tcW w:w="826" w:type="pct"/>
            <w:gridSpan w:val="2"/>
            <w:tcBorders>
              <w:left w:val="single" w:color="auto" w:sz="4" w:space="0"/>
            </w:tcBorders>
            <w:vAlign w:val="center"/>
          </w:tcPr>
          <w:p w14:paraId="1C8C69D9">
            <w:pPr>
              <w:shd w:val="clear"/>
              <w:spacing w:line="360" w:lineRule="auto"/>
              <w:jc w:val="center"/>
              <w:rPr>
                <w:rFonts w:hint="eastAsia" w:ascii="仿宋" w:hAnsi="仿宋" w:eastAsia="仿宋" w:cs="仿宋"/>
                <w:color w:val="auto"/>
                <w:kern w:val="0"/>
                <w:sz w:val="24"/>
                <w:szCs w:val="24"/>
                <w:highlight w:val="none"/>
              </w:rPr>
            </w:pPr>
          </w:p>
        </w:tc>
        <w:tc>
          <w:tcPr>
            <w:tcW w:w="830" w:type="pct"/>
            <w:vAlign w:val="center"/>
          </w:tcPr>
          <w:p w14:paraId="3726E446">
            <w:pPr>
              <w:shd w:val="clear"/>
              <w:spacing w:line="360" w:lineRule="auto"/>
              <w:jc w:val="center"/>
              <w:rPr>
                <w:rFonts w:hint="eastAsia" w:ascii="仿宋" w:hAnsi="仿宋" w:eastAsia="仿宋" w:cs="仿宋"/>
                <w:bCs/>
                <w:color w:val="auto"/>
                <w:sz w:val="24"/>
                <w:szCs w:val="24"/>
                <w:highlight w:val="none"/>
              </w:rPr>
            </w:pPr>
          </w:p>
        </w:tc>
      </w:tr>
      <w:tr w14:paraId="2F440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3347" w:type="pct"/>
            <w:gridSpan w:val="6"/>
            <w:tcBorders>
              <w:right w:val="single" w:color="auto" w:sz="4" w:space="0"/>
            </w:tcBorders>
            <w:vAlign w:val="center"/>
          </w:tcPr>
          <w:p w14:paraId="432162F1">
            <w:pPr>
              <w:shd w:val="clea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合计</w:t>
            </w:r>
            <w:r>
              <w:rPr>
                <w:rFonts w:hint="eastAsia" w:ascii="仿宋" w:hAnsi="仿宋" w:eastAsia="仿宋" w:cs="仿宋"/>
                <w:bCs/>
                <w:color w:val="auto"/>
                <w:sz w:val="24"/>
                <w:szCs w:val="24"/>
                <w:highlight w:val="none"/>
              </w:rPr>
              <w:t>（元）</w:t>
            </w:r>
          </w:p>
        </w:tc>
        <w:tc>
          <w:tcPr>
            <w:tcW w:w="822" w:type="pct"/>
            <w:tcBorders>
              <w:left w:val="single" w:color="auto" w:sz="4" w:space="0"/>
            </w:tcBorders>
            <w:vAlign w:val="center"/>
          </w:tcPr>
          <w:p w14:paraId="5B7D4B2C">
            <w:pPr>
              <w:shd w:val="clear"/>
              <w:spacing w:line="360" w:lineRule="auto"/>
              <w:jc w:val="center"/>
              <w:rPr>
                <w:rFonts w:hint="eastAsia" w:ascii="仿宋" w:hAnsi="仿宋" w:eastAsia="仿宋" w:cs="仿宋"/>
                <w:bCs/>
                <w:color w:val="auto"/>
                <w:sz w:val="24"/>
                <w:szCs w:val="24"/>
                <w:highlight w:val="none"/>
              </w:rPr>
            </w:pPr>
          </w:p>
        </w:tc>
        <w:tc>
          <w:tcPr>
            <w:tcW w:w="830" w:type="pct"/>
            <w:vAlign w:val="center"/>
          </w:tcPr>
          <w:p w14:paraId="6BA2CA29">
            <w:pPr>
              <w:shd w:val="clear"/>
              <w:spacing w:line="360" w:lineRule="auto"/>
              <w:jc w:val="center"/>
              <w:rPr>
                <w:rFonts w:hint="eastAsia" w:ascii="仿宋" w:hAnsi="仿宋" w:eastAsia="仿宋" w:cs="仿宋"/>
                <w:bCs/>
                <w:color w:val="auto"/>
                <w:sz w:val="24"/>
                <w:szCs w:val="24"/>
                <w:highlight w:val="none"/>
              </w:rPr>
            </w:pPr>
          </w:p>
        </w:tc>
      </w:tr>
    </w:tbl>
    <w:p w14:paraId="279C0895">
      <w:pPr>
        <w:spacing w:line="360" w:lineRule="auto"/>
        <w:rPr>
          <w:rFonts w:hint="eastAsia" w:ascii="仿宋" w:hAnsi="仿宋" w:eastAsia="仿宋" w:cs="仿宋"/>
          <w:color w:val="auto"/>
          <w:sz w:val="24"/>
          <w:szCs w:val="24"/>
          <w:highlight w:val="none"/>
          <w:shd w:val="clear" w:color="auto" w:fill="FFFFFF" w:themeFill="background1"/>
        </w:rPr>
      </w:pPr>
    </w:p>
    <w:p w14:paraId="220B9A67">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备注：</w:t>
      </w:r>
    </w:p>
    <w:p w14:paraId="0A5B2F8C">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1、投标人填报投标价格合计应与投标函载明价格一致，若不一致，应按照第二章评审办法修正原则进行修正。</w:t>
      </w:r>
    </w:p>
    <w:p w14:paraId="3B4D5718">
      <w:pPr>
        <w:spacing w:line="360" w:lineRule="auto"/>
        <w:rPr>
          <w:rFonts w:hint="eastAsia" w:ascii="仿宋" w:hAnsi="仿宋" w:eastAsia="仿宋" w:cs="仿宋"/>
          <w:color w:val="auto"/>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2、投标人的服务只允许有一个报价，采购人不接受有任何选择的报价。投标价格应包括投标人履行本项目合同（如果成交）所必须的所有成本费用和成交投标人应承担的一切费用，包括但不仅限于必要资料、交通、保险、人工费、税费等一切费用。未列和没有填写的项目费用，采购人将视为已包括在投标价格中。</w:t>
      </w:r>
    </w:p>
    <w:p w14:paraId="512494CD">
      <w:pPr>
        <w:spacing w:line="360" w:lineRule="auto"/>
        <w:jc w:val="left"/>
        <w:rPr>
          <w:rFonts w:hint="eastAsia" w:ascii="仿宋" w:hAnsi="仿宋" w:eastAsia="仿宋" w:cs="仿宋"/>
          <w:color w:val="auto"/>
          <w:sz w:val="24"/>
          <w:szCs w:val="24"/>
          <w:highlight w:val="none"/>
          <w:shd w:val="clear" w:color="auto" w:fill="FFFFFF" w:themeFill="background1"/>
        </w:rPr>
      </w:pPr>
    </w:p>
    <w:p w14:paraId="2426E921">
      <w:pPr>
        <w:spacing w:line="360" w:lineRule="auto"/>
        <w:jc w:val="left"/>
        <w:rPr>
          <w:rFonts w:hint="eastAsia" w:ascii="仿宋" w:hAnsi="仿宋" w:eastAsia="仿宋" w:cs="仿宋"/>
          <w:color w:val="auto"/>
          <w:sz w:val="24"/>
          <w:szCs w:val="24"/>
          <w:highlight w:val="none"/>
          <w:shd w:val="clear" w:color="auto" w:fill="FFFFFF" w:themeFill="background1"/>
        </w:rPr>
      </w:pPr>
    </w:p>
    <w:p w14:paraId="048A84B0">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4919E201">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745488C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55E93718">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31B76A8D">
      <w:pPr>
        <w:widowControl/>
        <w:spacing w:line="360" w:lineRule="auto"/>
        <w:jc w:val="lef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bCs/>
          <w:color w:val="auto"/>
          <w:kern w:val="36"/>
          <w:sz w:val="24"/>
          <w:szCs w:val="24"/>
          <w:highlight w:val="none"/>
          <w:shd w:val="clear" w:color="auto" w:fill="FFFFFF" w:themeFill="background1"/>
        </w:rPr>
        <w:br w:type="page"/>
      </w:r>
    </w:p>
    <w:p w14:paraId="5A96D184">
      <w:pPr>
        <w:tabs>
          <w:tab w:val="center" w:pos="4832"/>
          <w:tab w:val="left" w:pos="7140"/>
        </w:tabs>
        <w:spacing w:line="360" w:lineRule="auto"/>
        <w:jc w:val="center"/>
        <w:outlineLvl w:val="1"/>
        <w:rPr>
          <w:rFonts w:hint="eastAsia" w:ascii="仿宋" w:hAnsi="仿宋" w:eastAsia="仿宋" w:cs="仿宋"/>
          <w:color w:val="auto"/>
          <w:kern w:val="0"/>
          <w:sz w:val="24"/>
          <w:szCs w:val="24"/>
          <w:highlight w:val="none"/>
          <w:shd w:val="clear" w:color="auto" w:fill="FFFFFF" w:themeFill="background1"/>
        </w:rPr>
      </w:pPr>
      <w:bookmarkStart w:id="331" w:name="_Toc10230"/>
      <w:bookmarkStart w:id="332" w:name="_Toc5136"/>
      <w:r>
        <w:rPr>
          <w:rFonts w:hint="eastAsia" w:ascii="仿宋" w:hAnsi="仿宋" w:eastAsia="仿宋" w:cs="仿宋"/>
          <w:b/>
          <w:color w:val="auto"/>
          <w:sz w:val="24"/>
          <w:szCs w:val="24"/>
          <w:highlight w:val="none"/>
          <w:shd w:val="clear" w:color="auto" w:fill="FFFFFF" w:themeFill="background1"/>
        </w:rPr>
        <w:t>四、商务条款偏离表</w:t>
      </w:r>
      <w:bookmarkEnd w:id="326"/>
      <w:bookmarkEnd w:id="327"/>
      <w:bookmarkEnd w:id="328"/>
      <w:bookmarkEnd w:id="331"/>
      <w:bookmarkEnd w:id="332"/>
    </w:p>
    <w:tbl>
      <w:tblPr>
        <w:tblStyle w:val="41"/>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6997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3AFDCBF">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814" w:type="dxa"/>
            <w:vAlign w:val="center"/>
          </w:tcPr>
          <w:p w14:paraId="38F65EE7">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招标文件条目号</w:t>
            </w:r>
          </w:p>
        </w:tc>
        <w:tc>
          <w:tcPr>
            <w:tcW w:w="2083" w:type="dxa"/>
            <w:vAlign w:val="center"/>
          </w:tcPr>
          <w:p w14:paraId="4A636E99">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招标文件商务条款</w:t>
            </w:r>
          </w:p>
        </w:tc>
        <w:tc>
          <w:tcPr>
            <w:tcW w:w="2182" w:type="dxa"/>
            <w:vAlign w:val="center"/>
          </w:tcPr>
          <w:p w14:paraId="5AC49377">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投标文件商务条款</w:t>
            </w:r>
          </w:p>
        </w:tc>
        <w:tc>
          <w:tcPr>
            <w:tcW w:w="1155" w:type="dxa"/>
            <w:vAlign w:val="center"/>
          </w:tcPr>
          <w:p w14:paraId="41534602">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偏离</w:t>
            </w:r>
          </w:p>
        </w:tc>
        <w:tc>
          <w:tcPr>
            <w:tcW w:w="1219" w:type="dxa"/>
            <w:vAlign w:val="center"/>
          </w:tcPr>
          <w:p w14:paraId="210C4EF9">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说明</w:t>
            </w:r>
          </w:p>
        </w:tc>
      </w:tr>
      <w:tr w14:paraId="66EB5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532C97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45E763C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70D6FAD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3A77C0F3">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5D52CF0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61DD0107">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21967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F86F99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024720A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12F7B4DB">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4B8CE8E0">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4D02A6B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5F64A24A">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36223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E7E1BC1">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1CF19FC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40D913C4">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50B8B8D0">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51A6384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1979093A">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283E5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028F70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2FC71924">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6FB17F3B">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1851233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6FF00B82">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5BD19121">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1826F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1040A13">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0E0552F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1B706A6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3DD1848F">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7CF7465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372E905C">
            <w:pPr>
              <w:spacing w:line="360" w:lineRule="auto"/>
              <w:jc w:val="center"/>
              <w:rPr>
                <w:rFonts w:hint="eastAsia" w:ascii="仿宋" w:hAnsi="仿宋" w:eastAsia="仿宋" w:cs="仿宋"/>
                <w:b/>
                <w:bCs/>
                <w:color w:val="auto"/>
                <w:szCs w:val="21"/>
                <w:highlight w:val="none"/>
                <w:shd w:val="clear" w:color="auto" w:fill="FFFFFF" w:themeFill="background1"/>
              </w:rPr>
            </w:pPr>
          </w:p>
        </w:tc>
      </w:tr>
    </w:tbl>
    <w:p w14:paraId="220AD476">
      <w:pPr>
        <w:spacing w:line="360" w:lineRule="auto"/>
        <w:ind w:firstLine="420" w:firstLineChars="200"/>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备注：投标人对招标文件商务条款有偏离的，应在此表中列明实际响应的内容并加以说明，以便查对。请在此偏离表“偏离”中填写无偏离或正偏离或负偏离。商务条款是指投标人须知前附表中的实质性内容。</w:t>
      </w:r>
    </w:p>
    <w:p w14:paraId="609B0BD8">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5D587229">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250D247A">
      <w:pPr>
        <w:spacing w:line="360" w:lineRule="auto"/>
        <w:jc w:val="left"/>
        <w:rPr>
          <w:rFonts w:hint="eastAsia" w:ascii="仿宋" w:hAnsi="仿宋" w:eastAsia="仿宋" w:cs="仿宋"/>
          <w:color w:val="auto"/>
          <w:sz w:val="24"/>
          <w:szCs w:val="24"/>
          <w:highlight w:val="none"/>
          <w:shd w:val="clear" w:color="auto" w:fill="FFFFFF" w:themeFill="background1"/>
        </w:rPr>
      </w:pPr>
    </w:p>
    <w:p w14:paraId="2A41CD16">
      <w:pPr>
        <w:spacing w:line="360" w:lineRule="auto"/>
        <w:jc w:val="left"/>
        <w:rPr>
          <w:rFonts w:hint="eastAsia" w:ascii="仿宋" w:hAnsi="仿宋" w:eastAsia="仿宋" w:cs="仿宋"/>
          <w:color w:val="auto"/>
          <w:sz w:val="24"/>
          <w:szCs w:val="24"/>
          <w:highlight w:val="none"/>
          <w:shd w:val="clear" w:color="auto" w:fill="FFFFFF" w:themeFill="background1"/>
        </w:rPr>
      </w:pPr>
    </w:p>
    <w:p w14:paraId="0DC80D98">
      <w:pPr>
        <w:spacing w:line="360" w:lineRule="auto"/>
        <w:jc w:val="left"/>
        <w:rPr>
          <w:rFonts w:hint="eastAsia" w:ascii="仿宋" w:hAnsi="仿宋" w:eastAsia="仿宋" w:cs="仿宋"/>
          <w:color w:val="auto"/>
          <w:sz w:val="24"/>
          <w:szCs w:val="24"/>
          <w:highlight w:val="none"/>
          <w:shd w:val="clear" w:color="auto" w:fill="FFFFFF" w:themeFill="background1"/>
        </w:rPr>
      </w:pPr>
    </w:p>
    <w:p w14:paraId="442510A0">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65ED7B5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360EFF1D">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35ADDBAF">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431BC006">
      <w:pPr>
        <w:widowControl/>
        <w:spacing w:line="360" w:lineRule="auto"/>
        <w:jc w:val="left"/>
        <w:rPr>
          <w:rFonts w:hint="eastAsia" w:ascii="仿宋" w:hAnsi="仿宋" w:eastAsia="仿宋" w:cs="仿宋"/>
          <w:b/>
          <w:bCs/>
          <w:color w:val="auto"/>
          <w:kern w:val="36"/>
          <w:sz w:val="24"/>
          <w:szCs w:val="24"/>
          <w:highlight w:val="none"/>
          <w:shd w:val="clear" w:color="auto" w:fill="FFFFFF" w:themeFill="background1"/>
        </w:rPr>
      </w:pPr>
      <w:r>
        <w:rPr>
          <w:rFonts w:hint="eastAsia" w:ascii="仿宋" w:hAnsi="仿宋" w:eastAsia="仿宋" w:cs="仿宋"/>
          <w:b/>
          <w:bCs/>
          <w:color w:val="auto"/>
          <w:kern w:val="36"/>
          <w:sz w:val="24"/>
          <w:szCs w:val="24"/>
          <w:highlight w:val="none"/>
          <w:shd w:val="clear" w:color="auto" w:fill="FFFFFF" w:themeFill="background1"/>
        </w:rPr>
        <w:br w:type="page"/>
      </w:r>
    </w:p>
    <w:p w14:paraId="4B8E192E">
      <w:pPr>
        <w:tabs>
          <w:tab w:val="center" w:pos="4832"/>
          <w:tab w:val="left" w:pos="7140"/>
        </w:tabs>
        <w:spacing w:line="360" w:lineRule="auto"/>
        <w:jc w:val="center"/>
        <w:outlineLvl w:val="1"/>
        <w:rPr>
          <w:rFonts w:hint="eastAsia" w:ascii="仿宋" w:hAnsi="仿宋" w:eastAsia="仿宋" w:cs="仿宋"/>
          <w:color w:val="auto"/>
          <w:kern w:val="0"/>
          <w:sz w:val="24"/>
          <w:szCs w:val="24"/>
          <w:highlight w:val="none"/>
          <w:shd w:val="clear" w:color="auto" w:fill="FFFFFF" w:themeFill="background1"/>
        </w:rPr>
      </w:pPr>
      <w:bookmarkStart w:id="333" w:name="_Toc4958"/>
      <w:bookmarkStart w:id="334" w:name="_Toc1549"/>
      <w:r>
        <w:rPr>
          <w:rFonts w:hint="eastAsia" w:ascii="仿宋" w:hAnsi="仿宋" w:eastAsia="仿宋" w:cs="仿宋"/>
          <w:b/>
          <w:color w:val="auto"/>
          <w:sz w:val="24"/>
          <w:szCs w:val="24"/>
          <w:highlight w:val="none"/>
          <w:shd w:val="clear" w:color="auto" w:fill="FFFFFF" w:themeFill="background1"/>
        </w:rPr>
        <w:t>五、技术条款偏离表</w:t>
      </w:r>
      <w:bookmarkEnd w:id="333"/>
      <w:bookmarkEnd w:id="334"/>
    </w:p>
    <w:tbl>
      <w:tblPr>
        <w:tblStyle w:val="41"/>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BFD0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35C3E44">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814" w:type="dxa"/>
            <w:vAlign w:val="center"/>
          </w:tcPr>
          <w:p w14:paraId="1076A5BC">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招标文件条目号</w:t>
            </w:r>
          </w:p>
        </w:tc>
        <w:tc>
          <w:tcPr>
            <w:tcW w:w="2083" w:type="dxa"/>
            <w:vAlign w:val="center"/>
          </w:tcPr>
          <w:p w14:paraId="75271D4B">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招标文件技术条款</w:t>
            </w:r>
          </w:p>
        </w:tc>
        <w:tc>
          <w:tcPr>
            <w:tcW w:w="2182" w:type="dxa"/>
            <w:vAlign w:val="center"/>
          </w:tcPr>
          <w:p w14:paraId="6996187C">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投标文件技术条款</w:t>
            </w:r>
          </w:p>
        </w:tc>
        <w:tc>
          <w:tcPr>
            <w:tcW w:w="1155" w:type="dxa"/>
            <w:vAlign w:val="center"/>
          </w:tcPr>
          <w:p w14:paraId="282D9436">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偏离</w:t>
            </w:r>
          </w:p>
        </w:tc>
        <w:tc>
          <w:tcPr>
            <w:tcW w:w="1219" w:type="dxa"/>
            <w:vAlign w:val="center"/>
          </w:tcPr>
          <w:p w14:paraId="449CF985">
            <w:pPr>
              <w:spacing w:line="360" w:lineRule="auto"/>
              <w:jc w:val="center"/>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说明</w:t>
            </w:r>
          </w:p>
        </w:tc>
      </w:tr>
      <w:tr w14:paraId="40A58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201EAA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363F989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4E1B7CA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5018553E">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58386107">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391BB04E">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2BF2B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93347C0">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792B4550">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58082103">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64E7633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30B01A2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2F5975C8">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27C3C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186D1B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1055E5CD">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76F03B5E">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66887258">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68089BF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01DE722C">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2A1DA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2BD62E2">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7AAFFA09">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5EE0E8A3">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042A2580">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7F52DD31">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5DB037AF">
            <w:pPr>
              <w:spacing w:line="360" w:lineRule="auto"/>
              <w:jc w:val="center"/>
              <w:rPr>
                <w:rFonts w:hint="eastAsia" w:ascii="仿宋" w:hAnsi="仿宋" w:eastAsia="仿宋" w:cs="仿宋"/>
                <w:b/>
                <w:bCs/>
                <w:color w:val="auto"/>
                <w:szCs w:val="21"/>
                <w:highlight w:val="none"/>
                <w:shd w:val="clear" w:color="auto" w:fill="FFFFFF" w:themeFill="background1"/>
              </w:rPr>
            </w:pPr>
          </w:p>
        </w:tc>
      </w:tr>
      <w:tr w14:paraId="35623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DD3EFBB">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814" w:type="dxa"/>
            <w:vAlign w:val="center"/>
          </w:tcPr>
          <w:p w14:paraId="73C42065">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083" w:type="dxa"/>
            <w:vAlign w:val="center"/>
          </w:tcPr>
          <w:p w14:paraId="2B3D683D">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2182" w:type="dxa"/>
            <w:vAlign w:val="center"/>
          </w:tcPr>
          <w:p w14:paraId="5629E59C">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155" w:type="dxa"/>
            <w:vAlign w:val="center"/>
          </w:tcPr>
          <w:p w14:paraId="3A2C2F7E">
            <w:pPr>
              <w:spacing w:line="360" w:lineRule="auto"/>
              <w:jc w:val="center"/>
              <w:rPr>
                <w:rFonts w:hint="eastAsia" w:ascii="仿宋" w:hAnsi="仿宋" w:eastAsia="仿宋" w:cs="仿宋"/>
                <w:b/>
                <w:bCs/>
                <w:color w:val="auto"/>
                <w:szCs w:val="21"/>
                <w:highlight w:val="none"/>
                <w:shd w:val="clear" w:color="auto" w:fill="FFFFFF" w:themeFill="background1"/>
              </w:rPr>
            </w:pPr>
          </w:p>
        </w:tc>
        <w:tc>
          <w:tcPr>
            <w:tcW w:w="1219" w:type="dxa"/>
            <w:vAlign w:val="center"/>
          </w:tcPr>
          <w:p w14:paraId="4EA7D9C9">
            <w:pPr>
              <w:spacing w:line="360" w:lineRule="auto"/>
              <w:jc w:val="center"/>
              <w:rPr>
                <w:rFonts w:hint="eastAsia" w:ascii="仿宋" w:hAnsi="仿宋" w:eastAsia="仿宋" w:cs="仿宋"/>
                <w:b/>
                <w:bCs/>
                <w:color w:val="auto"/>
                <w:szCs w:val="21"/>
                <w:highlight w:val="none"/>
                <w:shd w:val="clear" w:color="auto" w:fill="FFFFFF" w:themeFill="background1"/>
              </w:rPr>
            </w:pPr>
          </w:p>
        </w:tc>
      </w:tr>
    </w:tbl>
    <w:p w14:paraId="0E3AE8F3">
      <w:pPr>
        <w:spacing w:line="360" w:lineRule="auto"/>
        <w:ind w:firstLine="420" w:firstLineChars="200"/>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备注：投标人对招标文件</w:t>
      </w:r>
      <w:r>
        <w:rPr>
          <w:rFonts w:hint="eastAsia" w:ascii="仿宋" w:hAnsi="仿宋" w:eastAsia="仿宋" w:cs="仿宋"/>
          <w:bCs/>
          <w:color w:val="auto"/>
          <w:szCs w:val="21"/>
          <w:highlight w:val="none"/>
          <w:shd w:val="clear" w:color="auto" w:fill="FFFFFF" w:themeFill="background1"/>
        </w:rPr>
        <w:t>技术</w:t>
      </w:r>
      <w:r>
        <w:rPr>
          <w:rFonts w:hint="eastAsia" w:ascii="仿宋" w:hAnsi="仿宋" w:eastAsia="仿宋" w:cs="仿宋"/>
          <w:color w:val="auto"/>
          <w:szCs w:val="24"/>
          <w:highlight w:val="none"/>
          <w:shd w:val="clear" w:color="auto" w:fill="FFFFFF" w:themeFill="background1"/>
        </w:rPr>
        <w:t>条款有偏离的，应在此表中列明实际响应的内容并加以说明，以便查对。请在此偏离表“偏离”中填写无偏离或正偏离或负偏离。技术条款是指服务标准和要求中的实质性内容。</w:t>
      </w:r>
    </w:p>
    <w:p w14:paraId="5E4B676E">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428A30F9">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3BD5B4B3">
      <w:pPr>
        <w:spacing w:line="360" w:lineRule="auto"/>
        <w:jc w:val="left"/>
        <w:rPr>
          <w:rFonts w:hint="eastAsia" w:ascii="仿宋" w:hAnsi="仿宋" w:eastAsia="仿宋" w:cs="仿宋"/>
          <w:color w:val="auto"/>
          <w:sz w:val="24"/>
          <w:szCs w:val="24"/>
          <w:highlight w:val="none"/>
          <w:shd w:val="clear" w:color="auto" w:fill="FFFFFF" w:themeFill="background1"/>
        </w:rPr>
      </w:pPr>
    </w:p>
    <w:p w14:paraId="1E154531">
      <w:pPr>
        <w:spacing w:line="360" w:lineRule="auto"/>
        <w:jc w:val="left"/>
        <w:rPr>
          <w:rFonts w:hint="eastAsia" w:ascii="仿宋" w:hAnsi="仿宋" w:eastAsia="仿宋" w:cs="仿宋"/>
          <w:color w:val="auto"/>
          <w:sz w:val="24"/>
          <w:szCs w:val="24"/>
          <w:highlight w:val="none"/>
          <w:shd w:val="clear" w:color="auto" w:fill="FFFFFF" w:themeFill="background1"/>
        </w:rPr>
      </w:pPr>
    </w:p>
    <w:p w14:paraId="067A2476">
      <w:pPr>
        <w:spacing w:line="360" w:lineRule="auto"/>
        <w:jc w:val="left"/>
        <w:rPr>
          <w:rFonts w:hint="eastAsia" w:ascii="仿宋" w:hAnsi="仿宋" w:eastAsia="仿宋" w:cs="仿宋"/>
          <w:color w:val="auto"/>
          <w:sz w:val="24"/>
          <w:szCs w:val="24"/>
          <w:highlight w:val="none"/>
          <w:shd w:val="clear" w:color="auto" w:fill="FFFFFF" w:themeFill="background1"/>
        </w:rPr>
      </w:pPr>
    </w:p>
    <w:p w14:paraId="58552C9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0783F5FB">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7DD2A9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592807E6">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2BDB8EA7">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bCs/>
          <w:color w:val="auto"/>
          <w:kern w:val="36"/>
          <w:sz w:val="24"/>
          <w:szCs w:val="24"/>
          <w:highlight w:val="none"/>
          <w:shd w:val="clear" w:color="auto" w:fill="FFFFFF" w:themeFill="background1"/>
        </w:rPr>
        <w:br w:type="page"/>
      </w:r>
      <w:bookmarkStart w:id="335" w:name="_Toc533503185"/>
      <w:bookmarkStart w:id="336" w:name="_Toc31121"/>
      <w:bookmarkStart w:id="337" w:name="_Toc507586170"/>
      <w:bookmarkStart w:id="338" w:name="_Toc30533"/>
      <w:bookmarkStart w:id="339" w:name="_Toc38446475"/>
      <w:r>
        <w:rPr>
          <w:rFonts w:hint="eastAsia" w:ascii="仿宋" w:hAnsi="仿宋" w:eastAsia="仿宋" w:cs="仿宋"/>
          <w:b/>
          <w:color w:val="auto"/>
          <w:sz w:val="24"/>
          <w:szCs w:val="24"/>
          <w:highlight w:val="none"/>
          <w:shd w:val="clear" w:color="auto" w:fill="FFFFFF" w:themeFill="background1"/>
        </w:rPr>
        <w:t>六、法定代表人身份证明书</w:t>
      </w:r>
      <w:bookmarkEnd w:id="335"/>
      <w:bookmarkEnd w:id="336"/>
      <w:bookmarkEnd w:id="337"/>
      <w:bookmarkEnd w:id="338"/>
      <w:bookmarkEnd w:id="339"/>
    </w:p>
    <w:p w14:paraId="0FBCD186">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3B8A082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 标 人：</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008F553E">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单位性质：</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24DD2347">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地    址：</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213BB97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成立时间：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月</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日</w:t>
      </w:r>
    </w:p>
    <w:p w14:paraId="6A3D4C6F">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经营期限：</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07084ED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DF04908">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姓名：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性别：</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年龄：</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职务：</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系</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（投标人名称）的法定代表人。</w:t>
      </w:r>
    </w:p>
    <w:p w14:paraId="6B0C08CE">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特此证明。</w:t>
      </w:r>
    </w:p>
    <w:p w14:paraId="4BC0C7FE">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5B874677">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附：法定代表人身份证明</w:t>
      </w:r>
    </w:p>
    <w:p w14:paraId="31A42BB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tbl>
      <w:tblPr>
        <w:tblStyle w:val="4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8A61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03124B0">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法定代表人身份证复印件（正面）</w:t>
            </w:r>
          </w:p>
        </w:tc>
      </w:tr>
    </w:tbl>
    <w:p w14:paraId="473474D7">
      <w:pPr>
        <w:spacing w:line="360" w:lineRule="auto"/>
        <w:rPr>
          <w:rFonts w:hint="eastAsia" w:ascii="仿宋" w:hAnsi="仿宋" w:eastAsia="仿宋" w:cs="仿宋"/>
          <w:vanish/>
          <w:color w:val="auto"/>
          <w:sz w:val="24"/>
          <w:szCs w:val="24"/>
          <w:highlight w:val="none"/>
          <w:shd w:val="clear" w:color="auto" w:fill="FFFFFF" w:themeFill="background1"/>
        </w:rPr>
      </w:pPr>
    </w:p>
    <w:tbl>
      <w:tblPr>
        <w:tblStyle w:val="41"/>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5368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2E0B4AAE">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法定代表人身份证复印件（反面）</w:t>
            </w:r>
          </w:p>
        </w:tc>
      </w:tr>
    </w:tbl>
    <w:p w14:paraId="3473E597">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w:t>
      </w:r>
    </w:p>
    <w:p w14:paraId="0E9071F1">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23C4904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53E76626">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日期： 年  月  日</w:t>
      </w:r>
    </w:p>
    <w:p w14:paraId="1D0E18A1">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p>
    <w:p w14:paraId="4BA8AD4A">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p>
    <w:p w14:paraId="3A87C0B1">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bCs/>
          <w:color w:val="auto"/>
          <w:kern w:val="0"/>
          <w:sz w:val="24"/>
          <w:szCs w:val="24"/>
          <w:highlight w:val="none"/>
          <w:shd w:val="clear" w:color="auto" w:fill="FFFFFF" w:themeFill="background1"/>
        </w:rPr>
        <w:br w:type="page"/>
      </w:r>
      <w:bookmarkStart w:id="340" w:name="_Toc29637"/>
      <w:bookmarkStart w:id="341" w:name="_Toc24163"/>
      <w:bookmarkStart w:id="342" w:name="_Toc507586171"/>
      <w:bookmarkStart w:id="343" w:name="_Toc38446476"/>
      <w:bookmarkStart w:id="344" w:name="_Toc533503186"/>
      <w:r>
        <w:rPr>
          <w:rFonts w:hint="eastAsia" w:ascii="仿宋" w:hAnsi="仿宋" w:eastAsia="仿宋" w:cs="仿宋"/>
          <w:b/>
          <w:color w:val="auto"/>
          <w:sz w:val="24"/>
          <w:szCs w:val="24"/>
          <w:highlight w:val="none"/>
          <w:shd w:val="clear" w:color="auto" w:fill="FFFFFF" w:themeFill="background1"/>
        </w:rPr>
        <w:t>七、法定代表人授权委托书</w:t>
      </w:r>
      <w:bookmarkEnd w:id="340"/>
      <w:bookmarkEnd w:id="341"/>
      <w:bookmarkEnd w:id="342"/>
      <w:bookmarkEnd w:id="343"/>
      <w:bookmarkEnd w:id="344"/>
    </w:p>
    <w:p w14:paraId="583612A1">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2C2EB2D4">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（姓名）系</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（投标人名称）的法定代表人，现拟派我单位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（姓名）为我方委托代理人。委托代理人根据授权，就</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w:t>
      </w:r>
      <w:r>
        <w:rPr>
          <w:rFonts w:hint="eastAsia" w:ascii="仿宋" w:hAnsi="仿宋" w:eastAsia="仿宋" w:cs="仿宋"/>
          <w:color w:val="auto"/>
          <w:kern w:val="0"/>
          <w:sz w:val="24"/>
          <w:szCs w:val="24"/>
          <w:highlight w:val="none"/>
          <w:shd w:val="clear" w:color="auto" w:fill="FFFFFF" w:themeFill="background1"/>
          <w:lang w:val="en-US" w:eastAsia="zh-CN"/>
        </w:rPr>
        <w:t>标项</w:t>
      </w:r>
      <w:r>
        <w:rPr>
          <w:rFonts w:hint="eastAsia" w:ascii="仿宋" w:hAnsi="仿宋" w:eastAsia="仿宋" w:cs="仿宋"/>
          <w:color w:val="auto"/>
          <w:kern w:val="0"/>
          <w:sz w:val="24"/>
          <w:szCs w:val="24"/>
          <w:highlight w:val="none"/>
          <w:shd w:val="clear" w:color="auto" w:fill="FFFFFF" w:themeFill="background1"/>
        </w:rPr>
        <w:t>名称）的投标，以本公司名义处理一切与之有关的事务，其法律后果由我方承担。</w:t>
      </w:r>
    </w:p>
    <w:p w14:paraId="63D91008">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u w:val="singl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代理人：</w:t>
      </w:r>
      <w:r>
        <w:rPr>
          <w:rFonts w:hint="eastAsia" w:ascii="仿宋" w:hAnsi="仿宋" w:eastAsia="仿宋" w:cs="仿宋"/>
          <w:i/>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性别：</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年龄：</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3121C8B9">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单  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部门：</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职务：</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588453D3">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代理人无转委权，特此申明。</w:t>
      </w:r>
    </w:p>
    <w:p w14:paraId="3DFBFC4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28E3566">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附：委托代理人身份证明。</w:t>
      </w:r>
    </w:p>
    <w:p w14:paraId="1B85B8A2">
      <w:pPr>
        <w:pStyle w:val="2"/>
        <w:spacing w:before="6"/>
        <w:rPr>
          <w:rFonts w:hint="eastAsia" w:ascii="仿宋" w:hAnsi="仿宋" w:eastAsia="仿宋" w:cs="仿宋"/>
          <w:color w:val="auto"/>
          <w:sz w:val="21"/>
          <w:szCs w:val="21"/>
          <w:highlight w:val="none"/>
        </w:rPr>
      </w:pPr>
    </w:p>
    <w:p w14:paraId="7858600A">
      <w:pPr>
        <w:pStyle w:val="2"/>
        <w:rPr>
          <w:rFonts w:hint="eastAsia" w:ascii="仿宋" w:hAnsi="仿宋" w:eastAsia="仿宋" w:cs="仿宋"/>
          <w:color w:val="auto"/>
          <w:sz w:val="21"/>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10795" b="1397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4D4DB2B1">
                            <w:pPr>
                              <w:pStyle w:val="2"/>
                              <w:autoSpaceDE w:val="0"/>
                              <w:autoSpaceDN w:val="0"/>
                              <w:ind w:firstLine="480" w:firstLineChars="200"/>
                              <w:rPr>
                                <w:rFonts w:ascii="宋体" w:hAnsi="宋体" w:cs="宋体"/>
                              </w:rPr>
                            </w:pPr>
                          </w:p>
                          <w:p w14:paraId="02281D9A">
                            <w:pPr>
                              <w:pStyle w:val="2"/>
                              <w:autoSpaceDE w:val="0"/>
                              <w:autoSpaceDN w:val="0"/>
                              <w:ind w:firstLine="480" w:firstLineChars="200"/>
                              <w:rPr>
                                <w:rFonts w:ascii="宋体" w:hAnsi="宋体" w:cs="宋体"/>
                              </w:rPr>
                            </w:pPr>
                            <w:r>
                              <w:rPr>
                                <w:rFonts w:hint="eastAsia" w:ascii="宋体" w:hAnsi="宋体" w:cs="宋体"/>
                              </w:rPr>
                              <w:t>法定代表人身份证复印件</w:t>
                            </w:r>
                          </w:p>
                          <w:p w14:paraId="6FEBE11C">
                            <w:pPr>
                              <w:pStyle w:val="2"/>
                              <w:autoSpaceDE w:val="0"/>
                              <w:autoSpaceDN w:val="0"/>
                              <w:jc w:val="center"/>
                              <w:rPr>
                                <w:rFonts w:ascii="宋体" w:hAnsi="宋体" w:cs="宋体"/>
                              </w:rPr>
                            </w:pPr>
                            <w:r>
                              <w:rPr>
                                <w:rFonts w:hint="eastAsia" w:ascii="宋体" w:hAnsi="宋体" w:cs="宋体"/>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6192;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M1Vq9gAAAAKAQAA&#10;DwAAAAAAAAABACAAAAAiAAAAZHJzL2Rvd25yZXYueG1sUEsBAhQAFAAAAAgAh07iQIhKeaUZAgAA&#10;QgQAAA4AAAAAAAAAAQAgAAAAJwEAAGRycy9lMm9Eb2MueG1sUEsFBgAAAAAGAAYAWQEAALIFAAAA&#10;AA==&#10;">
                <v:fill on="f" focussize="0,0"/>
                <v:stroke color="#000000" joinstyle="miter"/>
                <v:imagedata o:title=""/>
                <o:lock v:ext="edit" aspectratio="f"/>
                <v:textbox inset="0mm,0mm,0mm,0mm">
                  <w:txbxContent>
                    <w:p w14:paraId="4D4DB2B1">
                      <w:pPr>
                        <w:pStyle w:val="2"/>
                        <w:autoSpaceDE w:val="0"/>
                        <w:autoSpaceDN w:val="0"/>
                        <w:ind w:firstLine="480" w:firstLineChars="200"/>
                        <w:rPr>
                          <w:rFonts w:ascii="宋体" w:hAnsi="宋体" w:cs="宋体"/>
                        </w:rPr>
                      </w:pPr>
                    </w:p>
                    <w:p w14:paraId="02281D9A">
                      <w:pPr>
                        <w:pStyle w:val="2"/>
                        <w:autoSpaceDE w:val="0"/>
                        <w:autoSpaceDN w:val="0"/>
                        <w:ind w:firstLine="480" w:firstLineChars="200"/>
                        <w:rPr>
                          <w:rFonts w:ascii="宋体" w:hAnsi="宋体" w:cs="宋体"/>
                        </w:rPr>
                      </w:pPr>
                      <w:r>
                        <w:rPr>
                          <w:rFonts w:hint="eastAsia" w:ascii="宋体" w:hAnsi="宋体" w:cs="宋体"/>
                        </w:rPr>
                        <w:t>法定代表人身份证复印件</w:t>
                      </w:r>
                    </w:p>
                    <w:p w14:paraId="6FEBE11C">
                      <w:pPr>
                        <w:pStyle w:val="2"/>
                        <w:autoSpaceDE w:val="0"/>
                        <w:autoSpaceDN w:val="0"/>
                        <w:jc w:val="center"/>
                        <w:rPr>
                          <w:rFonts w:ascii="宋体" w:hAnsi="宋体" w:cs="宋体"/>
                        </w:rPr>
                      </w:pPr>
                      <w:r>
                        <w:rPr>
                          <w:rFonts w:hint="eastAsia" w:ascii="宋体" w:hAnsi="宋体" w:cs="宋体"/>
                        </w:rPr>
                        <w:t>（正面）</w:t>
                      </w:r>
                    </w:p>
                  </w:txbxContent>
                </v:textbox>
                <w10:wrap type="topAndBottom"/>
              </v:shap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10795" b="1397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16EDFF29">
                            <w:pPr>
                              <w:pStyle w:val="2"/>
                              <w:ind w:left="417" w:right="416"/>
                              <w:jc w:val="center"/>
                              <w:rPr>
                                <w:rFonts w:ascii="宋体" w:hAnsi="宋体" w:cs="宋体"/>
                              </w:rPr>
                            </w:pPr>
                          </w:p>
                          <w:p w14:paraId="30A0460F">
                            <w:pPr>
                              <w:pStyle w:val="2"/>
                              <w:ind w:left="417" w:right="416"/>
                              <w:jc w:val="center"/>
                              <w:rPr>
                                <w:rFonts w:ascii="宋体" w:hAnsi="宋体" w:cs="宋体"/>
                              </w:rPr>
                            </w:pPr>
                            <w:r>
                              <w:rPr>
                                <w:rFonts w:hint="eastAsia" w:ascii="宋体" w:hAnsi="宋体" w:cs="宋体"/>
                              </w:rPr>
                              <w:t>授权代表身份证复印件</w:t>
                            </w:r>
                          </w:p>
                          <w:p w14:paraId="3315AFC5">
                            <w:pPr>
                              <w:pStyle w:val="2"/>
                              <w:spacing w:before="2"/>
                              <w:ind w:left="417" w:right="416"/>
                              <w:jc w:val="center"/>
                              <w:rPr>
                                <w:rFonts w:ascii="宋体" w:hAnsi="宋体" w:cs="宋体"/>
                              </w:rPr>
                            </w:pPr>
                            <w:r>
                              <w:rPr>
                                <w:rFonts w:hint="eastAsia" w:ascii="宋体" w:hAnsi="宋体" w:cs="宋体"/>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5168;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QXk+LZAAAACgEA&#10;AA8AAAAAAAAAAQAgAAAAIgAAAGRycy9kb3ducmV2LnhtbFBLAQIUABQAAAAIAIdO4kCzPtrCGQIA&#10;AEIEAAAOAAAAAAAAAAEAIAAAACgBAABkcnMvZTJvRG9jLnhtbFBLBQYAAAAABgAGAFkBAACzBQAA&#10;AAA=&#10;">
                <v:fill on="f" focussize="0,0"/>
                <v:stroke color="#000000" joinstyle="miter"/>
                <v:imagedata o:title=""/>
                <o:lock v:ext="edit" aspectratio="f"/>
                <v:textbox inset="0mm,0mm,0mm,0mm">
                  <w:txbxContent>
                    <w:p w14:paraId="16EDFF29">
                      <w:pPr>
                        <w:pStyle w:val="2"/>
                        <w:ind w:left="417" w:right="416"/>
                        <w:jc w:val="center"/>
                        <w:rPr>
                          <w:rFonts w:ascii="宋体" w:hAnsi="宋体" w:cs="宋体"/>
                        </w:rPr>
                      </w:pPr>
                    </w:p>
                    <w:p w14:paraId="30A0460F">
                      <w:pPr>
                        <w:pStyle w:val="2"/>
                        <w:ind w:left="417" w:right="416"/>
                        <w:jc w:val="center"/>
                        <w:rPr>
                          <w:rFonts w:ascii="宋体" w:hAnsi="宋体" w:cs="宋体"/>
                        </w:rPr>
                      </w:pPr>
                      <w:r>
                        <w:rPr>
                          <w:rFonts w:hint="eastAsia" w:ascii="宋体" w:hAnsi="宋体" w:cs="宋体"/>
                        </w:rPr>
                        <w:t>授权代表身份证复印件</w:t>
                      </w:r>
                    </w:p>
                    <w:p w14:paraId="3315AFC5">
                      <w:pPr>
                        <w:pStyle w:val="2"/>
                        <w:spacing w:before="2"/>
                        <w:ind w:left="417" w:right="416"/>
                        <w:jc w:val="center"/>
                        <w:rPr>
                          <w:rFonts w:ascii="宋体" w:hAnsi="宋体" w:cs="宋体"/>
                        </w:rPr>
                      </w:pPr>
                      <w:r>
                        <w:rPr>
                          <w:rFonts w:hint="eastAsia" w:ascii="宋体" w:hAnsi="宋体" w:cs="宋体"/>
                        </w:rPr>
                        <w:t>（正面）</w:t>
                      </w:r>
                    </w:p>
                  </w:txbxContent>
                </v:textbox>
                <w10:wrap type="topAndBottom"/>
              </v:shap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10795" b="1397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3DB49F97">
                            <w:pPr>
                              <w:pStyle w:val="2"/>
                              <w:rPr>
                                <w:rFonts w:ascii="宋体" w:hAnsi="宋体" w:cs="宋体"/>
                              </w:rPr>
                            </w:pPr>
                          </w:p>
                          <w:p w14:paraId="5C71F3AA">
                            <w:pPr>
                              <w:pStyle w:val="2"/>
                              <w:ind w:left="417" w:right="417"/>
                              <w:jc w:val="center"/>
                              <w:rPr>
                                <w:rFonts w:ascii="宋体" w:hAnsi="宋体" w:cs="宋体"/>
                              </w:rPr>
                            </w:pPr>
                            <w:r>
                              <w:rPr>
                                <w:rFonts w:hint="eastAsia" w:ascii="宋体" w:hAnsi="宋体" w:cs="宋体"/>
                              </w:rPr>
                              <w:t>法定代表人身份证复印件</w:t>
                            </w:r>
                          </w:p>
                          <w:p w14:paraId="74596F9F">
                            <w:pPr>
                              <w:pStyle w:val="2"/>
                              <w:spacing w:before="8"/>
                              <w:ind w:left="417" w:right="416"/>
                              <w:jc w:val="center"/>
                              <w:rPr>
                                <w:rFonts w:ascii="宋体" w:hAnsi="宋体" w:cs="宋体"/>
                              </w:rPr>
                            </w:pPr>
                            <w:r>
                              <w:rPr>
                                <w:rFonts w:hint="eastAsia" w:ascii="宋体" w:hAnsi="宋体" w:cs="宋体"/>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4144;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N0TntsAAAAL&#10;AQAADwAAAAAAAAABACAAAAAiAAAAZHJzL2Rvd25yZXYueG1sUEsBAhQAFAAAAAgAh07iQEIEuIoZ&#10;AgAAQgQAAA4AAAAAAAAAAQAgAAAAKgEAAGRycy9lMm9Eb2MueG1sUEsFBgAAAAAGAAYAWQEAALUF&#10;AAAAAA==&#10;">
                <v:fill on="f" focussize="0,0"/>
                <v:stroke color="#000000" joinstyle="miter"/>
                <v:imagedata o:title=""/>
                <o:lock v:ext="edit" aspectratio="f"/>
                <v:textbox inset="0mm,0mm,0mm,0mm">
                  <w:txbxContent>
                    <w:p w14:paraId="3DB49F97">
                      <w:pPr>
                        <w:pStyle w:val="2"/>
                        <w:rPr>
                          <w:rFonts w:ascii="宋体" w:hAnsi="宋体" w:cs="宋体"/>
                        </w:rPr>
                      </w:pPr>
                    </w:p>
                    <w:p w14:paraId="5C71F3AA">
                      <w:pPr>
                        <w:pStyle w:val="2"/>
                        <w:ind w:left="417" w:right="417"/>
                        <w:jc w:val="center"/>
                        <w:rPr>
                          <w:rFonts w:ascii="宋体" w:hAnsi="宋体" w:cs="宋体"/>
                        </w:rPr>
                      </w:pPr>
                      <w:r>
                        <w:rPr>
                          <w:rFonts w:hint="eastAsia" w:ascii="宋体" w:hAnsi="宋体" w:cs="宋体"/>
                        </w:rPr>
                        <w:t>法定代表人身份证复印件</w:t>
                      </w:r>
                    </w:p>
                    <w:p w14:paraId="74596F9F">
                      <w:pPr>
                        <w:pStyle w:val="2"/>
                        <w:spacing w:before="8"/>
                        <w:ind w:left="417" w:right="416"/>
                        <w:jc w:val="center"/>
                        <w:rPr>
                          <w:rFonts w:ascii="宋体" w:hAnsi="宋体" w:cs="宋体"/>
                        </w:rPr>
                      </w:pPr>
                      <w:r>
                        <w:rPr>
                          <w:rFonts w:hint="eastAsia" w:ascii="宋体" w:hAnsi="宋体" w:cs="宋体"/>
                        </w:rPr>
                        <w:t>（反面）</w:t>
                      </w:r>
                    </w:p>
                  </w:txbxContent>
                </v:textbox>
                <w10:wrap type="topAndBottom"/>
              </v:shap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10795" b="1397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090BEDD4">
                            <w:pPr>
                              <w:pStyle w:val="2"/>
                              <w:rPr>
                                <w:rFonts w:ascii="宋体" w:hAnsi="宋体" w:cs="宋体"/>
                              </w:rPr>
                            </w:pPr>
                          </w:p>
                          <w:p w14:paraId="5FD03EF5">
                            <w:pPr>
                              <w:pStyle w:val="2"/>
                              <w:ind w:left="417" w:right="416"/>
                              <w:jc w:val="center"/>
                              <w:rPr>
                                <w:rFonts w:ascii="宋体" w:hAnsi="宋体" w:cs="宋体"/>
                              </w:rPr>
                            </w:pPr>
                            <w:r>
                              <w:rPr>
                                <w:rFonts w:hint="eastAsia" w:ascii="宋体" w:hAnsi="宋体" w:cs="宋体"/>
                              </w:rPr>
                              <w:t>授权代表身份证复印件</w:t>
                            </w:r>
                          </w:p>
                          <w:p w14:paraId="6FF60480">
                            <w:pPr>
                              <w:pStyle w:val="2"/>
                              <w:spacing w:before="3"/>
                              <w:ind w:left="417" w:right="416"/>
                              <w:jc w:val="center"/>
                              <w:rPr>
                                <w:rFonts w:ascii="宋体" w:hAnsi="宋体" w:cs="宋体"/>
                              </w:rPr>
                            </w:pPr>
                            <w:r>
                              <w:rPr>
                                <w:rFonts w:hint="eastAsia" w:ascii="宋体" w:hAnsi="宋体" w:cs="宋体"/>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3120;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pON3dsAAAAL&#10;AQAADwAAAAAAAAABACAAAAAiAAAAZHJzL2Rvd25yZXYueG1sUEsBAhQAFAAAAAgAh07iQO3tmbIZ&#10;AgAAQgQAAA4AAAAAAAAAAQAgAAAAKgEAAGRycy9lMm9Eb2MueG1sUEsFBgAAAAAGAAYAWQEAALUF&#10;AAAAAA==&#10;">
                <v:fill on="f" focussize="0,0"/>
                <v:stroke color="#000000" joinstyle="miter"/>
                <v:imagedata o:title=""/>
                <o:lock v:ext="edit" aspectratio="f"/>
                <v:textbox inset="0mm,0mm,0mm,0mm">
                  <w:txbxContent>
                    <w:p w14:paraId="090BEDD4">
                      <w:pPr>
                        <w:pStyle w:val="2"/>
                        <w:rPr>
                          <w:rFonts w:ascii="宋体" w:hAnsi="宋体" w:cs="宋体"/>
                        </w:rPr>
                      </w:pPr>
                    </w:p>
                    <w:p w14:paraId="5FD03EF5">
                      <w:pPr>
                        <w:pStyle w:val="2"/>
                        <w:ind w:left="417" w:right="416"/>
                        <w:jc w:val="center"/>
                        <w:rPr>
                          <w:rFonts w:ascii="宋体" w:hAnsi="宋体" w:cs="宋体"/>
                        </w:rPr>
                      </w:pPr>
                      <w:r>
                        <w:rPr>
                          <w:rFonts w:hint="eastAsia" w:ascii="宋体" w:hAnsi="宋体" w:cs="宋体"/>
                        </w:rPr>
                        <w:t>授权代表身份证复印件</w:t>
                      </w:r>
                    </w:p>
                    <w:p w14:paraId="6FF60480">
                      <w:pPr>
                        <w:pStyle w:val="2"/>
                        <w:spacing w:before="3"/>
                        <w:ind w:left="417" w:right="416"/>
                        <w:jc w:val="center"/>
                        <w:rPr>
                          <w:rFonts w:ascii="宋体" w:hAnsi="宋体" w:cs="宋体"/>
                        </w:rPr>
                      </w:pPr>
                      <w:r>
                        <w:rPr>
                          <w:rFonts w:hint="eastAsia" w:ascii="宋体" w:hAnsi="宋体" w:cs="宋体"/>
                        </w:rPr>
                        <w:t>（反面）</w:t>
                      </w:r>
                    </w:p>
                  </w:txbxContent>
                </v:textbox>
                <w10:wrap type="topAndBottom"/>
              </v:shape>
            </w:pict>
          </mc:Fallback>
        </mc:AlternateContent>
      </w:r>
    </w:p>
    <w:p w14:paraId="31A7D8D6">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2D2E20E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1E9AB91B">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20B81344">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772641D5">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5D08260A">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5F128AD3">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 xml:space="preserve"> </w:t>
      </w:r>
    </w:p>
    <w:p w14:paraId="38EC4311">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45" w:name="_Toc507586173"/>
      <w:r>
        <w:rPr>
          <w:rFonts w:hint="eastAsia" w:ascii="仿宋" w:hAnsi="仿宋" w:eastAsia="仿宋" w:cs="仿宋"/>
          <w:b/>
          <w:color w:val="auto"/>
          <w:sz w:val="24"/>
          <w:szCs w:val="24"/>
          <w:highlight w:val="none"/>
          <w:shd w:val="clear" w:color="auto" w:fill="FFFFFF" w:themeFill="background1"/>
        </w:rPr>
        <w:br w:type="page"/>
      </w:r>
      <w:bookmarkStart w:id="346" w:name="_Toc38446478"/>
      <w:bookmarkStart w:id="347" w:name="_Toc533503189"/>
      <w:bookmarkStart w:id="348" w:name="_Toc23743"/>
      <w:bookmarkStart w:id="349" w:name="_Toc30621"/>
      <w:r>
        <w:rPr>
          <w:rFonts w:hint="eastAsia" w:ascii="仿宋" w:hAnsi="仿宋" w:eastAsia="仿宋" w:cs="仿宋"/>
          <w:b/>
          <w:color w:val="auto"/>
          <w:sz w:val="24"/>
          <w:szCs w:val="24"/>
          <w:highlight w:val="none"/>
          <w:shd w:val="clear" w:color="auto" w:fill="FFFFFF" w:themeFill="background1"/>
        </w:rPr>
        <w:t>八、投标人基本情况</w:t>
      </w:r>
      <w:bookmarkEnd w:id="345"/>
      <w:bookmarkEnd w:id="346"/>
      <w:bookmarkEnd w:id="347"/>
      <w:bookmarkEnd w:id="348"/>
      <w:bookmarkEnd w:id="349"/>
    </w:p>
    <w:p w14:paraId="1414B865">
      <w:pPr>
        <w:spacing w:line="360" w:lineRule="auto"/>
        <w:jc w:val="left"/>
        <w:rPr>
          <w:rFonts w:hint="eastAsia" w:ascii="仿宋" w:hAnsi="仿宋" w:eastAsia="仿宋" w:cs="仿宋"/>
          <w:color w:val="auto"/>
          <w:sz w:val="24"/>
          <w:szCs w:val="24"/>
          <w:highlight w:val="none"/>
          <w:shd w:val="clear" w:color="auto" w:fill="FFFFFF" w:themeFill="background1"/>
        </w:rPr>
      </w:pPr>
    </w:p>
    <w:tbl>
      <w:tblPr>
        <w:tblStyle w:val="41"/>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142C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33E78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投标人名称</w:t>
            </w:r>
          </w:p>
        </w:tc>
        <w:tc>
          <w:tcPr>
            <w:tcW w:w="7300" w:type="dxa"/>
            <w:gridSpan w:val="3"/>
            <w:vAlign w:val="center"/>
          </w:tcPr>
          <w:p w14:paraId="7E123F47">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0481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B59A43C">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注册地址</w:t>
            </w:r>
          </w:p>
        </w:tc>
        <w:tc>
          <w:tcPr>
            <w:tcW w:w="3165" w:type="dxa"/>
            <w:vAlign w:val="center"/>
          </w:tcPr>
          <w:p w14:paraId="36EFCC2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2F31451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邮政编码</w:t>
            </w:r>
          </w:p>
        </w:tc>
        <w:tc>
          <w:tcPr>
            <w:tcW w:w="2140" w:type="dxa"/>
            <w:vAlign w:val="center"/>
          </w:tcPr>
          <w:p w14:paraId="7CDF8A2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EDF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8521BB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成立时间</w:t>
            </w:r>
          </w:p>
        </w:tc>
        <w:tc>
          <w:tcPr>
            <w:tcW w:w="3165" w:type="dxa"/>
            <w:vAlign w:val="center"/>
          </w:tcPr>
          <w:p w14:paraId="20C31BF6">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75C7BD69">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企业性质</w:t>
            </w:r>
          </w:p>
        </w:tc>
        <w:tc>
          <w:tcPr>
            <w:tcW w:w="2140" w:type="dxa"/>
            <w:vAlign w:val="center"/>
          </w:tcPr>
          <w:p w14:paraId="6268DCA6">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AF2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F32806B">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营业执照号</w:t>
            </w:r>
          </w:p>
        </w:tc>
        <w:tc>
          <w:tcPr>
            <w:tcW w:w="3165" w:type="dxa"/>
            <w:vAlign w:val="center"/>
          </w:tcPr>
          <w:p w14:paraId="08D83707">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63AA4C8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注册资金</w:t>
            </w:r>
          </w:p>
        </w:tc>
        <w:tc>
          <w:tcPr>
            <w:tcW w:w="2140" w:type="dxa"/>
            <w:vAlign w:val="center"/>
          </w:tcPr>
          <w:p w14:paraId="2BFF329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980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C230AF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p>
        </w:tc>
        <w:tc>
          <w:tcPr>
            <w:tcW w:w="3165" w:type="dxa"/>
            <w:vAlign w:val="center"/>
          </w:tcPr>
          <w:p w14:paraId="4005D32A">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230B7108">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电话</w:t>
            </w:r>
          </w:p>
        </w:tc>
        <w:tc>
          <w:tcPr>
            <w:tcW w:w="2140" w:type="dxa"/>
            <w:vAlign w:val="center"/>
          </w:tcPr>
          <w:p w14:paraId="502FEC8B">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11E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3F0B75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联系人</w:t>
            </w:r>
          </w:p>
        </w:tc>
        <w:tc>
          <w:tcPr>
            <w:tcW w:w="3165" w:type="dxa"/>
            <w:vAlign w:val="center"/>
          </w:tcPr>
          <w:p w14:paraId="4C34F908">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28A8CF17">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电话</w:t>
            </w:r>
          </w:p>
        </w:tc>
        <w:tc>
          <w:tcPr>
            <w:tcW w:w="2140" w:type="dxa"/>
            <w:vAlign w:val="center"/>
          </w:tcPr>
          <w:p w14:paraId="74B969BA">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839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D24C31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传真</w:t>
            </w:r>
          </w:p>
        </w:tc>
        <w:tc>
          <w:tcPr>
            <w:tcW w:w="3165" w:type="dxa"/>
            <w:vAlign w:val="center"/>
          </w:tcPr>
          <w:p w14:paraId="45F69199">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00E3FEE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网址</w:t>
            </w:r>
          </w:p>
        </w:tc>
        <w:tc>
          <w:tcPr>
            <w:tcW w:w="2140" w:type="dxa"/>
            <w:vAlign w:val="center"/>
          </w:tcPr>
          <w:p w14:paraId="48AB7F4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0789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0C797D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开户银行</w:t>
            </w:r>
          </w:p>
        </w:tc>
        <w:tc>
          <w:tcPr>
            <w:tcW w:w="3165" w:type="dxa"/>
            <w:vAlign w:val="center"/>
          </w:tcPr>
          <w:p w14:paraId="502089C7">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c>
          <w:tcPr>
            <w:tcW w:w="1995" w:type="dxa"/>
            <w:vAlign w:val="center"/>
          </w:tcPr>
          <w:p w14:paraId="23D3C15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银行帐号</w:t>
            </w:r>
          </w:p>
        </w:tc>
        <w:tc>
          <w:tcPr>
            <w:tcW w:w="2140" w:type="dxa"/>
            <w:vAlign w:val="center"/>
          </w:tcPr>
          <w:p w14:paraId="236FF3D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B3D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179CDD2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职工概况</w:t>
            </w:r>
          </w:p>
        </w:tc>
        <w:tc>
          <w:tcPr>
            <w:tcW w:w="7300" w:type="dxa"/>
            <w:gridSpan w:val="3"/>
            <w:vAlign w:val="center"/>
          </w:tcPr>
          <w:p w14:paraId="0B5DB4D6">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6F4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82D219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经营范围</w:t>
            </w:r>
          </w:p>
        </w:tc>
        <w:tc>
          <w:tcPr>
            <w:tcW w:w="7300" w:type="dxa"/>
            <w:gridSpan w:val="3"/>
            <w:vAlign w:val="center"/>
          </w:tcPr>
          <w:p w14:paraId="7EE94BA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bl>
    <w:p w14:paraId="6E074D6D">
      <w:pPr>
        <w:spacing w:line="360" w:lineRule="auto"/>
        <w:ind w:firstLine="504" w:firstLineChars="200"/>
        <w:rPr>
          <w:rFonts w:hint="eastAsia" w:ascii="仿宋" w:hAnsi="仿宋" w:eastAsia="仿宋" w:cs="仿宋"/>
          <w:color w:val="auto"/>
          <w:spacing w:val="6"/>
          <w:sz w:val="24"/>
          <w:szCs w:val="24"/>
          <w:highlight w:val="none"/>
          <w:shd w:val="clear" w:color="auto" w:fill="FFFFFF" w:themeFill="background1"/>
        </w:rPr>
      </w:pPr>
    </w:p>
    <w:p w14:paraId="69BA6B4F">
      <w:pPr>
        <w:widowControl/>
        <w:jc w:val="left"/>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br w:type="page"/>
      </w:r>
    </w:p>
    <w:p w14:paraId="0971CE7C">
      <w:pPr>
        <w:rPr>
          <w:rFonts w:hint="eastAsia" w:ascii="仿宋" w:hAnsi="仿宋" w:eastAsia="仿宋" w:cs="仿宋"/>
          <w:color w:val="auto"/>
          <w:highlight w:val="none"/>
          <w:shd w:val="clear" w:color="auto" w:fill="FFFFFF" w:themeFill="background1"/>
        </w:rPr>
      </w:pPr>
      <w:bookmarkStart w:id="350" w:name="_Toc109143671"/>
      <w:bookmarkStart w:id="351" w:name="_Toc107422184"/>
      <w:bookmarkStart w:id="352" w:name="_Toc32366"/>
      <w:bookmarkStart w:id="353" w:name="_Toc11207"/>
      <w:bookmarkStart w:id="354" w:name="_Toc111556487"/>
    </w:p>
    <w:p w14:paraId="18A357C7">
      <w:pPr>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55" w:name="_Toc113901849"/>
      <w:bookmarkStart w:id="356" w:name="_Toc20683"/>
      <w:bookmarkStart w:id="357" w:name="_Toc128476878"/>
      <w:bookmarkStart w:id="358" w:name="_Toc22928"/>
      <w:bookmarkStart w:id="359" w:name="_Toc133453662"/>
      <w:r>
        <w:rPr>
          <w:rFonts w:hint="eastAsia" w:ascii="仿宋" w:hAnsi="仿宋" w:eastAsia="仿宋" w:cs="仿宋"/>
          <w:b/>
          <w:color w:val="auto"/>
          <w:sz w:val="24"/>
          <w:szCs w:val="24"/>
          <w:highlight w:val="none"/>
          <w:shd w:val="clear" w:color="auto" w:fill="FFFFFF" w:themeFill="background1"/>
        </w:rPr>
        <w:t>8.1、</w:t>
      </w:r>
      <w:bookmarkEnd w:id="350"/>
      <w:bookmarkEnd w:id="351"/>
      <w:bookmarkEnd w:id="352"/>
      <w:bookmarkEnd w:id="353"/>
      <w:r>
        <w:rPr>
          <w:rFonts w:hint="eastAsia" w:ascii="仿宋" w:hAnsi="仿宋" w:eastAsia="仿宋" w:cs="仿宋"/>
          <w:b/>
          <w:color w:val="auto"/>
          <w:sz w:val="24"/>
          <w:szCs w:val="24"/>
          <w:highlight w:val="none"/>
          <w:shd w:val="clear" w:color="auto" w:fill="FFFFFF" w:themeFill="background1"/>
        </w:rPr>
        <w:t>法人或者其他组织的营业执照等证明文件，自然人的身份证明</w:t>
      </w:r>
      <w:bookmarkEnd w:id="355"/>
      <w:bookmarkEnd w:id="356"/>
      <w:bookmarkEnd w:id="357"/>
      <w:bookmarkEnd w:id="358"/>
      <w:bookmarkEnd w:id="359"/>
    </w:p>
    <w:p w14:paraId="68AAA4D6">
      <w:pPr>
        <w:spacing w:line="360" w:lineRule="auto"/>
        <w:rPr>
          <w:rFonts w:hint="eastAsia" w:ascii="仿宋" w:hAnsi="仿宋" w:eastAsia="仿宋" w:cs="仿宋"/>
          <w:color w:val="auto"/>
          <w:sz w:val="24"/>
          <w:szCs w:val="24"/>
          <w:highlight w:val="none"/>
          <w:shd w:val="clear" w:color="auto" w:fill="FFFFFF" w:themeFill="background1"/>
        </w:rPr>
      </w:pPr>
    </w:p>
    <w:p w14:paraId="44AAAA2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一、如投标人是企业（包括合伙企业)，应提供在工商部门注册的有效“企业法人营业执照”或“营业执照”;</w:t>
      </w:r>
    </w:p>
    <w:p w14:paraId="5331273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二、如投标人是事业单位，应提供有效的“事业单位法人证书”;</w:t>
      </w:r>
    </w:p>
    <w:p w14:paraId="1F40C6F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三、投标人是非企业专业服务机构的，应提供执业许可证等证明文件;</w:t>
      </w:r>
    </w:p>
    <w:p w14:paraId="49F89BF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四、如投标人是个体工商户，应提供有效的“个体工商户营业执照”;</w:t>
      </w:r>
    </w:p>
    <w:p w14:paraId="6063B544">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五、如投标人是自然人，应提供有效的自然人身份证明。</w:t>
      </w:r>
    </w:p>
    <w:p w14:paraId="7615C9FE">
      <w:pPr>
        <w:spacing w:line="360" w:lineRule="auto"/>
        <w:rPr>
          <w:rFonts w:hint="eastAsia" w:ascii="仿宋" w:hAnsi="仿宋" w:eastAsia="仿宋" w:cs="仿宋"/>
          <w:color w:val="auto"/>
          <w:sz w:val="24"/>
          <w:szCs w:val="24"/>
          <w:highlight w:val="none"/>
          <w:shd w:val="clear" w:color="auto" w:fill="FFFFFF" w:themeFill="background1"/>
        </w:rPr>
      </w:pPr>
    </w:p>
    <w:p w14:paraId="56EC4867">
      <w:pPr>
        <w:spacing w:line="360" w:lineRule="auto"/>
        <w:rPr>
          <w:rFonts w:hint="eastAsia" w:ascii="仿宋" w:hAnsi="仿宋" w:eastAsia="仿宋" w:cs="仿宋"/>
          <w:color w:val="auto"/>
          <w:sz w:val="24"/>
          <w:szCs w:val="24"/>
          <w:highlight w:val="none"/>
          <w:shd w:val="clear" w:color="auto" w:fill="FFFFFF" w:themeFill="background1"/>
        </w:rPr>
      </w:pPr>
    </w:p>
    <w:p w14:paraId="592A6BAA">
      <w:pPr>
        <w:widowControl/>
        <w:spacing w:line="360" w:lineRule="auto"/>
        <w:jc w:val="lef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27148B54">
      <w:pPr>
        <w:rPr>
          <w:rFonts w:hint="eastAsia" w:ascii="仿宋" w:hAnsi="仿宋" w:eastAsia="仿宋" w:cs="仿宋"/>
          <w:color w:val="auto"/>
          <w:highlight w:val="none"/>
          <w:shd w:val="clear" w:color="auto" w:fill="FFFFFF" w:themeFill="background1"/>
        </w:rPr>
      </w:pPr>
    </w:p>
    <w:p w14:paraId="3727347B">
      <w:pPr>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60" w:name="_Toc128476879"/>
      <w:bookmarkStart w:id="361" w:name="_Toc591"/>
      <w:bookmarkStart w:id="362" w:name="_Toc113901850"/>
      <w:bookmarkStart w:id="363" w:name="_Toc10010"/>
      <w:bookmarkStart w:id="364" w:name="_Toc133453663"/>
      <w:r>
        <w:rPr>
          <w:rFonts w:hint="eastAsia" w:ascii="仿宋" w:hAnsi="仿宋" w:eastAsia="仿宋" w:cs="仿宋"/>
          <w:b/>
          <w:color w:val="auto"/>
          <w:sz w:val="24"/>
          <w:szCs w:val="24"/>
          <w:highlight w:val="none"/>
          <w:shd w:val="clear" w:color="auto" w:fill="FFFFFF" w:themeFill="background1"/>
        </w:rPr>
        <w:t>8.2、</w:t>
      </w:r>
      <w:bookmarkEnd w:id="354"/>
      <w:r>
        <w:rPr>
          <w:rFonts w:hint="eastAsia" w:ascii="仿宋" w:hAnsi="仿宋" w:eastAsia="仿宋" w:cs="仿宋"/>
          <w:b/>
          <w:color w:val="auto"/>
          <w:sz w:val="24"/>
          <w:szCs w:val="24"/>
          <w:highlight w:val="none"/>
          <w:shd w:val="clear" w:color="auto" w:fill="FFFFFF" w:themeFill="background1"/>
        </w:rPr>
        <w:t>财务状况报告，依法缴纳税收和社会保障资金的相关材料</w:t>
      </w:r>
      <w:bookmarkEnd w:id="360"/>
      <w:bookmarkEnd w:id="361"/>
      <w:bookmarkEnd w:id="362"/>
      <w:bookmarkEnd w:id="363"/>
      <w:bookmarkEnd w:id="364"/>
    </w:p>
    <w:p w14:paraId="6B435AAF">
      <w:pPr>
        <w:pStyle w:val="2"/>
        <w:spacing w:line="360" w:lineRule="auto"/>
        <w:rPr>
          <w:rFonts w:hint="eastAsia" w:ascii="仿宋" w:hAnsi="仿宋" w:eastAsia="仿宋" w:cs="仿宋"/>
          <w:color w:val="auto"/>
          <w:spacing w:val="10"/>
          <w:szCs w:val="24"/>
          <w:highlight w:val="none"/>
          <w:shd w:val="clear" w:color="auto" w:fill="FFFFFF" w:themeFill="background1"/>
        </w:rPr>
      </w:pPr>
    </w:p>
    <w:p w14:paraId="26861CBF">
      <w:pPr>
        <w:spacing w:line="480" w:lineRule="auto"/>
        <w:ind w:firstLine="480" w:firstLineChars="200"/>
        <w:rPr>
          <w:rFonts w:hint="eastAsia" w:ascii="仿宋" w:hAnsi="仿宋" w:eastAsia="仿宋" w:cs="仿宋"/>
          <w:color w:val="auto"/>
          <w:sz w:val="24"/>
          <w:szCs w:val="24"/>
          <w:highlight w:val="none"/>
        </w:rPr>
      </w:pPr>
      <w:bookmarkStart w:id="365" w:name="_Toc128476880"/>
      <w:bookmarkStart w:id="366" w:name="_Toc30348"/>
      <w:bookmarkStart w:id="367" w:name="_Toc113901851"/>
      <w:bookmarkStart w:id="368" w:name="_Toc111556488"/>
      <w:r>
        <w:rPr>
          <w:rFonts w:hint="eastAsia" w:ascii="仿宋" w:hAnsi="仿宋" w:eastAsia="仿宋" w:cs="仿宋"/>
          <w:color w:val="auto"/>
          <w:sz w:val="24"/>
          <w:szCs w:val="24"/>
          <w:highlight w:val="none"/>
        </w:rPr>
        <w:t>一、财务状况报告（满足下述一条要求即可）：</w:t>
      </w:r>
    </w:p>
    <w:p w14:paraId="657AF535">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要求1、经审计的财务报告（2023年度</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2024年度，包括“四表-注”，即资产负债表、利润表、现金流量表、所有者权益变动表及其附注）或银行出具的资信/金证明。</w:t>
      </w:r>
    </w:p>
    <w:p w14:paraId="16AA78DE">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要求2、财政部门认可的政府采购专业担保机构出具的有效期内的投标担保函。</w:t>
      </w:r>
    </w:p>
    <w:p w14:paraId="54C217F8">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要求3、2025年度成立的</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无需提供。</w:t>
      </w:r>
    </w:p>
    <w:p w14:paraId="4E319B97">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二、依法缴纳税收和社会保障资金的相关材料</w:t>
      </w:r>
    </w:p>
    <w:p w14:paraId="3AF7EBFA">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2.1、依法缴纳税收的证明材料：</w:t>
      </w:r>
    </w:p>
    <w:p w14:paraId="54C75701">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参加政府采购活动前一段时间（响应文件递交截止之日前六个月内任一个月）内缴纳税收的完税凭证（指各种完税证、缴款书、印花税票、扣（收）税凭证以及其他完税证明）。</w:t>
      </w:r>
    </w:p>
    <w:p w14:paraId="455D27D3">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2.2、依法缴纳社会保障资金的证明材料：</w:t>
      </w:r>
    </w:p>
    <w:p w14:paraId="7D2214FD">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参加政府采购活动前一段时间（响应文件递交截止之日前六个月内任一个月）内缴纳社会保险的凭据，其他组织和自然人也需要提供缴纳税收的凭据和缴纳社会保险的凭据。</w:t>
      </w:r>
    </w:p>
    <w:p w14:paraId="21E87038">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，应提供相应文件证明其依法免税或不需要缴纳社会保障资金。</w:t>
      </w:r>
    </w:p>
    <w:p w14:paraId="478C3367">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三、注：</w:t>
      </w:r>
    </w:p>
    <w:p w14:paraId="25EB32E1">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3.1、如因有关主管部门政策调整，部分证明材料有所增减，以最新政策要求为准；</w:t>
      </w:r>
    </w:p>
    <w:p w14:paraId="041A96AD">
      <w:pPr>
        <w:spacing w:line="480" w:lineRule="auto"/>
        <w:ind w:firstLine="480" w:firstLineChars="200"/>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sz w:val="24"/>
          <w:szCs w:val="24"/>
          <w:highlight w:val="none"/>
        </w:rPr>
        <w:t>3.2、如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所在地有关主管部门反馈的证明材料与本文中要求不一致时，以当地要求为准，但须</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提供文字说明。</w:t>
      </w:r>
      <w:r>
        <w:rPr>
          <w:rFonts w:hint="eastAsia" w:ascii="仿宋" w:hAnsi="仿宋" w:eastAsia="仿宋" w:cs="仿宋"/>
          <w:b/>
          <w:color w:val="auto"/>
          <w:sz w:val="24"/>
          <w:szCs w:val="24"/>
          <w:highlight w:val="none"/>
          <w:shd w:val="clear" w:color="auto" w:fill="FFFFFF" w:themeFill="background1"/>
        </w:rPr>
        <w:br w:type="page"/>
      </w:r>
    </w:p>
    <w:p w14:paraId="5968D9CF">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69" w:name="_Toc133453664"/>
      <w:bookmarkStart w:id="370" w:name="_Toc5928"/>
      <w:r>
        <w:rPr>
          <w:rFonts w:hint="eastAsia" w:ascii="仿宋" w:hAnsi="仿宋" w:eastAsia="仿宋" w:cs="仿宋"/>
          <w:b/>
          <w:color w:val="auto"/>
          <w:sz w:val="24"/>
          <w:szCs w:val="24"/>
          <w:highlight w:val="none"/>
          <w:shd w:val="clear" w:color="auto" w:fill="FFFFFF" w:themeFill="background1"/>
        </w:rPr>
        <w:t>8.3、具备履行合同所必需的设备和专业技术能力的证明材料</w:t>
      </w:r>
      <w:bookmarkEnd w:id="365"/>
      <w:bookmarkEnd w:id="366"/>
      <w:bookmarkEnd w:id="367"/>
      <w:bookmarkEnd w:id="369"/>
      <w:bookmarkEnd w:id="370"/>
    </w:p>
    <w:p w14:paraId="29CE6D73">
      <w:pPr>
        <w:spacing w:line="360" w:lineRule="auto"/>
        <w:rPr>
          <w:rFonts w:hint="eastAsia" w:ascii="仿宋" w:hAnsi="仿宋" w:eastAsia="仿宋" w:cs="仿宋"/>
          <w:color w:val="auto"/>
          <w:sz w:val="24"/>
          <w:szCs w:val="24"/>
          <w:highlight w:val="none"/>
          <w:shd w:val="clear" w:color="auto" w:fill="FFFFFF" w:themeFill="background1"/>
        </w:rPr>
      </w:pPr>
    </w:p>
    <w:p w14:paraId="428FCDD4">
      <w:pPr>
        <w:spacing w:line="360" w:lineRule="auto"/>
        <w:rPr>
          <w:rFonts w:hint="eastAsia" w:ascii="仿宋" w:hAnsi="仿宋" w:eastAsia="仿宋" w:cs="仿宋"/>
          <w:color w:val="auto"/>
          <w:sz w:val="24"/>
          <w:szCs w:val="24"/>
          <w:highlight w:val="none"/>
          <w:shd w:val="clear" w:color="auto" w:fill="FFFFFF" w:themeFill="background1"/>
        </w:rPr>
      </w:pPr>
    </w:p>
    <w:p w14:paraId="3A1E5E36">
      <w:pPr>
        <w:spacing w:line="360" w:lineRule="auto"/>
        <w:jc w:val="center"/>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t>具有履行合同所必需的设备和专业技术能力的承诺</w:t>
      </w:r>
      <w:bookmarkEnd w:id="368"/>
      <w:r>
        <w:rPr>
          <w:rFonts w:hint="eastAsia" w:ascii="仿宋" w:hAnsi="仿宋" w:eastAsia="仿宋" w:cs="仿宋"/>
          <w:b/>
          <w:color w:val="auto"/>
          <w:sz w:val="24"/>
          <w:szCs w:val="24"/>
          <w:highlight w:val="none"/>
          <w:shd w:val="clear" w:color="auto" w:fill="FFFFFF" w:themeFill="background1"/>
        </w:rPr>
        <w:t>函</w:t>
      </w:r>
    </w:p>
    <w:p w14:paraId="236E50B9">
      <w:pPr>
        <w:adjustRightInd w:val="0"/>
        <w:snapToGrid w:val="0"/>
        <w:spacing w:line="360" w:lineRule="auto"/>
        <w:ind w:firstLine="480" w:firstLineChars="200"/>
        <w:jc w:val="center"/>
        <w:rPr>
          <w:rFonts w:hint="eastAsia" w:ascii="仿宋" w:hAnsi="仿宋" w:eastAsia="仿宋" w:cs="仿宋"/>
          <w:color w:val="auto"/>
          <w:sz w:val="24"/>
          <w:szCs w:val="24"/>
          <w:highlight w:val="none"/>
          <w:shd w:val="clear" w:color="auto" w:fill="FFFFFF" w:themeFill="background1"/>
        </w:rPr>
      </w:pPr>
    </w:p>
    <w:p w14:paraId="11918A3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（采购人名称）</w:t>
      </w:r>
    </w:p>
    <w:p w14:paraId="48C77D2C">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p>
    <w:p w14:paraId="21776272">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我单位郑重承诺： </w:t>
      </w:r>
    </w:p>
    <w:p w14:paraId="1E38CF23">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我单位具备履行</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w:t>
      </w:r>
      <w:r>
        <w:rPr>
          <w:rFonts w:hint="eastAsia" w:ascii="仿宋" w:hAnsi="仿宋" w:eastAsia="仿宋" w:cs="仿宋"/>
          <w:color w:val="auto"/>
          <w:kern w:val="0"/>
          <w:sz w:val="24"/>
          <w:szCs w:val="24"/>
          <w:highlight w:val="none"/>
          <w:shd w:val="clear" w:color="auto" w:fill="FFFFFF" w:themeFill="background1"/>
          <w:lang w:val="en-US" w:eastAsia="zh-CN"/>
        </w:rPr>
        <w:t>项目</w:t>
      </w:r>
      <w:r>
        <w:rPr>
          <w:rFonts w:hint="eastAsia" w:ascii="仿宋" w:hAnsi="仿宋" w:eastAsia="仿宋" w:cs="仿宋"/>
          <w:color w:val="auto"/>
          <w:kern w:val="0"/>
          <w:sz w:val="24"/>
          <w:szCs w:val="24"/>
          <w:highlight w:val="none"/>
          <w:shd w:val="clear" w:color="auto" w:fill="FFFFFF" w:themeFill="background1"/>
        </w:rPr>
        <w:t>名称）合同所必需的设备和专业技术能力；</w:t>
      </w:r>
    </w:p>
    <w:p w14:paraId="74B4CB69">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特此承诺。 </w:t>
      </w:r>
    </w:p>
    <w:p w14:paraId="75E8A92B">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BC5B0E6">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29D666F">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0A0FA2C8">
      <w:pPr>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4C1C7C20">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0877C69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5414C8D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12EC44B">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1770C7ED">
      <w:pPr>
        <w:adjustRightInd w:val="0"/>
        <w:snapToGrid w:val="0"/>
        <w:spacing w:line="360" w:lineRule="auto"/>
        <w:rPr>
          <w:rFonts w:hint="eastAsia" w:ascii="仿宋" w:hAnsi="仿宋" w:eastAsia="仿宋" w:cs="仿宋"/>
          <w:bCs/>
          <w:color w:val="auto"/>
          <w:sz w:val="24"/>
          <w:szCs w:val="24"/>
          <w:highlight w:val="none"/>
          <w:shd w:val="clear" w:color="auto" w:fill="FFFFFF" w:themeFill="background1"/>
        </w:rPr>
      </w:pPr>
    </w:p>
    <w:p w14:paraId="66381B0D">
      <w:pPr>
        <w:spacing w:line="360" w:lineRule="auto"/>
        <w:rPr>
          <w:rFonts w:hint="eastAsia" w:ascii="仿宋" w:hAnsi="仿宋" w:eastAsia="仿宋" w:cs="仿宋"/>
          <w:color w:val="auto"/>
          <w:sz w:val="24"/>
          <w:szCs w:val="24"/>
          <w:highlight w:val="none"/>
          <w:shd w:val="clear" w:color="auto" w:fill="FFFFFF" w:themeFill="background1"/>
        </w:rPr>
      </w:pPr>
    </w:p>
    <w:p w14:paraId="37A7F0CC">
      <w:pPr>
        <w:spacing w:line="360" w:lineRule="auto"/>
        <w:rPr>
          <w:rFonts w:hint="eastAsia" w:ascii="仿宋" w:hAnsi="仿宋" w:eastAsia="仿宋" w:cs="仿宋"/>
          <w:color w:val="auto"/>
          <w:sz w:val="24"/>
          <w:szCs w:val="24"/>
          <w:highlight w:val="none"/>
          <w:shd w:val="clear" w:color="auto" w:fill="FFFFFF" w:themeFill="background1"/>
        </w:rPr>
      </w:pPr>
    </w:p>
    <w:p w14:paraId="160F2A7B">
      <w:pPr>
        <w:spacing w:line="360" w:lineRule="auto"/>
        <w:rPr>
          <w:rFonts w:hint="eastAsia" w:ascii="仿宋" w:hAnsi="仿宋" w:eastAsia="仿宋" w:cs="仿宋"/>
          <w:color w:val="auto"/>
          <w:sz w:val="24"/>
          <w:szCs w:val="24"/>
          <w:highlight w:val="none"/>
          <w:shd w:val="clear" w:color="auto" w:fill="FFFFFF" w:themeFill="background1"/>
        </w:rPr>
      </w:pPr>
    </w:p>
    <w:p w14:paraId="32015380">
      <w:pPr>
        <w:spacing w:line="360" w:lineRule="auto"/>
        <w:rPr>
          <w:rFonts w:hint="eastAsia" w:ascii="仿宋" w:hAnsi="仿宋" w:eastAsia="仿宋" w:cs="仿宋"/>
          <w:color w:val="auto"/>
          <w:sz w:val="24"/>
          <w:szCs w:val="24"/>
          <w:highlight w:val="none"/>
          <w:shd w:val="clear" w:color="auto" w:fill="FFFFFF" w:themeFill="background1"/>
        </w:rPr>
      </w:pPr>
    </w:p>
    <w:p w14:paraId="724FF1E5">
      <w:pPr>
        <w:spacing w:line="360" w:lineRule="auto"/>
        <w:rPr>
          <w:rFonts w:hint="eastAsia" w:ascii="仿宋" w:hAnsi="仿宋" w:eastAsia="仿宋" w:cs="仿宋"/>
          <w:color w:val="auto"/>
          <w:sz w:val="24"/>
          <w:szCs w:val="24"/>
          <w:highlight w:val="none"/>
          <w:shd w:val="clear" w:color="auto" w:fill="FFFFFF" w:themeFill="background1"/>
        </w:rPr>
      </w:pPr>
    </w:p>
    <w:p w14:paraId="142C93E5">
      <w:pPr>
        <w:spacing w:line="360" w:lineRule="auto"/>
        <w:rPr>
          <w:rFonts w:hint="eastAsia" w:ascii="仿宋" w:hAnsi="仿宋" w:eastAsia="仿宋" w:cs="仿宋"/>
          <w:color w:val="auto"/>
          <w:sz w:val="24"/>
          <w:szCs w:val="24"/>
          <w:highlight w:val="none"/>
          <w:shd w:val="clear" w:color="auto" w:fill="FFFFFF" w:themeFill="background1"/>
        </w:rPr>
      </w:pPr>
    </w:p>
    <w:p w14:paraId="57D0B5D9">
      <w:pPr>
        <w:widowControl/>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20CFC1BE">
      <w:pPr>
        <w:adjustRightInd w:val="0"/>
        <w:snapToGrid w:val="0"/>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71" w:name="_Toc133453665"/>
      <w:bookmarkStart w:id="372" w:name="_Toc9548"/>
      <w:bookmarkStart w:id="373" w:name="_Toc113901852"/>
      <w:bookmarkStart w:id="374" w:name="_Toc128476881"/>
      <w:bookmarkStart w:id="375" w:name="_Toc5703"/>
      <w:bookmarkStart w:id="376" w:name="_Toc111556490"/>
      <w:r>
        <w:rPr>
          <w:rFonts w:hint="eastAsia" w:ascii="仿宋" w:hAnsi="仿宋" w:eastAsia="仿宋" w:cs="仿宋"/>
          <w:b/>
          <w:color w:val="auto"/>
          <w:sz w:val="24"/>
          <w:szCs w:val="24"/>
          <w:highlight w:val="none"/>
          <w:shd w:val="clear" w:color="auto" w:fill="FFFFFF" w:themeFill="background1"/>
        </w:rPr>
        <w:t>8.4、参加政府采购活动前3年内在经营活动中没有重大违法记录的书面声明</w:t>
      </w:r>
      <w:bookmarkEnd w:id="371"/>
      <w:bookmarkEnd w:id="372"/>
      <w:bookmarkEnd w:id="373"/>
      <w:bookmarkEnd w:id="374"/>
      <w:bookmarkEnd w:id="375"/>
    </w:p>
    <w:bookmarkEnd w:id="376"/>
    <w:p w14:paraId="2F63140E">
      <w:pPr>
        <w:widowControl/>
        <w:adjustRightInd w:val="0"/>
        <w:snapToGrid w:val="0"/>
        <w:spacing w:line="360" w:lineRule="auto"/>
        <w:rPr>
          <w:rFonts w:hint="eastAsia" w:ascii="仿宋" w:hAnsi="仿宋" w:eastAsia="仿宋" w:cs="仿宋"/>
          <w:color w:val="auto"/>
          <w:sz w:val="24"/>
          <w:szCs w:val="24"/>
          <w:highlight w:val="none"/>
          <w:shd w:val="clear" w:color="auto" w:fill="FFFFFF" w:themeFill="background1"/>
        </w:rPr>
      </w:pPr>
    </w:p>
    <w:p w14:paraId="5C8763BC">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（采购人名称）</w:t>
      </w:r>
    </w:p>
    <w:p w14:paraId="6ADC5F87">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6D08A78B">
      <w:pPr>
        <w:adjustRightInd w:val="0"/>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我单位在参与</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sz w:val="24"/>
          <w:szCs w:val="24"/>
          <w:highlight w:val="none"/>
          <w:shd w:val="clear" w:color="auto" w:fill="FFFFFF" w:themeFill="background1"/>
        </w:rPr>
        <w:t>（</w:t>
      </w:r>
      <w:r>
        <w:rPr>
          <w:rFonts w:hint="eastAsia" w:ascii="仿宋" w:hAnsi="仿宋" w:eastAsia="仿宋" w:cs="仿宋"/>
          <w:color w:val="auto"/>
          <w:sz w:val="24"/>
          <w:szCs w:val="24"/>
          <w:highlight w:val="none"/>
          <w:shd w:val="clear" w:color="auto" w:fill="FFFFFF" w:themeFill="background1"/>
          <w:lang w:val="en-US" w:eastAsia="zh-CN"/>
        </w:rPr>
        <w:t>项目</w:t>
      </w:r>
      <w:r>
        <w:rPr>
          <w:rFonts w:hint="eastAsia" w:ascii="仿宋" w:hAnsi="仿宋" w:eastAsia="仿宋" w:cs="仿宋"/>
          <w:color w:val="auto"/>
          <w:sz w:val="24"/>
          <w:szCs w:val="24"/>
          <w:highlight w:val="none"/>
          <w:shd w:val="clear" w:color="auto" w:fill="FFFFFF" w:themeFill="background1"/>
        </w:rPr>
        <w:t>名称）</w:t>
      </w:r>
      <w:r>
        <w:rPr>
          <w:rFonts w:hint="eastAsia" w:ascii="仿宋" w:hAnsi="仿宋" w:eastAsia="仿宋" w:cs="仿宋"/>
          <w:color w:val="auto"/>
          <w:kern w:val="0"/>
          <w:sz w:val="24"/>
          <w:szCs w:val="24"/>
          <w:highlight w:val="none"/>
          <w:shd w:val="clear" w:color="auto" w:fill="FFFFFF" w:themeFill="background1"/>
        </w:rPr>
        <w:t>前三年内（以</w:t>
      </w:r>
      <w:r>
        <w:rPr>
          <w:rFonts w:hint="eastAsia" w:ascii="仿宋" w:hAnsi="仿宋" w:eastAsia="仿宋" w:cs="仿宋"/>
          <w:color w:val="auto"/>
          <w:sz w:val="24"/>
          <w:szCs w:val="24"/>
          <w:highlight w:val="none"/>
          <w:shd w:val="clear" w:color="auto" w:fill="FFFFFF" w:themeFill="background1"/>
        </w:rPr>
        <w:t>投标文件递交截止之日为期限</w:t>
      </w:r>
      <w:r>
        <w:rPr>
          <w:rFonts w:hint="eastAsia" w:ascii="仿宋" w:hAnsi="仿宋" w:eastAsia="仿宋" w:cs="仿宋"/>
          <w:color w:val="auto"/>
          <w:kern w:val="0"/>
          <w:sz w:val="24"/>
          <w:szCs w:val="24"/>
          <w:highlight w:val="none"/>
          <w:shd w:val="clear" w:color="auto" w:fill="FFFFFF" w:themeFill="background1"/>
        </w:rPr>
        <w:t>）在经营活动中没有重大违法记录。</w:t>
      </w:r>
    </w:p>
    <w:p w14:paraId="5E4ED008">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若贵方在本项目采购过程中发现我方参加政府采购活动前三年内有重大违法记录；</w:t>
      </w:r>
      <w:r>
        <w:rPr>
          <w:rFonts w:hint="eastAsia" w:ascii="仿宋" w:hAnsi="仿宋" w:eastAsia="仿宋" w:cs="仿宋"/>
          <w:color w:val="auto"/>
          <w:kern w:val="0"/>
          <w:sz w:val="24"/>
          <w:szCs w:val="24"/>
          <w:highlight w:val="none"/>
          <w:shd w:val="clear" w:color="auto" w:fill="FFFFFF" w:themeFill="background1"/>
        </w:rPr>
        <w:t>我单位</w:t>
      </w:r>
      <w:r>
        <w:rPr>
          <w:rFonts w:hint="eastAsia" w:ascii="仿宋" w:hAnsi="仿宋" w:eastAsia="仿宋" w:cs="仿宋"/>
          <w:color w:val="auto"/>
          <w:sz w:val="24"/>
          <w:szCs w:val="24"/>
          <w:highlight w:val="none"/>
          <w:shd w:val="clear" w:color="auto" w:fill="FFFFFF" w:themeFill="background1"/>
        </w:rPr>
        <w:t>将无条件退出本项目的投标，并承担因此引起的一切后果。我方对此声明负全部法律责任。</w:t>
      </w:r>
      <w:bookmarkStart w:id="416" w:name="_GoBack"/>
      <w:bookmarkEnd w:id="416"/>
    </w:p>
    <w:p w14:paraId="59013C5F">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特此声明！</w:t>
      </w:r>
    </w:p>
    <w:p w14:paraId="42FD44A8">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648C34D6">
      <w:pPr>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148D46E3">
      <w:pPr>
        <w:adjustRightInd w:val="0"/>
        <w:snapToGrid w:val="0"/>
        <w:spacing w:line="360" w:lineRule="auto"/>
        <w:ind w:firstLine="420" w:firstLineChars="200"/>
        <w:rPr>
          <w:rFonts w:hint="eastAsia" w:ascii="仿宋" w:hAnsi="仿宋" w:eastAsia="仿宋" w:cs="仿宋"/>
          <w:color w:val="auto"/>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备注：</w:t>
      </w:r>
    </w:p>
    <w:p w14:paraId="5F47CA02">
      <w:pPr>
        <w:adjustRightInd w:val="0"/>
        <w:snapToGrid w:val="0"/>
        <w:spacing w:line="360" w:lineRule="auto"/>
        <w:ind w:firstLine="42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Cs w:val="24"/>
          <w:highlight w:val="none"/>
          <w:shd w:val="clear" w:color="auto" w:fill="FFFFFF" w:themeFill="background1"/>
        </w:rPr>
        <w:t>若投标人在投标文件递交截止之日成立时间不足三年，以自成立以来的时间计取。</w:t>
      </w:r>
    </w:p>
    <w:p w14:paraId="2A45FB97">
      <w:pPr>
        <w:adjustRightInd w:val="0"/>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p>
    <w:p w14:paraId="433A5492">
      <w:pPr>
        <w:adjustRightInd w:val="0"/>
        <w:snapToGrid w:val="0"/>
        <w:spacing w:line="360" w:lineRule="auto"/>
        <w:ind w:firstLine="3112" w:firstLineChars="1297"/>
        <w:rPr>
          <w:rFonts w:hint="eastAsia" w:ascii="仿宋" w:hAnsi="仿宋" w:eastAsia="仿宋" w:cs="仿宋"/>
          <w:color w:val="auto"/>
          <w:sz w:val="24"/>
          <w:szCs w:val="24"/>
          <w:highlight w:val="none"/>
          <w:shd w:val="clear" w:color="auto" w:fill="FFFFFF" w:themeFill="background1"/>
        </w:rPr>
      </w:pPr>
    </w:p>
    <w:p w14:paraId="7E593955">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30886455">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p>
    <w:p w14:paraId="63B1E7C0">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p>
    <w:p w14:paraId="358DA0A1">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13144215">
      <w:pPr>
        <w:widowControl/>
        <w:shd w:val="clear" w:color="auto" w:fill="FFFFFF"/>
        <w:snapToGrid w:val="0"/>
        <w:spacing w:line="360" w:lineRule="auto"/>
        <w:ind w:firstLine="420"/>
        <w:rPr>
          <w:rFonts w:hint="eastAsia" w:ascii="仿宋" w:hAnsi="仿宋" w:eastAsia="仿宋" w:cs="仿宋"/>
          <w:color w:val="auto"/>
          <w:kern w:val="0"/>
          <w:sz w:val="24"/>
          <w:szCs w:val="24"/>
          <w:highlight w:val="none"/>
          <w:shd w:val="clear" w:color="auto" w:fill="FFFFFF" w:themeFill="background1"/>
        </w:rPr>
      </w:pPr>
    </w:p>
    <w:p w14:paraId="07717102">
      <w:pPr>
        <w:widowControl/>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br w:type="page"/>
      </w:r>
    </w:p>
    <w:p w14:paraId="3A3A8B67">
      <w:pPr>
        <w:adjustRightInd w:val="0"/>
        <w:snapToGrid w:val="0"/>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377" w:name="_Toc128476882"/>
      <w:bookmarkStart w:id="378" w:name="_Toc133453666"/>
      <w:bookmarkStart w:id="379" w:name="_Toc15699"/>
      <w:bookmarkStart w:id="380" w:name="_Toc113901853"/>
      <w:bookmarkStart w:id="381" w:name="_Toc26372"/>
      <w:r>
        <w:rPr>
          <w:rFonts w:hint="eastAsia" w:ascii="仿宋" w:hAnsi="仿宋" w:eastAsia="仿宋" w:cs="仿宋"/>
          <w:b/>
          <w:color w:val="auto"/>
          <w:sz w:val="24"/>
          <w:szCs w:val="24"/>
          <w:highlight w:val="none"/>
          <w:shd w:val="clear" w:color="auto" w:fill="FFFFFF" w:themeFill="background1"/>
        </w:rPr>
        <w:t>8.5、具备法律、行政法规规定的其他条件的证明材料</w:t>
      </w:r>
      <w:bookmarkEnd w:id="377"/>
      <w:bookmarkEnd w:id="378"/>
      <w:bookmarkEnd w:id="379"/>
      <w:bookmarkEnd w:id="380"/>
      <w:bookmarkEnd w:id="381"/>
    </w:p>
    <w:p w14:paraId="64068D36">
      <w:pPr>
        <w:widowControl/>
        <w:adjustRightInd w:val="0"/>
        <w:snapToGrid w:val="0"/>
        <w:spacing w:line="360" w:lineRule="auto"/>
        <w:rPr>
          <w:rFonts w:hint="eastAsia" w:ascii="仿宋" w:hAnsi="仿宋" w:eastAsia="仿宋" w:cs="仿宋"/>
          <w:color w:val="auto"/>
          <w:sz w:val="24"/>
          <w:szCs w:val="24"/>
          <w:highlight w:val="none"/>
          <w:shd w:val="clear" w:color="auto" w:fill="FFFFFF" w:themeFill="background1"/>
        </w:rPr>
      </w:pPr>
    </w:p>
    <w:p w14:paraId="01E46E92">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1、国家有关主管部门的行政许可（如有时）。</w:t>
      </w:r>
    </w:p>
    <w:p w14:paraId="7C29531F">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2、投标人如为</w:t>
      </w:r>
      <w:r>
        <w:rPr>
          <w:rFonts w:hint="eastAsia" w:ascii="仿宋" w:hAnsi="仿宋" w:eastAsia="仿宋" w:cs="仿宋"/>
          <w:color w:val="auto"/>
          <w:kern w:val="0"/>
          <w:sz w:val="24"/>
          <w:szCs w:val="24"/>
          <w:highlight w:val="none"/>
          <w:shd w:val="clear" w:color="auto" w:fill="FFFFFF" w:themeFill="background1"/>
          <w:lang w:val="en-US" w:eastAsia="zh-CN"/>
        </w:rPr>
        <w:t>中</w:t>
      </w:r>
      <w:r>
        <w:rPr>
          <w:rFonts w:hint="eastAsia" w:ascii="仿宋" w:hAnsi="仿宋" w:eastAsia="仿宋" w:cs="仿宋"/>
          <w:color w:val="auto"/>
          <w:kern w:val="0"/>
          <w:sz w:val="24"/>
          <w:szCs w:val="24"/>
          <w:highlight w:val="none"/>
          <w:shd w:val="clear" w:color="auto" w:fill="FFFFFF" w:themeFill="background1"/>
        </w:rPr>
        <w:t>小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79AFBB82">
      <w:pPr>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br w:type="page"/>
      </w:r>
    </w:p>
    <w:p w14:paraId="35C89FD7">
      <w:pPr>
        <w:pStyle w:val="36"/>
        <w:spacing w:line="360" w:lineRule="auto"/>
        <w:rPr>
          <w:rStyle w:val="44"/>
          <w:rFonts w:hint="eastAsia" w:ascii="仿宋" w:hAnsi="仿宋" w:eastAsia="仿宋" w:cs="仿宋"/>
          <w:color w:val="auto"/>
          <w:highlight w:val="none"/>
          <w:shd w:val="clear" w:color="auto" w:fill="FFFFFF" w:themeFill="background1"/>
        </w:rPr>
      </w:pPr>
      <w:r>
        <w:rPr>
          <w:rFonts w:hint="eastAsia" w:ascii="仿宋" w:hAnsi="仿宋" w:eastAsia="仿宋" w:cs="仿宋"/>
          <w:color w:val="auto"/>
          <w:highlight w:val="none"/>
          <w:shd w:val="clear" w:color="auto" w:fill="FFFFFF" w:themeFill="background1"/>
        </w:rPr>
        <w:t xml:space="preserve"> </w:t>
      </w:r>
      <w:r>
        <w:rPr>
          <w:rStyle w:val="44"/>
          <w:rFonts w:hint="eastAsia" w:ascii="仿宋" w:hAnsi="仿宋" w:eastAsia="仿宋" w:cs="仿宋"/>
          <w:color w:val="auto"/>
          <w:highlight w:val="none"/>
          <w:shd w:val="clear" w:color="auto" w:fill="FFFFFF" w:themeFill="background1"/>
        </w:rPr>
        <w:t xml:space="preserve">附表一、                  </w:t>
      </w:r>
    </w:p>
    <w:p w14:paraId="5D001048">
      <w:pPr>
        <w:spacing w:line="588" w:lineRule="exact"/>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中小企业声明函（工程、服务）</w:t>
      </w:r>
    </w:p>
    <w:p w14:paraId="139BFFF7">
      <w:pPr>
        <w:spacing w:line="588" w:lineRule="exact"/>
        <w:jc w:val="center"/>
        <w:rPr>
          <w:rFonts w:hint="eastAsia" w:ascii="仿宋" w:hAnsi="仿宋" w:eastAsia="仿宋" w:cs="仿宋"/>
          <w:b/>
          <w:color w:val="auto"/>
          <w:spacing w:val="6"/>
          <w:sz w:val="24"/>
          <w:highlight w:val="none"/>
        </w:rPr>
      </w:pPr>
    </w:p>
    <w:p w14:paraId="0871B03C">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rPr>
        <w:t>（联合体）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（项目名称）</w:t>
      </w:r>
      <w:r>
        <w:rPr>
          <w:rFonts w:hint="eastAsia" w:ascii="仿宋" w:hAnsi="仿宋" w:eastAsia="仿宋" w:cs="仿宋"/>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E806A1B">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 </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 xml:space="preserve"> ，属于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3BDA78AA">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 </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 xml:space="preserve"> ，属于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44477348">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16693A1">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2AFECBB6">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42104DF8">
      <w:pPr>
        <w:spacing w:line="588" w:lineRule="exact"/>
        <w:ind w:firstLine="480" w:firstLineChars="20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企业名称（盖章）：</w:t>
      </w:r>
    </w:p>
    <w:p w14:paraId="251BEFE6">
      <w:pPr>
        <w:spacing w:line="588" w:lineRule="exact"/>
        <w:ind w:right="480" w:firstLine="480" w:firstLineChars="200"/>
        <w:jc w:val="righ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日期：</w:t>
      </w:r>
    </w:p>
    <w:p w14:paraId="7E5D2C34">
      <w:pPr>
        <w:spacing w:line="588" w:lineRule="exact"/>
        <w:rPr>
          <w:rStyle w:val="44"/>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注：人员、营业收入、资产总额填报上一年度数据，无上一年度数据的新成立企业可不填报。</w:t>
      </w:r>
    </w:p>
    <w:p w14:paraId="4DDDEC85">
      <w:pPr>
        <w:spacing w:line="360" w:lineRule="auto"/>
        <w:ind w:firstLine="420" w:firstLineChars="200"/>
        <w:rPr>
          <w:rFonts w:hint="eastAsia" w:ascii="仿宋" w:hAnsi="仿宋" w:eastAsia="仿宋" w:cs="仿宋"/>
          <w:color w:val="auto"/>
          <w:highlight w:val="none"/>
        </w:rPr>
      </w:pPr>
    </w:p>
    <w:p w14:paraId="5271AC7E">
      <w:pPr>
        <w:keepNext w:val="0"/>
        <w:keepLines w:val="0"/>
        <w:pageBreakBefore w:val="0"/>
        <w:tabs>
          <w:tab w:val="left" w:pos="3777"/>
          <w:tab w:val="center" w:pos="4819"/>
        </w:tabs>
        <w:kinsoku/>
        <w:wordWrap/>
        <w:overflowPunct/>
        <w:topLinePunct w:val="0"/>
        <w:bidi w:val="0"/>
        <w:spacing w:line="360" w:lineRule="auto"/>
        <w:jc w:val="center"/>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bookmarkStart w:id="382" w:name="_Toc2253"/>
      <w:bookmarkStart w:id="383" w:name="_Toc138177925"/>
      <w:bookmarkStart w:id="384" w:name="_Toc3480"/>
      <w:bookmarkStart w:id="385" w:name="_Toc28587"/>
      <w:r>
        <w:rPr>
          <w:rFonts w:hint="eastAsia" w:ascii="仿宋" w:hAnsi="仿宋" w:eastAsia="仿宋" w:cs="仿宋"/>
          <w:b/>
          <w:color w:val="auto"/>
          <w:spacing w:val="6"/>
          <w:sz w:val="24"/>
          <w:highlight w:val="none"/>
        </w:rPr>
        <w:t>监狱企业声明函</w:t>
      </w:r>
      <w:bookmarkEnd w:id="382"/>
      <w:bookmarkEnd w:id="383"/>
      <w:bookmarkEnd w:id="384"/>
      <w:bookmarkEnd w:id="385"/>
    </w:p>
    <w:p w14:paraId="1FF6AC1F">
      <w:pPr>
        <w:keepNext w:val="0"/>
        <w:keepLines w:val="0"/>
        <w:pageBreakBefore w:val="0"/>
        <w:kinsoku/>
        <w:wordWrap/>
        <w:overflowPunct/>
        <w:topLinePunct w:val="0"/>
        <w:bidi w:val="0"/>
        <w:spacing w:line="36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（监狱企业适用）</w:t>
      </w:r>
    </w:p>
    <w:p w14:paraId="64274BF6">
      <w:pPr>
        <w:keepNext w:val="0"/>
        <w:keepLines w:val="0"/>
        <w:pageBreakBefore w:val="0"/>
        <w:kinsoku/>
        <w:wordWrap/>
        <w:overflowPunct/>
        <w:topLinePunct w:val="0"/>
        <w:bidi w:val="0"/>
        <w:spacing w:line="360" w:lineRule="auto"/>
        <w:ind w:firstLine="540" w:firstLineChars="2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本公司郑重声明，根据《关于政府采购支持监狱企业发展有关问题的通知》（财库[2014]68号）的规定，本公司为监狱企业。</w:t>
      </w:r>
    </w:p>
    <w:p w14:paraId="462429E9">
      <w:pPr>
        <w:keepNext w:val="0"/>
        <w:keepLines w:val="0"/>
        <w:pageBreakBefore w:val="0"/>
        <w:kinsoku/>
        <w:wordWrap/>
        <w:overflowPunct/>
        <w:topLinePunct w:val="0"/>
        <w:bidi w:val="0"/>
        <w:spacing w:line="360" w:lineRule="auto"/>
        <w:ind w:firstLine="540" w:firstLineChars="2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本公司参加______单位的______项目采购活动，采购活动提供本企业（填写制造的货物，由本企业承担工程、提供服务）。</w:t>
      </w:r>
    </w:p>
    <w:p w14:paraId="42A7BDFF">
      <w:pPr>
        <w:keepNext w:val="0"/>
        <w:keepLines w:val="0"/>
        <w:pageBreakBefore w:val="0"/>
        <w:kinsoku/>
        <w:wordWrap/>
        <w:overflowPunct/>
        <w:topLinePunct w:val="0"/>
        <w:bidi w:val="0"/>
        <w:spacing w:line="360" w:lineRule="auto"/>
        <w:ind w:firstLine="540" w:firstLineChars="2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本条所称货物不包括使用大型企业注册商标的货物和服务。</w:t>
      </w:r>
    </w:p>
    <w:p w14:paraId="2F43855B">
      <w:pPr>
        <w:keepNext w:val="0"/>
        <w:keepLines w:val="0"/>
        <w:pageBreakBefore w:val="0"/>
        <w:kinsoku/>
        <w:wordWrap/>
        <w:overflowPunct/>
        <w:topLinePunct w:val="0"/>
        <w:bidi w:val="0"/>
        <w:spacing w:line="360" w:lineRule="auto"/>
        <w:ind w:firstLine="540" w:firstLineChars="2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本公司对上述声明的真实性负责。如有虚假，将依法承担相应责任。</w:t>
      </w:r>
    </w:p>
    <w:p w14:paraId="753B4322">
      <w:pPr>
        <w:keepNext w:val="0"/>
        <w:keepLines w:val="0"/>
        <w:pageBreakBefore w:val="0"/>
        <w:kinsoku/>
        <w:wordWrap/>
        <w:overflowPunct/>
        <w:topLinePunct w:val="0"/>
        <w:bidi w:val="0"/>
        <w:spacing w:line="360" w:lineRule="auto"/>
        <w:ind w:firstLine="4860" w:firstLineChars="2025"/>
        <w:textAlignment w:val="auto"/>
        <w:outlineLvl w:val="9"/>
        <w:rPr>
          <w:rFonts w:hint="eastAsia" w:ascii="仿宋" w:hAnsi="仿宋" w:eastAsia="仿宋" w:cs="仿宋"/>
          <w:color w:val="auto"/>
          <w:sz w:val="24"/>
          <w:szCs w:val="24"/>
          <w:highlight w:val="none"/>
        </w:rPr>
      </w:pPr>
    </w:p>
    <w:p w14:paraId="4104A7AC">
      <w:pPr>
        <w:keepNext w:val="0"/>
        <w:keepLines w:val="0"/>
        <w:pageBreakBefore w:val="0"/>
        <w:kinsoku/>
        <w:wordWrap/>
        <w:overflowPunct/>
        <w:topLinePunct w:val="0"/>
        <w:bidi w:val="0"/>
        <w:spacing w:line="360" w:lineRule="auto"/>
        <w:ind w:firstLine="4320" w:firstLine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企业名称（加盖公章）：</w:t>
      </w:r>
    </w:p>
    <w:p w14:paraId="640A408F">
      <w:pPr>
        <w:keepNext w:val="0"/>
        <w:keepLines w:val="0"/>
        <w:pageBreakBefore w:val="0"/>
        <w:kinsoku/>
        <w:wordWrap/>
        <w:overflowPunct/>
        <w:topLinePunct w:val="0"/>
        <w:bidi w:val="0"/>
        <w:spacing w:line="360" w:lineRule="auto"/>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法定代表人（负责人）或其授权代表(签字)：</w:t>
      </w:r>
    </w:p>
    <w:p w14:paraId="13846868">
      <w:pPr>
        <w:keepNext w:val="0"/>
        <w:keepLines w:val="0"/>
        <w:pageBreakBefore w:val="0"/>
        <w:tabs>
          <w:tab w:val="left" w:pos="2880"/>
        </w:tabs>
        <w:kinsoku/>
        <w:wordWrap/>
        <w:overflowPunct/>
        <w:topLinePunct w:val="0"/>
        <w:bidi w:val="0"/>
        <w:spacing w:line="460" w:lineRule="atLeast"/>
        <w:ind w:firstLine="4560" w:firstLineChars="19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5E14B18D">
      <w:pPr>
        <w:keepNext w:val="0"/>
        <w:keepLines w:val="0"/>
        <w:pageBreakBefore w:val="0"/>
        <w:kinsoku/>
        <w:wordWrap/>
        <w:overflowPunct/>
        <w:topLinePunct w:val="0"/>
        <w:bidi w:val="0"/>
        <w:spacing w:line="440" w:lineRule="exact"/>
        <w:ind w:firstLine="720" w:firstLineChars="3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注：后附监狱企业资格证明文件</w:t>
      </w:r>
    </w:p>
    <w:p w14:paraId="575BDAD3">
      <w:pPr>
        <w:keepNext w:val="0"/>
        <w:keepLines w:val="0"/>
        <w:pageBreakBefore w:val="0"/>
        <w:kinsoku/>
        <w:wordWrap/>
        <w:overflowPunct/>
        <w:topLinePunct w:val="0"/>
        <w:bidi w:val="0"/>
        <w:spacing w:line="440" w:lineRule="exact"/>
        <w:ind w:firstLine="720" w:firstLineChars="3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省级以上监狱管理局、戒毒管理局（含新疆生产建设兵团）出具的属于监狱企业的证明文件；</w:t>
      </w:r>
    </w:p>
    <w:p w14:paraId="33EAABBB">
      <w:pPr>
        <w:keepNext w:val="0"/>
        <w:keepLines w:val="0"/>
        <w:pageBreakBefore w:val="0"/>
        <w:kinsoku/>
        <w:wordWrap/>
        <w:overflowPunct/>
        <w:topLinePunct w:val="0"/>
        <w:bidi w:val="0"/>
        <w:spacing w:line="440" w:lineRule="exact"/>
        <w:ind w:firstLine="720" w:firstLineChars="3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2.证明材料加盖供应商公章。</w:t>
      </w:r>
    </w:p>
    <w:p w14:paraId="3B4A7A76">
      <w:pPr>
        <w:keepNext w:val="0"/>
        <w:keepLines w:val="0"/>
        <w:pageBreakBefore w:val="0"/>
        <w:kinsoku/>
        <w:wordWrap/>
        <w:overflowPunct/>
        <w:topLinePunct w:val="0"/>
        <w:bidi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（若响应性文件中无上述证明文件，则在评审时不考虑对该监狱企业的相关优惠。） </w:t>
      </w:r>
    </w:p>
    <w:p w14:paraId="70442931">
      <w:pPr>
        <w:keepNext w:val="0"/>
        <w:keepLines w:val="0"/>
        <w:pageBreakBefore w:val="0"/>
        <w:tabs>
          <w:tab w:val="left" w:pos="3600"/>
        </w:tabs>
        <w:kinsoku/>
        <w:wordWrap/>
        <w:overflowPunct/>
        <w:topLinePunct w:val="0"/>
        <w:bidi w:val="0"/>
        <w:adjustRightInd w:val="0"/>
        <w:snapToGrid w:val="0"/>
        <w:spacing w:line="440" w:lineRule="exact"/>
        <w:jc w:val="center"/>
        <w:textAlignment w:val="auto"/>
        <w:outlineLvl w:val="9"/>
        <w:rPr>
          <w:rFonts w:hint="eastAsia" w:ascii="仿宋" w:hAnsi="仿宋" w:eastAsia="仿宋" w:cs="仿宋"/>
          <w:color w:val="auto"/>
          <w:highlight w:val="none"/>
        </w:rPr>
      </w:pPr>
    </w:p>
    <w:p w14:paraId="3A3907F7">
      <w:pPr>
        <w:keepNext w:val="0"/>
        <w:keepLines w:val="0"/>
        <w:pageBreakBefore w:val="0"/>
        <w:tabs>
          <w:tab w:val="left" w:pos="3777"/>
          <w:tab w:val="center" w:pos="4819"/>
        </w:tabs>
        <w:kinsoku/>
        <w:wordWrap/>
        <w:overflowPunct/>
        <w:topLinePunct w:val="0"/>
        <w:bidi w:val="0"/>
        <w:spacing w:line="360" w:lineRule="auto"/>
        <w:jc w:val="center"/>
        <w:textAlignment w:val="auto"/>
        <w:outlineLvl w:val="9"/>
        <w:rPr>
          <w:rFonts w:hint="eastAsia" w:ascii="仿宋" w:hAnsi="仿宋" w:eastAsia="仿宋" w:cs="仿宋"/>
          <w:b/>
          <w:color w:val="auto"/>
          <w:spacing w:val="6"/>
          <w:sz w:val="24"/>
          <w:highlight w:val="none"/>
        </w:rPr>
      </w:pPr>
      <w:bookmarkStart w:id="386" w:name="_Toc20936"/>
      <w:bookmarkStart w:id="387" w:name="_Toc138177926"/>
      <w:bookmarkStart w:id="388" w:name="_Toc2606"/>
      <w:bookmarkStart w:id="389" w:name="_Toc12565"/>
      <w:r>
        <w:rPr>
          <w:rFonts w:hint="eastAsia" w:ascii="仿宋" w:hAnsi="仿宋" w:eastAsia="仿宋" w:cs="仿宋"/>
          <w:b/>
          <w:color w:val="auto"/>
          <w:spacing w:val="6"/>
          <w:sz w:val="24"/>
          <w:highlight w:val="none"/>
        </w:rPr>
        <w:t>残疾人福利性单位声明函</w:t>
      </w:r>
      <w:bookmarkEnd w:id="386"/>
      <w:bookmarkEnd w:id="387"/>
      <w:bookmarkEnd w:id="388"/>
      <w:bookmarkEnd w:id="389"/>
    </w:p>
    <w:p w14:paraId="09FEA8B1">
      <w:pPr>
        <w:keepNext w:val="0"/>
        <w:keepLines w:val="0"/>
        <w:pageBreakBefore w:val="0"/>
        <w:kinsoku/>
        <w:wordWrap/>
        <w:overflowPunct/>
        <w:topLinePunct w:val="0"/>
        <w:autoSpaceDE w:val="0"/>
        <w:autoSpaceDN w:val="0"/>
        <w:bidi w:val="0"/>
        <w:adjustRightInd w:val="0"/>
        <w:spacing w:line="440" w:lineRule="exact"/>
        <w:textAlignment w:val="auto"/>
        <w:outlineLvl w:val="9"/>
        <w:rPr>
          <w:rFonts w:hint="eastAsia" w:ascii="仿宋" w:hAnsi="仿宋" w:eastAsia="仿宋" w:cs="仿宋"/>
          <w:b/>
          <w:bCs/>
          <w:color w:val="auto"/>
          <w:spacing w:val="6"/>
          <w:highlight w:val="none"/>
        </w:rPr>
      </w:pPr>
    </w:p>
    <w:p w14:paraId="25B31A08">
      <w:pPr>
        <w:keepNext w:val="0"/>
        <w:keepLines w:val="0"/>
        <w:pageBreakBefore w:val="0"/>
        <w:kinsoku/>
        <w:wordWrap/>
        <w:overflowPunct/>
        <w:topLinePunct w:val="0"/>
        <w:bidi w:val="0"/>
        <w:adjustRightInd w:val="0"/>
        <w:snapToGrid w:val="0"/>
        <w:spacing w:line="440" w:lineRule="exact"/>
        <w:ind w:firstLine="504" w:firstLineChars="200"/>
        <w:textAlignment w:val="auto"/>
        <w:outlineLvl w:val="9"/>
        <w:rPr>
          <w:rFonts w:hint="eastAsia" w:ascii="仿宋" w:hAnsi="仿宋" w:eastAsia="仿宋" w:cs="仿宋"/>
          <w:color w:val="auto"/>
          <w:spacing w:val="6"/>
          <w:sz w:val="24"/>
          <w:szCs w:val="28"/>
          <w:highlight w:val="none"/>
        </w:rPr>
      </w:pPr>
      <w:r>
        <w:rPr>
          <w:rFonts w:hint="eastAsia" w:ascii="仿宋" w:hAnsi="仿宋" w:eastAsia="仿宋" w:cs="仿宋"/>
          <w:color w:val="auto"/>
          <w:spacing w:val="6"/>
          <w:sz w:val="24"/>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6467BA">
      <w:pPr>
        <w:keepNext w:val="0"/>
        <w:keepLines w:val="0"/>
        <w:pageBreakBefore w:val="0"/>
        <w:kinsoku/>
        <w:wordWrap/>
        <w:overflowPunct/>
        <w:topLinePunct w:val="0"/>
        <w:bidi w:val="0"/>
        <w:adjustRightInd w:val="0"/>
        <w:snapToGrid w:val="0"/>
        <w:spacing w:line="440" w:lineRule="exact"/>
        <w:ind w:firstLine="504" w:firstLineChars="200"/>
        <w:textAlignment w:val="auto"/>
        <w:outlineLvl w:val="9"/>
        <w:rPr>
          <w:rFonts w:hint="eastAsia" w:ascii="仿宋" w:hAnsi="仿宋" w:eastAsia="仿宋" w:cs="仿宋"/>
          <w:color w:val="auto"/>
          <w:spacing w:val="6"/>
          <w:sz w:val="24"/>
          <w:szCs w:val="28"/>
          <w:highlight w:val="none"/>
        </w:rPr>
      </w:pPr>
      <w:r>
        <w:rPr>
          <w:rFonts w:hint="eastAsia" w:ascii="仿宋" w:hAnsi="仿宋" w:eastAsia="仿宋" w:cs="仿宋"/>
          <w:color w:val="auto"/>
          <w:spacing w:val="6"/>
          <w:sz w:val="24"/>
          <w:szCs w:val="28"/>
          <w:highlight w:val="none"/>
        </w:rPr>
        <w:t xml:space="preserve">本单位对上述声明的真实性负责。如有虚假，将依法承担相应责任。 </w:t>
      </w:r>
    </w:p>
    <w:p w14:paraId="7D35CF31">
      <w:pPr>
        <w:keepNext w:val="0"/>
        <w:keepLines w:val="0"/>
        <w:pageBreakBefore w:val="0"/>
        <w:kinsoku/>
        <w:wordWrap/>
        <w:overflowPunct/>
        <w:topLinePunct w:val="0"/>
        <w:bidi w:val="0"/>
        <w:adjustRightInd w:val="0"/>
        <w:snapToGrid w:val="0"/>
        <w:spacing w:line="440" w:lineRule="exact"/>
        <w:ind w:firstLine="504" w:firstLineChars="200"/>
        <w:textAlignment w:val="auto"/>
        <w:outlineLvl w:val="9"/>
        <w:rPr>
          <w:rFonts w:hint="eastAsia" w:ascii="仿宋" w:hAnsi="仿宋" w:eastAsia="仿宋" w:cs="仿宋"/>
          <w:color w:val="auto"/>
          <w:spacing w:val="6"/>
          <w:sz w:val="24"/>
          <w:szCs w:val="28"/>
          <w:highlight w:val="none"/>
        </w:rPr>
      </w:pPr>
    </w:p>
    <w:p w14:paraId="67F500DE">
      <w:pPr>
        <w:keepNext w:val="0"/>
        <w:keepLines w:val="0"/>
        <w:pageBreakBefore w:val="0"/>
        <w:kinsoku/>
        <w:wordWrap/>
        <w:overflowPunct/>
        <w:topLinePunct w:val="0"/>
        <w:bidi w:val="0"/>
        <w:adjustRightInd w:val="0"/>
        <w:snapToGrid w:val="0"/>
        <w:spacing w:line="440" w:lineRule="exact"/>
        <w:ind w:firstLine="5544" w:firstLineChars="2200"/>
        <w:textAlignment w:val="auto"/>
        <w:outlineLvl w:val="9"/>
        <w:rPr>
          <w:rFonts w:hint="eastAsia" w:ascii="仿宋" w:hAnsi="仿宋" w:eastAsia="仿宋" w:cs="仿宋"/>
          <w:color w:val="auto"/>
          <w:spacing w:val="6"/>
          <w:sz w:val="24"/>
          <w:szCs w:val="28"/>
          <w:highlight w:val="none"/>
        </w:rPr>
      </w:pPr>
      <w:r>
        <w:rPr>
          <w:rFonts w:hint="eastAsia" w:ascii="仿宋" w:hAnsi="仿宋" w:eastAsia="仿宋" w:cs="仿宋"/>
          <w:color w:val="auto"/>
          <w:spacing w:val="6"/>
          <w:sz w:val="24"/>
          <w:szCs w:val="28"/>
          <w:highlight w:val="none"/>
        </w:rPr>
        <w:t>单位名称（盖章）：</w:t>
      </w:r>
    </w:p>
    <w:p w14:paraId="207EA999">
      <w:pPr>
        <w:keepNext w:val="0"/>
        <w:keepLines w:val="0"/>
        <w:pageBreakBefore w:val="0"/>
        <w:widowControl/>
        <w:kinsoku/>
        <w:wordWrap/>
        <w:overflowPunct/>
        <w:topLinePunct w:val="0"/>
        <w:bidi w:val="0"/>
        <w:spacing w:line="360" w:lineRule="auto"/>
        <w:jc w:val="center"/>
        <w:textAlignment w:val="auto"/>
        <w:outlineLvl w:val="9"/>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pacing w:val="6"/>
          <w:sz w:val="24"/>
          <w:szCs w:val="28"/>
          <w:highlight w:val="none"/>
          <w:lang w:val="en-US" w:eastAsia="zh-CN"/>
        </w:rPr>
        <w:t xml:space="preserve">                      </w:t>
      </w:r>
      <w:r>
        <w:rPr>
          <w:rFonts w:hint="eastAsia" w:ascii="仿宋" w:hAnsi="仿宋" w:eastAsia="仿宋" w:cs="仿宋"/>
          <w:color w:val="auto"/>
          <w:spacing w:val="6"/>
          <w:sz w:val="24"/>
          <w:szCs w:val="28"/>
          <w:highlight w:val="none"/>
        </w:rPr>
        <w:t>日  期：</w:t>
      </w:r>
    </w:p>
    <w:p w14:paraId="02DC825F">
      <w:pPr>
        <w:keepNext w:val="0"/>
        <w:keepLines w:val="0"/>
        <w:pageBreakBefore w:val="0"/>
        <w:widowControl/>
        <w:kinsoku/>
        <w:wordWrap/>
        <w:overflowPunct/>
        <w:topLinePunct w:val="0"/>
        <w:bidi w:val="0"/>
        <w:spacing w:line="360" w:lineRule="auto"/>
        <w:jc w:val="left"/>
        <w:textAlignment w:val="auto"/>
        <w:outlineLvl w:val="9"/>
        <w:rPr>
          <w:rFonts w:hint="eastAsia" w:ascii="仿宋" w:hAnsi="仿宋" w:eastAsia="仿宋" w:cs="仿宋"/>
          <w:b/>
          <w:color w:val="auto"/>
          <w:sz w:val="24"/>
          <w:szCs w:val="24"/>
          <w:highlight w:val="none"/>
          <w:shd w:val="clear" w:color="auto" w:fill="FFFFFF" w:themeFill="background1"/>
        </w:rPr>
      </w:pPr>
    </w:p>
    <w:p w14:paraId="73536511">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154BC4E1">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390" w:name="_Toc507586174"/>
      <w:bookmarkStart w:id="391" w:name="_Toc38446479"/>
      <w:bookmarkStart w:id="392" w:name="_Toc533503190"/>
      <w:bookmarkStart w:id="393" w:name="_Toc25643"/>
      <w:bookmarkStart w:id="394" w:name="_Toc9955"/>
      <w:r>
        <w:rPr>
          <w:rFonts w:hint="eastAsia" w:ascii="仿宋" w:hAnsi="仿宋" w:eastAsia="仿宋" w:cs="仿宋"/>
          <w:b/>
          <w:color w:val="auto"/>
          <w:sz w:val="24"/>
          <w:szCs w:val="24"/>
          <w:highlight w:val="none"/>
          <w:shd w:val="clear" w:color="auto" w:fill="FFFFFF" w:themeFill="background1"/>
        </w:rPr>
        <w:t>九、</w:t>
      </w:r>
      <w:bookmarkEnd w:id="390"/>
      <w:bookmarkEnd w:id="391"/>
      <w:bookmarkEnd w:id="392"/>
      <w:bookmarkEnd w:id="393"/>
      <w:r>
        <w:rPr>
          <w:rFonts w:hint="eastAsia" w:ascii="仿宋" w:hAnsi="仿宋" w:eastAsia="仿宋" w:cs="仿宋"/>
          <w:b/>
          <w:bCs/>
          <w:color w:val="auto"/>
          <w:sz w:val="24"/>
          <w:szCs w:val="24"/>
          <w:highlight w:val="none"/>
          <w:shd w:val="clear" w:color="auto" w:fill="FFFFFF" w:themeFill="background1"/>
        </w:rPr>
        <w:t>投标人近三年类似项目业绩表</w:t>
      </w:r>
      <w:bookmarkEnd w:id="394"/>
    </w:p>
    <w:p w14:paraId="7F3AB0D6">
      <w:pPr>
        <w:spacing w:line="360" w:lineRule="auto"/>
        <w:jc w:val="left"/>
        <w:rPr>
          <w:rFonts w:hint="eastAsia" w:ascii="仿宋" w:hAnsi="仿宋" w:eastAsia="仿宋" w:cs="仿宋"/>
          <w:color w:val="auto"/>
          <w:sz w:val="24"/>
          <w:szCs w:val="24"/>
          <w:highlight w:val="none"/>
          <w:shd w:val="clear" w:color="auto" w:fill="FFFFFF" w:themeFill="background1"/>
        </w:rPr>
      </w:pPr>
    </w:p>
    <w:tbl>
      <w:tblPr>
        <w:tblStyle w:val="42"/>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549"/>
        <w:gridCol w:w="1134"/>
        <w:gridCol w:w="1369"/>
        <w:gridCol w:w="1194"/>
        <w:gridCol w:w="1213"/>
        <w:gridCol w:w="1213"/>
        <w:gridCol w:w="787"/>
      </w:tblGrid>
      <w:tr w14:paraId="4FCB2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0BAFF660">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25737E2F">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37757B8E">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4E6DCBF8">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采购人</w:t>
            </w:r>
          </w:p>
          <w:p w14:paraId="7AA8A25E">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7B03615A">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557520FE">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5540D07B">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275B3836">
            <w:pPr>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备注</w:t>
            </w:r>
          </w:p>
        </w:tc>
      </w:tr>
      <w:tr w14:paraId="4FA11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310E08C">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3F0A195F">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515E17D">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ADC8711">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29E9148">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434F5E7">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9168248">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1B5A755">
            <w:pPr>
              <w:jc w:val="center"/>
              <w:rPr>
                <w:rFonts w:hint="eastAsia" w:ascii="仿宋" w:hAnsi="仿宋" w:eastAsia="仿宋" w:cs="仿宋"/>
                <w:color w:val="auto"/>
                <w:kern w:val="0"/>
                <w:sz w:val="24"/>
                <w:szCs w:val="24"/>
                <w:highlight w:val="none"/>
                <w:shd w:val="clear" w:color="auto" w:fill="FFFFFF" w:themeFill="background1"/>
              </w:rPr>
            </w:pPr>
          </w:p>
        </w:tc>
      </w:tr>
      <w:tr w14:paraId="0A3FA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17E1667">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C21E8D9">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5F47275">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85BF752">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B845EC0">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327D19E">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F934748">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54E7D94">
            <w:pPr>
              <w:jc w:val="center"/>
              <w:rPr>
                <w:rFonts w:hint="eastAsia" w:ascii="仿宋" w:hAnsi="仿宋" w:eastAsia="仿宋" w:cs="仿宋"/>
                <w:color w:val="auto"/>
                <w:kern w:val="0"/>
                <w:sz w:val="24"/>
                <w:szCs w:val="24"/>
                <w:highlight w:val="none"/>
                <w:shd w:val="clear" w:color="auto" w:fill="FFFFFF" w:themeFill="background1"/>
              </w:rPr>
            </w:pPr>
          </w:p>
        </w:tc>
      </w:tr>
      <w:tr w14:paraId="35FAB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C0817B4">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5619ECC">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86D97C1">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F9F6EC7">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613011DA">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C5F7CBD">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F26073C">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AEDE31D">
            <w:pPr>
              <w:jc w:val="center"/>
              <w:rPr>
                <w:rFonts w:hint="eastAsia" w:ascii="仿宋" w:hAnsi="仿宋" w:eastAsia="仿宋" w:cs="仿宋"/>
                <w:color w:val="auto"/>
                <w:kern w:val="0"/>
                <w:sz w:val="24"/>
                <w:szCs w:val="24"/>
                <w:highlight w:val="none"/>
                <w:shd w:val="clear" w:color="auto" w:fill="FFFFFF" w:themeFill="background1"/>
              </w:rPr>
            </w:pPr>
          </w:p>
        </w:tc>
      </w:tr>
      <w:tr w14:paraId="5DA3E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06F4930C">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CDB7864">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8B26C64">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56A1E7F">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D930068">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3380647">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F41179F">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36777BA">
            <w:pPr>
              <w:jc w:val="center"/>
              <w:rPr>
                <w:rFonts w:hint="eastAsia" w:ascii="仿宋" w:hAnsi="仿宋" w:eastAsia="仿宋" w:cs="仿宋"/>
                <w:color w:val="auto"/>
                <w:kern w:val="0"/>
                <w:sz w:val="24"/>
                <w:szCs w:val="24"/>
                <w:highlight w:val="none"/>
                <w:shd w:val="clear" w:color="auto" w:fill="FFFFFF" w:themeFill="background1"/>
              </w:rPr>
            </w:pPr>
          </w:p>
        </w:tc>
      </w:tr>
      <w:tr w14:paraId="499F6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BA0FFCF">
            <w:pPr>
              <w:jc w:val="center"/>
              <w:rPr>
                <w:rFonts w:hint="eastAsia" w:ascii="仿宋" w:hAnsi="仿宋" w:eastAsia="仿宋" w:cs="仿宋"/>
                <w:color w:val="auto"/>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1E179A3">
            <w:pPr>
              <w:jc w:val="center"/>
              <w:rPr>
                <w:rFonts w:hint="eastAsia" w:ascii="仿宋" w:hAnsi="仿宋" w:eastAsia="仿宋" w:cs="仿宋"/>
                <w:color w:val="auto"/>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AD017DD">
            <w:pPr>
              <w:jc w:val="center"/>
              <w:rPr>
                <w:rFonts w:hint="eastAsia" w:ascii="仿宋" w:hAnsi="仿宋" w:eastAsia="仿宋" w:cs="仿宋"/>
                <w:color w:val="auto"/>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A407899">
            <w:pPr>
              <w:jc w:val="center"/>
              <w:rPr>
                <w:rFonts w:hint="eastAsia" w:ascii="仿宋" w:hAnsi="仿宋" w:eastAsia="仿宋" w:cs="仿宋"/>
                <w:color w:val="auto"/>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6797969">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F886573">
            <w:pPr>
              <w:jc w:val="center"/>
              <w:rPr>
                <w:rFonts w:hint="eastAsia" w:ascii="仿宋" w:hAnsi="仿宋" w:eastAsia="仿宋" w:cs="仿宋"/>
                <w:color w:val="auto"/>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61372B7">
            <w:pPr>
              <w:jc w:val="center"/>
              <w:rPr>
                <w:rFonts w:hint="eastAsia" w:ascii="仿宋" w:hAnsi="仿宋" w:eastAsia="仿宋" w:cs="仿宋"/>
                <w:color w:val="auto"/>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C09293D">
            <w:pPr>
              <w:jc w:val="center"/>
              <w:rPr>
                <w:rFonts w:hint="eastAsia" w:ascii="仿宋" w:hAnsi="仿宋" w:eastAsia="仿宋" w:cs="仿宋"/>
                <w:color w:val="auto"/>
                <w:kern w:val="0"/>
                <w:sz w:val="24"/>
                <w:szCs w:val="24"/>
                <w:highlight w:val="none"/>
                <w:shd w:val="clear" w:color="auto" w:fill="FFFFFF" w:themeFill="background1"/>
              </w:rPr>
            </w:pPr>
          </w:p>
        </w:tc>
      </w:tr>
    </w:tbl>
    <w:p w14:paraId="7EC46C53">
      <w:pPr>
        <w:spacing w:line="360" w:lineRule="auto"/>
        <w:jc w:val="left"/>
        <w:rPr>
          <w:rFonts w:hint="eastAsia" w:ascii="仿宋" w:hAnsi="仿宋" w:eastAsia="仿宋" w:cs="仿宋"/>
          <w:color w:val="auto"/>
          <w:sz w:val="24"/>
          <w:szCs w:val="24"/>
          <w:highlight w:val="none"/>
          <w:shd w:val="clear" w:color="auto" w:fill="FFFFFF" w:themeFill="background1"/>
        </w:rPr>
      </w:pPr>
    </w:p>
    <w:p w14:paraId="49726652">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备注：本表后须附业绩的证明资料：</w:t>
      </w:r>
      <w:r>
        <w:rPr>
          <w:rFonts w:hint="eastAsia" w:ascii="仿宋" w:hAnsi="仿宋" w:eastAsia="仿宋" w:cs="仿宋"/>
          <w:color w:val="auto"/>
          <w:sz w:val="24"/>
          <w:szCs w:val="24"/>
          <w:highlight w:val="none"/>
          <w:u w:val="single"/>
          <w:shd w:val="clear" w:color="auto" w:fill="FFFFFF" w:themeFill="background1"/>
        </w:rPr>
        <w:t>需提供招标文件要求的有关书面证明材料。</w:t>
      </w:r>
    </w:p>
    <w:p w14:paraId="32EAD2EA">
      <w:pPr>
        <w:spacing w:line="360" w:lineRule="auto"/>
        <w:ind w:firstLine="480" w:firstLineChars="200"/>
        <w:rPr>
          <w:rFonts w:hint="eastAsia" w:ascii="仿宋" w:hAnsi="仿宋" w:eastAsia="仿宋" w:cs="仿宋"/>
          <w:color w:val="auto"/>
          <w:sz w:val="24"/>
          <w:szCs w:val="24"/>
          <w:highlight w:val="none"/>
          <w:u w:val="single"/>
          <w:shd w:val="clear" w:color="auto" w:fill="FFFFFF" w:themeFill="background1"/>
        </w:rPr>
      </w:pPr>
    </w:p>
    <w:p w14:paraId="5AEFC81F">
      <w:pPr>
        <w:spacing w:line="360" w:lineRule="auto"/>
        <w:ind w:firstLine="480" w:firstLineChars="200"/>
        <w:rPr>
          <w:rFonts w:hint="eastAsia" w:ascii="仿宋" w:hAnsi="仿宋" w:eastAsia="仿宋" w:cs="仿宋"/>
          <w:color w:val="auto"/>
          <w:sz w:val="24"/>
          <w:szCs w:val="24"/>
          <w:highlight w:val="none"/>
          <w:u w:val="single"/>
          <w:shd w:val="clear" w:color="auto" w:fill="FFFFFF" w:themeFill="background1"/>
        </w:rPr>
      </w:pPr>
    </w:p>
    <w:p w14:paraId="6C8143EA">
      <w:pPr>
        <w:widowControl/>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064DE4BE">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395" w:name="_Toc20381"/>
      <w:bookmarkStart w:id="396" w:name="_Toc507586175"/>
      <w:bookmarkStart w:id="397" w:name="_Toc38446480"/>
      <w:bookmarkStart w:id="398" w:name="_Toc15333"/>
      <w:bookmarkStart w:id="399" w:name="_Toc533503191"/>
      <w:r>
        <w:rPr>
          <w:rFonts w:hint="eastAsia" w:ascii="仿宋" w:hAnsi="仿宋" w:eastAsia="仿宋" w:cs="仿宋"/>
          <w:b/>
          <w:color w:val="auto"/>
          <w:sz w:val="24"/>
          <w:szCs w:val="24"/>
          <w:highlight w:val="none"/>
          <w:shd w:val="clear" w:color="auto" w:fill="FFFFFF" w:themeFill="background1"/>
        </w:rPr>
        <w:t>十、</w:t>
      </w:r>
      <w:r>
        <w:rPr>
          <w:rFonts w:hint="eastAsia" w:ascii="仿宋" w:hAnsi="仿宋" w:eastAsia="仿宋" w:cs="仿宋"/>
          <w:b/>
          <w:bCs/>
          <w:color w:val="auto"/>
          <w:sz w:val="24"/>
          <w:szCs w:val="24"/>
          <w:highlight w:val="none"/>
          <w:shd w:val="clear" w:color="auto" w:fill="FFFFFF" w:themeFill="background1"/>
        </w:rPr>
        <w:t>项目负责人简历表</w:t>
      </w:r>
      <w:bookmarkEnd w:id="395"/>
      <w:bookmarkEnd w:id="396"/>
      <w:bookmarkEnd w:id="397"/>
      <w:bookmarkEnd w:id="398"/>
      <w:bookmarkEnd w:id="399"/>
    </w:p>
    <w:p w14:paraId="377DBA2F">
      <w:pPr>
        <w:spacing w:line="360" w:lineRule="auto"/>
        <w:jc w:val="left"/>
        <w:rPr>
          <w:rFonts w:hint="eastAsia" w:ascii="仿宋" w:hAnsi="仿宋" w:eastAsia="仿宋" w:cs="仿宋"/>
          <w:color w:val="auto"/>
          <w:sz w:val="24"/>
          <w:szCs w:val="24"/>
          <w:highlight w:val="none"/>
          <w:shd w:val="clear" w:color="auto" w:fill="FFFFFF" w:themeFill="background1"/>
        </w:rPr>
      </w:pPr>
    </w:p>
    <w:tbl>
      <w:tblPr>
        <w:tblStyle w:val="4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40D8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2F1E98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姓名</w:t>
            </w:r>
          </w:p>
        </w:tc>
        <w:tc>
          <w:tcPr>
            <w:tcW w:w="2602" w:type="dxa"/>
            <w:gridSpan w:val="2"/>
            <w:vAlign w:val="center"/>
          </w:tcPr>
          <w:p w14:paraId="454DFA8D">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935" w:type="dxa"/>
            <w:gridSpan w:val="2"/>
            <w:vAlign w:val="center"/>
          </w:tcPr>
          <w:p w14:paraId="6AE7D753">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性别</w:t>
            </w:r>
          </w:p>
        </w:tc>
        <w:tc>
          <w:tcPr>
            <w:tcW w:w="2639" w:type="dxa"/>
            <w:gridSpan w:val="2"/>
            <w:vAlign w:val="center"/>
          </w:tcPr>
          <w:p w14:paraId="56E8C7ED">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3452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C5230F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身份证号码</w:t>
            </w:r>
          </w:p>
        </w:tc>
        <w:tc>
          <w:tcPr>
            <w:tcW w:w="2602" w:type="dxa"/>
            <w:gridSpan w:val="2"/>
            <w:vAlign w:val="center"/>
          </w:tcPr>
          <w:p w14:paraId="29704297">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935" w:type="dxa"/>
            <w:gridSpan w:val="2"/>
            <w:vAlign w:val="center"/>
          </w:tcPr>
          <w:p w14:paraId="35590CD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学历</w:t>
            </w:r>
          </w:p>
        </w:tc>
        <w:tc>
          <w:tcPr>
            <w:tcW w:w="2639" w:type="dxa"/>
            <w:gridSpan w:val="2"/>
            <w:vAlign w:val="center"/>
          </w:tcPr>
          <w:p w14:paraId="12D7F424">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7A46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62562B6">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毕业学校</w:t>
            </w:r>
          </w:p>
        </w:tc>
        <w:tc>
          <w:tcPr>
            <w:tcW w:w="2602" w:type="dxa"/>
            <w:gridSpan w:val="2"/>
            <w:vAlign w:val="center"/>
          </w:tcPr>
          <w:p w14:paraId="651CB580">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935" w:type="dxa"/>
            <w:gridSpan w:val="2"/>
            <w:vAlign w:val="center"/>
          </w:tcPr>
          <w:p w14:paraId="154C807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专业</w:t>
            </w:r>
          </w:p>
        </w:tc>
        <w:tc>
          <w:tcPr>
            <w:tcW w:w="2639" w:type="dxa"/>
            <w:gridSpan w:val="2"/>
            <w:vAlign w:val="center"/>
          </w:tcPr>
          <w:p w14:paraId="1A834C85">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1EEE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07DE084">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参加工作时间</w:t>
            </w:r>
          </w:p>
        </w:tc>
        <w:tc>
          <w:tcPr>
            <w:tcW w:w="2602" w:type="dxa"/>
            <w:gridSpan w:val="2"/>
            <w:vAlign w:val="center"/>
          </w:tcPr>
          <w:p w14:paraId="59D361BE">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935" w:type="dxa"/>
            <w:gridSpan w:val="2"/>
            <w:vAlign w:val="center"/>
          </w:tcPr>
          <w:p w14:paraId="1D528D5F">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从事本职业年限</w:t>
            </w:r>
          </w:p>
        </w:tc>
        <w:tc>
          <w:tcPr>
            <w:tcW w:w="2639" w:type="dxa"/>
            <w:gridSpan w:val="2"/>
            <w:vAlign w:val="center"/>
          </w:tcPr>
          <w:p w14:paraId="584F4C31">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34F0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B7648D7">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在公司担任职务</w:t>
            </w:r>
          </w:p>
        </w:tc>
        <w:tc>
          <w:tcPr>
            <w:tcW w:w="2602" w:type="dxa"/>
            <w:gridSpan w:val="2"/>
            <w:vAlign w:val="center"/>
          </w:tcPr>
          <w:p w14:paraId="00D2DB6D">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935" w:type="dxa"/>
            <w:gridSpan w:val="2"/>
            <w:vAlign w:val="center"/>
          </w:tcPr>
          <w:p w14:paraId="67A42C3F">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联系方式</w:t>
            </w:r>
          </w:p>
        </w:tc>
        <w:tc>
          <w:tcPr>
            <w:tcW w:w="2639" w:type="dxa"/>
            <w:gridSpan w:val="2"/>
            <w:vAlign w:val="center"/>
          </w:tcPr>
          <w:p w14:paraId="36A480BB">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1A22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425AD8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证书名称</w:t>
            </w:r>
          </w:p>
        </w:tc>
        <w:tc>
          <w:tcPr>
            <w:tcW w:w="2602" w:type="dxa"/>
            <w:gridSpan w:val="2"/>
            <w:vAlign w:val="center"/>
          </w:tcPr>
          <w:p w14:paraId="3FCE1B56">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935" w:type="dxa"/>
            <w:gridSpan w:val="2"/>
            <w:vAlign w:val="center"/>
          </w:tcPr>
          <w:p w14:paraId="61A8301E">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证书编号</w:t>
            </w:r>
          </w:p>
        </w:tc>
        <w:tc>
          <w:tcPr>
            <w:tcW w:w="2639" w:type="dxa"/>
            <w:gridSpan w:val="2"/>
            <w:vAlign w:val="center"/>
          </w:tcPr>
          <w:p w14:paraId="475E2DD2">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3E7D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0F5E75B0">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近三年类似业绩</w:t>
            </w:r>
          </w:p>
        </w:tc>
        <w:tc>
          <w:tcPr>
            <w:tcW w:w="1372" w:type="dxa"/>
            <w:vAlign w:val="center"/>
          </w:tcPr>
          <w:p w14:paraId="599A4B08">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项目名称</w:t>
            </w:r>
          </w:p>
        </w:tc>
        <w:tc>
          <w:tcPr>
            <w:tcW w:w="1463" w:type="dxa"/>
            <w:gridSpan w:val="2"/>
            <w:vAlign w:val="center"/>
          </w:tcPr>
          <w:p w14:paraId="1CEA20A6">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采购人</w:t>
            </w:r>
          </w:p>
        </w:tc>
        <w:tc>
          <w:tcPr>
            <w:tcW w:w="1702" w:type="dxa"/>
            <w:vAlign w:val="center"/>
          </w:tcPr>
          <w:p w14:paraId="7FC91594">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合同内容</w:t>
            </w:r>
          </w:p>
        </w:tc>
        <w:tc>
          <w:tcPr>
            <w:tcW w:w="1275" w:type="dxa"/>
            <w:vAlign w:val="center"/>
          </w:tcPr>
          <w:p w14:paraId="21A03BED">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合同价格</w:t>
            </w:r>
          </w:p>
        </w:tc>
        <w:tc>
          <w:tcPr>
            <w:tcW w:w="1364" w:type="dxa"/>
            <w:vAlign w:val="center"/>
          </w:tcPr>
          <w:p w14:paraId="1C2F5389">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签约日期</w:t>
            </w:r>
          </w:p>
        </w:tc>
      </w:tr>
      <w:tr w14:paraId="79D7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6F9C604">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2" w:type="dxa"/>
            <w:vAlign w:val="center"/>
          </w:tcPr>
          <w:p w14:paraId="4C78CD91">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63" w:type="dxa"/>
            <w:gridSpan w:val="2"/>
            <w:vAlign w:val="center"/>
          </w:tcPr>
          <w:p w14:paraId="739FE1F3">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702" w:type="dxa"/>
            <w:vAlign w:val="center"/>
          </w:tcPr>
          <w:p w14:paraId="37E77769">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75" w:type="dxa"/>
            <w:vAlign w:val="center"/>
          </w:tcPr>
          <w:p w14:paraId="0ED3D2AF">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64" w:type="dxa"/>
            <w:vAlign w:val="center"/>
          </w:tcPr>
          <w:p w14:paraId="62B1912F">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46AA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3A0A442">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2" w:type="dxa"/>
            <w:vAlign w:val="center"/>
          </w:tcPr>
          <w:p w14:paraId="4E162D1F">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63" w:type="dxa"/>
            <w:gridSpan w:val="2"/>
            <w:vAlign w:val="center"/>
          </w:tcPr>
          <w:p w14:paraId="6FB11DE9">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702" w:type="dxa"/>
            <w:vAlign w:val="center"/>
          </w:tcPr>
          <w:p w14:paraId="5BE17873">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75" w:type="dxa"/>
            <w:vAlign w:val="center"/>
          </w:tcPr>
          <w:p w14:paraId="0E18E698">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64" w:type="dxa"/>
            <w:vAlign w:val="center"/>
          </w:tcPr>
          <w:p w14:paraId="6466682B">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1A45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BF35109">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2" w:type="dxa"/>
            <w:vAlign w:val="center"/>
          </w:tcPr>
          <w:p w14:paraId="07F60F21">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63" w:type="dxa"/>
            <w:gridSpan w:val="2"/>
            <w:vAlign w:val="center"/>
          </w:tcPr>
          <w:p w14:paraId="132A4DD7">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702" w:type="dxa"/>
            <w:vAlign w:val="center"/>
          </w:tcPr>
          <w:p w14:paraId="43911FCB">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75" w:type="dxa"/>
            <w:vAlign w:val="center"/>
          </w:tcPr>
          <w:p w14:paraId="2DD6DB95">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64" w:type="dxa"/>
            <w:vAlign w:val="center"/>
          </w:tcPr>
          <w:p w14:paraId="039EA435">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31D0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4EBB40D">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2" w:type="dxa"/>
            <w:vAlign w:val="center"/>
          </w:tcPr>
          <w:p w14:paraId="5E534F5C">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63" w:type="dxa"/>
            <w:gridSpan w:val="2"/>
            <w:vAlign w:val="center"/>
          </w:tcPr>
          <w:p w14:paraId="3733653E">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702" w:type="dxa"/>
            <w:vAlign w:val="center"/>
          </w:tcPr>
          <w:p w14:paraId="3A052A43">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75" w:type="dxa"/>
            <w:vAlign w:val="center"/>
          </w:tcPr>
          <w:p w14:paraId="35DB5907">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64" w:type="dxa"/>
            <w:vAlign w:val="center"/>
          </w:tcPr>
          <w:p w14:paraId="1E43C495">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75B1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32BCA8B">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2" w:type="dxa"/>
            <w:vAlign w:val="center"/>
          </w:tcPr>
          <w:p w14:paraId="28F64FF0">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63" w:type="dxa"/>
            <w:gridSpan w:val="2"/>
            <w:vAlign w:val="center"/>
          </w:tcPr>
          <w:p w14:paraId="0BE451B8">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702" w:type="dxa"/>
            <w:vAlign w:val="center"/>
          </w:tcPr>
          <w:p w14:paraId="16ED4B6C">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75" w:type="dxa"/>
            <w:vAlign w:val="center"/>
          </w:tcPr>
          <w:p w14:paraId="5267E0A7">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64" w:type="dxa"/>
            <w:vAlign w:val="center"/>
          </w:tcPr>
          <w:p w14:paraId="3852179B">
            <w:pPr>
              <w:spacing w:line="360" w:lineRule="auto"/>
              <w:jc w:val="center"/>
              <w:rPr>
                <w:rFonts w:hint="eastAsia" w:ascii="仿宋" w:hAnsi="仿宋" w:eastAsia="仿宋" w:cs="仿宋"/>
                <w:color w:val="auto"/>
                <w:sz w:val="24"/>
                <w:szCs w:val="24"/>
                <w:highlight w:val="none"/>
                <w:shd w:val="clear" w:color="auto" w:fill="FFFFFF" w:themeFill="background1"/>
              </w:rPr>
            </w:pPr>
          </w:p>
        </w:tc>
      </w:tr>
    </w:tbl>
    <w:p w14:paraId="5468EBDB">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p>
    <w:p w14:paraId="7062E10B">
      <w:pPr>
        <w:spacing w:line="360" w:lineRule="auto"/>
        <w:ind w:firstLine="480" w:firstLineChars="200"/>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备注：本表后需提供招标文件要求的有关书面证明材料。</w:t>
      </w:r>
    </w:p>
    <w:p w14:paraId="2468B98E">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400" w:name="_Toc507586176"/>
      <w:r>
        <w:rPr>
          <w:rFonts w:hint="eastAsia" w:ascii="仿宋" w:hAnsi="仿宋" w:eastAsia="仿宋" w:cs="仿宋"/>
          <w:b/>
          <w:bCs/>
          <w:color w:val="auto"/>
          <w:sz w:val="24"/>
          <w:szCs w:val="24"/>
          <w:highlight w:val="none"/>
          <w:shd w:val="clear" w:color="auto" w:fill="FFFFFF" w:themeFill="background1"/>
        </w:rPr>
        <w:br w:type="page"/>
      </w:r>
      <w:bookmarkStart w:id="401" w:name="_Toc533503192"/>
      <w:bookmarkStart w:id="402" w:name="_Toc38446481"/>
      <w:bookmarkStart w:id="403" w:name="_Toc5101"/>
      <w:bookmarkStart w:id="404" w:name="_Toc4484"/>
      <w:r>
        <w:rPr>
          <w:rFonts w:hint="eastAsia" w:ascii="仿宋" w:hAnsi="仿宋" w:eastAsia="仿宋" w:cs="仿宋"/>
          <w:b/>
          <w:bCs/>
          <w:color w:val="auto"/>
          <w:sz w:val="24"/>
          <w:szCs w:val="24"/>
          <w:highlight w:val="none"/>
          <w:shd w:val="clear" w:color="auto" w:fill="FFFFFF" w:themeFill="background1"/>
        </w:rPr>
        <w:t>十一、</w:t>
      </w:r>
      <w:bookmarkEnd w:id="400"/>
      <w:bookmarkEnd w:id="401"/>
      <w:bookmarkEnd w:id="402"/>
      <w:r>
        <w:rPr>
          <w:rFonts w:hint="eastAsia" w:ascii="仿宋" w:hAnsi="仿宋" w:eastAsia="仿宋" w:cs="仿宋"/>
          <w:b/>
          <w:bCs/>
          <w:color w:val="auto"/>
          <w:sz w:val="24"/>
          <w:szCs w:val="24"/>
          <w:highlight w:val="none"/>
          <w:shd w:val="clear" w:color="auto" w:fill="FFFFFF" w:themeFill="background1"/>
        </w:rPr>
        <w:t>拟派本项目服务人员情况表</w:t>
      </w:r>
      <w:bookmarkEnd w:id="403"/>
      <w:bookmarkEnd w:id="404"/>
    </w:p>
    <w:p w14:paraId="7B7F783C">
      <w:pPr>
        <w:spacing w:line="360" w:lineRule="auto"/>
        <w:rPr>
          <w:rFonts w:hint="eastAsia" w:ascii="仿宋" w:hAnsi="仿宋" w:eastAsia="仿宋" w:cs="仿宋"/>
          <w:color w:val="auto"/>
          <w:sz w:val="24"/>
          <w:szCs w:val="24"/>
          <w:highlight w:val="none"/>
          <w:shd w:val="clear" w:color="auto" w:fill="FFFFFF" w:themeFill="background1"/>
        </w:rPr>
      </w:pPr>
    </w:p>
    <w:tbl>
      <w:tblPr>
        <w:tblStyle w:val="4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14"/>
        <w:gridCol w:w="1196"/>
        <w:gridCol w:w="1558"/>
        <w:gridCol w:w="1299"/>
        <w:gridCol w:w="1455"/>
        <w:gridCol w:w="1377"/>
        <w:gridCol w:w="742"/>
      </w:tblGrid>
      <w:tr w14:paraId="38FD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71552A8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序号</w:t>
            </w:r>
          </w:p>
        </w:tc>
        <w:tc>
          <w:tcPr>
            <w:tcW w:w="1214" w:type="dxa"/>
            <w:vAlign w:val="center"/>
          </w:tcPr>
          <w:p w14:paraId="26997BA7">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姓名</w:t>
            </w:r>
          </w:p>
        </w:tc>
        <w:tc>
          <w:tcPr>
            <w:tcW w:w="1196" w:type="dxa"/>
            <w:vAlign w:val="center"/>
          </w:tcPr>
          <w:p w14:paraId="3E686F54">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性别</w:t>
            </w:r>
          </w:p>
        </w:tc>
        <w:tc>
          <w:tcPr>
            <w:tcW w:w="1558" w:type="dxa"/>
            <w:vAlign w:val="center"/>
          </w:tcPr>
          <w:p w14:paraId="5ED0B05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身份证号码</w:t>
            </w:r>
          </w:p>
        </w:tc>
        <w:tc>
          <w:tcPr>
            <w:tcW w:w="1299" w:type="dxa"/>
            <w:vAlign w:val="center"/>
          </w:tcPr>
          <w:p w14:paraId="138F9849">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学历</w:t>
            </w:r>
          </w:p>
        </w:tc>
        <w:tc>
          <w:tcPr>
            <w:tcW w:w="1455" w:type="dxa"/>
            <w:vAlign w:val="center"/>
          </w:tcPr>
          <w:p w14:paraId="123271F6">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担任岗位</w:t>
            </w:r>
          </w:p>
        </w:tc>
        <w:tc>
          <w:tcPr>
            <w:tcW w:w="1377" w:type="dxa"/>
            <w:vAlign w:val="center"/>
          </w:tcPr>
          <w:p w14:paraId="5B35F24D">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从事类似</w:t>
            </w:r>
          </w:p>
          <w:p w14:paraId="783AEE15">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工作年限</w:t>
            </w:r>
          </w:p>
        </w:tc>
        <w:tc>
          <w:tcPr>
            <w:tcW w:w="742" w:type="dxa"/>
            <w:vAlign w:val="center"/>
          </w:tcPr>
          <w:p w14:paraId="2CC7A121">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备注</w:t>
            </w:r>
          </w:p>
        </w:tc>
      </w:tr>
      <w:tr w14:paraId="5E04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3BBD571A">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14" w:type="dxa"/>
            <w:vAlign w:val="center"/>
          </w:tcPr>
          <w:p w14:paraId="21040743">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196" w:type="dxa"/>
            <w:vAlign w:val="center"/>
          </w:tcPr>
          <w:p w14:paraId="4C1F6E69">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558" w:type="dxa"/>
            <w:vAlign w:val="center"/>
          </w:tcPr>
          <w:p w14:paraId="0577B014">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99" w:type="dxa"/>
            <w:vAlign w:val="center"/>
          </w:tcPr>
          <w:p w14:paraId="71B1A863">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55" w:type="dxa"/>
            <w:vAlign w:val="center"/>
          </w:tcPr>
          <w:p w14:paraId="52489265">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7" w:type="dxa"/>
            <w:vAlign w:val="center"/>
          </w:tcPr>
          <w:p w14:paraId="112F3F28">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742" w:type="dxa"/>
            <w:vAlign w:val="center"/>
          </w:tcPr>
          <w:p w14:paraId="2725874F">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6138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759F77D8">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14" w:type="dxa"/>
            <w:vAlign w:val="center"/>
          </w:tcPr>
          <w:p w14:paraId="6B72AE27">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196" w:type="dxa"/>
            <w:vAlign w:val="center"/>
          </w:tcPr>
          <w:p w14:paraId="4D3316BE">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558" w:type="dxa"/>
            <w:vAlign w:val="center"/>
          </w:tcPr>
          <w:p w14:paraId="0633EFEB">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99" w:type="dxa"/>
            <w:vAlign w:val="center"/>
          </w:tcPr>
          <w:p w14:paraId="37A298D0">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55" w:type="dxa"/>
            <w:vAlign w:val="center"/>
          </w:tcPr>
          <w:p w14:paraId="70D75DDF">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7" w:type="dxa"/>
            <w:vAlign w:val="center"/>
          </w:tcPr>
          <w:p w14:paraId="0B8FCF30">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742" w:type="dxa"/>
            <w:vAlign w:val="center"/>
          </w:tcPr>
          <w:p w14:paraId="28538A1B">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3500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246D369">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14" w:type="dxa"/>
            <w:vAlign w:val="center"/>
          </w:tcPr>
          <w:p w14:paraId="3F6E4892">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196" w:type="dxa"/>
            <w:vAlign w:val="center"/>
          </w:tcPr>
          <w:p w14:paraId="341EBC4A">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558" w:type="dxa"/>
            <w:vAlign w:val="center"/>
          </w:tcPr>
          <w:p w14:paraId="45FC1EF4">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99" w:type="dxa"/>
            <w:vAlign w:val="center"/>
          </w:tcPr>
          <w:p w14:paraId="52E381B1">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55" w:type="dxa"/>
            <w:vAlign w:val="center"/>
          </w:tcPr>
          <w:p w14:paraId="5856E336">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7" w:type="dxa"/>
            <w:vAlign w:val="center"/>
          </w:tcPr>
          <w:p w14:paraId="373094FE">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742" w:type="dxa"/>
            <w:vAlign w:val="center"/>
          </w:tcPr>
          <w:p w14:paraId="4BB42A8C">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7292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60F570A5">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14" w:type="dxa"/>
            <w:vAlign w:val="center"/>
          </w:tcPr>
          <w:p w14:paraId="15FD922B">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196" w:type="dxa"/>
            <w:vAlign w:val="center"/>
          </w:tcPr>
          <w:p w14:paraId="623F453F">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558" w:type="dxa"/>
            <w:vAlign w:val="center"/>
          </w:tcPr>
          <w:p w14:paraId="0DE826F1">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99" w:type="dxa"/>
            <w:vAlign w:val="center"/>
          </w:tcPr>
          <w:p w14:paraId="09C89DB1">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55" w:type="dxa"/>
            <w:vAlign w:val="center"/>
          </w:tcPr>
          <w:p w14:paraId="0BF85A82">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7" w:type="dxa"/>
            <w:vAlign w:val="center"/>
          </w:tcPr>
          <w:p w14:paraId="2B83A891">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742" w:type="dxa"/>
            <w:vAlign w:val="center"/>
          </w:tcPr>
          <w:p w14:paraId="27299D31">
            <w:pPr>
              <w:spacing w:line="360" w:lineRule="auto"/>
              <w:jc w:val="center"/>
              <w:rPr>
                <w:rFonts w:hint="eastAsia" w:ascii="仿宋" w:hAnsi="仿宋" w:eastAsia="仿宋" w:cs="仿宋"/>
                <w:color w:val="auto"/>
                <w:sz w:val="24"/>
                <w:szCs w:val="24"/>
                <w:highlight w:val="none"/>
                <w:shd w:val="clear" w:color="auto" w:fill="FFFFFF" w:themeFill="background1"/>
              </w:rPr>
            </w:pPr>
          </w:p>
        </w:tc>
      </w:tr>
      <w:tr w14:paraId="291D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44DBA8C6">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14" w:type="dxa"/>
            <w:vAlign w:val="center"/>
          </w:tcPr>
          <w:p w14:paraId="641B41E4">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196" w:type="dxa"/>
            <w:vAlign w:val="center"/>
          </w:tcPr>
          <w:p w14:paraId="33B96352">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558" w:type="dxa"/>
            <w:vAlign w:val="center"/>
          </w:tcPr>
          <w:p w14:paraId="06509CC7">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299" w:type="dxa"/>
            <w:vAlign w:val="center"/>
          </w:tcPr>
          <w:p w14:paraId="27A5FAD2">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455" w:type="dxa"/>
            <w:vAlign w:val="center"/>
          </w:tcPr>
          <w:p w14:paraId="1752D9F2">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1377" w:type="dxa"/>
            <w:vAlign w:val="center"/>
          </w:tcPr>
          <w:p w14:paraId="34E618F6">
            <w:pPr>
              <w:spacing w:line="360" w:lineRule="auto"/>
              <w:jc w:val="center"/>
              <w:rPr>
                <w:rFonts w:hint="eastAsia" w:ascii="仿宋" w:hAnsi="仿宋" w:eastAsia="仿宋" w:cs="仿宋"/>
                <w:color w:val="auto"/>
                <w:sz w:val="24"/>
                <w:szCs w:val="24"/>
                <w:highlight w:val="none"/>
                <w:shd w:val="clear" w:color="auto" w:fill="FFFFFF" w:themeFill="background1"/>
              </w:rPr>
            </w:pPr>
          </w:p>
        </w:tc>
        <w:tc>
          <w:tcPr>
            <w:tcW w:w="742" w:type="dxa"/>
            <w:vAlign w:val="center"/>
          </w:tcPr>
          <w:p w14:paraId="3C092BD6">
            <w:pPr>
              <w:spacing w:line="360" w:lineRule="auto"/>
              <w:jc w:val="center"/>
              <w:rPr>
                <w:rFonts w:hint="eastAsia" w:ascii="仿宋" w:hAnsi="仿宋" w:eastAsia="仿宋" w:cs="仿宋"/>
                <w:color w:val="auto"/>
                <w:sz w:val="24"/>
                <w:szCs w:val="24"/>
                <w:highlight w:val="none"/>
                <w:shd w:val="clear" w:color="auto" w:fill="FFFFFF" w:themeFill="background1"/>
              </w:rPr>
            </w:pPr>
          </w:p>
        </w:tc>
      </w:tr>
    </w:tbl>
    <w:p w14:paraId="3F7E358C">
      <w:pPr>
        <w:spacing w:line="360" w:lineRule="auto"/>
        <w:jc w:val="left"/>
        <w:rPr>
          <w:rFonts w:hint="eastAsia" w:ascii="仿宋" w:hAnsi="仿宋" w:eastAsia="仿宋" w:cs="仿宋"/>
          <w:bCs/>
          <w:color w:val="auto"/>
          <w:sz w:val="24"/>
          <w:szCs w:val="24"/>
          <w:highlight w:val="none"/>
          <w:shd w:val="clear" w:color="auto" w:fill="FFFFFF" w:themeFill="background1"/>
        </w:rPr>
      </w:pPr>
    </w:p>
    <w:p w14:paraId="7F252D70">
      <w:pPr>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rPr>
        <w:t>备注：</w:t>
      </w:r>
      <w:r>
        <w:rPr>
          <w:rFonts w:hint="eastAsia" w:ascii="仿宋" w:hAnsi="仿宋" w:eastAsia="仿宋" w:cs="仿宋"/>
          <w:color w:val="auto"/>
          <w:sz w:val="24"/>
          <w:szCs w:val="24"/>
          <w:highlight w:val="none"/>
          <w:shd w:val="clear" w:color="auto" w:fill="FFFFFF" w:themeFill="background1"/>
        </w:rPr>
        <w:t>本表后需提供招标文件要求的有关书面证明材料。</w:t>
      </w:r>
    </w:p>
    <w:p w14:paraId="4E17AC42">
      <w:pPr>
        <w:spacing w:line="360" w:lineRule="auto"/>
        <w:jc w:val="center"/>
        <w:outlineLvl w:val="1"/>
        <w:rPr>
          <w:rFonts w:hint="eastAsia" w:ascii="仿宋" w:hAnsi="仿宋" w:eastAsia="仿宋" w:cs="仿宋"/>
          <w:bCs/>
          <w:color w:val="auto"/>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bookmarkStart w:id="405" w:name="_Toc507586177"/>
      <w:bookmarkStart w:id="406" w:name="_Toc38446482"/>
      <w:bookmarkStart w:id="407" w:name="_Toc4741"/>
      <w:bookmarkStart w:id="408" w:name="_Toc18396"/>
      <w:bookmarkStart w:id="409" w:name="_Toc533503193"/>
      <w:r>
        <w:rPr>
          <w:rFonts w:hint="eastAsia" w:ascii="仿宋" w:hAnsi="仿宋" w:eastAsia="仿宋" w:cs="仿宋"/>
          <w:b/>
          <w:color w:val="auto"/>
          <w:sz w:val="24"/>
          <w:szCs w:val="24"/>
          <w:highlight w:val="none"/>
          <w:shd w:val="clear" w:color="auto" w:fill="FFFFFF" w:themeFill="background1"/>
        </w:rPr>
        <w:t>十二、</w:t>
      </w:r>
      <w:r>
        <w:rPr>
          <w:rFonts w:hint="eastAsia" w:ascii="仿宋" w:hAnsi="仿宋" w:eastAsia="仿宋" w:cs="仿宋"/>
          <w:b/>
          <w:bCs/>
          <w:color w:val="auto"/>
          <w:sz w:val="24"/>
          <w:szCs w:val="24"/>
          <w:highlight w:val="none"/>
          <w:shd w:val="clear" w:color="auto" w:fill="FFFFFF" w:themeFill="background1"/>
        </w:rPr>
        <w:t>服务方案</w:t>
      </w:r>
      <w:bookmarkEnd w:id="405"/>
      <w:bookmarkEnd w:id="406"/>
      <w:bookmarkEnd w:id="407"/>
      <w:bookmarkEnd w:id="408"/>
      <w:bookmarkEnd w:id="409"/>
    </w:p>
    <w:p w14:paraId="66CCE494">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rPr>
        <w:t>投标人须提交拟完成本项目的服务方案，服务方案的格式和内容由投标人根据本项目的具体情况</w:t>
      </w:r>
      <w:r>
        <w:rPr>
          <w:rFonts w:hint="eastAsia" w:ascii="仿宋" w:hAnsi="仿宋" w:eastAsia="仿宋" w:cs="仿宋"/>
          <w:color w:val="auto"/>
          <w:sz w:val="24"/>
          <w:szCs w:val="24"/>
          <w:highlight w:val="none"/>
          <w:shd w:val="clear" w:color="auto" w:fill="FFFFFF" w:themeFill="background1"/>
        </w:rPr>
        <w:t>自行拟定。</w:t>
      </w:r>
    </w:p>
    <w:p w14:paraId="7C2B0DF3">
      <w:pPr>
        <w:spacing w:line="360" w:lineRule="auto"/>
        <w:ind w:firstLine="480" w:firstLineChars="200"/>
        <w:rPr>
          <w:rFonts w:hint="eastAsia" w:ascii="仿宋" w:hAnsi="仿宋" w:eastAsia="仿宋" w:cs="仿宋"/>
          <w:bCs/>
          <w:color w:val="auto"/>
          <w:sz w:val="24"/>
          <w:szCs w:val="24"/>
          <w:highlight w:val="none"/>
          <w:shd w:val="clear" w:color="auto" w:fill="FFFFFF" w:themeFill="background1"/>
        </w:rPr>
      </w:pPr>
    </w:p>
    <w:p w14:paraId="2A753C26">
      <w:pPr>
        <w:pStyle w:val="2"/>
        <w:rPr>
          <w:rFonts w:hint="eastAsia" w:ascii="仿宋" w:hAnsi="仿宋" w:eastAsia="仿宋" w:cs="仿宋"/>
          <w:color w:val="auto"/>
          <w:highlight w:val="none"/>
        </w:rPr>
      </w:pPr>
    </w:p>
    <w:p w14:paraId="6F79FAE4">
      <w:pPr>
        <w:rPr>
          <w:rFonts w:hint="eastAsia" w:ascii="仿宋" w:hAnsi="仿宋" w:eastAsia="仿宋" w:cs="仿宋"/>
          <w:color w:val="auto"/>
          <w:highlight w:val="none"/>
        </w:rPr>
      </w:pPr>
    </w:p>
    <w:p w14:paraId="74D25154">
      <w:pPr>
        <w:pStyle w:val="2"/>
        <w:rPr>
          <w:rFonts w:hint="eastAsia" w:ascii="仿宋" w:hAnsi="仿宋" w:eastAsia="仿宋" w:cs="仿宋"/>
          <w:color w:val="auto"/>
          <w:highlight w:val="none"/>
        </w:rPr>
      </w:pPr>
    </w:p>
    <w:p w14:paraId="56770526">
      <w:pPr>
        <w:rPr>
          <w:rFonts w:hint="eastAsia" w:ascii="仿宋" w:hAnsi="仿宋" w:eastAsia="仿宋" w:cs="仿宋"/>
          <w:color w:val="auto"/>
          <w:highlight w:val="none"/>
        </w:rPr>
      </w:pPr>
    </w:p>
    <w:p w14:paraId="5A386DB7">
      <w:pPr>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410" w:name="_Toc13425"/>
      <w:bookmarkStart w:id="411" w:name="_Toc507586178"/>
      <w:bookmarkStart w:id="412" w:name="_Toc533503194"/>
      <w:bookmarkStart w:id="413" w:name="_Toc38446484"/>
      <w:bookmarkStart w:id="414" w:name="_Toc274"/>
      <w:r>
        <w:rPr>
          <w:rFonts w:hint="eastAsia" w:ascii="仿宋" w:hAnsi="仿宋" w:eastAsia="仿宋" w:cs="仿宋"/>
          <w:b/>
          <w:color w:val="auto"/>
          <w:sz w:val="24"/>
          <w:szCs w:val="24"/>
          <w:highlight w:val="none"/>
          <w:shd w:val="clear" w:color="auto" w:fill="FFFFFF" w:themeFill="background1"/>
        </w:rPr>
        <w:t>十三、其他需要提交的资料</w:t>
      </w:r>
      <w:bookmarkEnd w:id="410"/>
      <w:bookmarkEnd w:id="411"/>
      <w:bookmarkEnd w:id="412"/>
      <w:bookmarkEnd w:id="413"/>
      <w:bookmarkEnd w:id="414"/>
    </w:p>
    <w:p w14:paraId="7B283E75">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根据招标文件的要求和投标人认为需要提供的资料（如投标保证金缴纳凭证等）。</w:t>
      </w:r>
    </w:p>
    <w:p w14:paraId="2AFAB327">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2CE87C2E">
      <w:pPr>
        <w:widowControl/>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A66AB28">
      <w:pPr>
        <w:tabs>
          <w:tab w:val="center" w:pos="4832"/>
          <w:tab w:val="left" w:pos="7140"/>
        </w:tabs>
        <w:spacing w:line="360" w:lineRule="auto"/>
        <w:jc w:val="center"/>
        <w:outlineLvl w:val="0"/>
        <w:rPr>
          <w:rFonts w:hint="eastAsia" w:ascii="仿宋" w:hAnsi="仿宋" w:eastAsia="仿宋" w:cs="仿宋"/>
          <w:b/>
          <w:color w:val="auto"/>
          <w:sz w:val="24"/>
          <w:szCs w:val="24"/>
          <w:highlight w:val="none"/>
        </w:rPr>
      </w:pPr>
      <w:bookmarkStart w:id="415" w:name="_Toc24631"/>
      <w:r>
        <w:rPr>
          <w:rFonts w:hint="eastAsia" w:ascii="仿宋" w:hAnsi="仿宋" w:eastAsia="仿宋" w:cs="仿宋"/>
          <w:b/>
          <w:color w:val="auto"/>
          <w:sz w:val="24"/>
          <w:szCs w:val="24"/>
          <w:highlight w:val="none"/>
        </w:rPr>
        <w:t>第六章 补充条款</w:t>
      </w:r>
      <w:bookmarkEnd w:id="415"/>
    </w:p>
    <w:p w14:paraId="365F124B">
      <w:pPr>
        <w:spacing w:line="360" w:lineRule="auto"/>
        <w:ind w:firstLine="480" w:firstLineChars="200"/>
        <w:jc w:val="center"/>
        <w:rPr>
          <w:rFonts w:hint="eastAsia" w:ascii="仿宋" w:hAnsi="仿宋" w:eastAsia="仿宋" w:cs="仿宋"/>
          <w:color w:val="auto"/>
          <w:sz w:val="24"/>
          <w:szCs w:val="24"/>
          <w:highlight w:val="none"/>
        </w:rPr>
      </w:pPr>
    </w:p>
    <w:sectPr>
      <w:headerReference r:id="rId10" w:type="default"/>
      <w:footerReference r:id="rId11"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3278">
    <w:pPr>
      <w:pStyle w:val="25"/>
      <w:ind w:right="90"/>
      <w:jc w:val="right"/>
    </w:pPr>
  </w:p>
  <w:p w14:paraId="69C610E3">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A1E19">
    <w:pPr>
      <w:pStyle w:val="25"/>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68</w:t>
    </w:r>
    <w:r>
      <w:rPr>
        <w:rStyle w:val="45"/>
      </w:rPr>
      <w:fldChar w:fldCharType="end"/>
    </w:r>
  </w:p>
  <w:p w14:paraId="1C8A5B83">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CBCA">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E8C8">
    <w:pPr>
      <w:pStyle w:val="25"/>
      <w:rPr>
        <w:rFonts w:asciiTheme="minorEastAsia" w:hAnsiTheme="minorEastAsia" w:eastAsiaTheme="minorEastAsia"/>
        <w:sz w:val="21"/>
        <w:szCs w:val="21"/>
        <w:lang w:val="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D55E3">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2D55E3">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E724B">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8FAE0">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C8FAE0">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0E3CC">
    <w:pPr>
      <w:pStyle w:val="25"/>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4"/>
                              <w:szCs w:val="24"/>
                            </w:rPr>
                            <w:id w:val="-367532114"/>
                          </w:sdtPr>
                          <w:sdtEndPr>
                            <w:rPr>
                              <w:rFonts w:asciiTheme="minorEastAsia" w:hAnsiTheme="minorEastAsia" w:eastAsiaTheme="minorEastAsia"/>
                              <w:sz w:val="30"/>
                              <w:szCs w:val="30"/>
                            </w:rPr>
                          </w:sdtEndPr>
                          <w:sdtContent>
                            <w:p w14:paraId="3B90D0DC">
                              <w:pPr>
                                <w:pStyle w:val="25"/>
                                <w:ind w:right="360"/>
                                <w:jc w:val="center"/>
                                <w:rPr>
                                  <w:rFonts w:asciiTheme="minorEastAsia" w:hAnsiTheme="minorEastAsia" w:eastAsiaTheme="minorEastAsia"/>
                                  <w:sz w:val="30"/>
                                  <w:szCs w:val="30"/>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32</w:t>
                              </w:r>
                              <w:r>
                                <w:rPr>
                                  <w:rFonts w:asciiTheme="minorEastAsia" w:hAnsiTheme="minorEastAsia" w:eastAsiaTheme="minorEastAsia"/>
                                  <w:sz w:val="24"/>
                                  <w:szCs w:val="24"/>
                                </w:rPr>
                                <w:fldChar w:fldCharType="end"/>
                              </w:r>
                            </w:p>
                          </w:sdtContent>
                        </w:sdt>
                        <w:p w14:paraId="6437F3CC">
                          <w:pPr>
                            <w:pStyle w:val="40"/>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sz w:val="24"/>
                        <w:szCs w:val="24"/>
                      </w:rPr>
                      <w:id w:val="-367532114"/>
                    </w:sdtPr>
                    <w:sdtEndPr>
                      <w:rPr>
                        <w:rFonts w:asciiTheme="minorEastAsia" w:hAnsiTheme="minorEastAsia" w:eastAsiaTheme="minorEastAsia"/>
                        <w:sz w:val="30"/>
                        <w:szCs w:val="30"/>
                      </w:rPr>
                    </w:sdtEndPr>
                    <w:sdtContent>
                      <w:p w14:paraId="3B90D0DC">
                        <w:pPr>
                          <w:pStyle w:val="25"/>
                          <w:ind w:right="360"/>
                          <w:jc w:val="center"/>
                          <w:rPr>
                            <w:rFonts w:asciiTheme="minorEastAsia" w:hAnsiTheme="minorEastAsia" w:eastAsiaTheme="minorEastAsia"/>
                            <w:sz w:val="30"/>
                            <w:szCs w:val="30"/>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32</w:t>
                        </w:r>
                        <w:r>
                          <w:rPr>
                            <w:rFonts w:asciiTheme="minorEastAsia" w:hAnsiTheme="minorEastAsia" w:eastAsiaTheme="minorEastAsia"/>
                            <w:sz w:val="24"/>
                            <w:szCs w:val="24"/>
                          </w:rPr>
                          <w:fldChar w:fldCharType="end"/>
                        </w:r>
                      </w:p>
                    </w:sdtContent>
                  </w:sdt>
                  <w:p w14:paraId="6437F3CC">
                    <w:pPr>
                      <w:pStyle w:val="40"/>
                      <w:ind w:firstLine="21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571A">
    <w:pPr>
      <w:pStyle w:val="2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C8D5">
    <w:pPr>
      <w:pStyle w:val="26"/>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D43F8">
    <w:pPr>
      <w:pStyle w:val="2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M2MwZjNjZmVkMDI0YzZjMDZiN2M3ZmRhYjMxOWEifQ=="/>
    <w:docVar w:name="KSO_WPS_MARK_KEY" w:val="85996549-4f80-4e2e-9ba0-20f7c0168d15"/>
  </w:docVars>
  <w:rsids>
    <w:rsidRoot w:val="00101AA4"/>
    <w:rsid w:val="000002B4"/>
    <w:rsid w:val="00001340"/>
    <w:rsid w:val="00002143"/>
    <w:rsid w:val="00004DAA"/>
    <w:rsid w:val="00005C75"/>
    <w:rsid w:val="00006BD9"/>
    <w:rsid w:val="00007BA8"/>
    <w:rsid w:val="000104D6"/>
    <w:rsid w:val="00010CE2"/>
    <w:rsid w:val="000111C4"/>
    <w:rsid w:val="00012108"/>
    <w:rsid w:val="00012E01"/>
    <w:rsid w:val="00013899"/>
    <w:rsid w:val="00014F7D"/>
    <w:rsid w:val="00015EBB"/>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0D1"/>
    <w:rsid w:val="00054F47"/>
    <w:rsid w:val="0005551C"/>
    <w:rsid w:val="00057565"/>
    <w:rsid w:val="000604DE"/>
    <w:rsid w:val="0006199F"/>
    <w:rsid w:val="000641A9"/>
    <w:rsid w:val="000653CD"/>
    <w:rsid w:val="000661C0"/>
    <w:rsid w:val="00070AF5"/>
    <w:rsid w:val="00070BFE"/>
    <w:rsid w:val="0007362D"/>
    <w:rsid w:val="00073D96"/>
    <w:rsid w:val="000762D4"/>
    <w:rsid w:val="00077D54"/>
    <w:rsid w:val="00077DB3"/>
    <w:rsid w:val="0008025F"/>
    <w:rsid w:val="00080E16"/>
    <w:rsid w:val="000829F2"/>
    <w:rsid w:val="00082FC4"/>
    <w:rsid w:val="0008328D"/>
    <w:rsid w:val="0008436D"/>
    <w:rsid w:val="000904A3"/>
    <w:rsid w:val="00090F37"/>
    <w:rsid w:val="000916AB"/>
    <w:rsid w:val="000923E8"/>
    <w:rsid w:val="000946D4"/>
    <w:rsid w:val="00094989"/>
    <w:rsid w:val="000976AE"/>
    <w:rsid w:val="000A0272"/>
    <w:rsid w:val="000A02F9"/>
    <w:rsid w:val="000A1ECD"/>
    <w:rsid w:val="000A32B9"/>
    <w:rsid w:val="000A3552"/>
    <w:rsid w:val="000A452A"/>
    <w:rsid w:val="000A53A5"/>
    <w:rsid w:val="000A7B36"/>
    <w:rsid w:val="000B210F"/>
    <w:rsid w:val="000B318F"/>
    <w:rsid w:val="000B331B"/>
    <w:rsid w:val="000B4C6A"/>
    <w:rsid w:val="000B4FF0"/>
    <w:rsid w:val="000B7C76"/>
    <w:rsid w:val="000C364C"/>
    <w:rsid w:val="000C3FDE"/>
    <w:rsid w:val="000D171A"/>
    <w:rsid w:val="000D5DA0"/>
    <w:rsid w:val="000D728E"/>
    <w:rsid w:val="000D7CE7"/>
    <w:rsid w:val="000E2D54"/>
    <w:rsid w:val="000E40A6"/>
    <w:rsid w:val="000E5B9C"/>
    <w:rsid w:val="000E674D"/>
    <w:rsid w:val="000E7461"/>
    <w:rsid w:val="000F186E"/>
    <w:rsid w:val="000F56EE"/>
    <w:rsid w:val="00100D44"/>
    <w:rsid w:val="00101966"/>
    <w:rsid w:val="00101AA4"/>
    <w:rsid w:val="00102AB6"/>
    <w:rsid w:val="00104F86"/>
    <w:rsid w:val="001063D0"/>
    <w:rsid w:val="0010650C"/>
    <w:rsid w:val="00106BA4"/>
    <w:rsid w:val="00111383"/>
    <w:rsid w:val="001145B2"/>
    <w:rsid w:val="00115901"/>
    <w:rsid w:val="00115A4B"/>
    <w:rsid w:val="0011725D"/>
    <w:rsid w:val="00121DF5"/>
    <w:rsid w:val="001248E7"/>
    <w:rsid w:val="00124E50"/>
    <w:rsid w:val="00127B38"/>
    <w:rsid w:val="00127C9A"/>
    <w:rsid w:val="0013312B"/>
    <w:rsid w:val="00134210"/>
    <w:rsid w:val="00134F82"/>
    <w:rsid w:val="00137BC9"/>
    <w:rsid w:val="00142BB8"/>
    <w:rsid w:val="00143169"/>
    <w:rsid w:val="0014554F"/>
    <w:rsid w:val="00146E26"/>
    <w:rsid w:val="001543A3"/>
    <w:rsid w:val="001575BE"/>
    <w:rsid w:val="00157673"/>
    <w:rsid w:val="0015794E"/>
    <w:rsid w:val="00160311"/>
    <w:rsid w:val="00161961"/>
    <w:rsid w:val="00162DD4"/>
    <w:rsid w:val="001652C6"/>
    <w:rsid w:val="0016644B"/>
    <w:rsid w:val="00170A17"/>
    <w:rsid w:val="00171110"/>
    <w:rsid w:val="00172AA0"/>
    <w:rsid w:val="001733AF"/>
    <w:rsid w:val="001753D2"/>
    <w:rsid w:val="00176FAD"/>
    <w:rsid w:val="0017733A"/>
    <w:rsid w:val="00181200"/>
    <w:rsid w:val="001930FC"/>
    <w:rsid w:val="00193402"/>
    <w:rsid w:val="00194DD8"/>
    <w:rsid w:val="00197628"/>
    <w:rsid w:val="001A1D16"/>
    <w:rsid w:val="001A2117"/>
    <w:rsid w:val="001A24E6"/>
    <w:rsid w:val="001A45DD"/>
    <w:rsid w:val="001A4E5A"/>
    <w:rsid w:val="001A4E90"/>
    <w:rsid w:val="001A71AF"/>
    <w:rsid w:val="001B1372"/>
    <w:rsid w:val="001B1748"/>
    <w:rsid w:val="001B4413"/>
    <w:rsid w:val="001B5A4C"/>
    <w:rsid w:val="001B7239"/>
    <w:rsid w:val="001B74E2"/>
    <w:rsid w:val="001C15DD"/>
    <w:rsid w:val="001C4134"/>
    <w:rsid w:val="001D4B73"/>
    <w:rsid w:val="001D50A5"/>
    <w:rsid w:val="001D5DEA"/>
    <w:rsid w:val="001E288B"/>
    <w:rsid w:val="001E33A7"/>
    <w:rsid w:val="001E3D69"/>
    <w:rsid w:val="001E4755"/>
    <w:rsid w:val="001E634A"/>
    <w:rsid w:val="001E6E8F"/>
    <w:rsid w:val="001E794E"/>
    <w:rsid w:val="001F292C"/>
    <w:rsid w:val="001F3A08"/>
    <w:rsid w:val="001F610A"/>
    <w:rsid w:val="001F79E8"/>
    <w:rsid w:val="001F7C95"/>
    <w:rsid w:val="00200BA8"/>
    <w:rsid w:val="0020240F"/>
    <w:rsid w:val="002055DD"/>
    <w:rsid w:val="00205968"/>
    <w:rsid w:val="00205DF6"/>
    <w:rsid w:val="00205F22"/>
    <w:rsid w:val="0021147C"/>
    <w:rsid w:val="00214257"/>
    <w:rsid w:val="00214392"/>
    <w:rsid w:val="002144B8"/>
    <w:rsid w:val="00215BA5"/>
    <w:rsid w:val="00215F58"/>
    <w:rsid w:val="00217E00"/>
    <w:rsid w:val="0022016C"/>
    <w:rsid w:val="0022177D"/>
    <w:rsid w:val="002224AE"/>
    <w:rsid w:val="00223931"/>
    <w:rsid w:val="002246D6"/>
    <w:rsid w:val="00226DEC"/>
    <w:rsid w:val="0022747A"/>
    <w:rsid w:val="00227871"/>
    <w:rsid w:val="0023151C"/>
    <w:rsid w:val="002324EA"/>
    <w:rsid w:val="0023323E"/>
    <w:rsid w:val="002357A0"/>
    <w:rsid w:val="00236058"/>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72E96"/>
    <w:rsid w:val="00280F38"/>
    <w:rsid w:val="00283C54"/>
    <w:rsid w:val="00285885"/>
    <w:rsid w:val="00285ABC"/>
    <w:rsid w:val="002939C8"/>
    <w:rsid w:val="002967DA"/>
    <w:rsid w:val="002A6197"/>
    <w:rsid w:val="002A7CE2"/>
    <w:rsid w:val="002B0041"/>
    <w:rsid w:val="002B01D0"/>
    <w:rsid w:val="002B3DBF"/>
    <w:rsid w:val="002B77E1"/>
    <w:rsid w:val="002C02A1"/>
    <w:rsid w:val="002C2DD2"/>
    <w:rsid w:val="002C4DD6"/>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21AD"/>
    <w:rsid w:val="00313F13"/>
    <w:rsid w:val="00315623"/>
    <w:rsid w:val="00315D4B"/>
    <w:rsid w:val="00315D59"/>
    <w:rsid w:val="003160D4"/>
    <w:rsid w:val="00316DBA"/>
    <w:rsid w:val="00317D34"/>
    <w:rsid w:val="00321036"/>
    <w:rsid w:val="00323AFC"/>
    <w:rsid w:val="00326152"/>
    <w:rsid w:val="003317E6"/>
    <w:rsid w:val="00331C14"/>
    <w:rsid w:val="0033231B"/>
    <w:rsid w:val="00332D2E"/>
    <w:rsid w:val="00333E01"/>
    <w:rsid w:val="00336EED"/>
    <w:rsid w:val="00344BCD"/>
    <w:rsid w:val="00347E66"/>
    <w:rsid w:val="0035118C"/>
    <w:rsid w:val="003537E4"/>
    <w:rsid w:val="0035581F"/>
    <w:rsid w:val="00357E91"/>
    <w:rsid w:val="00360813"/>
    <w:rsid w:val="00360D30"/>
    <w:rsid w:val="00361C9D"/>
    <w:rsid w:val="00363991"/>
    <w:rsid w:val="00364473"/>
    <w:rsid w:val="003646E5"/>
    <w:rsid w:val="00366F29"/>
    <w:rsid w:val="00367BA8"/>
    <w:rsid w:val="00370F25"/>
    <w:rsid w:val="00372324"/>
    <w:rsid w:val="00373602"/>
    <w:rsid w:val="00373826"/>
    <w:rsid w:val="00373AD1"/>
    <w:rsid w:val="00376E83"/>
    <w:rsid w:val="003879AD"/>
    <w:rsid w:val="00390A3C"/>
    <w:rsid w:val="003964F5"/>
    <w:rsid w:val="003A28C5"/>
    <w:rsid w:val="003A5B50"/>
    <w:rsid w:val="003A6107"/>
    <w:rsid w:val="003A7427"/>
    <w:rsid w:val="003B0D63"/>
    <w:rsid w:val="003B70AD"/>
    <w:rsid w:val="003B7226"/>
    <w:rsid w:val="003C0B9E"/>
    <w:rsid w:val="003C21E8"/>
    <w:rsid w:val="003C558B"/>
    <w:rsid w:val="003D01BB"/>
    <w:rsid w:val="003D05EA"/>
    <w:rsid w:val="003D3CCB"/>
    <w:rsid w:val="003D4211"/>
    <w:rsid w:val="003E11F4"/>
    <w:rsid w:val="003E4A7A"/>
    <w:rsid w:val="003F08DC"/>
    <w:rsid w:val="003F3849"/>
    <w:rsid w:val="003F4611"/>
    <w:rsid w:val="003F59D7"/>
    <w:rsid w:val="004011D8"/>
    <w:rsid w:val="0040310D"/>
    <w:rsid w:val="00404253"/>
    <w:rsid w:val="00407128"/>
    <w:rsid w:val="004079CE"/>
    <w:rsid w:val="004143A5"/>
    <w:rsid w:val="004220B6"/>
    <w:rsid w:val="00423980"/>
    <w:rsid w:val="004252CD"/>
    <w:rsid w:val="0042662D"/>
    <w:rsid w:val="004270EF"/>
    <w:rsid w:val="00427533"/>
    <w:rsid w:val="00432C0C"/>
    <w:rsid w:val="00433EED"/>
    <w:rsid w:val="00435310"/>
    <w:rsid w:val="0044198C"/>
    <w:rsid w:val="0044280B"/>
    <w:rsid w:val="00443888"/>
    <w:rsid w:val="004449F3"/>
    <w:rsid w:val="00444EE1"/>
    <w:rsid w:val="00445872"/>
    <w:rsid w:val="0044799D"/>
    <w:rsid w:val="0045091A"/>
    <w:rsid w:val="00452BB8"/>
    <w:rsid w:val="00455196"/>
    <w:rsid w:val="004575EA"/>
    <w:rsid w:val="004639BC"/>
    <w:rsid w:val="004640C1"/>
    <w:rsid w:val="00464725"/>
    <w:rsid w:val="00464BAE"/>
    <w:rsid w:val="004660B0"/>
    <w:rsid w:val="004704FB"/>
    <w:rsid w:val="00480C32"/>
    <w:rsid w:val="0048512D"/>
    <w:rsid w:val="00494431"/>
    <w:rsid w:val="00497C15"/>
    <w:rsid w:val="004A010F"/>
    <w:rsid w:val="004A01F6"/>
    <w:rsid w:val="004A1F5D"/>
    <w:rsid w:val="004A3D6D"/>
    <w:rsid w:val="004A4981"/>
    <w:rsid w:val="004A5190"/>
    <w:rsid w:val="004A5376"/>
    <w:rsid w:val="004A6517"/>
    <w:rsid w:val="004A67FA"/>
    <w:rsid w:val="004A68AF"/>
    <w:rsid w:val="004A7D7E"/>
    <w:rsid w:val="004B029E"/>
    <w:rsid w:val="004B0537"/>
    <w:rsid w:val="004B7ACC"/>
    <w:rsid w:val="004B7DE5"/>
    <w:rsid w:val="004C1AE6"/>
    <w:rsid w:val="004C6BAD"/>
    <w:rsid w:val="004D0A4A"/>
    <w:rsid w:val="004D0E18"/>
    <w:rsid w:val="004D11B3"/>
    <w:rsid w:val="004D3C30"/>
    <w:rsid w:val="004D40F7"/>
    <w:rsid w:val="004D5AE9"/>
    <w:rsid w:val="004D5C23"/>
    <w:rsid w:val="004D5F63"/>
    <w:rsid w:val="004D75D5"/>
    <w:rsid w:val="004E0230"/>
    <w:rsid w:val="004E2088"/>
    <w:rsid w:val="004E419C"/>
    <w:rsid w:val="004E56D8"/>
    <w:rsid w:val="004E606C"/>
    <w:rsid w:val="004E76F6"/>
    <w:rsid w:val="004E7786"/>
    <w:rsid w:val="004F0D23"/>
    <w:rsid w:val="00501303"/>
    <w:rsid w:val="0050507E"/>
    <w:rsid w:val="00507DCF"/>
    <w:rsid w:val="00511664"/>
    <w:rsid w:val="00520FE8"/>
    <w:rsid w:val="0052394D"/>
    <w:rsid w:val="00524F86"/>
    <w:rsid w:val="00526F0E"/>
    <w:rsid w:val="005271EF"/>
    <w:rsid w:val="00527A46"/>
    <w:rsid w:val="005307A5"/>
    <w:rsid w:val="0053132A"/>
    <w:rsid w:val="0053466A"/>
    <w:rsid w:val="00536952"/>
    <w:rsid w:val="005369FB"/>
    <w:rsid w:val="00537638"/>
    <w:rsid w:val="0054181E"/>
    <w:rsid w:val="00541AC4"/>
    <w:rsid w:val="00541FB5"/>
    <w:rsid w:val="0054485F"/>
    <w:rsid w:val="0055435D"/>
    <w:rsid w:val="005574D7"/>
    <w:rsid w:val="00560740"/>
    <w:rsid w:val="00561AD0"/>
    <w:rsid w:val="005627EE"/>
    <w:rsid w:val="00562B2E"/>
    <w:rsid w:val="00566F28"/>
    <w:rsid w:val="00570015"/>
    <w:rsid w:val="00573EAA"/>
    <w:rsid w:val="00576ADE"/>
    <w:rsid w:val="00577ECB"/>
    <w:rsid w:val="00577FFA"/>
    <w:rsid w:val="0058012A"/>
    <w:rsid w:val="00582F95"/>
    <w:rsid w:val="00586658"/>
    <w:rsid w:val="005879D1"/>
    <w:rsid w:val="0059145C"/>
    <w:rsid w:val="005948FE"/>
    <w:rsid w:val="00594BE3"/>
    <w:rsid w:val="00596BA7"/>
    <w:rsid w:val="005A215C"/>
    <w:rsid w:val="005A6326"/>
    <w:rsid w:val="005A69CA"/>
    <w:rsid w:val="005A770A"/>
    <w:rsid w:val="005C11E5"/>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3F0"/>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382"/>
    <w:rsid w:val="006447A2"/>
    <w:rsid w:val="00644CAA"/>
    <w:rsid w:val="0064722F"/>
    <w:rsid w:val="00647D58"/>
    <w:rsid w:val="0065082F"/>
    <w:rsid w:val="00650F27"/>
    <w:rsid w:val="00651977"/>
    <w:rsid w:val="006523BD"/>
    <w:rsid w:val="00652A1B"/>
    <w:rsid w:val="00652A7E"/>
    <w:rsid w:val="00652A9D"/>
    <w:rsid w:val="00653B67"/>
    <w:rsid w:val="00653FFE"/>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650"/>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72C3"/>
    <w:rsid w:val="006B014A"/>
    <w:rsid w:val="006B11DD"/>
    <w:rsid w:val="006B14EC"/>
    <w:rsid w:val="006B2DDD"/>
    <w:rsid w:val="006B6739"/>
    <w:rsid w:val="006B72B0"/>
    <w:rsid w:val="006B72D9"/>
    <w:rsid w:val="006B7760"/>
    <w:rsid w:val="006C06C9"/>
    <w:rsid w:val="006C08F0"/>
    <w:rsid w:val="006C214D"/>
    <w:rsid w:val="006C3250"/>
    <w:rsid w:val="006C551A"/>
    <w:rsid w:val="006C5A93"/>
    <w:rsid w:val="006D0395"/>
    <w:rsid w:val="006D0D54"/>
    <w:rsid w:val="006D21CC"/>
    <w:rsid w:val="006D3A5D"/>
    <w:rsid w:val="006D5419"/>
    <w:rsid w:val="006D541A"/>
    <w:rsid w:val="006D54D4"/>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6A9E"/>
    <w:rsid w:val="00731CAD"/>
    <w:rsid w:val="00737F44"/>
    <w:rsid w:val="00742828"/>
    <w:rsid w:val="00747623"/>
    <w:rsid w:val="00750F56"/>
    <w:rsid w:val="0075151D"/>
    <w:rsid w:val="0075182A"/>
    <w:rsid w:val="00751E8B"/>
    <w:rsid w:val="00752409"/>
    <w:rsid w:val="0075307E"/>
    <w:rsid w:val="007555F9"/>
    <w:rsid w:val="00756E59"/>
    <w:rsid w:val="007574D1"/>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1EC4"/>
    <w:rsid w:val="00794BDB"/>
    <w:rsid w:val="007952C7"/>
    <w:rsid w:val="00796034"/>
    <w:rsid w:val="007A0C42"/>
    <w:rsid w:val="007A0E43"/>
    <w:rsid w:val="007A1947"/>
    <w:rsid w:val="007A237A"/>
    <w:rsid w:val="007A3B2A"/>
    <w:rsid w:val="007A4FBA"/>
    <w:rsid w:val="007A5319"/>
    <w:rsid w:val="007A7C18"/>
    <w:rsid w:val="007A7EF1"/>
    <w:rsid w:val="007B29C9"/>
    <w:rsid w:val="007B2A84"/>
    <w:rsid w:val="007C2D89"/>
    <w:rsid w:val="007C4912"/>
    <w:rsid w:val="007C4B8E"/>
    <w:rsid w:val="007C66D2"/>
    <w:rsid w:val="007C6BBF"/>
    <w:rsid w:val="007D1C55"/>
    <w:rsid w:val="007D2E1C"/>
    <w:rsid w:val="007D3CF4"/>
    <w:rsid w:val="007D3DC6"/>
    <w:rsid w:val="007D4455"/>
    <w:rsid w:val="007D62D7"/>
    <w:rsid w:val="007D68A5"/>
    <w:rsid w:val="007E7421"/>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3EB0"/>
    <w:rsid w:val="008247D9"/>
    <w:rsid w:val="0082538B"/>
    <w:rsid w:val="00825A15"/>
    <w:rsid w:val="00825F46"/>
    <w:rsid w:val="00825FAA"/>
    <w:rsid w:val="00826C3A"/>
    <w:rsid w:val="0082760F"/>
    <w:rsid w:val="00830296"/>
    <w:rsid w:val="0083223D"/>
    <w:rsid w:val="008330C9"/>
    <w:rsid w:val="00835F52"/>
    <w:rsid w:val="00840117"/>
    <w:rsid w:val="00843C8F"/>
    <w:rsid w:val="00844290"/>
    <w:rsid w:val="008443B1"/>
    <w:rsid w:val="00844507"/>
    <w:rsid w:val="0084490D"/>
    <w:rsid w:val="00844A00"/>
    <w:rsid w:val="00846F1B"/>
    <w:rsid w:val="008526D9"/>
    <w:rsid w:val="008534E7"/>
    <w:rsid w:val="00854E30"/>
    <w:rsid w:val="00857654"/>
    <w:rsid w:val="00857B62"/>
    <w:rsid w:val="008618C1"/>
    <w:rsid w:val="00862BE3"/>
    <w:rsid w:val="00862EBB"/>
    <w:rsid w:val="008631DD"/>
    <w:rsid w:val="00864330"/>
    <w:rsid w:val="008703DB"/>
    <w:rsid w:val="00872CE4"/>
    <w:rsid w:val="0087459C"/>
    <w:rsid w:val="00877E4D"/>
    <w:rsid w:val="00880D74"/>
    <w:rsid w:val="00880ED3"/>
    <w:rsid w:val="00881BAB"/>
    <w:rsid w:val="00881D84"/>
    <w:rsid w:val="00882B2C"/>
    <w:rsid w:val="00883470"/>
    <w:rsid w:val="00884BA6"/>
    <w:rsid w:val="008858F6"/>
    <w:rsid w:val="00890712"/>
    <w:rsid w:val="00892BDA"/>
    <w:rsid w:val="00892DE8"/>
    <w:rsid w:val="008A072E"/>
    <w:rsid w:val="008A08DB"/>
    <w:rsid w:val="008A3A9E"/>
    <w:rsid w:val="008A4942"/>
    <w:rsid w:val="008A4B8E"/>
    <w:rsid w:val="008A53DE"/>
    <w:rsid w:val="008A561B"/>
    <w:rsid w:val="008A6628"/>
    <w:rsid w:val="008B01C2"/>
    <w:rsid w:val="008B029B"/>
    <w:rsid w:val="008B1D39"/>
    <w:rsid w:val="008B1E52"/>
    <w:rsid w:val="008B3729"/>
    <w:rsid w:val="008B5573"/>
    <w:rsid w:val="008C24AF"/>
    <w:rsid w:val="008C5641"/>
    <w:rsid w:val="008C6135"/>
    <w:rsid w:val="008D0766"/>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33E"/>
    <w:rsid w:val="009209E8"/>
    <w:rsid w:val="009211B4"/>
    <w:rsid w:val="00922373"/>
    <w:rsid w:val="00922592"/>
    <w:rsid w:val="00923C4A"/>
    <w:rsid w:val="009259D5"/>
    <w:rsid w:val="00925B9C"/>
    <w:rsid w:val="00926CDD"/>
    <w:rsid w:val="00926EE7"/>
    <w:rsid w:val="009278C5"/>
    <w:rsid w:val="0093107D"/>
    <w:rsid w:val="00931A8B"/>
    <w:rsid w:val="009324FE"/>
    <w:rsid w:val="00932976"/>
    <w:rsid w:val="00933150"/>
    <w:rsid w:val="00933165"/>
    <w:rsid w:val="0093334D"/>
    <w:rsid w:val="00934B57"/>
    <w:rsid w:val="00935307"/>
    <w:rsid w:val="0094041C"/>
    <w:rsid w:val="0094055B"/>
    <w:rsid w:val="00941545"/>
    <w:rsid w:val="009435A6"/>
    <w:rsid w:val="009437A7"/>
    <w:rsid w:val="00946789"/>
    <w:rsid w:val="00950163"/>
    <w:rsid w:val="00950CB5"/>
    <w:rsid w:val="009546B7"/>
    <w:rsid w:val="00954D08"/>
    <w:rsid w:val="00955047"/>
    <w:rsid w:val="00955238"/>
    <w:rsid w:val="009558DD"/>
    <w:rsid w:val="009613A3"/>
    <w:rsid w:val="0096147D"/>
    <w:rsid w:val="0096479F"/>
    <w:rsid w:val="00965552"/>
    <w:rsid w:val="0096574A"/>
    <w:rsid w:val="0096617A"/>
    <w:rsid w:val="00967429"/>
    <w:rsid w:val="009700E7"/>
    <w:rsid w:val="009701A2"/>
    <w:rsid w:val="00971FF1"/>
    <w:rsid w:val="00972DDE"/>
    <w:rsid w:val="00975775"/>
    <w:rsid w:val="009775FC"/>
    <w:rsid w:val="00977BAE"/>
    <w:rsid w:val="00977D99"/>
    <w:rsid w:val="0098099B"/>
    <w:rsid w:val="00981749"/>
    <w:rsid w:val="0098383B"/>
    <w:rsid w:val="00983BD4"/>
    <w:rsid w:val="00983E4E"/>
    <w:rsid w:val="009840B0"/>
    <w:rsid w:val="00984531"/>
    <w:rsid w:val="0098659E"/>
    <w:rsid w:val="009869E5"/>
    <w:rsid w:val="00991F92"/>
    <w:rsid w:val="0099239A"/>
    <w:rsid w:val="00992683"/>
    <w:rsid w:val="009930AE"/>
    <w:rsid w:val="009930CA"/>
    <w:rsid w:val="00994368"/>
    <w:rsid w:val="009960AD"/>
    <w:rsid w:val="00997017"/>
    <w:rsid w:val="009A089A"/>
    <w:rsid w:val="009A170D"/>
    <w:rsid w:val="009A1ABA"/>
    <w:rsid w:val="009A1D1C"/>
    <w:rsid w:val="009A456E"/>
    <w:rsid w:val="009A6799"/>
    <w:rsid w:val="009A693B"/>
    <w:rsid w:val="009A7284"/>
    <w:rsid w:val="009A75CB"/>
    <w:rsid w:val="009B074B"/>
    <w:rsid w:val="009B0A3E"/>
    <w:rsid w:val="009B72EB"/>
    <w:rsid w:val="009B792F"/>
    <w:rsid w:val="009C4BB9"/>
    <w:rsid w:val="009C4C50"/>
    <w:rsid w:val="009C4EA2"/>
    <w:rsid w:val="009C7D0A"/>
    <w:rsid w:val="009C7FD8"/>
    <w:rsid w:val="009D05BF"/>
    <w:rsid w:val="009D2432"/>
    <w:rsid w:val="009D245C"/>
    <w:rsid w:val="009E0EA7"/>
    <w:rsid w:val="009E36F0"/>
    <w:rsid w:val="009E7471"/>
    <w:rsid w:val="009F064F"/>
    <w:rsid w:val="009F11C8"/>
    <w:rsid w:val="009F15EF"/>
    <w:rsid w:val="009F24D1"/>
    <w:rsid w:val="009F3D47"/>
    <w:rsid w:val="009F4563"/>
    <w:rsid w:val="009F487E"/>
    <w:rsid w:val="00A01EFD"/>
    <w:rsid w:val="00A039D2"/>
    <w:rsid w:val="00A04B51"/>
    <w:rsid w:val="00A05781"/>
    <w:rsid w:val="00A068B7"/>
    <w:rsid w:val="00A069FC"/>
    <w:rsid w:val="00A06A22"/>
    <w:rsid w:val="00A0749F"/>
    <w:rsid w:val="00A127F1"/>
    <w:rsid w:val="00A12C82"/>
    <w:rsid w:val="00A1322D"/>
    <w:rsid w:val="00A17158"/>
    <w:rsid w:val="00A2031C"/>
    <w:rsid w:val="00A20856"/>
    <w:rsid w:val="00A2140F"/>
    <w:rsid w:val="00A22375"/>
    <w:rsid w:val="00A24145"/>
    <w:rsid w:val="00A24411"/>
    <w:rsid w:val="00A252A2"/>
    <w:rsid w:val="00A30F32"/>
    <w:rsid w:val="00A319A4"/>
    <w:rsid w:val="00A320D2"/>
    <w:rsid w:val="00A32455"/>
    <w:rsid w:val="00A32D75"/>
    <w:rsid w:val="00A33C82"/>
    <w:rsid w:val="00A33EC9"/>
    <w:rsid w:val="00A377F1"/>
    <w:rsid w:val="00A40087"/>
    <w:rsid w:val="00A41CA5"/>
    <w:rsid w:val="00A426D2"/>
    <w:rsid w:val="00A46BC3"/>
    <w:rsid w:val="00A47BEB"/>
    <w:rsid w:val="00A51A47"/>
    <w:rsid w:val="00A5296E"/>
    <w:rsid w:val="00A5323E"/>
    <w:rsid w:val="00A5538A"/>
    <w:rsid w:val="00A5692F"/>
    <w:rsid w:val="00A57C84"/>
    <w:rsid w:val="00A6358C"/>
    <w:rsid w:val="00A63DE3"/>
    <w:rsid w:val="00A648D2"/>
    <w:rsid w:val="00A648FB"/>
    <w:rsid w:val="00A665B8"/>
    <w:rsid w:val="00A67621"/>
    <w:rsid w:val="00A70DE0"/>
    <w:rsid w:val="00A72947"/>
    <w:rsid w:val="00A73132"/>
    <w:rsid w:val="00A73E82"/>
    <w:rsid w:val="00A80815"/>
    <w:rsid w:val="00A81B56"/>
    <w:rsid w:val="00A83F70"/>
    <w:rsid w:val="00A841E3"/>
    <w:rsid w:val="00A86E53"/>
    <w:rsid w:val="00A920ED"/>
    <w:rsid w:val="00A92497"/>
    <w:rsid w:val="00A94B95"/>
    <w:rsid w:val="00A95164"/>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1FF"/>
    <w:rsid w:val="00AB7635"/>
    <w:rsid w:val="00AB7D40"/>
    <w:rsid w:val="00AC0195"/>
    <w:rsid w:val="00AC169A"/>
    <w:rsid w:val="00AC17BD"/>
    <w:rsid w:val="00AC627A"/>
    <w:rsid w:val="00AC6C9F"/>
    <w:rsid w:val="00AC7076"/>
    <w:rsid w:val="00AD0219"/>
    <w:rsid w:val="00AD0858"/>
    <w:rsid w:val="00AD159E"/>
    <w:rsid w:val="00AD25AF"/>
    <w:rsid w:val="00AD3FA3"/>
    <w:rsid w:val="00AD5B00"/>
    <w:rsid w:val="00AE0905"/>
    <w:rsid w:val="00AE2F7F"/>
    <w:rsid w:val="00AF2729"/>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36D"/>
    <w:rsid w:val="00B55DD4"/>
    <w:rsid w:val="00B601DE"/>
    <w:rsid w:val="00B60D21"/>
    <w:rsid w:val="00B60F8C"/>
    <w:rsid w:val="00B61DB0"/>
    <w:rsid w:val="00B628A3"/>
    <w:rsid w:val="00B635C3"/>
    <w:rsid w:val="00B64E0D"/>
    <w:rsid w:val="00B65DD7"/>
    <w:rsid w:val="00B66B82"/>
    <w:rsid w:val="00B67C8D"/>
    <w:rsid w:val="00B67DE8"/>
    <w:rsid w:val="00B71A77"/>
    <w:rsid w:val="00B746DE"/>
    <w:rsid w:val="00B75E89"/>
    <w:rsid w:val="00B761D0"/>
    <w:rsid w:val="00B76B5B"/>
    <w:rsid w:val="00B76E0A"/>
    <w:rsid w:val="00B770A1"/>
    <w:rsid w:val="00B826E5"/>
    <w:rsid w:val="00B836E8"/>
    <w:rsid w:val="00B83FBC"/>
    <w:rsid w:val="00B841A4"/>
    <w:rsid w:val="00B871DD"/>
    <w:rsid w:val="00B87B57"/>
    <w:rsid w:val="00B93135"/>
    <w:rsid w:val="00B95CAD"/>
    <w:rsid w:val="00B9774B"/>
    <w:rsid w:val="00BA1954"/>
    <w:rsid w:val="00BA376F"/>
    <w:rsid w:val="00BA5F64"/>
    <w:rsid w:val="00BA61A9"/>
    <w:rsid w:val="00BB06A4"/>
    <w:rsid w:val="00BB0A71"/>
    <w:rsid w:val="00BB33FD"/>
    <w:rsid w:val="00BB33FE"/>
    <w:rsid w:val="00BB4913"/>
    <w:rsid w:val="00BB5C5F"/>
    <w:rsid w:val="00BB612A"/>
    <w:rsid w:val="00BB627A"/>
    <w:rsid w:val="00BC193E"/>
    <w:rsid w:val="00BC4F1B"/>
    <w:rsid w:val="00BC6F1B"/>
    <w:rsid w:val="00BC753E"/>
    <w:rsid w:val="00BC7668"/>
    <w:rsid w:val="00BC7E29"/>
    <w:rsid w:val="00BD1D60"/>
    <w:rsid w:val="00BD1FA5"/>
    <w:rsid w:val="00BD2812"/>
    <w:rsid w:val="00BD6949"/>
    <w:rsid w:val="00BE4B8D"/>
    <w:rsid w:val="00BE5EB9"/>
    <w:rsid w:val="00BE73E9"/>
    <w:rsid w:val="00BF0B2C"/>
    <w:rsid w:val="00BF0C97"/>
    <w:rsid w:val="00BF28EC"/>
    <w:rsid w:val="00BF4BF5"/>
    <w:rsid w:val="00BF51F6"/>
    <w:rsid w:val="00BF682C"/>
    <w:rsid w:val="00BF7476"/>
    <w:rsid w:val="00C02D9A"/>
    <w:rsid w:val="00C06808"/>
    <w:rsid w:val="00C10EEC"/>
    <w:rsid w:val="00C12240"/>
    <w:rsid w:val="00C138B2"/>
    <w:rsid w:val="00C13F57"/>
    <w:rsid w:val="00C17074"/>
    <w:rsid w:val="00C1758E"/>
    <w:rsid w:val="00C21672"/>
    <w:rsid w:val="00C21ACC"/>
    <w:rsid w:val="00C22755"/>
    <w:rsid w:val="00C230AB"/>
    <w:rsid w:val="00C31F14"/>
    <w:rsid w:val="00C34E9B"/>
    <w:rsid w:val="00C34FE2"/>
    <w:rsid w:val="00C36041"/>
    <w:rsid w:val="00C36B8D"/>
    <w:rsid w:val="00C36C5A"/>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2E07"/>
    <w:rsid w:val="00C62F1B"/>
    <w:rsid w:val="00C63C53"/>
    <w:rsid w:val="00C70B15"/>
    <w:rsid w:val="00C70F4F"/>
    <w:rsid w:val="00C749C1"/>
    <w:rsid w:val="00C74A12"/>
    <w:rsid w:val="00C7603F"/>
    <w:rsid w:val="00C80ECD"/>
    <w:rsid w:val="00C8206E"/>
    <w:rsid w:val="00C83BA2"/>
    <w:rsid w:val="00C840F2"/>
    <w:rsid w:val="00C8538F"/>
    <w:rsid w:val="00C9122B"/>
    <w:rsid w:val="00C93D82"/>
    <w:rsid w:val="00C948CD"/>
    <w:rsid w:val="00C94904"/>
    <w:rsid w:val="00C9683B"/>
    <w:rsid w:val="00CA0EF6"/>
    <w:rsid w:val="00CA31DB"/>
    <w:rsid w:val="00CA4361"/>
    <w:rsid w:val="00CA69D3"/>
    <w:rsid w:val="00CA7A2A"/>
    <w:rsid w:val="00CB21A0"/>
    <w:rsid w:val="00CB26B0"/>
    <w:rsid w:val="00CB2ACC"/>
    <w:rsid w:val="00CB717B"/>
    <w:rsid w:val="00CC0A81"/>
    <w:rsid w:val="00CC2EA3"/>
    <w:rsid w:val="00CC41D4"/>
    <w:rsid w:val="00CD0EFC"/>
    <w:rsid w:val="00CD2724"/>
    <w:rsid w:val="00CD33AB"/>
    <w:rsid w:val="00CD4A09"/>
    <w:rsid w:val="00CD5E71"/>
    <w:rsid w:val="00CD6B61"/>
    <w:rsid w:val="00CE4E7B"/>
    <w:rsid w:val="00CF08A4"/>
    <w:rsid w:val="00CF0C7B"/>
    <w:rsid w:val="00CF1C70"/>
    <w:rsid w:val="00CF291C"/>
    <w:rsid w:val="00CF4B54"/>
    <w:rsid w:val="00CF6AA7"/>
    <w:rsid w:val="00D02613"/>
    <w:rsid w:val="00D060F5"/>
    <w:rsid w:val="00D06613"/>
    <w:rsid w:val="00D114B4"/>
    <w:rsid w:val="00D119E0"/>
    <w:rsid w:val="00D1210A"/>
    <w:rsid w:val="00D12679"/>
    <w:rsid w:val="00D13574"/>
    <w:rsid w:val="00D13FCC"/>
    <w:rsid w:val="00D149B3"/>
    <w:rsid w:val="00D14E0D"/>
    <w:rsid w:val="00D14EAA"/>
    <w:rsid w:val="00D1522D"/>
    <w:rsid w:val="00D15B9A"/>
    <w:rsid w:val="00D15D80"/>
    <w:rsid w:val="00D1666A"/>
    <w:rsid w:val="00D17D8C"/>
    <w:rsid w:val="00D21BE7"/>
    <w:rsid w:val="00D26793"/>
    <w:rsid w:val="00D27953"/>
    <w:rsid w:val="00D27B89"/>
    <w:rsid w:val="00D33441"/>
    <w:rsid w:val="00D334C0"/>
    <w:rsid w:val="00D36619"/>
    <w:rsid w:val="00D3707C"/>
    <w:rsid w:val="00D43AF8"/>
    <w:rsid w:val="00D450F4"/>
    <w:rsid w:val="00D45431"/>
    <w:rsid w:val="00D505AC"/>
    <w:rsid w:val="00D50730"/>
    <w:rsid w:val="00D50E55"/>
    <w:rsid w:val="00D50E97"/>
    <w:rsid w:val="00D539DF"/>
    <w:rsid w:val="00D53B3B"/>
    <w:rsid w:val="00D542EE"/>
    <w:rsid w:val="00D54F3E"/>
    <w:rsid w:val="00D577AF"/>
    <w:rsid w:val="00D57932"/>
    <w:rsid w:val="00D65F39"/>
    <w:rsid w:val="00D664CF"/>
    <w:rsid w:val="00D67757"/>
    <w:rsid w:val="00D72D71"/>
    <w:rsid w:val="00D7654E"/>
    <w:rsid w:val="00D7698D"/>
    <w:rsid w:val="00D76D8D"/>
    <w:rsid w:val="00D83166"/>
    <w:rsid w:val="00D8329A"/>
    <w:rsid w:val="00D85475"/>
    <w:rsid w:val="00D86304"/>
    <w:rsid w:val="00D87DC8"/>
    <w:rsid w:val="00D9044D"/>
    <w:rsid w:val="00D90F3B"/>
    <w:rsid w:val="00D94EB2"/>
    <w:rsid w:val="00D96521"/>
    <w:rsid w:val="00D97881"/>
    <w:rsid w:val="00DA2563"/>
    <w:rsid w:val="00DA318F"/>
    <w:rsid w:val="00DA380B"/>
    <w:rsid w:val="00DA5364"/>
    <w:rsid w:val="00DB160F"/>
    <w:rsid w:val="00DB2F65"/>
    <w:rsid w:val="00DB4270"/>
    <w:rsid w:val="00DB50E6"/>
    <w:rsid w:val="00DB5B28"/>
    <w:rsid w:val="00DB7459"/>
    <w:rsid w:val="00DC2BD1"/>
    <w:rsid w:val="00DC32BC"/>
    <w:rsid w:val="00DC3C54"/>
    <w:rsid w:val="00DC499D"/>
    <w:rsid w:val="00DC7034"/>
    <w:rsid w:val="00DC770C"/>
    <w:rsid w:val="00DD3685"/>
    <w:rsid w:val="00DD5A57"/>
    <w:rsid w:val="00DD5B1D"/>
    <w:rsid w:val="00DE664E"/>
    <w:rsid w:val="00DE6FEA"/>
    <w:rsid w:val="00DF29E0"/>
    <w:rsid w:val="00DF4654"/>
    <w:rsid w:val="00E00DF4"/>
    <w:rsid w:val="00E0178C"/>
    <w:rsid w:val="00E0297A"/>
    <w:rsid w:val="00E0354C"/>
    <w:rsid w:val="00E05CD7"/>
    <w:rsid w:val="00E12168"/>
    <w:rsid w:val="00E121FC"/>
    <w:rsid w:val="00E12BD3"/>
    <w:rsid w:val="00E14149"/>
    <w:rsid w:val="00E155EB"/>
    <w:rsid w:val="00E17B8A"/>
    <w:rsid w:val="00E27F9E"/>
    <w:rsid w:val="00E30852"/>
    <w:rsid w:val="00E311A1"/>
    <w:rsid w:val="00E34833"/>
    <w:rsid w:val="00E34FF9"/>
    <w:rsid w:val="00E3576F"/>
    <w:rsid w:val="00E3696F"/>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3C91"/>
    <w:rsid w:val="00E656AA"/>
    <w:rsid w:val="00E6785B"/>
    <w:rsid w:val="00E67BB4"/>
    <w:rsid w:val="00E702E4"/>
    <w:rsid w:val="00E705A5"/>
    <w:rsid w:val="00E71356"/>
    <w:rsid w:val="00E713BE"/>
    <w:rsid w:val="00E715AA"/>
    <w:rsid w:val="00E718FA"/>
    <w:rsid w:val="00E73C64"/>
    <w:rsid w:val="00E751F6"/>
    <w:rsid w:val="00E761CC"/>
    <w:rsid w:val="00E76A25"/>
    <w:rsid w:val="00E82AFE"/>
    <w:rsid w:val="00E8351B"/>
    <w:rsid w:val="00E8434D"/>
    <w:rsid w:val="00E847F7"/>
    <w:rsid w:val="00E84BDF"/>
    <w:rsid w:val="00E869A1"/>
    <w:rsid w:val="00E86E6A"/>
    <w:rsid w:val="00E87230"/>
    <w:rsid w:val="00E872AD"/>
    <w:rsid w:val="00E87666"/>
    <w:rsid w:val="00E9078D"/>
    <w:rsid w:val="00E912E2"/>
    <w:rsid w:val="00E92B97"/>
    <w:rsid w:val="00E92E6C"/>
    <w:rsid w:val="00E94407"/>
    <w:rsid w:val="00E964E5"/>
    <w:rsid w:val="00E96D5C"/>
    <w:rsid w:val="00EA076E"/>
    <w:rsid w:val="00EA75E3"/>
    <w:rsid w:val="00EB19B3"/>
    <w:rsid w:val="00EB312C"/>
    <w:rsid w:val="00EC012F"/>
    <w:rsid w:val="00EC22AB"/>
    <w:rsid w:val="00EC767D"/>
    <w:rsid w:val="00ED4D77"/>
    <w:rsid w:val="00ED7DB6"/>
    <w:rsid w:val="00EE1040"/>
    <w:rsid w:val="00EE2F7B"/>
    <w:rsid w:val="00EE35B9"/>
    <w:rsid w:val="00EE4888"/>
    <w:rsid w:val="00EE4A7D"/>
    <w:rsid w:val="00EE7991"/>
    <w:rsid w:val="00EF0DD2"/>
    <w:rsid w:val="00EF3196"/>
    <w:rsid w:val="00EF4BD4"/>
    <w:rsid w:val="00EF61BD"/>
    <w:rsid w:val="00F00A1D"/>
    <w:rsid w:val="00F00D73"/>
    <w:rsid w:val="00F011EE"/>
    <w:rsid w:val="00F0325A"/>
    <w:rsid w:val="00F077F5"/>
    <w:rsid w:val="00F101CF"/>
    <w:rsid w:val="00F10359"/>
    <w:rsid w:val="00F11AEB"/>
    <w:rsid w:val="00F141A0"/>
    <w:rsid w:val="00F1438C"/>
    <w:rsid w:val="00F21F0C"/>
    <w:rsid w:val="00F22CC8"/>
    <w:rsid w:val="00F2452B"/>
    <w:rsid w:val="00F24F7D"/>
    <w:rsid w:val="00F27F0C"/>
    <w:rsid w:val="00F31749"/>
    <w:rsid w:val="00F31B0F"/>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5A84"/>
    <w:rsid w:val="00F94DA0"/>
    <w:rsid w:val="00F95020"/>
    <w:rsid w:val="00F95580"/>
    <w:rsid w:val="00F95C1E"/>
    <w:rsid w:val="00FA6BE0"/>
    <w:rsid w:val="00FA6E45"/>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7BA0"/>
    <w:rsid w:val="011C65E1"/>
    <w:rsid w:val="01317B0B"/>
    <w:rsid w:val="01872357"/>
    <w:rsid w:val="019239B4"/>
    <w:rsid w:val="01B86B06"/>
    <w:rsid w:val="01C401C9"/>
    <w:rsid w:val="02125852"/>
    <w:rsid w:val="028271B2"/>
    <w:rsid w:val="02957E3E"/>
    <w:rsid w:val="03151A50"/>
    <w:rsid w:val="03346C50"/>
    <w:rsid w:val="034D62DE"/>
    <w:rsid w:val="036C262D"/>
    <w:rsid w:val="038965C0"/>
    <w:rsid w:val="03AD7315"/>
    <w:rsid w:val="03CA02A5"/>
    <w:rsid w:val="03CD5B4A"/>
    <w:rsid w:val="03D075ED"/>
    <w:rsid w:val="03EC32E0"/>
    <w:rsid w:val="04107E55"/>
    <w:rsid w:val="043C0AB7"/>
    <w:rsid w:val="048552F8"/>
    <w:rsid w:val="0488627D"/>
    <w:rsid w:val="04CF69F1"/>
    <w:rsid w:val="051416E4"/>
    <w:rsid w:val="05155D56"/>
    <w:rsid w:val="05336F74"/>
    <w:rsid w:val="053946FE"/>
    <w:rsid w:val="053F44DA"/>
    <w:rsid w:val="0556347F"/>
    <w:rsid w:val="05657965"/>
    <w:rsid w:val="056A6870"/>
    <w:rsid w:val="057F2246"/>
    <w:rsid w:val="059D7485"/>
    <w:rsid w:val="05A218FD"/>
    <w:rsid w:val="05D518A0"/>
    <w:rsid w:val="05E32826"/>
    <w:rsid w:val="05EC584B"/>
    <w:rsid w:val="05FB57C1"/>
    <w:rsid w:val="060B799A"/>
    <w:rsid w:val="06425AFA"/>
    <w:rsid w:val="0651104B"/>
    <w:rsid w:val="065135D3"/>
    <w:rsid w:val="066901FE"/>
    <w:rsid w:val="068B2EE2"/>
    <w:rsid w:val="06B02C31"/>
    <w:rsid w:val="06C00186"/>
    <w:rsid w:val="06CB2EB0"/>
    <w:rsid w:val="070A598E"/>
    <w:rsid w:val="070C00E2"/>
    <w:rsid w:val="071815CE"/>
    <w:rsid w:val="07215923"/>
    <w:rsid w:val="075676BA"/>
    <w:rsid w:val="075926EA"/>
    <w:rsid w:val="07C90EA0"/>
    <w:rsid w:val="07F01A92"/>
    <w:rsid w:val="082D0DDC"/>
    <w:rsid w:val="0838462F"/>
    <w:rsid w:val="084654BA"/>
    <w:rsid w:val="0888458F"/>
    <w:rsid w:val="08A06B4F"/>
    <w:rsid w:val="08C5160C"/>
    <w:rsid w:val="08C7375D"/>
    <w:rsid w:val="08F8767A"/>
    <w:rsid w:val="09197B3E"/>
    <w:rsid w:val="094C39EC"/>
    <w:rsid w:val="09527571"/>
    <w:rsid w:val="09546F15"/>
    <w:rsid w:val="09AE2D28"/>
    <w:rsid w:val="09BD43C3"/>
    <w:rsid w:val="09D472EE"/>
    <w:rsid w:val="09E45CBE"/>
    <w:rsid w:val="09E61F4C"/>
    <w:rsid w:val="09FB10FF"/>
    <w:rsid w:val="0A3D5C6E"/>
    <w:rsid w:val="0A603E15"/>
    <w:rsid w:val="0A9B0896"/>
    <w:rsid w:val="0ABF5C4C"/>
    <w:rsid w:val="0B0F368D"/>
    <w:rsid w:val="0B3A5CA3"/>
    <w:rsid w:val="0B4162E6"/>
    <w:rsid w:val="0B6017B9"/>
    <w:rsid w:val="0B735A0F"/>
    <w:rsid w:val="0B7A2E36"/>
    <w:rsid w:val="0B99525E"/>
    <w:rsid w:val="0BCE34E9"/>
    <w:rsid w:val="0BD41778"/>
    <w:rsid w:val="0BDB1D67"/>
    <w:rsid w:val="0BE95E9A"/>
    <w:rsid w:val="0C15127E"/>
    <w:rsid w:val="0C5F5889"/>
    <w:rsid w:val="0C7F638D"/>
    <w:rsid w:val="0CAA4C53"/>
    <w:rsid w:val="0CD168E1"/>
    <w:rsid w:val="0D0667FF"/>
    <w:rsid w:val="0D415C54"/>
    <w:rsid w:val="0D50435C"/>
    <w:rsid w:val="0D5B600F"/>
    <w:rsid w:val="0D7F775F"/>
    <w:rsid w:val="0D895471"/>
    <w:rsid w:val="0DB822CE"/>
    <w:rsid w:val="0DD62318"/>
    <w:rsid w:val="0DFD4250"/>
    <w:rsid w:val="0E347BBB"/>
    <w:rsid w:val="0E4C5684"/>
    <w:rsid w:val="0E4E0B87"/>
    <w:rsid w:val="0E90348C"/>
    <w:rsid w:val="0E9272B5"/>
    <w:rsid w:val="0EA145B8"/>
    <w:rsid w:val="0EB96D98"/>
    <w:rsid w:val="0EBA225D"/>
    <w:rsid w:val="0EDD7260"/>
    <w:rsid w:val="0EFE142F"/>
    <w:rsid w:val="0F0D2C42"/>
    <w:rsid w:val="0F24532B"/>
    <w:rsid w:val="0F3E048F"/>
    <w:rsid w:val="0F4E7C06"/>
    <w:rsid w:val="0F522FDA"/>
    <w:rsid w:val="0F5576A6"/>
    <w:rsid w:val="0F681E28"/>
    <w:rsid w:val="0F75161B"/>
    <w:rsid w:val="0F833182"/>
    <w:rsid w:val="0F837C65"/>
    <w:rsid w:val="0FAB6F93"/>
    <w:rsid w:val="0FE872AF"/>
    <w:rsid w:val="0FED3DE9"/>
    <w:rsid w:val="102B2696"/>
    <w:rsid w:val="102E7CFD"/>
    <w:rsid w:val="103F078A"/>
    <w:rsid w:val="10411A22"/>
    <w:rsid w:val="104834EE"/>
    <w:rsid w:val="104E41AE"/>
    <w:rsid w:val="10612D17"/>
    <w:rsid w:val="1083059A"/>
    <w:rsid w:val="10B75798"/>
    <w:rsid w:val="10C152C4"/>
    <w:rsid w:val="10C6436B"/>
    <w:rsid w:val="10DF70BF"/>
    <w:rsid w:val="1148579C"/>
    <w:rsid w:val="116746F9"/>
    <w:rsid w:val="118515F1"/>
    <w:rsid w:val="11DE1CDD"/>
    <w:rsid w:val="11F70C71"/>
    <w:rsid w:val="122E65E4"/>
    <w:rsid w:val="123518F7"/>
    <w:rsid w:val="127F50E9"/>
    <w:rsid w:val="12826F09"/>
    <w:rsid w:val="128F3808"/>
    <w:rsid w:val="131320DA"/>
    <w:rsid w:val="131462C7"/>
    <w:rsid w:val="131C2A52"/>
    <w:rsid w:val="132C47D1"/>
    <w:rsid w:val="1388614A"/>
    <w:rsid w:val="139C2C55"/>
    <w:rsid w:val="13B44B40"/>
    <w:rsid w:val="13F3080A"/>
    <w:rsid w:val="13F74913"/>
    <w:rsid w:val="14012977"/>
    <w:rsid w:val="140372DF"/>
    <w:rsid w:val="14642A47"/>
    <w:rsid w:val="148E4F94"/>
    <w:rsid w:val="14A4376A"/>
    <w:rsid w:val="14AD6CB5"/>
    <w:rsid w:val="14E47444"/>
    <w:rsid w:val="14F53290"/>
    <w:rsid w:val="1505030B"/>
    <w:rsid w:val="151948F4"/>
    <w:rsid w:val="151C212F"/>
    <w:rsid w:val="152E1F10"/>
    <w:rsid w:val="156B3533"/>
    <w:rsid w:val="159A1A9C"/>
    <w:rsid w:val="15DA30A6"/>
    <w:rsid w:val="15FD6214"/>
    <w:rsid w:val="16022C53"/>
    <w:rsid w:val="160A7825"/>
    <w:rsid w:val="16114A98"/>
    <w:rsid w:val="161F42DB"/>
    <w:rsid w:val="163B00F8"/>
    <w:rsid w:val="16547C2D"/>
    <w:rsid w:val="16590EFE"/>
    <w:rsid w:val="165F6539"/>
    <w:rsid w:val="167B5CCB"/>
    <w:rsid w:val="1684137A"/>
    <w:rsid w:val="168510F5"/>
    <w:rsid w:val="16BA03A1"/>
    <w:rsid w:val="16CB4C00"/>
    <w:rsid w:val="16DC6423"/>
    <w:rsid w:val="16E85228"/>
    <w:rsid w:val="16FF7D3A"/>
    <w:rsid w:val="1703505F"/>
    <w:rsid w:val="170556EF"/>
    <w:rsid w:val="172B1502"/>
    <w:rsid w:val="17454AD8"/>
    <w:rsid w:val="174B5E12"/>
    <w:rsid w:val="17627DEA"/>
    <w:rsid w:val="17666976"/>
    <w:rsid w:val="1779455B"/>
    <w:rsid w:val="17911BEA"/>
    <w:rsid w:val="17AF0188"/>
    <w:rsid w:val="17D06220"/>
    <w:rsid w:val="19043F59"/>
    <w:rsid w:val="19047893"/>
    <w:rsid w:val="190D7E26"/>
    <w:rsid w:val="190E0680"/>
    <w:rsid w:val="19351120"/>
    <w:rsid w:val="19E21BB8"/>
    <w:rsid w:val="1A4A621C"/>
    <w:rsid w:val="1AA057B7"/>
    <w:rsid w:val="1AEF00AA"/>
    <w:rsid w:val="1B456999"/>
    <w:rsid w:val="1B4B1512"/>
    <w:rsid w:val="1B5776CB"/>
    <w:rsid w:val="1B672584"/>
    <w:rsid w:val="1B7C5240"/>
    <w:rsid w:val="1B7E4928"/>
    <w:rsid w:val="1B8F0552"/>
    <w:rsid w:val="1BD0376A"/>
    <w:rsid w:val="1BD10986"/>
    <w:rsid w:val="1BD664C1"/>
    <w:rsid w:val="1BE62E2C"/>
    <w:rsid w:val="1C5521A2"/>
    <w:rsid w:val="1C6401A7"/>
    <w:rsid w:val="1C6C5F2C"/>
    <w:rsid w:val="1C792B42"/>
    <w:rsid w:val="1CAE4A99"/>
    <w:rsid w:val="1CD207E0"/>
    <w:rsid w:val="1D2027D7"/>
    <w:rsid w:val="1D374D5D"/>
    <w:rsid w:val="1DAA7037"/>
    <w:rsid w:val="1DC97089"/>
    <w:rsid w:val="1DEA22A2"/>
    <w:rsid w:val="1E0C5F9A"/>
    <w:rsid w:val="1E3962F7"/>
    <w:rsid w:val="1E45218B"/>
    <w:rsid w:val="1E4A58C3"/>
    <w:rsid w:val="1E546218"/>
    <w:rsid w:val="1E5633AE"/>
    <w:rsid w:val="1ECD0317"/>
    <w:rsid w:val="1EFB0E1B"/>
    <w:rsid w:val="1F0C54A8"/>
    <w:rsid w:val="1F454C8E"/>
    <w:rsid w:val="1FAA2EDE"/>
    <w:rsid w:val="1FB91219"/>
    <w:rsid w:val="1FC0465F"/>
    <w:rsid w:val="1FFE0644"/>
    <w:rsid w:val="20347290"/>
    <w:rsid w:val="20371C1F"/>
    <w:rsid w:val="20646A1B"/>
    <w:rsid w:val="20693865"/>
    <w:rsid w:val="206D0AF9"/>
    <w:rsid w:val="208A0EA9"/>
    <w:rsid w:val="209A5FCA"/>
    <w:rsid w:val="20A2140E"/>
    <w:rsid w:val="20A4060B"/>
    <w:rsid w:val="20A90FFA"/>
    <w:rsid w:val="20EE2B7C"/>
    <w:rsid w:val="20F82B96"/>
    <w:rsid w:val="210A4BA1"/>
    <w:rsid w:val="211704C9"/>
    <w:rsid w:val="212C5FC3"/>
    <w:rsid w:val="217A373D"/>
    <w:rsid w:val="21A732AA"/>
    <w:rsid w:val="21D06385"/>
    <w:rsid w:val="21DB371C"/>
    <w:rsid w:val="21E77118"/>
    <w:rsid w:val="21E9221E"/>
    <w:rsid w:val="21EE7D57"/>
    <w:rsid w:val="221F0D41"/>
    <w:rsid w:val="2225798F"/>
    <w:rsid w:val="22361626"/>
    <w:rsid w:val="22714B76"/>
    <w:rsid w:val="22955C70"/>
    <w:rsid w:val="231F0CAA"/>
    <w:rsid w:val="238F6834"/>
    <w:rsid w:val="23912854"/>
    <w:rsid w:val="239F4BBF"/>
    <w:rsid w:val="23AA06E5"/>
    <w:rsid w:val="23B3087D"/>
    <w:rsid w:val="23B77CC6"/>
    <w:rsid w:val="23D71570"/>
    <w:rsid w:val="23FC3666"/>
    <w:rsid w:val="23FC43CB"/>
    <w:rsid w:val="242023D2"/>
    <w:rsid w:val="24265EF9"/>
    <w:rsid w:val="24422247"/>
    <w:rsid w:val="2452597D"/>
    <w:rsid w:val="24586FAC"/>
    <w:rsid w:val="248A691A"/>
    <w:rsid w:val="24AE0D3C"/>
    <w:rsid w:val="24F309A0"/>
    <w:rsid w:val="25001A40"/>
    <w:rsid w:val="252E6649"/>
    <w:rsid w:val="254C0545"/>
    <w:rsid w:val="259C66EA"/>
    <w:rsid w:val="25B53702"/>
    <w:rsid w:val="25B86E36"/>
    <w:rsid w:val="25C15CCE"/>
    <w:rsid w:val="25CE6C15"/>
    <w:rsid w:val="25CE7CE7"/>
    <w:rsid w:val="25DC0129"/>
    <w:rsid w:val="25FD7F08"/>
    <w:rsid w:val="26303A95"/>
    <w:rsid w:val="26461889"/>
    <w:rsid w:val="26565067"/>
    <w:rsid w:val="2687240F"/>
    <w:rsid w:val="269C4F84"/>
    <w:rsid w:val="26E0318F"/>
    <w:rsid w:val="26E8008C"/>
    <w:rsid w:val="26F44972"/>
    <w:rsid w:val="270A580F"/>
    <w:rsid w:val="271742D6"/>
    <w:rsid w:val="27535154"/>
    <w:rsid w:val="27541D8F"/>
    <w:rsid w:val="27650367"/>
    <w:rsid w:val="27B76579"/>
    <w:rsid w:val="27C7230C"/>
    <w:rsid w:val="27D51A6E"/>
    <w:rsid w:val="28092E82"/>
    <w:rsid w:val="280A70F0"/>
    <w:rsid w:val="28241E16"/>
    <w:rsid w:val="2828418B"/>
    <w:rsid w:val="285831A2"/>
    <w:rsid w:val="2880705B"/>
    <w:rsid w:val="28935078"/>
    <w:rsid w:val="28BA032F"/>
    <w:rsid w:val="28D771B3"/>
    <w:rsid w:val="28F22610"/>
    <w:rsid w:val="291F32E1"/>
    <w:rsid w:val="29583B07"/>
    <w:rsid w:val="296576F6"/>
    <w:rsid w:val="297A26A8"/>
    <w:rsid w:val="297F5D39"/>
    <w:rsid w:val="29D37D2A"/>
    <w:rsid w:val="29F66FE5"/>
    <w:rsid w:val="2A0C6CC3"/>
    <w:rsid w:val="2A0E7F0F"/>
    <w:rsid w:val="2A1213E4"/>
    <w:rsid w:val="2A207473"/>
    <w:rsid w:val="2A396D97"/>
    <w:rsid w:val="2A832468"/>
    <w:rsid w:val="2A881708"/>
    <w:rsid w:val="2A965A80"/>
    <w:rsid w:val="2A981936"/>
    <w:rsid w:val="2AAD386A"/>
    <w:rsid w:val="2AEB1EBC"/>
    <w:rsid w:val="2AEC58C2"/>
    <w:rsid w:val="2B25315D"/>
    <w:rsid w:val="2B272BDA"/>
    <w:rsid w:val="2B4861ED"/>
    <w:rsid w:val="2B605293"/>
    <w:rsid w:val="2B612554"/>
    <w:rsid w:val="2B8354F2"/>
    <w:rsid w:val="2B94670F"/>
    <w:rsid w:val="2B9F4376"/>
    <w:rsid w:val="2BBB30E2"/>
    <w:rsid w:val="2BDB76C2"/>
    <w:rsid w:val="2BE3057D"/>
    <w:rsid w:val="2C013CDC"/>
    <w:rsid w:val="2C2124F4"/>
    <w:rsid w:val="2C3579BB"/>
    <w:rsid w:val="2C4F3D60"/>
    <w:rsid w:val="2C6C6D68"/>
    <w:rsid w:val="2C750052"/>
    <w:rsid w:val="2C8A2821"/>
    <w:rsid w:val="2C9D6E98"/>
    <w:rsid w:val="2CEC37BF"/>
    <w:rsid w:val="2CF56F7A"/>
    <w:rsid w:val="2D0504C1"/>
    <w:rsid w:val="2D5B1AF1"/>
    <w:rsid w:val="2D645A8B"/>
    <w:rsid w:val="2D795EE6"/>
    <w:rsid w:val="2DA75C8B"/>
    <w:rsid w:val="2DB61DC2"/>
    <w:rsid w:val="2DDC5444"/>
    <w:rsid w:val="2DE8326D"/>
    <w:rsid w:val="2E1D59B8"/>
    <w:rsid w:val="2E4A429A"/>
    <w:rsid w:val="2E6426E9"/>
    <w:rsid w:val="2E742A36"/>
    <w:rsid w:val="2E806AC0"/>
    <w:rsid w:val="2EB10C98"/>
    <w:rsid w:val="2EC41B6D"/>
    <w:rsid w:val="2EE40C35"/>
    <w:rsid w:val="2F371186"/>
    <w:rsid w:val="2F8C4860"/>
    <w:rsid w:val="2F9873EC"/>
    <w:rsid w:val="2FB1436E"/>
    <w:rsid w:val="2FBB13DF"/>
    <w:rsid w:val="2FC46C7B"/>
    <w:rsid w:val="2FFA3CBF"/>
    <w:rsid w:val="305A3A1C"/>
    <w:rsid w:val="307C573E"/>
    <w:rsid w:val="30D17ACB"/>
    <w:rsid w:val="30E01C26"/>
    <w:rsid w:val="30FA62A5"/>
    <w:rsid w:val="31164EE4"/>
    <w:rsid w:val="311E2D72"/>
    <w:rsid w:val="312430B7"/>
    <w:rsid w:val="3137444E"/>
    <w:rsid w:val="314D541F"/>
    <w:rsid w:val="31740A34"/>
    <w:rsid w:val="31833619"/>
    <w:rsid w:val="31982EEE"/>
    <w:rsid w:val="31A313C1"/>
    <w:rsid w:val="31C02162"/>
    <w:rsid w:val="31C35F31"/>
    <w:rsid w:val="321F68AE"/>
    <w:rsid w:val="322D5960"/>
    <w:rsid w:val="322F18A1"/>
    <w:rsid w:val="323A4C76"/>
    <w:rsid w:val="32453F0C"/>
    <w:rsid w:val="32916000"/>
    <w:rsid w:val="32A323B5"/>
    <w:rsid w:val="32BF029E"/>
    <w:rsid w:val="32BF4ECF"/>
    <w:rsid w:val="32F609DC"/>
    <w:rsid w:val="32FC6F32"/>
    <w:rsid w:val="330A715A"/>
    <w:rsid w:val="330D309E"/>
    <w:rsid w:val="332561EC"/>
    <w:rsid w:val="33384636"/>
    <w:rsid w:val="334E2A48"/>
    <w:rsid w:val="336530DF"/>
    <w:rsid w:val="33663C27"/>
    <w:rsid w:val="338A6244"/>
    <w:rsid w:val="338E7B26"/>
    <w:rsid w:val="33936F97"/>
    <w:rsid w:val="33BD766E"/>
    <w:rsid w:val="33C022CD"/>
    <w:rsid w:val="33C865FF"/>
    <w:rsid w:val="33EE55C1"/>
    <w:rsid w:val="341C2C0D"/>
    <w:rsid w:val="342C7624"/>
    <w:rsid w:val="34620568"/>
    <w:rsid w:val="34797724"/>
    <w:rsid w:val="349E59C5"/>
    <w:rsid w:val="34C52530"/>
    <w:rsid w:val="34F22E60"/>
    <w:rsid w:val="34F52E22"/>
    <w:rsid w:val="34FD5173"/>
    <w:rsid w:val="35132EF4"/>
    <w:rsid w:val="351E0F07"/>
    <w:rsid w:val="35403AD5"/>
    <w:rsid w:val="356F0F35"/>
    <w:rsid w:val="35773A99"/>
    <w:rsid w:val="3599165E"/>
    <w:rsid w:val="35B93F94"/>
    <w:rsid w:val="35D26A5B"/>
    <w:rsid w:val="35DF6709"/>
    <w:rsid w:val="35E42AC7"/>
    <w:rsid w:val="362B686B"/>
    <w:rsid w:val="363641A4"/>
    <w:rsid w:val="3646140C"/>
    <w:rsid w:val="365454CD"/>
    <w:rsid w:val="36596B7F"/>
    <w:rsid w:val="36915EB5"/>
    <w:rsid w:val="36AB7421"/>
    <w:rsid w:val="36C074C4"/>
    <w:rsid w:val="36DE5C94"/>
    <w:rsid w:val="3709455A"/>
    <w:rsid w:val="371344B3"/>
    <w:rsid w:val="37213DE5"/>
    <w:rsid w:val="374B4FC3"/>
    <w:rsid w:val="37846422"/>
    <w:rsid w:val="37906B8B"/>
    <w:rsid w:val="37912C2B"/>
    <w:rsid w:val="38007C07"/>
    <w:rsid w:val="380A685C"/>
    <w:rsid w:val="386901D1"/>
    <w:rsid w:val="38A06A11"/>
    <w:rsid w:val="38AB7278"/>
    <w:rsid w:val="38EA11EC"/>
    <w:rsid w:val="39206C68"/>
    <w:rsid w:val="392574AE"/>
    <w:rsid w:val="3937661B"/>
    <w:rsid w:val="394A04AD"/>
    <w:rsid w:val="396F4CC8"/>
    <w:rsid w:val="397C54F2"/>
    <w:rsid w:val="397E34F9"/>
    <w:rsid w:val="39C946FC"/>
    <w:rsid w:val="39D66090"/>
    <w:rsid w:val="39F96C47"/>
    <w:rsid w:val="3A0B267A"/>
    <w:rsid w:val="3A22009D"/>
    <w:rsid w:val="3A7E0A06"/>
    <w:rsid w:val="3A7E1162"/>
    <w:rsid w:val="3A942F44"/>
    <w:rsid w:val="3A972710"/>
    <w:rsid w:val="3AF61384"/>
    <w:rsid w:val="3AF82491"/>
    <w:rsid w:val="3B013DDA"/>
    <w:rsid w:val="3B475B9C"/>
    <w:rsid w:val="3B620EA2"/>
    <w:rsid w:val="3B697D24"/>
    <w:rsid w:val="3B930097"/>
    <w:rsid w:val="3B9B709C"/>
    <w:rsid w:val="3BB97A2D"/>
    <w:rsid w:val="3BF54D88"/>
    <w:rsid w:val="3C5C4E6F"/>
    <w:rsid w:val="3C6D19FB"/>
    <w:rsid w:val="3C815AE6"/>
    <w:rsid w:val="3CAE1E2C"/>
    <w:rsid w:val="3CC842D5"/>
    <w:rsid w:val="3CDE6407"/>
    <w:rsid w:val="3CF03605"/>
    <w:rsid w:val="3CF53E5E"/>
    <w:rsid w:val="3CFB076D"/>
    <w:rsid w:val="3D1847CA"/>
    <w:rsid w:val="3D3C3CA5"/>
    <w:rsid w:val="3D404689"/>
    <w:rsid w:val="3D4E29E8"/>
    <w:rsid w:val="3D5B6155"/>
    <w:rsid w:val="3D5D508F"/>
    <w:rsid w:val="3D6F4456"/>
    <w:rsid w:val="3D942A8E"/>
    <w:rsid w:val="3DA44151"/>
    <w:rsid w:val="3DBE7231"/>
    <w:rsid w:val="3DD806C4"/>
    <w:rsid w:val="3DF82424"/>
    <w:rsid w:val="3E327332"/>
    <w:rsid w:val="3E7D4B7E"/>
    <w:rsid w:val="3EA1023D"/>
    <w:rsid w:val="3ED5433F"/>
    <w:rsid w:val="3EF4545B"/>
    <w:rsid w:val="3F0A150D"/>
    <w:rsid w:val="3F2A5350"/>
    <w:rsid w:val="3F4F373E"/>
    <w:rsid w:val="3F543E53"/>
    <w:rsid w:val="3F5B494A"/>
    <w:rsid w:val="3F6527BE"/>
    <w:rsid w:val="3F9A1E5E"/>
    <w:rsid w:val="3FB30094"/>
    <w:rsid w:val="3FC221AA"/>
    <w:rsid w:val="3FC24DFB"/>
    <w:rsid w:val="3FF3077A"/>
    <w:rsid w:val="40424194"/>
    <w:rsid w:val="404C36C2"/>
    <w:rsid w:val="40774F6D"/>
    <w:rsid w:val="40AC6ABD"/>
    <w:rsid w:val="40E524A1"/>
    <w:rsid w:val="40F70F22"/>
    <w:rsid w:val="41022B36"/>
    <w:rsid w:val="410C33C4"/>
    <w:rsid w:val="410C6A04"/>
    <w:rsid w:val="41271642"/>
    <w:rsid w:val="412B3CFA"/>
    <w:rsid w:val="414860EE"/>
    <w:rsid w:val="41614DC5"/>
    <w:rsid w:val="418C2A9A"/>
    <w:rsid w:val="41A91B94"/>
    <w:rsid w:val="41BE5103"/>
    <w:rsid w:val="41F01338"/>
    <w:rsid w:val="41FE32EB"/>
    <w:rsid w:val="42260647"/>
    <w:rsid w:val="423F17DF"/>
    <w:rsid w:val="425A3496"/>
    <w:rsid w:val="429F4798"/>
    <w:rsid w:val="42B503FB"/>
    <w:rsid w:val="42BC385C"/>
    <w:rsid w:val="42C24FD0"/>
    <w:rsid w:val="433B4099"/>
    <w:rsid w:val="434F4ECF"/>
    <w:rsid w:val="43AB2A94"/>
    <w:rsid w:val="43BC2723"/>
    <w:rsid w:val="43EE44B2"/>
    <w:rsid w:val="44127EBA"/>
    <w:rsid w:val="441B2477"/>
    <w:rsid w:val="442E77EA"/>
    <w:rsid w:val="443E6826"/>
    <w:rsid w:val="44A761AF"/>
    <w:rsid w:val="44BE6C6C"/>
    <w:rsid w:val="44CC6850"/>
    <w:rsid w:val="44D37F54"/>
    <w:rsid w:val="44D90D2D"/>
    <w:rsid w:val="44E1728E"/>
    <w:rsid w:val="44F338DE"/>
    <w:rsid w:val="451435D9"/>
    <w:rsid w:val="45344663"/>
    <w:rsid w:val="45924D5C"/>
    <w:rsid w:val="45FA3D9C"/>
    <w:rsid w:val="45FA5C41"/>
    <w:rsid w:val="460A786B"/>
    <w:rsid w:val="4656787E"/>
    <w:rsid w:val="465765F5"/>
    <w:rsid w:val="46683C12"/>
    <w:rsid w:val="46AA30C5"/>
    <w:rsid w:val="46B11CD5"/>
    <w:rsid w:val="47071FDC"/>
    <w:rsid w:val="47390B3E"/>
    <w:rsid w:val="4739459F"/>
    <w:rsid w:val="4740699E"/>
    <w:rsid w:val="47501485"/>
    <w:rsid w:val="475F7C6C"/>
    <w:rsid w:val="47B578DE"/>
    <w:rsid w:val="490364C8"/>
    <w:rsid w:val="491F5084"/>
    <w:rsid w:val="49375169"/>
    <w:rsid w:val="496137C4"/>
    <w:rsid w:val="496C50A6"/>
    <w:rsid w:val="49711339"/>
    <w:rsid w:val="498F50D9"/>
    <w:rsid w:val="49977984"/>
    <w:rsid w:val="49FF361D"/>
    <w:rsid w:val="4A523DC6"/>
    <w:rsid w:val="4A7466FF"/>
    <w:rsid w:val="4AA352A0"/>
    <w:rsid w:val="4AB06EC7"/>
    <w:rsid w:val="4AFD2145"/>
    <w:rsid w:val="4B344C32"/>
    <w:rsid w:val="4B560286"/>
    <w:rsid w:val="4B6A50B4"/>
    <w:rsid w:val="4B7A3338"/>
    <w:rsid w:val="4B9316C9"/>
    <w:rsid w:val="4B9A31BC"/>
    <w:rsid w:val="4BC304DA"/>
    <w:rsid w:val="4BE84ADE"/>
    <w:rsid w:val="4BEA35E2"/>
    <w:rsid w:val="4BFD05CC"/>
    <w:rsid w:val="4C1116CD"/>
    <w:rsid w:val="4C261041"/>
    <w:rsid w:val="4C357B95"/>
    <w:rsid w:val="4C7321DD"/>
    <w:rsid w:val="4C81306E"/>
    <w:rsid w:val="4CEA7917"/>
    <w:rsid w:val="4D1A675C"/>
    <w:rsid w:val="4D237EEE"/>
    <w:rsid w:val="4D36236B"/>
    <w:rsid w:val="4D426A4E"/>
    <w:rsid w:val="4D447ACD"/>
    <w:rsid w:val="4D69372C"/>
    <w:rsid w:val="4DE20C4E"/>
    <w:rsid w:val="4E121B55"/>
    <w:rsid w:val="4E1409B4"/>
    <w:rsid w:val="4E244E42"/>
    <w:rsid w:val="4E2B67D4"/>
    <w:rsid w:val="4E5A6974"/>
    <w:rsid w:val="4E6F2738"/>
    <w:rsid w:val="4E822DD2"/>
    <w:rsid w:val="4E8376D0"/>
    <w:rsid w:val="4E8A3AF9"/>
    <w:rsid w:val="4EA33192"/>
    <w:rsid w:val="4ED14E3B"/>
    <w:rsid w:val="4EDB451F"/>
    <w:rsid w:val="4EDE6994"/>
    <w:rsid w:val="4EF574D2"/>
    <w:rsid w:val="4F375E50"/>
    <w:rsid w:val="4F3A4FAD"/>
    <w:rsid w:val="4F413421"/>
    <w:rsid w:val="4F5542BA"/>
    <w:rsid w:val="4F5B6A7C"/>
    <w:rsid w:val="4F902DE8"/>
    <w:rsid w:val="4FEF31B4"/>
    <w:rsid w:val="4FF108B5"/>
    <w:rsid w:val="4FF727BF"/>
    <w:rsid w:val="505D37E8"/>
    <w:rsid w:val="505E5044"/>
    <w:rsid w:val="50645371"/>
    <w:rsid w:val="50783615"/>
    <w:rsid w:val="50975B14"/>
    <w:rsid w:val="50E161AA"/>
    <w:rsid w:val="5103512C"/>
    <w:rsid w:val="51051CE7"/>
    <w:rsid w:val="512833BF"/>
    <w:rsid w:val="52026457"/>
    <w:rsid w:val="5203135A"/>
    <w:rsid w:val="523D05D3"/>
    <w:rsid w:val="52635FD6"/>
    <w:rsid w:val="527B17DD"/>
    <w:rsid w:val="527B1A36"/>
    <w:rsid w:val="528662F0"/>
    <w:rsid w:val="529E3019"/>
    <w:rsid w:val="52FA3944"/>
    <w:rsid w:val="53125FE1"/>
    <w:rsid w:val="531E4716"/>
    <w:rsid w:val="534C582B"/>
    <w:rsid w:val="536729EA"/>
    <w:rsid w:val="5385080E"/>
    <w:rsid w:val="53B355D7"/>
    <w:rsid w:val="53F33750"/>
    <w:rsid w:val="541E31C1"/>
    <w:rsid w:val="54226DAD"/>
    <w:rsid w:val="54B57C0A"/>
    <w:rsid w:val="54C2149E"/>
    <w:rsid w:val="54D072C3"/>
    <w:rsid w:val="551845E5"/>
    <w:rsid w:val="55741A72"/>
    <w:rsid w:val="55AD5A35"/>
    <w:rsid w:val="55CD5707"/>
    <w:rsid w:val="55D05DD8"/>
    <w:rsid w:val="55DF072A"/>
    <w:rsid w:val="561719BF"/>
    <w:rsid w:val="561C4D71"/>
    <w:rsid w:val="562070BA"/>
    <w:rsid w:val="562654E2"/>
    <w:rsid w:val="56276D69"/>
    <w:rsid w:val="567B0D05"/>
    <w:rsid w:val="5687274B"/>
    <w:rsid w:val="56AF7B24"/>
    <w:rsid w:val="56E3240E"/>
    <w:rsid w:val="56EB2994"/>
    <w:rsid w:val="56F077A0"/>
    <w:rsid w:val="57580AC9"/>
    <w:rsid w:val="577E4D9D"/>
    <w:rsid w:val="5786538D"/>
    <w:rsid w:val="57C91F73"/>
    <w:rsid w:val="57F55ADD"/>
    <w:rsid w:val="57F87AFA"/>
    <w:rsid w:val="58350BDD"/>
    <w:rsid w:val="58365C18"/>
    <w:rsid w:val="58BB07A8"/>
    <w:rsid w:val="58D16635"/>
    <w:rsid w:val="58F93587"/>
    <w:rsid w:val="590B7E1B"/>
    <w:rsid w:val="59235EE6"/>
    <w:rsid w:val="593A6196"/>
    <w:rsid w:val="593D5A74"/>
    <w:rsid w:val="59634AD2"/>
    <w:rsid w:val="596F7DF9"/>
    <w:rsid w:val="59700CB2"/>
    <w:rsid w:val="5992590A"/>
    <w:rsid w:val="59D94DC8"/>
    <w:rsid w:val="59F73FA9"/>
    <w:rsid w:val="5A006E37"/>
    <w:rsid w:val="5A0709C0"/>
    <w:rsid w:val="5A155889"/>
    <w:rsid w:val="5A443ABB"/>
    <w:rsid w:val="5A4D392F"/>
    <w:rsid w:val="5A6A2C63"/>
    <w:rsid w:val="5A7979FA"/>
    <w:rsid w:val="5A863E8E"/>
    <w:rsid w:val="5AB74E18"/>
    <w:rsid w:val="5ABE73D9"/>
    <w:rsid w:val="5AD51BB4"/>
    <w:rsid w:val="5AD621DB"/>
    <w:rsid w:val="5AE557FF"/>
    <w:rsid w:val="5AF20017"/>
    <w:rsid w:val="5AF5329F"/>
    <w:rsid w:val="5AF542D9"/>
    <w:rsid w:val="5B1512E1"/>
    <w:rsid w:val="5B307A41"/>
    <w:rsid w:val="5B4D5A36"/>
    <w:rsid w:val="5B664ADB"/>
    <w:rsid w:val="5B785F50"/>
    <w:rsid w:val="5B7A4125"/>
    <w:rsid w:val="5B877940"/>
    <w:rsid w:val="5B9E7045"/>
    <w:rsid w:val="5BA81C2A"/>
    <w:rsid w:val="5BFA7EF6"/>
    <w:rsid w:val="5C116D59"/>
    <w:rsid w:val="5C32271D"/>
    <w:rsid w:val="5C45068B"/>
    <w:rsid w:val="5C5A3EE7"/>
    <w:rsid w:val="5C784F41"/>
    <w:rsid w:val="5CAC42F9"/>
    <w:rsid w:val="5CBA7FC0"/>
    <w:rsid w:val="5D2C38E4"/>
    <w:rsid w:val="5D333476"/>
    <w:rsid w:val="5D34491A"/>
    <w:rsid w:val="5D411F85"/>
    <w:rsid w:val="5D4F642A"/>
    <w:rsid w:val="5D536E7C"/>
    <w:rsid w:val="5D7828E6"/>
    <w:rsid w:val="5D874EB5"/>
    <w:rsid w:val="5DB85ED3"/>
    <w:rsid w:val="5DC871F5"/>
    <w:rsid w:val="5DFB2D6D"/>
    <w:rsid w:val="5E2C6546"/>
    <w:rsid w:val="5E4F72F6"/>
    <w:rsid w:val="5E6721EE"/>
    <w:rsid w:val="5EC827A4"/>
    <w:rsid w:val="5ECD6188"/>
    <w:rsid w:val="5ED65FEF"/>
    <w:rsid w:val="5EE12163"/>
    <w:rsid w:val="5F052914"/>
    <w:rsid w:val="5F0A5F36"/>
    <w:rsid w:val="5F187E14"/>
    <w:rsid w:val="5F517590"/>
    <w:rsid w:val="5F931193"/>
    <w:rsid w:val="5F995DE3"/>
    <w:rsid w:val="5FD157E9"/>
    <w:rsid w:val="60183D36"/>
    <w:rsid w:val="60316A8A"/>
    <w:rsid w:val="60352E49"/>
    <w:rsid w:val="604307FB"/>
    <w:rsid w:val="60436DFE"/>
    <w:rsid w:val="60500D2B"/>
    <w:rsid w:val="60587F6C"/>
    <w:rsid w:val="60745B86"/>
    <w:rsid w:val="60757548"/>
    <w:rsid w:val="60922EA7"/>
    <w:rsid w:val="60D276FD"/>
    <w:rsid w:val="60DD09F9"/>
    <w:rsid w:val="60EB1D7C"/>
    <w:rsid w:val="60FB43D3"/>
    <w:rsid w:val="61215C6A"/>
    <w:rsid w:val="614822A7"/>
    <w:rsid w:val="615467BF"/>
    <w:rsid w:val="615E13D9"/>
    <w:rsid w:val="619A74DB"/>
    <w:rsid w:val="61D536CC"/>
    <w:rsid w:val="61D95419"/>
    <w:rsid w:val="61E46B07"/>
    <w:rsid w:val="61E559A8"/>
    <w:rsid w:val="61E72504"/>
    <w:rsid w:val="62082855"/>
    <w:rsid w:val="62201DCB"/>
    <w:rsid w:val="62670855"/>
    <w:rsid w:val="626B2E63"/>
    <w:rsid w:val="62722BF9"/>
    <w:rsid w:val="62781254"/>
    <w:rsid w:val="628F56D7"/>
    <w:rsid w:val="62AD77BF"/>
    <w:rsid w:val="62B6401D"/>
    <w:rsid w:val="62F04C62"/>
    <w:rsid w:val="62F77B79"/>
    <w:rsid w:val="63357CC5"/>
    <w:rsid w:val="63417E63"/>
    <w:rsid w:val="63586D06"/>
    <w:rsid w:val="638669D0"/>
    <w:rsid w:val="639B5D89"/>
    <w:rsid w:val="63A32E81"/>
    <w:rsid w:val="63A82549"/>
    <w:rsid w:val="640052D8"/>
    <w:rsid w:val="6402249F"/>
    <w:rsid w:val="6417398B"/>
    <w:rsid w:val="64382979"/>
    <w:rsid w:val="643C0916"/>
    <w:rsid w:val="646D3538"/>
    <w:rsid w:val="64C23DAE"/>
    <w:rsid w:val="64DC72A8"/>
    <w:rsid w:val="64F13D73"/>
    <w:rsid w:val="65114B98"/>
    <w:rsid w:val="65170A3D"/>
    <w:rsid w:val="651E4C38"/>
    <w:rsid w:val="65365292"/>
    <w:rsid w:val="65436AE1"/>
    <w:rsid w:val="65704466"/>
    <w:rsid w:val="6584222B"/>
    <w:rsid w:val="65CD26B4"/>
    <w:rsid w:val="65D214B6"/>
    <w:rsid w:val="660A60F8"/>
    <w:rsid w:val="661253BE"/>
    <w:rsid w:val="6612692A"/>
    <w:rsid w:val="66161F0A"/>
    <w:rsid w:val="66196145"/>
    <w:rsid w:val="6670389E"/>
    <w:rsid w:val="66C60A29"/>
    <w:rsid w:val="66D042E9"/>
    <w:rsid w:val="66F66FFA"/>
    <w:rsid w:val="66F73355"/>
    <w:rsid w:val="671921DE"/>
    <w:rsid w:val="6731565E"/>
    <w:rsid w:val="673536B8"/>
    <w:rsid w:val="674E497A"/>
    <w:rsid w:val="677D30E0"/>
    <w:rsid w:val="67C25F42"/>
    <w:rsid w:val="68006EE8"/>
    <w:rsid w:val="68166C87"/>
    <w:rsid w:val="6819202A"/>
    <w:rsid w:val="68401238"/>
    <w:rsid w:val="684727D9"/>
    <w:rsid w:val="68535FE0"/>
    <w:rsid w:val="68683D31"/>
    <w:rsid w:val="686D2070"/>
    <w:rsid w:val="68B3726E"/>
    <w:rsid w:val="68BD171A"/>
    <w:rsid w:val="68C1349D"/>
    <w:rsid w:val="69264754"/>
    <w:rsid w:val="694420CC"/>
    <w:rsid w:val="696E1C4C"/>
    <w:rsid w:val="697C74E5"/>
    <w:rsid w:val="69816C11"/>
    <w:rsid w:val="6A1224A0"/>
    <w:rsid w:val="6A292147"/>
    <w:rsid w:val="6A31115D"/>
    <w:rsid w:val="6A502F91"/>
    <w:rsid w:val="6A5C2E89"/>
    <w:rsid w:val="6A6B1379"/>
    <w:rsid w:val="6A6F21B0"/>
    <w:rsid w:val="6A87109B"/>
    <w:rsid w:val="6A996FCF"/>
    <w:rsid w:val="6B0C0A7D"/>
    <w:rsid w:val="6B195F9E"/>
    <w:rsid w:val="6B2F7019"/>
    <w:rsid w:val="6B7B77ED"/>
    <w:rsid w:val="6B834A11"/>
    <w:rsid w:val="6BA5799B"/>
    <w:rsid w:val="6BAF3BBE"/>
    <w:rsid w:val="6BD86705"/>
    <w:rsid w:val="6BDC6768"/>
    <w:rsid w:val="6BE33C8F"/>
    <w:rsid w:val="6BFD6A38"/>
    <w:rsid w:val="6C26003F"/>
    <w:rsid w:val="6C39469E"/>
    <w:rsid w:val="6C81224F"/>
    <w:rsid w:val="6C8E09FD"/>
    <w:rsid w:val="6CAA1438"/>
    <w:rsid w:val="6CB674EB"/>
    <w:rsid w:val="6CC3417C"/>
    <w:rsid w:val="6CF751CD"/>
    <w:rsid w:val="6CFE2A90"/>
    <w:rsid w:val="6D033406"/>
    <w:rsid w:val="6D363AA9"/>
    <w:rsid w:val="6D6A23A6"/>
    <w:rsid w:val="6D747C94"/>
    <w:rsid w:val="6D7A7986"/>
    <w:rsid w:val="6D843218"/>
    <w:rsid w:val="6DAA3AC3"/>
    <w:rsid w:val="6DB27C2E"/>
    <w:rsid w:val="6DB33789"/>
    <w:rsid w:val="6DC349D7"/>
    <w:rsid w:val="6DCF3E9D"/>
    <w:rsid w:val="6DD01ED5"/>
    <w:rsid w:val="6DD1579D"/>
    <w:rsid w:val="6E520A94"/>
    <w:rsid w:val="6E583149"/>
    <w:rsid w:val="6E722676"/>
    <w:rsid w:val="6E725242"/>
    <w:rsid w:val="6E7716CA"/>
    <w:rsid w:val="6E7D3E7D"/>
    <w:rsid w:val="6E8B036B"/>
    <w:rsid w:val="6E916298"/>
    <w:rsid w:val="6E946B8C"/>
    <w:rsid w:val="6EA83F00"/>
    <w:rsid w:val="6EA84809"/>
    <w:rsid w:val="6EA86D11"/>
    <w:rsid w:val="6EF041DC"/>
    <w:rsid w:val="6F225078"/>
    <w:rsid w:val="6F4F5C6B"/>
    <w:rsid w:val="6F6D5808"/>
    <w:rsid w:val="6FF3443A"/>
    <w:rsid w:val="6FF40BBB"/>
    <w:rsid w:val="70013752"/>
    <w:rsid w:val="70317E9E"/>
    <w:rsid w:val="70342CA5"/>
    <w:rsid w:val="70363C29"/>
    <w:rsid w:val="705410A6"/>
    <w:rsid w:val="705D2BE9"/>
    <w:rsid w:val="708A7E30"/>
    <w:rsid w:val="70A70729"/>
    <w:rsid w:val="70E26C32"/>
    <w:rsid w:val="70E86DEE"/>
    <w:rsid w:val="712307DD"/>
    <w:rsid w:val="71356F33"/>
    <w:rsid w:val="719C3171"/>
    <w:rsid w:val="71DA2984"/>
    <w:rsid w:val="71E81E35"/>
    <w:rsid w:val="71F31696"/>
    <w:rsid w:val="721169B3"/>
    <w:rsid w:val="723D3F29"/>
    <w:rsid w:val="72556B12"/>
    <w:rsid w:val="725F4533"/>
    <w:rsid w:val="72665AB1"/>
    <w:rsid w:val="726B0346"/>
    <w:rsid w:val="729F603C"/>
    <w:rsid w:val="72A21144"/>
    <w:rsid w:val="72AC5DEC"/>
    <w:rsid w:val="72BA11D4"/>
    <w:rsid w:val="72C34BC0"/>
    <w:rsid w:val="72EF0842"/>
    <w:rsid w:val="736D13CC"/>
    <w:rsid w:val="73C34FB0"/>
    <w:rsid w:val="73CE2F0E"/>
    <w:rsid w:val="73E630B6"/>
    <w:rsid w:val="747709E7"/>
    <w:rsid w:val="7487654A"/>
    <w:rsid w:val="74A75C74"/>
    <w:rsid w:val="74AE727B"/>
    <w:rsid w:val="74B72109"/>
    <w:rsid w:val="74BC79F6"/>
    <w:rsid w:val="74BD356E"/>
    <w:rsid w:val="74DE2D28"/>
    <w:rsid w:val="75034DA5"/>
    <w:rsid w:val="75055E9E"/>
    <w:rsid w:val="750B5416"/>
    <w:rsid w:val="75317F36"/>
    <w:rsid w:val="75434148"/>
    <w:rsid w:val="75536301"/>
    <w:rsid w:val="757731F2"/>
    <w:rsid w:val="757A7E5C"/>
    <w:rsid w:val="75A84F6F"/>
    <w:rsid w:val="75C46A48"/>
    <w:rsid w:val="75E13D13"/>
    <w:rsid w:val="763E2F56"/>
    <w:rsid w:val="76582980"/>
    <w:rsid w:val="765B603D"/>
    <w:rsid w:val="765C7713"/>
    <w:rsid w:val="76671C9E"/>
    <w:rsid w:val="767B6F1E"/>
    <w:rsid w:val="76820B5D"/>
    <w:rsid w:val="768E1D0F"/>
    <w:rsid w:val="76BA5152"/>
    <w:rsid w:val="76E97262"/>
    <w:rsid w:val="771F0D94"/>
    <w:rsid w:val="77411B76"/>
    <w:rsid w:val="77482DDB"/>
    <w:rsid w:val="774B2396"/>
    <w:rsid w:val="778012E8"/>
    <w:rsid w:val="77AA1492"/>
    <w:rsid w:val="781A460E"/>
    <w:rsid w:val="782F7348"/>
    <w:rsid w:val="783025F2"/>
    <w:rsid w:val="78582600"/>
    <w:rsid w:val="7881670C"/>
    <w:rsid w:val="78967EE6"/>
    <w:rsid w:val="78BD4522"/>
    <w:rsid w:val="78C42AEC"/>
    <w:rsid w:val="78DA4DE9"/>
    <w:rsid w:val="78EA6A67"/>
    <w:rsid w:val="79010C64"/>
    <w:rsid w:val="79164A8A"/>
    <w:rsid w:val="79343267"/>
    <w:rsid w:val="794A3E9B"/>
    <w:rsid w:val="796304EA"/>
    <w:rsid w:val="799042FF"/>
    <w:rsid w:val="79D96301"/>
    <w:rsid w:val="79EC060E"/>
    <w:rsid w:val="7A213F9F"/>
    <w:rsid w:val="7A25707D"/>
    <w:rsid w:val="7A446928"/>
    <w:rsid w:val="7AB824C3"/>
    <w:rsid w:val="7ABD52ED"/>
    <w:rsid w:val="7B0D13DE"/>
    <w:rsid w:val="7B6A2E87"/>
    <w:rsid w:val="7B743B30"/>
    <w:rsid w:val="7B7A6518"/>
    <w:rsid w:val="7BA82B1B"/>
    <w:rsid w:val="7BB15250"/>
    <w:rsid w:val="7BD754B6"/>
    <w:rsid w:val="7BE36163"/>
    <w:rsid w:val="7BEE2FE2"/>
    <w:rsid w:val="7C1039EF"/>
    <w:rsid w:val="7C2C6B33"/>
    <w:rsid w:val="7C7310AD"/>
    <w:rsid w:val="7C79405E"/>
    <w:rsid w:val="7C814E20"/>
    <w:rsid w:val="7C9D2643"/>
    <w:rsid w:val="7CC22674"/>
    <w:rsid w:val="7CDE07EA"/>
    <w:rsid w:val="7D07504F"/>
    <w:rsid w:val="7D083A4C"/>
    <w:rsid w:val="7D1A3539"/>
    <w:rsid w:val="7D2D49BC"/>
    <w:rsid w:val="7D5D46AB"/>
    <w:rsid w:val="7D851A94"/>
    <w:rsid w:val="7D88777A"/>
    <w:rsid w:val="7DAB34EE"/>
    <w:rsid w:val="7DE06C1B"/>
    <w:rsid w:val="7DE1182D"/>
    <w:rsid w:val="7DF34CB6"/>
    <w:rsid w:val="7E035813"/>
    <w:rsid w:val="7E1410AD"/>
    <w:rsid w:val="7E1809CF"/>
    <w:rsid w:val="7E4253D3"/>
    <w:rsid w:val="7E46459C"/>
    <w:rsid w:val="7E753D6C"/>
    <w:rsid w:val="7E905C32"/>
    <w:rsid w:val="7EC30AC6"/>
    <w:rsid w:val="7EFB1398"/>
    <w:rsid w:val="7F1926C7"/>
    <w:rsid w:val="7F1D6B1B"/>
    <w:rsid w:val="7F5D7905"/>
    <w:rsid w:val="7F8A0016"/>
    <w:rsid w:val="7FD36A43"/>
    <w:rsid w:val="7FE27B5E"/>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63"/>
    <w:autoRedefine/>
    <w:qFormat/>
    <w:uiPriority w:val="9"/>
    <w:pPr>
      <w:keepNext/>
      <w:widowControl/>
      <w:spacing w:before="340" w:after="330" w:line="576" w:lineRule="auto"/>
      <w:outlineLvl w:val="0"/>
    </w:pPr>
    <w:rPr>
      <w:rFonts w:ascii="???" w:hAnsi="???" w:eastAsia="宋体" w:cs="Arial"/>
      <w:color w:val="020000"/>
      <w:kern w:val="36"/>
      <w:sz w:val="44"/>
      <w:szCs w:val="44"/>
    </w:rPr>
  </w:style>
  <w:style w:type="paragraph" w:styleId="5">
    <w:name w:val="heading 2"/>
    <w:basedOn w:val="1"/>
    <w:next w:val="1"/>
    <w:link w:val="65"/>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6">
    <w:name w:val="heading 3"/>
    <w:basedOn w:val="1"/>
    <w:next w:val="1"/>
    <w:link w:val="64"/>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8"/>
    <w:qFormat/>
    <w:uiPriority w:val="0"/>
    <w:pPr>
      <w:keepNext/>
      <w:keepLines/>
      <w:ind w:firstLine="420" w:firstLineChars="150"/>
      <w:outlineLvl w:val="3"/>
    </w:pPr>
    <w:rPr>
      <w:rFonts w:ascii="Arial" w:hAnsi="Arial" w:cs="Arial"/>
      <w:b/>
      <w:sz w:val="28"/>
      <w:szCs w:val="28"/>
    </w:rPr>
  </w:style>
  <w:style w:type="paragraph" w:styleId="9">
    <w:name w:val="heading 5"/>
    <w:basedOn w:val="1"/>
    <w:next w:val="8"/>
    <w:autoRedefine/>
    <w:qFormat/>
    <w:uiPriority w:val="0"/>
    <w:pPr>
      <w:keepNext/>
      <w:autoSpaceDE w:val="0"/>
      <w:autoSpaceDN w:val="0"/>
      <w:adjustRightInd w:val="0"/>
      <w:outlineLvl w:val="4"/>
    </w:pPr>
    <w:rPr>
      <w:rFonts w:ascii="宋体"/>
      <w:color w:val="000000"/>
      <w:kern w:val="0"/>
      <w:sz w:val="28"/>
      <w:szCs w:val="28"/>
    </w:rPr>
  </w:style>
  <w:style w:type="paragraph" w:styleId="10">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bCs/>
      <w:sz w:val="24"/>
      <w:szCs w:val="24"/>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7"/>
    <w:autoRedefine/>
    <w:qFormat/>
    <w:uiPriority w:val="99"/>
    <w:pPr>
      <w:spacing w:after="120"/>
    </w:pPr>
    <w:rPr>
      <w:rFonts w:ascii="Calibri" w:hAnsi="Calibri" w:eastAsia="宋体" w:cs="Times New Roman"/>
      <w:kern w:val="0"/>
      <w:sz w:val="24"/>
      <w:szCs w:val="20"/>
    </w:rPr>
  </w:style>
  <w:style w:type="paragraph" w:customStyle="1" w:styleId="3">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8">
    <w:name w:val="Normal Indent"/>
    <w:basedOn w:val="1"/>
    <w:link w:val="116"/>
    <w:autoRedefine/>
    <w:qFormat/>
    <w:uiPriority w:val="0"/>
    <w:pPr>
      <w:ind w:firstLine="420" w:firstLineChars="200"/>
    </w:pPr>
    <w:rPr>
      <w:rFonts w:ascii="Times New Roman" w:hAnsi="Times New Roman" w:eastAsia="宋体" w:cs="Times New Roman"/>
      <w:kern w:val="0"/>
      <w:sz w:val="24"/>
      <w:szCs w:val="20"/>
    </w:rPr>
  </w:style>
  <w:style w:type="paragraph" w:styleId="11">
    <w:name w:val="toc 7"/>
    <w:basedOn w:val="1"/>
    <w:next w:val="1"/>
    <w:qFormat/>
    <w:uiPriority w:val="0"/>
    <w:pPr>
      <w:ind w:left="2520" w:leftChars="1200"/>
    </w:pPr>
    <w:rPr>
      <w:rFonts w:ascii="Times New Roman" w:hAnsi="Times New Roman" w:eastAsia="宋体" w:cs="Times New Roman"/>
      <w:szCs w:val="24"/>
    </w:rPr>
  </w:style>
  <w:style w:type="paragraph" w:styleId="12">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Document Map"/>
    <w:basedOn w:val="1"/>
    <w:link w:val="134"/>
    <w:autoRedefine/>
    <w:qFormat/>
    <w:uiPriority w:val="0"/>
    <w:rPr>
      <w:rFonts w:ascii="宋体" w:hAnsi="Calibri" w:eastAsia="宋体" w:cs="Times New Roman"/>
      <w:kern w:val="0"/>
      <w:sz w:val="18"/>
      <w:szCs w:val="20"/>
    </w:rPr>
  </w:style>
  <w:style w:type="paragraph" w:styleId="14">
    <w:name w:val="toa heading"/>
    <w:basedOn w:val="1"/>
    <w:next w:val="1"/>
    <w:qFormat/>
    <w:uiPriority w:val="0"/>
    <w:pPr>
      <w:spacing w:before="120"/>
    </w:pPr>
    <w:rPr>
      <w:rFonts w:ascii="Cambria" w:hAnsi="Cambria"/>
      <w:sz w:val="24"/>
      <w:szCs w:val="20"/>
    </w:rPr>
  </w:style>
  <w:style w:type="paragraph" w:styleId="15">
    <w:name w:val="annotation text"/>
    <w:basedOn w:val="1"/>
    <w:link w:val="162"/>
    <w:qFormat/>
    <w:uiPriority w:val="0"/>
    <w:pPr>
      <w:jc w:val="left"/>
    </w:pPr>
  </w:style>
  <w:style w:type="paragraph" w:styleId="16">
    <w:name w:val="Body Text Indent"/>
    <w:basedOn w:val="1"/>
    <w:next w:val="17"/>
    <w:link w:val="68"/>
    <w:qFormat/>
    <w:uiPriority w:val="0"/>
    <w:pPr>
      <w:widowControl/>
      <w:spacing w:after="120"/>
      <w:ind w:left="420"/>
    </w:pPr>
    <w:rPr>
      <w:rFonts w:ascii="??" w:hAnsi="??" w:eastAsia="宋体" w:cs="Arial"/>
      <w:kern w:val="0"/>
      <w:sz w:val="24"/>
      <w:szCs w:val="24"/>
    </w:rPr>
  </w:style>
  <w:style w:type="paragraph" w:styleId="17">
    <w:name w:val="Body Text First Indent 2"/>
    <w:basedOn w:val="16"/>
    <w:next w:val="1"/>
    <w:link w:val="211"/>
    <w:semiHidden/>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paragraph" w:styleId="18">
    <w:name w:val="toc 5"/>
    <w:basedOn w:val="1"/>
    <w:next w:val="1"/>
    <w:qFormat/>
    <w:uiPriority w:val="0"/>
    <w:pPr>
      <w:ind w:left="1680" w:leftChars="800"/>
    </w:pPr>
    <w:rPr>
      <w:rFonts w:ascii="Times New Roman" w:hAnsi="Times New Roman" w:eastAsia="宋体" w:cs="Times New Roman"/>
      <w:szCs w:val="24"/>
    </w:rPr>
  </w:style>
  <w:style w:type="paragraph" w:styleId="19">
    <w:name w:val="toc 3"/>
    <w:basedOn w:val="1"/>
    <w:next w:val="1"/>
    <w:autoRedefine/>
    <w:qFormat/>
    <w:uiPriority w:val="39"/>
    <w:pPr>
      <w:ind w:left="840" w:leftChars="400"/>
    </w:pPr>
    <w:rPr>
      <w:rFonts w:ascii="Times New Roman" w:hAnsi="Times New Roman" w:eastAsia="宋体" w:cs="Times New Roman"/>
      <w:szCs w:val="24"/>
    </w:rPr>
  </w:style>
  <w:style w:type="paragraph" w:styleId="20">
    <w:name w:val="Plain Text"/>
    <w:basedOn w:val="1"/>
    <w:link w:val="197"/>
    <w:qFormat/>
    <w:uiPriority w:val="99"/>
    <w:rPr>
      <w:rFonts w:ascii="宋体" w:hAnsi="Courier New" w:eastAsia="宋体"/>
      <w:szCs w:val="21"/>
    </w:rPr>
  </w:style>
  <w:style w:type="paragraph" w:styleId="21">
    <w:name w:val="toc 8"/>
    <w:basedOn w:val="1"/>
    <w:next w:val="1"/>
    <w:qFormat/>
    <w:uiPriority w:val="0"/>
    <w:pPr>
      <w:ind w:left="2940" w:leftChars="1400"/>
    </w:pPr>
    <w:rPr>
      <w:rFonts w:ascii="Times New Roman" w:hAnsi="Times New Roman" w:eastAsia="宋体" w:cs="Times New Roman"/>
      <w:szCs w:val="24"/>
    </w:rPr>
  </w:style>
  <w:style w:type="paragraph" w:styleId="22">
    <w:name w:val="Date"/>
    <w:basedOn w:val="1"/>
    <w:next w:val="1"/>
    <w:link w:val="157"/>
    <w:autoRedefine/>
    <w:qFormat/>
    <w:uiPriority w:val="0"/>
    <w:rPr>
      <w:szCs w:val="21"/>
    </w:rPr>
  </w:style>
  <w:style w:type="paragraph" w:styleId="23">
    <w:name w:val="Body Text Indent 2"/>
    <w:basedOn w:val="1"/>
    <w:link w:val="130"/>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4">
    <w:name w:val="Balloon Text"/>
    <w:basedOn w:val="1"/>
    <w:link w:val="80"/>
    <w:qFormat/>
    <w:uiPriority w:val="99"/>
    <w:rPr>
      <w:rFonts w:ascii="Calibri" w:hAnsi="Calibri" w:eastAsia="宋体" w:cs="Times New Roman"/>
      <w:sz w:val="18"/>
      <w:szCs w:val="18"/>
    </w:rPr>
  </w:style>
  <w:style w:type="paragraph" w:styleId="25">
    <w:name w:val="footer"/>
    <w:basedOn w:val="1"/>
    <w:link w:val="67"/>
    <w:qFormat/>
    <w:uiPriority w:val="99"/>
    <w:pPr>
      <w:tabs>
        <w:tab w:val="center" w:pos="4153"/>
        <w:tab w:val="right" w:pos="8306"/>
      </w:tabs>
      <w:snapToGrid w:val="0"/>
      <w:jc w:val="left"/>
    </w:pPr>
    <w:rPr>
      <w:rFonts w:ascii="Calibri" w:hAnsi="Calibri" w:eastAsia="宋体" w:cs="Times New Roman"/>
      <w:sz w:val="18"/>
      <w:szCs w:val="18"/>
    </w:rPr>
  </w:style>
  <w:style w:type="paragraph" w:styleId="26">
    <w:name w:val="header"/>
    <w:basedOn w:val="1"/>
    <w:link w:val="66"/>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7">
    <w:name w:val="toc 1"/>
    <w:basedOn w:val="1"/>
    <w:next w:val="1"/>
    <w:qFormat/>
    <w:uiPriority w:val="39"/>
    <w:rPr>
      <w:rFonts w:ascii="Times New Roman" w:hAnsi="Times New Roman" w:eastAsia="宋体" w:cs="Times New Roman"/>
      <w:szCs w:val="24"/>
    </w:rPr>
  </w:style>
  <w:style w:type="paragraph" w:styleId="28">
    <w:name w:val="toc 4"/>
    <w:basedOn w:val="1"/>
    <w:next w:val="1"/>
    <w:qFormat/>
    <w:uiPriority w:val="0"/>
    <w:pPr>
      <w:ind w:left="1260" w:leftChars="600"/>
    </w:pPr>
    <w:rPr>
      <w:rFonts w:ascii="Times New Roman" w:hAnsi="Times New Roman" w:eastAsia="宋体" w:cs="Times New Roman"/>
      <w:szCs w:val="24"/>
    </w:rPr>
  </w:style>
  <w:style w:type="paragraph" w:styleId="29">
    <w:name w:val="footnote text"/>
    <w:basedOn w:val="1"/>
    <w:link w:val="174"/>
    <w:semiHidden/>
    <w:qFormat/>
    <w:uiPriority w:val="0"/>
    <w:pPr>
      <w:snapToGrid w:val="0"/>
      <w:jc w:val="left"/>
    </w:pPr>
    <w:rPr>
      <w:rFonts w:ascii="Times New Roman" w:hAnsi="Times New Roman" w:eastAsia="宋体" w:cs="Times New Roman"/>
      <w:sz w:val="18"/>
      <w:szCs w:val="18"/>
    </w:rPr>
  </w:style>
  <w:style w:type="paragraph" w:styleId="30">
    <w:name w:val="toc 6"/>
    <w:basedOn w:val="1"/>
    <w:next w:val="1"/>
    <w:qFormat/>
    <w:uiPriority w:val="0"/>
    <w:pPr>
      <w:ind w:left="2100" w:leftChars="1000"/>
    </w:pPr>
    <w:rPr>
      <w:rFonts w:ascii="Times New Roman" w:hAnsi="Times New Roman" w:eastAsia="宋体" w:cs="Times New Roman"/>
      <w:szCs w:val="24"/>
    </w:rPr>
  </w:style>
  <w:style w:type="paragraph" w:styleId="31">
    <w:name w:val="Body Text Indent 3"/>
    <w:basedOn w:val="1"/>
    <w:link w:val="132"/>
    <w:qFormat/>
    <w:uiPriority w:val="99"/>
    <w:pPr>
      <w:spacing w:line="440" w:lineRule="exact"/>
      <w:ind w:firstLine="412" w:firstLineChars="200"/>
    </w:pPr>
    <w:rPr>
      <w:rFonts w:ascii="宋体" w:hAnsi="Calibri" w:eastAsia="宋体" w:cs="Times New Roman"/>
      <w:kern w:val="0"/>
      <w:sz w:val="20"/>
      <w:szCs w:val="20"/>
    </w:rPr>
  </w:style>
  <w:style w:type="paragraph" w:styleId="32">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3">
    <w:name w:val="toc 2"/>
    <w:basedOn w:val="1"/>
    <w:next w:val="1"/>
    <w:qFormat/>
    <w:uiPriority w:val="39"/>
    <w:pPr>
      <w:ind w:left="420" w:leftChars="200"/>
    </w:pPr>
    <w:rPr>
      <w:rFonts w:ascii="Times New Roman" w:hAnsi="Times New Roman" w:eastAsia="宋体" w:cs="Times New Roman"/>
      <w:szCs w:val="24"/>
    </w:rPr>
  </w:style>
  <w:style w:type="paragraph" w:styleId="34">
    <w:name w:val="toc 9"/>
    <w:basedOn w:val="1"/>
    <w:next w:val="1"/>
    <w:qFormat/>
    <w:uiPriority w:val="0"/>
    <w:pPr>
      <w:ind w:left="3360" w:leftChars="1600"/>
    </w:pPr>
    <w:rPr>
      <w:rFonts w:ascii="Times New Roman" w:hAnsi="Times New Roman" w:eastAsia="宋体" w:cs="Times New Roman"/>
      <w:szCs w:val="24"/>
    </w:rPr>
  </w:style>
  <w:style w:type="paragraph" w:styleId="35">
    <w:name w:val="List Continue 2"/>
    <w:basedOn w:val="1"/>
    <w:qFormat/>
    <w:uiPriority w:val="99"/>
    <w:pPr>
      <w:spacing w:after="120"/>
      <w:ind w:left="840" w:leftChars="400"/>
    </w:pPr>
    <w:rPr>
      <w:rFonts w:ascii="Times New Roman" w:hAnsi="Times New Roman" w:eastAsia="宋体" w:cs="Times New Roman"/>
      <w:szCs w:val="24"/>
    </w:rPr>
  </w:style>
  <w:style w:type="paragraph" w:styleId="3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7">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8">
    <w:name w:val="Title"/>
    <w:basedOn w:val="1"/>
    <w:link w:val="160"/>
    <w:qFormat/>
    <w:uiPriority w:val="0"/>
    <w:pPr>
      <w:spacing w:before="240" w:after="60"/>
      <w:jc w:val="center"/>
      <w:outlineLvl w:val="0"/>
    </w:pPr>
    <w:rPr>
      <w:rFonts w:ascii="Cambria" w:hAnsi="Cambria" w:cs="Times New Roman"/>
      <w:b/>
      <w:bCs/>
      <w:sz w:val="32"/>
      <w:szCs w:val="32"/>
    </w:rPr>
  </w:style>
  <w:style w:type="paragraph" w:styleId="39">
    <w:name w:val="annotation subject"/>
    <w:basedOn w:val="15"/>
    <w:next w:val="15"/>
    <w:link w:val="167"/>
    <w:qFormat/>
    <w:uiPriority w:val="0"/>
    <w:rPr>
      <w:b/>
      <w:bCs/>
    </w:rPr>
  </w:style>
  <w:style w:type="paragraph" w:styleId="40">
    <w:name w:val="Body Text First Indent"/>
    <w:basedOn w:val="2"/>
    <w:link w:val="207"/>
    <w:unhideWhenUsed/>
    <w:qFormat/>
    <w:uiPriority w:val="99"/>
    <w:pPr>
      <w:ind w:firstLine="420" w:firstLineChars="100"/>
    </w:pPr>
    <w:rPr>
      <w:rFonts w:asciiTheme="minorHAnsi" w:hAnsiTheme="minorHAnsi" w:eastAsiaTheme="minorEastAsia" w:cstheme="minorBidi"/>
      <w:kern w:val="2"/>
      <w:sz w:val="21"/>
      <w:szCs w:val="22"/>
    </w:rPr>
  </w:style>
  <w:style w:type="table" w:styleId="42">
    <w:name w:val="Table Grid"/>
    <w:basedOn w:val="4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basedOn w:val="43"/>
    <w:qFormat/>
    <w:uiPriority w:val="22"/>
    <w:rPr>
      <w:rFonts w:cs="Times New Roman"/>
      <w:b/>
    </w:rPr>
  </w:style>
  <w:style w:type="character" w:styleId="45">
    <w:name w:val="page number"/>
    <w:basedOn w:val="43"/>
    <w:qFormat/>
    <w:uiPriority w:val="0"/>
    <w:rPr>
      <w:rFonts w:cs="Times New Roman"/>
    </w:rPr>
  </w:style>
  <w:style w:type="character" w:styleId="46">
    <w:name w:val="FollowedHyperlink"/>
    <w:basedOn w:val="43"/>
    <w:qFormat/>
    <w:uiPriority w:val="99"/>
    <w:rPr>
      <w:rFonts w:cs="Times New Roman"/>
      <w:color w:val="555555"/>
      <w:u w:val="none"/>
    </w:rPr>
  </w:style>
  <w:style w:type="character" w:styleId="47">
    <w:name w:val="Emphasis"/>
    <w:basedOn w:val="43"/>
    <w:qFormat/>
    <w:uiPriority w:val="0"/>
    <w:rPr>
      <w:rFonts w:cs="Times New Roman"/>
      <w:i/>
    </w:rPr>
  </w:style>
  <w:style w:type="character" w:styleId="48">
    <w:name w:val="HTML Definition"/>
    <w:basedOn w:val="43"/>
    <w:qFormat/>
    <w:uiPriority w:val="99"/>
    <w:rPr>
      <w:rFonts w:cs="Times New Roman"/>
    </w:rPr>
  </w:style>
  <w:style w:type="character" w:styleId="49">
    <w:name w:val="HTML Acronym"/>
    <w:basedOn w:val="43"/>
    <w:qFormat/>
    <w:uiPriority w:val="99"/>
    <w:rPr>
      <w:rFonts w:cs="Times New Roman"/>
    </w:rPr>
  </w:style>
  <w:style w:type="character" w:styleId="50">
    <w:name w:val="HTML Variable"/>
    <w:basedOn w:val="43"/>
    <w:qFormat/>
    <w:uiPriority w:val="99"/>
    <w:rPr>
      <w:rFonts w:cs="Times New Roman"/>
    </w:rPr>
  </w:style>
  <w:style w:type="character" w:styleId="51">
    <w:name w:val="Hyperlink"/>
    <w:basedOn w:val="43"/>
    <w:qFormat/>
    <w:uiPriority w:val="99"/>
    <w:rPr>
      <w:rFonts w:cs="Times New Roman"/>
      <w:color w:val="555555"/>
      <w:u w:val="none"/>
    </w:rPr>
  </w:style>
  <w:style w:type="character" w:styleId="52">
    <w:name w:val="HTML Code"/>
    <w:basedOn w:val="43"/>
    <w:qFormat/>
    <w:uiPriority w:val="99"/>
    <w:rPr>
      <w:rFonts w:ascii="monospace" w:hAnsi="monospace" w:cs="Times New Roman"/>
      <w:sz w:val="24"/>
    </w:rPr>
  </w:style>
  <w:style w:type="character" w:styleId="53">
    <w:name w:val="annotation reference"/>
    <w:qFormat/>
    <w:uiPriority w:val="0"/>
    <w:rPr>
      <w:sz w:val="21"/>
      <w:szCs w:val="21"/>
    </w:rPr>
  </w:style>
  <w:style w:type="character" w:styleId="54">
    <w:name w:val="HTML Cite"/>
    <w:basedOn w:val="43"/>
    <w:qFormat/>
    <w:uiPriority w:val="99"/>
    <w:rPr>
      <w:rFonts w:cs="Times New Roman"/>
    </w:rPr>
  </w:style>
  <w:style w:type="character" w:styleId="55">
    <w:name w:val="footnote reference"/>
    <w:semiHidden/>
    <w:qFormat/>
    <w:uiPriority w:val="0"/>
    <w:rPr>
      <w:vertAlign w:val="superscript"/>
    </w:rPr>
  </w:style>
  <w:style w:type="character" w:styleId="56">
    <w:name w:val="HTML Keyboard"/>
    <w:basedOn w:val="43"/>
    <w:qFormat/>
    <w:uiPriority w:val="99"/>
    <w:rPr>
      <w:rFonts w:ascii="monospace" w:hAnsi="monospace" w:cs="Times New Roman"/>
      <w:sz w:val="24"/>
    </w:rPr>
  </w:style>
  <w:style w:type="character" w:styleId="57">
    <w:name w:val="HTML Sample"/>
    <w:basedOn w:val="43"/>
    <w:qFormat/>
    <w:uiPriority w:val="99"/>
    <w:rPr>
      <w:rFonts w:ascii="monospace" w:hAnsi="monospace" w:cs="Times New Roman"/>
      <w:sz w:val="24"/>
    </w:rPr>
  </w:style>
  <w:style w:type="paragraph" w:customStyle="1" w:styleId="58">
    <w:name w:val="H3-HXDI"/>
    <w:basedOn w:val="59"/>
    <w:next w:val="61"/>
    <w:qFormat/>
    <w:uiPriority w:val="0"/>
    <w:pPr>
      <w:spacing w:before="0" w:after="0"/>
      <w:outlineLvl w:val="2"/>
    </w:pPr>
  </w:style>
  <w:style w:type="paragraph" w:customStyle="1" w:styleId="59">
    <w:name w:val="H2-HXDI"/>
    <w:basedOn w:val="60"/>
    <w:next w:val="61"/>
    <w:qFormat/>
    <w:uiPriority w:val="0"/>
    <w:pPr>
      <w:pageBreakBefore w:val="0"/>
      <w:outlineLvl w:val="1"/>
    </w:pPr>
    <w:rPr>
      <w:sz w:val="24"/>
    </w:rPr>
  </w:style>
  <w:style w:type="paragraph" w:customStyle="1" w:styleId="60">
    <w:name w:val="H1-HXDI"/>
    <w:basedOn w:val="61"/>
    <w:next w:val="61"/>
    <w:qFormat/>
    <w:uiPriority w:val="0"/>
    <w:pPr>
      <w:pageBreakBefore/>
      <w:spacing w:before="120" w:after="120"/>
      <w:outlineLvl w:val="0"/>
    </w:pPr>
    <w:rPr>
      <w:rFonts w:eastAsia="黑体"/>
      <w:sz w:val="28"/>
    </w:rPr>
  </w:style>
  <w:style w:type="paragraph" w:customStyle="1" w:styleId="61">
    <w:name w:val="正文-HXDI"/>
    <w:basedOn w:val="1"/>
    <w:qFormat/>
    <w:uiPriority w:val="0"/>
    <w:pPr>
      <w:adjustRightInd w:val="0"/>
      <w:textAlignment w:val="baseline"/>
    </w:pPr>
    <w:rPr>
      <w:kern w:val="0"/>
    </w:rPr>
  </w:style>
  <w:style w:type="paragraph" w:customStyle="1" w:styleId="62">
    <w:name w:val="方案正文"/>
    <w:basedOn w:val="2"/>
    <w:qFormat/>
    <w:uiPriority w:val="0"/>
    <w:pPr>
      <w:spacing w:after="0"/>
      <w:ind w:firstLine="560" w:firstLineChars="200"/>
      <w:jc w:val="left"/>
    </w:pPr>
    <w:rPr>
      <w:rFonts w:ascii="Arial" w:hAnsi="Arial" w:eastAsia="仿宋" w:cs="宋体"/>
      <w:sz w:val="28"/>
      <w:szCs w:val="21"/>
    </w:rPr>
  </w:style>
  <w:style w:type="character" w:customStyle="1" w:styleId="63">
    <w:name w:val="标题 1 Char"/>
    <w:basedOn w:val="43"/>
    <w:link w:val="4"/>
    <w:qFormat/>
    <w:uiPriority w:val="9"/>
    <w:rPr>
      <w:rFonts w:ascii="???" w:hAnsi="???" w:eastAsia="宋体" w:cs="Arial"/>
      <w:b/>
      <w:bCs/>
      <w:color w:val="020000"/>
      <w:kern w:val="36"/>
      <w:sz w:val="44"/>
      <w:szCs w:val="44"/>
    </w:rPr>
  </w:style>
  <w:style w:type="character" w:customStyle="1" w:styleId="64">
    <w:name w:val="标题 3 Char"/>
    <w:basedOn w:val="43"/>
    <w:link w:val="6"/>
    <w:qFormat/>
    <w:uiPriority w:val="0"/>
    <w:rPr>
      <w:rFonts w:ascii="??" w:hAnsi="??" w:eastAsia="宋体" w:cs="Arial"/>
      <w:b/>
      <w:bCs/>
      <w:color w:val="000000"/>
      <w:kern w:val="0"/>
      <w:sz w:val="32"/>
      <w:szCs w:val="32"/>
    </w:rPr>
  </w:style>
  <w:style w:type="character" w:customStyle="1" w:styleId="65">
    <w:name w:val="标题 2 Char"/>
    <w:basedOn w:val="43"/>
    <w:link w:val="5"/>
    <w:qFormat/>
    <w:uiPriority w:val="99"/>
    <w:rPr>
      <w:rFonts w:ascii="???" w:hAnsi="???" w:eastAsia="宋体" w:cs="Arial"/>
      <w:b/>
      <w:bCs/>
      <w:color w:val="020000"/>
      <w:kern w:val="0"/>
      <w:sz w:val="32"/>
      <w:szCs w:val="32"/>
    </w:rPr>
  </w:style>
  <w:style w:type="character" w:customStyle="1" w:styleId="66">
    <w:name w:val="页眉 Char"/>
    <w:basedOn w:val="43"/>
    <w:link w:val="26"/>
    <w:qFormat/>
    <w:uiPriority w:val="99"/>
    <w:rPr>
      <w:rFonts w:ascii="Calibri" w:hAnsi="Calibri" w:eastAsia="宋体" w:cs="Times New Roman"/>
      <w:sz w:val="18"/>
      <w:szCs w:val="18"/>
    </w:rPr>
  </w:style>
  <w:style w:type="character" w:customStyle="1" w:styleId="67">
    <w:name w:val="页脚 Char"/>
    <w:basedOn w:val="43"/>
    <w:link w:val="25"/>
    <w:qFormat/>
    <w:uiPriority w:val="99"/>
    <w:rPr>
      <w:rFonts w:ascii="Calibri" w:hAnsi="Calibri" w:eastAsia="宋体" w:cs="Times New Roman"/>
      <w:sz w:val="18"/>
      <w:szCs w:val="18"/>
    </w:rPr>
  </w:style>
  <w:style w:type="character" w:customStyle="1" w:styleId="68">
    <w:name w:val="正文文本缩进 Char"/>
    <w:basedOn w:val="43"/>
    <w:link w:val="16"/>
    <w:qFormat/>
    <w:uiPriority w:val="0"/>
    <w:rPr>
      <w:rFonts w:ascii="??" w:hAnsi="??" w:eastAsia="宋体" w:cs="Arial"/>
      <w:kern w:val="0"/>
      <w:sz w:val="24"/>
      <w:szCs w:val="24"/>
    </w:rPr>
  </w:style>
  <w:style w:type="paragraph" w:customStyle="1" w:styleId="69">
    <w:name w:val="列出段落1"/>
    <w:basedOn w:val="1"/>
    <w:qFormat/>
    <w:uiPriority w:val="34"/>
    <w:pPr>
      <w:ind w:firstLine="420" w:firstLineChars="200"/>
    </w:pPr>
    <w:rPr>
      <w:rFonts w:ascii="Calibri" w:hAnsi="Calibri" w:eastAsia="宋体" w:cs="Times New Roman"/>
    </w:rPr>
  </w:style>
  <w:style w:type="character" w:customStyle="1" w:styleId="70">
    <w:name w:val="标题 2 Char Char"/>
    <w:qFormat/>
    <w:uiPriority w:val="99"/>
    <w:rPr>
      <w:rFonts w:ascii="Arial" w:hAnsi="Arial" w:eastAsia="黑体"/>
      <w:b/>
      <w:kern w:val="2"/>
      <w:sz w:val="32"/>
      <w:lang w:val="en-US" w:eastAsia="zh-CN"/>
    </w:rPr>
  </w:style>
  <w:style w:type="character" w:customStyle="1" w:styleId="71">
    <w:name w:val="2charchar"/>
    <w:basedOn w:val="43"/>
    <w:qFormat/>
    <w:uiPriority w:val="99"/>
    <w:rPr>
      <w:rFonts w:cs="Times New Roman"/>
    </w:rPr>
  </w:style>
  <w:style w:type="paragraph" w:customStyle="1" w:styleId="72">
    <w:name w:val="表格文字"/>
    <w:basedOn w:val="1"/>
    <w:next w:val="2"/>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73">
    <w:name w:val="z-窗体顶端1"/>
    <w:basedOn w:val="1"/>
    <w:next w:val="1"/>
    <w:link w:val="74"/>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4">
    <w:name w:val="z-窗体顶端 Char"/>
    <w:basedOn w:val="43"/>
    <w:link w:val="73"/>
    <w:semiHidden/>
    <w:qFormat/>
    <w:uiPriority w:val="99"/>
    <w:rPr>
      <w:rFonts w:ascii="Arial" w:hAnsi="Arial" w:eastAsia="宋体" w:cs="Arial"/>
      <w:vanish/>
      <w:kern w:val="0"/>
      <w:sz w:val="16"/>
      <w:szCs w:val="16"/>
    </w:rPr>
  </w:style>
  <w:style w:type="paragraph" w:customStyle="1" w:styleId="75">
    <w:name w:val="z-窗体底端1"/>
    <w:basedOn w:val="1"/>
    <w:next w:val="1"/>
    <w:link w:val="76"/>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6">
    <w:name w:val="z-窗体底端 Char"/>
    <w:basedOn w:val="43"/>
    <w:link w:val="75"/>
    <w:semiHidden/>
    <w:qFormat/>
    <w:uiPriority w:val="99"/>
    <w:rPr>
      <w:rFonts w:ascii="Arial" w:hAnsi="Arial" w:eastAsia="宋体" w:cs="Arial"/>
      <w:vanish/>
      <w:kern w:val="0"/>
      <w:sz w:val="16"/>
      <w:szCs w:val="16"/>
    </w:rPr>
  </w:style>
  <w:style w:type="paragraph" w:customStyle="1" w:styleId="77">
    <w:name w:val="hu正文"/>
    <w:basedOn w:val="1"/>
    <w:link w:val="78"/>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8">
    <w:name w:val="hu正文 Char"/>
    <w:link w:val="77"/>
    <w:qFormat/>
    <w:locked/>
    <w:uiPriority w:val="99"/>
    <w:rPr>
      <w:rFonts w:ascii="Times New Roman" w:hAnsi="Times New Roman" w:eastAsia="宋体" w:cs="Times New Roman"/>
      <w:kern w:val="0"/>
      <w:sz w:val="24"/>
      <w:szCs w:val="20"/>
    </w:rPr>
  </w:style>
  <w:style w:type="paragraph" w:customStyle="1" w:styleId="79">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0">
    <w:name w:val="批注框文本 Char"/>
    <w:basedOn w:val="43"/>
    <w:link w:val="24"/>
    <w:qFormat/>
    <w:uiPriority w:val="99"/>
    <w:rPr>
      <w:rFonts w:ascii="Calibri" w:hAnsi="Calibri" w:eastAsia="宋体" w:cs="Times New Roman"/>
      <w:sz w:val="18"/>
      <w:szCs w:val="18"/>
    </w:rPr>
  </w:style>
  <w:style w:type="character" w:customStyle="1" w:styleId="81">
    <w:name w:val="ui-bz-bg-hover1"/>
    <w:basedOn w:val="43"/>
    <w:qFormat/>
    <w:uiPriority w:val="99"/>
    <w:rPr>
      <w:rFonts w:cs="Times New Roman"/>
    </w:rPr>
  </w:style>
  <w:style w:type="character" w:customStyle="1" w:styleId="82">
    <w:name w:val="批注框文本 Char1"/>
    <w:qFormat/>
    <w:uiPriority w:val="99"/>
    <w:rPr>
      <w:rFonts w:ascii="Times New Roman" w:hAnsi="Times New Roman" w:eastAsia="宋体"/>
      <w:sz w:val="18"/>
    </w:rPr>
  </w:style>
  <w:style w:type="character" w:customStyle="1" w:styleId="83">
    <w:name w:val="bds_nopic"/>
    <w:basedOn w:val="43"/>
    <w:qFormat/>
    <w:uiPriority w:val="99"/>
    <w:rPr>
      <w:rFonts w:cs="Times New Roman"/>
    </w:rPr>
  </w:style>
  <w:style w:type="character" w:customStyle="1" w:styleId="84">
    <w:name w:val="tip12"/>
    <w:qFormat/>
    <w:uiPriority w:val="99"/>
    <w:rPr>
      <w:vanish/>
      <w:color w:val="FF0000"/>
      <w:sz w:val="18"/>
    </w:rPr>
  </w:style>
  <w:style w:type="character" w:customStyle="1" w:styleId="85">
    <w:name w:val="Body Text Indent 3 Char"/>
    <w:qFormat/>
    <w:locked/>
    <w:uiPriority w:val="99"/>
    <w:rPr>
      <w:rFonts w:ascii="宋体" w:eastAsia="宋体"/>
    </w:rPr>
  </w:style>
  <w:style w:type="character" w:customStyle="1" w:styleId="86">
    <w:name w:val="HTML Markup"/>
    <w:qFormat/>
    <w:uiPriority w:val="99"/>
    <w:rPr>
      <w:vanish/>
      <w:color w:val="FF0000"/>
    </w:rPr>
  </w:style>
  <w:style w:type="character" w:customStyle="1" w:styleId="87">
    <w:name w:val="tip7"/>
    <w:qFormat/>
    <w:uiPriority w:val="99"/>
    <w:rPr>
      <w:vanish/>
      <w:color w:val="FF0000"/>
      <w:sz w:val="18"/>
    </w:rPr>
  </w:style>
  <w:style w:type="character" w:customStyle="1" w:styleId="88">
    <w:name w:val="f-star"/>
    <w:qFormat/>
    <w:uiPriority w:val="99"/>
    <w:rPr>
      <w:color w:val="999999"/>
      <w:sz w:val="21"/>
    </w:rPr>
  </w:style>
  <w:style w:type="character" w:customStyle="1" w:styleId="89">
    <w:name w:val="Document Map Char1"/>
    <w:qFormat/>
    <w:uiPriority w:val="99"/>
    <w:rPr>
      <w:rFonts w:ascii="Times New Roman" w:hAnsi="Times New Roman"/>
      <w:kern w:val="2"/>
      <w:sz w:val="2"/>
    </w:rPr>
  </w:style>
  <w:style w:type="character" w:customStyle="1" w:styleId="90">
    <w:name w:val="my-class2"/>
    <w:basedOn w:val="43"/>
    <w:qFormat/>
    <w:uiPriority w:val="99"/>
    <w:rPr>
      <w:rFonts w:cs="Times New Roman"/>
    </w:rPr>
  </w:style>
  <w:style w:type="character" w:customStyle="1" w:styleId="91">
    <w:name w:val="no52"/>
    <w:basedOn w:val="43"/>
    <w:qFormat/>
    <w:uiPriority w:val="99"/>
    <w:rPr>
      <w:rFonts w:cs="Times New Roman"/>
    </w:rPr>
  </w:style>
  <w:style w:type="character" w:customStyle="1" w:styleId="92">
    <w:name w:val="no4"/>
    <w:basedOn w:val="43"/>
    <w:qFormat/>
    <w:uiPriority w:val="99"/>
    <w:rPr>
      <w:rFonts w:cs="Times New Roman"/>
    </w:rPr>
  </w:style>
  <w:style w:type="character" w:customStyle="1" w:styleId="93">
    <w:name w:val="my-notice"/>
    <w:basedOn w:val="43"/>
    <w:qFormat/>
    <w:uiPriority w:val="99"/>
    <w:rPr>
      <w:rFonts w:cs="Times New Roman"/>
    </w:rPr>
  </w:style>
  <w:style w:type="character" w:customStyle="1" w:styleId="94">
    <w:name w:val="ico-jiang"/>
    <w:basedOn w:val="43"/>
    <w:qFormat/>
    <w:uiPriority w:val="99"/>
    <w:rPr>
      <w:rFonts w:cs="Times New Roman"/>
    </w:rPr>
  </w:style>
  <w:style w:type="character" w:customStyle="1" w:styleId="95">
    <w:name w:val="ico-jiang2"/>
    <w:basedOn w:val="43"/>
    <w:qFormat/>
    <w:uiPriority w:val="99"/>
    <w:rPr>
      <w:rFonts w:cs="Times New Roman"/>
    </w:rPr>
  </w:style>
  <w:style w:type="character" w:customStyle="1" w:styleId="96">
    <w:name w:val="bds_more1"/>
    <w:qFormat/>
    <w:uiPriority w:val="99"/>
    <w:rPr>
      <w:rFonts w:ascii="宋体" w:hAnsi="宋体" w:eastAsia="宋体"/>
    </w:rPr>
  </w:style>
  <w:style w:type="character" w:customStyle="1" w:styleId="97">
    <w:name w:val="Body Text Indent 2 Char"/>
    <w:qFormat/>
    <w:locked/>
    <w:uiPriority w:val="99"/>
    <w:rPr>
      <w:rFonts w:ascii="宋体" w:eastAsia="宋体"/>
      <w:sz w:val="24"/>
    </w:rPr>
  </w:style>
  <w:style w:type="character" w:customStyle="1" w:styleId="98">
    <w:name w:val="org_name"/>
    <w:basedOn w:val="43"/>
    <w:qFormat/>
    <w:uiPriority w:val="99"/>
    <w:rPr>
      <w:rFonts w:cs="Times New Roman"/>
    </w:rPr>
  </w:style>
  <w:style w:type="character" w:customStyle="1" w:styleId="99">
    <w:name w:val="org_name2"/>
    <w:basedOn w:val="43"/>
    <w:qFormat/>
    <w:uiPriority w:val="99"/>
    <w:rPr>
      <w:rFonts w:cs="Times New Roman"/>
    </w:rPr>
  </w:style>
  <w:style w:type="character" w:customStyle="1" w:styleId="100">
    <w:name w:val="tip10"/>
    <w:qFormat/>
    <w:uiPriority w:val="99"/>
    <w:rPr>
      <w:vanish/>
      <w:color w:val="FF0000"/>
      <w:sz w:val="18"/>
    </w:rPr>
  </w:style>
  <w:style w:type="character" w:customStyle="1" w:styleId="101">
    <w:name w:val="orange"/>
    <w:qFormat/>
    <w:uiPriority w:val="99"/>
    <w:rPr>
      <w:color w:val="3FB58F"/>
    </w:rPr>
  </w:style>
  <w:style w:type="character" w:customStyle="1" w:styleId="102">
    <w:name w:val="bds_more"/>
    <w:basedOn w:val="43"/>
    <w:qFormat/>
    <w:uiPriority w:val="99"/>
    <w:rPr>
      <w:rFonts w:cs="Times New Roman"/>
    </w:rPr>
  </w:style>
  <w:style w:type="character" w:customStyle="1" w:styleId="103">
    <w:name w:val="t-tag"/>
    <w:qFormat/>
    <w:uiPriority w:val="99"/>
    <w:rPr>
      <w:color w:val="FFFFFF"/>
      <w:sz w:val="18"/>
      <w:shd w:val="clear" w:color="auto" w:fill="FE8833"/>
    </w:rPr>
  </w:style>
  <w:style w:type="character" w:customStyle="1" w:styleId="104">
    <w:name w:val="top-icon"/>
    <w:basedOn w:val="43"/>
    <w:qFormat/>
    <w:uiPriority w:val="99"/>
    <w:rPr>
      <w:rFonts w:cs="Times New Roman"/>
    </w:rPr>
  </w:style>
  <w:style w:type="character" w:customStyle="1" w:styleId="105">
    <w:name w:val="Body Text Char"/>
    <w:qFormat/>
    <w:locked/>
    <w:uiPriority w:val="99"/>
    <w:rPr>
      <w:sz w:val="24"/>
    </w:rPr>
  </w:style>
  <w:style w:type="character" w:customStyle="1" w:styleId="106">
    <w:name w:val="no72"/>
    <w:basedOn w:val="43"/>
    <w:qFormat/>
    <w:uiPriority w:val="99"/>
    <w:rPr>
      <w:rFonts w:cs="Times New Roman"/>
    </w:rPr>
  </w:style>
  <w:style w:type="character" w:customStyle="1" w:styleId="107">
    <w:name w:val="bds_nopic2"/>
    <w:basedOn w:val="43"/>
    <w:qFormat/>
    <w:uiPriority w:val="99"/>
    <w:rPr>
      <w:rFonts w:cs="Times New Roman"/>
    </w:rPr>
  </w:style>
  <w:style w:type="character" w:customStyle="1" w:styleId="108">
    <w:name w:val="Document Map Char"/>
    <w:qFormat/>
    <w:uiPriority w:val="99"/>
    <w:rPr>
      <w:rFonts w:ascii="宋体"/>
      <w:sz w:val="18"/>
    </w:rPr>
  </w:style>
  <w:style w:type="character" w:customStyle="1" w:styleId="109">
    <w:name w:val="no6"/>
    <w:basedOn w:val="43"/>
    <w:qFormat/>
    <w:uiPriority w:val="99"/>
    <w:rPr>
      <w:rFonts w:cs="Times New Roman"/>
    </w:rPr>
  </w:style>
  <w:style w:type="character" w:customStyle="1" w:styleId="110">
    <w:name w:val="tip"/>
    <w:qFormat/>
    <w:uiPriority w:val="99"/>
    <w:rPr>
      <w:vanish/>
      <w:color w:val="FF0000"/>
      <w:sz w:val="18"/>
    </w:rPr>
  </w:style>
  <w:style w:type="character" w:customStyle="1" w:styleId="111">
    <w:name w:val="apple-converted-space"/>
    <w:basedOn w:val="43"/>
    <w:qFormat/>
    <w:uiPriority w:val="99"/>
    <w:rPr>
      <w:rFonts w:cs="Times New Roman"/>
    </w:rPr>
  </w:style>
  <w:style w:type="character" w:customStyle="1" w:styleId="112">
    <w:name w:val="bds_more2"/>
    <w:basedOn w:val="43"/>
    <w:qFormat/>
    <w:uiPriority w:val="99"/>
    <w:rPr>
      <w:rFonts w:cs="Times New Roman"/>
    </w:rPr>
  </w:style>
  <w:style w:type="character" w:customStyle="1" w:styleId="113">
    <w:name w:val="my-class"/>
    <w:basedOn w:val="43"/>
    <w:qFormat/>
    <w:uiPriority w:val="99"/>
    <w:rPr>
      <w:rFonts w:cs="Times New Roman"/>
    </w:rPr>
  </w:style>
  <w:style w:type="character" w:customStyle="1" w:styleId="114">
    <w:name w:val="ui-bz-bg-hover"/>
    <w:qFormat/>
    <w:uiPriority w:val="99"/>
    <w:rPr>
      <w:shd w:val="clear" w:color="auto" w:fill="000000"/>
    </w:rPr>
  </w:style>
  <w:style w:type="character" w:customStyle="1" w:styleId="115">
    <w:name w:val="no7"/>
    <w:basedOn w:val="43"/>
    <w:qFormat/>
    <w:uiPriority w:val="99"/>
    <w:rPr>
      <w:rFonts w:cs="Times New Roman"/>
    </w:rPr>
  </w:style>
  <w:style w:type="character" w:customStyle="1" w:styleId="116">
    <w:name w:val="正文缩进 Char"/>
    <w:link w:val="8"/>
    <w:qFormat/>
    <w:locked/>
    <w:uiPriority w:val="0"/>
    <w:rPr>
      <w:rFonts w:ascii="Times New Roman" w:hAnsi="Times New Roman" w:eastAsia="宋体" w:cs="Times New Roman"/>
      <w:kern w:val="0"/>
      <w:sz w:val="24"/>
      <w:szCs w:val="20"/>
    </w:rPr>
  </w:style>
  <w:style w:type="character" w:customStyle="1" w:styleId="117">
    <w:name w:val="ico-jiang1"/>
    <w:basedOn w:val="43"/>
    <w:qFormat/>
    <w:uiPriority w:val="99"/>
    <w:rPr>
      <w:rFonts w:cs="Times New Roman"/>
    </w:rPr>
  </w:style>
  <w:style w:type="character" w:customStyle="1" w:styleId="118">
    <w:name w:val="no62"/>
    <w:basedOn w:val="43"/>
    <w:qFormat/>
    <w:uiPriority w:val="99"/>
    <w:rPr>
      <w:rFonts w:cs="Times New Roman"/>
    </w:rPr>
  </w:style>
  <w:style w:type="character" w:customStyle="1" w:styleId="119">
    <w:name w:val="orange5"/>
    <w:qFormat/>
    <w:uiPriority w:val="99"/>
    <w:rPr>
      <w:color w:val="3FB58F"/>
    </w:rPr>
  </w:style>
  <w:style w:type="character" w:customStyle="1" w:styleId="120">
    <w:name w:val="bds_more4"/>
    <w:basedOn w:val="43"/>
    <w:qFormat/>
    <w:uiPriority w:val="99"/>
    <w:rPr>
      <w:rFonts w:cs="Times New Roman"/>
    </w:rPr>
  </w:style>
  <w:style w:type="character" w:customStyle="1" w:styleId="121">
    <w:name w:val="no5"/>
    <w:basedOn w:val="43"/>
    <w:qFormat/>
    <w:uiPriority w:val="99"/>
    <w:rPr>
      <w:rFonts w:cs="Times New Roman"/>
    </w:rPr>
  </w:style>
  <w:style w:type="character" w:customStyle="1" w:styleId="122">
    <w:name w:val="bds_more3"/>
    <w:basedOn w:val="43"/>
    <w:qFormat/>
    <w:uiPriority w:val="99"/>
    <w:rPr>
      <w:rFonts w:cs="Times New Roman"/>
    </w:rPr>
  </w:style>
  <w:style w:type="character" w:customStyle="1" w:styleId="123">
    <w:name w:val="no42"/>
    <w:basedOn w:val="43"/>
    <w:qFormat/>
    <w:uiPriority w:val="99"/>
    <w:rPr>
      <w:rFonts w:cs="Times New Roman"/>
    </w:rPr>
  </w:style>
  <w:style w:type="character" w:customStyle="1" w:styleId="124">
    <w:name w:val="bds_nopic1"/>
    <w:basedOn w:val="43"/>
    <w:qFormat/>
    <w:uiPriority w:val="99"/>
    <w:rPr>
      <w:rFonts w:cs="Times New Roman"/>
    </w:rPr>
  </w:style>
  <w:style w:type="character" w:customStyle="1" w:styleId="125">
    <w:name w:val="my-notice1"/>
    <w:basedOn w:val="43"/>
    <w:qFormat/>
    <w:uiPriority w:val="99"/>
    <w:rPr>
      <w:rFonts w:cs="Times New Roman"/>
    </w:rPr>
  </w:style>
  <w:style w:type="character" w:customStyle="1" w:styleId="126">
    <w:name w:val="orange6"/>
    <w:qFormat/>
    <w:uiPriority w:val="99"/>
    <w:rPr>
      <w:color w:val="3FB58F"/>
    </w:rPr>
  </w:style>
  <w:style w:type="character" w:customStyle="1" w:styleId="127">
    <w:name w:val="Document Map Char2"/>
    <w:qFormat/>
    <w:locked/>
    <w:uiPriority w:val="99"/>
    <w:rPr>
      <w:rFonts w:ascii="宋体"/>
      <w:sz w:val="18"/>
    </w:rPr>
  </w:style>
  <w:style w:type="character" w:customStyle="1" w:styleId="128">
    <w:name w:val="ico-jiang3"/>
    <w:basedOn w:val="43"/>
    <w:qFormat/>
    <w:uiPriority w:val="99"/>
    <w:rPr>
      <w:rFonts w:cs="Times New Roman"/>
    </w:rPr>
  </w:style>
  <w:style w:type="character" w:customStyle="1" w:styleId="129">
    <w:name w:val="tip13"/>
    <w:qFormat/>
    <w:uiPriority w:val="99"/>
    <w:rPr>
      <w:vanish/>
      <w:color w:val="FF0000"/>
      <w:sz w:val="18"/>
    </w:rPr>
  </w:style>
  <w:style w:type="character" w:customStyle="1" w:styleId="130">
    <w:name w:val="正文文本缩进 2 Char"/>
    <w:basedOn w:val="43"/>
    <w:link w:val="23"/>
    <w:qFormat/>
    <w:uiPriority w:val="99"/>
    <w:rPr>
      <w:rFonts w:ascii="宋体" w:hAnsi="Calibri" w:eastAsia="宋体" w:cs="Times New Roman"/>
      <w:kern w:val="0"/>
      <w:sz w:val="24"/>
      <w:szCs w:val="20"/>
    </w:rPr>
  </w:style>
  <w:style w:type="character" w:customStyle="1" w:styleId="131">
    <w:name w:val="Body Text Indent 2 Char1"/>
    <w:basedOn w:val="43"/>
    <w:semiHidden/>
    <w:qFormat/>
    <w:locked/>
    <w:uiPriority w:val="99"/>
    <w:rPr>
      <w:rFonts w:cs="Times New Roman"/>
    </w:rPr>
  </w:style>
  <w:style w:type="character" w:customStyle="1" w:styleId="132">
    <w:name w:val="正文文本缩进 3 Char"/>
    <w:basedOn w:val="43"/>
    <w:link w:val="31"/>
    <w:qFormat/>
    <w:uiPriority w:val="99"/>
    <w:rPr>
      <w:rFonts w:ascii="宋体" w:hAnsi="Calibri" w:eastAsia="宋体" w:cs="Times New Roman"/>
      <w:kern w:val="0"/>
      <w:sz w:val="20"/>
      <w:szCs w:val="20"/>
    </w:rPr>
  </w:style>
  <w:style w:type="character" w:customStyle="1" w:styleId="133">
    <w:name w:val="Body Text Indent 3 Char1"/>
    <w:basedOn w:val="43"/>
    <w:semiHidden/>
    <w:qFormat/>
    <w:locked/>
    <w:uiPriority w:val="99"/>
    <w:rPr>
      <w:rFonts w:cs="Times New Roman"/>
      <w:sz w:val="16"/>
      <w:szCs w:val="16"/>
    </w:rPr>
  </w:style>
  <w:style w:type="character" w:customStyle="1" w:styleId="134">
    <w:name w:val="文档结构图 Char"/>
    <w:basedOn w:val="43"/>
    <w:link w:val="13"/>
    <w:qFormat/>
    <w:uiPriority w:val="99"/>
    <w:rPr>
      <w:rFonts w:ascii="宋体" w:hAnsi="Calibri" w:eastAsia="宋体" w:cs="Times New Roman"/>
      <w:kern w:val="0"/>
      <w:sz w:val="18"/>
      <w:szCs w:val="20"/>
    </w:rPr>
  </w:style>
  <w:style w:type="character" w:customStyle="1" w:styleId="135">
    <w:name w:val="Document Map Char3"/>
    <w:basedOn w:val="43"/>
    <w:semiHidden/>
    <w:qFormat/>
    <w:locked/>
    <w:uiPriority w:val="99"/>
    <w:rPr>
      <w:rFonts w:ascii="Times New Roman" w:hAnsi="Times New Roman" w:cs="Times New Roman"/>
      <w:sz w:val="2"/>
    </w:rPr>
  </w:style>
  <w:style w:type="paragraph" w:customStyle="1" w:styleId="136">
    <w:name w:val="_Style 1"/>
    <w:basedOn w:val="1"/>
    <w:qFormat/>
    <w:uiPriority w:val="99"/>
    <w:pPr>
      <w:ind w:firstLine="420" w:firstLineChars="200"/>
    </w:pPr>
    <w:rPr>
      <w:rFonts w:ascii="Times New Roman" w:hAnsi="Times New Roman" w:eastAsia="宋体" w:cs="Times New Roman"/>
      <w:szCs w:val="24"/>
    </w:rPr>
  </w:style>
  <w:style w:type="character" w:customStyle="1" w:styleId="137">
    <w:name w:val="正文文本 Char"/>
    <w:basedOn w:val="43"/>
    <w:link w:val="2"/>
    <w:qFormat/>
    <w:uiPriority w:val="99"/>
    <w:rPr>
      <w:rFonts w:ascii="Calibri" w:hAnsi="Calibri" w:eastAsia="宋体" w:cs="Times New Roman"/>
      <w:kern w:val="0"/>
      <w:sz w:val="24"/>
      <w:szCs w:val="20"/>
    </w:rPr>
  </w:style>
  <w:style w:type="character" w:customStyle="1" w:styleId="138">
    <w:name w:val="Body Text Char1"/>
    <w:basedOn w:val="43"/>
    <w:semiHidden/>
    <w:qFormat/>
    <w:locked/>
    <w:uiPriority w:val="99"/>
    <w:rPr>
      <w:rFonts w:cs="Times New Roman"/>
    </w:rPr>
  </w:style>
  <w:style w:type="paragraph" w:customStyle="1" w:styleId="139">
    <w:name w:val="_Style 21"/>
    <w:basedOn w:val="1"/>
    <w:qFormat/>
    <w:uiPriority w:val="99"/>
    <w:rPr>
      <w:rFonts w:ascii="Times New Roman" w:hAnsi="Times New Roman" w:eastAsia="宋体" w:cs="Times New Roman"/>
      <w:szCs w:val="20"/>
    </w:rPr>
  </w:style>
  <w:style w:type="paragraph" w:customStyle="1" w:styleId="140">
    <w:name w:val="p0"/>
    <w:basedOn w:val="1"/>
    <w:qFormat/>
    <w:uiPriority w:val="99"/>
    <w:pPr>
      <w:widowControl/>
    </w:pPr>
    <w:rPr>
      <w:rFonts w:ascii="Times New Roman" w:hAnsi="Times New Roman" w:eastAsia="宋体" w:cs="Times New Roman"/>
      <w:kern w:val="0"/>
      <w:szCs w:val="21"/>
    </w:rPr>
  </w:style>
  <w:style w:type="paragraph" w:customStyle="1" w:styleId="141">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2">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3">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4">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5">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6">
    <w:name w:val="_Style 2"/>
    <w:basedOn w:val="1"/>
    <w:qFormat/>
    <w:uiPriority w:val="99"/>
    <w:pPr>
      <w:ind w:firstLine="420" w:firstLineChars="200"/>
    </w:pPr>
    <w:rPr>
      <w:rFonts w:ascii="Calibri" w:hAnsi="Calibri" w:eastAsia="宋体" w:cs="Times New Roman"/>
    </w:rPr>
  </w:style>
  <w:style w:type="paragraph" w:customStyle="1" w:styleId="147">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8">
    <w:name w:val="_Style 11"/>
    <w:basedOn w:val="1"/>
    <w:qFormat/>
    <w:uiPriority w:val="99"/>
    <w:rPr>
      <w:rFonts w:ascii="Times New Roman" w:hAnsi="Times New Roman" w:eastAsia="宋体" w:cs="Times New Roman"/>
      <w:szCs w:val="24"/>
    </w:rPr>
  </w:style>
  <w:style w:type="paragraph" w:customStyle="1" w:styleId="149">
    <w:name w:val="Char"/>
    <w:basedOn w:val="1"/>
    <w:qFormat/>
    <w:uiPriority w:val="99"/>
    <w:rPr>
      <w:rFonts w:ascii="Times New Roman" w:hAnsi="Times New Roman" w:eastAsia="宋体" w:cs="Times New Roman"/>
      <w:szCs w:val="21"/>
    </w:rPr>
  </w:style>
  <w:style w:type="paragraph" w:customStyle="1" w:styleId="150">
    <w:name w:val="列出段落12"/>
    <w:basedOn w:val="1"/>
    <w:qFormat/>
    <w:uiPriority w:val="99"/>
    <w:pPr>
      <w:ind w:firstLine="420" w:firstLineChars="200"/>
    </w:pPr>
    <w:rPr>
      <w:rFonts w:ascii="Times New Roman" w:hAnsi="Times New Roman" w:eastAsia="宋体" w:cs="Times New Roman"/>
      <w:szCs w:val="24"/>
    </w:rPr>
  </w:style>
  <w:style w:type="paragraph" w:customStyle="1" w:styleId="151">
    <w:name w:val="列出段落2"/>
    <w:basedOn w:val="1"/>
    <w:qFormat/>
    <w:uiPriority w:val="99"/>
    <w:pPr>
      <w:ind w:firstLine="420" w:firstLineChars="200"/>
    </w:pPr>
    <w:rPr>
      <w:rFonts w:ascii="Times New Roman" w:hAnsi="Times New Roman" w:eastAsia="宋体" w:cs="Times New Roman"/>
      <w:szCs w:val="24"/>
    </w:rPr>
  </w:style>
  <w:style w:type="paragraph" w:customStyle="1" w:styleId="152">
    <w:name w:val="TOC 标题1"/>
    <w:basedOn w:val="4"/>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3">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4">
    <w:name w:val="font41"/>
    <w:qFormat/>
    <w:uiPriority w:val="99"/>
    <w:rPr>
      <w:rFonts w:hint="eastAsia" w:ascii="宋体" w:hAnsi="宋体" w:eastAsia="宋体" w:cs="宋体"/>
      <w:b/>
      <w:color w:val="000000"/>
      <w:sz w:val="22"/>
      <w:szCs w:val="22"/>
      <w:u w:val="none"/>
    </w:rPr>
  </w:style>
  <w:style w:type="character" w:customStyle="1" w:styleId="155">
    <w:name w:val="font81"/>
    <w:qFormat/>
    <w:uiPriority w:val="99"/>
    <w:rPr>
      <w:rFonts w:hint="eastAsia" w:ascii="宋体" w:hAnsi="宋体" w:eastAsia="宋体" w:cs="宋体"/>
      <w:b/>
      <w:color w:val="000000"/>
      <w:sz w:val="22"/>
      <w:szCs w:val="22"/>
      <w:u w:val="none"/>
    </w:rPr>
  </w:style>
  <w:style w:type="character" w:customStyle="1" w:styleId="156">
    <w:name w:val="font21"/>
    <w:qFormat/>
    <w:uiPriority w:val="0"/>
    <w:rPr>
      <w:rFonts w:hint="eastAsia" w:ascii="宋体" w:hAnsi="宋体" w:eastAsia="宋体" w:cs="宋体"/>
      <w:color w:val="000000"/>
      <w:sz w:val="18"/>
      <w:szCs w:val="18"/>
      <w:u w:val="none"/>
    </w:rPr>
  </w:style>
  <w:style w:type="character" w:customStyle="1" w:styleId="157">
    <w:name w:val="日期 Char"/>
    <w:link w:val="22"/>
    <w:qFormat/>
    <w:uiPriority w:val="0"/>
    <w:rPr>
      <w:szCs w:val="21"/>
    </w:rPr>
  </w:style>
  <w:style w:type="character" w:customStyle="1" w:styleId="158">
    <w:name w:val="font01"/>
    <w:autoRedefine/>
    <w:qFormat/>
    <w:uiPriority w:val="99"/>
    <w:rPr>
      <w:rFonts w:hint="eastAsia" w:ascii="宋体" w:hAnsi="宋体" w:eastAsia="宋体" w:cs="宋体"/>
      <w:color w:val="000000"/>
      <w:sz w:val="22"/>
      <w:szCs w:val="22"/>
      <w:u w:val="none"/>
    </w:rPr>
  </w:style>
  <w:style w:type="character" w:customStyle="1" w:styleId="159">
    <w:name w:val="Char Char1"/>
    <w:qFormat/>
    <w:uiPriority w:val="0"/>
    <w:rPr>
      <w:rFonts w:eastAsia="宋体"/>
      <w:kern w:val="2"/>
      <w:sz w:val="18"/>
      <w:szCs w:val="18"/>
      <w:lang w:val="en-US" w:eastAsia="zh-CN" w:bidi="ar-SA"/>
    </w:rPr>
  </w:style>
  <w:style w:type="character" w:customStyle="1" w:styleId="160">
    <w:name w:val="标题 Char"/>
    <w:link w:val="38"/>
    <w:qFormat/>
    <w:uiPriority w:val="0"/>
    <w:rPr>
      <w:rFonts w:ascii="Cambria" w:hAnsi="Cambria" w:cs="Times New Roman"/>
      <w:b/>
      <w:bCs/>
      <w:sz w:val="32"/>
      <w:szCs w:val="32"/>
    </w:rPr>
  </w:style>
  <w:style w:type="character" w:customStyle="1" w:styleId="161">
    <w:name w:val="hei141"/>
    <w:qFormat/>
    <w:uiPriority w:val="0"/>
    <w:rPr>
      <w:rFonts w:hint="eastAsia" w:ascii="宋体" w:hAnsi="宋体" w:eastAsia="宋体"/>
      <w:color w:val="000000"/>
      <w:sz w:val="19"/>
      <w:szCs w:val="19"/>
      <w:u w:val="none"/>
    </w:rPr>
  </w:style>
  <w:style w:type="character" w:customStyle="1" w:styleId="162">
    <w:name w:val="批注文字 Char"/>
    <w:link w:val="15"/>
    <w:qFormat/>
    <w:uiPriority w:val="0"/>
  </w:style>
  <w:style w:type="character" w:customStyle="1" w:styleId="163">
    <w:name w:val="apple-style-span"/>
    <w:basedOn w:val="43"/>
    <w:qFormat/>
    <w:uiPriority w:val="0"/>
  </w:style>
  <w:style w:type="character" w:customStyle="1" w:styleId="164">
    <w:name w:val="param-value"/>
    <w:qFormat/>
    <w:uiPriority w:val="99"/>
    <w:rPr>
      <w:rFonts w:cs="Times New Roman"/>
    </w:rPr>
  </w:style>
  <w:style w:type="character" w:customStyle="1" w:styleId="165">
    <w:name w:val="font61"/>
    <w:qFormat/>
    <w:uiPriority w:val="0"/>
    <w:rPr>
      <w:rFonts w:hint="eastAsia" w:ascii="宋体" w:hAnsi="宋体" w:eastAsia="宋体" w:cs="宋体"/>
      <w:color w:val="000000"/>
      <w:sz w:val="22"/>
      <w:szCs w:val="22"/>
      <w:u w:val="none"/>
    </w:rPr>
  </w:style>
  <w:style w:type="character" w:customStyle="1" w:styleId="166">
    <w:name w:val="font11"/>
    <w:qFormat/>
    <w:uiPriority w:val="0"/>
    <w:rPr>
      <w:rFonts w:hint="eastAsia" w:ascii="宋体" w:hAnsi="宋体" w:eastAsia="宋体" w:cs="宋体"/>
      <w:color w:val="FF0000"/>
      <w:sz w:val="22"/>
      <w:szCs w:val="22"/>
      <w:u w:val="none"/>
    </w:rPr>
  </w:style>
  <w:style w:type="character" w:customStyle="1" w:styleId="167">
    <w:name w:val="批注主题 Char"/>
    <w:link w:val="39"/>
    <w:qFormat/>
    <w:uiPriority w:val="0"/>
    <w:rPr>
      <w:b/>
      <w:bCs/>
    </w:rPr>
  </w:style>
  <w:style w:type="character" w:customStyle="1" w:styleId="168">
    <w:name w:val="批注文字 Char1"/>
    <w:basedOn w:val="43"/>
    <w:semiHidden/>
    <w:qFormat/>
    <w:uiPriority w:val="99"/>
  </w:style>
  <w:style w:type="paragraph" w:customStyle="1" w:styleId="169">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70">
    <w:name w:val="批注主题 Char1"/>
    <w:basedOn w:val="168"/>
    <w:semiHidden/>
    <w:qFormat/>
    <w:uiPriority w:val="99"/>
    <w:rPr>
      <w:b/>
      <w:bCs/>
    </w:rPr>
  </w:style>
  <w:style w:type="paragraph" w:customStyle="1" w:styleId="171">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日期 Char1"/>
    <w:basedOn w:val="43"/>
    <w:semiHidden/>
    <w:qFormat/>
    <w:uiPriority w:val="99"/>
  </w:style>
  <w:style w:type="paragraph" w:customStyle="1" w:styleId="173">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4">
    <w:name w:val="脚注文本 Char"/>
    <w:basedOn w:val="43"/>
    <w:link w:val="29"/>
    <w:semiHidden/>
    <w:qFormat/>
    <w:uiPriority w:val="0"/>
    <w:rPr>
      <w:rFonts w:ascii="Times New Roman" w:hAnsi="Times New Roman" w:eastAsia="宋体" w:cs="Times New Roman"/>
      <w:sz w:val="18"/>
      <w:szCs w:val="18"/>
    </w:rPr>
  </w:style>
  <w:style w:type="paragraph" w:customStyle="1" w:styleId="175">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7">
    <w:name w:val="标题 Char1"/>
    <w:basedOn w:val="43"/>
    <w:qFormat/>
    <w:uiPriority w:val="10"/>
    <w:rPr>
      <w:rFonts w:eastAsia="宋体" w:asciiTheme="majorHAnsi" w:hAnsiTheme="majorHAnsi" w:cstheme="majorBidi"/>
      <w:b/>
      <w:bCs/>
      <w:sz w:val="32"/>
      <w:szCs w:val="32"/>
    </w:rPr>
  </w:style>
  <w:style w:type="paragraph" w:customStyle="1" w:styleId="178">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9">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81">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2">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3"/>
    <w:basedOn w:val="1"/>
    <w:qFormat/>
    <w:uiPriority w:val="0"/>
    <w:pPr>
      <w:ind w:firstLine="420" w:firstLineChars="200"/>
    </w:pPr>
    <w:rPr>
      <w:rFonts w:ascii="Times New Roman" w:hAnsi="Times New Roman" w:eastAsia="宋体" w:cs="Times New Roman"/>
      <w:szCs w:val="24"/>
    </w:rPr>
  </w:style>
  <w:style w:type="character" w:customStyle="1" w:styleId="189">
    <w:name w:val="Char Char12"/>
    <w:qFormat/>
    <w:uiPriority w:val="0"/>
    <w:rPr>
      <w:rFonts w:eastAsia="宋体"/>
      <w:kern w:val="2"/>
      <w:sz w:val="18"/>
      <w:szCs w:val="18"/>
      <w:lang w:val="en-US" w:eastAsia="zh-CN" w:bidi="ar-SA"/>
    </w:rPr>
  </w:style>
  <w:style w:type="paragraph" w:customStyle="1" w:styleId="190">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4"/>
    <w:basedOn w:val="1"/>
    <w:qFormat/>
    <w:uiPriority w:val="0"/>
    <w:pPr>
      <w:ind w:firstLine="420" w:firstLineChars="200"/>
    </w:pPr>
    <w:rPr>
      <w:rFonts w:ascii="Times New Roman" w:hAnsi="Times New Roman" w:eastAsia="宋体" w:cs="Times New Roman"/>
      <w:szCs w:val="24"/>
    </w:rPr>
  </w:style>
  <w:style w:type="character" w:customStyle="1" w:styleId="193">
    <w:name w:val="Char Char11"/>
    <w:qFormat/>
    <w:uiPriority w:val="0"/>
    <w:rPr>
      <w:rFonts w:eastAsia="宋体"/>
      <w:kern w:val="2"/>
      <w:sz w:val="18"/>
      <w:szCs w:val="18"/>
      <w:lang w:val="en-US" w:eastAsia="zh-CN" w:bidi="ar-SA"/>
    </w:rPr>
  </w:style>
  <w:style w:type="paragraph" w:customStyle="1" w:styleId="194">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6">
    <w:name w:val="列出段落5"/>
    <w:basedOn w:val="1"/>
    <w:qFormat/>
    <w:uiPriority w:val="0"/>
    <w:pPr>
      <w:ind w:firstLine="420" w:firstLineChars="200"/>
    </w:pPr>
    <w:rPr>
      <w:rFonts w:ascii="Times New Roman" w:hAnsi="Times New Roman" w:eastAsia="宋体" w:cs="Times New Roman"/>
      <w:szCs w:val="24"/>
    </w:rPr>
  </w:style>
  <w:style w:type="character" w:customStyle="1" w:styleId="197">
    <w:name w:val="纯文本 Char"/>
    <w:link w:val="20"/>
    <w:qFormat/>
    <w:uiPriority w:val="99"/>
    <w:rPr>
      <w:rFonts w:ascii="宋体" w:hAnsi="Courier New" w:eastAsia="宋体"/>
      <w:szCs w:val="21"/>
    </w:rPr>
  </w:style>
  <w:style w:type="character" w:customStyle="1" w:styleId="198">
    <w:name w:val="纯文本 Char1"/>
    <w:basedOn w:val="43"/>
    <w:semiHidden/>
    <w:qFormat/>
    <w:uiPriority w:val="99"/>
    <w:rPr>
      <w:rFonts w:ascii="宋体" w:hAnsi="Courier New" w:eastAsia="宋体" w:cs="Courier New"/>
      <w:szCs w:val="21"/>
    </w:rPr>
  </w:style>
  <w:style w:type="paragraph" w:customStyle="1" w:styleId="19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1">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202">
    <w:name w:val="正文缩进2格"/>
    <w:basedOn w:val="1"/>
    <w:link w:val="203"/>
    <w:qFormat/>
    <w:uiPriority w:val="0"/>
    <w:pPr>
      <w:spacing w:line="600" w:lineRule="exact"/>
      <w:ind w:firstLine="639" w:firstLineChars="206"/>
    </w:pPr>
    <w:rPr>
      <w:rFonts w:ascii="仿宋_GB2312" w:hAnsi="宋体" w:eastAsia="仿宋_GB2312" w:cs="Times New Roman"/>
      <w:sz w:val="31"/>
      <w:szCs w:val="28"/>
    </w:rPr>
  </w:style>
  <w:style w:type="character" w:customStyle="1" w:styleId="203">
    <w:name w:val="正文缩进2格 Char"/>
    <w:link w:val="202"/>
    <w:qFormat/>
    <w:uiPriority w:val="0"/>
    <w:rPr>
      <w:rFonts w:ascii="仿宋_GB2312" w:hAnsi="宋体" w:eastAsia="仿宋_GB2312" w:cs="Times New Roman"/>
      <w:sz w:val="31"/>
      <w:szCs w:val="28"/>
    </w:rPr>
  </w:style>
  <w:style w:type="paragraph" w:customStyle="1" w:styleId="204">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205">
    <w:name w:val="List Paragraph"/>
    <w:basedOn w:val="1"/>
    <w:qFormat/>
    <w:uiPriority w:val="34"/>
    <w:pPr>
      <w:ind w:firstLine="420" w:firstLineChars="200"/>
    </w:pPr>
  </w:style>
  <w:style w:type="paragraph" w:customStyle="1" w:styleId="206">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7">
    <w:name w:val="正文首行缩进 Char"/>
    <w:basedOn w:val="137"/>
    <w:link w:val="40"/>
    <w:qFormat/>
    <w:uiPriority w:val="99"/>
    <w:rPr>
      <w:rFonts w:asciiTheme="minorHAnsi" w:hAnsiTheme="minorHAnsi" w:eastAsiaTheme="minorEastAsia" w:cstheme="minorBidi"/>
      <w:kern w:val="2"/>
      <w:sz w:val="21"/>
      <w:szCs w:val="22"/>
    </w:rPr>
  </w:style>
  <w:style w:type="paragraph" w:customStyle="1" w:styleId="208">
    <w:name w:val="Table Paragraph"/>
    <w:basedOn w:val="1"/>
    <w:qFormat/>
    <w:uiPriority w:val="1"/>
    <w:pPr>
      <w:autoSpaceDE w:val="0"/>
      <w:autoSpaceDN w:val="0"/>
      <w:jc w:val="left"/>
    </w:pPr>
    <w:rPr>
      <w:rFonts w:ascii="宋体" w:hAnsi="宋体" w:eastAsia="宋体" w:cs="宋体"/>
      <w:kern w:val="0"/>
      <w:sz w:val="22"/>
    </w:rPr>
  </w:style>
  <w:style w:type="paragraph" w:customStyle="1" w:styleId="209">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10">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11">
    <w:name w:val="正文首行缩进 2 Char"/>
    <w:basedOn w:val="68"/>
    <w:link w:val="17"/>
    <w:semiHidden/>
    <w:qFormat/>
    <w:uiPriority w:val="99"/>
    <w:rPr>
      <w:rFonts w:ascii="??" w:hAnsi="??" w:eastAsia="宋体" w:cs="Arial"/>
      <w:kern w:val="2"/>
      <w:sz w:val="21"/>
      <w:szCs w:val="22"/>
    </w:rPr>
  </w:style>
  <w:style w:type="paragraph" w:customStyle="1" w:styleId="212">
    <w:name w:val="Normal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213">
    <w:name w:val="bookmark-item"/>
    <w:qFormat/>
    <w:uiPriority w:val="0"/>
  </w:style>
  <w:style w:type="paragraph" w:customStyle="1" w:styleId="214">
    <w:name w:val="报告正文"/>
    <w:basedOn w:val="1"/>
    <w:qFormat/>
    <w:uiPriority w:val="0"/>
    <w:pPr>
      <w:adjustRightInd w:val="0"/>
      <w:spacing w:line="360" w:lineRule="auto"/>
      <w:ind w:firstLine="200" w:firstLineChars="200"/>
    </w:pPr>
    <w:rPr>
      <w:rFonts w:ascii="宋体" w:hAnsi="宋体" w:eastAsia="宋体" w:cs="宋体"/>
      <w:kern w:val="0"/>
      <w:sz w:val="24"/>
      <w:szCs w:val="24"/>
    </w:rPr>
  </w:style>
  <w:style w:type="paragraph" w:customStyle="1" w:styleId="215">
    <w:name w:val="表格文字2"/>
    <w:basedOn w:val="1"/>
    <w:qFormat/>
    <w:uiPriority w:val="0"/>
    <w:pPr>
      <w:widowControl/>
      <w:spacing w:before="25" w:after="25"/>
      <w:jc w:val="left"/>
    </w:pPr>
    <w:rPr>
      <w:rFonts w:ascii="Times New Roman" w:hAnsi="Times New Roman" w:eastAsia="宋体" w:cs="Times New Roman"/>
      <w:bCs/>
      <w:spacing w:val="10"/>
      <w:kern w:val="0"/>
      <w:szCs w:val="21"/>
    </w:rPr>
  </w:style>
  <w:style w:type="paragraph" w:customStyle="1" w:styleId="216">
    <w:name w:val="BodyText1I"/>
    <w:basedOn w:val="217"/>
    <w:qFormat/>
    <w:uiPriority w:val="0"/>
    <w:pPr>
      <w:spacing w:line="360" w:lineRule="auto"/>
    </w:pPr>
    <w:rPr>
      <w:rFonts w:ascii="仿宋_GB2312" w:hAnsi="Times New Roman" w:eastAsia="仿宋_GB2312"/>
      <w:sz w:val="30"/>
      <w:szCs w:val="30"/>
    </w:rPr>
  </w:style>
  <w:style w:type="paragraph" w:customStyle="1" w:styleId="217">
    <w:name w:val="BodyText"/>
    <w:basedOn w:val="1"/>
    <w:next w:val="218"/>
    <w:qFormat/>
    <w:uiPriority w:val="0"/>
    <w:pPr>
      <w:widowControl/>
      <w:spacing w:before="156"/>
      <w:ind w:firstLine="200" w:firstLineChars="200"/>
      <w:textAlignment w:val="baseline"/>
    </w:pPr>
    <w:rPr>
      <w:rFonts w:ascii="楷体_GB2312" w:hAnsi="Arial" w:eastAsia="楷体_GB2312"/>
      <w:sz w:val="28"/>
      <w:szCs w:val="28"/>
    </w:rPr>
  </w:style>
  <w:style w:type="paragraph" w:customStyle="1" w:styleId="218">
    <w:name w:val="180"/>
    <w:basedOn w:val="1"/>
    <w:next w:val="1"/>
    <w:qFormat/>
    <w:uiPriority w:val="0"/>
    <w:pPr>
      <w:spacing w:after="160" w:line="259" w:lineRule="auto"/>
      <w:textAlignment w:val="baseline"/>
    </w:pPr>
    <w:rPr>
      <w:rFonts w:ascii="Calibri" w:hAnsi="Calibri" w:eastAsia="宋体"/>
      <w:i/>
      <w:iCs/>
      <w:color w:val="000000"/>
      <w:szCs w:val="24"/>
    </w:rPr>
  </w:style>
  <w:style w:type="character" w:customStyle="1" w:styleId="219">
    <w:name w:val="15"/>
    <w:qFormat/>
    <w:uiPriority w:val="0"/>
    <w:rPr>
      <w:rFonts w:hint="default" w:ascii="Times New Roman" w:hAnsi="Times New Roman" w:cs="Times New Roman"/>
      <w:kern w:val="2"/>
      <w:sz w:val="24"/>
      <w:szCs w:val="24"/>
    </w:rPr>
  </w:style>
  <w:style w:type="paragraph" w:customStyle="1" w:styleId="220">
    <w:name w:val="列表段落1"/>
    <w:basedOn w:val="1"/>
    <w:qFormat/>
    <w:uiPriority w:val="34"/>
    <w:pPr>
      <w:widowControl/>
      <w:ind w:firstLine="420"/>
    </w:pPr>
  </w:style>
  <w:style w:type="character" w:customStyle="1" w:styleId="221">
    <w:name w:val="font51"/>
    <w:basedOn w:val="43"/>
    <w:qFormat/>
    <w:uiPriority w:val="0"/>
    <w:rPr>
      <w:rFonts w:hint="default" w:ascii="Wingdings 2" w:hAnsi="Wingdings 2" w:eastAsia="Wingdings 2" w:cs="Wingdings 2"/>
      <w:color w:val="000000"/>
      <w:sz w:val="20"/>
      <w:szCs w:val="20"/>
      <w:u w:val="none"/>
    </w:rPr>
  </w:style>
  <w:style w:type="character" w:customStyle="1" w:styleId="222">
    <w:name w:val="font31"/>
    <w:basedOn w:val="43"/>
    <w:qFormat/>
    <w:uiPriority w:val="0"/>
    <w:rPr>
      <w:rFonts w:hint="default" w:ascii="Times New Roman" w:hAnsi="Times New Roman" w:cs="Times New Roman"/>
      <w:color w:val="000000"/>
      <w:sz w:val="20"/>
      <w:szCs w:val="20"/>
      <w:u w:val="none"/>
    </w:rPr>
  </w:style>
  <w:style w:type="paragraph" w:customStyle="1" w:styleId="223">
    <w:name w:val="正文缩进1"/>
    <w:basedOn w:val="1"/>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224">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25">
    <w:name w:val="纯文本1"/>
    <w:basedOn w:val="1"/>
    <w:qFormat/>
    <w:uiPriority w:val="0"/>
    <w:rPr>
      <w:rFonts w:ascii="宋体" w:hAnsi="Courier New" w:eastAsia="宋体" w:cs="Times New Roman"/>
      <w:kern w:val="0"/>
      <w:sz w:val="20"/>
      <w:szCs w:val="20"/>
    </w:rPr>
  </w:style>
  <w:style w:type="paragraph" w:customStyle="1" w:styleId="226">
    <w:name w:val="标题 5（有编号）（绿盟科技）"/>
    <w:basedOn w:val="1"/>
    <w:next w:val="227"/>
    <w:qFormat/>
    <w:uiPriority w:val="0"/>
    <w:pPr>
      <w:keepNext/>
      <w:keepLines/>
      <w:numPr>
        <w:ilvl w:val="4"/>
        <w:numId w:val="2"/>
      </w:numPr>
      <w:spacing w:before="280" w:after="156" w:line="377" w:lineRule="auto"/>
      <w:jc w:val="left"/>
      <w:outlineLvl w:val="4"/>
    </w:pPr>
    <w:rPr>
      <w:rFonts w:ascii="Arial" w:hAnsi="Arial" w:eastAsia="黑体"/>
      <w:b/>
      <w:szCs w:val="28"/>
    </w:rPr>
  </w:style>
  <w:style w:type="paragraph" w:customStyle="1" w:styleId="227">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28">
    <w:name w:val="7）页眉页脚"/>
    <w:qFormat/>
    <w:uiPriority w:val="0"/>
    <w:rPr>
      <w:rFonts w:ascii="仿宋_GB2312" w:eastAsia="仿宋_GB2312"/>
      <w:b/>
      <w:i/>
      <w:sz w:val="18"/>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A6118-2AA1-4E08-8DFC-4054DA4CCE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80</Pages>
  <Words>11117</Words>
  <Characters>12309</Characters>
  <Lines>493</Lines>
  <Paragraphs>139</Paragraphs>
  <TotalTime>33</TotalTime>
  <ScaleCrop>false</ScaleCrop>
  <LinksUpToDate>false</LinksUpToDate>
  <CharactersWithSpaces>12450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2024-04-29T13:58:00Z</dcterms:created>
  <dc:creator>Administrator</dc:creator>
  <cp:lastModifiedBy>.</cp:lastModifiedBy>
  <cp:lastPrinted>2022-04-09T04:00:00Z</cp:lastPrinted>
  <dcterms:modified xsi:type="dcterms:W3CDTF">2025-07-03T03:26:11Z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E99BE768053F41F796DE5E7E984AF68B_13</vt:lpwstr>
  </property>
  <property fmtid="{D5CDD505-2E9C-101B-9397-08002B2CF9AE}" pid="4" name="KSOTemplateDocerSaveRecord">
    <vt:lpwstr>eyJoZGlkIjoiYTc1ZjQzYmZjYjBmNzhjODBmYjcyNTkxNGRiYThkODAiLCJ1c2VySWQiOiI1NzcxNzM2NTMifQ==</vt:lpwstr>
  </property>
</Properties>
</file>