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C4242">
      <w:pPr>
        <w:pStyle w:val="12"/>
        <w:jc w:val="left"/>
        <w:rPr>
          <w:rFonts w:hint="eastAsia" w:ascii="仿宋" w:hAnsi="仿宋" w:eastAsia="仿宋" w:cs="仿宋"/>
          <w:b/>
          <w:bCs/>
          <w:color w:val="auto"/>
          <w:sz w:val="48"/>
          <w:szCs w:val="48"/>
          <w:highlight w:val="none"/>
        </w:rPr>
      </w:pPr>
      <w:r>
        <w:rPr>
          <w:rFonts w:hint="eastAsia" w:ascii="仿宋" w:hAnsi="仿宋" w:eastAsia="仿宋" w:cs="仿宋"/>
          <w:b/>
          <w:color w:val="auto"/>
          <w:sz w:val="48"/>
          <w:szCs w:val="48"/>
          <w:highlight w:val="none"/>
        </w:rPr>
        <w:drawing>
          <wp:inline distT="0" distB="0" distL="0" distR="0">
            <wp:extent cx="1285875" cy="1195705"/>
            <wp:effectExtent l="0" t="0" r="9525" b="2540"/>
            <wp:docPr id="4" name="图片 4" descr="说明: 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公司标志"/>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85875" cy="1195705"/>
                    </a:xfrm>
                    <a:prstGeom prst="rect">
                      <a:avLst/>
                    </a:prstGeom>
                    <a:noFill/>
                    <a:ln>
                      <a:noFill/>
                    </a:ln>
                  </pic:spPr>
                </pic:pic>
              </a:graphicData>
            </a:graphic>
          </wp:inline>
        </w:drawing>
      </w:r>
      <w:r>
        <w:rPr>
          <w:rFonts w:hint="eastAsia" w:ascii="仿宋" w:hAnsi="仿宋" w:eastAsia="仿宋" w:cs="仿宋"/>
          <w:b/>
          <w:color w:val="auto"/>
          <w:sz w:val="48"/>
          <w:szCs w:val="48"/>
          <w:highlight w:val="none"/>
        </w:rPr>
        <w:t xml:space="preserve">  </w:t>
      </w:r>
    </w:p>
    <w:p w14:paraId="74BB0A15">
      <w:pPr>
        <w:pStyle w:val="12"/>
        <w:jc w:val="center"/>
        <w:rPr>
          <w:rFonts w:hint="eastAsia" w:ascii="仿宋" w:hAnsi="仿宋" w:eastAsia="仿宋" w:cs="仿宋"/>
          <w:b/>
          <w:bCs/>
          <w:color w:val="auto"/>
          <w:sz w:val="48"/>
          <w:szCs w:val="48"/>
          <w:highlight w:val="none"/>
        </w:rPr>
      </w:pPr>
    </w:p>
    <w:p w14:paraId="1E487FCF">
      <w:pPr>
        <w:jc w:val="center"/>
        <w:rPr>
          <w:rFonts w:hint="eastAsia" w:ascii="仿宋" w:hAnsi="仿宋" w:eastAsia="仿宋" w:cs="仿宋"/>
          <w:color w:val="auto"/>
          <w:highlight w:val="none"/>
          <w:lang w:eastAsia="zh-CN"/>
        </w:rPr>
      </w:pPr>
      <w:r>
        <w:rPr>
          <w:rFonts w:hint="eastAsia" w:ascii="仿宋" w:hAnsi="仿宋" w:eastAsia="仿宋" w:cs="仿宋"/>
          <w:b/>
          <w:bCs/>
          <w:color w:val="auto"/>
          <w:sz w:val="48"/>
          <w:szCs w:val="48"/>
          <w:highlight w:val="none"/>
          <w:lang w:eastAsia="zh-CN"/>
        </w:rPr>
        <w:t>新疆维吾尔自治区地质局昌吉地质大队机械租赁服务项目（槽探开挖及回填、道路平整及维护）</w:t>
      </w:r>
    </w:p>
    <w:p w14:paraId="739B3005">
      <w:pPr>
        <w:pStyle w:val="12"/>
        <w:rPr>
          <w:rFonts w:hint="eastAsia" w:ascii="仿宋" w:hAnsi="仿宋" w:eastAsia="仿宋" w:cs="仿宋"/>
          <w:color w:val="auto"/>
          <w:highlight w:val="none"/>
        </w:rPr>
      </w:pPr>
    </w:p>
    <w:p w14:paraId="19DE3385">
      <w:pPr>
        <w:rPr>
          <w:rFonts w:hint="eastAsia" w:ascii="仿宋" w:hAnsi="仿宋" w:eastAsia="仿宋" w:cs="仿宋"/>
          <w:color w:val="auto"/>
          <w:highlight w:val="none"/>
        </w:rPr>
      </w:pPr>
    </w:p>
    <w:p w14:paraId="4948C886">
      <w:pPr>
        <w:rPr>
          <w:rFonts w:hint="eastAsia" w:ascii="仿宋" w:hAnsi="仿宋" w:eastAsia="仿宋" w:cs="仿宋"/>
          <w:color w:val="auto"/>
          <w:highlight w:val="none"/>
        </w:rPr>
      </w:pPr>
    </w:p>
    <w:p w14:paraId="0E1FCCD6">
      <w:pPr>
        <w:pStyle w:val="12"/>
        <w:rPr>
          <w:rFonts w:hint="eastAsia" w:ascii="仿宋" w:hAnsi="仿宋" w:eastAsia="仿宋" w:cs="仿宋"/>
          <w:color w:val="auto"/>
          <w:highlight w:val="none"/>
        </w:rPr>
      </w:pPr>
    </w:p>
    <w:p w14:paraId="6BC5586D">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 标 文 件</w:t>
      </w:r>
    </w:p>
    <w:p w14:paraId="496B24D6">
      <w:pPr>
        <w:adjustRightInd w:val="0"/>
        <w:snapToGrid w:val="0"/>
        <w:spacing w:line="360" w:lineRule="auto"/>
        <w:jc w:val="center"/>
        <w:rPr>
          <w:rFonts w:hint="eastAsia" w:ascii="仿宋" w:hAnsi="仿宋" w:eastAsia="仿宋" w:cs="仿宋"/>
          <w:b/>
          <w:color w:val="auto"/>
          <w:sz w:val="28"/>
          <w:szCs w:val="18"/>
          <w:highlight w:val="none"/>
        </w:rPr>
      </w:pPr>
      <w:r>
        <w:rPr>
          <w:rFonts w:hint="eastAsia" w:ascii="仿宋" w:hAnsi="仿宋" w:eastAsia="仿宋" w:cs="仿宋"/>
          <w:b/>
          <w:color w:val="auto"/>
          <w:sz w:val="28"/>
          <w:szCs w:val="18"/>
          <w:highlight w:val="none"/>
        </w:rPr>
        <w:t>（项目编号：</w:t>
      </w:r>
      <w:r>
        <w:rPr>
          <w:rFonts w:hint="eastAsia" w:ascii="仿宋" w:hAnsi="仿宋" w:eastAsia="仿宋" w:cs="仿宋"/>
          <w:b/>
          <w:color w:val="auto"/>
          <w:sz w:val="28"/>
          <w:szCs w:val="18"/>
          <w:highlight w:val="none"/>
          <w:lang w:eastAsia="zh-CN"/>
        </w:rPr>
        <w:t>xsj-20250606</w:t>
      </w:r>
      <w:r>
        <w:rPr>
          <w:rFonts w:hint="eastAsia" w:ascii="仿宋" w:hAnsi="仿宋" w:eastAsia="仿宋" w:cs="仿宋"/>
          <w:b/>
          <w:color w:val="auto"/>
          <w:sz w:val="28"/>
          <w:szCs w:val="18"/>
          <w:highlight w:val="none"/>
        </w:rPr>
        <w:t>）</w:t>
      </w:r>
    </w:p>
    <w:p w14:paraId="430C25DB">
      <w:pPr>
        <w:adjustRightInd w:val="0"/>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 xml:space="preserve">     </w:t>
      </w:r>
    </w:p>
    <w:p w14:paraId="7BF5F135">
      <w:pPr>
        <w:pStyle w:val="12"/>
        <w:rPr>
          <w:rFonts w:hint="eastAsia" w:ascii="仿宋" w:hAnsi="仿宋" w:eastAsia="仿宋" w:cs="仿宋"/>
          <w:color w:val="auto"/>
          <w:highlight w:val="none"/>
        </w:rPr>
      </w:pPr>
    </w:p>
    <w:p w14:paraId="2DC0825C">
      <w:pPr>
        <w:ind w:firstLine="420"/>
        <w:rPr>
          <w:rFonts w:hint="eastAsia" w:ascii="仿宋" w:hAnsi="仿宋" w:eastAsia="仿宋" w:cs="仿宋"/>
          <w:color w:val="auto"/>
          <w:sz w:val="28"/>
          <w:szCs w:val="28"/>
          <w:highlight w:val="none"/>
        </w:rPr>
      </w:pPr>
    </w:p>
    <w:tbl>
      <w:tblPr>
        <w:tblStyle w:val="42"/>
        <w:tblpPr w:leftFromText="180" w:rightFromText="180" w:vertAnchor="text" w:horzAnchor="margin" w:tblpY="400"/>
        <w:tblW w:w="9399" w:type="dxa"/>
        <w:tblInd w:w="0" w:type="dxa"/>
        <w:tblLayout w:type="fixed"/>
        <w:tblCellMar>
          <w:top w:w="0" w:type="dxa"/>
          <w:left w:w="108" w:type="dxa"/>
          <w:bottom w:w="0" w:type="dxa"/>
          <w:right w:w="108" w:type="dxa"/>
        </w:tblCellMar>
      </w:tblPr>
      <w:tblGrid>
        <w:gridCol w:w="1756"/>
        <w:gridCol w:w="7643"/>
      </w:tblGrid>
      <w:tr w14:paraId="60DED848">
        <w:tblPrEx>
          <w:tblCellMar>
            <w:top w:w="0" w:type="dxa"/>
            <w:left w:w="108" w:type="dxa"/>
            <w:bottom w:w="0" w:type="dxa"/>
            <w:right w:w="108" w:type="dxa"/>
          </w:tblCellMar>
        </w:tblPrEx>
        <w:trPr>
          <w:trHeight w:val="1459" w:hRule="atLeast"/>
        </w:trPr>
        <w:tc>
          <w:tcPr>
            <w:tcW w:w="1756" w:type="dxa"/>
            <w:vAlign w:val="center"/>
          </w:tcPr>
          <w:p w14:paraId="7AC67508">
            <w:pPr>
              <w:tabs>
                <w:tab w:val="left" w:pos="8504"/>
              </w:tabs>
              <w:spacing w:line="360" w:lineRule="auto"/>
              <w:rPr>
                <w:rFonts w:hint="eastAsia" w:ascii="仿宋" w:hAnsi="仿宋" w:eastAsia="仿宋" w:cs="仿宋"/>
                <w:b/>
                <w:color w:val="auto"/>
                <w:spacing w:val="14"/>
                <w:sz w:val="28"/>
                <w:szCs w:val="28"/>
                <w:highlight w:val="none"/>
              </w:rPr>
            </w:pPr>
            <w:r>
              <w:rPr>
                <w:rFonts w:hint="eastAsia" w:ascii="仿宋" w:hAnsi="仿宋" w:eastAsia="仿宋" w:cs="仿宋"/>
                <w:b/>
                <w:color w:val="auto"/>
                <w:spacing w:val="14"/>
                <w:sz w:val="28"/>
                <w:szCs w:val="28"/>
                <w:highlight w:val="none"/>
              </w:rPr>
              <w:t>采 购 人：</w:t>
            </w:r>
          </w:p>
          <w:p w14:paraId="2B9205AF">
            <w:pPr>
              <w:tabs>
                <w:tab w:val="left" w:pos="8504"/>
              </w:tabs>
              <w:spacing w:line="360" w:lineRule="auto"/>
              <w:rPr>
                <w:rFonts w:hint="eastAsia" w:ascii="仿宋" w:hAnsi="仿宋" w:eastAsia="仿宋" w:cs="仿宋"/>
                <w:b/>
                <w:color w:val="auto"/>
                <w:spacing w:val="14"/>
                <w:sz w:val="28"/>
                <w:szCs w:val="28"/>
                <w:highlight w:val="none"/>
              </w:rPr>
            </w:pPr>
            <w:r>
              <w:rPr>
                <w:rFonts w:hint="eastAsia" w:ascii="仿宋" w:hAnsi="仿宋" w:eastAsia="仿宋" w:cs="仿宋"/>
                <w:b/>
                <w:color w:val="auto"/>
                <w:spacing w:val="14"/>
                <w:sz w:val="28"/>
                <w:szCs w:val="28"/>
                <w:highlight w:val="none"/>
              </w:rPr>
              <w:t>采购代理：</w:t>
            </w:r>
          </w:p>
        </w:tc>
        <w:tc>
          <w:tcPr>
            <w:tcW w:w="7643" w:type="dxa"/>
            <w:vAlign w:val="center"/>
          </w:tcPr>
          <w:p w14:paraId="509307CB">
            <w:pPr>
              <w:tabs>
                <w:tab w:val="left" w:pos="8504"/>
              </w:tabs>
              <w:spacing w:line="360" w:lineRule="auto"/>
              <w:rPr>
                <w:rFonts w:hint="eastAsia" w:ascii="仿宋" w:hAnsi="仿宋" w:eastAsia="仿宋" w:cs="仿宋"/>
                <w:b/>
                <w:color w:val="auto"/>
                <w:spacing w:val="14"/>
                <w:sz w:val="28"/>
                <w:szCs w:val="28"/>
                <w:highlight w:val="none"/>
                <w:lang w:eastAsia="zh-CN"/>
              </w:rPr>
            </w:pPr>
            <w:r>
              <w:rPr>
                <w:rFonts w:hint="eastAsia" w:ascii="仿宋" w:hAnsi="仿宋" w:eastAsia="仿宋" w:cs="仿宋"/>
                <w:b/>
                <w:color w:val="auto"/>
                <w:spacing w:val="14"/>
                <w:sz w:val="28"/>
                <w:szCs w:val="28"/>
                <w:highlight w:val="none"/>
                <w:lang w:eastAsia="zh-CN"/>
              </w:rPr>
              <w:t>新疆维吾尔自治区地质局昌吉地质大队</w:t>
            </w:r>
          </w:p>
          <w:p w14:paraId="11BDC5EA">
            <w:pPr>
              <w:tabs>
                <w:tab w:val="left" w:pos="8504"/>
              </w:tabs>
              <w:spacing w:line="360" w:lineRule="auto"/>
              <w:rPr>
                <w:rFonts w:hint="eastAsia" w:ascii="仿宋" w:hAnsi="仿宋" w:eastAsia="仿宋" w:cs="仿宋"/>
                <w:color w:val="auto"/>
                <w:highlight w:val="none"/>
              </w:rPr>
            </w:pPr>
            <w:r>
              <w:rPr>
                <w:rFonts w:hint="eastAsia" w:ascii="仿宋" w:hAnsi="仿宋" w:eastAsia="仿宋" w:cs="仿宋"/>
                <w:b/>
                <w:color w:val="auto"/>
                <w:spacing w:val="14"/>
                <w:sz w:val="28"/>
                <w:szCs w:val="28"/>
                <w:highlight w:val="none"/>
              </w:rPr>
              <w:t>新疆新世纪招标有限公司</w:t>
            </w:r>
          </w:p>
        </w:tc>
      </w:tr>
    </w:tbl>
    <w:p w14:paraId="5119DED0">
      <w:pPr>
        <w:spacing w:line="360" w:lineRule="atLeast"/>
        <w:ind w:firstLine="3514" w:firstLineChars="1250"/>
        <w:rPr>
          <w:rFonts w:hint="eastAsia" w:ascii="仿宋" w:hAnsi="仿宋" w:eastAsia="仿宋" w:cs="仿宋"/>
          <w:b/>
          <w:color w:val="auto"/>
          <w:sz w:val="28"/>
          <w:szCs w:val="28"/>
          <w:highlight w:val="none"/>
        </w:rPr>
      </w:pPr>
    </w:p>
    <w:p w14:paraId="6684C207">
      <w:pPr>
        <w:spacing w:line="360" w:lineRule="atLeast"/>
        <w:ind w:firstLine="3514" w:firstLineChars="1250"/>
        <w:rPr>
          <w:rFonts w:hint="eastAsia" w:ascii="仿宋" w:hAnsi="仿宋" w:eastAsia="仿宋" w:cs="仿宋"/>
          <w:b/>
          <w:color w:val="auto"/>
          <w:sz w:val="28"/>
          <w:szCs w:val="28"/>
          <w:highlight w:val="none"/>
        </w:rPr>
      </w:pPr>
    </w:p>
    <w:p w14:paraId="584BCD31">
      <w:pPr>
        <w:spacing w:line="360" w:lineRule="atLeast"/>
        <w:ind w:firstLine="3514" w:firstLineChars="1250"/>
        <w:rPr>
          <w:rFonts w:hint="eastAsia" w:ascii="仿宋" w:hAnsi="仿宋" w:eastAsia="仿宋" w:cs="仿宋"/>
          <w:color w:val="auto"/>
          <w:sz w:val="48"/>
          <w:szCs w:val="48"/>
          <w:highlight w:val="none"/>
        </w:rPr>
      </w:pPr>
      <w:r>
        <w:rPr>
          <w:rFonts w:hint="eastAsia" w:ascii="仿宋" w:hAnsi="仿宋" w:eastAsia="仿宋" w:cs="仿宋"/>
          <w:b/>
          <w:color w:val="auto"/>
          <w:sz w:val="28"/>
          <w:szCs w:val="28"/>
          <w:highlight w:val="none"/>
        </w:rPr>
        <w:t>二〇二</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月</w:t>
      </w:r>
    </w:p>
    <w:p w14:paraId="68DC9547">
      <w:pPr>
        <w:adjustRightInd w:val="0"/>
        <w:snapToGrid w:val="0"/>
        <w:spacing w:line="480" w:lineRule="exact"/>
        <w:rPr>
          <w:rFonts w:hint="eastAsia" w:ascii="仿宋" w:hAnsi="仿宋" w:eastAsia="仿宋" w:cs="仿宋"/>
          <w:bCs/>
          <w:color w:val="auto"/>
          <w:sz w:val="32"/>
          <w:szCs w:val="32"/>
          <w:highlight w:val="none"/>
        </w:rPr>
      </w:pPr>
    </w:p>
    <w:p w14:paraId="258C071D">
      <w:pPr>
        <w:widowControl/>
        <w:jc w:val="left"/>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br w:type="page"/>
      </w:r>
    </w:p>
    <w:p w14:paraId="7F985402">
      <w:pPr>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目录</w:t>
      </w:r>
    </w:p>
    <w:p w14:paraId="42DA609D">
      <w:pPr>
        <w:pStyle w:val="26"/>
        <w:tabs>
          <w:tab w:val="right" w:leader="dot" w:pos="9354"/>
        </w:tabs>
        <w:rPr>
          <w:rStyle w:val="52"/>
          <w:rFonts w:hint="eastAsia" w:ascii="仿宋" w:hAnsi="仿宋" w:eastAsia="宋体" w:cs="仿宋"/>
          <w:b/>
          <w:color w:val="auto"/>
          <w:sz w:val="24"/>
          <w:highlight w:val="none"/>
          <w:lang w:eastAsia="zh-CN"/>
        </w:rPr>
      </w:pPr>
      <w:r>
        <w:rPr>
          <w:rFonts w:hint="eastAsia" w:ascii="仿宋" w:hAnsi="仿宋" w:eastAsia="仿宋" w:cs="仿宋"/>
          <w:color w:val="auto"/>
          <w:szCs w:val="28"/>
          <w:highlight w:val="none"/>
        </w:rPr>
        <w:t>公开招标公告</w:t>
      </w:r>
      <w:r>
        <w:rPr>
          <w:color w:val="auto"/>
          <w:highlight w:val="none"/>
        </w:rPr>
        <w:tab/>
      </w:r>
      <w:r>
        <w:rPr>
          <w:rFonts w:hint="eastAsia"/>
          <w:color w:val="auto"/>
          <w:highlight w:val="none"/>
          <w:lang w:val="en-US" w:eastAsia="zh-CN"/>
        </w:rPr>
        <w:t>1</w:t>
      </w:r>
    </w:p>
    <w:p w14:paraId="6C90A4B1">
      <w:pPr>
        <w:pStyle w:val="26"/>
        <w:tabs>
          <w:tab w:val="right" w:leader="dot" w:pos="9354"/>
        </w:tabs>
        <w:rPr>
          <w:color w:val="auto"/>
          <w:highlight w:val="none"/>
        </w:rPr>
      </w:pPr>
      <w:r>
        <w:rPr>
          <w:rStyle w:val="52"/>
          <w:rFonts w:hint="eastAsia" w:ascii="仿宋" w:hAnsi="仿宋" w:eastAsia="仿宋" w:cs="仿宋"/>
          <w:b/>
          <w:color w:val="auto"/>
          <w:sz w:val="24"/>
          <w:highlight w:val="none"/>
        </w:rPr>
        <w:fldChar w:fldCharType="begin"/>
      </w:r>
      <w:r>
        <w:rPr>
          <w:rStyle w:val="52"/>
          <w:rFonts w:hint="eastAsia" w:ascii="仿宋" w:hAnsi="仿宋" w:eastAsia="仿宋" w:cs="仿宋"/>
          <w:b/>
          <w:color w:val="auto"/>
          <w:sz w:val="24"/>
          <w:highlight w:val="none"/>
        </w:rPr>
        <w:instrText xml:space="preserve">TOC \o "1-3" \h \u </w:instrText>
      </w:r>
      <w:r>
        <w:rPr>
          <w:rStyle w:val="52"/>
          <w:rFonts w:hint="eastAsia" w:ascii="仿宋" w:hAnsi="仿宋" w:eastAsia="仿宋" w:cs="仿宋"/>
          <w:b/>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_Toc16640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_Toc16640 \h </w:instrText>
      </w:r>
      <w:r>
        <w:rPr>
          <w:color w:val="auto"/>
          <w:highlight w:val="none"/>
        </w:rPr>
        <w:fldChar w:fldCharType="separate"/>
      </w:r>
      <w:r>
        <w:rPr>
          <w:color w:val="auto"/>
          <w:highlight w:val="none"/>
        </w:rPr>
        <w:t>4</w:t>
      </w:r>
      <w:r>
        <w:rPr>
          <w:color w:val="auto"/>
          <w:highlight w:val="none"/>
        </w:rPr>
        <w:fldChar w:fldCharType="end"/>
      </w:r>
      <w:r>
        <w:rPr>
          <w:rFonts w:hint="eastAsia" w:ascii="仿宋" w:hAnsi="仿宋" w:eastAsia="仿宋" w:cs="仿宋"/>
          <w:color w:val="auto"/>
          <w:highlight w:val="none"/>
        </w:rPr>
        <w:fldChar w:fldCharType="end"/>
      </w:r>
    </w:p>
    <w:p w14:paraId="0A741573">
      <w:pPr>
        <w:pStyle w:val="26"/>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_Toc13492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_Toc13492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highlight w:val="none"/>
        </w:rPr>
        <w:fldChar w:fldCharType="end"/>
      </w:r>
    </w:p>
    <w:p w14:paraId="1C2E9257">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_Toc4941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1．总则</w:t>
      </w:r>
      <w:r>
        <w:rPr>
          <w:color w:val="auto"/>
          <w:highlight w:val="none"/>
        </w:rPr>
        <w:tab/>
      </w:r>
      <w:r>
        <w:rPr>
          <w:color w:val="auto"/>
          <w:highlight w:val="none"/>
        </w:rPr>
        <w:fldChar w:fldCharType="begin"/>
      </w:r>
      <w:r>
        <w:rPr>
          <w:color w:val="auto"/>
          <w:highlight w:val="none"/>
        </w:rPr>
        <w:instrText xml:space="preserve"> PAGEREF _Toc4941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highlight w:val="none"/>
        </w:rPr>
        <w:fldChar w:fldCharType="end"/>
      </w:r>
    </w:p>
    <w:p w14:paraId="61E35F8E">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_Toc20119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2．招标文件</w:t>
      </w:r>
      <w:r>
        <w:rPr>
          <w:color w:val="auto"/>
          <w:highlight w:val="none"/>
        </w:rPr>
        <w:tab/>
      </w:r>
      <w:r>
        <w:rPr>
          <w:color w:val="auto"/>
          <w:highlight w:val="none"/>
        </w:rPr>
        <w:fldChar w:fldCharType="begin"/>
      </w:r>
      <w:r>
        <w:rPr>
          <w:color w:val="auto"/>
          <w:highlight w:val="none"/>
        </w:rPr>
        <w:instrText xml:space="preserve"> PAGEREF _Toc20119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6D4428E1">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_Toc19174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3．投标文件</w:t>
      </w:r>
      <w:r>
        <w:rPr>
          <w:color w:val="auto"/>
          <w:highlight w:val="none"/>
        </w:rPr>
        <w:tab/>
      </w:r>
      <w:r>
        <w:rPr>
          <w:color w:val="auto"/>
          <w:highlight w:val="none"/>
        </w:rPr>
        <w:fldChar w:fldCharType="begin"/>
      </w:r>
      <w:r>
        <w:rPr>
          <w:color w:val="auto"/>
          <w:highlight w:val="none"/>
        </w:rPr>
        <w:instrText xml:space="preserve"> PAGEREF _Toc19174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61B34922">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_Toc28962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4．投标</w:t>
      </w:r>
      <w:r>
        <w:rPr>
          <w:color w:val="auto"/>
          <w:highlight w:val="none"/>
        </w:rPr>
        <w:tab/>
      </w:r>
      <w:r>
        <w:rPr>
          <w:color w:val="auto"/>
          <w:highlight w:val="none"/>
        </w:rPr>
        <w:fldChar w:fldCharType="begin"/>
      </w:r>
      <w:r>
        <w:rPr>
          <w:color w:val="auto"/>
          <w:highlight w:val="none"/>
        </w:rPr>
        <w:instrText xml:space="preserve"> PAGEREF _Toc28962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color w:val="auto"/>
          <w:highlight w:val="none"/>
        </w:rPr>
        <w:fldChar w:fldCharType="end"/>
      </w:r>
    </w:p>
    <w:p w14:paraId="22DA5585">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_Toc31720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5．开标</w:t>
      </w:r>
      <w:r>
        <w:rPr>
          <w:color w:val="auto"/>
          <w:highlight w:val="none"/>
        </w:rPr>
        <w:tab/>
      </w:r>
      <w:r>
        <w:rPr>
          <w:color w:val="auto"/>
          <w:highlight w:val="none"/>
        </w:rPr>
        <w:fldChar w:fldCharType="begin"/>
      </w:r>
      <w:r>
        <w:rPr>
          <w:color w:val="auto"/>
          <w:highlight w:val="none"/>
        </w:rPr>
        <w:instrText xml:space="preserve"> PAGEREF _Toc31720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3760F563">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_Toc13908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6．评标</w:t>
      </w:r>
      <w:r>
        <w:rPr>
          <w:color w:val="auto"/>
          <w:highlight w:val="none"/>
        </w:rPr>
        <w:tab/>
      </w:r>
      <w:r>
        <w:rPr>
          <w:color w:val="auto"/>
          <w:highlight w:val="none"/>
        </w:rPr>
        <w:fldChar w:fldCharType="begin"/>
      </w:r>
      <w:r>
        <w:rPr>
          <w:color w:val="auto"/>
          <w:highlight w:val="none"/>
        </w:rPr>
        <w:instrText xml:space="preserve"> PAGEREF _Toc13908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14D26FEA">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_Toc15685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7．定标及合同授予</w:t>
      </w:r>
      <w:r>
        <w:rPr>
          <w:color w:val="auto"/>
          <w:highlight w:val="none"/>
        </w:rPr>
        <w:tab/>
      </w:r>
      <w:r>
        <w:rPr>
          <w:color w:val="auto"/>
          <w:highlight w:val="none"/>
        </w:rPr>
        <w:fldChar w:fldCharType="begin"/>
      </w:r>
      <w:r>
        <w:rPr>
          <w:color w:val="auto"/>
          <w:highlight w:val="none"/>
        </w:rPr>
        <w:instrText xml:space="preserve"> PAGEREF _Toc15685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highlight w:val="none"/>
        </w:rPr>
        <w:fldChar w:fldCharType="end"/>
      </w:r>
    </w:p>
    <w:p w14:paraId="4C3768E3">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_Toc29318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8．纪律和监督</w:t>
      </w:r>
      <w:r>
        <w:rPr>
          <w:color w:val="auto"/>
          <w:highlight w:val="none"/>
        </w:rPr>
        <w:tab/>
      </w:r>
      <w:r>
        <w:rPr>
          <w:color w:val="auto"/>
          <w:highlight w:val="none"/>
        </w:rPr>
        <w:fldChar w:fldCharType="begin"/>
      </w:r>
      <w:r>
        <w:rPr>
          <w:color w:val="auto"/>
          <w:highlight w:val="none"/>
        </w:rPr>
        <w:instrText xml:space="preserve"> PAGEREF _Toc29318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highlight w:val="none"/>
        </w:rPr>
        <w:fldChar w:fldCharType="end"/>
      </w:r>
    </w:p>
    <w:p w14:paraId="54FFABD1">
      <w:pPr>
        <w:pStyle w:val="26"/>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_Toc28275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_Toc28275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5DA7D761">
      <w:pPr>
        <w:pStyle w:val="18"/>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_Toc31184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_Toc31184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52D78FD4">
      <w:pPr>
        <w:pStyle w:val="18"/>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_Toc9150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1. 评标方法</w:t>
      </w:r>
      <w:r>
        <w:rPr>
          <w:color w:val="auto"/>
          <w:highlight w:val="none"/>
        </w:rPr>
        <w:tab/>
      </w:r>
      <w:r>
        <w:rPr>
          <w:color w:val="auto"/>
          <w:highlight w:val="none"/>
        </w:rPr>
        <w:fldChar w:fldCharType="begin"/>
      </w:r>
      <w:r>
        <w:rPr>
          <w:color w:val="auto"/>
          <w:highlight w:val="none"/>
        </w:rPr>
        <w:instrText xml:space="preserve"> PAGEREF _Toc9150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highlight w:val="none"/>
        </w:rPr>
        <w:fldChar w:fldCharType="end"/>
      </w:r>
    </w:p>
    <w:p w14:paraId="61E4A94E">
      <w:pPr>
        <w:pStyle w:val="18"/>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_Toc9620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2. 评标标准</w:t>
      </w:r>
      <w:r>
        <w:rPr>
          <w:color w:val="auto"/>
          <w:highlight w:val="none"/>
        </w:rPr>
        <w:tab/>
      </w:r>
      <w:r>
        <w:rPr>
          <w:color w:val="auto"/>
          <w:highlight w:val="none"/>
        </w:rPr>
        <w:fldChar w:fldCharType="begin"/>
      </w:r>
      <w:r>
        <w:rPr>
          <w:color w:val="auto"/>
          <w:highlight w:val="none"/>
        </w:rPr>
        <w:instrText xml:space="preserve"> PAGEREF _Toc9620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highlight w:val="none"/>
        </w:rPr>
        <w:fldChar w:fldCharType="end"/>
      </w:r>
    </w:p>
    <w:p w14:paraId="46A5731C">
      <w:pPr>
        <w:pStyle w:val="18"/>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_Toc13856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3. 评标程序</w:t>
      </w:r>
      <w:r>
        <w:rPr>
          <w:color w:val="auto"/>
          <w:highlight w:val="none"/>
        </w:rPr>
        <w:tab/>
      </w:r>
      <w:r>
        <w:rPr>
          <w:color w:val="auto"/>
          <w:highlight w:val="none"/>
        </w:rPr>
        <w:fldChar w:fldCharType="begin"/>
      </w:r>
      <w:r>
        <w:rPr>
          <w:color w:val="auto"/>
          <w:highlight w:val="none"/>
        </w:rPr>
        <w:instrText xml:space="preserve"> PAGEREF _Toc13856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highlight w:val="none"/>
        </w:rPr>
        <w:fldChar w:fldCharType="end"/>
      </w:r>
    </w:p>
    <w:p w14:paraId="6469097A">
      <w:pPr>
        <w:pStyle w:val="26"/>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_Toc17281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Cs w:val="24"/>
          <w:highlight w:val="none"/>
          <w:lang w:val="en-US" w:eastAsia="zh-CN" w:bidi="ar-SA"/>
        </w:rPr>
        <w:t>第三章 合同条款</w:t>
      </w:r>
      <w:r>
        <w:rPr>
          <w:color w:val="auto"/>
          <w:highlight w:val="none"/>
        </w:rPr>
        <w:tab/>
      </w:r>
      <w:r>
        <w:rPr>
          <w:color w:val="auto"/>
          <w:highlight w:val="none"/>
        </w:rPr>
        <w:fldChar w:fldCharType="begin"/>
      </w:r>
      <w:r>
        <w:rPr>
          <w:color w:val="auto"/>
          <w:highlight w:val="none"/>
        </w:rPr>
        <w:instrText xml:space="preserve"> PAGEREF _Toc17281 \h </w:instrText>
      </w:r>
      <w:r>
        <w:rPr>
          <w:color w:val="auto"/>
          <w:highlight w:val="none"/>
        </w:rPr>
        <w:fldChar w:fldCharType="separate"/>
      </w:r>
      <w:r>
        <w:rPr>
          <w:color w:val="auto"/>
          <w:highlight w:val="none"/>
        </w:rPr>
        <w:t>30</w:t>
      </w:r>
      <w:r>
        <w:rPr>
          <w:color w:val="auto"/>
          <w:highlight w:val="none"/>
        </w:rPr>
        <w:fldChar w:fldCharType="end"/>
      </w:r>
      <w:r>
        <w:rPr>
          <w:rFonts w:hint="eastAsia" w:ascii="仿宋" w:hAnsi="仿宋" w:eastAsia="仿宋" w:cs="仿宋"/>
          <w:color w:val="auto"/>
          <w:highlight w:val="none"/>
        </w:rPr>
        <w:fldChar w:fldCharType="end"/>
      </w:r>
    </w:p>
    <w:p w14:paraId="66FFF873">
      <w:pPr>
        <w:pStyle w:val="26"/>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_Toc6849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服务标准和要求</w:t>
      </w:r>
      <w:r>
        <w:rPr>
          <w:color w:val="auto"/>
          <w:highlight w:val="none"/>
        </w:rPr>
        <w:tab/>
      </w:r>
      <w:r>
        <w:rPr>
          <w:color w:val="auto"/>
          <w:highlight w:val="none"/>
        </w:rPr>
        <w:fldChar w:fldCharType="begin"/>
      </w:r>
      <w:r>
        <w:rPr>
          <w:color w:val="auto"/>
          <w:highlight w:val="none"/>
        </w:rPr>
        <w:instrText xml:space="preserve"> PAGEREF _Toc6849 \h </w:instrText>
      </w:r>
      <w:r>
        <w:rPr>
          <w:color w:val="auto"/>
          <w:highlight w:val="none"/>
        </w:rPr>
        <w:fldChar w:fldCharType="separate"/>
      </w:r>
      <w:r>
        <w:rPr>
          <w:color w:val="auto"/>
          <w:highlight w:val="none"/>
        </w:rPr>
        <w:t>41</w:t>
      </w:r>
      <w:r>
        <w:rPr>
          <w:color w:val="auto"/>
          <w:highlight w:val="none"/>
        </w:rPr>
        <w:fldChar w:fldCharType="end"/>
      </w:r>
      <w:r>
        <w:rPr>
          <w:rFonts w:hint="eastAsia" w:ascii="仿宋" w:hAnsi="仿宋" w:eastAsia="仿宋" w:cs="仿宋"/>
          <w:color w:val="auto"/>
          <w:highlight w:val="none"/>
        </w:rPr>
        <w:fldChar w:fldCharType="end"/>
      </w:r>
    </w:p>
    <w:p w14:paraId="06988624">
      <w:pPr>
        <w:pStyle w:val="26"/>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_Toc8583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_Toc8583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color w:val="auto"/>
          <w:highlight w:val="none"/>
        </w:rPr>
        <w:fldChar w:fldCharType="end"/>
      </w:r>
    </w:p>
    <w:p w14:paraId="65F55089">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目录</w:t>
      </w:r>
      <w:r>
        <w:rPr>
          <w:color w:val="auto"/>
          <w:highlight w:val="none"/>
        </w:rPr>
        <w:tab/>
      </w:r>
      <w:r>
        <w:rPr>
          <w:color w:val="auto"/>
          <w:highlight w:val="none"/>
        </w:rPr>
        <w:fldChar w:fldCharType="begin"/>
      </w:r>
      <w:r>
        <w:rPr>
          <w:color w:val="auto"/>
          <w:highlight w:val="none"/>
        </w:rPr>
        <w:instrText xml:space="preserve"> PAGEREF _Toc1937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color w:val="auto"/>
          <w:highlight w:val="none"/>
        </w:rPr>
        <w:fldChar w:fldCharType="end"/>
      </w:r>
    </w:p>
    <w:p w14:paraId="5CEC11E5">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一、投标函</w:t>
      </w:r>
      <w:r>
        <w:rPr>
          <w:color w:val="auto"/>
          <w:highlight w:val="none"/>
        </w:rPr>
        <w:tab/>
      </w:r>
      <w:r>
        <w:rPr>
          <w:color w:val="auto"/>
          <w:highlight w:val="none"/>
        </w:rPr>
        <w:fldChar w:fldCharType="begin"/>
      </w:r>
      <w:r>
        <w:rPr>
          <w:color w:val="auto"/>
          <w:highlight w:val="none"/>
        </w:rPr>
        <w:instrText xml:space="preserve"> PAGEREF _Toc18067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431C353B">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_Toc21913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二、开标一览表</w:t>
      </w:r>
      <w:r>
        <w:rPr>
          <w:color w:val="auto"/>
          <w:highlight w:val="none"/>
        </w:rPr>
        <w:tab/>
      </w:r>
      <w:r>
        <w:rPr>
          <w:color w:val="auto"/>
          <w:highlight w:val="none"/>
        </w:rPr>
        <w:fldChar w:fldCharType="begin"/>
      </w:r>
      <w:r>
        <w:rPr>
          <w:color w:val="auto"/>
          <w:highlight w:val="none"/>
        </w:rPr>
        <w:instrText xml:space="preserve"> PAGEREF _Toc21913 \h </w:instrText>
      </w:r>
      <w:r>
        <w:rPr>
          <w:color w:val="auto"/>
          <w:highlight w:val="none"/>
        </w:rPr>
        <w:fldChar w:fldCharType="separate"/>
      </w:r>
      <w:r>
        <w:rPr>
          <w:color w:val="auto"/>
          <w:highlight w:val="none"/>
        </w:rPr>
        <w:t>54</w:t>
      </w:r>
      <w:r>
        <w:rPr>
          <w:color w:val="auto"/>
          <w:highlight w:val="none"/>
        </w:rPr>
        <w:fldChar w:fldCharType="end"/>
      </w:r>
      <w:r>
        <w:rPr>
          <w:rFonts w:hint="eastAsia" w:ascii="仿宋" w:hAnsi="仿宋" w:eastAsia="仿宋" w:cs="仿宋"/>
          <w:color w:val="auto"/>
          <w:highlight w:val="none"/>
        </w:rPr>
        <w:fldChar w:fldCharType="end"/>
      </w:r>
    </w:p>
    <w:p w14:paraId="106A8060">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_Toc9746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三、投标价格明细表</w:t>
      </w:r>
      <w:r>
        <w:rPr>
          <w:color w:val="auto"/>
          <w:highlight w:val="none"/>
        </w:rPr>
        <w:tab/>
      </w:r>
      <w:r>
        <w:rPr>
          <w:color w:val="auto"/>
          <w:highlight w:val="none"/>
        </w:rPr>
        <w:fldChar w:fldCharType="begin"/>
      </w:r>
      <w:r>
        <w:rPr>
          <w:color w:val="auto"/>
          <w:highlight w:val="none"/>
        </w:rPr>
        <w:instrText xml:space="preserve"> PAGEREF _Toc9746 \h </w:instrText>
      </w:r>
      <w:r>
        <w:rPr>
          <w:color w:val="auto"/>
          <w:highlight w:val="none"/>
        </w:rPr>
        <w:fldChar w:fldCharType="separate"/>
      </w:r>
      <w:r>
        <w:rPr>
          <w:color w:val="auto"/>
          <w:highlight w:val="none"/>
        </w:rPr>
        <w:t>55</w:t>
      </w:r>
      <w:r>
        <w:rPr>
          <w:color w:val="auto"/>
          <w:highlight w:val="none"/>
        </w:rPr>
        <w:fldChar w:fldCharType="end"/>
      </w:r>
      <w:r>
        <w:rPr>
          <w:rFonts w:hint="eastAsia" w:ascii="仿宋" w:hAnsi="仿宋" w:eastAsia="仿宋" w:cs="仿宋"/>
          <w:color w:val="auto"/>
          <w:highlight w:val="none"/>
        </w:rPr>
        <w:fldChar w:fldCharType="end"/>
      </w:r>
    </w:p>
    <w:p w14:paraId="1F21BCCB">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四、商务条款偏离表</w:t>
      </w:r>
      <w:r>
        <w:rPr>
          <w:color w:val="auto"/>
          <w:highlight w:val="none"/>
        </w:rPr>
        <w:tab/>
      </w:r>
      <w:r>
        <w:rPr>
          <w:color w:val="auto"/>
          <w:highlight w:val="none"/>
        </w:rPr>
        <w:fldChar w:fldCharType="begin"/>
      </w:r>
      <w:r>
        <w:rPr>
          <w:color w:val="auto"/>
          <w:highlight w:val="none"/>
        </w:rPr>
        <w:instrText xml:space="preserve"> PAGEREF _Toc22264 \h </w:instrText>
      </w:r>
      <w:r>
        <w:rPr>
          <w:color w:val="auto"/>
          <w:highlight w:val="none"/>
        </w:rPr>
        <w:fldChar w:fldCharType="separate"/>
      </w:r>
      <w:r>
        <w:rPr>
          <w:color w:val="auto"/>
          <w:highlight w:val="none"/>
        </w:rPr>
        <w:t>56</w:t>
      </w:r>
      <w:r>
        <w:rPr>
          <w:color w:val="auto"/>
          <w:highlight w:val="none"/>
        </w:rPr>
        <w:fldChar w:fldCharType="end"/>
      </w:r>
      <w:r>
        <w:rPr>
          <w:rFonts w:hint="eastAsia" w:ascii="仿宋" w:hAnsi="仿宋" w:eastAsia="仿宋" w:cs="仿宋"/>
          <w:color w:val="auto"/>
          <w:highlight w:val="none"/>
        </w:rPr>
        <w:fldChar w:fldCharType="end"/>
      </w:r>
    </w:p>
    <w:p w14:paraId="0ECD57E7">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_Toc19585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五、技术条款偏离表</w:t>
      </w:r>
      <w:r>
        <w:rPr>
          <w:color w:val="auto"/>
          <w:highlight w:val="none"/>
        </w:rPr>
        <w:tab/>
      </w:r>
      <w:r>
        <w:rPr>
          <w:color w:val="auto"/>
          <w:highlight w:val="none"/>
        </w:rPr>
        <w:fldChar w:fldCharType="begin"/>
      </w:r>
      <w:r>
        <w:rPr>
          <w:color w:val="auto"/>
          <w:highlight w:val="none"/>
        </w:rPr>
        <w:instrText xml:space="preserve"> PAGEREF _Toc19585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highlight w:val="none"/>
        </w:rPr>
        <w:fldChar w:fldCharType="end"/>
      </w:r>
    </w:p>
    <w:p w14:paraId="0660BD6F">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_Toc17833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六、法定代表人身份证明书</w:t>
      </w:r>
      <w:r>
        <w:rPr>
          <w:color w:val="auto"/>
          <w:highlight w:val="none"/>
        </w:rPr>
        <w:tab/>
      </w:r>
      <w:r>
        <w:rPr>
          <w:color w:val="auto"/>
          <w:highlight w:val="none"/>
        </w:rPr>
        <w:fldChar w:fldCharType="begin"/>
      </w:r>
      <w:r>
        <w:rPr>
          <w:color w:val="auto"/>
          <w:highlight w:val="none"/>
        </w:rPr>
        <w:instrText xml:space="preserve"> PAGEREF _Toc17833 \h </w:instrText>
      </w:r>
      <w:r>
        <w:rPr>
          <w:color w:val="auto"/>
          <w:highlight w:val="none"/>
        </w:rPr>
        <w:fldChar w:fldCharType="separate"/>
      </w:r>
      <w:r>
        <w:rPr>
          <w:color w:val="auto"/>
          <w:highlight w:val="none"/>
        </w:rPr>
        <w:t>58</w:t>
      </w:r>
      <w:r>
        <w:rPr>
          <w:color w:val="auto"/>
          <w:highlight w:val="none"/>
        </w:rPr>
        <w:fldChar w:fldCharType="end"/>
      </w:r>
      <w:r>
        <w:rPr>
          <w:rFonts w:hint="eastAsia" w:ascii="仿宋" w:hAnsi="仿宋" w:eastAsia="仿宋" w:cs="仿宋"/>
          <w:color w:val="auto"/>
          <w:highlight w:val="none"/>
        </w:rPr>
        <w:fldChar w:fldCharType="end"/>
      </w:r>
    </w:p>
    <w:p w14:paraId="096E7319">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_Toc13722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七、法定代表人授权委托书</w:t>
      </w:r>
      <w:r>
        <w:rPr>
          <w:color w:val="auto"/>
          <w:highlight w:val="none"/>
        </w:rPr>
        <w:tab/>
      </w:r>
      <w:r>
        <w:rPr>
          <w:color w:val="auto"/>
          <w:highlight w:val="none"/>
        </w:rPr>
        <w:fldChar w:fldCharType="begin"/>
      </w:r>
      <w:r>
        <w:rPr>
          <w:color w:val="auto"/>
          <w:highlight w:val="none"/>
        </w:rPr>
        <w:instrText xml:space="preserve"> PAGEREF _Toc13722 \h </w:instrText>
      </w:r>
      <w:r>
        <w:rPr>
          <w:color w:val="auto"/>
          <w:highlight w:val="none"/>
        </w:rPr>
        <w:fldChar w:fldCharType="separate"/>
      </w:r>
      <w:r>
        <w:rPr>
          <w:color w:val="auto"/>
          <w:highlight w:val="none"/>
        </w:rPr>
        <w:t>59</w:t>
      </w:r>
      <w:r>
        <w:rPr>
          <w:color w:val="auto"/>
          <w:highlight w:val="none"/>
        </w:rPr>
        <w:fldChar w:fldCharType="end"/>
      </w:r>
      <w:r>
        <w:rPr>
          <w:rFonts w:hint="eastAsia" w:ascii="仿宋" w:hAnsi="仿宋" w:eastAsia="仿宋" w:cs="仿宋"/>
          <w:color w:val="auto"/>
          <w:highlight w:val="none"/>
        </w:rPr>
        <w:fldChar w:fldCharType="end"/>
      </w:r>
    </w:p>
    <w:p w14:paraId="68C18AD8">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_Toc22909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八、投标人基本情况</w:t>
      </w:r>
      <w:r>
        <w:rPr>
          <w:color w:val="auto"/>
          <w:highlight w:val="none"/>
        </w:rPr>
        <w:tab/>
      </w:r>
      <w:r>
        <w:rPr>
          <w:color w:val="auto"/>
          <w:highlight w:val="none"/>
        </w:rPr>
        <w:fldChar w:fldCharType="begin"/>
      </w:r>
      <w:r>
        <w:rPr>
          <w:color w:val="auto"/>
          <w:highlight w:val="none"/>
        </w:rPr>
        <w:instrText xml:space="preserve"> PAGEREF _Toc22909 \h </w:instrText>
      </w:r>
      <w:r>
        <w:rPr>
          <w:color w:val="auto"/>
          <w:highlight w:val="none"/>
        </w:rPr>
        <w:fldChar w:fldCharType="separate"/>
      </w:r>
      <w:r>
        <w:rPr>
          <w:color w:val="auto"/>
          <w:highlight w:val="none"/>
        </w:rPr>
        <w:t>60</w:t>
      </w:r>
      <w:r>
        <w:rPr>
          <w:color w:val="auto"/>
          <w:highlight w:val="none"/>
        </w:rPr>
        <w:fldChar w:fldCharType="end"/>
      </w:r>
      <w:r>
        <w:rPr>
          <w:rFonts w:hint="eastAsia" w:ascii="仿宋" w:hAnsi="仿宋" w:eastAsia="仿宋" w:cs="仿宋"/>
          <w:color w:val="auto"/>
          <w:highlight w:val="none"/>
        </w:rPr>
        <w:fldChar w:fldCharType="end"/>
      </w:r>
    </w:p>
    <w:p w14:paraId="0C5D3CB0">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_Toc16611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8.1法人或者其他组织的营业执照等证明文件，自然人的身份证明</w:t>
      </w:r>
      <w:r>
        <w:rPr>
          <w:color w:val="auto"/>
          <w:highlight w:val="none"/>
        </w:rPr>
        <w:tab/>
      </w:r>
      <w:r>
        <w:rPr>
          <w:color w:val="auto"/>
          <w:highlight w:val="none"/>
        </w:rPr>
        <w:fldChar w:fldCharType="begin"/>
      </w:r>
      <w:r>
        <w:rPr>
          <w:color w:val="auto"/>
          <w:highlight w:val="none"/>
        </w:rPr>
        <w:instrText xml:space="preserve"> PAGEREF _Toc16611 \h </w:instrText>
      </w:r>
      <w:r>
        <w:rPr>
          <w:color w:val="auto"/>
          <w:highlight w:val="none"/>
        </w:rPr>
        <w:fldChar w:fldCharType="separate"/>
      </w:r>
      <w:r>
        <w:rPr>
          <w:color w:val="auto"/>
          <w:highlight w:val="none"/>
        </w:rPr>
        <w:t>61</w:t>
      </w:r>
      <w:r>
        <w:rPr>
          <w:color w:val="auto"/>
          <w:highlight w:val="none"/>
        </w:rPr>
        <w:fldChar w:fldCharType="end"/>
      </w:r>
      <w:r>
        <w:rPr>
          <w:rFonts w:hint="eastAsia" w:ascii="仿宋" w:hAnsi="仿宋" w:eastAsia="仿宋" w:cs="仿宋"/>
          <w:color w:val="auto"/>
          <w:highlight w:val="none"/>
        </w:rPr>
        <w:fldChar w:fldCharType="end"/>
      </w:r>
    </w:p>
    <w:p w14:paraId="6D7E3548">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8.2财务状况报告，依法缴纳税收和社会保障资金的相关材料</w:t>
      </w:r>
      <w:r>
        <w:rPr>
          <w:color w:val="auto"/>
          <w:highlight w:val="none"/>
        </w:rPr>
        <w:tab/>
      </w:r>
      <w:r>
        <w:rPr>
          <w:color w:val="auto"/>
          <w:highlight w:val="none"/>
        </w:rPr>
        <w:fldChar w:fldCharType="begin"/>
      </w:r>
      <w:r>
        <w:rPr>
          <w:color w:val="auto"/>
          <w:highlight w:val="none"/>
        </w:rPr>
        <w:instrText xml:space="preserve"> PAGEREF _Toc18165 \h </w:instrText>
      </w:r>
      <w:r>
        <w:rPr>
          <w:color w:val="auto"/>
          <w:highlight w:val="none"/>
        </w:rPr>
        <w:fldChar w:fldCharType="separate"/>
      </w:r>
      <w:r>
        <w:rPr>
          <w:color w:val="auto"/>
          <w:highlight w:val="none"/>
        </w:rPr>
        <w:t>62</w:t>
      </w:r>
      <w:r>
        <w:rPr>
          <w:color w:val="auto"/>
          <w:highlight w:val="none"/>
        </w:rPr>
        <w:fldChar w:fldCharType="end"/>
      </w:r>
      <w:r>
        <w:rPr>
          <w:rFonts w:hint="eastAsia" w:ascii="仿宋" w:hAnsi="仿宋" w:eastAsia="仿宋" w:cs="仿宋"/>
          <w:color w:val="auto"/>
          <w:highlight w:val="none"/>
        </w:rPr>
        <w:fldChar w:fldCharType="end"/>
      </w:r>
    </w:p>
    <w:p w14:paraId="3A60A4AD">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_Toc8098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8.3具备履行合同所必需的设备和专业技术能力的证明材料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_Toc8098 \h </w:instrText>
      </w:r>
      <w:r>
        <w:rPr>
          <w:color w:val="auto"/>
          <w:highlight w:val="none"/>
        </w:rPr>
        <w:fldChar w:fldCharType="separate"/>
      </w:r>
      <w:r>
        <w:rPr>
          <w:color w:val="auto"/>
          <w:highlight w:val="none"/>
        </w:rPr>
        <w:t>63</w:t>
      </w:r>
      <w:r>
        <w:rPr>
          <w:color w:val="auto"/>
          <w:highlight w:val="none"/>
        </w:rPr>
        <w:fldChar w:fldCharType="end"/>
      </w:r>
      <w:r>
        <w:rPr>
          <w:rFonts w:hint="eastAsia" w:ascii="仿宋" w:hAnsi="仿宋" w:eastAsia="仿宋" w:cs="仿宋"/>
          <w:color w:val="auto"/>
          <w:highlight w:val="none"/>
        </w:rPr>
        <w:fldChar w:fldCharType="end"/>
      </w:r>
    </w:p>
    <w:p w14:paraId="48F8F34F">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_Toc13792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8.4参加政府采购活动前3年内在经营活动中没有重大违法记录的书面声明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_Toc13792 \h </w:instrText>
      </w:r>
      <w:r>
        <w:rPr>
          <w:color w:val="auto"/>
          <w:highlight w:val="none"/>
        </w:rPr>
        <w:fldChar w:fldCharType="separate"/>
      </w:r>
      <w:r>
        <w:rPr>
          <w:color w:val="auto"/>
          <w:highlight w:val="none"/>
        </w:rPr>
        <w:t>64</w:t>
      </w:r>
      <w:r>
        <w:rPr>
          <w:color w:val="auto"/>
          <w:highlight w:val="none"/>
        </w:rPr>
        <w:fldChar w:fldCharType="end"/>
      </w:r>
      <w:r>
        <w:rPr>
          <w:rFonts w:hint="eastAsia" w:ascii="仿宋" w:hAnsi="仿宋" w:eastAsia="仿宋" w:cs="仿宋"/>
          <w:color w:val="auto"/>
          <w:highlight w:val="none"/>
        </w:rPr>
        <w:fldChar w:fldCharType="end"/>
      </w:r>
    </w:p>
    <w:p w14:paraId="316141BA">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_Toc12167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8.5具备法律、行政法规规定的其他条件的证明材料</w:t>
      </w:r>
      <w:r>
        <w:rPr>
          <w:color w:val="auto"/>
          <w:highlight w:val="none"/>
        </w:rPr>
        <w:tab/>
      </w:r>
      <w:r>
        <w:rPr>
          <w:color w:val="auto"/>
          <w:highlight w:val="none"/>
        </w:rPr>
        <w:fldChar w:fldCharType="begin"/>
      </w:r>
      <w:r>
        <w:rPr>
          <w:color w:val="auto"/>
          <w:highlight w:val="none"/>
        </w:rPr>
        <w:instrText xml:space="preserve"> PAGEREF _Toc12167 \h </w:instrText>
      </w:r>
      <w:r>
        <w:rPr>
          <w:color w:val="auto"/>
          <w:highlight w:val="none"/>
        </w:rPr>
        <w:fldChar w:fldCharType="separate"/>
      </w:r>
      <w:r>
        <w:rPr>
          <w:color w:val="auto"/>
          <w:highlight w:val="none"/>
        </w:rPr>
        <w:t>65</w:t>
      </w:r>
      <w:r>
        <w:rPr>
          <w:color w:val="auto"/>
          <w:highlight w:val="none"/>
        </w:rPr>
        <w:fldChar w:fldCharType="end"/>
      </w:r>
      <w:r>
        <w:rPr>
          <w:rFonts w:hint="eastAsia" w:ascii="仿宋" w:hAnsi="仿宋" w:eastAsia="仿宋" w:cs="仿宋"/>
          <w:color w:val="auto"/>
          <w:highlight w:val="none"/>
        </w:rPr>
        <w:fldChar w:fldCharType="end"/>
      </w:r>
    </w:p>
    <w:p w14:paraId="3E3039DE">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_Toc30180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九、</w:t>
      </w:r>
      <w:r>
        <w:rPr>
          <w:rFonts w:hint="eastAsia" w:ascii="仿宋" w:hAnsi="仿宋" w:eastAsia="仿宋" w:cs="仿宋"/>
          <w:bCs/>
          <w:color w:val="auto"/>
          <w:szCs w:val="24"/>
          <w:highlight w:val="none"/>
          <w:shd w:val="clear" w:color="auto" w:fill="FFFFFF" w:themeFill="background1"/>
        </w:rPr>
        <w:t>投标人近三年类似项目业绩表</w:t>
      </w:r>
      <w:r>
        <w:rPr>
          <w:color w:val="auto"/>
          <w:highlight w:val="none"/>
        </w:rPr>
        <w:tab/>
      </w:r>
      <w:r>
        <w:rPr>
          <w:color w:val="auto"/>
          <w:highlight w:val="none"/>
        </w:rPr>
        <w:fldChar w:fldCharType="begin"/>
      </w:r>
      <w:r>
        <w:rPr>
          <w:color w:val="auto"/>
          <w:highlight w:val="none"/>
        </w:rPr>
        <w:instrText xml:space="preserve"> PAGEREF _Toc30180 \h </w:instrText>
      </w:r>
      <w:r>
        <w:rPr>
          <w:color w:val="auto"/>
          <w:highlight w:val="none"/>
        </w:rPr>
        <w:fldChar w:fldCharType="separate"/>
      </w:r>
      <w:r>
        <w:rPr>
          <w:color w:val="auto"/>
          <w:highlight w:val="none"/>
        </w:rPr>
        <w:t>68</w:t>
      </w:r>
      <w:r>
        <w:rPr>
          <w:color w:val="auto"/>
          <w:highlight w:val="none"/>
        </w:rPr>
        <w:fldChar w:fldCharType="end"/>
      </w:r>
      <w:r>
        <w:rPr>
          <w:rFonts w:hint="eastAsia" w:ascii="仿宋" w:hAnsi="仿宋" w:eastAsia="仿宋" w:cs="仿宋"/>
          <w:color w:val="auto"/>
          <w:highlight w:val="none"/>
        </w:rPr>
        <w:fldChar w:fldCharType="end"/>
      </w:r>
    </w:p>
    <w:p w14:paraId="5183445A">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_Toc3975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w:t>
      </w:r>
      <w:r>
        <w:rPr>
          <w:rFonts w:hint="eastAsia" w:ascii="仿宋" w:hAnsi="仿宋" w:eastAsia="仿宋" w:cs="仿宋"/>
          <w:bCs/>
          <w:color w:val="auto"/>
          <w:szCs w:val="24"/>
          <w:highlight w:val="none"/>
          <w:shd w:val="clear" w:color="auto" w:fill="FFFFFF" w:themeFill="background1"/>
        </w:rPr>
        <w:t>项目负责人简历表</w:t>
      </w:r>
      <w:r>
        <w:rPr>
          <w:color w:val="auto"/>
          <w:highlight w:val="none"/>
        </w:rPr>
        <w:tab/>
      </w:r>
      <w:r>
        <w:rPr>
          <w:color w:val="auto"/>
          <w:highlight w:val="none"/>
        </w:rPr>
        <w:fldChar w:fldCharType="begin"/>
      </w:r>
      <w:r>
        <w:rPr>
          <w:color w:val="auto"/>
          <w:highlight w:val="none"/>
        </w:rPr>
        <w:instrText xml:space="preserve"> PAGEREF _Toc3975 \h </w:instrText>
      </w:r>
      <w:r>
        <w:rPr>
          <w:color w:val="auto"/>
          <w:highlight w:val="none"/>
        </w:rPr>
        <w:fldChar w:fldCharType="separate"/>
      </w:r>
      <w:r>
        <w:rPr>
          <w:color w:val="auto"/>
          <w:highlight w:val="none"/>
        </w:rPr>
        <w:t>69</w:t>
      </w:r>
      <w:r>
        <w:rPr>
          <w:color w:val="auto"/>
          <w:highlight w:val="none"/>
        </w:rPr>
        <w:fldChar w:fldCharType="end"/>
      </w:r>
      <w:r>
        <w:rPr>
          <w:rFonts w:hint="eastAsia" w:ascii="仿宋" w:hAnsi="仿宋" w:eastAsia="仿宋" w:cs="仿宋"/>
          <w:color w:val="auto"/>
          <w:highlight w:val="none"/>
        </w:rPr>
        <w:fldChar w:fldCharType="end"/>
      </w:r>
    </w:p>
    <w:p w14:paraId="5A402350">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_Toc10335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shd w:val="clear" w:color="auto" w:fill="FFFFFF" w:themeFill="background1"/>
        </w:rPr>
        <w:t>十一、拟派本项目服务人员情况表</w:t>
      </w:r>
      <w:r>
        <w:rPr>
          <w:color w:val="auto"/>
          <w:highlight w:val="none"/>
        </w:rPr>
        <w:tab/>
      </w:r>
      <w:r>
        <w:rPr>
          <w:color w:val="auto"/>
          <w:highlight w:val="none"/>
        </w:rPr>
        <w:fldChar w:fldCharType="begin"/>
      </w:r>
      <w:r>
        <w:rPr>
          <w:color w:val="auto"/>
          <w:highlight w:val="none"/>
        </w:rPr>
        <w:instrText xml:space="preserve"> PAGEREF _Toc10335 \h </w:instrText>
      </w:r>
      <w:r>
        <w:rPr>
          <w:color w:val="auto"/>
          <w:highlight w:val="none"/>
        </w:rPr>
        <w:fldChar w:fldCharType="separate"/>
      </w:r>
      <w:r>
        <w:rPr>
          <w:color w:val="auto"/>
          <w:highlight w:val="none"/>
        </w:rPr>
        <w:t>70</w:t>
      </w:r>
      <w:r>
        <w:rPr>
          <w:color w:val="auto"/>
          <w:highlight w:val="none"/>
        </w:rPr>
        <w:fldChar w:fldCharType="end"/>
      </w:r>
      <w:r>
        <w:rPr>
          <w:rFonts w:hint="eastAsia" w:ascii="仿宋" w:hAnsi="仿宋" w:eastAsia="仿宋" w:cs="仿宋"/>
          <w:color w:val="auto"/>
          <w:highlight w:val="none"/>
        </w:rPr>
        <w:fldChar w:fldCharType="end"/>
      </w:r>
    </w:p>
    <w:p w14:paraId="7DE54E42">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_Toc26818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十二、</w:t>
      </w:r>
      <w:r>
        <w:rPr>
          <w:rFonts w:hint="eastAsia" w:ascii="仿宋" w:hAnsi="仿宋" w:eastAsia="仿宋" w:cs="仿宋"/>
          <w:bCs/>
          <w:color w:val="auto"/>
          <w:szCs w:val="24"/>
          <w:highlight w:val="none"/>
          <w:shd w:val="clear" w:color="auto" w:fill="FFFFFF" w:themeFill="background1"/>
        </w:rPr>
        <w:t>服务方案</w:t>
      </w:r>
      <w:r>
        <w:rPr>
          <w:color w:val="auto"/>
          <w:highlight w:val="none"/>
        </w:rPr>
        <w:tab/>
      </w:r>
      <w:r>
        <w:rPr>
          <w:color w:val="auto"/>
          <w:highlight w:val="none"/>
        </w:rPr>
        <w:fldChar w:fldCharType="begin"/>
      </w:r>
      <w:r>
        <w:rPr>
          <w:color w:val="auto"/>
          <w:highlight w:val="none"/>
        </w:rPr>
        <w:instrText xml:space="preserve"> PAGEREF _Toc26818 \h </w:instrText>
      </w:r>
      <w:r>
        <w:rPr>
          <w:color w:val="auto"/>
          <w:highlight w:val="none"/>
        </w:rPr>
        <w:fldChar w:fldCharType="separate"/>
      </w:r>
      <w:r>
        <w:rPr>
          <w:color w:val="auto"/>
          <w:highlight w:val="none"/>
        </w:rPr>
        <w:t>71</w:t>
      </w:r>
      <w:r>
        <w:rPr>
          <w:color w:val="auto"/>
          <w:highlight w:val="none"/>
        </w:rPr>
        <w:fldChar w:fldCharType="end"/>
      </w:r>
      <w:r>
        <w:rPr>
          <w:rFonts w:hint="eastAsia" w:ascii="仿宋" w:hAnsi="仿宋" w:eastAsia="仿宋" w:cs="仿宋"/>
          <w:color w:val="auto"/>
          <w:highlight w:val="none"/>
        </w:rPr>
        <w:fldChar w:fldCharType="end"/>
      </w:r>
    </w:p>
    <w:p w14:paraId="2A29F2A8">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_Toc4676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十三、其他需要提交的资料</w:t>
      </w:r>
      <w:r>
        <w:rPr>
          <w:color w:val="auto"/>
          <w:highlight w:val="none"/>
        </w:rPr>
        <w:tab/>
      </w:r>
      <w:r>
        <w:rPr>
          <w:color w:val="auto"/>
          <w:highlight w:val="none"/>
        </w:rPr>
        <w:fldChar w:fldCharType="begin"/>
      </w:r>
      <w:r>
        <w:rPr>
          <w:color w:val="auto"/>
          <w:highlight w:val="none"/>
        </w:rPr>
        <w:instrText xml:space="preserve"> PAGEREF _Toc4676 \h </w:instrText>
      </w:r>
      <w:r>
        <w:rPr>
          <w:color w:val="auto"/>
          <w:highlight w:val="none"/>
        </w:rPr>
        <w:fldChar w:fldCharType="separate"/>
      </w:r>
      <w:r>
        <w:rPr>
          <w:color w:val="auto"/>
          <w:highlight w:val="none"/>
        </w:rPr>
        <w:t>71</w:t>
      </w:r>
      <w:r>
        <w:rPr>
          <w:color w:val="auto"/>
          <w:highlight w:val="none"/>
        </w:rPr>
        <w:fldChar w:fldCharType="end"/>
      </w:r>
      <w:r>
        <w:rPr>
          <w:rFonts w:hint="eastAsia" w:ascii="仿宋" w:hAnsi="仿宋" w:eastAsia="仿宋" w:cs="仿宋"/>
          <w:color w:val="auto"/>
          <w:highlight w:val="none"/>
        </w:rPr>
        <w:fldChar w:fldCharType="end"/>
      </w:r>
    </w:p>
    <w:p w14:paraId="26DAA57B">
      <w:pPr>
        <w:pStyle w:val="26"/>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_Toc29549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_Toc29549 \h </w:instrText>
      </w:r>
      <w:r>
        <w:rPr>
          <w:color w:val="auto"/>
          <w:highlight w:val="none"/>
        </w:rPr>
        <w:fldChar w:fldCharType="separate"/>
      </w:r>
      <w:r>
        <w:rPr>
          <w:color w:val="auto"/>
          <w:highlight w:val="none"/>
        </w:rPr>
        <w:t>72</w:t>
      </w:r>
      <w:r>
        <w:rPr>
          <w:color w:val="auto"/>
          <w:highlight w:val="none"/>
        </w:rPr>
        <w:fldChar w:fldCharType="end"/>
      </w:r>
      <w:r>
        <w:rPr>
          <w:rFonts w:hint="eastAsia" w:ascii="仿宋" w:hAnsi="仿宋" w:eastAsia="仿宋" w:cs="仿宋"/>
          <w:color w:val="auto"/>
          <w:highlight w:val="none"/>
        </w:rPr>
        <w:fldChar w:fldCharType="end"/>
      </w:r>
    </w:p>
    <w:p w14:paraId="72589406">
      <w:pPr>
        <w:pStyle w:val="26"/>
        <w:tabs>
          <w:tab w:val="right" w:leader="dot" w:pos="9344"/>
        </w:tabs>
        <w:spacing w:line="276" w:lineRule="auto"/>
        <w:rPr>
          <w:rFonts w:hint="eastAsia" w:ascii="仿宋" w:hAnsi="仿宋" w:eastAsia="仿宋" w:cs="仿宋"/>
          <w:b/>
          <w:bCs/>
          <w:color w:val="auto"/>
          <w:highlight w:val="none"/>
        </w:rPr>
        <w:sectPr>
          <w:footerReference r:id="rId6" w:type="first"/>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r>
        <w:rPr>
          <w:rFonts w:hint="eastAsia" w:ascii="仿宋" w:hAnsi="仿宋" w:eastAsia="仿宋" w:cs="仿宋"/>
          <w:color w:val="auto"/>
          <w:highlight w:val="none"/>
        </w:rPr>
        <w:fldChar w:fldCharType="end"/>
      </w:r>
    </w:p>
    <w:p w14:paraId="7A518CD3">
      <w:pPr>
        <w:keepNext/>
        <w:widowControl/>
        <w:spacing w:after="120" w:afterLines="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新疆维吾尔自治区地质局昌吉地质大队机械租赁服务项目（槽探开挖及回填、道路平整及维护）</w:t>
      </w:r>
      <w:r>
        <w:rPr>
          <w:rFonts w:hint="eastAsia" w:ascii="仿宋" w:hAnsi="仿宋" w:eastAsia="仿宋" w:cs="仿宋"/>
          <w:b/>
          <w:bCs/>
          <w:color w:val="auto"/>
          <w:sz w:val="28"/>
          <w:szCs w:val="28"/>
          <w:highlight w:val="none"/>
        </w:rPr>
        <w:t>公开招标公告</w:t>
      </w:r>
    </w:p>
    <w:p w14:paraId="1A38DB6B">
      <w:pPr>
        <w:widowControl/>
        <w:spacing w:before="60" w:after="60"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项目概况</w:t>
      </w:r>
    </w:p>
    <w:p w14:paraId="78B16DD9">
      <w:pPr>
        <w:widowControl/>
        <w:spacing w:before="60" w:after="60"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新疆维吾尔自治区地质局昌吉地质大队机械租赁服务项目（槽探开挖及回填、道路平整及维护）</w:t>
      </w:r>
      <w:r>
        <w:rPr>
          <w:rFonts w:hint="eastAsia" w:ascii="仿宋" w:hAnsi="仿宋" w:eastAsia="仿宋" w:cs="仿宋"/>
          <w:color w:val="auto"/>
          <w:kern w:val="0"/>
          <w:sz w:val="24"/>
          <w:szCs w:val="24"/>
          <w:highlight w:val="none"/>
        </w:rPr>
        <w:t xml:space="preserve"> 招标项目的潜在投标人应在政采云平台http://www.zcygov.cn获取招标文件，并于</w:t>
      </w:r>
      <w:r>
        <w:rPr>
          <w:rFonts w:hint="eastAsia" w:ascii="仿宋" w:hAnsi="仿宋" w:eastAsia="仿宋" w:cs="仿宋"/>
          <w:color w:val="FF0000"/>
          <w:kern w:val="0"/>
          <w:sz w:val="24"/>
          <w:szCs w:val="24"/>
          <w:highlight w:val="none"/>
          <w:lang w:eastAsia="zh-CN"/>
        </w:rPr>
        <w:t>2025年08月08日11:00（北京时间）</w:t>
      </w:r>
      <w:r>
        <w:rPr>
          <w:rFonts w:hint="eastAsia" w:ascii="仿宋" w:hAnsi="仿宋" w:eastAsia="仿宋" w:cs="仿宋"/>
          <w:color w:val="auto"/>
          <w:kern w:val="0"/>
          <w:sz w:val="24"/>
          <w:szCs w:val="24"/>
          <w:highlight w:val="none"/>
        </w:rPr>
        <w:t>前递交投标文件。</w:t>
      </w:r>
    </w:p>
    <w:p w14:paraId="359659DB">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一、项目基本情况</w:t>
      </w:r>
    </w:p>
    <w:p w14:paraId="777A13B6">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招标方式：公开招标</w:t>
      </w:r>
    </w:p>
    <w:p w14:paraId="4ECCDB28">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项目编号：</w:t>
      </w:r>
      <w:r>
        <w:rPr>
          <w:rFonts w:hint="eastAsia" w:ascii="仿宋" w:hAnsi="仿宋" w:eastAsia="仿宋" w:cs="仿宋"/>
          <w:color w:val="auto"/>
          <w:kern w:val="0"/>
          <w:sz w:val="24"/>
          <w:szCs w:val="24"/>
          <w:highlight w:val="none"/>
          <w:lang w:eastAsia="zh-CN"/>
        </w:rPr>
        <w:t>xsj-20250606</w:t>
      </w:r>
    </w:p>
    <w:p w14:paraId="4AA1351C">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新疆维吾尔自治区地质局昌吉地质大队机械租赁服务项目（槽探开挖及回填、道路平整及维护）</w:t>
      </w:r>
    </w:p>
    <w:p w14:paraId="51F57397">
      <w:pPr>
        <w:widowControl/>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预算金额（元）：7083</w:t>
      </w:r>
      <w:r>
        <w:rPr>
          <w:rFonts w:hint="eastAsia" w:ascii="仿宋" w:hAnsi="仿宋" w:eastAsia="仿宋" w:cs="仿宋"/>
          <w:color w:val="auto"/>
          <w:kern w:val="0"/>
          <w:sz w:val="24"/>
          <w:szCs w:val="24"/>
          <w:highlight w:val="none"/>
          <w:lang w:val="en-US" w:eastAsia="zh-CN"/>
        </w:rPr>
        <w:t>00</w:t>
      </w:r>
    </w:p>
    <w:p w14:paraId="7AFCBB91">
      <w:pPr>
        <w:widowControl/>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最高限价（元）：7083</w:t>
      </w:r>
      <w:r>
        <w:rPr>
          <w:rFonts w:hint="eastAsia" w:ascii="仿宋" w:hAnsi="仿宋" w:eastAsia="仿宋" w:cs="仿宋"/>
          <w:color w:val="auto"/>
          <w:kern w:val="0"/>
          <w:sz w:val="24"/>
          <w:szCs w:val="24"/>
          <w:highlight w:val="none"/>
          <w:lang w:val="en-US" w:eastAsia="zh-CN"/>
        </w:rPr>
        <w:t>00</w:t>
      </w:r>
    </w:p>
    <w:p w14:paraId="4B58211A">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采购需求：</w:t>
      </w:r>
      <w:r>
        <w:rPr>
          <w:rFonts w:hint="eastAsia" w:ascii="仿宋" w:hAnsi="仿宋" w:eastAsia="仿宋" w:cs="仿宋"/>
          <w:color w:val="auto"/>
          <w:kern w:val="0"/>
          <w:sz w:val="24"/>
          <w:szCs w:val="24"/>
          <w:highlight w:val="none"/>
        </w:rPr>
        <w:tab/>
      </w:r>
    </w:p>
    <w:p w14:paraId="6D8C217B">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标项名称:</w:t>
      </w:r>
      <w:r>
        <w:rPr>
          <w:rFonts w:hint="eastAsia" w:ascii="仿宋" w:hAnsi="仿宋" w:eastAsia="仿宋" w:cs="仿宋"/>
          <w:color w:val="auto"/>
          <w:kern w:val="0"/>
          <w:sz w:val="24"/>
          <w:szCs w:val="24"/>
          <w:highlight w:val="none"/>
          <w:lang w:eastAsia="zh-CN"/>
        </w:rPr>
        <w:t>新疆维吾尔自治区地质局昌吉地质大队机械租赁服务项目（槽探开挖及回填、道路平整及维护）</w:t>
      </w:r>
    </w:p>
    <w:p w14:paraId="2713A2B4">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数量:不限</w:t>
      </w:r>
    </w:p>
    <w:p w14:paraId="5466C7D6">
      <w:pPr>
        <w:widowControl/>
        <w:tabs>
          <w:tab w:val="left" w:pos="7125"/>
        </w:tabs>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预算金额（元）: 7083</w:t>
      </w:r>
      <w:r>
        <w:rPr>
          <w:rFonts w:hint="eastAsia" w:ascii="仿宋" w:hAnsi="仿宋" w:eastAsia="仿宋" w:cs="仿宋"/>
          <w:color w:val="auto"/>
          <w:kern w:val="0"/>
          <w:sz w:val="24"/>
          <w:szCs w:val="24"/>
          <w:highlight w:val="none"/>
          <w:lang w:val="en-US" w:eastAsia="zh-CN"/>
        </w:rPr>
        <w:t>00</w:t>
      </w:r>
    </w:p>
    <w:p w14:paraId="5F2A848E">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简要规格描述或项目基本概况介绍、用途：</w:t>
      </w:r>
      <w:r>
        <w:rPr>
          <w:rFonts w:hint="eastAsia" w:ascii="仿宋" w:hAnsi="仿宋" w:eastAsia="仿宋" w:cs="仿宋"/>
          <w:color w:val="auto"/>
          <w:kern w:val="0"/>
          <w:sz w:val="24"/>
          <w:szCs w:val="24"/>
          <w:highlight w:val="none"/>
          <w:lang w:eastAsia="zh-CN"/>
        </w:rPr>
        <w:t>新疆阿勒泰市塔尔浪一带花岗伟晶岩型高纯石英用硅质原料矿普查、新疆阿勒泰伟晶岩型高纯石英用硅质原料矿普查。</w:t>
      </w:r>
    </w:p>
    <w:p w14:paraId="1C71B7DF">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47903896">
      <w:pPr>
        <w:widowControl/>
        <w:tabs>
          <w:tab w:val="left" w:pos="7125"/>
        </w:tabs>
        <w:spacing w:before="60" w:after="60" w:line="360" w:lineRule="auto"/>
        <w:ind w:firstLine="480"/>
        <w:jc w:val="left"/>
        <w:rPr>
          <w:rFonts w:hint="eastAsia"/>
          <w:highlight w:val="none"/>
          <w:lang w:val="en-US" w:eastAsia="zh-CN"/>
        </w:rPr>
      </w:pPr>
      <w:r>
        <w:rPr>
          <w:rFonts w:hint="eastAsia" w:ascii="仿宋" w:hAnsi="仿宋" w:eastAsia="仿宋" w:cs="仿宋"/>
          <w:color w:val="auto"/>
          <w:kern w:val="0"/>
          <w:sz w:val="24"/>
          <w:szCs w:val="24"/>
          <w:highlight w:val="none"/>
        </w:rPr>
        <w:t>合同履约期限：自合同签订之日起3个月</w:t>
      </w:r>
    </w:p>
    <w:p w14:paraId="4457565C">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本项目不接受联合体投标。</w:t>
      </w:r>
    </w:p>
    <w:p w14:paraId="2A61264B">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二、申请人的资格要求：</w:t>
      </w:r>
    </w:p>
    <w:p w14:paraId="1FB5FF22">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w:t>
      </w:r>
    </w:p>
    <w:p w14:paraId="467E9372">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2.落实政府采购政策需满足的资格要求：符合促进中小企业发展政策的，依据规定给予评审优惠。</w:t>
      </w:r>
    </w:p>
    <w:p w14:paraId="7FE0406A">
      <w:pPr>
        <w:widowControl/>
        <w:spacing w:before="60" w:after="60"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3.本项目的特定资格要求：</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如在“信用中国”网站（www.creditchina.gov.cn）、中国政府采购网（www.ccgp.gov.cn）等渠道被列入失信被执行人、重大税收违法失信主体、政府采购严重违法失信行为记录名单及其它不符合《中华人民共和国政府采购法》第二十二条规定条件的</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，尚在处罚期内的将被拒绝参加本次</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活动。</w:t>
      </w:r>
    </w:p>
    <w:p w14:paraId="2CBE7F40">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p>
    <w:p w14:paraId="087BA461">
      <w:pPr>
        <w:widowControl/>
        <w:spacing w:before="60" w:after="60" w:line="360" w:lineRule="auto"/>
        <w:ind w:firstLine="480"/>
        <w:jc w:val="left"/>
        <w:rPr>
          <w:rFonts w:hint="eastAsia" w:ascii="仿宋" w:hAnsi="仿宋" w:eastAsia="仿宋" w:cs="仿宋"/>
          <w:color w:val="FF0000"/>
          <w:kern w:val="0"/>
          <w:sz w:val="24"/>
          <w:szCs w:val="24"/>
          <w:highlight w:val="none"/>
        </w:rPr>
      </w:pPr>
      <w:r>
        <w:rPr>
          <w:rFonts w:hint="eastAsia" w:ascii="仿宋" w:hAnsi="仿宋" w:eastAsia="仿宋" w:cs="仿宋"/>
          <w:color w:val="FF0000"/>
          <w:kern w:val="0"/>
          <w:sz w:val="24"/>
          <w:szCs w:val="24"/>
          <w:highlight w:val="none"/>
        </w:rPr>
        <w:t>时间：202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07月16</w:t>
      </w:r>
      <w:r>
        <w:rPr>
          <w:rFonts w:hint="eastAsia" w:ascii="仿宋" w:hAnsi="仿宋" w:eastAsia="仿宋" w:cs="仿宋"/>
          <w:color w:val="FF0000"/>
          <w:kern w:val="0"/>
          <w:sz w:val="24"/>
          <w:szCs w:val="24"/>
          <w:highlight w:val="none"/>
        </w:rPr>
        <w:t>日至202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07月23</w:t>
      </w:r>
      <w:r>
        <w:rPr>
          <w:rFonts w:hint="eastAsia" w:ascii="仿宋" w:hAnsi="仿宋" w:eastAsia="仿宋" w:cs="仿宋"/>
          <w:color w:val="FF0000"/>
          <w:kern w:val="0"/>
          <w:sz w:val="24"/>
          <w:szCs w:val="24"/>
          <w:highlight w:val="none"/>
        </w:rPr>
        <w:t>日，每天上午00:00至1</w:t>
      </w:r>
      <w:r>
        <w:rPr>
          <w:rFonts w:hint="eastAsia" w:ascii="仿宋" w:hAnsi="仿宋" w:eastAsia="仿宋" w:cs="仿宋"/>
          <w:color w:val="FF0000"/>
          <w:kern w:val="0"/>
          <w:sz w:val="24"/>
          <w:szCs w:val="24"/>
          <w:highlight w:val="none"/>
          <w:lang w:val="en-US" w:eastAsia="zh-CN"/>
        </w:rPr>
        <w:t>4</w:t>
      </w:r>
      <w:r>
        <w:rPr>
          <w:rFonts w:hint="eastAsia" w:ascii="仿宋" w:hAnsi="仿宋" w:eastAsia="仿宋" w:cs="仿宋"/>
          <w:color w:val="FF0000"/>
          <w:kern w:val="0"/>
          <w:sz w:val="24"/>
          <w:szCs w:val="24"/>
          <w:highlight w:val="none"/>
        </w:rPr>
        <w:t>:00，下午1</w:t>
      </w:r>
      <w:r>
        <w:rPr>
          <w:rFonts w:hint="eastAsia" w:ascii="仿宋" w:hAnsi="仿宋" w:eastAsia="仿宋" w:cs="仿宋"/>
          <w:color w:val="FF0000"/>
          <w:kern w:val="0"/>
          <w:sz w:val="24"/>
          <w:szCs w:val="24"/>
          <w:highlight w:val="none"/>
          <w:lang w:val="en-US" w:eastAsia="zh-CN"/>
        </w:rPr>
        <w:t>4</w:t>
      </w:r>
      <w:r>
        <w:rPr>
          <w:rFonts w:hint="eastAsia" w:ascii="仿宋" w:hAnsi="仿宋" w:eastAsia="仿宋" w:cs="仿宋"/>
          <w:color w:val="FF0000"/>
          <w:kern w:val="0"/>
          <w:sz w:val="24"/>
          <w:szCs w:val="24"/>
          <w:highlight w:val="none"/>
        </w:rPr>
        <w:t>:00至23:59（北京时间，法定节假日除外）</w:t>
      </w:r>
    </w:p>
    <w:p w14:paraId="11C86AA9">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地点：政采云平台http://www.zcygov.cn</w:t>
      </w:r>
    </w:p>
    <w:p w14:paraId="41EE59B8">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方式：免费获取，</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登录政采云账户（网址：https://www.zcygov.cn/）,在线申请获取招标文件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登录政府采购云平台→采购项目→获取采购文件→申请，审核通过后可下载招标文件，如有操作性问题，可与政采云在线客服进行咨询，咨询电话：95763</w:t>
      </w:r>
      <w:r>
        <w:rPr>
          <w:rFonts w:hint="eastAsia" w:ascii="仿宋" w:hAnsi="仿宋" w:eastAsia="仿宋" w:cs="仿宋"/>
          <w:color w:val="auto"/>
          <w:kern w:val="0"/>
          <w:sz w:val="24"/>
          <w:szCs w:val="24"/>
          <w:highlight w:val="none"/>
          <w:lang w:eastAsia="zh-CN"/>
        </w:rPr>
        <w:t>。</w:t>
      </w:r>
    </w:p>
    <w:p w14:paraId="179FC21A">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售价（元）：0</w:t>
      </w:r>
    </w:p>
    <w:p w14:paraId="778EE0C3">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四、提交投标文件截止时间、开标时间和地点</w:t>
      </w:r>
    </w:p>
    <w:p w14:paraId="73728197">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提交投标文件截止时间：</w:t>
      </w:r>
      <w:r>
        <w:rPr>
          <w:rFonts w:hint="eastAsia" w:ascii="仿宋" w:hAnsi="仿宋" w:eastAsia="仿宋" w:cs="仿宋"/>
          <w:color w:val="FF0000"/>
          <w:kern w:val="0"/>
          <w:sz w:val="24"/>
          <w:szCs w:val="24"/>
          <w:highlight w:val="none"/>
          <w:lang w:eastAsia="zh-CN"/>
        </w:rPr>
        <w:t>2025年08月08日11:00（北京时间）</w:t>
      </w:r>
    </w:p>
    <w:p w14:paraId="0B4FC5A7">
      <w:pPr>
        <w:widowControl/>
        <w:spacing w:before="60" w:after="60" w:line="360" w:lineRule="auto"/>
        <w:ind w:firstLine="480"/>
        <w:jc w:val="left"/>
        <w:rPr>
          <w:rStyle w:val="214"/>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投标地点：</w:t>
      </w:r>
      <w:bookmarkStart w:id="0" w:name="_Hlk129254397"/>
      <w:r>
        <w:rPr>
          <w:rStyle w:val="214"/>
          <w:rFonts w:hint="eastAsia" w:ascii="仿宋" w:hAnsi="仿宋" w:eastAsia="仿宋" w:cs="仿宋"/>
          <w:color w:val="auto"/>
          <w:sz w:val="24"/>
          <w:szCs w:val="24"/>
          <w:highlight w:val="none"/>
          <w:lang w:eastAsia="zh-CN"/>
        </w:rPr>
        <w:t>投标人</w:t>
      </w:r>
      <w:r>
        <w:rPr>
          <w:rStyle w:val="214"/>
          <w:rFonts w:hint="eastAsia" w:ascii="仿宋" w:hAnsi="仿宋" w:eastAsia="仿宋" w:cs="仿宋"/>
          <w:color w:val="auto"/>
          <w:sz w:val="24"/>
          <w:szCs w:val="24"/>
          <w:highlight w:val="none"/>
        </w:rPr>
        <w:t>应在此之前将加密的投标文件上传至政采云平台对应位置 (逾期送达或不符合规定的投标文件将被拒绝接收)。</w:t>
      </w:r>
      <w:bookmarkEnd w:id="0"/>
    </w:p>
    <w:p w14:paraId="2B613935">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开标时间：</w:t>
      </w:r>
      <w:r>
        <w:rPr>
          <w:rFonts w:hint="eastAsia" w:ascii="仿宋" w:hAnsi="仿宋" w:eastAsia="仿宋" w:cs="仿宋"/>
          <w:color w:val="FF0000"/>
          <w:kern w:val="0"/>
          <w:sz w:val="24"/>
          <w:szCs w:val="24"/>
          <w:highlight w:val="none"/>
          <w:lang w:eastAsia="zh-CN"/>
        </w:rPr>
        <w:t>2025年08月08日11:00（北京时间）</w:t>
      </w:r>
    </w:p>
    <w:p w14:paraId="331C87B4">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开标地点：</w:t>
      </w:r>
      <w:r>
        <w:rPr>
          <w:rStyle w:val="214"/>
          <w:rFonts w:hint="eastAsia" w:ascii="仿宋" w:hAnsi="仿宋" w:eastAsia="仿宋" w:cs="仿宋"/>
          <w:color w:val="auto"/>
          <w:sz w:val="24"/>
          <w:szCs w:val="24"/>
          <w:highlight w:val="none"/>
        </w:rPr>
        <w:t>政采云平台https://www.zcygov.cn/不见面开标大厅</w:t>
      </w:r>
    </w:p>
    <w:p w14:paraId="0968F2A0">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五、公告期限</w:t>
      </w:r>
    </w:p>
    <w:p w14:paraId="50EB0326">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C74D264">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六、其他补充事宜</w:t>
      </w:r>
    </w:p>
    <w:p w14:paraId="0BA5642E">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1.本项目实行电子招投标，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须登录政采云平台申请获取采购文件，并需要使用CA锁，登录政采云电子投标客户端制作投标文件，若</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参与投标,自行承担与投标有关的一切费用。</w:t>
      </w:r>
    </w:p>
    <w:p w14:paraId="7769A20C">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应在开标前确保是新疆维吾尔自治区政府采购网正式注册入库的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，并完成CA数字证书申领。因未注册入库、未办理CA数字证书等原因造成无法投标或投标失败等后果的由</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自行承担</w:t>
      </w:r>
    </w:p>
    <w:p w14:paraId="308C2351">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可前往新疆政府采购网（http://www.ccgp-xinjiang.gov.cn/）下载专区，下载政采云电子投标客户端，安装完成后，可通过账号密码或CA登录客户端进行投标文件制作。</w:t>
      </w:r>
    </w:p>
    <w:p w14:paraId="3375C79F">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在开标时须携带制作加密电子投标文件所使用的CA锁，电脑须提前配置好浏览器，以便开标时在线解密。</w:t>
      </w:r>
    </w:p>
    <w:p w14:paraId="4B2D5703">
      <w:pPr>
        <w:widowControl/>
        <w:tabs>
          <w:tab w:val="left" w:pos="7125"/>
        </w:tabs>
        <w:spacing w:before="60" w:after="60" w:line="360" w:lineRule="auto"/>
        <w:ind w:firstLine="480"/>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应当在投标截止时间前，将生成的“电子加密投标文件”上传递交至“政府采购云平台”，投标截止时间以后上传递交的投标文件将被“政府采购云平台”拒收。</w:t>
      </w:r>
      <w:r>
        <w:rPr>
          <w:rFonts w:hint="eastAsia" w:ascii="仿宋" w:hAnsi="仿宋" w:eastAsia="仿宋" w:cs="仿宋"/>
          <w:color w:val="auto"/>
          <w:highlight w:val="none"/>
        </w:rPr>
        <w:br w:type="textWrapping"/>
      </w:r>
      <w:r>
        <w:rPr>
          <w:rFonts w:hint="eastAsia" w:ascii="仿宋" w:hAnsi="仿宋" w:eastAsia="仿宋" w:cs="仿宋"/>
          <w:b/>
          <w:bCs/>
          <w:color w:val="auto"/>
          <w:kern w:val="0"/>
          <w:sz w:val="24"/>
          <w:szCs w:val="24"/>
          <w:highlight w:val="none"/>
        </w:rPr>
        <w:t>七、对本次采购提出询问，请按以下方式联系</w:t>
      </w:r>
    </w:p>
    <w:p w14:paraId="09782B9B">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7A09F18E">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新疆维吾尔自治区地质局昌吉地质大队</w:t>
      </w:r>
    </w:p>
    <w:p w14:paraId="695C603C">
      <w:pPr>
        <w:widowControl/>
        <w:spacing w:before="60" w:after="60" w:line="360" w:lineRule="auto"/>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lang w:eastAsia="zh-CN"/>
        </w:rPr>
        <w:t>昌吉回族自治州昌吉市北京南路14号地质村办公大楼</w:t>
      </w:r>
    </w:p>
    <w:p w14:paraId="77B981A6">
      <w:pPr>
        <w:widowControl/>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项目联系人：赵海波</w:t>
      </w:r>
    </w:p>
    <w:p w14:paraId="60C4452C">
      <w:pPr>
        <w:widowControl/>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w:t>
      </w:r>
      <w:r>
        <w:rPr>
          <w:rFonts w:hint="eastAsia" w:ascii="仿宋" w:hAnsi="仿宋" w:eastAsia="仿宋" w:cs="仿宋"/>
          <w:color w:val="auto"/>
          <w:kern w:val="0"/>
          <w:sz w:val="24"/>
          <w:szCs w:val="24"/>
          <w:highlight w:val="none"/>
          <w:lang w:val="en-US" w:eastAsia="zh-CN"/>
        </w:rPr>
        <w:t>18699450826</w:t>
      </w:r>
    </w:p>
    <w:p w14:paraId="6713E224">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539A1AE4">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名称：新疆新世纪招标有限公司</w:t>
      </w:r>
    </w:p>
    <w:p w14:paraId="2A3A58BA">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地址：乌鲁木齐市新兴街20号凤凰科技大厦五楼</w:t>
      </w:r>
    </w:p>
    <w:p w14:paraId="32FD51FD">
      <w:pPr>
        <w:widowControl/>
        <w:spacing w:before="60" w:after="60" w:line="360" w:lineRule="auto"/>
        <w:ind w:firstLine="480"/>
        <w:jc w:val="lef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联系方式：</w:t>
      </w:r>
      <w:r>
        <w:rPr>
          <w:rFonts w:hint="eastAsia" w:ascii="仿宋" w:hAnsi="仿宋" w:eastAsia="仿宋" w:cs="仿宋"/>
          <w:color w:val="auto"/>
          <w:kern w:val="0"/>
          <w:sz w:val="24"/>
          <w:szCs w:val="24"/>
          <w:highlight w:val="none"/>
          <w:lang w:val="en-US" w:eastAsia="zh-CN"/>
        </w:rPr>
        <w:t>17609941920、13109969229</w:t>
      </w:r>
    </w:p>
    <w:p w14:paraId="79CDA967">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3.项目联系方式</w:t>
      </w:r>
    </w:p>
    <w:p w14:paraId="6C23A6E1">
      <w:pPr>
        <w:widowControl/>
        <w:spacing w:before="60" w:after="60" w:line="360" w:lineRule="auto"/>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color w:val="auto"/>
          <w:kern w:val="0"/>
          <w:sz w:val="24"/>
          <w:szCs w:val="24"/>
          <w:highlight w:val="none"/>
          <w:lang w:val="en-US" w:eastAsia="zh-CN"/>
        </w:rPr>
        <w:t>闵俊瑀、宋金龙</w:t>
      </w:r>
    </w:p>
    <w:p w14:paraId="7A2E1E4B">
      <w:pPr>
        <w:widowControl/>
        <w:spacing w:before="60" w:after="60" w:line="360" w:lineRule="auto"/>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w:t>
      </w:r>
      <w:r>
        <w:rPr>
          <w:rFonts w:hint="eastAsia" w:ascii="仿宋" w:hAnsi="仿宋" w:eastAsia="仿宋" w:cs="仿宋"/>
          <w:color w:val="auto"/>
          <w:kern w:val="0"/>
          <w:sz w:val="24"/>
          <w:szCs w:val="24"/>
          <w:highlight w:val="none"/>
          <w:lang w:val="en-US" w:eastAsia="zh-CN"/>
        </w:rPr>
        <w:t>17609941920、13109969229</w:t>
      </w:r>
    </w:p>
    <w:p w14:paraId="73EDD95A">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B3EA91D">
      <w:pPr>
        <w:spacing w:line="440" w:lineRule="exact"/>
        <w:jc w:val="center"/>
        <w:outlineLvl w:val="0"/>
        <w:rPr>
          <w:rFonts w:hint="eastAsia" w:ascii="仿宋" w:hAnsi="仿宋" w:eastAsia="仿宋" w:cs="仿宋"/>
          <w:b/>
          <w:color w:val="auto"/>
          <w:sz w:val="28"/>
          <w:szCs w:val="28"/>
          <w:highlight w:val="none"/>
        </w:rPr>
      </w:pPr>
      <w:bookmarkStart w:id="1" w:name="_Toc16640"/>
      <w:r>
        <w:rPr>
          <w:rFonts w:hint="eastAsia" w:ascii="仿宋" w:hAnsi="仿宋" w:eastAsia="仿宋" w:cs="仿宋"/>
          <w:b/>
          <w:color w:val="auto"/>
          <w:sz w:val="28"/>
          <w:szCs w:val="28"/>
          <w:highlight w:val="none"/>
        </w:rPr>
        <w:t>投标人须知前附表</w:t>
      </w:r>
      <w:bookmarkEnd w:id="1"/>
    </w:p>
    <w:tbl>
      <w:tblPr>
        <w:tblStyle w:val="4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7"/>
        <w:gridCol w:w="1633"/>
        <w:gridCol w:w="6850"/>
      </w:tblGrid>
      <w:tr w14:paraId="22C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tcBorders>
              <w:top w:val="single" w:color="auto" w:sz="4" w:space="0"/>
              <w:left w:val="single" w:color="auto" w:sz="4" w:space="0"/>
              <w:bottom w:val="single" w:color="auto" w:sz="4" w:space="0"/>
              <w:right w:val="single" w:color="auto" w:sz="4" w:space="0"/>
            </w:tcBorders>
            <w:shd w:val="clear" w:color="auto" w:fill="FFFFFF"/>
            <w:vAlign w:val="center"/>
          </w:tcPr>
          <w:p w14:paraId="07834A4D">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项号</w:t>
            </w:r>
          </w:p>
        </w:tc>
        <w:tc>
          <w:tcPr>
            <w:tcW w:w="84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FC6E70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编列内容</w:t>
            </w:r>
          </w:p>
        </w:tc>
      </w:tr>
      <w:tr w14:paraId="263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tcBorders>
              <w:top w:val="single" w:color="auto" w:sz="4" w:space="0"/>
            </w:tcBorders>
            <w:shd w:val="clear" w:color="auto" w:fill="FFFFFF"/>
            <w:vAlign w:val="center"/>
          </w:tcPr>
          <w:p w14:paraId="335463E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3" w:type="dxa"/>
            <w:tcBorders>
              <w:top w:val="single" w:color="auto" w:sz="4" w:space="0"/>
            </w:tcBorders>
            <w:shd w:val="clear" w:color="auto" w:fill="FFFFFF"/>
            <w:vAlign w:val="center"/>
          </w:tcPr>
          <w:p w14:paraId="6889571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850" w:type="dxa"/>
            <w:tcBorders>
              <w:top w:val="single" w:color="auto" w:sz="4" w:space="0"/>
            </w:tcBorders>
            <w:shd w:val="clear" w:color="auto" w:fill="FFFFFF"/>
            <w:vAlign w:val="center"/>
          </w:tcPr>
          <w:p w14:paraId="5282097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新疆维吾尔自治区地质局昌吉地质大队机械租赁服务项目（槽探开挖及回填、道路平整及维护）</w:t>
            </w:r>
          </w:p>
        </w:tc>
      </w:tr>
      <w:tr w14:paraId="4BCA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049B2DB4">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0773DC3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850" w:type="dxa"/>
            <w:shd w:val="clear" w:color="auto" w:fill="FFFFFF"/>
            <w:vAlign w:val="center"/>
          </w:tcPr>
          <w:p w14:paraId="14CDD530">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xsj-20250606</w:t>
            </w:r>
          </w:p>
        </w:tc>
      </w:tr>
      <w:tr w14:paraId="394D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6983D3E8">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44B81D1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850" w:type="dxa"/>
            <w:shd w:val="clear" w:color="auto" w:fill="FFFFFF"/>
            <w:vAlign w:val="center"/>
          </w:tcPr>
          <w:p w14:paraId="3BE1BB6F">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新疆维吾尔自治区地质局昌吉地质大队</w:t>
            </w:r>
          </w:p>
        </w:tc>
      </w:tr>
      <w:tr w14:paraId="569A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4ADEC214">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0774439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850" w:type="dxa"/>
            <w:shd w:val="clear" w:color="auto" w:fill="FFFFFF"/>
            <w:vAlign w:val="center"/>
          </w:tcPr>
          <w:p w14:paraId="5D85233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新疆新世纪招标有限公司</w:t>
            </w:r>
          </w:p>
        </w:tc>
      </w:tr>
      <w:tr w14:paraId="1E62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393187D7">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48A902A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w:t>
            </w:r>
          </w:p>
        </w:tc>
        <w:tc>
          <w:tcPr>
            <w:tcW w:w="6850" w:type="dxa"/>
            <w:shd w:val="clear" w:color="auto" w:fill="FFFFFF"/>
            <w:vAlign w:val="center"/>
          </w:tcPr>
          <w:p w14:paraId="7BC12CC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财政资金</w:t>
            </w:r>
          </w:p>
        </w:tc>
      </w:tr>
      <w:tr w14:paraId="55AE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3E3AD518">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2E97303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采购预算金额</w:t>
            </w:r>
          </w:p>
        </w:tc>
        <w:tc>
          <w:tcPr>
            <w:tcW w:w="6850" w:type="dxa"/>
            <w:shd w:val="clear" w:color="auto" w:fill="FFFFFF"/>
            <w:vAlign w:val="center"/>
          </w:tcPr>
          <w:p w14:paraId="28F7A699">
            <w:pPr>
              <w:pStyle w:val="14"/>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auto"/>
                <w:kern w:val="0"/>
                <w:sz w:val="24"/>
                <w:szCs w:val="24"/>
                <w:highlight w:val="none"/>
              </w:rPr>
              <w:t>7083</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000000" w:themeColor="text1"/>
                <w:sz w:val="24"/>
                <w:szCs w:val="24"/>
                <w:highlight w:val="none"/>
                <w:lang w:val="en-US" w:eastAsia="zh-CN"/>
                <w14:textFill>
                  <w14:solidFill>
                    <w14:schemeClr w14:val="tx1"/>
                  </w14:solidFill>
                </w14:textFill>
              </w:rPr>
              <w:t>.00元</w:t>
            </w:r>
          </w:p>
          <w:p w14:paraId="77B2C2C6">
            <w:pPr>
              <w:pStyle w:val="15"/>
              <w:spacing w:line="360" w:lineRule="auto"/>
              <w:rPr>
                <w:rFonts w:hint="default"/>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注：投标</w:t>
            </w:r>
            <w:r>
              <w:rPr>
                <w:rFonts w:hint="eastAsia" w:ascii="仿宋" w:hAnsi="仿宋" w:eastAsia="仿宋" w:cs="仿宋"/>
                <w:b/>
                <w:bCs/>
                <w:color w:val="000000" w:themeColor="text1"/>
                <w:kern w:val="0"/>
                <w:szCs w:val="24"/>
                <w:highlight w:val="none"/>
                <w14:textFill>
                  <w14:solidFill>
                    <w14:schemeClr w14:val="tx1"/>
                  </w14:solidFill>
                </w14:textFill>
              </w:rPr>
              <w:t>价格不得超过</w:t>
            </w:r>
            <w:r>
              <w:rPr>
                <w:rFonts w:hint="eastAsia" w:ascii="仿宋" w:hAnsi="仿宋" w:eastAsia="仿宋" w:cs="仿宋"/>
                <w:b/>
                <w:bCs/>
                <w:color w:val="000000" w:themeColor="text1"/>
                <w:kern w:val="0"/>
                <w:szCs w:val="24"/>
                <w:highlight w:val="none"/>
                <w:lang w:val="en-US" w:eastAsia="zh-CN"/>
                <w14:textFill>
                  <w14:solidFill>
                    <w14:schemeClr w14:val="tx1"/>
                  </w14:solidFill>
                </w14:textFill>
              </w:rPr>
              <w:t>最高限价及</w:t>
            </w:r>
            <w:r>
              <w:rPr>
                <w:rFonts w:hint="eastAsia" w:ascii="仿宋" w:hAnsi="仿宋" w:eastAsia="仿宋" w:cs="仿宋"/>
                <w:b/>
                <w:bCs/>
                <w:color w:val="000000" w:themeColor="text1"/>
                <w:kern w:val="0"/>
                <w:szCs w:val="24"/>
                <w:highlight w:val="none"/>
                <w14:textFill>
                  <w14:solidFill>
                    <w14:schemeClr w14:val="tx1"/>
                  </w14:solidFill>
                </w14:textFill>
              </w:rPr>
              <w:t>第四章</w:t>
            </w:r>
            <w:r>
              <w:rPr>
                <w:rFonts w:hint="eastAsia" w:ascii="仿宋" w:hAnsi="仿宋" w:eastAsia="仿宋" w:cs="仿宋"/>
                <w:b/>
                <w:bCs/>
                <w:color w:val="000000" w:themeColor="text1"/>
                <w:kern w:val="0"/>
                <w:szCs w:val="24"/>
                <w:highlight w:val="none"/>
                <w:lang w:val="en-US" w:eastAsia="zh-CN"/>
                <w14:textFill>
                  <w14:solidFill>
                    <w14:schemeClr w14:val="tx1"/>
                  </w14:solidFill>
                </w14:textFill>
              </w:rPr>
              <w:t>服务标准</w:t>
            </w:r>
            <w:r>
              <w:rPr>
                <w:rFonts w:hint="eastAsia" w:ascii="仿宋" w:hAnsi="仿宋" w:eastAsia="仿宋" w:cs="仿宋"/>
                <w:b/>
                <w:bCs/>
                <w:color w:val="000000" w:themeColor="text1"/>
                <w:kern w:val="0"/>
                <w:szCs w:val="24"/>
                <w:highlight w:val="none"/>
                <w14:textFill>
                  <w14:solidFill>
                    <w14:schemeClr w14:val="tx1"/>
                  </w14:solidFill>
                </w14:textFill>
              </w:rPr>
              <w:t>和要求中的单</w:t>
            </w:r>
            <w:r>
              <w:rPr>
                <w:rFonts w:hint="eastAsia" w:ascii="仿宋" w:hAnsi="仿宋" w:eastAsia="仿宋" w:cs="仿宋"/>
                <w:b/>
                <w:bCs/>
                <w:color w:val="000000" w:themeColor="text1"/>
                <w:kern w:val="0"/>
                <w:szCs w:val="24"/>
                <w:highlight w:val="none"/>
                <w:lang w:val="en-US" w:eastAsia="zh-CN"/>
                <w14:textFill>
                  <w14:solidFill>
                    <w14:schemeClr w14:val="tx1"/>
                  </w14:solidFill>
                </w14:textFill>
              </w:rPr>
              <w:t>项目</w:t>
            </w:r>
            <w:r>
              <w:rPr>
                <w:rFonts w:hint="eastAsia" w:ascii="仿宋" w:hAnsi="仿宋" w:eastAsia="仿宋" w:cs="仿宋"/>
                <w:b/>
                <w:bCs/>
                <w:color w:val="000000" w:themeColor="text1"/>
                <w:kern w:val="0"/>
                <w:szCs w:val="24"/>
                <w:highlight w:val="none"/>
                <w14:textFill>
                  <w14:solidFill>
                    <w14:schemeClr w14:val="tx1"/>
                  </w14:solidFill>
                </w14:textFill>
              </w:rPr>
              <w:t>限价。</w:t>
            </w:r>
          </w:p>
        </w:tc>
      </w:tr>
      <w:tr w14:paraId="3FD3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515BB944">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6D8EA3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服务周期</w:t>
            </w:r>
          </w:p>
        </w:tc>
        <w:tc>
          <w:tcPr>
            <w:tcW w:w="6850" w:type="dxa"/>
            <w:shd w:val="clear" w:color="auto" w:fill="FFFFFF"/>
            <w:vAlign w:val="center"/>
          </w:tcPr>
          <w:p w14:paraId="26D34D71">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自合同签订之日起3个月</w:t>
            </w:r>
          </w:p>
        </w:tc>
      </w:tr>
      <w:tr w14:paraId="7858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3F4E8E3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3" w:type="dxa"/>
            <w:shd w:val="clear" w:color="auto" w:fill="FFFFFF"/>
            <w:vAlign w:val="center"/>
          </w:tcPr>
          <w:p w14:paraId="78B9DAA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采购范围</w:t>
            </w:r>
          </w:p>
        </w:tc>
        <w:tc>
          <w:tcPr>
            <w:tcW w:w="6850" w:type="dxa"/>
            <w:shd w:val="clear" w:color="auto" w:fill="FFFFFF"/>
            <w:vAlign w:val="center"/>
          </w:tcPr>
          <w:p w14:paraId="41ECC7C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新疆维吾尔自治区地质局昌吉地质大队机械租赁服务项目（槽探开挖及回填、道路平整及维护）</w:t>
            </w:r>
            <w:r>
              <w:rPr>
                <w:rFonts w:hint="eastAsia" w:ascii="仿宋" w:hAnsi="仿宋" w:eastAsia="仿宋" w:cs="仿宋"/>
                <w:color w:val="auto"/>
                <w:sz w:val="24"/>
                <w:szCs w:val="24"/>
                <w:highlight w:val="none"/>
              </w:rPr>
              <w:t>范围内的所有工作内容，关于采购范围的详细说明见招标文件第四章“服务标准和要求”。</w:t>
            </w:r>
          </w:p>
        </w:tc>
      </w:tr>
      <w:tr w14:paraId="0787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shd w:val="clear" w:color="auto" w:fill="FFFFFF"/>
            <w:vAlign w:val="center"/>
          </w:tcPr>
          <w:p w14:paraId="1FAA192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33" w:type="dxa"/>
            <w:shd w:val="clear" w:color="auto" w:fill="FFFFFF"/>
            <w:vAlign w:val="center"/>
          </w:tcPr>
          <w:p w14:paraId="7F04EB1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p>
        </w:tc>
        <w:tc>
          <w:tcPr>
            <w:tcW w:w="6850" w:type="dxa"/>
            <w:shd w:val="clear" w:color="auto" w:fill="FFFFFF"/>
            <w:vAlign w:val="center"/>
          </w:tcPr>
          <w:p w14:paraId="5816F96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公开招标</w:t>
            </w:r>
          </w:p>
        </w:tc>
      </w:tr>
      <w:tr w14:paraId="3A5F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6DEE2808">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36ABE80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资格审查方式</w:t>
            </w:r>
          </w:p>
        </w:tc>
        <w:tc>
          <w:tcPr>
            <w:tcW w:w="6850" w:type="dxa"/>
            <w:shd w:val="clear" w:color="auto" w:fill="FFFFFF"/>
            <w:vAlign w:val="center"/>
          </w:tcPr>
          <w:p w14:paraId="0E0F5A7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资格后审</w:t>
            </w:r>
          </w:p>
        </w:tc>
      </w:tr>
      <w:tr w14:paraId="6B63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shd w:val="clear" w:color="auto" w:fill="FFFFFF"/>
            <w:vAlign w:val="center"/>
          </w:tcPr>
          <w:p w14:paraId="0F3BA69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33" w:type="dxa"/>
            <w:shd w:val="clear" w:color="auto" w:fill="FFFFFF"/>
            <w:vAlign w:val="center"/>
          </w:tcPr>
          <w:p w14:paraId="221C1A8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6850" w:type="dxa"/>
            <w:shd w:val="clear" w:color="auto" w:fill="FFFFFF"/>
            <w:vAlign w:val="center"/>
          </w:tcPr>
          <w:p w14:paraId="2BA53C9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612D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6A8930B4">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51D2A8A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定标方法</w:t>
            </w:r>
          </w:p>
        </w:tc>
        <w:tc>
          <w:tcPr>
            <w:tcW w:w="6850" w:type="dxa"/>
            <w:shd w:val="clear" w:color="auto" w:fill="FFFFFF"/>
            <w:vAlign w:val="center"/>
          </w:tcPr>
          <w:p w14:paraId="0215F0E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评标小组推荐三名中标候选人</w:t>
            </w:r>
          </w:p>
        </w:tc>
      </w:tr>
      <w:tr w14:paraId="72E2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BD53A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33" w:type="dxa"/>
            <w:shd w:val="clear" w:color="auto" w:fill="FFFFFF"/>
            <w:vAlign w:val="center"/>
          </w:tcPr>
          <w:p w14:paraId="019D25C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投标人最低资格条件和能力</w:t>
            </w:r>
          </w:p>
        </w:tc>
        <w:tc>
          <w:tcPr>
            <w:tcW w:w="6850" w:type="dxa"/>
            <w:shd w:val="clear" w:color="auto" w:fill="FFFFFF"/>
            <w:vAlign w:val="center"/>
          </w:tcPr>
          <w:p w14:paraId="4A0420F5">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1DF7FE6">
            <w:pPr>
              <w:widowControl/>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kern w:val="0"/>
                <w:sz w:val="24"/>
                <w:szCs w:val="24"/>
                <w:highlight w:val="none"/>
              </w:rPr>
              <w:t>符合促进中小企业发展政策的，依据规定给予评审优惠。</w:t>
            </w:r>
          </w:p>
          <w:p w14:paraId="08E04527">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tc>
      </w:tr>
      <w:tr w14:paraId="2009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D048D7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33" w:type="dxa"/>
            <w:shd w:val="clear" w:color="auto" w:fill="FFFFFF"/>
            <w:vAlign w:val="center"/>
          </w:tcPr>
          <w:p w14:paraId="2C4A3DB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招标文件费</w:t>
            </w:r>
          </w:p>
        </w:tc>
        <w:tc>
          <w:tcPr>
            <w:tcW w:w="6850" w:type="dxa"/>
            <w:shd w:val="clear" w:color="auto" w:fill="FFFFFF"/>
            <w:vAlign w:val="center"/>
          </w:tcPr>
          <w:p w14:paraId="35A0CB5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0元/份</w:t>
            </w:r>
          </w:p>
        </w:tc>
      </w:tr>
      <w:tr w14:paraId="6AFB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0033255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633" w:type="dxa"/>
            <w:shd w:val="clear" w:color="auto" w:fill="FFFFFF"/>
            <w:vAlign w:val="center"/>
          </w:tcPr>
          <w:p w14:paraId="7AB13D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850" w:type="dxa"/>
            <w:shd w:val="clear" w:color="auto" w:fill="FFFFFF"/>
            <w:vAlign w:val="center"/>
          </w:tcPr>
          <w:p w14:paraId="2F225E7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14000</w:t>
            </w:r>
            <w:r>
              <w:rPr>
                <w:rFonts w:hint="eastAsia" w:ascii="仿宋" w:hAnsi="仿宋" w:eastAsia="仿宋" w:cs="仿宋"/>
                <w:color w:val="auto"/>
                <w:sz w:val="24"/>
                <w:szCs w:val="24"/>
                <w:highlight w:val="none"/>
              </w:rPr>
              <w:t>.00元</w:t>
            </w:r>
          </w:p>
          <w:p w14:paraId="4606FE70">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（详见第一章3.4.2条）</w:t>
            </w:r>
          </w:p>
        </w:tc>
      </w:tr>
      <w:tr w14:paraId="0F0E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5A6A54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33" w:type="dxa"/>
            <w:shd w:val="clear" w:color="auto" w:fill="FFFFFF"/>
            <w:vAlign w:val="center"/>
          </w:tcPr>
          <w:p w14:paraId="4DF26BAB">
            <w:pPr>
              <w:keepNext/>
              <w:widowControl/>
              <w:spacing w:line="360" w:lineRule="auto"/>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p>
        </w:tc>
        <w:tc>
          <w:tcPr>
            <w:tcW w:w="6850" w:type="dxa"/>
            <w:shd w:val="clear" w:color="auto" w:fill="FFFFFF"/>
            <w:vAlign w:val="center"/>
          </w:tcPr>
          <w:p w14:paraId="70C7AAC4">
            <w:pPr>
              <w:keepNext/>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p w14:paraId="42CCA43B">
            <w:pPr>
              <w:keepNext/>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□统一组织</w:t>
            </w:r>
          </w:p>
        </w:tc>
      </w:tr>
      <w:tr w14:paraId="6626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0C2E8AB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633" w:type="dxa"/>
            <w:shd w:val="clear" w:color="auto" w:fill="FFFFFF"/>
            <w:vAlign w:val="center"/>
          </w:tcPr>
          <w:p w14:paraId="39CF021E">
            <w:pPr>
              <w:keepNext/>
              <w:widowControl/>
              <w:spacing w:line="360" w:lineRule="auto"/>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p>
        </w:tc>
        <w:tc>
          <w:tcPr>
            <w:tcW w:w="6850" w:type="dxa"/>
            <w:shd w:val="clear" w:color="auto" w:fill="FFFFFF"/>
            <w:vAlign w:val="center"/>
          </w:tcPr>
          <w:p w14:paraId="1B4FDED5">
            <w:pPr>
              <w:keepNext/>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p w14:paraId="2BF9489B">
            <w:pPr>
              <w:keepNext/>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r>
      <w:tr w14:paraId="7486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8758C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633" w:type="dxa"/>
            <w:shd w:val="clear" w:color="auto" w:fill="FFFFFF"/>
            <w:vAlign w:val="center"/>
          </w:tcPr>
          <w:p w14:paraId="7580D57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6850" w:type="dxa"/>
            <w:shd w:val="clear" w:color="auto" w:fill="FFFFFF"/>
            <w:vAlign w:val="center"/>
          </w:tcPr>
          <w:p w14:paraId="10201B7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提出询问的，应当在投标文件递交截止时间15日前以书面形式（加盖公章）递交至新疆新世纪招标有限公司，否则采购人不</w:t>
            </w:r>
            <w:r>
              <w:rPr>
                <w:rFonts w:hint="eastAsia" w:ascii="仿宋" w:hAnsi="仿宋" w:eastAsia="仿宋" w:cs="仿宋"/>
                <w:color w:val="auto"/>
                <w:sz w:val="24"/>
                <w:szCs w:val="24"/>
                <w:highlight w:val="none"/>
                <w:lang w:val="en-US" w:eastAsia="zh-CN"/>
              </w:rPr>
              <w:t>做</w:t>
            </w:r>
            <w:r>
              <w:rPr>
                <w:rFonts w:hint="eastAsia" w:ascii="仿宋" w:hAnsi="仿宋" w:eastAsia="仿宋" w:cs="仿宋"/>
                <w:color w:val="auto"/>
                <w:sz w:val="24"/>
                <w:szCs w:val="24"/>
                <w:highlight w:val="none"/>
              </w:rPr>
              <w:t>任何解释。</w:t>
            </w:r>
          </w:p>
          <w:p w14:paraId="0606C3E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提出质疑的，应当在获取招标文件或者招标公告期限届满之日起7个工作日内一次性以书面形式（按照财政部制定的质疑函范本编写）提出并递交至采购代理机构。</w:t>
            </w:r>
          </w:p>
          <w:p w14:paraId="2AC5654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质疑接收人：</w:t>
            </w:r>
            <w:r>
              <w:rPr>
                <w:rFonts w:hint="eastAsia" w:ascii="仿宋" w:hAnsi="仿宋" w:eastAsia="仿宋" w:cs="仿宋"/>
                <w:color w:val="auto"/>
                <w:sz w:val="24"/>
                <w:szCs w:val="24"/>
                <w:highlight w:val="none"/>
                <w:lang w:val="en-US" w:eastAsia="zh-CN"/>
              </w:rPr>
              <w:t>闵俊瑀</w:t>
            </w:r>
            <w:r>
              <w:rPr>
                <w:rFonts w:hint="eastAsia" w:ascii="仿宋" w:hAnsi="仿宋" w:eastAsia="仿宋" w:cs="仿宋"/>
                <w:color w:val="auto"/>
                <w:sz w:val="24"/>
                <w:szCs w:val="24"/>
                <w:highlight w:val="none"/>
              </w:rPr>
              <w:t>；联系方式：0991-4661782。</w:t>
            </w:r>
          </w:p>
          <w:p w14:paraId="400DB9B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7416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2C5479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633" w:type="dxa"/>
            <w:shd w:val="clear" w:color="auto" w:fill="FFFFFF"/>
            <w:vAlign w:val="center"/>
          </w:tcPr>
          <w:p w14:paraId="058A2D2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w:t>
            </w:r>
          </w:p>
        </w:tc>
        <w:tc>
          <w:tcPr>
            <w:tcW w:w="6850" w:type="dxa"/>
            <w:shd w:val="clear" w:color="auto" w:fill="FFFFFF"/>
            <w:vAlign w:val="center"/>
          </w:tcPr>
          <w:p w14:paraId="2C10935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1、本次采购采用电子交易方式，电子交易平台为“政采云平台（https://www.zcygov.cn/）”。投标人参与本项目电子交易活动前，应注册成为政府采购云平台正式投标人。编制电子投标文件前还需申领CA证书并绑定</w:t>
            </w: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。投标人应充分考虑完成平台注册、申领CA证书等所需的时间。因未注册入库、未办理CA数字证书等原因造成无法投标或投标失败等后果由投标人自行承担。</w:t>
            </w:r>
          </w:p>
          <w:p w14:paraId="6118B16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C90514B">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3、加密的电子投标文件应在投标文件递交截止时间前通过政采云平台上传完成。逾期上传或者未上传指定地点的投标文件，不予受理。</w:t>
            </w:r>
          </w:p>
          <w:p w14:paraId="0331C17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0EB15BA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5、如遇“政采云平台（https://www.zcygov.cn/）”电子交易规则调整，以最新要求为准。</w:t>
            </w:r>
          </w:p>
        </w:tc>
      </w:tr>
      <w:tr w14:paraId="0407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744A78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633" w:type="dxa"/>
            <w:shd w:val="clear" w:color="auto" w:fill="FFFFFF"/>
            <w:vAlign w:val="center"/>
          </w:tcPr>
          <w:p w14:paraId="665E8A1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6850" w:type="dxa"/>
            <w:shd w:val="clear" w:color="auto" w:fill="FFFFFF"/>
            <w:vAlign w:val="center"/>
          </w:tcPr>
          <w:p w14:paraId="25BB7E40">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截止时间：</w:t>
            </w:r>
            <w:r>
              <w:rPr>
                <w:rFonts w:hint="eastAsia" w:ascii="仿宋" w:hAnsi="仿宋" w:eastAsia="仿宋" w:cs="仿宋"/>
                <w:color w:val="FF0000"/>
                <w:sz w:val="24"/>
                <w:szCs w:val="24"/>
                <w:highlight w:val="none"/>
                <w:u w:val="single"/>
                <w:lang w:eastAsia="zh-CN"/>
              </w:rPr>
              <w:t>2025年08月08日11:00（北京时间）</w:t>
            </w:r>
          </w:p>
          <w:p w14:paraId="5ADD831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递交地点：加密的电子响应文件（.jmbs格式）应在投标文件递交截止时间前通过政采云平台上传完成。</w:t>
            </w:r>
          </w:p>
        </w:tc>
      </w:tr>
      <w:tr w14:paraId="631D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77A0B03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633" w:type="dxa"/>
            <w:shd w:val="clear" w:color="auto" w:fill="FFFFFF"/>
            <w:vAlign w:val="center"/>
          </w:tcPr>
          <w:p w14:paraId="3050556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w:t>
            </w:r>
          </w:p>
        </w:tc>
        <w:tc>
          <w:tcPr>
            <w:tcW w:w="6850" w:type="dxa"/>
            <w:shd w:val="clear" w:color="auto" w:fill="FFFFFF"/>
            <w:vAlign w:val="center"/>
          </w:tcPr>
          <w:p w14:paraId="2FD18443">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时间：</w:t>
            </w:r>
            <w:r>
              <w:rPr>
                <w:rFonts w:hint="eastAsia" w:ascii="仿宋" w:hAnsi="仿宋" w:eastAsia="仿宋" w:cs="仿宋"/>
                <w:color w:val="FF0000"/>
                <w:sz w:val="24"/>
                <w:szCs w:val="24"/>
                <w:highlight w:val="none"/>
                <w:u w:val="single"/>
                <w:lang w:eastAsia="zh-CN"/>
              </w:rPr>
              <w:t>2025年08月08日11:00（北京时间）</w:t>
            </w:r>
          </w:p>
          <w:p w14:paraId="5A56E2A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政采云平台（https://www.zcygov.cn/）</w:t>
            </w:r>
          </w:p>
        </w:tc>
      </w:tr>
      <w:tr w14:paraId="7A39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74DD892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633" w:type="dxa"/>
            <w:shd w:val="clear" w:color="auto" w:fill="FFFFFF"/>
            <w:vAlign w:val="center"/>
          </w:tcPr>
          <w:p w14:paraId="041DCF0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850" w:type="dxa"/>
            <w:shd w:val="clear" w:color="auto" w:fill="FFFFFF"/>
            <w:vAlign w:val="center"/>
          </w:tcPr>
          <w:p w14:paraId="79738C8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自投标截止之日90日历日</w:t>
            </w:r>
          </w:p>
        </w:tc>
      </w:tr>
      <w:tr w14:paraId="3CEF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16BC41C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633" w:type="dxa"/>
            <w:shd w:val="clear" w:color="auto" w:fill="FFFFFF"/>
            <w:vAlign w:val="center"/>
          </w:tcPr>
          <w:p w14:paraId="1E64D1B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公告发布媒体</w:t>
            </w:r>
          </w:p>
        </w:tc>
        <w:tc>
          <w:tcPr>
            <w:tcW w:w="6850" w:type="dxa"/>
            <w:shd w:val="clear" w:color="auto" w:fill="FFFFFF"/>
            <w:vAlign w:val="center"/>
          </w:tcPr>
          <w:p w14:paraId="1065C57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新疆政府采购网(http://www.ccgp-xinjiang.gov.cn/)</w:t>
            </w:r>
          </w:p>
        </w:tc>
      </w:tr>
      <w:tr w14:paraId="137A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D6494F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633" w:type="dxa"/>
            <w:shd w:val="clear" w:color="auto" w:fill="FFFFFF"/>
            <w:vAlign w:val="center"/>
          </w:tcPr>
          <w:p w14:paraId="4B19344B">
            <w:pPr>
              <w:keepNext/>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履约保证金</w:t>
            </w:r>
          </w:p>
        </w:tc>
        <w:tc>
          <w:tcPr>
            <w:tcW w:w="6850" w:type="dxa"/>
            <w:shd w:val="clear" w:color="auto" w:fill="FFFFFF"/>
            <w:vAlign w:val="center"/>
          </w:tcPr>
          <w:p w14:paraId="420D3229">
            <w:pPr>
              <w:keepNext/>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☑不交纳</w:t>
            </w:r>
          </w:p>
          <w:p w14:paraId="64D2F2E6">
            <w:pPr>
              <w:keepNext/>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□交纳</w:t>
            </w:r>
          </w:p>
        </w:tc>
      </w:tr>
      <w:tr w14:paraId="2A4E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BEC917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633" w:type="dxa"/>
            <w:shd w:val="clear" w:color="auto" w:fill="FFFFFF"/>
            <w:vAlign w:val="center"/>
          </w:tcPr>
          <w:p w14:paraId="3C386B0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中小企业政策说明</w:t>
            </w:r>
          </w:p>
        </w:tc>
        <w:tc>
          <w:tcPr>
            <w:tcW w:w="6850" w:type="dxa"/>
            <w:shd w:val="clear" w:color="auto" w:fill="FFFFFF"/>
            <w:vAlign w:val="center"/>
          </w:tcPr>
          <w:p w14:paraId="51BA4A3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DEA75F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B8D63C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3、在货物采购项目中，投标人提供的货物既有中小企业制造货物，也有大型企业制造货物的，不享受本办法规定的中小企业扶持政策。</w:t>
            </w:r>
          </w:p>
          <w:p w14:paraId="408E17B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4、以联合体形式参加政府采购活动，联合体各方均为中小企业的，联合体视同中小企业。其中，联合体各方均为小微企业的，联合体视同小微企业。</w:t>
            </w:r>
          </w:p>
          <w:p w14:paraId="033F459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5、投标人经享受扶持政策获得政府采购合同的，小微企业不得将合同分包给大中型企业，中型企业不得将合同分包给大型企业；</w:t>
            </w:r>
          </w:p>
          <w:p w14:paraId="3276221E">
            <w:pP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6、本项目中小企业扶持政策：①、符合政府采购优先(节约能源、保护环境) 采购政策及促进中小企业(监狱企业、残疾人福利性单位) 发展政策的，依据规定给予评审优惠。②、因落实政府采购政策对小微企业、残疾人福利性单位、监狱企业的价格给予10%价格扣除；以扣除后的价格参与评审，不重复享受价格扣除政策。</w:t>
            </w:r>
          </w:p>
          <w:p w14:paraId="4AEBEB7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7、根据“关于印发中小企业划型标准规定的通知(工信部联企业〔2011〕300号)”等有关规定，本项目标的所属行业为</w:t>
            </w:r>
            <w:r>
              <w:rPr>
                <w:rFonts w:hint="eastAsia" w:ascii="仿宋" w:hAnsi="仿宋" w:eastAsia="仿宋" w:cs="仿宋"/>
                <w:b/>
                <w:bCs/>
                <w:color w:val="auto"/>
                <w:sz w:val="24"/>
                <w:szCs w:val="24"/>
                <w:highlight w:val="none"/>
                <w:u w:val="single"/>
              </w:rPr>
              <w:t>租赁和商务服务业</w:t>
            </w:r>
            <w:r>
              <w:rPr>
                <w:rFonts w:hint="eastAsia" w:ascii="仿宋" w:hAnsi="仿宋" w:eastAsia="仿宋" w:cs="仿宋"/>
                <w:b/>
                <w:bCs/>
                <w:color w:val="auto"/>
                <w:kern w:val="0"/>
                <w:sz w:val="24"/>
                <w:szCs w:val="24"/>
                <w:highlight w:val="none"/>
                <w:u w:val="single"/>
              </w:rPr>
              <w:t>。</w:t>
            </w:r>
          </w:p>
        </w:tc>
      </w:tr>
      <w:tr w14:paraId="52B3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74C9EC7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633" w:type="dxa"/>
            <w:shd w:val="clear" w:color="auto" w:fill="FFFFFF"/>
            <w:vAlign w:val="center"/>
          </w:tcPr>
          <w:p w14:paraId="380F500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w:t>
            </w:r>
          </w:p>
        </w:tc>
        <w:tc>
          <w:tcPr>
            <w:tcW w:w="6850" w:type="dxa"/>
            <w:shd w:val="clear" w:color="auto" w:fill="FFFFFF"/>
            <w:vAlign w:val="center"/>
          </w:tcPr>
          <w:p w14:paraId="35B8E20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中标单位在收到中标通知书前，以中标价格为基准，计算标准和方法参照国家计委《招标代理服务费管理暂行办法》的通知(计价格[2002]1980号)下浮</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%，由中标单位向新疆新世纪招标有限公司支付代理服务费。</w:t>
            </w:r>
          </w:p>
        </w:tc>
      </w:tr>
      <w:tr w14:paraId="605D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52FA519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633" w:type="dxa"/>
            <w:shd w:val="clear" w:color="auto" w:fill="FFFFFF"/>
            <w:vAlign w:val="center"/>
          </w:tcPr>
          <w:p w14:paraId="0CA4DD9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6850" w:type="dxa"/>
            <w:shd w:val="clear" w:color="auto" w:fill="FFFFFF"/>
            <w:vAlign w:val="center"/>
          </w:tcPr>
          <w:p w14:paraId="59408AC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1、付款币种：本次招标所述的项目资金均以人民币支付。</w:t>
            </w:r>
          </w:p>
          <w:p w14:paraId="06BCCD90">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2、付款方式：最终付款方式以后期与甲方签订合同为准。</w:t>
            </w:r>
          </w:p>
        </w:tc>
      </w:tr>
      <w:tr w14:paraId="5930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69EDE7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633" w:type="dxa"/>
            <w:shd w:val="clear" w:color="auto" w:fill="FFFFFF"/>
            <w:vAlign w:val="center"/>
          </w:tcPr>
          <w:p w14:paraId="24318A7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6850" w:type="dxa"/>
            <w:shd w:val="clear" w:color="auto" w:fill="FFFFFF"/>
            <w:vAlign w:val="center"/>
          </w:tcPr>
          <w:p w14:paraId="0F45858B">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本表内容如与后文内容不一致处，以本表为准。</w:t>
            </w:r>
          </w:p>
        </w:tc>
      </w:tr>
    </w:tbl>
    <w:p w14:paraId="344E556C">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413" w:name="_GoBack"/>
      <w:bookmarkEnd w:id="413"/>
    </w:p>
    <w:p w14:paraId="0FFC1C28">
      <w:pPr>
        <w:spacing w:line="360" w:lineRule="auto"/>
        <w:jc w:val="center"/>
        <w:outlineLvl w:val="0"/>
        <w:rPr>
          <w:rFonts w:hint="eastAsia" w:ascii="仿宋" w:hAnsi="仿宋" w:eastAsia="仿宋" w:cs="仿宋"/>
          <w:b/>
          <w:color w:val="auto"/>
          <w:sz w:val="28"/>
          <w:szCs w:val="28"/>
          <w:highlight w:val="none"/>
        </w:rPr>
      </w:pPr>
      <w:bookmarkStart w:id="2" w:name="_Toc13492"/>
      <w:r>
        <w:rPr>
          <w:rFonts w:hint="eastAsia" w:ascii="仿宋" w:hAnsi="仿宋" w:eastAsia="仿宋" w:cs="仿宋"/>
          <w:b/>
          <w:color w:val="auto"/>
          <w:sz w:val="28"/>
          <w:szCs w:val="28"/>
          <w:highlight w:val="none"/>
        </w:rPr>
        <w:t>第一章 投标人须知</w:t>
      </w:r>
      <w:bookmarkEnd w:id="2"/>
      <w:bookmarkStart w:id="3" w:name="_BookMark_2"/>
      <w:bookmarkEnd w:id="3"/>
    </w:p>
    <w:p w14:paraId="7EDE3CD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 w:name="_Toc4941"/>
      <w:bookmarkStart w:id="5" w:name="_Toc535592195"/>
      <w:r>
        <w:rPr>
          <w:rFonts w:hint="eastAsia" w:ascii="仿宋" w:hAnsi="仿宋" w:eastAsia="仿宋" w:cs="仿宋"/>
          <w:b/>
          <w:color w:val="auto"/>
          <w:sz w:val="24"/>
          <w:szCs w:val="24"/>
          <w:highlight w:val="none"/>
        </w:rPr>
        <w:t>1．总则</w:t>
      </w:r>
      <w:bookmarkEnd w:id="4"/>
      <w:bookmarkEnd w:id="5"/>
    </w:p>
    <w:p w14:paraId="306B9A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 招标项目概况</w:t>
      </w:r>
    </w:p>
    <w:p w14:paraId="79BF9F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1.1.1项目名称：详见投标人须知前附表。</w:t>
      </w:r>
    </w:p>
    <w:p w14:paraId="509380B4">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1.1.2标项名称</w:t>
      </w:r>
      <w:r>
        <w:rPr>
          <w:rFonts w:hint="eastAsia" w:ascii="仿宋" w:hAnsi="仿宋" w:eastAsia="仿宋" w:cs="仿宋"/>
          <w:color w:val="auto"/>
          <w:kern w:val="0"/>
          <w:sz w:val="24"/>
          <w:szCs w:val="24"/>
          <w:highlight w:val="none"/>
        </w:rPr>
        <w:t>：详见投标人须知前附表。</w:t>
      </w:r>
    </w:p>
    <w:p w14:paraId="496026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项目编号：详见投标人须知前附表。</w:t>
      </w:r>
    </w:p>
    <w:p w14:paraId="09D035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采购人：详见投标人须知前附表。</w:t>
      </w:r>
    </w:p>
    <w:p w14:paraId="2513F6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采购代理机构：详见投标人须知前附表。</w:t>
      </w:r>
    </w:p>
    <w:p w14:paraId="4223BB1C">
      <w:pPr>
        <w:pStyle w:val="14"/>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资金来源：详见投标人须知前附表。</w:t>
      </w:r>
    </w:p>
    <w:p w14:paraId="361A06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采购预算金额：详见投标人须知前附表。</w:t>
      </w:r>
    </w:p>
    <w:p w14:paraId="3D579D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服务周期：详见投标人须知前附表。</w:t>
      </w:r>
    </w:p>
    <w:p w14:paraId="6F15296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1.2采购范围：详见投标人须知前附表。</w:t>
      </w:r>
    </w:p>
    <w:p w14:paraId="0C751C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 采购方式和资格审查方式</w:t>
      </w:r>
    </w:p>
    <w:p w14:paraId="083D83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 采购方式：详见投标人须知前附表。</w:t>
      </w:r>
    </w:p>
    <w:p w14:paraId="0CFAFE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 资格审查方式：详见投标人须知前附表。</w:t>
      </w:r>
    </w:p>
    <w:p w14:paraId="53E474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评标办法及定标方法</w:t>
      </w:r>
    </w:p>
    <w:p w14:paraId="4712A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 评标办法：详见投标人须知前附表。</w:t>
      </w:r>
    </w:p>
    <w:p w14:paraId="0BF3D8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 定标方法：详见投标人须知前附表。</w:t>
      </w:r>
    </w:p>
    <w:p w14:paraId="7D6023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 投标人资格条件</w:t>
      </w:r>
    </w:p>
    <w:p w14:paraId="4B6088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 投标人应具备承担本招标项目的资格条件，具体要求详见投标人须知前附表。</w:t>
      </w:r>
    </w:p>
    <w:p w14:paraId="1EF7F4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 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753C7AF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1.5.3 投标人不得存在下列情形之一，否则相关投标均应被否决：</w:t>
      </w:r>
    </w:p>
    <w:p w14:paraId="3BA72E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（1）与采购人存在利害关系可能影响招标公正性的法人、其他组织或者个人的；</w:t>
      </w:r>
    </w:p>
    <w:p w14:paraId="18139F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（2）单位负责人为同一人或者存在控股、管理关系的不同单位，参加同一标段投标或者未划分标段的同一招标项目投标的；</w:t>
      </w:r>
    </w:p>
    <w:p w14:paraId="2F265B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（3）法定代表人为同一个人的两个及两个以上法人，母公司、全资子公司及其控股公司，参加同一标段投标或者未划分标段的同一招标项目投标的；</w:t>
      </w:r>
    </w:p>
    <w:p w14:paraId="6CB16C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（4）被责令停业的； </w:t>
      </w:r>
    </w:p>
    <w:p w14:paraId="1BC8EB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（5）被暂停或取消投标资格的； </w:t>
      </w:r>
    </w:p>
    <w:p w14:paraId="7005C93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（6）财产被接管或冻结的；</w:t>
      </w:r>
    </w:p>
    <w:p w14:paraId="3C4A78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（7）在最近三年内有骗取中标或严重违约或重大质量问题的；</w:t>
      </w:r>
    </w:p>
    <w:p w14:paraId="5E6FED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（8）法律规定的其他情形。</w:t>
      </w:r>
      <w:bookmarkStart w:id="6" w:name="_BookMark_5"/>
      <w:bookmarkEnd w:id="6"/>
    </w:p>
    <w:p w14:paraId="3BC41B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1.6费用承担</w:t>
      </w:r>
    </w:p>
    <w:p w14:paraId="68C8E72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1.6.1招标文件费：详见投标人须知前附表。</w:t>
      </w:r>
    </w:p>
    <w:p w14:paraId="7C10D9D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1.6.2投标人应承担其编制投标文件与递交投标文件所涉及的一切费用，无论投标结果如何，采购人及采购代理机构对上述费用不作任何补偿。采购代理咨询费由中标人支付。</w:t>
      </w:r>
    </w:p>
    <w:p w14:paraId="51295D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1.7投标保证金：详见投标人须知前附表。</w:t>
      </w:r>
    </w:p>
    <w:p w14:paraId="3EC55E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1.8踏勘现场</w:t>
      </w:r>
    </w:p>
    <w:p w14:paraId="00E9BC2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1.8.1 投标人须知前附表规定组织踏勘现场的，采购人或采购代理机构按投标人须知前附表规定的时间、地点组织投标人踏勘项目现场。 </w:t>
      </w:r>
    </w:p>
    <w:p w14:paraId="5C1CEF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1.8.2 投标人踏勘现场发生的费用自理。</w:t>
      </w:r>
    </w:p>
    <w:p w14:paraId="087AD1A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 除采购人或采购代理机构的原因外，投标人自行负责在踏勘现场中所发生的人员伤亡和财产损失。</w:t>
      </w:r>
    </w:p>
    <w:p w14:paraId="2FAC45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1.8.4 采购人或采购代理机构在踏勘现场中介绍的项目有关情况，供投标人在编制投标文件时参考，采购人或采购代理机构不对投标人据此作出的判断和决策负责。</w:t>
      </w:r>
    </w:p>
    <w:p w14:paraId="64AAE6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 是否允许联合体投标：详见投标人须知前附表。</w:t>
      </w:r>
    </w:p>
    <w:p w14:paraId="38EB63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 招标答疑会和招标澄清答疑要求</w:t>
      </w:r>
    </w:p>
    <w:p w14:paraId="4091AB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 投标人若有疑问，应按投标人须知前附表规定的时间、方式向采购人或采购代理机构提出，要求采购人对招标文件予以澄清。</w:t>
      </w:r>
    </w:p>
    <w:p w14:paraId="2FCB34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1.10.2 采购人或采购代理机构将按照投标人须知前附表规定的时间方式对投标人的疑问作出统一的解答。</w:t>
      </w:r>
    </w:p>
    <w:p w14:paraId="2F5F83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1.11投标文件：详见投标人须知前附表。</w:t>
      </w:r>
    </w:p>
    <w:p w14:paraId="11B749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1.12投标文件递交：详见投标人须知前附表。</w:t>
      </w:r>
    </w:p>
    <w:p w14:paraId="133DB1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1.13开标：详见投标人须知前附表。</w:t>
      </w:r>
    </w:p>
    <w:p w14:paraId="56CD37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1.14投标有效期：详见投标人须知前附表。</w:t>
      </w:r>
    </w:p>
    <w:p w14:paraId="4171FC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1.15公告发布媒体：详见投标人须知前附表。</w:t>
      </w:r>
    </w:p>
    <w:p w14:paraId="7449FCD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1.16履约保证金：详见投标人须知前附表。</w:t>
      </w:r>
    </w:p>
    <w:p w14:paraId="6D9950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1.17中小企业政策说明：详见投标人须知前附表。</w:t>
      </w:r>
    </w:p>
    <w:p w14:paraId="29C549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w:t>
      </w:r>
      <w:r>
        <w:rPr>
          <w:rFonts w:hint="eastAsia" w:ascii="仿宋" w:hAnsi="仿宋" w:eastAsia="仿宋" w:cs="仿宋"/>
          <w:color w:val="auto"/>
          <w:sz w:val="24"/>
          <w:szCs w:val="24"/>
          <w:highlight w:val="none"/>
        </w:rPr>
        <w:t>招标代理费</w:t>
      </w:r>
      <w:r>
        <w:rPr>
          <w:rFonts w:hint="eastAsia" w:ascii="仿宋" w:hAnsi="仿宋" w:eastAsia="仿宋" w:cs="仿宋"/>
          <w:color w:val="auto"/>
          <w:kern w:val="0"/>
          <w:sz w:val="24"/>
          <w:szCs w:val="24"/>
          <w:highlight w:val="none"/>
        </w:rPr>
        <w:t>：详见投标人须知前附表。</w:t>
      </w:r>
    </w:p>
    <w:p w14:paraId="437B543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w:t>
      </w:r>
      <w:r>
        <w:rPr>
          <w:rFonts w:hint="eastAsia" w:ascii="仿宋" w:hAnsi="仿宋" w:eastAsia="仿宋" w:cs="仿宋"/>
          <w:color w:val="auto"/>
          <w:sz w:val="24"/>
          <w:szCs w:val="24"/>
          <w:highlight w:val="none"/>
        </w:rPr>
        <w:t>付款方式</w:t>
      </w:r>
      <w:r>
        <w:rPr>
          <w:rFonts w:hint="eastAsia" w:ascii="仿宋" w:hAnsi="仿宋" w:eastAsia="仿宋" w:cs="仿宋"/>
          <w:color w:val="auto"/>
          <w:kern w:val="0"/>
          <w:sz w:val="24"/>
          <w:szCs w:val="24"/>
          <w:highlight w:val="none"/>
        </w:rPr>
        <w:t>：详见投标人须知前附表。</w:t>
      </w:r>
    </w:p>
    <w:p w14:paraId="6F6CCA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1.20保密</w:t>
      </w:r>
    </w:p>
    <w:p w14:paraId="1F3D7C7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7BF5E2D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1.21语言文字</w:t>
      </w:r>
    </w:p>
    <w:p w14:paraId="63E5EC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43884F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1.22计量单位</w:t>
      </w:r>
    </w:p>
    <w:p w14:paraId="4069D4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0556A9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1.23偏离</w:t>
      </w:r>
    </w:p>
    <w:p w14:paraId="67F1A3A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投标文件与招标文件某些要求产生偏离的，偏离应当符合招标文件规定的偏离范围和幅度。</w:t>
      </w:r>
    </w:p>
    <w:p w14:paraId="2EAEBD1B">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7" w:name="_Toc535592196"/>
      <w:bookmarkStart w:id="8" w:name="_Toc20119"/>
      <w:r>
        <w:rPr>
          <w:rFonts w:hint="eastAsia" w:ascii="仿宋" w:hAnsi="仿宋" w:eastAsia="仿宋" w:cs="仿宋"/>
          <w:b/>
          <w:color w:val="auto"/>
          <w:sz w:val="24"/>
          <w:szCs w:val="24"/>
          <w:highlight w:val="none"/>
        </w:rPr>
        <w:t>2．招标文件</w:t>
      </w:r>
      <w:bookmarkEnd w:id="7"/>
      <w:bookmarkEnd w:id="8"/>
    </w:p>
    <w:p w14:paraId="49856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80F63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（1）投标人须知；</w:t>
      </w:r>
    </w:p>
    <w:p w14:paraId="49275CD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（2）评标办法；</w:t>
      </w:r>
    </w:p>
    <w:p w14:paraId="3E758A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（3）合同条款；</w:t>
      </w:r>
    </w:p>
    <w:p w14:paraId="4785B1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（4）服务标准和要求；</w:t>
      </w:r>
    </w:p>
    <w:p w14:paraId="31B3673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（5）投标文件格式；</w:t>
      </w:r>
    </w:p>
    <w:p w14:paraId="35317E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（6）补充条款。</w:t>
      </w:r>
    </w:p>
    <w:p w14:paraId="3F9EB5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根据本章第2.4款和第2.5款对招标文件所作的澄清、修改，构成招标文件的组成部分。</w:t>
      </w:r>
    </w:p>
    <w:p w14:paraId="119FF0A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 招标文件的获取</w:t>
      </w:r>
    </w:p>
    <w:p w14:paraId="1FCE2A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凡有意参加并符合投标人须知前附表“投标人资格条件和能力”的投标人，均可在采购代理机构获取招标文件。</w:t>
      </w:r>
    </w:p>
    <w:p w14:paraId="59FF43F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招标文件的澄清</w:t>
      </w:r>
    </w:p>
    <w:p w14:paraId="2F9983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2FE5C5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5CB0D8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2CCE1D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4A9ABB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在投标人须知前附表规定的截止时间前，无论出于何种原因，采购代理机构和采购人可主动地或在解答潜在投标人提出的澄清问题时对招标文件进行修改。</w:t>
      </w:r>
    </w:p>
    <w:p w14:paraId="5B0151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44368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为使投标人准备投标时有充分时间对招标文件的修改部分进行研究，采购人可适当推迟投标截止期。</w:t>
      </w:r>
    </w:p>
    <w:p w14:paraId="268737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当采购人发放的招标文件及招标文件的答疑文件、修改文件、补充文件前后不一致，发生矛盾情况时，以最后发出的为准。</w:t>
      </w:r>
    </w:p>
    <w:p w14:paraId="08DB4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1E843EA4">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9" w:name="_BookMark_6"/>
      <w:bookmarkEnd w:id="9"/>
      <w:bookmarkStart w:id="10" w:name="_Toc535592197"/>
      <w:bookmarkStart w:id="11" w:name="_Toc19174"/>
      <w:r>
        <w:rPr>
          <w:rFonts w:hint="eastAsia" w:ascii="仿宋" w:hAnsi="仿宋" w:eastAsia="仿宋" w:cs="仿宋"/>
          <w:b/>
          <w:color w:val="auto"/>
          <w:sz w:val="24"/>
          <w:szCs w:val="24"/>
          <w:highlight w:val="none"/>
        </w:rPr>
        <w:t>3．投标文件</w:t>
      </w:r>
      <w:bookmarkEnd w:id="10"/>
      <w:bookmarkEnd w:id="11"/>
    </w:p>
    <w:p w14:paraId="0C4C5A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033268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3.1.1投标文件应包括下列内容：</w:t>
      </w:r>
    </w:p>
    <w:p w14:paraId="6DCDC6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投标函</w:t>
      </w:r>
      <w:r>
        <w:rPr>
          <w:rFonts w:hint="eastAsia" w:ascii="仿宋" w:hAnsi="仿宋" w:eastAsia="仿宋" w:cs="仿宋"/>
          <w:color w:val="auto"/>
          <w:kern w:val="0"/>
          <w:sz w:val="24"/>
          <w:szCs w:val="24"/>
          <w:highlight w:val="none"/>
          <w:lang w:eastAsia="zh-CN"/>
        </w:rPr>
        <w:t>；</w:t>
      </w:r>
    </w:p>
    <w:p w14:paraId="589B6F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kern w:val="0"/>
          <w:sz w:val="24"/>
          <w:szCs w:val="24"/>
          <w:highlight w:val="none"/>
          <w:lang w:eastAsia="zh-CN"/>
        </w:rPr>
        <w:t>；</w:t>
      </w:r>
    </w:p>
    <w:p w14:paraId="2937C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投标价格明细表</w:t>
      </w:r>
      <w:r>
        <w:rPr>
          <w:rFonts w:hint="eastAsia" w:ascii="仿宋" w:hAnsi="仿宋" w:eastAsia="仿宋" w:cs="仿宋"/>
          <w:color w:val="auto"/>
          <w:kern w:val="0"/>
          <w:sz w:val="24"/>
          <w:szCs w:val="24"/>
          <w:highlight w:val="none"/>
          <w:lang w:eastAsia="zh-CN"/>
        </w:rPr>
        <w:t>；</w:t>
      </w:r>
    </w:p>
    <w:p w14:paraId="4A3A7C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商务条款偏离表</w:t>
      </w:r>
      <w:r>
        <w:rPr>
          <w:rFonts w:hint="eastAsia" w:ascii="仿宋" w:hAnsi="仿宋" w:eastAsia="仿宋" w:cs="仿宋"/>
          <w:color w:val="auto"/>
          <w:kern w:val="0"/>
          <w:sz w:val="24"/>
          <w:szCs w:val="24"/>
          <w:highlight w:val="none"/>
          <w:lang w:eastAsia="zh-CN"/>
        </w:rPr>
        <w:t>；</w:t>
      </w:r>
    </w:p>
    <w:p w14:paraId="1B59A9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技术条款偏离表</w:t>
      </w:r>
      <w:r>
        <w:rPr>
          <w:rFonts w:hint="eastAsia" w:ascii="仿宋" w:hAnsi="仿宋" w:eastAsia="仿宋" w:cs="仿宋"/>
          <w:color w:val="auto"/>
          <w:kern w:val="0"/>
          <w:sz w:val="24"/>
          <w:szCs w:val="24"/>
          <w:highlight w:val="none"/>
          <w:lang w:eastAsia="zh-CN"/>
        </w:rPr>
        <w:t>；</w:t>
      </w:r>
    </w:p>
    <w:p w14:paraId="77F687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法定代表人身份证明书</w:t>
      </w:r>
      <w:r>
        <w:rPr>
          <w:rFonts w:hint="eastAsia" w:ascii="仿宋" w:hAnsi="仿宋" w:eastAsia="仿宋" w:cs="仿宋"/>
          <w:color w:val="auto"/>
          <w:kern w:val="0"/>
          <w:sz w:val="24"/>
          <w:szCs w:val="24"/>
          <w:highlight w:val="none"/>
          <w:lang w:eastAsia="zh-CN"/>
        </w:rPr>
        <w:t>；</w:t>
      </w:r>
    </w:p>
    <w:p w14:paraId="52E092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法定代表人授权委托书</w:t>
      </w:r>
      <w:r>
        <w:rPr>
          <w:rFonts w:hint="eastAsia" w:ascii="仿宋" w:hAnsi="仿宋" w:eastAsia="仿宋" w:cs="仿宋"/>
          <w:color w:val="auto"/>
          <w:kern w:val="0"/>
          <w:sz w:val="24"/>
          <w:szCs w:val="24"/>
          <w:highlight w:val="none"/>
          <w:lang w:eastAsia="zh-CN"/>
        </w:rPr>
        <w:t>；</w:t>
      </w:r>
    </w:p>
    <w:p w14:paraId="6B5FF5F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投标人基本情况</w:t>
      </w:r>
      <w:r>
        <w:rPr>
          <w:rFonts w:hint="eastAsia" w:ascii="仿宋" w:hAnsi="仿宋" w:eastAsia="仿宋" w:cs="仿宋"/>
          <w:color w:val="auto"/>
          <w:kern w:val="0"/>
          <w:sz w:val="24"/>
          <w:szCs w:val="24"/>
          <w:highlight w:val="none"/>
          <w:lang w:eastAsia="zh-CN"/>
        </w:rPr>
        <w:t>；</w:t>
      </w:r>
    </w:p>
    <w:p w14:paraId="140AD6A7">
      <w:pPr>
        <w:widowControl/>
        <w:shd w:val="clear" w:color="auto" w:fill="FFFFFF"/>
        <w:snapToGrid w:val="0"/>
        <w:spacing w:line="360" w:lineRule="auto"/>
        <w:ind w:firstLine="720" w:firstLine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8.1</w:t>
      </w:r>
      <w:r>
        <w:rPr>
          <w:rFonts w:hint="eastAsia" w:ascii="仿宋" w:hAnsi="仿宋" w:eastAsia="仿宋" w:cs="仿宋"/>
          <w:color w:val="auto"/>
          <w:kern w:val="0"/>
          <w:sz w:val="24"/>
          <w:szCs w:val="24"/>
          <w:highlight w:val="none"/>
        </w:rPr>
        <w:t>法人或者其他组织的营业执照等证明文件，自然人的身份证明</w:t>
      </w:r>
      <w:r>
        <w:rPr>
          <w:rFonts w:hint="eastAsia" w:ascii="仿宋" w:hAnsi="仿宋" w:eastAsia="仿宋" w:cs="仿宋"/>
          <w:color w:val="auto"/>
          <w:kern w:val="0"/>
          <w:sz w:val="24"/>
          <w:szCs w:val="24"/>
          <w:highlight w:val="none"/>
          <w:lang w:eastAsia="zh-CN"/>
        </w:rPr>
        <w:t>；</w:t>
      </w:r>
    </w:p>
    <w:p w14:paraId="4525C333">
      <w:pPr>
        <w:widowControl/>
        <w:shd w:val="clear" w:color="auto" w:fill="FFFFFF"/>
        <w:snapToGrid w:val="0"/>
        <w:spacing w:line="360" w:lineRule="auto"/>
        <w:ind w:firstLine="720" w:firstLine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8.2</w:t>
      </w:r>
      <w:r>
        <w:rPr>
          <w:rFonts w:hint="eastAsia" w:ascii="仿宋" w:hAnsi="仿宋" w:eastAsia="仿宋" w:cs="仿宋"/>
          <w:color w:val="auto"/>
          <w:kern w:val="0"/>
          <w:sz w:val="24"/>
          <w:szCs w:val="24"/>
          <w:highlight w:val="none"/>
        </w:rPr>
        <w:t>财务状况报告，依法缴纳税收和社会保障资金的相关材料</w:t>
      </w:r>
      <w:r>
        <w:rPr>
          <w:rFonts w:hint="eastAsia" w:ascii="仿宋" w:hAnsi="仿宋" w:eastAsia="仿宋" w:cs="仿宋"/>
          <w:color w:val="auto"/>
          <w:kern w:val="0"/>
          <w:sz w:val="24"/>
          <w:szCs w:val="24"/>
          <w:highlight w:val="none"/>
          <w:lang w:eastAsia="zh-CN"/>
        </w:rPr>
        <w:t>；</w:t>
      </w:r>
    </w:p>
    <w:p w14:paraId="250A0FFA">
      <w:pPr>
        <w:widowControl/>
        <w:shd w:val="clear" w:color="auto" w:fill="FFFFFF"/>
        <w:snapToGrid w:val="0"/>
        <w:spacing w:line="360" w:lineRule="auto"/>
        <w:ind w:firstLine="720" w:firstLine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color w:val="auto"/>
          <w:kern w:val="0"/>
          <w:sz w:val="24"/>
          <w:szCs w:val="24"/>
          <w:highlight w:val="none"/>
        </w:rPr>
        <w:t>具备履行合同所必需的设备和专业技术能力的证明材料</w:t>
      </w:r>
      <w:r>
        <w:rPr>
          <w:rFonts w:hint="eastAsia" w:ascii="仿宋" w:hAnsi="仿宋" w:eastAsia="仿宋" w:cs="仿宋"/>
          <w:color w:val="auto"/>
          <w:kern w:val="0"/>
          <w:sz w:val="24"/>
          <w:szCs w:val="24"/>
          <w:highlight w:val="none"/>
          <w:lang w:eastAsia="zh-CN"/>
        </w:rPr>
        <w:t>；</w:t>
      </w:r>
    </w:p>
    <w:p w14:paraId="793E3766">
      <w:pPr>
        <w:widowControl/>
        <w:shd w:val="clear" w:color="auto" w:fill="FFFFFF"/>
        <w:snapToGrid w:val="0"/>
        <w:spacing w:line="360" w:lineRule="auto"/>
        <w:ind w:firstLine="720" w:firstLine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参加政府采购活动前3年内在经营活动中没有重大违法记录的书面声明</w:t>
      </w:r>
      <w:r>
        <w:rPr>
          <w:rFonts w:hint="eastAsia" w:ascii="仿宋" w:hAnsi="仿宋" w:eastAsia="仿宋" w:cs="仿宋"/>
          <w:color w:val="auto"/>
          <w:kern w:val="0"/>
          <w:sz w:val="24"/>
          <w:szCs w:val="24"/>
          <w:highlight w:val="none"/>
          <w:lang w:eastAsia="zh-CN"/>
        </w:rPr>
        <w:t>；</w:t>
      </w:r>
    </w:p>
    <w:p w14:paraId="7C91DEA6">
      <w:pPr>
        <w:widowControl/>
        <w:shd w:val="clear" w:color="auto" w:fill="FFFFFF"/>
        <w:snapToGrid w:val="0"/>
        <w:spacing w:line="360" w:lineRule="auto"/>
        <w:ind w:firstLine="720" w:firstLine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8.5</w:t>
      </w:r>
      <w:r>
        <w:rPr>
          <w:rFonts w:hint="eastAsia" w:ascii="仿宋" w:hAnsi="仿宋" w:eastAsia="仿宋" w:cs="仿宋"/>
          <w:color w:val="auto"/>
          <w:kern w:val="0"/>
          <w:sz w:val="24"/>
          <w:szCs w:val="24"/>
          <w:highlight w:val="none"/>
        </w:rPr>
        <w:t>具备法律、行政法规规定的其他条件的证明材料</w:t>
      </w:r>
      <w:r>
        <w:rPr>
          <w:rFonts w:hint="eastAsia" w:ascii="仿宋" w:hAnsi="仿宋" w:eastAsia="仿宋" w:cs="仿宋"/>
          <w:color w:val="auto"/>
          <w:kern w:val="0"/>
          <w:sz w:val="24"/>
          <w:szCs w:val="24"/>
          <w:highlight w:val="none"/>
          <w:lang w:eastAsia="zh-CN"/>
        </w:rPr>
        <w:t>；</w:t>
      </w:r>
    </w:p>
    <w:p w14:paraId="1C53E4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投标人近三年类似项目业绩表</w:t>
      </w:r>
      <w:r>
        <w:rPr>
          <w:rFonts w:hint="eastAsia" w:ascii="仿宋" w:hAnsi="仿宋" w:eastAsia="仿宋" w:cs="仿宋"/>
          <w:color w:val="auto"/>
          <w:kern w:val="0"/>
          <w:sz w:val="24"/>
          <w:szCs w:val="24"/>
          <w:highlight w:val="none"/>
          <w:lang w:eastAsia="zh-CN"/>
        </w:rPr>
        <w:t>；</w:t>
      </w:r>
    </w:p>
    <w:p w14:paraId="70B2E6E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项目负责人简历表</w:t>
      </w:r>
      <w:r>
        <w:rPr>
          <w:rFonts w:hint="eastAsia" w:ascii="仿宋" w:hAnsi="仿宋" w:eastAsia="仿宋" w:cs="仿宋"/>
          <w:color w:val="auto"/>
          <w:kern w:val="0"/>
          <w:sz w:val="24"/>
          <w:szCs w:val="24"/>
          <w:highlight w:val="none"/>
          <w:lang w:eastAsia="zh-CN"/>
        </w:rPr>
        <w:t>；</w:t>
      </w:r>
    </w:p>
    <w:p w14:paraId="3783C4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拟派本项目服务人员情况表</w:t>
      </w:r>
      <w:r>
        <w:rPr>
          <w:rFonts w:hint="eastAsia" w:ascii="仿宋" w:hAnsi="仿宋" w:eastAsia="仿宋" w:cs="仿宋"/>
          <w:color w:val="auto"/>
          <w:kern w:val="0"/>
          <w:sz w:val="24"/>
          <w:szCs w:val="24"/>
          <w:highlight w:val="none"/>
          <w:lang w:eastAsia="zh-CN"/>
        </w:rPr>
        <w:t>；</w:t>
      </w:r>
    </w:p>
    <w:p w14:paraId="63A067F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服务方案</w:t>
      </w:r>
      <w:r>
        <w:rPr>
          <w:rFonts w:hint="eastAsia" w:ascii="仿宋" w:hAnsi="仿宋" w:eastAsia="仿宋" w:cs="仿宋"/>
          <w:color w:val="auto"/>
          <w:kern w:val="0"/>
          <w:sz w:val="24"/>
          <w:szCs w:val="24"/>
          <w:highlight w:val="none"/>
          <w:lang w:eastAsia="zh-CN"/>
        </w:rPr>
        <w:t>；</w:t>
      </w:r>
    </w:p>
    <w:p w14:paraId="47DB50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其他需要提交的资料</w:t>
      </w:r>
      <w:r>
        <w:rPr>
          <w:rFonts w:hint="eastAsia" w:ascii="仿宋" w:hAnsi="仿宋" w:eastAsia="仿宋" w:cs="仿宋"/>
          <w:color w:val="auto"/>
          <w:kern w:val="0"/>
          <w:sz w:val="24"/>
          <w:szCs w:val="24"/>
          <w:highlight w:val="none"/>
          <w:lang w:eastAsia="zh-CN"/>
        </w:rPr>
        <w:t>。</w:t>
      </w:r>
    </w:p>
    <w:p w14:paraId="196B5D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3.1.2 投标人须知前附表规定不接受联合体投标的，或投标人没有组成联合体的，投标文件不包括本章所指的联合体协议书。 </w:t>
      </w:r>
    </w:p>
    <w:p w14:paraId="0439F7F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62E094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59F532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投标人的投标价格不能超出本项目采购预算金额。</w:t>
      </w:r>
    </w:p>
    <w:p w14:paraId="482838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D70C9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461113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5E19016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 投标保证金的有效期与投标有效期一致。</w:t>
      </w:r>
    </w:p>
    <w:p w14:paraId="0F59A1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0357E2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2A82C976">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5F8EDFDE">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117BC497">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73714D26">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272FBDA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69BDF1BB">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 投标保证金是为了保护采购人免遭因投标人的行为而蒙受损失。采购人在因投标人的行为受到损害时可根据相关法律规定没收投标人的投标保证金。</w:t>
      </w:r>
    </w:p>
    <w:p w14:paraId="4A5E82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59E72AE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074CEF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 有下列情形之一的，投标保证金不予退还：</w:t>
      </w:r>
    </w:p>
    <w:p w14:paraId="59E81C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1CD3850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（2）中标人在收到中标通知书后，无正当理由拒签合同协议书或在签订合同时提出附加条件或者更改合同实质性内容的；</w:t>
      </w:r>
    </w:p>
    <w:p w14:paraId="74278A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68F4DC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1FF8E7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72E632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4DADFF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2" w:name="_BookMark_7"/>
      <w:bookmarkEnd w:id="12"/>
      <w:bookmarkStart w:id="13" w:name="_Toc535592198"/>
      <w:r>
        <w:rPr>
          <w:rFonts w:hint="eastAsia" w:ascii="仿宋" w:hAnsi="仿宋" w:eastAsia="仿宋" w:cs="仿宋"/>
          <w:color w:val="auto"/>
          <w:kern w:val="0"/>
          <w:sz w:val="24"/>
          <w:szCs w:val="24"/>
          <w:highlight w:val="none"/>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083433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3.5.4电子投标文件须使用投标人电子公章及法定代表人的电子签名。</w:t>
      </w:r>
    </w:p>
    <w:p w14:paraId="545142AD">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szCs w:val="24"/>
          <w:highlight w:val="none"/>
          <w:shd w:val="clear" w:color="auto" w:fill="FFFFFF" w:themeFill="background1"/>
        </w:rPr>
        <w:t>。</w:t>
      </w:r>
    </w:p>
    <w:p w14:paraId="349CFAE2">
      <w:pPr>
        <w:tabs>
          <w:tab w:val="center" w:pos="4832"/>
          <w:tab w:val="left" w:pos="7140"/>
        </w:tabs>
        <w:spacing w:line="360" w:lineRule="auto"/>
        <w:ind w:firstLine="470" w:firstLineChars="196"/>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3.5.6</w:t>
      </w:r>
      <w:r>
        <w:rPr>
          <w:rFonts w:hint="eastAsia" w:ascii="仿宋" w:hAnsi="仿宋" w:eastAsia="仿宋" w:cs="仿宋"/>
          <w:color w:val="auto"/>
          <w:sz w:val="24"/>
          <w:szCs w:val="24"/>
          <w:highlight w:val="none"/>
          <w:shd w:val="clear" w:color="auto" w:fill="FFFFFF" w:themeFill="background1"/>
        </w:rPr>
        <w:t>未按招标文件要求签署和盖章的投标文件，其投标将被认定为投标无效。</w:t>
      </w:r>
    </w:p>
    <w:p w14:paraId="0B311A8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4" w:name="_Toc28962"/>
      <w:r>
        <w:rPr>
          <w:rFonts w:hint="eastAsia" w:ascii="仿宋" w:hAnsi="仿宋" w:eastAsia="仿宋" w:cs="仿宋"/>
          <w:b/>
          <w:color w:val="auto"/>
          <w:sz w:val="24"/>
          <w:szCs w:val="24"/>
          <w:highlight w:val="none"/>
        </w:rPr>
        <w:t>4．投标</w:t>
      </w:r>
      <w:bookmarkEnd w:id="13"/>
      <w:bookmarkEnd w:id="14"/>
    </w:p>
    <w:p w14:paraId="76AE2177">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5" w:name="_BookMark_8"/>
      <w:bookmarkEnd w:id="15"/>
      <w:bookmarkStart w:id="16" w:name="_Toc535592199"/>
      <w:r>
        <w:rPr>
          <w:rFonts w:hint="eastAsia" w:ascii="仿宋" w:hAnsi="仿宋" w:eastAsia="仿宋" w:cs="仿宋"/>
          <w:bCs/>
          <w:color w:val="auto"/>
          <w:sz w:val="24"/>
          <w:szCs w:val="24"/>
          <w:highlight w:val="none"/>
        </w:rPr>
        <w:t>4.1本次采购采用电子交易方式，电子交易平台为“政采云平台（https://www.zcygov.cn/）”。投标人参与本项目电子交易活动前，应注册成为政府采购云平台投标人。编制电子投标文件前还需申领CA证书并绑定</w:t>
      </w:r>
      <w:r>
        <w:rPr>
          <w:rFonts w:hint="eastAsia" w:ascii="仿宋" w:hAnsi="仿宋" w:eastAsia="仿宋" w:cs="仿宋"/>
          <w:bCs/>
          <w:color w:val="auto"/>
          <w:sz w:val="24"/>
          <w:szCs w:val="24"/>
          <w:highlight w:val="none"/>
          <w:lang w:eastAsia="zh-CN"/>
        </w:rPr>
        <w:t>账号</w:t>
      </w:r>
      <w:r>
        <w:rPr>
          <w:rFonts w:hint="eastAsia" w:ascii="仿宋" w:hAnsi="仿宋" w:eastAsia="仿宋" w:cs="仿宋"/>
          <w:bCs/>
          <w:color w:val="auto"/>
          <w:sz w:val="24"/>
          <w:szCs w:val="24"/>
          <w:highlight w:val="none"/>
        </w:rPr>
        <w:t xml:space="preserve">。投标人应充分考虑完成平台注册、申领CA证书等所需的时间。因未注册入库、未办理CA数字证书等原因造成无法投标或投标失败等后果由投标人自行承担。 </w:t>
      </w:r>
    </w:p>
    <w:p w14:paraId="3B6997A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AE2A8D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5B4343D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2BE6397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19D997D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0E50A5D7">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（1）逾期上传的投标文件；</w:t>
      </w:r>
    </w:p>
    <w:p w14:paraId="6D6F01C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（2）未按招标文件要求加密的投标文件。</w:t>
      </w:r>
    </w:p>
    <w:p w14:paraId="20CF37F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7217601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A5DAA45">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6D109C0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34B29FCC">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2C2BF48F">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31720"/>
      <w:r>
        <w:rPr>
          <w:rFonts w:hint="eastAsia" w:ascii="仿宋" w:hAnsi="仿宋" w:eastAsia="仿宋" w:cs="仿宋"/>
          <w:b/>
          <w:color w:val="auto"/>
          <w:sz w:val="24"/>
          <w:szCs w:val="24"/>
          <w:highlight w:val="none"/>
        </w:rPr>
        <w:t>5．开标</w:t>
      </w:r>
      <w:bookmarkEnd w:id="16"/>
      <w:bookmarkEnd w:id="17"/>
    </w:p>
    <w:p w14:paraId="0DBCB8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56BD1B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采购人在投标人须知前附表规定的时间、地点公开开标，并邀请所有投标人的法定代表人或其授权委托人参加。</w:t>
      </w:r>
    </w:p>
    <w:p w14:paraId="1669B1E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BBFE0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6445C9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（1）投标人解密投标文件</w:t>
      </w:r>
      <w:r>
        <w:rPr>
          <w:rFonts w:hint="eastAsia" w:ascii="仿宋" w:hAnsi="仿宋" w:eastAsia="仿宋" w:cs="仿宋"/>
          <w:color w:val="auto"/>
          <w:kern w:val="0"/>
          <w:sz w:val="24"/>
          <w:szCs w:val="24"/>
          <w:highlight w:val="none"/>
          <w:lang w:eastAsia="zh-CN"/>
        </w:rPr>
        <w:t>；</w:t>
      </w:r>
    </w:p>
    <w:p w14:paraId="0AFFE6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（2）开启报价文件</w:t>
      </w:r>
      <w:r>
        <w:rPr>
          <w:rFonts w:hint="eastAsia" w:ascii="仿宋" w:hAnsi="仿宋" w:eastAsia="仿宋" w:cs="仿宋"/>
          <w:color w:val="auto"/>
          <w:kern w:val="0"/>
          <w:sz w:val="24"/>
          <w:szCs w:val="24"/>
          <w:highlight w:val="none"/>
          <w:lang w:eastAsia="zh-CN"/>
        </w:rPr>
        <w:t>；</w:t>
      </w:r>
    </w:p>
    <w:p w14:paraId="27702C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（3）投标人线上签字确认</w:t>
      </w:r>
      <w:r>
        <w:rPr>
          <w:rFonts w:hint="eastAsia" w:ascii="仿宋" w:hAnsi="仿宋" w:eastAsia="仿宋" w:cs="仿宋"/>
          <w:color w:val="auto"/>
          <w:kern w:val="0"/>
          <w:sz w:val="24"/>
          <w:szCs w:val="24"/>
          <w:highlight w:val="none"/>
          <w:lang w:eastAsia="zh-CN"/>
        </w:rPr>
        <w:t>；</w:t>
      </w:r>
    </w:p>
    <w:p w14:paraId="626C3A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（4）开标结束</w:t>
      </w:r>
      <w:r>
        <w:rPr>
          <w:rFonts w:hint="eastAsia" w:ascii="仿宋" w:hAnsi="仿宋" w:eastAsia="仿宋" w:cs="仿宋"/>
          <w:color w:val="auto"/>
          <w:kern w:val="0"/>
          <w:sz w:val="24"/>
          <w:szCs w:val="24"/>
          <w:highlight w:val="none"/>
          <w:lang w:eastAsia="zh-CN"/>
        </w:rPr>
        <w:t>。</w:t>
      </w:r>
    </w:p>
    <w:p w14:paraId="709499A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8" w:name="_BookMark_9"/>
      <w:bookmarkEnd w:id="18"/>
      <w:bookmarkStart w:id="19" w:name="_Toc535592200"/>
      <w:bookmarkStart w:id="20" w:name="_Toc13908"/>
      <w:r>
        <w:rPr>
          <w:rFonts w:hint="eastAsia" w:ascii="仿宋" w:hAnsi="仿宋" w:eastAsia="仿宋" w:cs="仿宋"/>
          <w:b/>
          <w:color w:val="auto"/>
          <w:sz w:val="24"/>
          <w:szCs w:val="24"/>
          <w:highlight w:val="none"/>
        </w:rPr>
        <w:t>6．评标</w:t>
      </w:r>
      <w:bookmarkEnd w:id="19"/>
      <w:bookmarkEnd w:id="20"/>
    </w:p>
    <w:p w14:paraId="3A3D7F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评标小组</w:t>
      </w:r>
    </w:p>
    <w:p w14:paraId="5BAF9D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评标由采购人按照《政府采购评标专家管理办法》财库〔2016〕198号，依法组建的评标小组负责。评标小组由采购人熟悉相关业务的代表，以及有关技术、经济等方面的专家组成。</w:t>
      </w:r>
    </w:p>
    <w:p w14:paraId="3E9FE9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评标小组成员有下列情形之一的，应当回避：</w:t>
      </w:r>
    </w:p>
    <w:p w14:paraId="2C17EF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27E1EA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4C68FD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682C4C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6.2 评标原则 </w:t>
      </w:r>
    </w:p>
    <w:p w14:paraId="3A00BE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582C1C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92D2E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评标小组按照招标文件中规定的方法、评标因素、标准和程序对投标文件进行评标。</w:t>
      </w:r>
    </w:p>
    <w:p w14:paraId="36AB8E1E">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BookMark_10"/>
      <w:bookmarkEnd w:id="21"/>
      <w:bookmarkStart w:id="22" w:name="_Toc535592201"/>
      <w:bookmarkStart w:id="23" w:name="_Toc15685"/>
      <w:r>
        <w:rPr>
          <w:rFonts w:hint="eastAsia" w:ascii="仿宋" w:hAnsi="仿宋" w:eastAsia="仿宋" w:cs="仿宋"/>
          <w:b/>
          <w:color w:val="auto"/>
          <w:sz w:val="24"/>
          <w:szCs w:val="24"/>
          <w:highlight w:val="none"/>
        </w:rPr>
        <w:t>7．定标及合同授予</w:t>
      </w:r>
      <w:bookmarkEnd w:id="22"/>
      <w:bookmarkEnd w:id="23"/>
    </w:p>
    <w:p w14:paraId="531D22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7C667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505D4A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63514E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DDB11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6CE013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 履约保证金</w:t>
      </w:r>
    </w:p>
    <w:p w14:paraId="5533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22A86D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中标人不能按要求提交履约保证金的，视为放弃中标，其投标保证金不予退还；给采购人造成的损失超过投标保证金数额的，中标人还应当对超过部分予以赔偿。</w:t>
      </w:r>
    </w:p>
    <w:p w14:paraId="73656F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 签订合同</w:t>
      </w:r>
    </w:p>
    <w:p w14:paraId="0BD4A8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6C2130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6ADC22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7.4.3发出中标通知书后，中标人无正当理由拒签合同的，采购人取消其中标资格，其投标保证金不予退还；给采购人造成的损失超过投标保证金数额的，中标人还应当对超过部分予以赔偿。</w:t>
      </w:r>
    </w:p>
    <w:p w14:paraId="15C5E5EA">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4" w:name="_BookMark_11"/>
      <w:bookmarkEnd w:id="24"/>
      <w:bookmarkStart w:id="25" w:name="_Toc535592202"/>
      <w:bookmarkStart w:id="26" w:name="_Toc29318"/>
      <w:r>
        <w:rPr>
          <w:rFonts w:hint="eastAsia" w:ascii="仿宋" w:hAnsi="仿宋" w:eastAsia="仿宋" w:cs="仿宋"/>
          <w:b/>
          <w:color w:val="auto"/>
          <w:sz w:val="24"/>
          <w:szCs w:val="24"/>
          <w:highlight w:val="none"/>
        </w:rPr>
        <w:t>8．纪律和监督</w:t>
      </w:r>
      <w:bookmarkEnd w:id="25"/>
      <w:bookmarkEnd w:id="26"/>
    </w:p>
    <w:p w14:paraId="4A04F2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6D3E2C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488CE9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6DF910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投标人不得相互串通投标或者与采购人串通投标，不得向采购人或者评标小组成员行贿谋取中标，不得以他人名义投标或者以其他方式弄虚作假骗取中标；投标人不得以任何方式干扰、影响评标工作。</w:t>
      </w:r>
    </w:p>
    <w:p w14:paraId="4026C1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对评标小组成员的纪律要求</w:t>
      </w:r>
    </w:p>
    <w:p w14:paraId="58C854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评标小组成员不得收受他人的财物或者其他好处，不得向他人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对投标文件的评标和比较、中标候选人的推荐情况以及评标有关的其他情况。在评标活动中，评标小组成员不得擅离职守，影响评标程序正常进行，不得使用评标办法没有规定的评标因素和标准进行评标。</w:t>
      </w:r>
    </w:p>
    <w:p w14:paraId="1DB920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104F1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对投标文件的评标和比较、中标候选人的推荐情况以及评标有关的其他情况。在评标活动中，与评标活动有关的工作人员不得擅离职守，影响评标程序正常进行。</w:t>
      </w:r>
    </w:p>
    <w:p w14:paraId="2021C1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2D0DFDCE">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66EDE37B">
      <w:pPr>
        <w:widowControl/>
        <w:shd w:val="clear" w:color="auto" w:fill="FFFFFF"/>
        <w:snapToGrid w:val="0"/>
        <w:spacing w:line="360" w:lineRule="auto"/>
        <w:jc w:val="center"/>
        <w:outlineLvl w:val="0"/>
        <w:rPr>
          <w:rFonts w:hint="eastAsia" w:ascii="仿宋" w:hAnsi="仿宋" w:eastAsia="仿宋" w:cs="仿宋"/>
          <w:b/>
          <w:color w:val="auto"/>
          <w:sz w:val="28"/>
          <w:szCs w:val="28"/>
          <w:highlight w:val="none"/>
        </w:rPr>
      </w:pPr>
      <w:bookmarkStart w:id="27" w:name="_Toc28275"/>
      <w:r>
        <w:rPr>
          <w:rFonts w:hint="eastAsia" w:ascii="仿宋" w:hAnsi="仿宋" w:eastAsia="仿宋" w:cs="仿宋"/>
          <w:b/>
          <w:color w:val="auto"/>
          <w:sz w:val="28"/>
          <w:szCs w:val="28"/>
          <w:highlight w:val="none"/>
        </w:rPr>
        <w:t>第二章 评标办法</w:t>
      </w:r>
      <w:bookmarkEnd w:id="27"/>
    </w:p>
    <w:p w14:paraId="641BCEAC">
      <w:pPr>
        <w:tabs>
          <w:tab w:val="center" w:pos="4832"/>
          <w:tab w:val="left" w:pos="7140"/>
        </w:tabs>
        <w:spacing w:line="360" w:lineRule="auto"/>
        <w:jc w:val="center"/>
        <w:outlineLvl w:val="2"/>
        <w:rPr>
          <w:rFonts w:hint="eastAsia" w:ascii="仿宋" w:hAnsi="仿宋" w:eastAsia="仿宋" w:cs="仿宋"/>
          <w:b/>
          <w:color w:val="auto"/>
          <w:sz w:val="28"/>
          <w:szCs w:val="28"/>
          <w:highlight w:val="none"/>
        </w:rPr>
      </w:pPr>
      <w:bookmarkStart w:id="28" w:name="_BookMark_1"/>
      <w:bookmarkEnd w:id="28"/>
      <w:bookmarkStart w:id="29" w:name="_Toc31184"/>
      <w:bookmarkStart w:id="30" w:name="_Toc58342531"/>
      <w:bookmarkStart w:id="31" w:name="_Toc501719166"/>
      <w:r>
        <w:rPr>
          <w:rFonts w:hint="eastAsia" w:ascii="仿宋" w:hAnsi="仿宋" w:eastAsia="仿宋" w:cs="仿宋"/>
          <w:b/>
          <w:color w:val="auto"/>
          <w:sz w:val="28"/>
          <w:szCs w:val="28"/>
          <w:highlight w:val="none"/>
        </w:rPr>
        <w:t>评审办法前附表</w:t>
      </w:r>
      <w:bookmarkEnd w:id="29"/>
      <w:bookmarkEnd w:id="30"/>
    </w:p>
    <w:tbl>
      <w:tblPr>
        <w:tblStyle w:val="42"/>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52"/>
        <w:gridCol w:w="2519"/>
        <w:gridCol w:w="5261"/>
      </w:tblGrid>
      <w:tr w14:paraId="76225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31" w:type="pct"/>
            <w:tcBorders>
              <w:tl2br w:val="nil"/>
              <w:tr2bl w:val="nil"/>
            </w:tcBorders>
            <w:tcMar>
              <w:top w:w="0" w:type="dxa"/>
              <w:left w:w="28" w:type="dxa"/>
              <w:bottom w:w="0" w:type="dxa"/>
              <w:right w:w="28" w:type="dxa"/>
            </w:tcMar>
            <w:vAlign w:val="center"/>
          </w:tcPr>
          <w:p w14:paraId="131BA21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11" w:type="pct"/>
            <w:tcBorders>
              <w:tl2br w:val="nil"/>
              <w:tr2bl w:val="nil"/>
            </w:tcBorders>
            <w:tcMar>
              <w:top w:w="0" w:type="dxa"/>
              <w:left w:w="28" w:type="dxa"/>
              <w:bottom w:w="0" w:type="dxa"/>
              <w:right w:w="28" w:type="dxa"/>
            </w:tcMar>
            <w:vAlign w:val="center"/>
          </w:tcPr>
          <w:p w14:paraId="6B314243">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条款内容</w:t>
            </w:r>
          </w:p>
        </w:tc>
        <w:tc>
          <w:tcPr>
            <w:tcW w:w="3156" w:type="pct"/>
            <w:tcBorders>
              <w:tl2br w:val="nil"/>
              <w:tr2bl w:val="nil"/>
            </w:tcBorders>
            <w:tcMar>
              <w:top w:w="0" w:type="dxa"/>
              <w:left w:w="28" w:type="dxa"/>
              <w:bottom w:w="0" w:type="dxa"/>
              <w:right w:w="28" w:type="dxa"/>
            </w:tcMar>
            <w:vAlign w:val="center"/>
          </w:tcPr>
          <w:p w14:paraId="0EB84DC8">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编列内容</w:t>
            </w:r>
          </w:p>
        </w:tc>
      </w:tr>
      <w:tr w14:paraId="325F7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0" w:hRule="atLeast"/>
          <w:jc w:val="center"/>
        </w:trPr>
        <w:tc>
          <w:tcPr>
            <w:tcW w:w="331" w:type="pct"/>
            <w:tcBorders>
              <w:tl2br w:val="nil"/>
              <w:tr2bl w:val="nil"/>
            </w:tcBorders>
            <w:tcMar>
              <w:top w:w="0" w:type="dxa"/>
              <w:left w:w="28" w:type="dxa"/>
              <w:bottom w:w="0" w:type="dxa"/>
              <w:right w:w="28" w:type="dxa"/>
            </w:tcMar>
            <w:vAlign w:val="center"/>
          </w:tcPr>
          <w:p w14:paraId="4E64E8F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11" w:type="pct"/>
            <w:tcBorders>
              <w:tl2br w:val="nil"/>
              <w:tr2bl w:val="nil"/>
            </w:tcBorders>
            <w:tcMar>
              <w:top w:w="0" w:type="dxa"/>
              <w:left w:w="28" w:type="dxa"/>
              <w:bottom w:w="0" w:type="dxa"/>
              <w:right w:w="28" w:type="dxa"/>
            </w:tcMar>
            <w:vAlign w:val="center"/>
          </w:tcPr>
          <w:p w14:paraId="79E4CF8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分值构成及权重</w:t>
            </w:r>
          </w:p>
          <w:p w14:paraId="5896A6C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(总分100分)</w:t>
            </w:r>
          </w:p>
        </w:tc>
        <w:tc>
          <w:tcPr>
            <w:tcW w:w="3156" w:type="pct"/>
            <w:tcBorders>
              <w:tl2br w:val="nil"/>
              <w:tr2bl w:val="nil"/>
            </w:tcBorders>
            <w:tcMar>
              <w:top w:w="0" w:type="dxa"/>
              <w:left w:w="28" w:type="dxa"/>
              <w:bottom w:w="0" w:type="dxa"/>
              <w:right w:w="28" w:type="dxa"/>
            </w:tcMar>
            <w:vAlign w:val="center"/>
          </w:tcPr>
          <w:p w14:paraId="5678709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1.详细评审部分</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w:t>
            </w:r>
          </w:p>
          <w:p w14:paraId="7C683B0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14:paraId="15FA1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 w:hRule="atLeast"/>
          <w:jc w:val="center"/>
        </w:trPr>
        <w:tc>
          <w:tcPr>
            <w:tcW w:w="331" w:type="pct"/>
            <w:tcBorders>
              <w:tl2br w:val="nil"/>
              <w:tr2bl w:val="nil"/>
            </w:tcBorders>
            <w:tcMar>
              <w:top w:w="0" w:type="dxa"/>
              <w:left w:w="28" w:type="dxa"/>
              <w:bottom w:w="0" w:type="dxa"/>
              <w:right w:w="28" w:type="dxa"/>
            </w:tcMar>
            <w:vAlign w:val="center"/>
          </w:tcPr>
          <w:p w14:paraId="05F8A9A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11" w:type="pct"/>
            <w:tcBorders>
              <w:tl2br w:val="nil"/>
              <w:tr2bl w:val="nil"/>
            </w:tcBorders>
            <w:tcMar>
              <w:top w:w="0" w:type="dxa"/>
              <w:left w:w="28" w:type="dxa"/>
              <w:bottom w:w="0" w:type="dxa"/>
              <w:right w:w="28" w:type="dxa"/>
            </w:tcMar>
            <w:vAlign w:val="center"/>
          </w:tcPr>
          <w:p w14:paraId="50717FC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w:t>
            </w:r>
          </w:p>
        </w:tc>
        <w:tc>
          <w:tcPr>
            <w:tcW w:w="3156" w:type="pct"/>
            <w:tcBorders>
              <w:tl2br w:val="nil"/>
              <w:tr2bl w:val="nil"/>
            </w:tcBorders>
            <w:tcMar>
              <w:top w:w="0" w:type="dxa"/>
              <w:left w:w="28" w:type="dxa"/>
              <w:bottom w:w="0" w:type="dxa"/>
              <w:right w:w="28" w:type="dxa"/>
            </w:tcMar>
            <w:vAlign w:val="center"/>
          </w:tcPr>
          <w:p w14:paraId="4470C01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详见《资格审查标准》</w:t>
            </w:r>
          </w:p>
        </w:tc>
      </w:tr>
      <w:tr w14:paraId="4F5A8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31" w:type="pct"/>
            <w:tcBorders>
              <w:tl2br w:val="nil"/>
              <w:tr2bl w:val="nil"/>
            </w:tcBorders>
            <w:tcMar>
              <w:top w:w="0" w:type="dxa"/>
              <w:left w:w="28" w:type="dxa"/>
              <w:bottom w:w="0" w:type="dxa"/>
              <w:right w:w="28" w:type="dxa"/>
            </w:tcMar>
            <w:vAlign w:val="center"/>
          </w:tcPr>
          <w:p w14:paraId="4EC8A04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11" w:type="pct"/>
            <w:tcBorders>
              <w:tl2br w:val="nil"/>
              <w:tr2bl w:val="nil"/>
            </w:tcBorders>
            <w:tcMar>
              <w:top w:w="0" w:type="dxa"/>
              <w:left w:w="28" w:type="dxa"/>
              <w:bottom w:w="0" w:type="dxa"/>
              <w:right w:w="28" w:type="dxa"/>
            </w:tcMar>
            <w:vAlign w:val="center"/>
          </w:tcPr>
          <w:p w14:paraId="43A353C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w:t>
            </w:r>
          </w:p>
        </w:tc>
        <w:tc>
          <w:tcPr>
            <w:tcW w:w="3156" w:type="pct"/>
            <w:tcBorders>
              <w:tl2br w:val="nil"/>
              <w:tr2bl w:val="nil"/>
            </w:tcBorders>
            <w:tcMar>
              <w:top w:w="0" w:type="dxa"/>
              <w:left w:w="28" w:type="dxa"/>
              <w:bottom w:w="0" w:type="dxa"/>
              <w:right w:w="28" w:type="dxa"/>
            </w:tcMar>
            <w:vAlign w:val="center"/>
          </w:tcPr>
          <w:p w14:paraId="1ED6F7C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详见《符合性审查标准》</w:t>
            </w:r>
          </w:p>
        </w:tc>
      </w:tr>
      <w:tr w14:paraId="5F4C1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31" w:type="pct"/>
            <w:tcBorders>
              <w:tl2br w:val="nil"/>
              <w:tr2bl w:val="nil"/>
            </w:tcBorders>
            <w:tcMar>
              <w:top w:w="0" w:type="dxa"/>
              <w:left w:w="28" w:type="dxa"/>
              <w:bottom w:w="0" w:type="dxa"/>
              <w:right w:w="28" w:type="dxa"/>
            </w:tcMar>
            <w:vAlign w:val="center"/>
          </w:tcPr>
          <w:p w14:paraId="2CF65CB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11" w:type="pct"/>
            <w:tcBorders>
              <w:tl2br w:val="nil"/>
              <w:tr2bl w:val="nil"/>
            </w:tcBorders>
            <w:tcMar>
              <w:top w:w="0" w:type="dxa"/>
              <w:left w:w="28" w:type="dxa"/>
              <w:bottom w:w="0" w:type="dxa"/>
              <w:right w:w="28" w:type="dxa"/>
            </w:tcMar>
            <w:vAlign w:val="center"/>
          </w:tcPr>
          <w:p w14:paraId="309548C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详细评审</w:t>
            </w:r>
          </w:p>
        </w:tc>
        <w:tc>
          <w:tcPr>
            <w:tcW w:w="3156" w:type="pct"/>
            <w:tcBorders>
              <w:tl2br w:val="nil"/>
              <w:tr2bl w:val="nil"/>
            </w:tcBorders>
            <w:tcMar>
              <w:top w:w="0" w:type="dxa"/>
              <w:left w:w="28" w:type="dxa"/>
              <w:bottom w:w="0" w:type="dxa"/>
              <w:right w:w="28" w:type="dxa"/>
            </w:tcMar>
            <w:vAlign w:val="center"/>
          </w:tcPr>
          <w:p w14:paraId="4106408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详见《详细评审标准》及本节第3.5款</w:t>
            </w:r>
          </w:p>
        </w:tc>
      </w:tr>
    </w:tbl>
    <w:p w14:paraId="047E2425">
      <w:pPr>
        <w:widowControl/>
        <w:shd w:val="clear" w:color="auto" w:fill="FFFFFF"/>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《资格审查标准》</w:t>
      </w:r>
      <w:bookmarkEnd w:id="31"/>
    </w:p>
    <w:tbl>
      <w:tblPr>
        <w:tblStyle w:val="42"/>
        <w:tblW w:w="501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34"/>
        <w:gridCol w:w="3780"/>
        <w:gridCol w:w="4002"/>
      </w:tblGrid>
      <w:tr w14:paraId="799A3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1" w:type="pct"/>
            <w:tcBorders>
              <w:tl2br w:val="nil"/>
              <w:tr2bl w:val="nil"/>
            </w:tcBorders>
            <w:vAlign w:val="center"/>
          </w:tcPr>
          <w:p w14:paraId="1DA8D5A8">
            <w:pPr>
              <w:spacing w:line="360" w:lineRule="auto"/>
              <w:jc w:val="center"/>
              <w:rPr>
                <w:rFonts w:hint="eastAsia" w:ascii="仿宋" w:hAnsi="仿宋" w:eastAsia="仿宋" w:cs="仿宋"/>
                <w:b/>
                <w:bCs/>
                <w:color w:val="auto"/>
                <w:sz w:val="24"/>
                <w:szCs w:val="24"/>
                <w:highlight w:val="none"/>
                <w:shd w:val="clear" w:color="auto" w:fill="FFFFFF" w:themeFill="background1"/>
              </w:rPr>
            </w:pPr>
            <w:bookmarkStart w:id="32" w:name="_Toc501719167"/>
            <w:r>
              <w:rPr>
                <w:rFonts w:hint="eastAsia" w:ascii="仿宋" w:hAnsi="仿宋" w:eastAsia="仿宋" w:cs="仿宋"/>
                <w:b/>
                <w:bCs/>
                <w:color w:val="auto"/>
                <w:sz w:val="24"/>
                <w:szCs w:val="24"/>
                <w:highlight w:val="none"/>
                <w:shd w:val="clear" w:color="auto" w:fill="FFFFFF" w:themeFill="background1"/>
              </w:rPr>
              <w:t>序号</w:t>
            </w:r>
          </w:p>
        </w:tc>
        <w:tc>
          <w:tcPr>
            <w:tcW w:w="2273" w:type="pct"/>
            <w:tcBorders>
              <w:tl2br w:val="nil"/>
              <w:tr2bl w:val="nil"/>
            </w:tcBorders>
            <w:vAlign w:val="center"/>
          </w:tcPr>
          <w:p w14:paraId="545C04EC">
            <w:pPr>
              <w:spacing w:line="360" w:lineRule="auto"/>
              <w:jc w:val="center"/>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t>审查要求</w:t>
            </w:r>
          </w:p>
        </w:tc>
        <w:tc>
          <w:tcPr>
            <w:tcW w:w="2405" w:type="pct"/>
            <w:tcBorders>
              <w:tl2br w:val="nil"/>
              <w:tr2bl w:val="nil"/>
            </w:tcBorders>
            <w:vAlign w:val="center"/>
          </w:tcPr>
          <w:p w14:paraId="68C9609D">
            <w:pPr>
              <w:spacing w:line="360" w:lineRule="auto"/>
              <w:jc w:val="center"/>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t>要求说明</w:t>
            </w:r>
          </w:p>
        </w:tc>
      </w:tr>
      <w:tr w14:paraId="1262B7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1" w:type="pct"/>
            <w:tcBorders>
              <w:tl2br w:val="nil"/>
              <w:tr2bl w:val="nil"/>
            </w:tcBorders>
            <w:vAlign w:val="center"/>
          </w:tcPr>
          <w:p w14:paraId="0478CB3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w:t>
            </w:r>
          </w:p>
        </w:tc>
        <w:tc>
          <w:tcPr>
            <w:tcW w:w="2273" w:type="pct"/>
            <w:tcBorders>
              <w:tl2br w:val="nil"/>
              <w:tr2bl w:val="nil"/>
            </w:tcBorders>
            <w:vAlign w:val="center"/>
          </w:tcPr>
          <w:p w14:paraId="6D1F81E9">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满足《中华人民共和国政府采购法》第二十二条规定。</w:t>
            </w:r>
          </w:p>
        </w:tc>
        <w:tc>
          <w:tcPr>
            <w:tcW w:w="2405" w:type="pct"/>
            <w:tcBorders>
              <w:tl2br w:val="nil"/>
              <w:tr2bl w:val="nil"/>
            </w:tcBorders>
            <w:vAlign w:val="center"/>
          </w:tcPr>
          <w:p w14:paraId="3EAE12E3">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08B63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1" w:type="pct"/>
            <w:tcBorders>
              <w:tl2br w:val="nil"/>
              <w:tr2bl w:val="nil"/>
            </w:tcBorders>
            <w:vAlign w:val="center"/>
          </w:tcPr>
          <w:p w14:paraId="14C716DE">
            <w:pPr>
              <w:spacing w:line="360" w:lineRule="auto"/>
              <w:jc w:val="center"/>
              <w:rPr>
                <w:rFonts w:hint="default" w:ascii="仿宋" w:hAnsi="仿宋" w:eastAsia="仿宋" w:cs="仿宋"/>
                <w:color w:val="auto"/>
                <w:sz w:val="24"/>
                <w:szCs w:val="24"/>
                <w:highlight w:val="none"/>
                <w:shd w:val="clear" w:color="auto" w:fill="FFFFFF" w:themeFill="background1"/>
                <w:lang w:val="en-US" w:eastAsia="zh-CN"/>
              </w:rPr>
            </w:pPr>
            <w:r>
              <w:rPr>
                <w:rFonts w:hint="eastAsia" w:ascii="仿宋" w:hAnsi="仿宋" w:eastAsia="仿宋" w:cs="仿宋"/>
                <w:color w:val="auto"/>
                <w:sz w:val="24"/>
                <w:szCs w:val="24"/>
                <w:highlight w:val="none"/>
                <w:shd w:val="clear" w:color="auto" w:fill="FFFFFF" w:themeFill="background1"/>
                <w:lang w:val="en-US" w:eastAsia="zh-CN"/>
              </w:rPr>
              <w:t>2</w:t>
            </w:r>
          </w:p>
        </w:tc>
        <w:tc>
          <w:tcPr>
            <w:tcW w:w="2273" w:type="pct"/>
            <w:tcBorders>
              <w:tl2br w:val="nil"/>
              <w:tr2bl w:val="nil"/>
            </w:tcBorders>
            <w:vAlign w:val="center"/>
          </w:tcPr>
          <w:p w14:paraId="37CA06FA">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w:t>
            </w:r>
            <w:r>
              <w:rPr>
                <w:rFonts w:hint="eastAsia" w:ascii="仿宋" w:hAnsi="仿宋" w:eastAsia="仿宋" w:cs="仿宋"/>
                <w:color w:val="auto"/>
                <w:sz w:val="24"/>
                <w:szCs w:val="24"/>
                <w:highlight w:val="none"/>
                <w:shd w:val="clear" w:color="auto" w:fill="FFFFFF" w:themeFill="background1"/>
                <w:lang w:eastAsia="zh-CN"/>
              </w:rPr>
              <w:t>招标</w:t>
            </w:r>
            <w:r>
              <w:rPr>
                <w:rFonts w:hint="eastAsia" w:ascii="仿宋" w:hAnsi="仿宋" w:eastAsia="仿宋" w:cs="仿宋"/>
                <w:color w:val="auto"/>
                <w:sz w:val="24"/>
                <w:szCs w:val="24"/>
                <w:highlight w:val="none"/>
                <w:shd w:val="clear" w:color="auto" w:fill="FFFFFF" w:themeFill="background1"/>
              </w:rPr>
              <w:t>活动。</w:t>
            </w:r>
          </w:p>
        </w:tc>
        <w:tc>
          <w:tcPr>
            <w:tcW w:w="2405" w:type="pct"/>
            <w:tcBorders>
              <w:tl2br w:val="nil"/>
              <w:tr2bl w:val="nil"/>
            </w:tcBorders>
            <w:vAlign w:val="center"/>
          </w:tcPr>
          <w:p w14:paraId="255204DD">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以采购人或者采购代理机构查询记录为准。</w:t>
            </w:r>
          </w:p>
        </w:tc>
      </w:tr>
      <w:tr w14:paraId="7A433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1" w:type="pct"/>
            <w:tcBorders>
              <w:tl2br w:val="nil"/>
              <w:tr2bl w:val="nil"/>
            </w:tcBorders>
            <w:vAlign w:val="center"/>
          </w:tcPr>
          <w:p w14:paraId="433A49E5">
            <w:pPr>
              <w:spacing w:line="360" w:lineRule="auto"/>
              <w:jc w:val="center"/>
              <w:rPr>
                <w:rFonts w:hint="default" w:ascii="仿宋" w:hAnsi="仿宋" w:eastAsia="仿宋" w:cs="仿宋"/>
                <w:color w:val="auto"/>
                <w:sz w:val="24"/>
                <w:szCs w:val="24"/>
                <w:highlight w:val="none"/>
                <w:shd w:val="clear" w:color="auto" w:fill="FFFFFF" w:themeFill="background1"/>
                <w:lang w:val="en-US" w:eastAsia="zh-CN"/>
              </w:rPr>
            </w:pPr>
            <w:r>
              <w:rPr>
                <w:rFonts w:hint="eastAsia" w:ascii="仿宋" w:hAnsi="仿宋" w:eastAsia="仿宋" w:cs="仿宋"/>
                <w:color w:val="auto"/>
                <w:sz w:val="24"/>
                <w:szCs w:val="24"/>
                <w:highlight w:val="none"/>
                <w:shd w:val="clear" w:color="auto" w:fill="FFFFFF" w:themeFill="background1"/>
                <w:lang w:val="en-US" w:eastAsia="zh-CN"/>
              </w:rPr>
              <w:t>3</w:t>
            </w:r>
          </w:p>
        </w:tc>
        <w:tc>
          <w:tcPr>
            <w:tcW w:w="2273" w:type="pct"/>
            <w:tcBorders>
              <w:tl2br w:val="nil"/>
              <w:tr2bl w:val="nil"/>
            </w:tcBorders>
            <w:vAlign w:val="center"/>
          </w:tcPr>
          <w:p w14:paraId="511D483D">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投标保证金必须按照招标文件要求缴纳。</w:t>
            </w:r>
          </w:p>
        </w:tc>
        <w:tc>
          <w:tcPr>
            <w:tcW w:w="2405" w:type="pct"/>
            <w:tcBorders>
              <w:tl2br w:val="nil"/>
              <w:tr2bl w:val="nil"/>
            </w:tcBorders>
            <w:vAlign w:val="center"/>
          </w:tcPr>
          <w:p w14:paraId="2EA0F2F4">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保证金缴纳凭证：投标人可将本项目保证金支付的汇款凭证、支票、汇票</w:t>
            </w: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lang w:val="en-US" w:eastAsia="zh-CN"/>
              </w:rPr>
              <w:t>保函</w:t>
            </w:r>
            <w:r>
              <w:rPr>
                <w:rFonts w:hint="eastAsia" w:ascii="仿宋" w:hAnsi="仿宋" w:eastAsia="仿宋" w:cs="仿宋"/>
                <w:color w:val="auto"/>
                <w:sz w:val="24"/>
                <w:szCs w:val="24"/>
                <w:highlight w:val="none"/>
                <w:shd w:val="clear" w:color="auto" w:fill="FFFFFF" w:themeFill="background1"/>
              </w:rPr>
              <w:t>或保证金收据的扫描件作为缴纳凭证制作在投标文件中。</w:t>
            </w:r>
          </w:p>
        </w:tc>
      </w:tr>
      <w:tr w14:paraId="604420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0" w:hRule="atLeast"/>
          <w:jc w:val="center"/>
        </w:trPr>
        <w:tc>
          <w:tcPr>
            <w:tcW w:w="5000" w:type="pct"/>
            <w:gridSpan w:val="3"/>
            <w:tcBorders>
              <w:tl2br w:val="nil"/>
              <w:tr2bl w:val="nil"/>
            </w:tcBorders>
            <w:vAlign w:val="center"/>
          </w:tcPr>
          <w:p w14:paraId="2BCCE95E">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28A9CE73">
      <w:pPr>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《符合性审查标准》</w:t>
      </w:r>
      <w:bookmarkEnd w:id="32"/>
    </w:p>
    <w:tbl>
      <w:tblPr>
        <w:tblStyle w:val="42"/>
        <w:tblW w:w="501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64"/>
        <w:gridCol w:w="6698"/>
        <w:gridCol w:w="1054"/>
      </w:tblGrid>
      <w:tr w14:paraId="1A755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339" w:type="pct"/>
            <w:tcBorders>
              <w:tl2br w:val="nil"/>
              <w:tr2bl w:val="nil"/>
            </w:tcBorders>
            <w:vAlign w:val="center"/>
          </w:tcPr>
          <w:p w14:paraId="347FB060">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序号</w:t>
            </w:r>
          </w:p>
        </w:tc>
        <w:tc>
          <w:tcPr>
            <w:tcW w:w="4027" w:type="pct"/>
            <w:tcBorders>
              <w:tl2br w:val="nil"/>
              <w:tr2bl w:val="nil"/>
            </w:tcBorders>
            <w:vAlign w:val="center"/>
          </w:tcPr>
          <w:p w14:paraId="11D627D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审查要求</w:t>
            </w:r>
          </w:p>
        </w:tc>
        <w:tc>
          <w:tcPr>
            <w:tcW w:w="632" w:type="pct"/>
            <w:tcBorders>
              <w:tl2br w:val="nil"/>
              <w:tr2bl w:val="nil"/>
            </w:tcBorders>
            <w:vAlign w:val="center"/>
          </w:tcPr>
          <w:p w14:paraId="65B9E508">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要求说明</w:t>
            </w:r>
          </w:p>
        </w:tc>
      </w:tr>
      <w:tr w14:paraId="1E6ED3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39" w:type="pct"/>
            <w:tcBorders>
              <w:tl2br w:val="nil"/>
              <w:tr2bl w:val="nil"/>
            </w:tcBorders>
            <w:vAlign w:val="center"/>
          </w:tcPr>
          <w:p w14:paraId="7C62D2BD">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w:t>
            </w:r>
          </w:p>
        </w:tc>
        <w:tc>
          <w:tcPr>
            <w:tcW w:w="4027" w:type="pct"/>
            <w:tcBorders>
              <w:tl2br w:val="nil"/>
              <w:tr2bl w:val="nil"/>
            </w:tcBorders>
            <w:vAlign w:val="center"/>
          </w:tcPr>
          <w:p w14:paraId="36C2371C">
            <w:pPr>
              <w:widowControl/>
              <w:shd w:val="clear" w:color="auto" w:fill="FFFFFF"/>
              <w:snapToGrid w:val="0"/>
              <w:spacing w:line="360" w:lineRule="auto"/>
              <w:rPr>
                <w:rFonts w:hint="eastAsia" w:ascii="仿宋" w:hAnsi="仿宋" w:eastAsia="仿宋" w:cs="仿宋"/>
                <w:color w:val="auto"/>
                <w:sz w:val="24"/>
                <w:szCs w:val="24"/>
                <w:highlight w:val="none"/>
                <w:shd w:val="clear" w:color="auto" w:fill="FFFFFF" w:themeFill="background1"/>
                <w:lang w:eastAsia="zh-CN"/>
              </w:rPr>
            </w:pPr>
            <w:r>
              <w:rPr>
                <w:rFonts w:hint="eastAsia" w:ascii="仿宋" w:hAnsi="仿宋" w:eastAsia="仿宋" w:cs="仿宋"/>
                <w:color w:val="auto"/>
                <w:sz w:val="24"/>
                <w:szCs w:val="24"/>
                <w:highlight w:val="none"/>
                <w:shd w:val="clear" w:color="auto" w:fill="FFFFFF" w:themeFill="background1"/>
                <w:lang w:val="en-US" w:eastAsia="zh-CN"/>
              </w:rPr>
              <w:t>投标文件</w:t>
            </w:r>
            <w:r>
              <w:rPr>
                <w:rFonts w:hint="eastAsia" w:ascii="仿宋" w:hAnsi="仿宋" w:eastAsia="仿宋" w:cs="仿宋"/>
                <w:color w:val="auto"/>
                <w:sz w:val="24"/>
                <w:szCs w:val="24"/>
                <w:highlight w:val="none"/>
                <w:shd w:val="clear" w:color="auto" w:fill="FFFFFF" w:themeFill="background1"/>
              </w:rPr>
              <w:t>必须按照</w:t>
            </w:r>
            <w:r>
              <w:rPr>
                <w:rFonts w:hint="eastAsia" w:ascii="仿宋" w:hAnsi="仿宋" w:eastAsia="仿宋" w:cs="仿宋"/>
                <w:color w:val="auto"/>
                <w:sz w:val="24"/>
                <w:szCs w:val="24"/>
                <w:highlight w:val="none"/>
                <w:shd w:val="clear" w:color="auto" w:fill="FFFFFF" w:themeFill="background1"/>
                <w:lang w:val="en-US" w:eastAsia="zh-CN"/>
              </w:rPr>
              <w:t>招标</w:t>
            </w:r>
            <w:r>
              <w:rPr>
                <w:rFonts w:hint="eastAsia" w:ascii="仿宋" w:hAnsi="仿宋" w:eastAsia="仿宋" w:cs="仿宋"/>
                <w:color w:val="auto"/>
                <w:sz w:val="24"/>
                <w:szCs w:val="24"/>
                <w:highlight w:val="none"/>
                <w:shd w:val="clear" w:color="auto" w:fill="FFFFFF" w:themeFill="background1"/>
              </w:rPr>
              <w:t>文件规定要求加盖</w:t>
            </w:r>
            <w:r>
              <w:rPr>
                <w:rFonts w:hint="eastAsia" w:ascii="仿宋" w:hAnsi="仿宋" w:eastAsia="仿宋" w:cs="仿宋"/>
                <w:color w:val="auto"/>
                <w:sz w:val="24"/>
                <w:szCs w:val="24"/>
                <w:highlight w:val="none"/>
                <w:shd w:val="clear" w:color="auto" w:fill="FFFFFF" w:themeFill="background1"/>
                <w:lang w:val="en-US" w:eastAsia="zh-CN"/>
              </w:rPr>
              <w:t>投标人</w:t>
            </w:r>
            <w:r>
              <w:rPr>
                <w:rFonts w:hint="eastAsia" w:ascii="仿宋" w:hAnsi="仿宋" w:eastAsia="仿宋" w:cs="仿宋"/>
                <w:color w:val="auto"/>
                <w:sz w:val="24"/>
                <w:szCs w:val="24"/>
                <w:highlight w:val="none"/>
                <w:shd w:val="clear" w:color="auto" w:fill="FFFFFF" w:themeFill="background1"/>
              </w:rPr>
              <w:t>、法定代表人电子印章</w:t>
            </w:r>
            <w:r>
              <w:rPr>
                <w:rFonts w:hint="eastAsia" w:ascii="仿宋" w:hAnsi="仿宋" w:eastAsia="仿宋" w:cs="仿宋"/>
                <w:color w:val="auto"/>
                <w:sz w:val="24"/>
                <w:szCs w:val="24"/>
                <w:highlight w:val="none"/>
                <w:shd w:val="clear" w:color="auto" w:fill="FFFFFF" w:themeFill="background1"/>
                <w:lang w:eastAsia="zh-CN"/>
              </w:rPr>
              <w:t>；</w:t>
            </w:r>
          </w:p>
        </w:tc>
        <w:tc>
          <w:tcPr>
            <w:tcW w:w="632" w:type="pct"/>
            <w:tcBorders>
              <w:tl2br w:val="nil"/>
              <w:tr2bl w:val="nil"/>
            </w:tcBorders>
            <w:vAlign w:val="center"/>
          </w:tcPr>
          <w:p w14:paraId="3C97912B">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06D660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39" w:type="pct"/>
            <w:tcBorders>
              <w:tl2br w:val="nil"/>
              <w:tr2bl w:val="nil"/>
            </w:tcBorders>
            <w:vAlign w:val="center"/>
          </w:tcPr>
          <w:p w14:paraId="57F01AAE">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2</w:t>
            </w:r>
          </w:p>
        </w:tc>
        <w:tc>
          <w:tcPr>
            <w:tcW w:w="4027" w:type="pct"/>
            <w:tcBorders>
              <w:tl2br w:val="nil"/>
              <w:tr2bl w:val="nil"/>
            </w:tcBorders>
            <w:vAlign w:val="center"/>
          </w:tcPr>
          <w:p w14:paraId="35CD709E">
            <w:pPr>
              <w:widowControl/>
              <w:shd w:val="clear" w:color="auto" w:fill="FFFFFF"/>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项目负责人简历表必须提供；</w:t>
            </w:r>
          </w:p>
        </w:tc>
        <w:tc>
          <w:tcPr>
            <w:tcW w:w="632" w:type="pct"/>
            <w:tcBorders>
              <w:tl2br w:val="nil"/>
              <w:tr2bl w:val="nil"/>
            </w:tcBorders>
            <w:vAlign w:val="center"/>
          </w:tcPr>
          <w:p w14:paraId="11364868">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26E7D3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39" w:type="pct"/>
            <w:tcBorders>
              <w:tl2br w:val="nil"/>
              <w:tr2bl w:val="nil"/>
            </w:tcBorders>
            <w:vAlign w:val="center"/>
          </w:tcPr>
          <w:p w14:paraId="6D35CF74">
            <w:pPr>
              <w:spacing w:line="360" w:lineRule="auto"/>
              <w:jc w:val="center"/>
              <w:rPr>
                <w:rFonts w:hint="eastAsia" w:ascii="仿宋" w:hAnsi="仿宋" w:eastAsia="仿宋" w:cs="仿宋"/>
                <w:color w:val="auto"/>
                <w:sz w:val="24"/>
                <w:szCs w:val="24"/>
                <w:highlight w:val="none"/>
                <w:shd w:val="clear" w:color="auto" w:fill="FFFFFF" w:themeFill="background1"/>
                <w:lang w:eastAsia="zh-CN"/>
              </w:rPr>
            </w:pPr>
            <w:r>
              <w:rPr>
                <w:rFonts w:hint="eastAsia" w:ascii="仿宋" w:hAnsi="仿宋" w:eastAsia="仿宋" w:cs="仿宋"/>
                <w:color w:val="auto"/>
                <w:sz w:val="24"/>
                <w:szCs w:val="24"/>
                <w:highlight w:val="none"/>
                <w:shd w:val="clear" w:color="auto" w:fill="FFFFFF" w:themeFill="background1"/>
                <w:lang w:val="en-US" w:eastAsia="zh-CN"/>
              </w:rPr>
              <w:t>3</w:t>
            </w:r>
          </w:p>
        </w:tc>
        <w:tc>
          <w:tcPr>
            <w:tcW w:w="4027" w:type="pct"/>
            <w:tcBorders>
              <w:tl2br w:val="nil"/>
              <w:tr2bl w:val="nil"/>
            </w:tcBorders>
            <w:vAlign w:val="center"/>
          </w:tcPr>
          <w:p w14:paraId="492FAF88">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rPr>
              <w:t>服务周期必须满足</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文件要求；</w:t>
            </w:r>
          </w:p>
        </w:tc>
        <w:tc>
          <w:tcPr>
            <w:tcW w:w="632" w:type="pct"/>
            <w:tcBorders>
              <w:tl2br w:val="nil"/>
              <w:tr2bl w:val="nil"/>
            </w:tcBorders>
            <w:vAlign w:val="center"/>
          </w:tcPr>
          <w:p w14:paraId="69E3360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01AF8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39" w:type="pct"/>
            <w:tcBorders>
              <w:tl2br w:val="nil"/>
              <w:tr2bl w:val="nil"/>
            </w:tcBorders>
            <w:vAlign w:val="center"/>
          </w:tcPr>
          <w:p w14:paraId="19593D88">
            <w:pPr>
              <w:spacing w:line="360" w:lineRule="auto"/>
              <w:jc w:val="center"/>
              <w:rPr>
                <w:rFonts w:hint="eastAsia" w:ascii="仿宋" w:hAnsi="仿宋" w:eastAsia="仿宋" w:cs="仿宋"/>
                <w:color w:val="auto"/>
                <w:sz w:val="24"/>
                <w:szCs w:val="24"/>
                <w:highlight w:val="none"/>
                <w:shd w:val="clear" w:color="auto" w:fill="FFFFFF" w:themeFill="background1"/>
                <w:lang w:val="en-US" w:eastAsia="zh-CN"/>
              </w:rPr>
            </w:pPr>
            <w:r>
              <w:rPr>
                <w:rFonts w:hint="eastAsia" w:ascii="仿宋" w:hAnsi="仿宋" w:eastAsia="仿宋" w:cs="仿宋"/>
                <w:color w:val="auto"/>
                <w:sz w:val="24"/>
                <w:szCs w:val="24"/>
                <w:highlight w:val="none"/>
                <w:shd w:val="clear" w:color="auto" w:fill="FFFFFF" w:themeFill="background1"/>
                <w:lang w:val="en-US" w:eastAsia="zh-CN"/>
              </w:rPr>
              <w:t>4</w:t>
            </w:r>
          </w:p>
        </w:tc>
        <w:tc>
          <w:tcPr>
            <w:tcW w:w="4027" w:type="pct"/>
            <w:tcBorders>
              <w:tl2br w:val="nil"/>
              <w:tr2bl w:val="nil"/>
            </w:tcBorders>
            <w:vAlign w:val="center"/>
          </w:tcPr>
          <w:p w14:paraId="41F04586">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价格不得超过</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须知前附表中的采购预算金额；</w:t>
            </w:r>
          </w:p>
        </w:tc>
        <w:tc>
          <w:tcPr>
            <w:tcW w:w="632" w:type="pct"/>
            <w:tcBorders>
              <w:tl2br w:val="nil"/>
              <w:tr2bl w:val="nil"/>
            </w:tcBorders>
            <w:vAlign w:val="center"/>
          </w:tcPr>
          <w:p w14:paraId="4DA150C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5B567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39" w:type="pct"/>
            <w:tcBorders>
              <w:tl2br w:val="nil"/>
              <w:tr2bl w:val="nil"/>
            </w:tcBorders>
            <w:vAlign w:val="center"/>
          </w:tcPr>
          <w:p w14:paraId="0632B4D0">
            <w:pPr>
              <w:spacing w:line="360" w:lineRule="auto"/>
              <w:jc w:val="center"/>
              <w:rPr>
                <w:rFonts w:hint="default" w:ascii="仿宋" w:hAnsi="仿宋" w:eastAsia="仿宋" w:cs="仿宋"/>
                <w:color w:val="auto"/>
                <w:sz w:val="24"/>
                <w:szCs w:val="24"/>
                <w:highlight w:val="none"/>
                <w:shd w:val="clear" w:color="auto" w:fill="FFFFFF" w:themeFill="background1"/>
                <w:lang w:val="en-US" w:eastAsia="zh-CN"/>
              </w:rPr>
            </w:pPr>
            <w:r>
              <w:rPr>
                <w:rFonts w:hint="eastAsia" w:ascii="仿宋" w:hAnsi="仿宋" w:eastAsia="仿宋" w:cs="仿宋"/>
                <w:color w:val="auto"/>
                <w:sz w:val="24"/>
                <w:szCs w:val="24"/>
                <w:highlight w:val="none"/>
                <w:shd w:val="clear" w:color="auto" w:fill="FFFFFF" w:themeFill="background1"/>
                <w:lang w:val="en-US" w:eastAsia="zh-CN"/>
              </w:rPr>
              <w:t>5</w:t>
            </w:r>
          </w:p>
        </w:tc>
        <w:tc>
          <w:tcPr>
            <w:tcW w:w="4027" w:type="pct"/>
            <w:tcBorders>
              <w:tl2br w:val="nil"/>
              <w:tr2bl w:val="nil"/>
            </w:tcBorders>
            <w:vAlign w:val="center"/>
          </w:tcPr>
          <w:p w14:paraId="6AD3AD1C">
            <w:p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投标价格不得超过最高限价及第四章服务标准和要求中的单项目限价。</w:t>
            </w:r>
          </w:p>
        </w:tc>
        <w:tc>
          <w:tcPr>
            <w:tcW w:w="632" w:type="pct"/>
            <w:tcBorders>
              <w:tl2br w:val="nil"/>
              <w:tr2bl w:val="nil"/>
            </w:tcBorders>
            <w:vAlign w:val="center"/>
          </w:tcPr>
          <w:p w14:paraId="21D4C2AF">
            <w:pPr>
              <w:spacing w:line="360" w:lineRule="auto"/>
              <w:jc w:val="center"/>
              <w:rPr>
                <w:rFonts w:hint="eastAsia" w:ascii="仿宋" w:hAnsi="仿宋" w:eastAsia="仿宋" w:cs="仿宋"/>
                <w:color w:val="auto"/>
                <w:sz w:val="24"/>
                <w:szCs w:val="24"/>
                <w:highlight w:val="none"/>
                <w:shd w:val="clear" w:color="auto" w:fill="FFFFFF" w:themeFill="background1"/>
                <w:lang w:val="en-US" w:eastAsia="zh-CN"/>
              </w:rPr>
            </w:pPr>
            <w:r>
              <w:rPr>
                <w:rFonts w:hint="eastAsia" w:ascii="仿宋" w:hAnsi="仿宋" w:eastAsia="仿宋" w:cs="仿宋"/>
                <w:color w:val="auto"/>
                <w:sz w:val="24"/>
                <w:szCs w:val="24"/>
                <w:highlight w:val="none"/>
                <w:shd w:val="clear" w:color="auto" w:fill="FFFFFF" w:themeFill="background1"/>
                <w:lang w:val="en-US" w:eastAsia="zh-CN"/>
              </w:rPr>
              <w:t>/</w:t>
            </w:r>
          </w:p>
        </w:tc>
      </w:tr>
      <w:tr w14:paraId="65E6C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39" w:type="pct"/>
            <w:tcBorders>
              <w:tl2br w:val="nil"/>
              <w:tr2bl w:val="nil"/>
            </w:tcBorders>
            <w:vAlign w:val="center"/>
          </w:tcPr>
          <w:p w14:paraId="137F1673">
            <w:pPr>
              <w:spacing w:line="360" w:lineRule="auto"/>
              <w:jc w:val="center"/>
              <w:rPr>
                <w:rFonts w:hint="default" w:ascii="仿宋" w:hAnsi="仿宋" w:eastAsia="仿宋" w:cs="仿宋"/>
                <w:color w:val="auto"/>
                <w:sz w:val="24"/>
                <w:szCs w:val="24"/>
                <w:highlight w:val="none"/>
                <w:shd w:val="clear" w:color="auto" w:fill="FFFFFF" w:themeFill="background1"/>
                <w:lang w:val="en-US" w:eastAsia="zh-CN"/>
              </w:rPr>
            </w:pPr>
            <w:r>
              <w:rPr>
                <w:rFonts w:hint="eastAsia" w:ascii="仿宋" w:hAnsi="仿宋" w:eastAsia="仿宋" w:cs="仿宋"/>
                <w:color w:val="auto"/>
                <w:sz w:val="24"/>
                <w:szCs w:val="24"/>
                <w:highlight w:val="none"/>
                <w:shd w:val="clear" w:color="auto" w:fill="FFFFFF" w:themeFill="background1"/>
                <w:lang w:val="en-US" w:eastAsia="zh-CN"/>
              </w:rPr>
              <w:t>6</w:t>
            </w:r>
          </w:p>
        </w:tc>
        <w:tc>
          <w:tcPr>
            <w:tcW w:w="4027" w:type="pct"/>
            <w:tcBorders>
              <w:tl2br w:val="nil"/>
              <w:tr2bl w:val="nil"/>
            </w:tcBorders>
          </w:tcPr>
          <w:p w14:paraId="646B4C6C">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文件没有不符合</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文件实质性要求的。</w:t>
            </w:r>
          </w:p>
        </w:tc>
        <w:tc>
          <w:tcPr>
            <w:tcW w:w="632" w:type="pct"/>
            <w:tcBorders>
              <w:tl2br w:val="nil"/>
              <w:tr2bl w:val="nil"/>
            </w:tcBorders>
            <w:vAlign w:val="center"/>
          </w:tcPr>
          <w:p w14:paraId="3825679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26B9A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00" w:type="pct"/>
            <w:gridSpan w:val="3"/>
            <w:tcBorders>
              <w:tl2br w:val="nil"/>
              <w:tr2bl w:val="nil"/>
            </w:tcBorders>
            <w:vAlign w:val="center"/>
          </w:tcPr>
          <w:p w14:paraId="3C97FB1E">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符合性审查中有一项不满足评审标准的，评标委员会将认定该投标人不通过符合性审查，不得进入下一阶段评审。并且不允许投标人通过修改或撤销其不符合要求的差异或保留，使之成为具有响应性的投标。</w:t>
            </w:r>
          </w:p>
        </w:tc>
      </w:tr>
    </w:tbl>
    <w:p w14:paraId="081BE18B">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《详细评审标准》</w:t>
      </w:r>
    </w:p>
    <w:tbl>
      <w:tblPr>
        <w:tblStyle w:val="42"/>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0"/>
        <w:gridCol w:w="1037"/>
        <w:gridCol w:w="642"/>
        <w:gridCol w:w="5818"/>
      </w:tblGrid>
      <w:tr w14:paraId="64E12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194" w:type="pct"/>
            <w:gridSpan w:val="2"/>
            <w:tcBorders>
              <w:tl2br w:val="nil"/>
              <w:tr2bl w:val="nil"/>
            </w:tcBorders>
            <w:noWrap w:val="0"/>
            <w:vAlign w:val="center"/>
          </w:tcPr>
          <w:p w14:paraId="08BCCB50">
            <w:pPr>
              <w:spacing w:line="360" w:lineRule="auto"/>
              <w:ind w:right="638" w:rightChars="304"/>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评分因素</w:t>
            </w:r>
          </w:p>
        </w:tc>
        <w:tc>
          <w:tcPr>
            <w:tcW w:w="378" w:type="pct"/>
            <w:tcBorders>
              <w:tl2br w:val="nil"/>
              <w:tr2bl w:val="nil"/>
            </w:tcBorders>
            <w:noWrap w:val="0"/>
            <w:vAlign w:val="center"/>
          </w:tcPr>
          <w:p w14:paraId="0233A1B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分值</w:t>
            </w:r>
          </w:p>
        </w:tc>
        <w:tc>
          <w:tcPr>
            <w:tcW w:w="3427" w:type="pct"/>
            <w:tcBorders>
              <w:tl2br w:val="nil"/>
              <w:tr2bl w:val="nil"/>
            </w:tcBorders>
            <w:noWrap w:val="0"/>
            <w:vAlign w:val="center"/>
          </w:tcPr>
          <w:p w14:paraId="758CC2FD">
            <w:pPr>
              <w:spacing w:line="360" w:lineRule="auto"/>
              <w:ind w:right="-31" w:rightChars="-15"/>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评分细则</w:t>
            </w:r>
          </w:p>
        </w:tc>
      </w:tr>
      <w:tr w14:paraId="4F606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194" w:type="pct"/>
            <w:gridSpan w:val="2"/>
            <w:tcBorders>
              <w:tl2br w:val="nil"/>
              <w:tr2bl w:val="nil"/>
            </w:tcBorders>
            <w:noWrap w:val="0"/>
            <w:vAlign w:val="center"/>
          </w:tcPr>
          <w:p w14:paraId="2F67F50C">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价格部分（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tc>
        <w:tc>
          <w:tcPr>
            <w:tcW w:w="378" w:type="pct"/>
            <w:tcBorders>
              <w:tl2br w:val="nil"/>
              <w:tr2bl w:val="nil"/>
            </w:tcBorders>
            <w:noWrap w:val="0"/>
            <w:vAlign w:val="center"/>
          </w:tcPr>
          <w:p w14:paraId="2E428707">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0</w:t>
            </w:r>
          </w:p>
        </w:tc>
        <w:tc>
          <w:tcPr>
            <w:tcW w:w="3427" w:type="pct"/>
            <w:tcBorders>
              <w:tl2br w:val="nil"/>
              <w:tr2bl w:val="nil"/>
            </w:tcBorders>
            <w:noWrap w:val="0"/>
            <w:vAlign w:val="center"/>
          </w:tcPr>
          <w:p w14:paraId="49508908">
            <w:pPr>
              <w:pStyle w:val="24"/>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要求且投标价格最低的有效投标报价（即除低于成本报价以外的报价）为评标基准价。其他投标人的价格分统一按照下列公式计算：</w:t>
            </w:r>
          </w:p>
          <w:p w14:paraId="5EC24415">
            <w:pPr>
              <w:pStyle w:val="24"/>
              <w:spacing w:line="360" w:lineRule="auto"/>
              <w:ind w:right="-31" w:rightChars="-15"/>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投标报价得分=（评标基准价/投标报价）×价格满分分值</w:t>
            </w:r>
          </w:p>
        </w:tc>
      </w:tr>
      <w:tr w14:paraId="1054D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583" w:type="pct"/>
            <w:vMerge w:val="restart"/>
            <w:tcBorders>
              <w:tl2br w:val="nil"/>
              <w:tr2bl w:val="nil"/>
            </w:tcBorders>
            <w:noWrap w:val="0"/>
            <w:vAlign w:val="center"/>
          </w:tcPr>
          <w:p w14:paraId="268E618F">
            <w:pPr>
              <w:pStyle w:val="24"/>
              <w:spacing w:line="360" w:lineRule="auto"/>
              <w:ind w:right="-19" w:rightChars="-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10" w:type="pct"/>
            <w:tcBorders>
              <w:tl2br w:val="nil"/>
              <w:tr2bl w:val="nil"/>
            </w:tcBorders>
            <w:noWrap w:val="0"/>
            <w:vAlign w:val="center"/>
          </w:tcPr>
          <w:p w14:paraId="44FB88F4">
            <w:pPr>
              <w:pStyle w:val="24"/>
              <w:spacing w:line="360" w:lineRule="auto"/>
              <w:ind w:right="31" w:rightChars="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tc>
        <w:tc>
          <w:tcPr>
            <w:tcW w:w="378" w:type="pct"/>
            <w:tcBorders>
              <w:tl2br w:val="nil"/>
              <w:tr2bl w:val="nil"/>
            </w:tcBorders>
            <w:noWrap w:val="0"/>
            <w:vAlign w:val="center"/>
          </w:tcPr>
          <w:p w14:paraId="54F9E0F2">
            <w:pPr>
              <w:pStyle w:val="24"/>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427" w:type="pct"/>
            <w:tcBorders>
              <w:tl2br w:val="nil"/>
              <w:tr2bl w:val="nil"/>
            </w:tcBorders>
            <w:noWrap w:val="0"/>
            <w:vAlign w:val="center"/>
          </w:tcPr>
          <w:p w14:paraId="262DF3E8">
            <w:pPr>
              <w:pStyle w:val="24"/>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投标人近三年（202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月1日-至今）类似</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业绩每提供1份得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分，须提供中标（成交）通知书</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包含首页、关键页、签字盖章页）</w:t>
            </w:r>
          </w:p>
          <w:p w14:paraId="7178846A">
            <w:pPr>
              <w:pStyle w:val="24"/>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注：1.未提供相关证明材料或提供证明材料不全者不得分。</w:t>
            </w:r>
          </w:p>
          <w:p w14:paraId="79CE97AE">
            <w:pPr>
              <w:pStyle w:val="24"/>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2.投标人提供虚假证明材料的，按虚假投标处理。</w:t>
            </w:r>
          </w:p>
        </w:tc>
      </w:tr>
      <w:tr w14:paraId="5922EE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583" w:type="pct"/>
            <w:vMerge w:val="continue"/>
            <w:tcBorders>
              <w:tl2br w:val="nil"/>
              <w:tr2bl w:val="nil"/>
            </w:tcBorders>
            <w:noWrap w:val="0"/>
            <w:vAlign w:val="center"/>
          </w:tcPr>
          <w:p w14:paraId="62481CF4">
            <w:pPr>
              <w:pStyle w:val="24"/>
              <w:spacing w:line="360" w:lineRule="auto"/>
              <w:ind w:right="-19" w:rightChars="-9"/>
              <w:jc w:val="center"/>
              <w:rPr>
                <w:rFonts w:hint="eastAsia" w:ascii="仿宋" w:hAnsi="仿宋" w:eastAsia="仿宋" w:cs="仿宋"/>
                <w:color w:val="auto"/>
                <w:sz w:val="24"/>
                <w:szCs w:val="24"/>
                <w:highlight w:val="none"/>
              </w:rPr>
            </w:pPr>
          </w:p>
        </w:tc>
        <w:tc>
          <w:tcPr>
            <w:tcW w:w="610" w:type="pct"/>
            <w:tcBorders>
              <w:tl2br w:val="nil"/>
              <w:tr2bl w:val="nil"/>
            </w:tcBorders>
            <w:noWrap w:val="0"/>
            <w:vAlign w:val="center"/>
          </w:tcPr>
          <w:p w14:paraId="411120CA">
            <w:pPr>
              <w:pStyle w:val="19"/>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olor w:val="auto"/>
                <w:kern w:val="0"/>
                <w:sz w:val="24"/>
                <w:szCs w:val="24"/>
                <w:highlight w:val="none"/>
                <w:lang w:val="en-US" w:eastAsia="zh-CN"/>
              </w:rPr>
              <w:t>机械设备</w:t>
            </w:r>
          </w:p>
        </w:tc>
        <w:tc>
          <w:tcPr>
            <w:tcW w:w="378" w:type="pct"/>
            <w:tcBorders>
              <w:tl2br w:val="nil"/>
              <w:tr2bl w:val="nil"/>
            </w:tcBorders>
            <w:noWrap w:val="0"/>
            <w:vAlign w:val="center"/>
          </w:tcPr>
          <w:p w14:paraId="40B7F572">
            <w:pPr>
              <w:pStyle w:val="24"/>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3427" w:type="pct"/>
            <w:tcBorders>
              <w:tl2br w:val="nil"/>
              <w:tr2bl w:val="nil"/>
            </w:tcBorders>
            <w:noWrap w:val="0"/>
            <w:vAlign w:val="center"/>
          </w:tcPr>
          <w:p w14:paraId="099F6E9E">
            <w:pPr>
              <w:keepNext w:val="0"/>
              <w:keepLines w:val="0"/>
              <w:widowControl/>
              <w:suppressLineNumbers w:val="0"/>
              <w:spacing w:before="0" w:beforeAutospacing="0" w:after="0" w:afterAutospacing="0" w:line="360" w:lineRule="auto"/>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拟投入机械</w:t>
            </w:r>
            <w:r>
              <w:rPr>
                <w:rFonts w:hint="eastAsia" w:ascii="仿宋" w:hAnsi="仿宋" w:eastAsia="仿宋" w:cs="仿宋"/>
                <w:color w:val="auto"/>
                <w:sz w:val="24"/>
                <w:szCs w:val="24"/>
                <w:highlight w:val="none"/>
              </w:rPr>
              <w:t>的性能、特点全部满足服务标准和要求得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分，每负偏离一项扣2分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扣完为止。</w:t>
            </w:r>
          </w:p>
          <w:p w14:paraId="51F15C85">
            <w:pPr>
              <w:keepNext w:val="0"/>
              <w:keepLines w:val="0"/>
              <w:widowControl/>
              <w:suppressLineNumbers w:val="0"/>
              <w:spacing w:before="0" w:beforeAutospacing="0" w:after="0" w:afterAutospacing="0" w:line="360" w:lineRule="auto"/>
              <w:ind w:left="0" w:leftChars="0" w:right="0" w:rightChars="0"/>
              <w:jc w:val="left"/>
              <w:textAlignment w:val="top"/>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注：投标人须</w:t>
            </w:r>
            <w:r>
              <w:rPr>
                <w:rFonts w:hint="eastAsia" w:ascii="仿宋" w:hAnsi="仿宋" w:eastAsia="仿宋" w:cs="仿宋"/>
                <w:color w:val="auto"/>
                <w:sz w:val="24"/>
                <w:szCs w:val="24"/>
                <w:highlight w:val="none"/>
                <w:lang w:val="en-US" w:eastAsia="zh-CN"/>
              </w:rPr>
              <w:t>提供（机械购买合同或租赁合同）、机械检测报告或使用说明书等证明材料。</w:t>
            </w:r>
          </w:p>
        </w:tc>
      </w:tr>
      <w:tr w14:paraId="634224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583" w:type="pct"/>
            <w:vMerge w:val="restart"/>
            <w:tcBorders>
              <w:tl2br w:val="nil"/>
              <w:tr2bl w:val="nil"/>
            </w:tcBorders>
            <w:noWrap w:val="0"/>
            <w:vAlign w:val="center"/>
          </w:tcPr>
          <w:p w14:paraId="62D988BB">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部分(</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w:t>
            </w:r>
          </w:p>
        </w:tc>
        <w:tc>
          <w:tcPr>
            <w:tcW w:w="610" w:type="pct"/>
            <w:tcBorders>
              <w:tl2br w:val="nil"/>
              <w:tr2bl w:val="nil"/>
            </w:tcBorders>
            <w:noWrap w:val="0"/>
            <w:vAlign w:val="center"/>
          </w:tcPr>
          <w:p w14:paraId="66043E50">
            <w:pPr>
              <w:pStyle w:val="24"/>
              <w:spacing w:line="360" w:lineRule="auto"/>
              <w:ind w:right="31" w:rightChars="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服务方</w:t>
            </w:r>
            <w:r>
              <w:rPr>
                <w:rFonts w:hint="eastAsia" w:ascii="仿宋" w:hAnsi="仿宋" w:eastAsia="仿宋" w:cs="仿宋"/>
                <w:color w:val="auto"/>
                <w:sz w:val="24"/>
                <w:szCs w:val="24"/>
                <w:highlight w:val="none"/>
              </w:rPr>
              <w:t>案</w:t>
            </w:r>
          </w:p>
        </w:tc>
        <w:tc>
          <w:tcPr>
            <w:tcW w:w="378" w:type="pct"/>
            <w:tcBorders>
              <w:tl2br w:val="nil"/>
              <w:tr2bl w:val="nil"/>
            </w:tcBorders>
            <w:noWrap w:val="0"/>
            <w:vAlign w:val="center"/>
          </w:tcPr>
          <w:p w14:paraId="4A562D87">
            <w:pPr>
              <w:pStyle w:val="24"/>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3427" w:type="pct"/>
            <w:tcBorders>
              <w:tl2br w:val="nil"/>
              <w:tr2bl w:val="nil"/>
            </w:tcBorders>
            <w:noWrap w:val="0"/>
            <w:vAlign w:val="center"/>
          </w:tcPr>
          <w:p w14:paraId="2C81F465">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提供详细的项目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方案包括：</w:t>
            </w:r>
            <w:r>
              <w:rPr>
                <w:rFonts w:hint="eastAsia" w:ascii="仿宋" w:hAnsi="仿宋" w:eastAsia="仿宋" w:cs="仿宋"/>
                <w:kern w:val="0"/>
                <w:sz w:val="24"/>
                <w:szCs w:val="24"/>
                <w:highlight w:val="none"/>
              </w:rPr>
              <w:t>①维修和维护保养措施②租赁管理方案③调度管理方案④内部管控制度⑤服务人员配置方案⑥用户投诉处理方案</w:t>
            </w:r>
            <w:r>
              <w:rPr>
                <w:rFonts w:hint="eastAsia" w:ascii="仿宋" w:hAnsi="仿宋" w:eastAsia="仿宋" w:cs="仿宋"/>
                <w:kern w:val="0"/>
                <w:sz w:val="24"/>
                <w:szCs w:val="24"/>
                <w:highlight w:val="none"/>
                <w:lang w:val="en-US" w:eastAsia="zh-CN"/>
              </w:rPr>
              <w:t>⑦服务质量保障措施⑧性能质量保障方案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部分要素</w:t>
            </w:r>
            <w:r>
              <w:rPr>
                <w:rFonts w:hint="eastAsia" w:ascii="仿宋" w:hAnsi="仿宋" w:eastAsia="仿宋" w:cs="仿宋"/>
                <w:color w:val="auto"/>
                <w:sz w:val="24"/>
                <w:szCs w:val="24"/>
                <w:highlight w:val="none"/>
              </w:rPr>
              <w:t>。</w:t>
            </w:r>
          </w:p>
          <w:p w14:paraId="3F311EBD">
            <w:pPr>
              <w:pStyle w:val="24"/>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所有要素齐全且完全满足项目要求得</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分;每缺少一项内容的扣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分;每有一处缺陷的扣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分;扣完为止，未提供不得分。(缺陷是指:存在不适用该项目实际情况的情形、凭空编造、内容前后不一致、前后逻辑错误、涉及的规范及标准错误、地点区域错误、内容缺失、不符合采购需求的任意一项)</w:t>
            </w:r>
          </w:p>
        </w:tc>
      </w:tr>
      <w:tr w14:paraId="41BEA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583" w:type="pct"/>
            <w:vMerge w:val="continue"/>
            <w:tcBorders>
              <w:tl2br w:val="nil"/>
              <w:tr2bl w:val="nil"/>
            </w:tcBorders>
            <w:noWrap w:val="0"/>
            <w:vAlign w:val="center"/>
          </w:tcPr>
          <w:p w14:paraId="56875CAC">
            <w:pPr>
              <w:widowControl/>
              <w:spacing w:line="360" w:lineRule="auto"/>
              <w:jc w:val="left"/>
              <w:rPr>
                <w:rFonts w:hint="eastAsia" w:ascii="仿宋" w:hAnsi="仿宋" w:eastAsia="仿宋" w:cs="仿宋"/>
                <w:color w:val="auto"/>
                <w:sz w:val="24"/>
                <w:szCs w:val="24"/>
                <w:highlight w:val="none"/>
              </w:rPr>
            </w:pPr>
          </w:p>
        </w:tc>
        <w:tc>
          <w:tcPr>
            <w:tcW w:w="610" w:type="pct"/>
            <w:tcBorders>
              <w:tl2br w:val="nil"/>
              <w:tr2bl w:val="nil"/>
            </w:tcBorders>
            <w:noWrap w:val="0"/>
            <w:vAlign w:val="center"/>
          </w:tcPr>
          <w:p w14:paraId="6F2A4C54">
            <w:pPr>
              <w:pStyle w:val="24"/>
              <w:spacing w:line="360" w:lineRule="auto"/>
              <w:ind w:right="31" w:rightChars="15"/>
              <w:jc w:val="center"/>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rPr>
              <w:t>应急方案</w:t>
            </w:r>
          </w:p>
        </w:tc>
        <w:tc>
          <w:tcPr>
            <w:tcW w:w="378" w:type="pct"/>
            <w:tcBorders>
              <w:tl2br w:val="nil"/>
              <w:tr2bl w:val="nil"/>
            </w:tcBorders>
            <w:noWrap w:val="0"/>
            <w:vAlign w:val="center"/>
          </w:tcPr>
          <w:p w14:paraId="35A8A4E3">
            <w:pPr>
              <w:pStyle w:val="24"/>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427" w:type="pct"/>
            <w:tcBorders>
              <w:tl2br w:val="nil"/>
              <w:tr2bl w:val="nil"/>
            </w:tcBorders>
            <w:noWrap w:val="0"/>
            <w:vAlign w:val="top"/>
          </w:tcPr>
          <w:p w14:paraId="765E69A5">
            <w:pPr>
              <w:pStyle w:val="24"/>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提供详细</w:t>
            </w:r>
            <w:r>
              <w:rPr>
                <w:rFonts w:hint="eastAsia" w:ascii="仿宋" w:hAnsi="仿宋" w:eastAsia="仿宋" w:cs="仿宋"/>
                <w:kern w:val="0"/>
                <w:sz w:val="24"/>
                <w:szCs w:val="24"/>
                <w:highlight w:val="none"/>
              </w:rPr>
              <w:t>应急方案</w:t>
            </w:r>
            <w:r>
              <w:rPr>
                <w:rFonts w:hint="eastAsia" w:ascii="仿宋" w:hAnsi="仿宋" w:eastAsia="仿宋" w:cs="仿宋"/>
                <w:color w:val="auto"/>
                <w:sz w:val="24"/>
                <w:szCs w:val="24"/>
                <w:highlight w:val="none"/>
                <w:lang w:val="en-US" w:eastAsia="zh-CN"/>
              </w:rPr>
              <w:t>包括:①</w:t>
            </w:r>
            <w:r>
              <w:rPr>
                <w:rFonts w:hint="eastAsia" w:ascii="仿宋" w:hAnsi="仿宋" w:eastAsia="仿宋" w:cs="仿宋"/>
                <w:kern w:val="0"/>
                <w:sz w:val="24"/>
                <w:szCs w:val="24"/>
                <w:highlight w:val="none"/>
              </w:rPr>
              <w:t>应急调度方案</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②</w:t>
            </w:r>
            <w:r>
              <w:rPr>
                <w:rFonts w:hint="eastAsia" w:ascii="仿宋" w:hAnsi="仿宋" w:eastAsia="仿宋" w:cs="仿宋"/>
                <w:kern w:val="0"/>
                <w:sz w:val="24"/>
                <w:szCs w:val="24"/>
                <w:highlight w:val="none"/>
              </w:rPr>
              <w:t>突发事件应急处理措施</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③机械</w:t>
            </w:r>
            <w:r>
              <w:rPr>
                <w:rFonts w:hint="eastAsia" w:ascii="仿宋" w:hAnsi="仿宋" w:eastAsia="仿宋" w:cs="仿宋"/>
                <w:kern w:val="0"/>
                <w:sz w:val="24"/>
                <w:szCs w:val="24"/>
                <w:highlight w:val="none"/>
              </w:rPr>
              <w:t>事故应急救援、事故处理及理赔方案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部分要素。</w:t>
            </w:r>
          </w:p>
          <w:p w14:paraId="6DD60F7C">
            <w:pPr>
              <w:pStyle w:val="24"/>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所有要素齐全且完全满足项目要求得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分;每缺少一项内容的扣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分;每有一处缺陷的扣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分;扣完为止，未提供不得分。(缺陷是指:存在不适用该项目实际情况的情形、凭空编造、内容前后不一致、前后逻辑错误、涉及的规范及标准错误、地点区域错误、内容缺失、不符合采购需求的任意一项)</w:t>
            </w:r>
          </w:p>
        </w:tc>
      </w:tr>
      <w:tr w14:paraId="47A3E6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583" w:type="pct"/>
            <w:vMerge w:val="continue"/>
            <w:tcBorders>
              <w:tl2br w:val="nil"/>
              <w:tr2bl w:val="nil"/>
            </w:tcBorders>
            <w:noWrap w:val="0"/>
            <w:vAlign w:val="center"/>
          </w:tcPr>
          <w:p w14:paraId="147EDE92">
            <w:pPr>
              <w:widowControl/>
              <w:spacing w:line="360" w:lineRule="auto"/>
              <w:jc w:val="left"/>
              <w:rPr>
                <w:rFonts w:hint="eastAsia" w:ascii="仿宋" w:hAnsi="仿宋" w:eastAsia="仿宋" w:cs="仿宋"/>
                <w:color w:val="auto"/>
                <w:sz w:val="24"/>
                <w:szCs w:val="24"/>
                <w:highlight w:val="none"/>
              </w:rPr>
            </w:pPr>
          </w:p>
        </w:tc>
        <w:tc>
          <w:tcPr>
            <w:tcW w:w="610" w:type="pct"/>
            <w:tcBorders>
              <w:tl2br w:val="nil"/>
              <w:tr2bl w:val="nil"/>
            </w:tcBorders>
            <w:noWrap w:val="0"/>
            <w:vAlign w:val="center"/>
          </w:tcPr>
          <w:p w14:paraId="37DC82FC">
            <w:pPr>
              <w:pStyle w:val="24"/>
              <w:spacing w:line="360" w:lineRule="auto"/>
              <w:ind w:right="31" w:rightChars="1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服务质量控制措施</w:t>
            </w:r>
          </w:p>
        </w:tc>
        <w:tc>
          <w:tcPr>
            <w:tcW w:w="378" w:type="pct"/>
            <w:tcBorders>
              <w:tl2br w:val="nil"/>
              <w:tr2bl w:val="nil"/>
            </w:tcBorders>
            <w:noWrap w:val="0"/>
            <w:vAlign w:val="center"/>
          </w:tcPr>
          <w:p w14:paraId="327DEECA">
            <w:pPr>
              <w:pStyle w:val="24"/>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3427" w:type="pct"/>
            <w:tcBorders>
              <w:tl2br w:val="nil"/>
              <w:tr2bl w:val="nil"/>
            </w:tcBorders>
            <w:noWrap w:val="0"/>
            <w:vAlign w:val="center"/>
          </w:tcPr>
          <w:p w14:paraId="48301971">
            <w:pPr>
              <w:pStyle w:val="24"/>
              <w:spacing w:line="360" w:lineRule="auto"/>
              <w:ind w:right="-31" w:rightChars="-1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服务质量控制措施包括但不限于：①质量管理组织机构；②团队人员职责分工；③成果质量保证措施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lang w:val="en-US" w:eastAsia="zh-CN"/>
              </w:rPr>
              <w:t>实验仪器设备校准及环境控制情况</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部分要素</w:t>
            </w:r>
            <w:r>
              <w:rPr>
                <w:rFonts w:hint="eastAsia" w:ascii="仿宋" w:hAnsi="仿宋" w:eastAsia="仿宋" w:cs="仿宋"/>
                <w:color w:val="auto"/>
                <w:sz w:val="24"/>
                <w:szCs w:val="24"/>
                <w:highlight w:val="none"/>
                <w:lang w:eastAsia="zh-CN"/>
              </w:rPr>
              <w:t>。</w:t>
            </w:r>
          </w:p>
          <w:p w14:paraId="7576E2E9">
            <w:pPr>
              <w:pStyle w:val="24"/>
              <w:spacing w:line="360" w:lineRule="auto"/>
              <w:ind w:right="-31" w:rightChars="-15"/>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所有要素齐全且完全满足项目要求得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分，每缺一个要素扣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分，每个要素里每有一处内容缺陷扣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未提供不得分。(缺陷是指:存在不适用该项目实际情况的情形、凭空编造、内容前后不一致、前后逻辑错误、涉及的规范及标准错误、地点区域错误、内容缺失、不符合采购需求的任意一项)。</w:t>
            </w:r>
          </w:p>
        </w:tc>
      </w:tr>
      <w:tr w14:paraId="29747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583" w:type="pct"/>
            <w:vMerge w:val="continue"/>
            <w:tcBorders>
              <w:tl2br w:val="nil"/>
              <w:tr2bl w:val="nil"/>
            </w:tcBorders>
            <w:noWrap w:val="0"/>
            <w:vAlign w:val="center"/>
          </w:tcPr>
          <w:p w14:paraId="70B0BC2C">
            <w:pPr>
              <w:widowControl/>
              <w:spacing w:line="360" w:lineRule="auto"/>
              <w:jc w:val="left"/>
              <w:rPr>
                <w:rFonts w:hint="eastAsia" w:ascii="仿宋" w:hAnsi="仿宋" w:eastAsia="仿宋" w:cs="仿宋"/>
                <w:color w:val="auto"/>
                <w:sz w:val="24"/>
                <w:szCs w:val="24"/>
                <w:highlight w:val="none"/>
              </w:rPr>
            </w:pPr>
          </w:p>
        </w:tc>
        <w:tc>
          <w:tcPr>
            <w:tcW w:w="610" w:type="pct"/>
            <w:tcBorders>
              <w:tl2br w:val="nil"/>
              <w:tr2bl w:val="nil"/>
            </w:tcBorders>
            <w:noWrap w:val="0"/>
            <w:vAlign w:val="center"/>
          </w:tcPr>
          <w:p w14:paraId="77850824">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人员管理方案</w:t>
            </w:r>
          </w:p>
        </w:tc>
        <w:tc>
          <w:tcPr>
            <w:tcW w:w="378" w:type="pct"/>
            <w:tcBorders>
              <w:tl2br w:val="nil"/>
              <w:tr2bl w:val="nil"/>
            </w:tcBorders>
            <w:noWrap w:val="0"/>
            <w:vAlign w:val="center"/>
          </w:tcPr>
          <w:p w14:paraId="03B182CA">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3427" w:type="pct"/>
            <w:tcBorders>
              <w:tl2br w:val="nil"/>
              <w:tr2bl w:val="nil"/>
            </w:tcBorders>
            <w:noWrap w:val="0"/>
            <w:vAlign w:val="center"/>
          </w:tcPr>
          <w:p w14:paraId="3BF582FA">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人员管理方案</w:t>
            </w:r>
            <w:r>
              <w:rPr>
                <w:rFonts w:hint="eastAsia" w:ascii="仿宋" w:hAnsi="仿宋" w:eastAsia="仿宋" w:cs="仿宋"/>
                <w:color w:val="auto"/>
                <w:kern w:val="2"/>
                <w:sz w:val="24"/>
                <w:szCs w:val="24"/>
                <w:highlight w:val="none"/>
                <w:lang w:val="en-US" w:eastAsia="zh-CN" w:bidi="ar-SA"/>
              </w:rPr>
              <w:t>包括但不限于：</w:t>
            </w:r>
            <w:r>
              <w:rPr>
                <w:rFonts w:hint="eastAsia" w:ascii="仿宋" w:hAnsi="仿宋" w:eastAsia="仿宋" w:cs="仿宋"/>
                <w:kern w:val="0"/>
                <w:sz w:val="24"/>
                <w:szCs w:val="24"/>
                <w:highlight w:val="none"/>
              </w:rPr>
              <w:t>①劳务人员关系管理方案②员工派遣时效性方案③处理劳务纠纷服务方案④员工培训计划与方案</w:t>
            </w:r>
            <w:r>
              <w:rPr>
                <w:rFonts w:hint="eastAsia" w:ascii="仿宋" w:hAnsi="仿宋" w:eastAsia="仿宋" w:cs="仿宋"/>
                <w:color w:val="auto"/>
                <w:kern w:val="2"/>
                <w:sz w:val="24"/>
                <w:szCs w:val="24"/>
                <w:highlight w:val="none"/>
                <w:lang w:val="en-US" w:eastAsia="zh-CN" w:bidi="ar-SA"/>
              </w:rPr>
              <w:t>；4部分要素。</w:t>
            </w:r>
          </w:p>
          <w:p w14:paraId="096A349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所有要素齐全且完全满足项目要求得16分，每缺一个要素扣4分，每个要素里每有一处内容缺陷扣2分（扣完为止），未提供不得分。(缺陷是指:存在不适用该项目实际情况的情形、凭空编造、内容前后不一致、前后逻辑错误、涉及的规范及标准错误、地点区域错误、内容缺失、不符合采购需求的任意一项)。</w:t>
            </w:r>
          </w:p>
        </w:tc>
      </w:tr>
    </w:tbl>
    <w:p w14:paraId="6131DCC2">
      <w:pPr>
        <w:rPr>
          <w:rFonts w:hint="eastAsia" w:ascii="仿宋" w:hAnsi="仿宋" w:eastAsia="仿宋" w:cs="仿宋"/>
          <w:color w:val="auto"/>
          <w:highlight w:val="none"/>
        </w:rPr>
      </w:pPr>
    </w:p>
    <w:p w14:paraId="1ADE3567">
      <w:pPr>
        <w:tabs>
          <w:tab w:val="center" w:pos="4832"/>
          <w:tab w:val="left" w:pos="7140"/>
        </w:tabs>
        <w:spacing w:line="360" w:lineRule="auto"/>
        <w:ind w:firstLine="472" w:firstLineChars="196"/>
        <w:jc w:val="left"/>
        <w:outlineLvl w:val="2"/>
        <w:rPr>
          <w:rFonts w:hint="eastAsia" w:ascii="仿宋" w:hAnsi="仿宋" w:eastAsia="仿宋" w:cs="仿宋"/>
          <w:b/>
          <w:color w:val="auto"/>
          <w:sz w:val="24"/>
          <w:szCs w:val="24"/>
          <w:highlight w:val="none"/>
        </w:rPr>
      </w:pPr>
      <w:bookmarkStart w:id="33" w:name="_Toc9150"/>
      <w:r>
        <w:rPr>
          <w:rFonts w:hint="eastAsia" w:ascii="仿宋" w:hAnsi="仿宋" w:eastAsia="仿宋" w:cs="仿宋"/>
          <w:b/>
          <w:color w:val="auto"/>
          <w:sz w:val="24"/>
          <w:szCs w:val="24"/>
          <w:highlight w:val="none"/>
        </w:rPr>
        <w:t>1. 评标方法</w:t>
      </w:r>
      <w:bookmarkEnd w:id="33"/>
    </w:p>
    <w:p w14:paraId="57F9B6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本次评标采用综合评分法。评标小组对满足招标文件实质性要求的投标文件，按照本节规定的评标标准进行评标。评标中各评委若发生意见分歧，以少数服从多数原则确定。</w:t>
      </w:r>
    </w:p>
    <w:p w14:paraId="137EF545">
      <w:pPr>
        <w:tabs>
          <w:tab w:val="center" w:pos="4832"/>
          <w:tab w:val="left" w:pos="7140"/>
        </w:tabs>
        <w:spacing w:line="360" w:lineRule="auto"/>
        <w:ind w:firstLine="472" w:firstLineChars="196"/>
        <w:jc w:val="left"/>
        <w:outlineLvl w:val="2"/>
        <w:rPr>
          <w:rFonts w:hint="eastAsia" w:ascii="仿宋" w:hAnsi="仿宋" w:eastAsia="仿宋" w:cs="仿宋"/>
          <w:b/>
          <w:color w:val="auto"/>
          <w:sz w:val="24"/>
          <w:szCs w:val="24"/>
          <w:highlight w:val="none"/>
        </w:rPr>
      </w:pPr>
      <w:bookmarkStart w:id="34" w:name="_Toc9620"/>
      <w:r>
        <w:rPr>
          <w:rFonts w:hint="eastAsia" w:ascii="仿宋" w:hAnsi="仿宋" w:eastAsia="仿宋" w:cs="仿宋"/>
          <w:b/>
          <w:color w:val="auto"/>
          <w:sz w:val="24"/>
          <w:szCs w:val="24"/>
          <w:highlight w:val="none"/>
        </w:rPr>
        <w:t>2. 评标标准</w:t>
      </w:r>
      <w:bookmarkEnd w:id="34"/>
    </w:p>
    <w:p w14:paraId="297BF5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资格审查：评标因素和评标标准见《资格审查标准》。</w:t>
      </w:r>
    </w:p>
    <w:p w14:paraId="6224CB67">
      <w:pPr>
        <w:widowControl/>
        <w:shd w:val="clear" w:color="auto" w:fill="FFFFFF"/>
        <w:snapToGrid w:val="0"/>
        <w:spacing w:line="360" w:lineRule="auto"/>
        <w:ind w:left="479" w:leftChars="22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 符合性审查：评标因素和评标标准见《符合性审查标准》。</w:t>
      </w:r>
    </w:p>
    <w:p w14:paraId="55D41529">
      <w:pPr>
        <w:widowControl/>
        <w:shd w:val="clear" w:color="auto" w:fill="FFFFFF"/>
        <w:snapToGrid w:val="0"/>
        <w:spacing w:line="360" w:lineRule="auto"/>
        <w:ind w:left="479" w:leftChars="22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2.3详细评审：</w:t>
      </w:r>
    </w:p>
    <w:p w14:paraId="422E0D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2.3.1详细评审：评标因素和评标标准见《详细评审标准》及本节第3.5款。</w:t>
      </w:r>
    </w:p>
    <w:p w14:paraId="1AEBDDF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投标报价评分标准：</w:t>
      </w:r>
    </w:p>
    <w:p w14:paraId="2FEBE84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（1）分值构成及权重：见评标办法前附表。</w:t>
      </w:r>
    </w:p>
    <w:p w14:paraId="44D136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（2）评标基准价计算：见评标办法前附表。</w:t>
      </w:r>
    </w:p>
    <w:p w14:paraId="4C3FB7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0305845A">
      <w:pPr>
        <w:tabs>
          <w:tab w:val="center" w:pos="4832"/>
          <w:tab w:val="left" w:pos="7140"/>
        </w:tabs>
        <w:spacing w:line="360" w:lineRule="auto"/>
        <w:ind w:firstLine="472" w:firstLineChars="196"/>
        <w:jc w:val="left"/>
        <w:outlineLvl w:val="2"/>
        <w:rPr>
          <w:rFonts w:hint="eastAsia" w:ascii="仿宋" w:hAnsi="仿宋" w:eastAsia="仿宋" w:cs="仿宋"/>
          <w:b/>
          <w:color w:val="auto"/>
          <w:sz w:val="24"/>
          <w:szCs w:val="24"/>
          <w:highlight w:val="none"/>
        </w:rPr>
      </w:pPr>
      <w:bookmarkStart w:id="35" w:name="_Toc13856"/>
      <w:r>
        <w:rPr>
          <w:rFonts w:hint="eastAsia" w:ascii="仿宋" w:hAnsi="仿宋" w:eastAsia="仿宋" w:cs="仿宋"/>
          <w:b/>
          <w:color w:val="auto"/>
          <w:sz w:val="24"/>
          <w:szCs w:val="24"/>
          <w:highlight w:val="none"/>
        </w:rPr>
        <w:t>3. 评标程序</w:t>
      </w:r>
      <w:bookmarkEnd w:id="35"/>
    </w:p>
    <w:p w14:paraId="4ACFE1DA">
      <w:pPr>
        <w:tabs>
          <w:tab w:val="center" w:pos="4832"/>
          <w:tab w:val="left" w:pos="7140"/>
        </w:tabs>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3.1基本程序</w:t>
      </w:r>
    </w:p>
    <w:p w14:paraId="313A4A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FE492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（1）评标准备</w:t>
      </w:r>
    </w:p>
    <w:p w14:paraId="24BB97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（2）资格审查</w:t>
      </w:r>
    </w:p>
    <w:p w14:paraId="3B2322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（3）符合性审查</w:t>
      </w:r>
    </w:p>
    <w:p w14:paraId="4C2AE7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（4）详细评审</w:t>
      </w:r>
    </w:p>
    <w:p w14:paraId="0820FDD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（5）澄清、说明或补正</w:t>
      </w:r>
    </w:p>
    <w:p w14:paraId="1AF403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（6）推荐中标候选人及提交评标报告</w:t>
      </w:r>
    </w:p>
    <w:p w14:paraId="67D7276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1D28B3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3.2.1评标小组成员签到</w:t>
      </w:r>
    </w:p>
    <w:p w14:paraId="326793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评标小组成员到达评标现场时应当在签到表上签到以证明其出席。</w:t>
      </w:r>
    </w:p>
    <w:p w14:paraId="078B79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评标小组的分工</w:t>
      </w:r>
    </w:p>
    <w:p w14:paraId="4D0E28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3.2.2.1评标小组首先推选一名评标小组主任。评标小组主任负责评标活动的组织领导工作。评标小组主任与评标小组其他成员具有同等的评标权力。</w:t>
      </w:r>
    </w:p>
    <w:p w14:paraId="6DAF495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评标小组主任除履行自己作为评标小组成员独立评标的职责外，主要负责以下工作：</w:t>
      </w:r>
    </w:p>
    <w:p w14:paraId="5EE842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（1）组织评标小组成员学习招标文件；</w:t>
      </w:r>
    </w:p>
    <w:p w14:paraId="5EB328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（2）汇总各评标小组成员认为需要投标人澄清、说明或者补正的问题；</w:t>
      </w:r>
    </w:p>
    <w:p w14:paraId="7FB7E4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（3）组织评标小组对投标人质询并对投标人的答复进行评标；</w:t>
      </w:r>
    </w:p>
    <w:p w14:paraId="35F4A2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3298E0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（5）组织收回评标过程中使用的文件、表格和评标记录以及其他资料，并查验评标记录的完整性及有效性；</w:t>
      </w:r>
    </w:p>
    <w:p w14:paraId="78FDA1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6308FAE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33918D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5DCCBE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06A786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采购人或采购代理机构应当向评标小组提供评标所需的信息和数据，包括：</w:t>
      </w:r>
    </w:p>
    <w:p w14:paraId="371406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329516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60B949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1D8F33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6FE3BC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（5）其他信息和数据。</w:t>
      </w:r>
    </w:p>
    <w:p w14:paraId="3E18D7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3.3资格审查（适用于资格后审）</w:t>
      </w:r>
    </w:p>
    <w:p w14:paraId="60BFF8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58EF47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3.4符合性审查</w:t>
      </w:r>
    </w:p>
    <w:p w14:paraId="6F8F80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小组依据本章规定的评标因素和评标标准，对投标人的投标文件进行符合性审查。符合性审查有一项未通过评标标准，评标小组将认定整个投标文件不响应招标文件而否决其投标，并且不允许投标人通过修改或撤销其不符合要求的差异或保留，使之成为具有响应性的投标。</w:t>
      </w:r>
    </w:p>
    <w:p w14:paraId="357039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3.4.2符合性审查条款是指对本招标项目产生了重大影响的重大偏差，而且纠正此类偏差将会对响应本次招标的其他投标人的竞争地位产生不公正的影响。</w:t>
      </w:r>
    </w:p>
    <w:p w14:paraId="05E185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3D69859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3.5详细评审</w:t>
      </w:r>
    </w:p>
    <w:p w14:paraId="60854D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3.5.1.只有通过了资格审查、符合性审查且投标人不少于3个方可进入详细评审。</w:t>
      </w:r>
    </w:p>
    <w:p w14:paraId="0B06CB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 澄清、说明和补正</w:t>
      </w:r>
    </w:p>
    <w:p w14:paraId="0ED207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06F0A1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C9FC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3.5.3澄清、说明和补正内容不得改变投标文件的实质性内容（算术性错误修正的除外）。投标人的书面澄清、说明和补正属于投标文件的组成部分。</w:t>
      </w:r>
    </w:p>
    <w:p w14:paraId="250C18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401CD12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3.5.5评标小组对投标人提交的澄清、说明或补正有疑问的，可以要求投标人进一步澄清、说明或补正，直至满足评标小组的要求。</w:t>
      </w:r>
    </w:p>
    <w:p w14:paraId="5379CB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3.5.6评委评分：评委按照《详细评审标准》评分，投标人详细评审得分等于全部评委评分的算术平均值。</w:t>
      </w:r>
    </w:p>
    <w:p w14:paraId="0A46E9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3.5.7 算术错误修正：投标价格有算术错误的，评标小组按以下原则对投标价格进行修正，修正的价格经投标人书面确认后具有约束力。投标人不接受修正价格的，其投标将被否决。</w:t>
      </w:r>
    </w:p>
    <w:p w14:paraId="07D309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（1）投标文件中的大写金额与小写金额不一致的，以大写金额为准；</w:t>
      </w:r>
    </w:p>
    <w:p w14:paraId="032FEF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（2）总价金额与依据单价计算出的结果不一致的，以单价金额为准修正总价，但单价金额小数点有明显错误的除外。</w:t>
      </w:r>
    </w:p>
    <w:p w14:paraId="442366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3.5.8 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1FD519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3.5.9投标报价评分：对投标报价进行投标报价得分计算，计算方法详见评标办法前附表。</w:t>
      </w:r>
    </w:p>
    <w:p w14:paraId="65678C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3.5.10 汇总评分结果，评分分值计算保留小数点后两位，小数点后第三位“四舍五入”。</w:t>
      </w:r>
    </w:p>
    <w:p w14:paraId="53B723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.11 详细评审工作全部结束后，投标人总得分排序按照以下原则进行。</w:t>
      </w:r>
    </w:p>
    <w:p w14:paraId="067DB1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.11.1按照总得分由高到低顺序对投标人进行排序；</w:t>
      </w:r>
    </w:p>
    <w:p w14:paraId="507EBE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.11.2总得分相同时报价低的投标人排序靠前；</w:t>
      </w:r>
    </w:p>
    <w:p w14:paraId="6F2A3A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.11.3总得分相同且报价相同的，采取随机抽取方式确定排序顺序。</w:t>
      </w:r>
    </w:p>
    <w:p w14:paraId="4242C7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09F79E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.1评标小组推荐中标候选人，总得分排序第一的投标人将被确定为第一中标候选人，以此类推确定出规定数量的中标候选人。</w:t>
      </w:r>
    </w:p>
    <w:p w14:paraId="1F9C3D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.2当通过了资格审查、符合性审查后，投标人少于3个时，采购人应当依法重新招标。</w:t>
      </w:r>
    </w:p>
    <w:p w14:paraId="5AD8941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评标小组完成评标后，应当向采购人提交书面评标报告。</w:t>
      </w:r>
    </w:p>
    <w:p w14:paraId="2480E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1244A3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1F8AA7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55E739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37B6F5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除非发生下列情况之一，评标小组成员不得在评标中途更换：</w:t>
      </w:r>
    </w:p>
    <w:p w14:paraId="188385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70C98C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（2）根据法律法规规定，某个或某几个评标小组成员需要回避。</w:t>
      </w:r>
    </w:p>
    <w:p w14:paraId="2A3E27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退出评标的评标小组成员，其已完成的评标行为无效，由更换的评委进行评标。</w:t>
      </w:r>
    </w:p>
    <w:p w14:paraId="697B1A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在评标环节中，需评标小组就某项定性的评标结论做出表决的，由评标小组全体成员按照少数服从多数的原则确定。</w:t>
      </w:r>
    </w:p>
    <w:p w14:paraId="5FC21C0A">
      <w:pPr>
        <w:rPr>
          <w:rFonts w:hint="eastAsia" w:ascii="仿宋" w:hAnsi="仿宋" w:eastAsia="仿宋" w:cs="仿宋"/>
          <w:b/>
          <w:color w:val="auto"/>
          <w:sz w:val="24"/>
          <w:szCs w:val="24"/>
          <w:highlight w:val="none"/>
        </w:rPr>
      </w:pPr>
      <w:bookmarkStart w:id="36" w:name="_Toc485312286"/>
      <w:r>
        <w:rPr>
          <w:rFonts w:hint="eastAsia" w:ascii="仿宋" w:hAnsi="仿宋" w:eastAsia="仿宋" w:cs="仿宋"/>
          <w:b/>
          <w:color w:val="auto"/>
          <w:sz w:val="24"/>
          <w:szCs w:val="24"/>
          <w:highlight w:val="none"/>
        </w:rPr>
        <w:br w:type="page"/>
      </w:r>
    </w:p>
    <w:p w14:paraId="5795956A">
      <w:pPr>
        <w:widowControl/>
        <w:shd w:val="clear" w:color="auto" w:fill="FFFFFF"/>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问题澄清通知</w:t>
      </w:r>
    </w:p>
    <w:p w14:paraId="624F63CB">
      <w:pPr>
        <w:spacing w:line="360" w:lineRule="auto"/>
        <w:rPr>
          <w:rFonts w:hint="eastAsia" w:ascii="仿宋" w:hAnsi="仿宋" w:eastAsia="仿宋" w:cs="仿宋"/>
          <w:color w:val="auto"/>
          <w:sz w:val="24"/>
          <w:szCs w:val="24"/>
          <w:highlight w:val="none"/>
        </w:rPr>
      </w:pPr>
    </w:p>
    <w:p w14:paraId="5BEE92A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（投标人名称）：</w:t>
      </w:r>
    </w:p>
    <w:p w14:paraId="29DC64A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（招标项目名称）招标的评标小组，对你方的投标文件进行了仔细的审查，现需你方对本通知所附质疑问卷中的问题以书面形式予以澄清、说明或者补正。</w:t>
      </w:r>
    </w:p>
    <w:p w14:paraId="6E685AE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质疑问题：</w:t>
      </w:r>
    </w:p>
    <w:p w14:paraId="1C3AABCF">
      <w:pPr>
        <w:spacing w:line="360" w:lineRule="auto"/>
        <w:rPr>
          <w:rFonts w:hint="eastAsia" w:ascii="仿宋" w:hAnsi="仿宋" w:eastAsia="仿宋" w:cs="仿宋"/>
          <w:color w:val="auto"/>
          <w:kern w:val="0"/>
          <w:sz w:val="24"/>
          <w:szCs w:val="24"/>
          <w:highlight w:val="none"/>
        </w:rPr>
      </w:pPr>
    </w:p>
    <w:p w14:paraId="6B505FA7">
      <w:pPr>
        <w:spacing w:line="360" w:lineRule="auto"/>
        <w:rPr>
          <w:rFonts w:hint="eastAsia" w:ascii="仿宋" w:hAnsi="仿宋" w:eastAsia="仿宋" w:cs="仿宋"/>
          <w:color w:val="auto"/>
          <w:kern w:val="0"/>
          <w:sz w:val="24"/>
          <w:szCs w:val="24"/>
          <w:highlight w:val="none"/>
        </w:rPr>
      </w:pPr>
    </w:p>
    <w:p w14:paraId="1AA3E22B">
      <w:pPr>
        <w:spacing w:line="360" w:lineRule="auto"/>
        <w:rPr>
          <w:rFonts w:hint="eastAsia" w:ascii="仿宋" w:hAnsi="仿宋" w:eastAsia="仿宋" w:cs="仿宋"/>
          <w:color w:val="auto"/>
          <w:kern w:val="0"/>
          <w:sz w:val="24"/>
          <w:szCs w:val="24"/>
          <w:highlight w:val="none"/>
        </w:rPr>
      </w:pPr>
    </w:p>
    <w:p w14:paraId="31E32D63">
      <w:pPr>
        <w:spacing w:line="360" w:lineRule="auto"/>
        <w:rPr>
          <w:rFonts w:hint="eastAsia" w:ascii="仿宋" w:hAnsi="仿宋" w:eastAsia="仿宋" w:cs="仿宋"/>
          <w:color w:val="auto"/>
          <w:kern w:val="0"/>
          <w:sz w:val="24"/>
          <w:szCs w:val="24"/>
          <w:highlight w:val="none"/>
        </w:rPr>
      </w:pPr>
    </w:p>
    <w:p w14:paraId="3A0417D3">
      <w:pPr>
        <w:spacing w:line="360" w:lineRule="auto"/>
        <w:rPr>
          <w:rFonts w:hint="eastAsia" w:ascii="仿宋" w:hAnsi="仿宋" w:eastAsia="仿宋" w:cs="仿宋"/>
          <w:color w:val="auto"/>
          <w:kern w:val="0"/>
          <w:sz w:val="24"/>
          <w:szCs w:val="24"/>
          <w:highlight w:val="none"/>
        </w:rPr>
      </w:pPr>
    </w:p>
    <w:p w14:paraId="1CF8CC1C">
      <w:pPr>
        <w:spacing w:line="360" w:lineRule="auto"/>
        <w:rPr>
          <w:rFonts w:hint="eastAsia" w:ascii="仿宋" w:hAnsi="仿宋" w:eastAsia="仿宋" w:cs="仿宋"/>
          <w:color w:val="auto"/>
          <w:kern w:val="0"/>
          <w:sz w:val="24"/>
          <w:szCs w:val="24"/>
          <w:highlight w:val="none"/>
        </w:rPr>
      </w:pPr>
    </w:p>
    <w:p w14:paraId="56E87C31">
      <w:pPr>
        <w:spacing w:line="360" w:lineRule="auto"/>
        <w:rPr>
          <w:rFonts w:hint="eastAsia" w:ascii="仿宋" w:hAnsi="仿宋" w:eastAsia="仿宋" w:cs="仿宋"/>
          <w:color w:val="auto"/>
          <w:kern w:val="0"/>
          <w:sz w:val="24"/>
          <w:szCs w:val="24"/>
          <w:highlight w:val="none"/>
        </w:rPr>
      </w:pPr>
    </w:p>
    <w:p w14:paraId="393CAAC0">
      <w:pPr>
        <w:spacing w:line="360" w:lineRule="auto"/>
        <w:rPr>
          <w:rFonts w:hint="eastAsia" w:ascii="仿宋" w:hAnsi="仿宋" w:eastAsia="仿宋" w:cs="仿宋"/>
          <w:color w:val="auto"/>
          <w:kern w:val="0"/>
          <w:sz w:val="24"/>
          <w:szCs w:val="24"/>
          <w:highlight w:val="none"/>
        </w:rPr>
      </w:pPr>
    </w:p>
    <w:p w14:paraId="00D0E836">
      <w:pPr>
        <w:spacing w:line="360" w:lineRule="auto"/>
        <w:rPr>
          <w:rFonts w:hint="eastAsia" w:ascii="仿宋" w:hAnsi="仿宋" w:eastAsia="仿宋" w:cs="仿宋"/>
          <w:color w:val="auto"/>
          <w:kern w:val="0"/>
          <w:sz w:val="24"/>
          <w:szCs w:val="24"/>
          <w:highlight w:val="none"/>
        </w:rPr>
      </w:pPr>
    </w:p>
    <w:p w14:paraId="144B777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w:t>
      </w:r>
      <w:r>
        <w:rPr>
          <w:rFonts w:hint="eastAsia" w:ascii="仿宋" w:hAnsi="仿宋" w:eastAsia="仿宋" w:cs="仿宋"/>
          <w:color w:val="auto"/>
          <w:kern w:val="0"/>
          <w:sz w:val="24"/>
          <w:szCs w:val="24"/>
          <w:highlight w:val="none"/>
          <w:lang w:val="en-US" w:eastAsia="zh-CN"/>
        </w:rPr>
        <w:t>成</w:t>
      </w:r>
      <w:r>
        <w:rPr>
          <w:rFonts w:hint="eastAsia" w:ascii="仿宋" w:hAnsi="仿宋" w:eastAsia="仿宋" w:cs="仿宋"/>
          <w:color w:val="auto"/>
          <w:kern w:val="0"/>
          <w:sz w:val="24"/>
          <w:szCs w:val="24"/>
          <w:highlight w:val="none"/>
        </w:rPr>
        <w:t>员（签字）：</w:t>
      </w:r>
    </w:p>
    <w:p w14:paraId="18D0208F">
      <w:pPr>
        <w:spacing w:line="360" w:lineRule="auto"/>
        <w:rPr>
          <w:rFonts w:hint="eastAsia" w:ascii="仿宋" w:hAnsi="仿宋" w:eastAsia="仿宋" w:cs="仿宋"/>
          <w:color w:val="auto"/>
          <w:kern w:val="0"/>
          <w:sz w:val="24"/>
          <w:szCs w:val="24"/>
          <w:highlight w:val="none"/>
        </w:rPr>
      </w:pPr>
    </w:p>
    <w:p w14:paraId="164A685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日期：年月日</w:t>
      </w:r>
    </w:p>
    <w:p w14:paraId="1299A52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4"/>
          <w:szCs w:val="24"/>
          <w:highlight w:val="none"/>
        </w:rPr>
        <w:t>问题的澄清、说明或补正</w:t>
      </w:r>
    </w:p>
    <w:p w14:paraId="4E3DCA5A">
      <w:pPr>
        <w:rPr>
          <w:rFonts w:hint="eastAsia" w:ascii="仿宋" w:hAnsi="仿宋" w:eastAsia="仿宋" w:cs="仿宋"/>
          <w:color w:val="auto"/>
          <w:kern w:val="0"/>
          <w:sz w:val="24"/>
          <w:szCs w:val="24"/>
          <w:highlight w:val="none"/>
        </w:rPr>
      </w:pPr>
    </w:p>
    <w:p w14:paraId="7E2BE8EC">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w:t>
      </w:r>
    </w:p>
    <w:p w14:paraId="0C44CB7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（招标项目名称）的问题澄清通知已收悉，现澄清、说明或者补正如下：</w:t>
      </w:r>
    </w:p>
    <w:p w14:paraId="3B69103A">
      <w:pPr>
        <w:spacing w:line="360" w:lineRule="auto"/>
        <w:rPr>
          <w:rFonts w:hint="eastAsia" w:ascii="仿宋" w:hAnsi="仿宋" w:eastAsia="仿宋" w:cs="仿宋"/>
          <w:color w:val="auto"/>
          <w:kern w:val="0"/>
          <w:sz w:val="24"/>
          <w:szCs w:val="24"/>
          <w:highlight w:val="none"/>
        </w:rPr>
      </w:pPr>
    </w:p>
    <w:p w14:paraId="24DEA8AC">
      <w:pPr>
        <w:spacing w:line="360" w:lineRule="auto"/>
        <w:rPr>
          <w:rFonts w:hint="eastAsia" w:ascii="仿宋" w:hAnsi="仿宋" w:eastAsia="仿宋" w:cs="仿宋"/>
          <w:color w:val="auto"/>
          <w:kern w:val="0"/>
          <w:sz w:val="24"/>
          <w:szCs w:val="24"/>
          <w:highlight w:val="none"/>
        </w:rPr>
      </w:pPr>
    </w:p>
    <w:p w14:paraId="5B4A4A7A">
      <w:pPr>
        <w:spacing w:line="360" w:lineRule="auto"/>
        <w:rPr>
          <w:rFonts w:hint="eastAsia" w:ascii="仿宋" w:hAnsi="仿宋" w:eastAsia="仿宋" w:cs="仿宋"/>
          <w:color w:val="auto"/>
          <w:kern w:val="0"/>
          <w:sz w:val="24"/>
          <w:szCs w:val="24"/>
          <w:highlight w:val="none"/>
        </w:rPr>
      </w:pPr>
    </w:p>
    <w:p w14:paraId="1CC62EE1">
      <w:pPr>
        <w:spacing w:line="360" w:lineRule="auto"/>
        <w:rPr>
          <w:rFonts w:hint="eastAsia" w:ascii="仿宋" w:hAnsi="仿宋" w:eastAsia="仿宋" w:cs="仿宋"/>
          <w:color w:val="auto"/>
          <w:kern w:val="0"/>
          <w:sz w:val="24"/>
          <w:szCs w:val="24"/>
          <w:highlight w:val="none"/>
        </w:rPr>
      </w:pPr>
    </w:p>
    <w:p w14:paraId="392C195B">
      <w:pPr>
        <w:spacing w:line="360" w:lineRule="auto"/>
        <w:rPr>
          <w:rFonts w:hint="eastAsia" w:ascii="仿宋" w:hAnsi="仿宋" w:eastAsia="仿宋" w:cs="仿宋"/>
          <w:color w:val="auto"/>
          <w:kern w:val="0"/>
          <w:sz w:val="24"/>
          <w:szCs w:val="24"/>
          <w:highlight w:val="none"/>
        </w:rPr>
      </w:pPr>
    </w:p>
    <w:p w14:paraId="7E9BB402">
      <w:pPr>
        <w:spacing w:line="360" w:lineRule="auto"/>
        <w:rPr>
          <w:rFonts w:hint="eastAsia" w:ascii="仿宋" w:hAnsi="仿宋" w:eastAsia="仿宋" w:cs="仿宋"/>
          <w:color w:val="auto"/>
          <w:kern w:val="0"/>
          <w:sz w:val="24"/>
          <w:szCs w:val="24"/>
          <w:highlight w:val="none"/>
        </w:rPr>
      </w:pPr>
    </w:p>
    <w:p w14:paraId="6FB09DBB">
      <w:pPr>
        <w:spacing w:line="360" w:lineRule="auto"/>
        <w:rPr>
          <w:rFonts w:hint="eastAsia" w:ascii="仿宋" w:hAnsi="仿宋" w:eastAsia="仿宋" w:cs="仿宋"/>
          <w:color w:val="auto"/>
          <w:kern w:val="0"/>
          <w:sz w:val="24"/>
          <w:szCs w:val="24"/>
          <w:highlight w:val="none"/>
        </w:rPr>
      </w:pPr>
    </w:p>
    <w:p w14:paraId="3E4C47B6">
      <w:pPr>
        <w:spacing w:line="360" w:lineRule="auto"/>
        <w:rPr>
          <w:rFonts w:hint="eastAsia" w:ascii="仿宋" w:hAnsi="仿宋" w:eastAsia="仿宋" w:cs="仿宋"/>
          <w:color w:val="auto"/>
          <w:kern w:val="0"/>
          <w:sz w:val="24"/>
          <w:szCs w:val="24"/>
          <w:highlight w:val="none"/>
        </w:rPr>
      </w:pPr>
    </w:p>
    <w:p w14:paraId="5A4002A8">
      <w:pPr>
        <w:spacing w:line="360" w:lineRule="auto"/>
        <w:rPr>
          <w:rFonts w:hint="eastAsia" w:ascii="仿宋" w:hAnsi="仿宋" w:eastAsia="仿宋" w:cs="仿宋"/>
          <w:color w:val="auto"/>
          <w:kern w:val="0"/>
          <w:sz w:val="24"/>
          <w:szCs w:val="24"/>
          <w:highlight w:val="none"/>
        </w:rPr>
      </w:pPr>
    </w:p>
    <w:p w14:paraId="2466243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法定代表人或其授权委托人（签字）：</w:t>
      </w:r>
    </w:p>
    <w:p w14:paraId="74E408E2">
      <w:pPr>
        <w:spacing w:line="360" w:lineRule="auto"/>
        <w:rPr>
          <w:rFonts w:hint="eastAsia" w:ascii="仿宋" w:hAnsi="仿宋" w:eastAsia="仿宋" w:cs="仿宋"/>
          <w:color w:val="auto"/>
          <w:kern w:val="0"/>
          <w:sz w:val="24"/>
          <w:szCs w:val="24"/>
          <w:highlight w:val="none"/>
        </w:rPr>
      </w:pPr>
    </w:p>
    <w:p w14:paraId="4E78125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日期：年月日</w:t>
      </w:r>
    </w:p>
    <w:p w14:paraId="287F6492">
      <w:pPr>
        <w:pStyle w:val="224"/>
        <w:ind w:firstLine="0"/>
        <w:jc w:val="center"/>
        <w:outlineLvl w:val="0"/>
        <w:rPr>
          <w:rFonts w:hint="default" w:hAnsi="宋体" w:eastAsia="宋体"/>
          <w:b/>
          <w:color w:val="auto"/>
          <w:sz w:val="28"/>
          <w:szCs w:val="28"/>
          <w:highlight w:val="none"/>
          <w:lang w:val="en-US" w:eastAsia="zh-CN"/>
        </w:rPr>
      </w:pPr>
      <w:r>
        <w:rPr>
          <w:rFonts w:hint="eastAsia" w:ascii="仿宋" w:hAnsi="仿宋" w:eastAsia="仿宋" w:cs="仿宋"/>
          <w:color w:val="auto"/>
          <w:kern w:val="0"/>
          <w:sz w:val="24"/>
          <w:szCs w:val="24"/>
          <w:highlight w:val="none"/>
        </w:rPr>
        <w:br w:type="page"/>
      </w:r>
      <w:bookmarkEnd w:id="36"/>
      <w:bookmarkStart w:id="37" w:name="_Toc17281"/>
      <w:bookmarkStart w:id="38" w:name="第五部分第一章"/>
      <w:r>
        <w:rPr>
          <w:rFonts w:hint="eastAsia" w:ascii="仿宋" w:hAnsi="仿宋" w:eastAsia="仿宋" w:cs="仿宋"/>
          <w:b/>
          <w:color w:val="auto"/>
          <w:kern w:val="0"/>
          <w:sz w:val="24"/>
          <w:szCs w:val="24"/>
          <w:highlight w:val="none"/>
          <w:lang w:val="en-US" w:eastAsia="zh-CN" w:bidi="ar-SA"/>
        </w:rPr>
        <w:t>第三章 合同条款</w:t>
      </w:r>
      <w:bookmarkEnd w:id="37"/>
    </w:p>
    <w:p w14:paraId="2B031B4B">
      <w:pPr>
        <w:pStyle w:val="224"/>
        <w:ind w:firstLine="0"/>
        <w:jc w:val="center"/>
        <w:rPr>
          <w:rFonts w:hint="eastAsia" w:ascii="仿宋" w:hAnsi="仿宋" w:eastAsia="仿宋" w:cs="仿宋"/>
          <w:b/>
          <w:color w:val="auto"/>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Cs w:val="24"/>
          <w:highlight w:val="none"/>
        </w:rPr>
        <w:t>第一部分 合同书</w:t>
      </w:r>
    </w:p>
    <w:p w14:paraId="2A6B7D4C">
      <w:pPr>
        <w:pStyle w:val="224"/>
        <w:ind w:firstLine="0"/>
        <w:rPr>
          <w:rFonts w:hint="eastAsia" w:ascii="仿宋" w:hAnsi="仿宋" w:eastAsia="仿宋" w:cs="仿宋"/>
          <w:color w:val="auto"/>
          <w:szCs w:val="24"/>
          <w:highlight w:val="none"/>
        </w:rPr>
      </w:pPr>
    </w:p>
    <w:p w14:paraId="6C71829C">
      <w:pPr>
        <w:pStyle w:val="224"/>
        <w:ind w:firstLine="0"/>
        <w:rPr>
          <w:rFonts w:hint="eastAsia" w:ascii="仿宋" w:hAnsi="仿宋" w:eastAsia="仿宋" w:cs="仿宋"/>
          <w:color w:val="auto"/>
          <w:szCs w:val="24"/>
          <w:highlight w:val="none"/>
        </w:rPr>
      </w:pPr>
    </w:p>
    <w:p w14:paraId="5EC021AD">
      <w:pPr>
        <w:spacing w:before="120" w:line="22" w:lineRule="atLeast"/>
        <w:rPr>
          <w:rFonts w:hint="eastAsia" w:ascii="仿宋" w:hAnsi="仿宋" w:eastAsia="仿宋" w:cs="仿宋"/>
          <w:color w:val="auto"/>
          <w:sz w:val="24"/>
          <w:highlight w:val="none"/>
        </w:rPr>
      </w:pPr>
    </w:p>
    <w:p w14:paraId="3622108D">
      <w:pPr>
        <w:spacing w:before="120" w:line="22" w:lineRule="atLeast"/>
        <w:rPr>
          <w:rFonts w:hint="eastAsia" w:ascii="仿宋" w:hAnsi="仿宋" w:eastAsia="仿宋" w:cs="仿宋"/>
          <w:color w:val="auto"/>
          <w:sz w:val="24"/>
          <w:highlight w:val="none"/>
        </w:rPr>
      </w:pPr>
    </w:p>
    <w:p w14:paraId="14FADC2F">
      <w:pPr>
        <w:spacing w:before="120" w:line="22" w:lineRule="atLeast"/>
        <w:rPr>
          <w:rFonts w:hint="eastAsia" w:ascii="仿宋" w:hAnsi="仿宋" w:eastAsia="仿宋" w:cs="仿宋"/>
          <w:color w:val="auto"/>
          <w:sz w:val="24"/>
          <w:highlight w:val="none"/>
        </w:rPr>
      </w:pPr>
    </w:p>
    <w:p w14:paraId="06269ADC">
      <w:pPr>
        <w:spacing w:before="120" w:line="22" w:lineRule="atLeast"/>
        <w:rPr>
          <w:rFonts w:hint="eastAsia" w:ascii="仿宋" w:hAnsi="仿宋" w:eastAsia="仿宋" w:cs="仿宋"/>
          <w:color w:val="auto"/>
          <w:sz w:val="24"/>
          <w:highlight w:val="none"/>
        </w:rPr>
      </w:pPr>
    </w:p>
    <w:p w14:paraId="74CCA829">
      <w:pPr>
        <w:pStyle w:val="225"/>
        <w:spacing w:before="120" w:line="22" w:lineRule="atLeast"/>
        <w:ind w:left="2158" w:leftChars="456" w:hanging="1200" w:hangingChars="500"/>
        <w:rPr>
          <w:rFonts w:hint="eastAsia" w:ascii="仿宋" w:hAnsi="仿宋" w:eastAsia="仿宋" w:cs="仿宋"/>
          <w:color w:val="auto"/>
          <w:szCs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新疆维吾尔自治区地质局昌吉地质大队机械租赁服务项目（槽探开挖及回填、道路平整及维护）</w:t>
      </w:r>
    </w:p>
    <w:p w14:paraId="2099BF5D">
      <w:pPr>
        <w:rPr>
          <w:rFonts w:hint="eastAsia" w:ascii="仿宋" w:hAnsi="仿宋" w:eastAsia="仿宋" w:cs="仿宋"/>
          <w:color w:val="auto"/>
          <w:highlight w:val="none"/>
        </w:rPr>
      </w:pPr>
    </w:p>
    <w:p w14:paraId="512FB58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新疆维吾尔自治区地质局昌吉地质大队</w:t>
      </w:r>
      <w:r>
        <w:rPr>
          <w:rFonts w:hint="eastAsia" w:ascii="仿宋" w:hAnsi="仿宋" w:eastAsia="仿宋" w:cs="仿宋"/>
          <w:color w:val="auto"/>
          <w:sz w:val="24"/>
          <w:highlight w:val="none"/>
          <w:u w:val="single"/>
        </w:rPr>
        <w:t xml:space="preserve">   </w:t>
      </w:r>
    </w:p>
    <w:p w14:paraId="24C24916">
      <w:pPr>
        <w:spacing w:before="120" w:line="22" w:lineRule="atLeast"/>
        <w:ind w:left="960"/>
        <w:rPr>
          <w:rFonts w:hint="eastAsia" w:ascii="仿宋" w:hAnsi="仿宋" w:eastAsia="仿宋" w:cs="仿宋"/>
          <w:color w:val="auto"/>
          <w:sz w:val="24"/>
          <w:highlight w:val="none"/>
        </w:rPr>
      </w:pPr>
    </w:p>
    <w:p w14:paraId="5BFA478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04AF099">
      <w:pPr>
        <w:spacing w:before="120" w:line="22" w:lineRule="atLeast"/>
        <w:rPr>
          <w:rFonts w:hint="eastAsia" w:ascii="仿宋" w:hAnsi="仿宋" w:eastAsia="仿宋" w:cs="仿宋"/>
          <w:color w:val="auto"/>
          <w:sz w:val="24"/>
          <w:highlight w:val="none"/>
        </w:rPr>
      </w:pPr>
    </w:p>
    <w:p w14:paraId="101AB4EA">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E299FDB">
      <w:pPr>
        <w:spacing w:before="120" w:line="22" w:lineRule="atLeast"/>
        <w:rPr>
          <w:rFonts w:hint="eastAsia" w:ascii="仿宋" w:hAnsi="仿宋" w:eastAsia="仿宋" w:cs="仿宋"/>
          <w:color w:val="auto"/>
          <w:sz w:val="24"/>
          <w:highlight w:val="none"/>
        </w:rPr>
      </w:pPr>
    </w:p>
    <w:p w14:paraId="0DFC6497">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95B8FC">
      <w:pPr>
        <w:autoSpaceDE w:val="0"/>
        <w:autoSpaceDN w:val="0"/>
        <w:adjustRightInd w:val="0"/>
        <w:spacing w:line="600" w:lineRule="exact"/>
        <w:ind w:firstLine="640"/>
        <w:jc w:val="center"/>
        <w:rPr>
          <w:rFonts w:hint="eastAsia" w:ascii="仿宋" w:hAnsi="仿宋" w:eastAsia="仿宋" w:cs="仿宋"/>
          <w:color w:val="auto"/>
          <w:sz w:val="24"/>
          <w:highlight w:val="none"/>
        </w:rPr>
        <w:sectPr>
          <w:footerReference r:id="rId9" w:type="first"/>
          <w:headerReference r:id="rId7" w:type="default"/>
          <w:footerReference r:id="rId8" w:type="default"/>
          <w:pgSz w:w="11907" w:h="16840"/>
          <w:pgMar w:top="1474" w:right="1814" w:bottom="1474" w:left="1814" w:header="851" w:footer="851" w:gutter="0"/>
          <w:pgNumType w:fmt="decimal" w:start="1"/>
          <w:cols w:space="720" w:num="1"/>
          <w:titlePg/>
          <w:docGrid w:linePitch="462" w:charSpace="0"/>
        </w:sectPr>
      </w:pPr>
    </w:p>
    <w:p w14:paraId="496CAB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新疆维吾尔自治区地质局昌吉地质大队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新疆维吾尔自治区地质局昌吉地质大队机械租赁服务项目（槽探开挖及回填、道路平整及维护）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评标</w:t>
      </w:r>
      <w:r>
        <w:rPr>
          <w:rFonts w:hint="eastAsia" w:ascii="仿宋" w:hAnsi="仿宋" w:eastAsia="仿宋" w:cs="仿宋"/>
          <w:color w:val="auto"/>
          <w:sz w:val="24"/>
          <w:highlight w:val="none"/>
          <w:u w:val="single"/>
        </w:rPr>
        <w:t xml:space="preserve">小组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5A9453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新疆维吾尔自治区地质局昌吉地质大队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C37255B">
      <w:pPr>
        <w:spacing w:line="560" w:lineRule="exact"/>
        <w:ind w:firstLine="482" w:firstLineChars="200"/>
        <w:rPr>
          <w:rFonts w:hint="eastAsia" w:ascii="仿宋" w:hAnsi="仿宋" w:eastAsia="仿宋" w:cs="仿宋"/>
          <w:color w:val="auto"/>
          <w:sz w:val="24"/>
          <w:highlight w:val="none"/>
        </w:rPr>
      </w:pPr>
      <w:bookmarkStart w:id="39" w:name="_Toc20421"/>
      <w:bookmarkStart w:id="40" w:name="_Toc82617970"/>
      <w:bookmarkStart w:id="41" w:name="_Toc37868828"/>
      <w:bookmarkStart w:id="42" w:name="_Toc15367"/>
      <w:bookmarkStart w:id="43" w:name="_Toc22967"/>
      <w:bookmarkStart w:id="44" w:name="_Toc28855"/>
      <w:bookmarkStart w:id="45" w:name="_Toc2591674"/>
      <w:bookmarkStart w:id="46" w:name="_Toc19273"/>
      <w:r>
        <w:rPr>
          <w:rFonts w:hint="eastAsia" w:ascii="仿宋" w:hAnsi="仿宋" w:eastAsia="仿宋" w:cs="仿宋"/>
          <w:b/>
          <w:color w:val="auto"/>
          <w:sz w:val="24"/>
          <w:highlight w:val="none"/>
        </w:rPr>
        <w:t>1.1 合同组成部分</w:t>
      </w:r>
      <w:bookmarkEnd w:id="39"/>
      <w:bookmarkEnd w:id="40"/>
      <w:bookmarkEnd w:id="41"/>
      <w:bookmarkEnd w:id="42"/>
      <w:bookmarkEnd w:id="43"/>
      <w:bookmarkEnd w:id="44"/>
      <w:bookmarkEnd w:id="45"/>
      <w:bookmarkEnd w:id="46"/>
    </w:p>
    <w:p w14:paraId="11D0B8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8450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9D4FF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98C92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71BC78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12BE1B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B8E8158">
      <w:pPr>
        <w:spacing w:line="560" w:lineRule="exact"/>
        <w:ind w:firstLine="482" w:firstLineChars="200"/>
        <w:rPr>
          <w:rFonts w:hint="eastAsia" w:ascii="仿宋" w:hAnsi="仿宋" w:eastAsia="仿宋" w:cs="仿宋"/>
          <w:b/>
          <w:color w:val="auto"/>
          <w:sz w:val="24"/>
          <w:highlight w:val="none"/>
        </w:rPr>
      </w:pPr>
      <w:bookmarkStart w:id="47" w:name="_Toc22185"/>
      <w:bookmarkStart w:id="48" w:name="_Toc6773"/>
      <w:bookmarkStart w:id="49" w:name="_Toc82617971"/>
      <w:bookmarkStart w:id="50" w:name="_Toc2591675"/>
      <w:bookmarkStart w:id="51" w:name="_Toc6311"/>
      <w:bookmarkStart w:id="52" w:name="_Toc18585"/>
      <w:bookmarkStart w:id="53" w:name="_Toc37868829"/>
      <w:bookmarkStart w:id="54" w:name="_Toc2918"/>
      <w:r>
        <w:rPr>
          <w:rFonts w:hint="eastAsia" w:ascii="仿宋" w:hAnsi="仿宋" w:eastAsia="仿宋" w:cs="仿宋"/>
          <w:b/>
          <w:color w:val="auto"/>
          <w:sz w:val="24"/>
          <w:highlight w:val="none"/>
        </w:rPr>
        <w:t>1.2 标的</w:t>
      </w:r>
      <w:bookmarkEnd w:id="47"/>
      <w:bookmarkEnd w:id="48"/>
      <w:bookmarkEnd w:id="49"/>
      <w:bookmarkEnd w:id="50"/>
      <w:bookmarkEnd w:id="51"/>
      <w:bookmarkEnd w:id="52"/>
      <w:bookmarkEnd w:id="53"/>
      <w:bookmarkEnd w:id="54"/>
    </w:p>
    <w:p w14:paraId="6EAF84A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C1F6C5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53EA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0FD898">
      <w:pPr>
        <w:spacing w:line="560" w:lineRule="exact"/>
        <w:ind w:firstLine="482" w:firstLineChars="200"/>
        <w:rPr>
          <w:rFonts w:hint="eastAsia" w:ascii="仿宋" w:hAnsi="仿宋" w:eastAsia="仿宋" w:cs="仿宋"/>
          <w:b/>
          <w:color w:val="auto"/>
          <w:sz w:val="24"/>
          <w:highlight w:val="none"/>
        </w:rPr>
      </w:pPr>
      <w:bookmarkStart w:id="55" w:name="_Toc2591676"/>
      <w:bookmarkStart w:id="56" w:name="_Toc21124"/>
      <w:bookmarkStart w:id="57" w:name="_Toc37868830"/>
      <w:bookmarkStart w:id="58" w:name="_Toc82617972"/>
      <w:bookmarkStart w:id="59" w:name="_Toc13918"/>
      <w:bookmarkStart w:id="60" w:name="_Toc5635"/>
      <w:bookmarkStart w:id="61" w:name="_Toc4929"/>
      <w:bookmarkStart w:id="62" w:name="_Toc1386"/>
      <w:r>
        <w:rPr>
          <w:rFonts w:hint="eastAsia" w:ascii="仿宋" w:hAnsi="仿宋" w:eastAsia="仿宋" w:cs="仿宋"/>
          <w:b/>
          <w:color w:val="auto"/>
          <w:sz w:val="24"/>
          <w:highlight w:val="none"/>
        </w:rPr>
        <w:t>1.3 价款</w:t>
      </w:r>
      <w:bookmarkEnd w:id="55"/>
      <w:bookmarkEnd w:id="56"/>
      <w:bookmarkEnd w:id="57"/>
      <w:bookmarkEnd w:id="58"/>
      <w:bookmarkEnd w:id="59"/>
      <w:bookmarkEnd w:id="60"/>
      <w:bookmarkEnd w:id="61"/>
      <w:bookmarkEnd w:id="62"/>
    </w:p>
    <w:p w14:paraId="785AF4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E7A36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p w14:paraId="1BC2D6F8">
      <w:pPr>
        <w:spacing w:line="560" w:lineRule="exact"/>
        <w:ind w:firstLine="480" w:firstLineChars="200"/>
        <w:rPr>
          <w:rFonts w:hint="eastAsia" w:ascii="仿宋" w:hAnsi="仿宋" w:eastAsia="仿宋" w:cs="仿宋"/>
          <w:color w:val="auto"/>
          <w:sz w:val="24"/>
          <w:highlight w:val="none"/>
        </w:rPr>
      </w:pP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4053"/>
        <w:gridCol w:w="3039"/>
      </w:tblGrid>
      <w:tr w14:paraId="4868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29C7A772">
            <w:pPr>
              <w:pStyle w:val="226"/>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2377" w:type="pct"/>
            <w:vAlign w:val="center"/>
          </w:tcPr>
          <w:p w14:paraId="4053019F">
            <w:pPr>
              <w:pStyle w:val="226"/>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1783" w:type="pct"/>
            <w:vAlign w:val="center"/>
          </w:tcPr>
          <w:p w14:paraId="4330A9CF">
            <w:pPr>
              <w:pStyle w:val="226"/>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r w14:paraId="6C17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46D280B1">
            <w:pPr>
              <w:pStyle w:val="226"/>
              <w:spacing w:line="560" w:lineRule="exact"/>
              <w:jc w:val="center"/>
              <w:rPr>
                <w:rFonts w:hint="eastAsia" w:ascii="仿宋" w:hAnsi="仿宋" w:eastAsia="仿宋" w:cs="仿宋"/>
                <w:color w:val="auto"/>
                <w:kern w:val="2"/>
                <w:sz w:val="24"/>
                <w:szCs w:val="24"/>
                <w:highlight w:val="none"/>
              </w:rPr>
            </w:pPr>
          </w:p>
        </w:tc>
        <w:tc>
          <w:tcPr>
            <w:tcW w:w="2377" w:type="pct"/>
            <w:vAlign w:val="center"/>
          </w:tcPr>
          <w:p w14:paraId="7068BA1C">
            <w:pPr>
              <w:pStyle w:val="226"/>
              <w:spacing w:line="560" w:lineRule="exact"/>
              <w:jc w:val="center"/>
              <w:rPr>
                <w:rFonts w:hint="eastAsia" w:ascii="仿宋" w:hAnsi="仿宋" w:eastAsia="仿宋" w:cs="仿宋"/>
                <w:color w:val="auto"/>
                <w:kern w:val="2"/>
                <w:sz w:val="24"/>
                <w:szCs w:val="24"/>
                <w:highlight w:val="none"/>
              </w:rPr>
            </w:pPr>
          </w:p>
        </w:tc>
        <w:tc>
          <w:tcPr>
            <w:tcW w:w="1783" w:type="pct"/>
            <w:vAlign w:val="center"/>
          </w:tcPr>
          <w:p w14:paraId="7AE12F49">
            <w:pPr>
              <w:pStyle w:val="226"/>
              <w:spacing w:line="560" w:lineRule="exact"/>
              <w:jc w:val="center"/>
              <w:rPr>
                <w:rFonts w:hint="eastAsia" w:ascii="仿宋" w:hAnsi="仿宋" w:eastAsia="仿宋" w:cs="仿宋"/>
                <w:color w:val="auto"/>
                <w:kern w:val="2"/>
                <w:sz w:val="24"/>
                <w:szCs w:val="24"/>
                <w:highlight w:val="none"/>
              </w:rPr>
            </w:pPr>
          </w:p>
        </w:tc>
      </w:tr>
      <w:tr w14:paraId="07DC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7BEE311E">
            <w:pPr>
              <w:pStyle w:val="226"/>
              <w:spacing w:line="560" w:lineRule="exact"/>
              <w:jc w:val="center"/>
              <w:rPr>
                <w:rFonts w:hint="eastAsia" w:ascii="仿宋" w:hAnsi="仿宋" w:eastAsia="仿宋" w:cs="仿宋"/>
                <w:color w:val="auto"/>
                <w:kern w:val="2"/>
                <w:sz w:val="24"/>
                <w:szCs w:val="24"/>
                <w:highlight w:val="none"/>
              </w:rPr>
            </w:pPr>
          </w:p>
        </w:tc>
        <w:tc>
          <w:tcPr>
            <w:tcW w:w="2377" w:type="pct"/>
            <w:vAlign w:val="center"/>
          </w:tcPr>
          <w:p w14:paraId="6856321E">
            <w:pPr>
              <w:pStyle w:val="226"/>
              <w:spacing w:line="560" w:lineRule="exact"/>
              <w:jc w:val="center"/>
              <w:rPr>
                <w:rFonts w:hint="eastAsia" w:ascii="仿宋" w:hAnsi="仿宋" w:eastAsia="仿宋" w:cs="仿宋"/>
                <w:color w:val="auto"/>
                <w:kern w:val="2"/>
                <w:sz w:val="24"/>
                <w:szCs w:val="24"/>
                <w:highlight w:val="none"/>
              </w:rPr>
            </w:pPr>
          </w:p>
        </w:tc>
        <w:tc>
          <w:tcPr>
            <w:tcW w:w="1783" w:type="pct"/>
            <w:vAlign w:val="center"/>
          </w:tcPr>
          <w:p w14:paraId="5D7B4626">
            <w:pPr>
              <w:pStyle w:val="226"/>
              <w:spacing w:line="560" w:lineRule="exact"/>
              <w:jc w:val="center"/>
              <w:rPr>
                <w:rFonts w:hint="eastAsia" w:ascii="仿宋" w:hAnsi="仿宋" w:eastAsia="仿宋" w:cs="仿宋"/>
                <w:color w:val="auto"/>
                <w:kern w:val="2"/>
                <w:sz w:val="24"/>
                <w:szCs w:val="24"/>
                <w:highlight w:val="none"/>
              </w:rPr>
            </w:pPr>
          </w:p>
        </w:tc>
      </w:tr>
      <w:tr w14:paraId="4CE2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58CC42FB">
            <w:pPr>
              <w:pStyle w:val="226"/>
              <w:spacing w:line="560" w:lineRule="exact"/>
              <w:jc w:val="center"/>
              <w:rPr>
                <w:rFonts w:hint="eastAsia" w:ascii="仿宋" w:hAnsi="仿宋" w:eastAsia="仿宋" w:cs="仿宋"/>
                <w:color w:val="auto"/>
                <w:kern w:val="2"/>
                <w:sz w:val="24"/>
                <w:szCs w:val="24"/>
                <w:highlight w:val="none"/>
              </w:rPr>
            </w:pPr>
          </w:p>
        </w:tc>
        <w:tc>
          <w:tcPr>
            <w:tcW w:w="2377" w:type="pct"/>
            <w:vAlign w:val="center"/>
          </w:tcPr>
          <w:p w14:paraId="274717C7">
            <w:pPr>
              <w:pStyle w:val="226"/>
              <w:spacing w:line="560" w:lineRule="exact"/>
              <w:jc w:val="center"/>
              <w:rPr>
                <w:rFonts w:hint="eastAsia" w:ascii="仿宋" w:hAnsi="仿宋" w:eastAsia="仿宋" w:cs="仿宋"/>
                <w:color w:val="auto"/>
                <w:kern w:val="2"/>
                <w:sz w:val="24"/>
                <w:szCs w:val="24"/>
                <w:highlight w:val="none"/>
              </w:rPr>
            </w:pPr>
          </w:p>
        </w:tc>
        <w:tc>
          <w:tcPr>
            <w:tcW w:w="1783" w:type="pct"/>
            <w:vAlign w:val="center"/>
          </w:tcPr>
          <w:p w14:paraId="69FA82DC">
            <w:pPr>
              <w:pStyle w:val="226"/>
              <w:spacing w:line="560" w:lineRule="exact"/>
              <w:jc w:val="center"/>
              <w:rPr>
                <w:rFonts w:hint="eastAsia" w:ascii="仿宋" w:hAnsi="仿宋" w:eastAsia="仿宋" w:cs="仿宋"/>
                <w:color w:val="auto"/>
                <w:kern w:val="2"/>
                <w:sz w:val="24"/>
                <w:szCs w:val="24"/>
                <w:highlight w:val="none"/>
              </w:rPr>
            </w:pPr>
          </w:p>
        </w:tc>
      </w:tr>
      <w:tr w14:paraId="6790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170C32FA">
            <w:pPr>
              <w:pStyle w:val="226"/>
              <w:spacing w:line="560" w:lineRule="exact"/>
              <w:jc w:val="center"/>
              <w:rPr>
                <w:rFonts w:hint="eastAsia" w:ascii="仿宋" w:hAnsi="仿宋" w:eastAsia="仿宋" w:cs="仿宋"/>
                <w:color w:val="auto"/>
                <w:kern w:val="2"/>
                <w:sz w:val="24"/>
                <w:szCs w:val="24"/>
                <w:highlight w:val="none"/>
              </w:rPr>
            </w:pPr>
          </w:p>
        </w:tc>
        <w:tc>
          <w:tcPr>
            <w:tcW w:w="2377" w:type="pct"/>
            <w:vAlign w:val="center"/>
          </w:tcPr>
          <w:p w14:paraId="041E42A2">
            <w:pPr>
              <w:pStyle w:val="226"/>
              <w:spacing w:line="560" w:lineRule="exact"/>
              <w:jc w:val="center"/>
              <w:rPr>
                <w:rFonts w:hint="eastAsia" w:ascii="仿宋" w:hAnsi="仿宋" w:eastAsia="仿宋" w:cs="仿宋"/>
                <w:color w:val="auto"/>
                <w:kern w:val="2"/>
                <w:sz w:val="24"/>
                <w:szCs w:val="24"/>
                <w:highlight w:val="none"/>
              </w:rPr>
            </w:pPr>
          </w:p>
        </w:tc>
        <w:tc>
          <w:tcPr>
            <w:tcW w:w="1783" w:type="pct"/>
            <w:vAlign w:val="center"/>
          </w:tcPr>
          <w:p w14:paraId="11C7C8A3">
            <w:pPr>
              <w:pStyle w:val="226"/>
              <w:spacing w:line="560" w:lineRule="exact"/>
              <w:jc w:val="center"/>
              <w:rPr>
                <w:rFonts w:hint="eastAsia" w:ascii="仿宋" w:hAnsi="仿宋" w:eastAsia="仿宋" w:cs="仿宋"/>
                <w:color w:val="auto"/>
                <w:kern w:val="2"/>
                <w:sz w:val="24"/>
                <w:szCs w:val="24"/>
                <w:highlight w:val="none"/>
              </w:rPr>
            </w:pPr>
          </w:p>
        </w:tc>
      </w:tr>
      <w:tr w14:paraId="4F43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1CAFA658">
            <w:pPr>
              <w:pStyle w:val="226"/>
              <w:spacing w:line="560" w:lineRule="exact"/>
              <w:ind w:firstLine="48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1783" w:type="pct"/>
            <w:vAlign w:val="center"/>
          </w:tcPr>
          <w:p w14:paraId="25A55F2F">
            <w:pPr>
              <w:pStyle w:val="226"/>
              <w:spacing w:line="560" w:lineRule="exact"/>
              <w:rPr>
                <w:rFonts w:hint="eastAsia" w:ascii="仿宋" w:hAnsi="仿宋" w:eastAsia="仿宋" w:cs="仿宋"/>
                <w:color w:val="auto"/>
                <w:kern w:val="2"/>
                <w:sz w:val="24"/>
                <w:szCs w:val="24"/>
                <w:highlight w:val="none"/>
              </w:rPr>
            </w:pPr>
          </w:p>
        </w:tc>
      </w:tr>
    </w:tbl>
    <w:p w14:paraId="71DE55F5">
      <w:pPr>
        <w:spacing w:line="560" w:lineRule="exact"/>
        <w:ind w:firstLine="482" w:firstLineChars="200"/>
        <w:rPr>
          <w:rFonts w:hint="eastAsia" w:ascii="仿宋" w:hAnsi="仿宋" w:eastAsia="仿宋" w:cs="仿宋"/>
          <w:b/>
          <w:color w:val="auto"/>
          <w:sz w:val="24"/>
          <w:highlight w:val="none"/>
        </w:rPr>
      </w:pPr>
      <w:bookmarkStart w:id="63" w:name="_Toc2591677"/>
      <w:bookmarkStart w:id="64" w:name="_Toc30506"/>
      <w:bookmarkStart w:id="65" w:name="_Toc82617973"/>
      <w:bookmarkStart w:id="66" w:name="_Toc3654"/>
      <w:bookmarkStart w:id="67" w:name="_Toc37868831"/>
      <w:bookmarkStart w:id="68" w:name="_Toc14993"/>
      <w:bookmarkStart w:id="69" w:name="_Toc26916"/>
      <w:bookmarkStart w:id="70" w:name="_Toc30158"/>
      <w:r>
        <w:rPr>
          <w:rFonts w:hint="eastAsia" w:ascii="仿宋" w:hAnsi="仿宋" w:eastAsia="仿宋" w:cs="仿宋"/>
          <w:b/>
          <w:color w:val="auto"/>
          <w:sz w:val="24"/>
          <w:highlight w:val="none"/>
        </w:rPr>
        <w:t>1.4 付款方式和发票开具方式</w:t>
      </w:r>
      <w:bookmarkEnd w:id="63"/>
      <w:bookmarkEnd w:id="64"/>
      <w:bookmarkEnd w:id="65"/>
      <w:bookmarkEnd w:id="66"/>
      <w:bookmarkEnd w:id="67"/>
      <w:bookmarkEnd w:id="68"/>
      <w:bookmarkEnd w:id="69"/>
      <w:bookmarkEnd w:id="70"/>
    </w:p>
    <w:p w14:paraId="251C8A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3E5A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8D3704">
      <w:pPr>
        <w:spacing w:line="560" w:lineRule="exact"/>
        <w:ind w:firstLine="482" w:firstLineChars="200"/>
        <w:rPr>
          <w:rFonts w:hint="eastAsia" w:ascii="仿宋" w:hAnsi="仿宋" w:eastAsia="仿宋" w:cs="仿宋"/>
          <w:b/>
          <w:color w:val="auto"/>
          <w:sz w:val="24"/>
          <w:highlight w:val="none"/>
        </w:rPr>
      </w:pPr>
      <w:bookmarkStart w:id="71" w:name="_Toc2591678"/>
      <w:bookmarkStart w:id="72" w:name="_Toc3625"/>
      <w:bookmarkStart w:id="73" w:name="_Toc37868832"/>
      <w:bookmarkStart w:id="74" w:name="_Toc11108"/>
      <w:bookmarkStart w:id="75" w:name="_Toc8772"/>
      <w:bookmarkStart w:id="76" w:name="_Toc31421"/>
      <w:bookmarkStart w:id="77" w:name="_Toc4760"/>
      <w:bookmarkStart w:id="78" w:name="_Toc82617974"/>
      <w:r>
        <w:rPr>
          <w:rFonts w:hint="eastAsia" w:ascii="仿宋" w:hAnsi="仿宋" w:eastAsia="仿宋" w:cs="仿宋"/>
          <w:b/>
          <w:color w:val="auto"/>
          <w:sz w:val="24"/>
          <w:highlight w:val="none"/>
        </w:rPr>
        <w:t>1.5 履行期限、地点和方式</w:t>
      </w:r>
      <w:bookmarkEnd w:id="71"/>
      <w:bookmarkEnd w:id="72"/>
      <w:bookmarkEnd w:id="73"/>
      <w:bookmarkEnd w:id="74"/>
      <w:bookmarkEnd w:id="75"/>
      <w:bookmarkEnd w:id="76"/>
      <w:bookmarkEnd w:id="77"/>
      <w:bookmarkEnd w:id="78"/>
    </w:p>
    <w:p w14:paraId="4F5CBFE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E1CF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061C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D52A2D">
      <w:pPr>
        <w:spacing w:line="560" w:lineRule="exact"/>
        <w:ind w:firstLine="482" w:firstLineChars="200"/>
        <w:rPr>
          <w:rFonts w:hint="eastAsia" w:ascii="仿宋" w:hAnsi="仿宋" w:eastAsia="仿宋" w:cs="仿宋"/>
          <w:color w:val="auto"/>
          <w:sz w:val="24"/>
          <w:highlight w:val="none"/>
          <w:u w:val="single"/>
        </w:rPr>
      </w:pPr>
      <w:bookmarkStart w:id="79" w:name="_Toc37868833"/>
      <w:bookmarkStart w:id="80" w:name="_Toc5698"/>
      <w:bookmarkStart w:id="81" w:name="_Toc8586"/>
      <w:bookmarkStart w:id="82" w:name="_Toc24662"/>
      <w:bookmarkStart w:id="83" w:name="_Toc82617975"/>
      <w:bookmarkStart w:id="84" w:name="_Toc2375"/>
      <w:bookmarkStart w:id="85" w:name="_Toc2591679"/>
      <w:bookmarkStart w:id="86" w:name="_Toc3079"/>
      <w:r>
        <w:rPr>
          <w:rFonts w:hint="eastAsia" w:ascii="仿宋" w:hAnsi="仿宋" w:eastAsia="仿宋" w:cs="仿宋"/>
          <w:b/>
          <w:color w:val="auto"/>
          <w:sz w:val="24"/>
          <w:highlight w:val="none"/>
        </w:rPr>
        <w:t>1.6 违约责任</w:t>
      </w:r>
      <w:bookmarkEnd w:id="79"/>
      <w:bookmarkEnd w:id="80"/>
      <w:bookmarkEnd w:id="81"/>
      <w:bookmarkEnd w:id="82"/>
      <w:bookmarkEnd w:id="83"/>
      <w:bookmarkEnd w:id="84"/>
      <w:bookmarkEnd w:id="85"/>
      <w:bookmarkEnd w:id="86"/>
    </w:p>
    <w:p w14:paraId="225CE6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5E913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44544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C3AF1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900B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6B3B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4DE2DFE">
      <w:pPr>
        <w:spacing w:line="560" w:lineRule="exact"/>
        <w:ind w:firstLine="482" w:firstLineChars="200"/>
        <w:rPr>
          <w:rFonts w:hint="eastAsia" w:ascii="仿宋" w:hAnsi="仿宋" w:eastAsia="仿宋" w:cs="仿宋"/>
          <w:b/>
          <w:color w:val="auto"/>
          <w:sz w:val="24"/>
          <w:highlight w:val="none"/>
        </w:rPr>
      </w:pPr>
      <w:bookmarkStart w:id="87" w:name="_Toc30329"/>
      <w:bookmarkStart w:id="88" w:name="_Toc37868834"/>
      <w:bookmarkStart w:id="89" w:name="_Toc9497"/>
      <w:bookmarkStart w:id="90" w:name="_Toc32454"/>
      <w:bookmarkStart w:id="91" w:name="_Toc18683"/>
      <w:bookmarkStart w:id="92" w:name="_Toc82617976"/>
      <w:bookmarkStart w:id="93" w:name="_Toc2591680"/>
      <w:bookmarkStart w:id="94" w:name="_Toc26807"/>
      <w:r>
        <w:rPr>
          <w:rFonts w:hint="eastAsia" w:ascii="仿宋" w:hAnsi="仿宋" w:eastAsia="仿宋" w:cs="仿宋"/>
          <w:b/>
          <w:color w:val="auto"/>
          <w:sz w:val="24"/>
          <w:highlight w:val="none"/>
        </w:rPr>
        <w:t>1.7 合同争议的解决</w:t>
      </w:r>
      <w:bookmarkEnd w:id="87"/>
      <w:bookmarkEnd w:id="88"/>
      <w:bookmarkEnd w:id="89"/>
      <w:bookmarkEnd w:id="90"/>
      <w:bookmarkEnd w:id="91"/>
      <w:bookmarkEnd w:id="92"/>
      <w:bookmarkEnd w:id="93"/>
      <w:bookmarkEnd w:id="94"/>
    </w:p>
    <w:p w14:paraId="27ED0D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4523B8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6D87A5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p>
    <w:p w14:paraId="272BD178">
      <w:pPr>
        <w:spacing w:line="560" w:lineRule="exact"/>
        <w:ind w:firstLine="482" w:firstLineChars="200"/>
        <w:rPr>
          <w:rFonts w:hint="eastAsia" w:ascii="仿宋" w:hAnsi="仿宋" w:eastAsia="仿宋" w:cs="仿宋"/>
          <w:b/>
          <w:color w:val="auto"/>
          <w:sz w:val="24"/>
          <w:highlight w:val="none"/>
        </w:rPr>
      </w:pPr>
      <w:bookmarkStart w:id="95" w:name="_Toc82617977"/>
      <w:bookmarkStart w:id="96" w:name="_Toc26227"/>
      <w:bookmarkStart w:id="97" w:name="_Toc23784"/>
      <w:bookmarkStart w:id="98" w:name="_Toc16417"/>
      <w:bookmarkStart w:id="99" w:name="_Toc2591681"/>
      <w:bookmarkStart w:id="100" w:name="_Toc15827"/>
      <w:bookmarkStart w:id="101" w:name="_Toc37868835"/>
      <w:bookmarkStart w:id="102" w:name="_Toc12273"/>
      <w:r>
        <w:rPr>
          <w:rFonts w:hint="eastAsia" w:ascii="仿宋" w:hAnsi="仿宋" w:eastAsia="仿宋" w:cs="仿宋"/>
          <w:b/>
          <w:color w:val="auto"/>
          <w:sz w:val="24"/>
          <w:highlight w:val="none"/>
        </w:rPr>
        <w:t>1.8 合同生效</w:t>
      </w:r>
      <w:bookmarkEnd w:id="95"/>
      <w:bookmarkEnd w:id="96"/>
      <w:bookmarkEnd w:id="97"/>
      <w:bookmarkEnd w:id="98"/>
      <w:bookmarkEnd w:id="99"/>
      <w:bookmarkEnd w:id="100"/>
      <w:bookmarkEnd w:id="101"/>
      <w:bookmarkEnd w:id="102"/>
    </w:p>
    <w:p w14:paraId="4588F4E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365A6646">
      <w:pPr>
        <w:autoSpaceDE w:val="0"/>
        <w:autoSpaceDN w:val="0"/>
        <w:adjustRightInd w:val="0"/>
        <w:spacing w:line="560" w:lineRule="exact"/>
        <w:rPr>
          <w:rFonts w:hint="eastAsia" w:ascii="仿宋" w:hAnsi="仿宋" w:eastAsia="仿宋" w:cs="仿宋"/>
          <w:color w:val="auto"/>
          <w:sz w:val="24"/>
          <w:highlight w:val="none"/>
          <w:lang w:val="zh-CN"/>
        </w:rPr>
      </w:pPr>
    </w:p>
    <w:p w14:paraId="57929D01">
      <w:pPr>
        <w:autoSpaceDE w:val="0"/>
        <w:autoSpaceDN w:val="0"/>
        <w:adjustRightInd w:val="0"/>
        <w:spacing w:line="560" w:lineRule="exact"/>
        <w:rPr>
          <w:rFonts w:hint="eastAsia" w:ascii="仿宋" w:hAnsi="仿宋" w:eastAsia="仿宋" w:cs="仿宋"/>
          <w:b/>
          <w:color w:val="auto"/>
          <w:sz w:val="24"/>
          <w:highlight w:val="none"/>
          <w:lang w:val="zh-CN"/>
        </w:rPr>
      </w:pPr>
    </w:p>
    <w:p w14:paraId="2728207B">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AE3D3C5">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795F344">
      <w:pPr>
        <w:autoSpaceDE w:val="0"/>
        <w:autoSpaceDN w:val="0"/>
        <w:adjustRightInd w:val="0"/>
        <w:spacing w:line="560" w:lineRule="exact"/>
        <w:rPr>
          <w:rFonts w:hint="eastAsia" w:ascii="仿宋" w:hAnsi="仿宋" w:eastAsia="仿宋" w:cs="仿宋"/>
          <w:color w:val="auto"/>
          <w:sz w:val="24"/>
          <w:highlight w:val="none"/>
          <w:lang w:val="zh-CN"/>
        </w:rPr>
      </w:pPr>
    </w:p>
    <w:p w14:paraId="053A3C3D">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CCE27AA">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2FE0FF07">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1DD23AA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CA67850">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A0C8A1F">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7125CCA">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DB7B321">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3FAC6C7">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6E4566F">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B0C497E">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02AE7B5">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AEF9932">
      <w:pPr>
        <w:widowControl/>
        <w:spacing w:line="560" w:lineRule="exact"/>
        <w:jc w:val="left"/>
        <w:rPr>
          <w:rFonts w:hint="eastAsia" w:ascii="仿宋" w:hAnsi="仿宋" w:eastAsia="仿宋" w:cs="仿宋"/>
          <w:b/>
          <w:color w:val="auto"/>
          <w:highlight w:val="none"/>
        </w:rPr>
      </w:pPr>
      <w:bookmarkStart w:id="103" w:name="_Toc331685783"/>
    </w:p>
    <w:p w14:paraId="4C72AD39">
      <w:pPr>
        <w:widowControl/>
        <w:spacing w:line="560" w:lineRule="exact"/>
        <w:jc w:val="left"/>
        <w:rPr>
          <w:rFonts w:hint="eastAsia" w:ascii="仿宋" w:hAnsi="仿宋" w:eastAsia="仿宋" w:cs="仿宋"/>
          <w:b/>
          <w:color w:val="auto"/>
          <w:highlight w:val="none"/>
        </w:rPr>
      </w:pPr>
    </w:p>
    <w:p w14:paraId="1246743A">
      <w:pPr>
        <w:pStyle w:val="224"/>
        <w:spacing w:line="560" w:lineRule="exact"/>
        <w:ind w:firstLine="2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r>
        <w:rPr>
          <w:rFonts w:hint="eastAsia" w:ascii="仿宋" w:hAnsi="仿宋" w:eastAsia="仿宋" w:cs="仿宋"/>
          <w:b/>
          <w:color w:val="auto"/>
          <w:szCs w:val="24"/>
          <w:highlight w:val="none"/>
        </w:rPr>
        <w:t>第二部分 合同一般条款</w:t>
      </w:r>
      <w:bookmarkEnd w:id="103"/>
    </w:p>
    <w:p w14:paraId="373F7A74">
      <w:pPr>
        <w:spacing w:line="560" w:lineRule="exact"/>
        <w:ind w:firstLine="482" w:firstLineChars="200"/>
        <w:rPr>
          <w:rFonts w:hint="eastAsia" w:ascii="仿宋" w:hAnsi="仿宋" w:eastAsia="仿宋" w:cs="仿宋"/>
          <w:b/>
          <w:color w:val="auto"/>
          <w:sz w:val="24"/>
          <w:highlight w:val="none"/>
        </w:rPr>
      </w:pPr>
      <w:bookmarkStart w:id="104" w:name="_Ref467379094"/>
      <w:bookmarkStart w:id="105" w:name="_Toc31297"/>
      <w:bookmarkStart w:id="106" w:name="_Toc25079"/>
      <w:bookmarkStart w:id="107" w:name="_Ref467378404"/>
      <w:bookmarkStart w:id="108" w:name="_Toc19680"/>
      <w:bookmarkStart w:id="109" w:name="_Toc82617978"/>
      <w:bookmarkStart w:id="110" w:name="_Ref467379225"/>
      <w:bookmarkStart w:id="111" w:name="_Toc487900349"/>
      <w:bookmarkStart w:id="112" w:name="_Ref467378499"/>
      <w:bookmarkStart w:id="113" w:name="_Ref467379214"/>
      <w:bookmarkStart w:id="114" w:name="_Ref467379205"/>
      <w:bookmarkStart w:id="115" w:name="_Toc37868836"/>
      <w:bookmarkStart w:id="116" w:name="_Toc259093669"/>
      <w:bookmarkStart w:id="117" w:name="_Toc14021"/>
      <w:bookmarkStart w:id="118" w:name="_Ref467379101"/>
      <w:bookmarkStart w:id="119" w:name="_Toc2591682"/>
      <w:bookmarkStart w:id="120" w:name="_Toc279701240"/>
      <w:bookmarkStart w:id="121" w:name="_Ref467378463"/>
      <w:bookmarkStart w:id="122" w:name="_Ref467379109"/>
      <w:bookmarkStart w:id="123" w:name="_Ref467379195"/>
      <w:bookmarkStart w:id="124" w:name="_Toc5228"/>
      <w:r>
        <w:rPr>
          <w:rFonts w:hint="eastAsia" w:ascii="仿宋" w:hAnsi="仿宋" w:eastAsia="仿宋" w:cs="仿宋"/>
          <w:b/>
          <w:color w:val="auto"/>
          <w:sz w:val="24"/>
          <w:highlight w:val="none"/>
        </w:rPr>
        <w:t>2.1 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611CE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7CFB7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08E595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5A24F9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23DC7DE6">
      <w:pPr>
        <w:spacing w:line="560" w:lineRule="exact"/>
        <w:ind w:firstLine="480" w:firstLineChars="200"/>
        <w:rPr>
          <w:rFonts w:hint="eastAsia" w:ascii="仿宋" w:hAnsi="仿宋" w:eastAsia="仿宋" w:cs="仿宋"/>
          <w:color w:val="auto"/>
          <w:sz w:val="24"/>
          <w:highlight w:val="none"/>
        </w:rPr>
      </w:pPr>
      <w:bookmarkStart w:id="125" w:name="_Ref467378840"/>
      <w:r>
        <w:rPr>
          <w:rFonts w:hint="eastAsia" w:ascii="仿宋" w:hAnsi="仿宋" w:eastAsia="仿宋" w:cs="仿宋"/>
          <w:color w:val="auto"/>
          <w:sz w:val="24"/>
          <w:highlight w:val="none"/>
        </w:rPr>
        <w:t>2.1.4 “甲方”系指与中标供应商签署合同的采购人</w:t>
      </w:r>
      <w:bookmarkEnd w:id="125"/>
      <w:r>
        <w:rPr>
          <w:rFonts w:hint="eastAsia" w:ascii="仿宋" w:hAnsi="仿宋" w:eastAsia="仿宋" w:cs="仿宋"/>
          <w:color w:val="auto"/>
          <w:sz w:val="24"/>
          <w:highlight w:val="none"/>
        </w:rPr>
        <w:t>；采购人委托采购代理机构代表其与乙方签订合同的，采购人的授权委托书作为合同附件。</w:t>
      </w:r>
    </w:p>
    <w:p w14:paraId="23A70E77">
      <w:pPr>
        <w:spacing w:line="560" w:lineRule="exact"/>
        <w:ind w:firstLine="480" w:firstLineChars="200"/>
        <w:rPr>
          <w:rFonts w:hint="eastAsia" w:ascii="仿宋" w:hAnsi="仿宋" w:eastAsia="仿宋" w:cs="仿宋"/>
          <w:color w:val="auto"/>
          <w:sz w:val="24"/>
          <w:highlight w:val="none"/>
        </w:rPr>
      </w:pPr>
      <w:bookmarkStart w:id="126" w:name="_Ref467379400"/>
      <w:r>
        <w:rPr>
          <w:rFonts w:hint="eastAsia" w:ascii="仿宋" w:hAnsi="仿宋" w:eastAsia="仿宋" w:cs="仿宋"/>
          <w:color w:val="auto"/>
          <w:sz w:val="24"/>
          <w:highlight w:val="none"/>
        </w:rPr>
        <w:t>2.1.5 “乙方”系指根据合同约定提供服务的中标供应商</w:t>
      </w:r>
      <w:bookmarkEnd w:id="12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3D7C25">
      <w:pPr>
        <w:spacing w:line="560" w:lineRule="exact"/>
        <w:ind w:firstLine="480" w:firstLineChars="200"/>
        <w:rPr>
          <w:rFonts w:hint="eastAsia" w:ascii="仿宋" w:hAnsi="仿宋" w:eastAsia="仿宋" w:cs="仿宋"/>
          <w:color w:val="auto"/>
          <w:sz w:val="24"/>
          <w:highlight w:val="none"/>
        </w:rPr>
      </w:pPr>
      <w:bookmarkStart w:id="127" w:name="_Ref467379436"/>
      <w:r>
        <w:rPr>
          <w:rFonts w:hint="eastAsia" w:ascii="仿宋" w:hAnsi="仿宋" w:eastAsia="仿宋" w:cs="仿宋"/>
          <w:color w:val="auto"/>
          <w:sz w:val="24"/>
          <w:highlight w:val="none"/>
        </w:rPr>
        <w:t>2.1.6 “现场”系指合同约定提供服务的地点。</w:t>
      </w:r>
      <w:bookmarkEnd w:id="127"/>
    </w:p>
    <w:p w14:paraId="46BBE6B4">
      <w:pPr>
        <w:spacing w:line="560" w:lineRule="exact"/>
        <w:ind w:firstLine="482" w:firstLineChars="200"/>
        <w:rPr>
          <w:rFonts w:hint="eastAsia" w:ascii="仿宋" w:hAnsi="仿宋" w:eastAsia="仿宋" w:cs="仿宋"/>
          <w:b/>
          <w:color w:val="auto"/>
          <w:sz w:val="24"/>
          <w:highlight w:val="none"/>
        </w:rPr>
      </w:pPr>
      <w:bookmarkStart w:id="128" w:name="_Toc279701241"/>
      <w:bookmarkStart w:id="129" w:name="_Toc23289"/>
      <w:bookmarkStart w:id="130" w:name="_Toc259093670"/>
      <w:bookmarkStart w:id="131" w:name="_Toc37868837"/>
      <w:bookmarkStart w:id="132" w:name="_Toc31402"/>
      <w:bookmarkStart w:id="133" w:name="_Toc2591683"/>
      <w:bookmarkStart w:id="134" w:name="_Toc487900350"/>
      <w:bookmarkStart w:id="135" w:name="_Toc82617979"/>
      <w:bookmarkStart w:id="136" w:name="_Toc16752"/>
      <w:bookmarkStart w:id="137" w:name="_Toc19539"/>
      <w:bookmarkStart w:id="138" w:name="_Toc3769"/>
      <w:r>
        <w:rPr>
          <w:rFonts w:hint="eastAsia" w:ascii="仿宋" w:hAnsi="仿宋" w:eastAsia="仿宋" w:cs="仿宋"/>
          <w:b/>
          <w:color w:val="auto"/>
          <w:sz w:val="24"/>
          <w:highlight w:val="none"/>
        </w:rPr>
        <w:t>2.2 技术规范</w:t>
      </w:r>
      <w:bookmarkEnd w:id="128"/>
      <w:bookmarkEnd w:id="129"/>
      <w:bookmarkEnd w:id="130"/>
      <w:bookmarkEnd w:id="131"/>
      <w:bookmarkEnd w:id="132"/>
      <w:bookmarkEnd w:id="133"/>
      <w:bookmarkEnd w:id="134"/>
      <w:bookmarkEnd w:id="135"/>
      <w:bookmarkEnd w:id="136"/>
      <w:bookmarkEnd w:id="137"/>
      <w:bookmarkEnd w:id="138"/>
    </w:p>
    <w:p w14:paraId="78B114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F9D494">
      <w:pPr>
        <w:spacing w:line="560" w:lineRule="exact"/>
        <w:ind w:firstLine="482" w:firstLineChars="200"/>
        <w:rPr>
          <w:rFonts w:hint="eastAsia" w:ascii="仿宋" w:hAnsi="仿宋" w:eastAsia="仿宋" w:cs="仿宋"/>
          <w:b/>
          <w:color w:val="auto"/>
          <w:sz w:val="24"/>
          <w:highlight w:val="none"/>
        </w:rPr>
      </w:pPr>
      <w:bookmarkStart w:id="139" w:name="_Toc2591684"/>
      <w:bookmarkStart w:id="140" w:name="_Toc259093671"/>
      <w:bookmarkStart w:id="141" w:name="_Toc12412"/>
      <w:bookmarkStart w:id="142" w:name="_Toc27945"/>
      <w:bookmarkStart w:id="143" w:name="_Toc13673"/>
      <w:bookmarkStart w:id="144" w:name="_Toc4133"/>
      <w:bookmarkStart w:id="145" w:name="_Toc279701242"/>
      <w:bookmarkStart w:id="146" w:name="_Toc9161"/>
      <w:bookmarkStart w:id="147" w:name="_Toc487900351"/>
      <w:bookmarkStart w:id="148" w:name="_Toc37868838"/>
      <w:bookmarkStart w:id="149" w:name="_Toc82617980"/>
      <w:r>
        <w:rPr>
          <w:rFonts w:hint="eastAsia" w:ascii="仿宋" w:hAnsi="仿宋" w:eastAsia="仿宋" w:cs="仿宋"/>
          <w:b/>
          <w:color w:val="auto"/>
          <w:sz w:val="24"/>
          <w:highlight w:val="none"/>
        </w:rPr>
        <w:t>2.3 知识产权</w:t>
      </w:r>
      <w:bookmarkEnd w:id="139"/>
      <w:bookmarkEnd w:id="140"/>
      <w:bookmarkEnd w:id="141"/>
      <w:bookmarkEnd w:id="142"/>
      <w:bookmarkEnd w:id="143"/>
      <w:bookmarkEnd w:id="144"/>
      <w:bookmarkEnd w:id="145"/>
      <w:bookmarkEnd w:id="146"/>
      <w:bookmarkEnd w:id="147"/>
      <w:bookmarkEnd w:id="148"/>
      <w:bookmarkEnd w:id="149"/>
    </w:p>
    <w:p w14:paraId="382C7D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D3C8B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0FD99E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429A83D">
      <w:pPr>
        <w:spacing w:line="560" w:lineRule="exact"/>
        <w:ind w:firstLine="480" w:firstLineChars="200"/>
        <w:rPr>
          <w:rFonts w:hint="eastAsia" w:ascii="仿宋" w:hAnsi="仿宋" w:eastAsia="仿宋" w:cs="仿宋"/>
          <w:color w:val="auto"/>
          <w:sz w:val="24"/>
          <w:highlight w:val="none"/>
        </w:rPr>
      </w:pPr>
      <w:bookmarkStart w:id="150" w:name="_Ref467379657"/>
      <w:r>
        <w:rPr>
          <w:rFonts w:hint="eastAsia" w:ascii="仿宋" w:hAnsi="仿宋" w:eastAsia="仿宋" w:cs="仿宋"/>
          <w:color w:val="auto"/>
          <w:sz w:val="24"/>
          <w:highlight w:val="none"/>
        </w:rPr>
        <w:t>2.4.1</w:t>
      </w:r>
      <w:bookmarkEnd w:id="150"/>
      <w:bookmarkStart w:id="151" w:name="_Toc186431854"/>
      <w:bookmarkStart w:id="152" w:name="_Toc259093676"/>
      <w:bookmarkStart w:id="153" w:name="_Ref467379793"/>
      <w:bookmarkStart w:id="154" w:name="_Toc279701247"/>
      <w:bookmarkStart w:id="155" w:name="_Toc487900357"/>
      <w:bookmarkStart w:id="156" w:name="_Ref46737980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A669C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151"/>
      <w:bookmarkStart w:id="157" w:name="_Toc186431855"/>
      <w:r>
        <w:rPr>
          <w:rFonts w:hint="eastAsia" w:ascii="仿宋" w:hAnsi="仿宋" w:eastAsia="仿宋" w:cs="仿宋"/>
          <w:color w:val="auto"/>
          <w:sz w:val="24"/>
          <w:highlight w:val="none"/>
        </w:rPr>
        <w:t>。</w:t>
      </w:r>
    </w:p>
    <w:bookmarkEnd w:id="157"/>
    <w:p w14:paraId="42070E7F">
      <w:pPr>
        <w:spacing w:line="560" w:lineRule="exact"/>
        <w:ind w:firstLine="482" w:firstLineChars="200"/>
        <w:rPr>
          <w:rFonts w:hint="eastAsia" w:ascii="仿宋" w:hAnsi="仿宋" w:eastAsia="仿宋" w:cs="仿宋"/>
          <w:b/>
          <w:color w:val="auto"/>
          <w:sz w:val="24"/>
          <w:highlight w:val="none"/>
        </w:rPr>
      </w:pPr>
      <w:bookmarkStart w:id="158" w:name="_Toc37868839"/>
      <w:bookmarkStart w:id="159" w:name="_Toc2591685"/>
      <w:bookmarkStart w:id="160" w:name="_Toc15447"/>
      <w:bookmarkStart w:id="161" w:name="_Toc26555"/>
      <w:bookmarkStart w:id="162" w:name="_Toc32670"/>
      <w:bookmarkStart w:id="163" w:name="_Toc31233"/>
      <w:bookmarkStart w:id="164" w:name="_Toc82617981"/>
      <w:bookmarkStart w:id="165" w:name="_Toc22011"/>
      <w:r>
        <w:rPr>
          <w:rFonts w:hint="eastAsia" w:ascii="仿宋" w:hAnsi="仿宋" w:eastAsia="仿宋" w:cs="仿宋"/>
          <w:b/>
          <w:color w:val="auto"/>
          <w:sz w:val="24"/>
          <w:highlight w:val="none"/>
        </w:rPr>
        <w:t>2.5 结算方式和付款条件</w:t>
      </w:r>
      <w:bookmarkEnd w:id="152"/>
      <w:bookmarkEnd w:id="153"/>
      <w:bookmarkEnd w:id="154"/>
      <w:bookmarkEnd w:id="155"/>
      <w:bookmarkEnd w:id="156"/>
      <w:bookmarkEnd w:id="158"/>
      <w:bookmarkEnd w:id="159"/>
      <w:bookmarkEnd w:id="160"/>
      <w:bookmarkEnd w:id="161"/>
      <w:bookmarkEnd w:id="162"/>
      <w:bookmarkEnd w:id="163"/>
      <w:bookmarkEnd w:id="164"/>
      <w:bookmarkEnd w:id="165"/>
    </w:p>
    <w:p w14:paraId="468030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F9E64A3">
      <w:pPr>
        <w:spacing w:line="560" w:lineRule="exact"/>
        <w:ind w:firstLine="482" w:firstLineChars="200"/>
        <w:rPr>
          <w:rFonts w:hint="eastAsia" w:ascii="仿宋" w:hAnsi="仿宋" w:eastAsia="仿宋" w:cs="仿宋"/>
          <w:b/>
          <w:color w:val="auto"/>
          <w:sz w:val="24"/>
          <w:highlight w:val="none"/>
        </w:rPr>
      </w:pPr>
      <w:bookmarkStart w:id="166" w:name="_Toc259093677"/>
      <w:bookmarkStart w:id="167" w:name="_Toc487900358"/>
      <w:bookmarkStart w:id="168" w:name="_Toc279701248"/>
      <w:bookmarkStart w:id="169" w:name="_Ref467379863"/>
      <w:bookmarkStart w:id="170" w:name="_Ref467379852"/>
      <w:bookmarkStart w:id="171" w:name="_Ref467379923"/>
      <w:bookmarkStart w:id="172" w:name="_Toc13467"/>
      <w:bookmarkStart w:id="173" w:name="_Toc82617982"/>
      <w:bookmarkStart w:id="174" w:name="_Toc2591686"/>
      <w:bookmarkStart w:id="175" w:name="_Toc30507"/>
      <w:bookmarkStart w:id="176" w:name="_Toc13154"/>
      <w:bookmarkStart w:id="177" w:name="_Toc16163"/>
      <w:bookmarkStart w:id="178" w:name="_Toc18990"/>
      <w:bookmarkStart w:id="179" w:name="_Toc37868840"/>
      <w:r>
        <w:rPr>
          <w:rFonts w:hint="eastAsia" w:ascii="仿宋" w:hAnsi="仿宋" w:eastAsia="仿宋" w:cs="仿宋"/>
          <w:b/>
          <w:color w:val="auto"/>
          <w:sz w:val="24"/>
          <w:highlight w:val="none"/>
        </w:rPr>
        <w:t>2.6 技术资料</w:t>
      </w:r>
      <w:bookmarkEnd w:id="166"/>
      <w:bookmarkEnd w:id="167"/>
      <w:bookmarkEnd w:id="168"/>
      <w:bookmarkEnd w:id="169"/>
      <w:bookmarkEnd w:id="170"/>
      <w:bookmarkEnd w:id="171"/>
      <w:r>
        <w:rPr>
          <w:rFonts w:hint="eastAsia" w:ascii="仿宋" w:hAnsi="仿宋" w:eastAsia="仿宋" w:cs="仿宋"/>
          <w:b/>
          <w:color w:val="auto"/>
          <w:sz w:val="24"/>
          <w:highlight w:val="none"/>
        </w:rPr>
        <w:t>和保密义务</w:t>
      </w:r>
      <w:bookmarkEnd w:id="172"/>
      <w:bookmarkEnd w:id="173"/>
      <w:bookmarkEnd w:id="174"/>
      <w:bookmarkEnd w:id="175"/>
      <w:bookmarkEnd w:id="176"/>
      <w:bookmarkEnd w:id="177"/>
      <w:bookmarkEnd w:id="178"/>
      <w:bookmarkEnd w:id="179"/>
    </w:p>
    <w:p w14:paraId="66C409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D0820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F480C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73760A">
      <w:pPr>
        <w:spacing w:line="560" w:lineRule="exact"/>
        <w:ind w:firstLine="482" w:firstLineChars="200"/>
        <w:rPr>
          <w:rFonts w:hint="eastAsia" w:ascii="仿宋" w:hAnsi="仿宋" w:eastAsia="仿宋" w:cs="仿宋"/>
          <w:b/>
          <w:color w:val="auto"/>
          <w:sz w:val="24"/>
          <w:highlight w:val="none"/>
        </w:rPr>
      </w:pPr>
      <w:bookmarkStart w:id="180" w:name="_Toc2591687"/>
      <w:bookmarkStart w:id="181" w:name="_Toc19069"/>
      <w:bookmarkStart w:id="182" w:name="_Toc37868841"/>
      <w:bookmarkStart w:id="183" w:name="_Toc82617983"/>
      <w:bookmarkStart w:id="184" w:name="_Toc279701252"/>
      <w:bookmarkStart w:id="185" w:name="_Toc259093681"/>
      <w:bookmarkStart w:id="186" w:name="_Toc487900362"/>
      <w:r>
        <w:rPr>
          <w:rFonts w:hint="eastAsia" w:ascii="仿宋" w:hAnsi="仿宋" w:eastAsia="仿宋" w:cs="仿宋"/>
          <w:b/>
          <w:color w:val="auto"/>
          <w:sz w:val="24"/>
          <w:highlight w:val="none"/>
        </w:rPr>
        <w:t>2.7 质量保证</w:t>
      </w:r>
      <w:bookmarkEnd w:id="180"/>
      <w:bookmarkEnd w:id="181"/>
      <w:bookmarkEnd w:id="182"/>
      <w:bookmarkEnd w:id="183"/>
    </w:p>
    <w:p w14:paraId="0202EA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84E96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2807153">
      <w:pPr>
        <w:spacing w:line="560" w:lineRule="exact"/>
        <w:ind w:firstLine="482" w:firstLineChars="200"/>
        <w:rPr>
          <w:rFonts w:hint="eastAsia" w:ascii="仿宋" w:hAnsi="仿宋" w:eastAsia="仿宋" w:cs="仿宋"/>
          <w:b/>
          <w:color w:val="auto"/>
          <w:sz w:val="24"/>
          <w:highlight w:val="none"/>
        </w:rPr>
      </w:pPr>
      <w:bookmarkStart w:id="187" w:name="_Toc22267"/>
      <w:bookmarkStart w:id="188" w:name="_Toc82617984"/>
      <w:bookmarkStart w:id="189" w:name="_Toc37868842"/>
      <w:bookmarkStart w:id="190" w:name="_Toc2591688"/>
      <w:r>
        <w:rPr>
          <w:rFonts w:hint="eastAsia" w:ascii="仿宋" w:hAnsi="仿宋" w:eastAsia="仿宋" w:cs="仿宋"/>
          <w:b/>
          <w:color w:val="auto"/>
          <w:sz w:val="24"/>
          <w:highlight w:val="none"/>
        </w:rPr>
        <w:t>2.8 延迟</w:t>
      </w:r>
      <w:bookmarkEnd w:id="184"/>
      <w:bookmarkEnd w:id="185"/>
      <w:bookmarkEnd w:id="186"/>
      <w:r>
        <w:rPr>
          <w:rFonts w:hint="eastAsia" w:ascii="仿宋" w:hAnsi="仿宋" w:eastAsia="仿宋" w:cs="仿宋"/>
          <w:b/>
          <w:color w:val="auto"/>
          <w:sz w:val="24"/>
          <w:highlight w:val="none"/>
        </w:rPr>
        <w:t>履行</w:t>
      </w:r>
      <w:bookmarkEnd w:id="187"/>
      <w:bookmarkEnd w:id="188"/>
      <w:bookmarkEnd w:id="189"/>
      <w:bookmarkEnd w:id="190"/>
    </w:p>
    <w:p w14:paraId="35B1ED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7E12BB6">
      <w:pPr>
        <w:spacing w:line="560" w:lineRule="exact"/>
        <w:ind w:firstLine="482" w:firstLineChars="200"/>
        <w:rPr>
          <w:rFonts w:hint="eastAsia" w:ascii="仿宋" w:hAnsi="仿宋" w:eastAsia="仿宋" w:cs="仿宋"/>
          <w:b/>
          <w:color w:val="auto"/>
          <w:sz w:val="24"/>
          <w:highlight w:val="none"/>
        </w:rPr>
      </w:pPr>
      <w:bookmarkStart w:id="191" w:name="_Toc10611"/>
      <w:bookmarkStart w:id="192" w:name="_Toc2591689"/>
      <w:bookmarkStart w:id="193" w:name="_Toc82617985"/>
      <w:bookmarkStart w:id="194" w:name="_Toc37868843"/>
      <w:bookmarkStart w:id="195" w:name="_Ref467378121"/>
      <w:bookmarkStart w:id="196" w:name="_Toc259093683"/>
      <w:bookmarkStart w:id="197" w:name="_Toc487900364"/>
      <w:bookmarkStart w:id="198" w:name="_Toc279701254"/>
      <w:r>
        <w:rPr>
          <w:rFonts w:hint="eastAsia" w:ascii="仿宋" w:hAnsi="仿宋" w:eastAsia="仿宋" w:cs="仿宋"/>
          <w:b/>
          <w:color w:val="auto"/>
          <w:sz w:val="24"/>
          <w:highlight w:val="none"/>
        </w:rPr>
        <w:t>2.9 合同变更</w:t>
      </w:r>
      <w:bookmarkEnd w:id="191"/>
      <w:bookmarkEnd w:id="192"/>
      <w:bookmarkEnd w:id="193"/>
      <w:bookmarkEnd w:id="194"/>
    </w:p>
    <w:p w14:paraId="7C5994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71017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199" w:name="_Toc279701259"/>
      <w:bookmarkStart w:id="200" w:name="_Toc259093688"/>
      <w:bookmarkStart w:id="201" w:name="_Toc487900369"/>
    </w:p>
    <w:p w14:paraId="60BBF48E">
      <w:pPr>
        <w:spacing w:line="560" w:lineRule="exact"/>
        <w:ind w:firstLine="482" w:firstLineChars="200"/>
        <w:rPr>
          <w:rFonts w:hint="eastAsia" w:ascii="仿宋" w:hAnsi="仿宋" w:eastAsia="仿宋" w:cs="仿宋"/>
          <w:b/>
          <w:color w:val="auto"/>
          <w:sz w:val="24"/>
          <w:highlight w:val="none"/>
        </w:rPr>
      </w:pPr>
      <w:bookmarkStart w:id="202" w:name="_Toc82617986"/>
      <w:bookmarkStart w:id="203" w:name="_Toc23368"/>
      <w:bookmarkStart w:id="204" w:name="_Toc21830"/>
      <w:bookmarkStart w:id="205" w:name="_Toc2591690"/>
      <w:bookmarkStart w:id="206" w:name="_Toc37868844"/>
      <w:bookmarkStart w:id="207" w:name="_Toc42"/>
      <w:bookmarkStart w:id="208" w:name="_Toc26689"/>
      <w:bookmarkStart w:id="209" w:name="_Toc10663"/>
      <w:r>
        <w:rPr>
          <w:rFonts w:hint="eastAsia" w:ascii="仿宋" w:hAnsi="仿宋" w:eastAsia="仿宋" w:cs="仿宋"/>
          <w:b/>
          <w:color w:val="auto"/>
          <w:sz w:val="24"/>
          <w:highlight w:val="none"/>
        </w:rPr>
        <w:t>2.10 合同转让</w:t>
      </w:r>
      <w:bookmarkEnd w:id="199"/>
      <w:bookmarkEnd w:id="200"/>
      <w:bookmarkEnd w:id="201"/>
      <w:r>
        <w:rPr>
          <w:rFonts w:hint="eastAsia" w:ascii="仿宋" w:hAnsi="仿宋" w:eastAsia="仿宋" w:cs="仿宋"/>
          <w:b/>
          <w:color w:val="auto"/>
          <w:sz w:val="24"/>
          <w:highlight w:val="none"/>
        </w:rPr>
        <w:t>和分包</w:t>
      </w:r>
      <w:bookmarkEnd w:id="202"/>
      <w:bookmarkEnd w:id="203"/>
      <w:bookmarkEnd w:id="204"/>
      <w:bookmarkEnd w:id="205"/>
      <w:bookmarkEnd w:id="206"/>
      <w:bookmarkEnd w:id="207"/>
      <w:bookmarkEnd w:id="208"/>
      <w:bookmarkEnd w:id="209"/>
    </w:p>
    <w:p w14:paraId="195270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439681">
      <w:pPr>
        <w:spacing w:line="560" w:lineRule="exact"/>
        <w:ind w:firstLine="482" w:firstLineChars="200"/>
        <w:rPr>
          <w:rFonts w:hint="eastAsia" w:ascii="仿宋" w:hAnsi="仿宋" w:eastAsia="仿宋" w:cs="仿宋"/>
          <w:b/>
          <w:color w:val="auto"/>
          <w:sz w:val="24"/>
          <w:highlight w:val="none"/>
        </w:rPr>
      </w:pPr>
      <w:bookmarkStart w:id="210" w:name="_Toc26633"/>
      <w:bookmarkStart w:id="211" w:name="_Toc82617987"/>
      <w:bookmarkStart w:id="212" w:name="_Toc25571"/>
      <w:bookmarkStart w:id="213" w:name="_Toc4720"/>
      <w:bookmarkStart w:id="214" w:name="_Toc37868845"/>
      <w:bookmarkStart w:id="215" w:name="_Toc2591691"/>
      <w:bookmarkStart w:id="216" w:name="_Toc32494"/>
      <w:bookmarkStart w:id="217" w:name="_Toc14371"/>
      <w:r>
        <w:rPr>
          <w:rFonts w:hint="eastAsia" w:ascii="仿宋" w:hAnsi="仿宋" w:eastAsia="仿宋" w:cs="仿宋"/>
          <w:b/>
          <w:color w:val="auto"/>
          <w:sz w:val="24"/>
          <w:highlight w:val="none"/>
        </w:rPr>
        <w:t>2.11 不可抗力</w:t>
      </w:r>
      <w:bookmarkEnd w:id="210"/>
      <w:bookmarkEnd w:id="211"/>
      <w:bookmarkEnd w:id="212"/>
      <w:bookmarkEnd w:id="213"/>
      <w:bookmarkEnd w:id="214"/>
      <w:bookmarkEnd w:id="215"/>
      <w:bookmarkEnd w:id="216"/>
      <w:bookmarkEnd w:id="217"/>
    </w:p>
    <w:p w14:paraId="55BB41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89FA9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5E2CC0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227A0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5E9890F">
      <w:pPr>
        <w:spacing w:line="560" w:lineRule="exact"/>
        <w:ind w:firstLine="482" w:firstLineChars="200"/>
        <w:rPr>
          <w:rFonts w:hint="eastAsia" w:ascii="仿宋" w:hAnsi="仿宋" w:eastAsia="仿宋" w:cs="仿宋"/>
          <w:b/>
          <w:color w:val="auto"/>
          <w:sz w:val="24"/>
          <w:highlight w:val="none"/>
        </w:rPr>
      </w:pPr>
      <w:bookmarkStart w:id="218" w:name="_Toc25783"/>
      <w:bookmarkStart w:id="219" w:name="_Toc259093684"/>
      <w:bookmarkStart w:id="220" w:name="_Toc279701255"/>
      <w:bookmarkStart w:id="221" w:name="_Toc37868846"/>
      <w:bookmarkStart w:id="222" w:name="_Toc3638"/>
      <w:bookmarkStart w:id="223" w:name="_Toc23854"/>
      <w:bookmarkStart w:id="224" w:name="_Toc82617988"/>
      <w:bookmarkStart w:id="225" w:name="_Toc24465"/>
      <w:bookmarkStart w:id="226" w:name="_Toc14115"/>
      <w:bookmarkStart w:id="227" w:name="_Toc487900365"/>
      <w:bookmarkStart w:id="228" w:name="_Toc2591692"/>
      <w:r>
        <w:rPr>
          <w:rFonts w:hint="eastAsia" w:ascii="仿宋" w:hAnsi="仿宋" w:eastAsia="仿宋" w:cs="仿宋"/>
          <w:b/>
          <w:color w:val="auto"/>
          <w:sz w:val="24"/>
          <w:highlight w:val="none"/>
        </w:rPr>
        <w:t>2.12 税费</w:t>
      </w:r>
      <w:bookmarkEnd w:id="218"/>
      <w:bookmarkEnd w:id="219"/>
      <w:bookmarkEnd w:id="220"/>
      <w:bookmarkEnd w:id="221"/>
      <w:bookmarkEnd w:id="222"/>
      <w:bookmarkEnd w:id="223"/>
      <w:bookmarkEnd w:id="224"/>
      <w:bookmarkEnd w:id="225"/>
      <w:bookmarkEnd w:id="226"/>
      <w:bookmarkEnd w:id="227"/>
      <w:bookmarkEnd w:id="228"/>
    </w:p>
    <w:p w14:paraId="459145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3FF9BF00">
      <w:pPr>
        <w:spacing w:line="560" w:lineRule="exact"/>
        <w:ind w:firstLine="482" w:firstLineChars="200"/>
        <w:rPr>
          <w:rFonts w:hint="eastAsia" w:ascii="仿宋" w:hAnsi="仿宋" w:eastAsia="仿宋" w:cs="仿宋"/>
          <w:b/>
          <w:color w:val="auto"/>
          <w:sz w:val="24"/>
          <w:highlight w:val="none"/>
        </w:rPr>
      </w:pPr>
      <w:bookmarkStart w:id="229" w:name="_Toc30105"/>
      <w:bookmarkStart w:id="230" w:name="_Toc82617989"/>
      <w:bookmarkStart w:id="231" w:name="_Toc14814"/>
      <w:bookmarkStart w:id="232" w:name="_Toc7315"/>
      <w:bookmarkStart w:id="233" w:name="_Toc279701258"/>
      <w:bookmarkStart w:id="234" w:name="_Toc2591693"/>
      <w:bookmarkStart w:id="235" w:name="_Toc37868847"/>
      <w:bookmarkStart w:id="236" w:name="_Toc259093687"/>
      <w:bookmarkStart w:id="237" w:name="_Toc487900368"/>
      <w:bookmarkStart w:id="238" w:name="_Toc25525"/>
      <w:bookmarkStart w:id="239" w:name="_Toc26883"/>
      <w:r>
        <w:rPr>
          <w:rFonts w:hint="eastAsia" w:ascii="仿宋" w:hAnsi="仿宋" w:eastAsia="仿宋" w:cs="仿宋"/>
          <w:b/>
          <w:color w:val="auto"/>
          <w:sz w:val="24"/>
          <w:highlight w:val="none"/>
        </w:rPr>
        <w:t>2.13 乙方破产</w:t>
      </w:r>
      <w:bookmarkEnd w:id="229"/>
      <w:bookmarkEnd w:id="230"/>
      <w:bookmarkEnd w:id="231"/>
      <w:bookmarkEnd w:id="232"/>
      <w:bookmarkEnd w:id="233"/>
      <w:bookmarkEnd w:id="234"/>
      <w:bookmarkEnd w:id="235"/>
      <w:bookmarkEnd w:id="236"/>
      <w:bookmarkEnd w:id="237"/>
      <w:bookmarkEnd w:id="238"/>
      <w:bookmarkEnd w:id="239"/>
    </w:p>
    <w:p w14:paraId="0B6165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A39DC5">
      <w:pPr>
        <w:spacing w:line="560" w:lineRule="exact"/>
        <w:ind w:firstLine="482" w:firstLineChars="200"/>
        <w:rPr>
          <w:rFonts w:hint="eastAsia" w:ascii="仿宋" w:hAnsi="仿宋" w:eastAsia="仿宋" w:cs="仿宋"/>
          <w:b/>
          <w:color w:val="auto"/>
          <w:sz w:val="24"/>
          <w:highlight w:val="none"/>
        </w:rPr>
      </w:pPr>
      <w:bookmarkStart w:id="240" w:name="_Toc2591694"/>
      <w:bookmarkStart w:id="241" w:name="_Toc37868848"/>
      <w:bookmarkStart w:id="242" w:name="_Toc1123"/>
      <w:bookmarkStart w:id="243" w:name="_Toc23323"/>
      <w:bookmarkStart w:id="244" w:name="_Toc2016"/>
      <w:bookmarkStart w:id="245" w:name="_Toc82617990"/>
      <w:r>
        <w:rPr>
          <w:rFonts w:hint="eastAsia" w:ascii="仿宋" w:hAnsi="仿宋" w:eastAsia="仿宋" w:cs="仿宋"/>
          <w:b/>
          <w:color w:val="auto"/>
          <w:sz w:val="24"/>
          <w:highlight w:val="none"/>
        </w:rPr>
        <w:t>2.14 合同中止、终止</w:t>
      </w:r>
      <w:bookmarkEnd w:id="240"/>
      <w:bookmarkEnd w:id="241"/>
      <w:bookmarkEnd w:id="242"/>
      <w:bookmarkEnd w:id="243"/>
      <w:bookmarkEnd w:id="244"/>
      <w:bookmarkEnd w:id="245"/>
    </w:p>
    <w:p w14:paraId="67F4EA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88851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3770E74">
      <w:pPr>
        <w:spacing w:line="560" w:lineRule="exact"/>
        <w:ind w:firstLine="482" w:firstLineChars="200"/>
        <w:rPr>
          <w:rFonts w:hint="eastAsia" w:ascii="仿宋" w:hAnsi="仿宋" w:eastAsia="仿宋" w:cs="仿宋"/>
          <w:b/>
          <w:color w:val="auto"/>
          <w:sz w:val="24"/>
          <w:highlight w:val="none"/>
        </w:rPr>
      </w:pPr>
      <w:bookmarkStart w:id="246" w:name="_Toc17363"/>
      <w:bookmarkStart w:id="247" w:name="_Toc14525"/>
      <w:bookmarkStart w:id="248" w:name="_Toc2591695"/>
      <w:bookmarkStart w:id="249" w:name="_Toc1969"/>
      <w:bookmarkStart w:id="250" w:name="_Toc82617991"/>
      <w:bookmarkStart w:id="251" w:name="_Toc37868849"/>
      <w:r>
        <w:rPr>
          <w:rFonts w:hint="eastAsia" w:ascii="仿宋" w:hAnsi="仿宋" w:eastAsia="仿宋" w:cs="仿宋"/>
          <w:b/>
          <w:color w:val="auto"/>
          <w:sz w:val="24"/>
          <w:highlight w:val="none"/>
        </w:rPr>
        <w:t>2.15 检验和验收</w:t>
      </w:r>
      <w:bookmarkEnd w:id="246"/>
      <w:bookmarkEnd w:id="247"/>
      <w:bookmarkEnd w:id="248"/>
      <w:bookmarkEnd w:id="249"/>
      <w:bookmarkEnd w:id="250"/>
      <w:bookmarkEnd w:id="251"/>
    </w:p>
    <w:p w14:paraId="1ED3D92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69981B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14:paraId="01A28FF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95"/>
    <w:bookmarkEnd w:id="196"/>
    <w:bookmarkEnd w:id="197"/>
    <w:bookmarkEnd w:id="198"/>
    <w:p w14:paraId="0E22CDAD">
      <w:pPr>
        <w:spacing w:line="560" w:lineRule="exact"/>
        <w:ind w:firstLine="482" w:firstLineChars="200"/>
        <w:rPr>
          <w:rFonts w:hint="eastAsia" w:ascii="仿宋" w:hAnsi="仿宋" w:eastAsia="仿宋" w:cs="仿宋"/>
          <w:b/>
          <w:color w:val="auto"/>
          <w:sz w:val="24"/>
          <w:highlight w:val="none"/>
        </w:rPr>
      </w:pPr>
      <w:bookmarkStart w:id="252" w:name="_Toc279701261"/>
      <w:bookmarkStart w:id="253" w:name="_Toc259093690"/>
      <w:bookmarkStart w:id="254" w:name="_Toc487900371"/>
      <w:bookmarkStart w:id="255" w:name="_Toc2308"/>
      <w:bookmarkStart w:id="256" w:name="_Toc82617992"/>
      <w:bookmarkStart w:id="257" w:name="_Toc2591696"/>
      <w:bookmarkStart w:id="258" w:name="_Toc9808"/>
      <w:bookmarkStart w:id="259" w:name="_Toc12666"/>
      <w:bookmarkStart w:id="260" w:name="_Toc37868850"/>
      <w:bookmarkStart w:id="261" w:name="_Toc31892"/>
      <w:bookmarkStart w:id="262" w:name="_Toc25198"/>
      <w:r>
        <w:rPr>
          <w:rFonts w:hint="eastAsia" w:ascii="仿宋" w:hAnsi="仿宋" w:eastAsia="仿宋" w:cs="仿宋"/>
          <w:b/>
          <w:color w:val="auto"/>
          <w:sz w:val="24"/>
          <w:highlight w:val="none"/>
        </w:rPr>
        <w:t>2.16 通知</w:t>
      </w:r>
      <w:bookmarkEnd w:id="252"/>
      <w:bookmarkEnd w:id="253"/>
      <w:bookmarkEnd w:id="254"/>
      <w:r>
        <w:rPr>
          <w:rFonts w:hint="eastAsia" w:ascii="仿宋" w:hAnsi="仿宋" w:eastAsia="仿宋" w:cs="仿宋"/>
          <w:b/>
          <w:color w:val="auto"/>
          <w:sz w:val="24"/>
          <w:highlight w:val="none"/>
        </w:rPr>
        <w:t>和送达</w:t>
      </w:r>
      <w:bookmarkEnd w:id="255"/>
      <w:bookmarkEnd w:id="256"/>
      <w:bookmarkEnd w:id="257"/>
      <w:bookmarkEnd w:id="258"/>
      <w:bookmarkEnd w:id="259"/>
      <w:bookmarkEnd w:id="260"/>
      <w:bookmarkEnd w:id="261"/>
      <w:bookmarkEnd w:id="262"/>
    </w:p>
    <w:p w14:paraId="6E730F43">
      <w:pPr>
        <w:spacing w:line="560" w:lineRule="exact"/>
        <w:ind w:firstLine="480" w:firstLineChars="200"/>
        <w:rPr>
          <w:rFonts w:hint="eastAsia" w:ascii="仿宋" w:hAnsi="仿宋" w:eastAsia="仿宋" w:cs="仿宋"/>
          <w:color w:val="auto"/>
          <w:sz w:val="24"/>
          <w:highlight w:val="none"/>
        </w:rPr>
      </w:pPr>
      <w:bookmarkStart w:id="263" w:name="_Toc7073"/>
      <w:bookmarkStart w:id="264" w:name="_Toc29220"/>
      <w:bookmarkStart w:id="265" w:name="_Toc279701262"/>
      <w:bookmarkStart w:id="266" w:name="_Toc487900372"/>
      <w:bookmarkStart w:id="267" w:name="_Toc259093691"/>
      <w:r>
        <w:rPr>
          <w:rFonts w:hint="eastAsia" w:ascii="仿宋" w:hAnsi="仿宋" w:eastAsia="仿宋" w:cs="仿宋"/>
          <w:color w:val="auto"/>
          <w:sz w:val="24"/>
          <w:highlight w:val="none"/>
        </w:rPr>
        <w:t>2.16.1 任何一方因履行合同而以合同第一部分尾部所列明的发出的所有通知、文件、材料，均视为已向对方当事人送达；任何一方变更上述送达方式或者地址的，应于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263"/>
      <w:bookmarkEnd w:id="264"/>
    </w:p>
    <w:p w14:paraId="4ADEDC1C">
      <w:pPr>
        <w:spacing w:line="560" w:lineRule="exact"/>
        <w:ind w:firstLine="480" w:firstLineChars="200"/>
        <w:rPr>
          <w:rFonts w:hint="eastAsia" w:ascii="仿宋" w:hAnsi="仿宋" w:eastAsia="仿宋" w:cs="仿宋"/>
          <w:color w:val="auto"/>
          <w:sz w:val="24"/>
          <w:highlight w:val="none"/>
        </w:rPr>
      </w:pPr>
      <w:bookmarkStart w:id="268" w:name="_Toc27674"/>
      <w:bookmarkStart w:id="269" w:name="_Toc18401"/>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bookmarkEnd w:id="265"/>
    <w:bookmarkEnd w:id="266"/>
    <w:bookmarkEnd w:id="267"/>
    <w:p w14:paraId="2E3D151E">
      <w:pPr>
        <w:spacing w:line="560" w:lineRule="exact"/>
        <w:ind w:firstLine="482" w:firstLineChars="200"/>
        <w:rPr>
          <w:rFonts w:hint="eastAsia" w:ascii="仿宋" w:hAnsi="仿宋" w:eastAsia="仿宋" w:cs="仿宋"/>
          <w:b/>
          <w:color w:val="auto"/>
          <w:sz w:val="24"/>
          <w:highlight w:val="none"/>
        </w:rPr>
      </w:pPr>
      <w:bookmarkStart w:id="270" w:name="_Toc12254"/>
      <w:bookmarkStart w:id="271" w:name="_Toc82617993"/>
      <w:bookmarkStart w:id="272" w:name="_Toc5063"/>
      <w:bookmarkStart w:id="273" w:name="_Toc37868851"/>
      <w:bookmarkStart w:id="274" w:name="_Toc487900373"/>
      <w:bookmarkStart w:id="275" w:name="_Toc27644"/>
      <w:bookmarkStart w:id="276" w:name="_Toc279701263"/>
      <w:bookmarkStart w:id="277" w:name="_Toc28906"/>
      <w:bookmarkStart w:id="278" w:name="_Toc20808"/>
      <w:bookmarkStart w:id="279" w:name="_Toc2591697"/>
      <w:bookmarkStart w:id="280" w:name="_Toc259093692"/>
      <w:r>
        <w:rPr>
          <w:rFonts w:hint="eastAsia" w:ascii="仿宋" w:hAnsi="仿宋" w:eastAsia="仿宋" w:cs="仿宋"/>
          <w:b/>
          <w:color w:val="auto"/>
          <w:sz w:val="24"/>
          <w:highlight w:val="none"/>
        </w:rPr>
        <w:t>2.17 合同使用的文字和适用的法律</w:t>
      </w:r>
      <w:bookmarkEnd w:id="270"/>
      <w:bookmarkEnd w:id="271"/>
      <w:bookmarkEnd w:id="272"/>
      <w:bookmarkEnd w:id="273"/>
      <w:bookmarkEnd w:id="274"/>
      <w:bookmarkEnd w:id="275"/>
      <w:bookmarkEnd w:id="276"/>
      <w:bookmarkEnd w:id="277"/>
      <w:bookmarkEnd w:id="278"/>
      <w:bookmarkEnd w:id="279"/>
      <w:bookmarkEnd w:id="280"/>
    </w:p>
    <w:p w14:paraId="6E8DB6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w:t>
      </w:r>
      <w:r>
        <w:rPr>
          <w:rFonts w:hint="eastAsia" w:ascii="仿宋" w:hAnsi="仿宋" w:eastAsia="仿宋" w:cs="仿宋"/>
          <w:color w:val="auto"/>
          <w:sz w:val="24"/>
          <w:highlight w:val="none"/>
          <w:lang w:val="en-US" w:eastAsia="zh-CN"/>
        </w:rPr>
        <w:t>写</w:t>
      </w:r>
      <w:r>
        <w:rPr>
          <w:rFonts w:hint="eastAsia" w:ascii="仿宋" w:hAnsi="仿宋" w:eastAsia="仿宋" w:cs="仿宋"/>
          <w:color w:val="auto"/>
          <w:sz w:val="24"/>
          <w:highlight w:val="none"/>
        </w:rPr>
        <w:t>、变更和解释；</w:t>
      </w:r>
    </w:p>
    <w:p w14:paraId="6F4650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7F4C3B">
      <w:pPr>
        <w:spacing w:line="560" w:lineRule="exact"/>
        <w:ind w:firstLine="482" w:firstLineChars="200"/>
        <w:rPr>
          <w:rFonts w:hint="eastAsia" w:ascii="仿宋" w:hAnsi="仿宋" w:eastAsia="仿宋" w:cs="仿宋"/>
          <w:b/>
          <w:color w:val="auto"/>
          <w:sz w:val="24"/>
          <w:highlight w:val="none"/>
        </w:rPr>
      </w:pPr>
      <w:bookmarkStart w:id="281" w:name="_Toc259093693"/>
      <w:bookmarkStart w:id="282" w:name="_Toc30096"/>
      <w:bookmarkStart w:id="283" w:name="_Toc82617994"/>
      <w:bookmarkStart w:id="284" w:name="_Toc2591698"/>
      <w:bookmarkStart w:id="285" w:name="_Toc22266"/>
      <w:bookmarkStart w:id="286" w:name="_Toc37868852"/>
      <w:bookmarkStart w:id="287" w:name="_Toc27403"/>
      <w:bookmarkStart w:id="288" w:name="_Toc1492"/>
      <w:bookmarkStart w:id="289" w:name="_Toc27127"/>
      <w:bookmarkStart w:id="290" w:name="_Toc279701264"/>
      <w:bookmarkStart w:id="291" w:name="_Toc487900374"/>
      <w:r>
        <w:rPr>
          <w:rFonts w:hint="eastAsia" w:ascii="仿宋" w:hAnsi="仿宋" w:eastAsia="仿宋" w:cs="仿宋"/>
          <w:b/>
          <w:color w:val="auto"/>
          <w:sz w:val="24"/>
          <w:highlight w:val="none"/>
        </w:rPr>
        <w:t>2.18 履约保证金</w:t>
      </w:r>
      <w:bookmarkEnd w:id="281"/>
      <w:bookmarkEnd w:id="282"/>
      <w:bookmarkEnd w:id="283"/>
      <w:bookmarkEnd w:id="284"/>
      <w:bookmarkEnd w:id="285"/>
      <w:bookmarkEnd w:id="286"/>
      <w:bookmarkEnd w:id="287"/>
      <w:bookmarkEnd w:id="288"/>
      <w:bookmarkEnd w:id="289"/>
      <w:bookmarkEnd w:id="290"/>
    </w:p>
    <w:p w14:paraId="7960EF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1EC796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424F53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1"/>
    <w:p w14:paraId="5FE581C7">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合同份数</w:t>
      </w:r>
    </w:p>
    <w:p w14:paraId="0F75AE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7FE6074">
      <w:pPr>
        <w:pStyle w:val="224"/>
        <w:spacing w:line="560" w:lineRule="exact"/>
        <w:ind w:firstLine="0"/>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292" w:name="_Toc331685784"/>
      <w:r>
        <w:rPr>
          <w:rFonts w:hint="eastAsia" w:ascii="仿宋" w:hAnsi="仿宋" w:eastAsia="仿宋" w:cs="仿宋"/>
          <w:b/>
          <w:color w:val="auto"/>
          <w:szCs w:val="24"/>
          <w:highlight w:val="none"/>
        </w:rPr>
        <w:t>第三部分  合同专用条款</w:t>
      </w:r>
      <w:bookmarkEnd w:id="292"/>
    </w:p>
    <w:p w14:paraId="1949B988">
      <w:pPr>
        <w:spacing w:line="560" w:lineRule="exact"/>
        <w:ind w:firstLine="480" w:firstLineChars="200"/>
        <w:rPr>
          <w:rFonts w:hint="eastAsia" w:ascii="仿宋" w:hAnsi="仿宋" w:eastAsia="仿宋" w:cs="仿宋"/>
          <w:color w:val="auto"/>
          <w:sz w:val="24"/>
          <w:highlight w:val="none"/>
        </w:rPr>
      </w:pPr>
    </w:p>
    <w:tbl>
      <w:tblPr>
        <w:tblStyle w:val="4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4EA9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4" w:type="dxa"/>
            <w:vAlign w:val="center"/>
          </w:tcPr>
          <w:p w14:paraId="3C7653D5">
            <w:pPr>
              <w:pStyle w:val="19"/>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7232" w:type="dxa"/>
            <w:vAlign w:val="center"/>
          </w:tcPr>
          <w:p w14:paraId="3CEC1FB4">
            <w:pPr>
              <w:pStyle w:val="19"/>
              <w:jc w:val="center"/>
              <w:rPr>
                <w:rFonts w:hint="eastAsia" w:ascii="仿宋" w:hAnsi="仿宋" w:eastAsia="仿宋" w:cs="仿宋"/>
                <w:b/>
                <w:color w:val="auto"/>
                <w:highlight w:val="none"/>
              </w:rPr>
            </w:pPr>
            <w:r>
              <w:rPr>
                <w:rFonts w:hint="eastAsia" w:ascii="仿宋" w:hAnsi="仿宋" w:eastAsia="仿宋" w:cs="仿宋"/>
                <w:b/>
                <w:color w:val="auto"/>
                <w:highlight w:val="none"/>
              </w:rPr>
              <w:t>内　　容</w:t>
            </w:r>
          </w:p>
        </w:tc>
      </w:tr>
      <w:tr w14:paraId="368F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vAlign w:val="center"/>
          </w:tcPr>
          <w:p w14:paraId="783E12B9">
            <w:pPr>
              <w:pStyle w:val="19"/>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232" w:type="dxa"/>
            <w:vAlign w:val="center"/>
          </w:tcPr>
          <w:p w14:paraId="45812955">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合同名称：</w:t>
            </w:r>
          </w:p>
          <w:p w14:paraId="63FF4286">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合同编号：</w:t>
            </w:r>
          </w:p>
        </w:tc>
      </w:tr>
      <w:tr w14:paraId="650C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14:paraId="055754B5">
            <w:pPr>
              <w:pStyle w:val="19"/>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7232" w:type="dxa"/>
            <w:vAlign w:val="center"/>
          </w:tcPr>
          <w:p w14:paraId="49036821">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甲方名称：</w:t>
            </w:r>
          </w:p>
        </w:tc>
      </w:tr>
      <w:tr w14:paraId="164B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14:paraId="518F150A">
            <w:pPr>
              <w:pStyle w:val="19"/>
              <w:jc w:val="center"/>
              <w:rPr>
                <w:rFonts w:hint="eastAsia" w:ascii="仿宋" w:hAnsi="仿宋" w:eastAsia="仿宋" w:cs="仿宋"/>
                <w:color w:val="auto"/>
                <w:highlight w:val="none"/>
              </w:rPr>
            </w:pPr>
          </w:p>
        </w:tc>
        <w:tc>
          <w:tcPr>
            <w:tcW w:w="7232" w:type="dxa"/>
            <w:vAlign w:val="center"/>
          </w:tcPr>
          <w:p w14:paraId="069C1B86">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甲方地址：</w:t>
            </w:r>
          </w:p>
        </w:tc>
      </w:tr>
      <w:tr w14:paraId="15CD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14:paraId="4E600052">
            <w:pPr>
              <w:pStyle w:val="19"/>
              <w:jc w:val="center"/>
              <w:rPr>
                <w:rFonts w:hint="eastAsia" w:ascii="仿宋" w:hAnsi="仿宋" w:eastAsia="仿宋" w:cs="仿宋"/>
                <w:color w:val="auto"/>
                <w:highlight w:val="none"/>
              </w:rPr>
            </w:pPr>
          </w:p>
        </w:tc>
        <w:tc>
          <w:tcPr>
            <w:tcW w:w="7232" w:type="dxa"/>
            <w:vAlign w:val="center"/>
          </w:tcPr>
          <w:p w14:paraId="2F0C1038">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甲方联系人：　　　电话：</w:t>
            </w:r>
          </w:p>
        </w:tc>
      </w:tr>
      <w:tr w14:paraId="1A76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14:paraId="5AEABA84">
            <w:pPr>
              <w:pStyle w:val="19"/>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7232" w:type="dxa"/>
            <w:vAlign w:val="center"/>
          </w:tcPr>
          <w:p w14:paraId="767F4FFE">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乙方名称：</w:t>
            </w:r>
          </w:p>
        </w:tc>
      </w:tr>
      <w:tr w14:paraId="3180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14:paraId="58BA7FE3">
            <w:pPr>
              <w:pStyle w:val="19"/>
              <w:jc w:val="center"/>
              <w:rPr>
                <w:rFonts w:hint="eastAsia" w:ascii="仿宋" w:hAnsi="仿宋" w:eastAsia="仿宋" w:cs="仿宋"/>
                <w:color w:val="auto"/>
                <w:highlight w:val="none"/>
              </w:rPr>
            </w:pPr>
          </w:p>
        </w:tc>
        <w:tc>
          <w:tcPr>
            <w:tcW w:w="7232" w:type="dxa"/>
            <w:vAlign w:val="center"/>
          </w:tcPr>
          <w:p w14:paraId="7545DD74">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乙方地址：</w:t>
            </w:r>
          </w:p>
        </w:tc>
      </w:tr>
      <w:tr w14:paraId="4568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14:paraId="726024E8">
            <w:pPr>
              <w:pStyle w:val="19"/>
              <w:jc w:val="center"/>
              <w:rPr>
                <w:rFonts w:hint="eastAsia" w:ascii="仿宋" w:hAnsi="仿宋" w:eastAsia="仿宋" w:cs="仿宋"/>
                <w:color w:val="auto"/>
                <w:highlight w:val="none"/>
              </w:rPr>
            </w:pPr>
          </w:p>
        </w:tc>
        <w:tc>
          <w:tcPr>
            <w:tcW w:w="7232" w:type="dxa"/>
            <w:vAlign w:val="center"/>
          </w:tcPr>
          <w:p w14:paraId="493D713D">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乙方联系人：　　　电话：</w:t>
            </w:r>
          </w:p>
        </w:tc>
      </w:tr>
      <w:tr w14:paraId="34CA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14:paraId="75D96D9B">
            <w:pPr>
              <w:pStyle w:val="19"/>
              <w:jc w:val="center"/>
              <w:rPr>
                <w:rFonts w:hint="eastAsia" w:ascii="仿宋" w:hAnsi="仿宋" w:eastAsia="仿宋" w:cs="仿宋"/>
                <w:color w:val="auto"/>
                <w:highlight w:val="none"/>
              </w:rPr>
            </w:pPr>
          </w:p>
        </w:tc>
        <w:tc>
          <w:tcPr>
            <w:tcW w:w="7232" w:type="dxa"/>
            <w:vAlign w:val="center"/>
          </w:tcPr>
          <w:p w14:paraId="59B22231">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乙方开户银行名称：</w:t>
            </w:r>
          </w:p>
          <w:p w14:paraId="4533E1E3">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账号：</w:t>
            </w:r>
          </w:p>
        </w:tc>
      </w:tr>
      <w:tr w14:paraId="3D07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14:paraId="7198B7F0">
            <w:pPr>
              <w:pStyle w:val="19"/>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7232" w:type="dxa"/>
            <w:vAlign w:val="center"/>
          </w:tcPr>
          <w:p w14:paraId="1AD01A34">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合同金额：</w:t>
            </w:r>
          </w:p>
        </w:tc>
      </w:tr>
      <w:tr w14:paraId="4775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14:paraId="7FA0886C">
            <w:pPr>
              <w:pStyle w:val="19"/>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7232" w:type="dxa"/>
            <w:vAlign w:val="center"/>
          </w:tcPr>
          <w:p w14:paraId="3BD1D766">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合同履行期限：</w:t>
            </w:r>
          </w:p>
        </w:tc>
      </w:tr>
      <w:tr w14:paraId="1EFD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14:paraId="172784C0">
            <w:pPr>
              <w:pStyle w:val="19"/>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7232" w:type="dxa"/>
            <w:vAlign w:val="center"/>
          </w:tcPr>
          <w:p w14:paraId="72D888DC">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服务履行期：</w:t>
            </w:r>
          </w:p>
        </w:tc>
      </w:tr>
      <w:tr w14:paraId="57CD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14:paraId="3A695C77">
            <w:pPr>
              <w:pStyle w:val="19"/>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7232" w:type="dxa"/>
            <w:vAlign w:val="center"/>
          </w:tcPr>
          <w:p w14:paraId="6EDA8C09">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验收方式及标准：</w:t>
            </w:r>
          </w:p>
        </w:tc>
      </w:tr>
      <w:tr w14:paraId="3F6D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384" w:type="dxa"/>
            <w:vAlign w:val="center"/>
          </w:tcPr>
          <w:p w14:paraId="53FD9EDC">
            <w:pPr>
              <w:pStyle w:val="19"/>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7232" w:type="dxa"/>
            <w:vAlign w:val="center"/>
          </w:tcPr>
          <w:p w14:paraId="340E8F07">
            <w:pPr>
              <w:pStyle w:val="19"/>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付款方式：</w:t>
            </w:r>
          </w:p>
          <w:p w14:paraId="4BEEECC1">
            <w:pPr>
              <w:pStyle w:val="19"/>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1.本合同以人民币付款。</w:t>
            </w:r>
          </w:p>
          <w:p w14:paraId="0C419F22">
            <w:pPr>
              <w:pStyle w:val="19"/>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2.付款计划安排：</w:t>
            </w:r>
          </w:p>
        </w:tc>
      </w:tr>
      <w:tr w14:paraId="493E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vAlign w:val="center"/>
          </w:tcPr>
          <w:p w14:paraId="05B44440">
            <w:pPr>
              <w:pStyle w:val="19"/>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7232" w:type="dxa"/>
            <w:vAlign w:val="center"/>
          </w:tcPr>
          <w:p w14:paraId="3E2CED07">
            <w:pPr>
              <w:pStyle w:val="19"/>
              <w:jc w:val="left"/>
              <w:rPr>
                <w:rFonts w:hint="eastAsia" w:ascii="仿宋" w:hAnsi="仿宋" w:eastAsia="仿宋" w:cs="仿宋"/>
                <w:color w:val="auto"/>
                <w:highlight w:val="none"/>
              </w:rPr>
            </w:pPr>
            <w:r>
              <w:rPr>
                <w:rFonts w:hint="eastAsia" w:ascii="仿宋" w:hAnsi="仿宋" w:eastAsia="仿宋" w:cs="仿宋"/>
                <w:color w:val="auto"/>
                <w:highlight w:val="none"/>
              </w:rPr>
              <w:t>履约保证金及其返还：</w:t>
            </w:r>
          </w:p>
        </w:tc>
      </w:tr>
    </w:tbl>
    <w:p w14:paraId="7CE98CC5">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24"/>
          <w:szCs w:val="24"/>
          <w:highlight w:val="none"/>
        </w:rPr>
      </w:pPr>
    </w:p>
    <w:p w14:paraId="173AD637">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24"/>
          <w:szCs w:val="24"/>
          <w:highlight w:val="none"/>
        </w:rPr>
      </w:pPr>
    </w:p>
    <w:p w14:paraId="69E387A8">
      <w:pPr>
        <w:keepNext w:val="0"/>
        <w:keepLines w:val="0"/>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szCs w:val="24"/>
          <w:highlight w:val="none"/>
        </w:rPr>
      </w:pPr>
    </w:p>
    <w:p w14:paraId="725A0AEA">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（仅供参考，具体以实际签订的内容为准）</w:t>
      </w:r>
      <w:bookmarkEnd w:id="38"/>
    </w:p>
    <w:p w14:paraId="51F62649">
      <w:pPr>
        <w:pStyle w:val="14"/>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shd w:val="clear" w:color="auto" w:fill="FFFFFF" w:themeFill="background1"/>
        </w:rPr>
      </w:pPr>
    </w:p>
    <w:p w14:paraId="486995C4">
      <w:pPr>
        <w:keepNext w:val="0"/>
        <w:keepLines w:val="0"/>
        <w:pageBreakBefore w:val="0"/>
        <w:widowControl/>
        <w:kinsoku/>
        <w:wordWrap/>
        <w:overflowPunct/>
        <w:topLinePunct w:val="0"/>
        <w:bidi w:val="0"/>
        <w:jc w:val="left"/>
        <w:textAlignment w:val="auto"/>
        <w:outlineLvl w:val="9"/>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250502A7">
      <w:pPr>
        <w:pStyle w:val="14"/>
        <w:numPr>
          <w:ilvl w:val="0"/>
          <w:numId w:val="0"/>
        </w:numPr>
        <w:jc w:val="center"/>
        <w:outlineLvl w:val="0"/>
        <w:rPr>
          <w:rFonts w:hint="eastAsia" w:ascii="仿宋" w:hAnsi="仿宋" w:eastAsia="仿宋" w:cs="仿宋"/>
          <w:b/>
          <w:color w:val="auto"/>
          <w:szCs w:val="24"/>
          <w:highlight w:val="none"/>
        </w:rPr>
      </w:pPr>
      <w:bookmarkStart w:id="293" w:name="_Toc6849"/>
      <w:r>
        <w:rPr>
          <w:rFonts w:hint="eastAsia" w:ascii="仿宋" w:hAnsi="仿宋" w:eastAsia="仿宋" w:cs="仿宋"/>
          <w:b/>
          <w:color w:val="auto"/>
          <w:kern w:val="0"/>
          <w:sz w:val="24"/>
          <w:szCs w:val="24"/>
          <w:highlight w:val="none"/>
          <w:lang w:val="en-US" w:eastAsia="zh-CN" w:bidi="ar-SA"/>
        </w:rPr>
        <w:t xml:space="preserve">第四章 </w:t>
      </w:r>
      <w:r>
        <w:rPr>
          <w:rFonts w:hint="eastAsia" w:ascii="仿宋" w:hAnsi="仿宋" w:eastAsia="仿宋" w:cs="仿宋"/>
          <w:b/>
          <w:color w:val="auto"/>
          <w:szCs w:val="24"/>
          <w:highlight w:val="none"/>
        </w:rPr>
        <w:t>服务标准和要求</w:t>
      </w:r>
      <w:bookmarkEnd w:id="293"/>
      <w:bookmarkStart w:id="294" w:name="_Toc138638535"/>
      <w:bookmarkEnd w:id="294"/>
      <w:bookmarkStart w:id="295" w:name="_Toc138638910"/>
      <w:bookmarkEnd w:id="295"/>
      <w:bookmarkStart w:id="296" w:name="_Toc138638884"/>
      <w:bookmarkEnd w:id="296"/>
      <w:bookmarkStart w:id="297" w:name="_Toc138639091"/>
      <w:bookmarkEnd w:id="297"/>
      <w:bookmarkStart w:id="298" w:name="_Toc138638534"/>
      <w:bookmarkEnd w:id="298"/>
      <w:bookmarkStart w:id="299" w:name="_Toc138638773"/>
      <w:bookmarkEnd w:id="299"/>
      <w:bookmarkStart w:id="300" w:name="_Toc138638719"/>
      <w:bookmarkEnd w:id="300"/>
      <w:bookmarkStart w:id="301" w:name="_Toc138638907"/>
      <w:bookmarkEnd w:id="301"/>
      <w:bookmarkStart w:id="302" w:name="_Toc138639090"/>
      <w:bookmarkEnd w:id="302"/>
      <w:bookmarkStart w:id="303" w:name="_Toc138639074"/>
      <w:bookmarkEnd w:id="303"/>
      <w:bookmarkStart w:id="304" w:name="_Toc138638718"/>
      <w:bookmarkEnd w:id="304"/>
      <w:bookmarkStart w:id="305" w:name="_Toc138638538"/>
      <w:bookmarkEnd w:id="305"/>
      <w:bookmarkStart w:id="306" w:name="_Toc138638906"/>
      <w:bookmarkEnd w:id="306"/>
      <w:bookmarkStart w:id="307" w:name="_Toc138638702"/>
      <w:bookmarkEnd w:id="307"/>
      <w:bookmarkStart w:id="308" w:name="_Toc138638883"/>
      <w:bookmarkEnd w:id="308"/>
      <w:bookmarkStart w:id="309" w:name="_Toc138638510"/>
      <w:bookmarkEnd w:id="309"/>
      <w:bookmarkStart w:id="310" w:name="_Toc138638509"/>
      <w:bookmarkEnd w:id="310"/>
      <w:bookmarkStart w:id="311" w:name="_Toc138639145"/>
      <w:bookmarkEnd w:id="311"/>
      <w:bookmarkStart w:id="312" w:name="_合同文件的组成及解释顺序"/>
      <w:bookmarkEnd w:id="312"/>
    </w:p>
    <w:p w14:paraId="3CF6D8C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单项目限价</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1"/>
        <w:gridCol w:w="2746"/>
        <w:gridCol w:w="3712"/>
        <w:gridCol w:w="1553"/>
      </w:tblGrid>
      <w:tr w14:paraId="361B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299" w:type="pct"/>
            <w:shd w:val="clear" w:color="auto" w:fill="auto"/>
            <w:vAlign w:val="center"/>
          </w:tcPr>
          <w:p w14:paraId="6E158E85">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bookmarkStart w:id="313" w:name="_Toc531016893"/>
            <w:r>
              <w:rPr>
                <w:rFonts w:hint="eastAsia" w:ascii="仿宋" w:hAnsi="仿宋" w:eastAsia="仿宋" w:cs="仿宋"/>
                <w:b/>
                <w:bCs/>
                <w:i w:val="0"/>
                <w:iCs w:val="0"/>
                <w:color w:val="auto"/>
                <w:kern w:val="0"/>
                <w:sz w:val="24"/>
                <w:szCs w:val="24"/>
                <w:highlight w:val="none"/>
                <w:u w:val="none"/>
                <w:lang w:val="en-US" w:eastAsia="zh-CN" w:bidi="ar"/>
              </w:rPr>
              <w:t>序号</w:t>
            </w:r>
          </w:p>
        </w:tc>
        <w:tc>
          <w:tcPr>
            <w:tcW w:w="1611" w:type="pct"/>
            <w:shd w:val="clear" w:color="auto" w:fill="auto"/>
            <w:noWrap/>
            <w:vAlign w:val="center"/>
          </w:tcPr>
          <w:p w14:paraId="49CC3140">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标项名称</w:t>
            </w:r>
          </w:p>
        </w:tc>
        <w:tc>
          <w:tcPr>
            <w:tcW w:w="2177" w:type="pct"/>
            <w:shd w:val="clear" w:color="auto" w:fill="auto"/>
            <w:noWrap/>
            <w:vAlign w:val="center"/>
          </w:tcPr>
          <w:p w14:paraId="5505A166">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服务内容</w:t>
            </w:r>
          </w:p>
        </w:tc>
        <w:tc>
          <w:tcPr>
            <w:tcW w:w="911" w:type="pct"/>
            <w:shd w:val="clear" w:color="auto" w:fill="auto"/>
            <w:noWrap/>
            <w:vAlign w:val="bottom"/>
          </w:tcPr>
          <w:p w14:paraId="374F6758">
            <w:pPr>
              <w:keepNext w:val="0"/>
              <w:keepLines w:val="0"/>
              <w:widowControl/>
              <w:suppressLineNumbers w:val="0"/>
              <w:spacing w:line="360" w:lineRule="auto"/>
              <w:jc w:val="center"/>
              <w:textAlignment w:val="bottom"/>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sz w:val="24"/>
                <w:szCs w:val="24"/>
                <w:highlight w:val="none"/>
                <w:u w:val="none"/>
                <w:lang w:val="en-US" w:eastAsia="zh-CN"/>
              </w:rPr>
              <w:t>单项目限价金额（万元）</w:t>
            </w:r>
          </w:p>
        </w:tc>
      </w:tr>
      <w:tr w14:paraId="3F12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299" w:type="pct"/>
            <w:vMerge w:val="restart"/>
            <w:shd w:val="clear" w:color="auto" w:fill="auto"/>
            <w:vAlign w:val="center"/>
          </w:tcPr>
          <w:p w14:paraId="1A360EB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611" w:type="pct"/>
            <w:vMerge w:val="restart"/>
            <w:shd w:val="clear" w:color="auto" w:fill="auto"/>
            <w:noWrap/>
            <w:vAlign w:val="center"/>
          </w:tcPr>
          <w:p w14:paraId="3B372C1B">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eastAsia="zh-CN"/>
              </w:rPr>
              <w:t>新疆维吾尔自治区地质局昌吉地质大队机械租赁服务项目（槽探开挖及回填、道路平整及维护）</w:t>
            </w:r>
          </w:p>
        </w:tc>
        <w:tc>
          <w:tcPr>
            <w:tcW w:w="2177" w:type="pct"/>
            <w:shd w:val="clear" w:color="auto" w:fill="auto"/>
            <w:noWrap/>
            <w:vAlign w:val="center"/>
          </w:tcPr>
          <w:p w14:paraId="4991225B">
            <w:pPr>
              <w:widowControl/>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kern w:val="0"/>
                <w:sz w:val="24"/>
                <w:szCs w:val="24"/>
                <w:highlight w:val="none"/>
                <w:lang w:bidi="ar"/>
              </w:rPr>
              <w:t>新疆阿勒泰市塔尔浪一带花岗伟晶岩型高纯石英用硅质原料矿普查</w:t>
            </w:r>
          </w:p>
        </w:tc>
        <w:tc>
          <w:tcPr>
            <w:tcW w:w="911" w:type="pct"/>
            <w:shd w:val="clear" w:color="auto" w:fill="auto"/>
            <w:noWrap/>
            <w:vAlign w:val="center"/>
          </w:tcPr>
          <w:p w14:paraId="1CAD2DFF">
            <w:pPr>
              <w:widowControl/>
              <w:spacing w:line="360" w:lineRule="auto"/>
              <w:jc w:val="center"/>
              <w:textAlignment w:val="bottom"/>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kern w:val="0"/>
                <w:sz w:val="24"/>
                <w:szCs w:val="24"/>
                <w:highlight w:val="none"/>
                <w:lang w:val="en-US" w:eastAsia="zh-CN" w:bidi="ar"/>
              </w:rPr>
              <w:t>30.73</w:t>
            </w:r>
          </w:p>
        </w:tc>
      </w:tr>
      <w:tr w14:paraId="6176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9" w:type="pct"/>
            <w:vMerge w:val="continue"/>
            <w:shd w:val="clear" w:color="auto" w:fill="auto"/>
            <w:vAlign w:val="center"/>
          </w:tcPr>
          <w:p w14:paraId="097444D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p>
        </w:tc>
        <w:tc>
          <w:tcPr>
            <w:tcW w:w="1611" w:type="pct"/>
            <w:vMerge w:val="continue"/>
            <w:shd w:val="clear" w:color="auto" w:fill="auto"/>
            <w:noWrap/>
            <w:vAlign w:val="center"/>
          </w:tcPr>
          <w:p w14:paraId="3F115B60">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sz w:val="24"/>
                <w:szCs w:val="24"/>
                <w:highlight w:val="none"/>
                <w:u w:val="none"/>
              </w:rPr>
            </w:pPr>
          </w:p>
        </w:tc>
        <w:tc>
          <w:tcPr>
            <w:tcW w:w="2177" w:type="pct"/>
            <w:shd w:val="clear" w:color="auto" w:fill="auto"/>
            <w:noWrap/>
            <w:vAlign w:val="center"/>
          </w:tcPr>
          <w:p w14:paraId="6D9E5FBF">
            <w:pPr>
              <w:widowControl/>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kern w:val="0"/>
                <w:sz w:val="24"/>
                <w:szCs w:val="24"/>
                <w:highlight w:val="none"/>
                <w:lang w:bidi="ar"/>
              </w:rPr>
              <w:t>新疆阿勒泰伟晶岩型高纯石英用硅质原料矿普查</w:t>
            </w:r>
          </w:p>
        </w:tc>
        <w:tc>
          <w:tcPr>
            <w:tcW w:w="911" w:type="pct"/>
            <w:shd w:val="clear" w:color="auto" w:fill="auto"/>
            <w:noWrap/>
            <w:vAlign w:val="center"/>
          </w:tcPr>
          <w:p w14:paraId="571C2150">
            <w:pPr>
              <w:widowControl/>
              <w:spacing w:line="360" w:lineRule="auto"/>
              <w:jc w:val="center"/>
              <w:textAlignment w:val="bottom"/>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kern w:val="0"/>
                <w:sz w:val="24"/>
                <w:szCs w:val="24"/>
                <w:highlight w:val="none"/>
                <w:lang w:val="en-US" w:eastAsia="zh-CN" w:bidi="ar"/>
              </w:rPr>
              <w:t>40.10</w:t>
            </w:r>
          </w:p>
        </w:tc>
      </w:tr>
    </w:tbl>
    <w:p w14:paraId="414BF0C0">
      <w:pPr>
        <w:spacing w:line="360" w:lineRule="auto"/>
        <w:ind w:firstLine="482" w:firstLineChars="200"/>
        <w:rPr>
          <w:rFonts w:hint="eastAsia" w:ascii="仿宋" w:hAnsi="仿宋" w:eastAsia="仿宋" w:cs="仿宋"/>
          <w:b/>
          <w:color w:val="auto"/>
          <w:sz w:val="24"/>
          <w:szCs w:val="24"/>
          <w:highlight w:val="none"/>
          <w:lang w:val="en-US" w:eastAsia="zh-CN"/>
        </w:rPr>
      </w:pPr>
    </w:p>
    <w:p w14:paraId="57C54191">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注：投标人“投标价格明细表”须针对两个服务内容分别报价，且不得超过单项目限价金额。</w:t>
      </w:r>
    </w:p>
    <w:p w14:paraId="0DB3990E">
      <w:pPr>
        <w:widowControl w:val="0"/>
        <w:numPr>
          <w:ilvl w:val="0"/>
          <w:numId w:val="0"/>
        </w:numPr>
        <w:spacing w:line="360" w:lineRule="auto"/>
        <w:jc w:val="both"/>
        <w:rPr>
          <w:rFonts w:hint="eastAsia" w:ascii="仿宋" w:hAnsi="仿宋" w:eastAsia="仿宋" w:cs="仿宋"/>
          <w:b/>
          <w:bCs/>
          <w:sz w:val="24"/>
          <w:szCs w:val="24"/>
          <w:highlight w:val="none"/>
        </w:rPr>
      </w:pPr>
    </w:p>
    <w:p w14:paraId="15E603C0">
      <w:pPr>
        <w:spacing w:line="360" w:lineRule="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服务内容①</w:t>
      </w:r>
    </w:p>
    <w:p w14:paraId="24B26761">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一、项目基本信息</w:t>
      </w:r>
    </w:p>
    <w:p w14:paraId="5CAA536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项目名称：新疆阿勒泰市塔尔浪一带花岗伟晶岩型高纯石英用硅质原料矿普查</w:t>
      </w:r>
    </w:p>
    <w:p w14:paraId="7079BE9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租赁设备交付/使用地点：阿勒泰市塔尔浪</w:t>
      </w:r>
    </w:p>
    <w:p w14:paraId="74390D9B">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工作内容：该项目的</w:t>
      </w:r>
      <w:r>
        <w:rPr>
          <w:rFonts w:hint="eastAsia" w:ascii="仿宋" w:hAnsi="仿宋" w:eastAsia="仿宋" w:cs="仿宋"/>
          <w:b w:val="0"/>
          <w:bCs w:val="0"/>
          <w:i w:val="0"/>
          <w:iCs w:val="0"/>
          <w:color w:val="auto"/>
          <w:sz w:val="24"/>
          <w:szCs w:val="24"/>
          <w:highlight w:val="none"/>
          <w:u w:val="none"/>
          <w:lang w:eastAsia="zh-CN"/>
        </w:rPr>
        <w:t>槽探</w:t>
      </w:r>
      <w:r>
        <w:rPr>
          <w:rFonts w:hint="eastAsia" w:ascii="仿宋" w:hAnsi="仿宋" w:eastAsia="仿宋" w:cs="仿宋"/>
          <w:b w:val="0"/>
          <w:bCs w:val="0"/>
          <w:i w:val="0"/>
          <w:iCs w:val="0"/>
          <w:color w:val="auto"/>
          <w:sz w:val="24"/>
          <w:szCs w:val="24"/>
          <w:highlight w:val="none"/>
          <w:u w:val="none"/>
          <w:lang w:val="en-US" w:eastAsia="zh-CN"/>
        </w:rPr>
        <w:t>开挖及</w:t>
      </w:r>
      <w:r>
        <w:rPr>
          <w:rFonts w:hint="eastAsia" w:ascii="仿宋" w:hAnsi="仿宋" w:eastAsia="仿宋" w:cs="仿宋"/>
          <w:b w:val="0"/>
          <w:bCs w:val="0"/>
          <w:i w:val="0"/>
          <w:iCs w:val="0"/>
          <w:color w:val="auto"/>
          <w:sz w:val="24"/>
          <w:szCs w:val="24"/>
          <w:highlight w:val="none"/>
          <w:u w:val="none"/>
          <w:lang w:eastAsia="zh-CN"/>
        </w:rPr>
        <w:t>回填，</w:t>
      </w:r>
      <w:r>
        <w:rPr>
          <w:rFonts w:hint="eastAsia" w:ascii="仿宋" w:hAnsi="仿宋" w:eastAsia="仿宋" w:cs="仿宋"/>
          <w:b w:val="0"/>
          <w:bCs w:val="0"/>
          <w:i w:val="0"/>
          <w:iCs w:val="0"/>
          <w:color w:val="auto"/>
          <w:sz w:val="24"/>
          <w:szCs w:val="24"/>
          <w:highlight w:val="none"/>
          <w:u w:val="none"/>
          <w:lang w:val="en-US" w:eastAsia="zh-CN"/>
        </w:rPr>
        <w:t>营地、</w:t>
      </w:r>
      <w:r>
        <w:rPr>
          <w:rFonts w:hint="eastAsia" w:ascii="仿宋" w:hAnsi="仿宋" w:eastAsia="仿宋" w:cs="仿宋"/>
          <w:b w:val="0"/>
          <w:bCs w:val="0"/>
          <w:i w:val="0"/>
          <w:iCs w:val="0"/>
          <w:color w:val="auto"/>
          <w:sz w:val="24"/>
          <w:szCs w:val="24"/>
          <w:highlight w:val="none"/>
          <w:u w:val="none"/>
          <w:lang w:eastAsia="zh-CN"/>
        </w:rPr>
        <w:t>道路平整及维护。</w:t>
      </w:r>
    </w:p>
    <w:p w14:paraId="46BA1D35">
      <w:pPr>
        <w:numPr>
          <w:ilvl w:val="0"/>
          <w:numId w:val="0"/>
        </w:numPr>
        <w:spacing w:line="360" w:lineRule="auto"/>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二、</w:t>
      </w:r>
      <w:r>
        <w:rPr>
          <w:rFonts w:hint="eastAsia" w:ascii="仿宋" w:hAnsi="仿宋" w:eastAsia="仿宋" w:cs="仿宋"/>
          <w:b/>
          <w:bCs/>
          <w:sz w:val="24"/>
          <w:szCs w:val="24"/>
          <w:highlight w:val="none"/>
        </w:rPr>
        <w:t>租赁标的物需求</w:t>
      </w:r>
    </w:p>
    <w:p w14:paraId="2EEFAE70">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、基本规格</w:t>
      </w:r>
    </w:p>
    <w:p w14:paraId="53AF74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设备类型：挖掘机。</w:t>
      </w:r>
    </w:p>
    <w:p w14:paraId="547392E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发动机类型：水冷、四冲程、直列四缸、涡轮增压中冷、高压共轨直喷柴油发动机</w:t>
      </w:r>
    </w:p>
    <w:p w14:paraId="0FFDCF2C">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额定功率：总功率：</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150kW*(201 hp)</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1800 rpm</w:t>
      </w:r>
    </w:p>
    <w:p w14:paraId="5ABB4767">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铲斗容量反铲铲斗 (ISO 标准)：1.20</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1.45 m³</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(常用标准斗容为 1.25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1.35 m³)实际可选配不同宽度和类型的铲斗。</w:t>
      </w:r>
    </w:p>
    <w:p w14:paraId="71BEFFBA">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燃油箱容量：</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500 L</w:t>
      </w:r>
    </w:p>
    <w:p w14:paraId="302DDF5A">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、液压系统</w:t>
      </w:r>
    </w:p>
    <w:p w14:paraId="56C1FF54">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1.主泵类型：可变排量轴向柱塞泵 (双泵) + 齿轮泵 (先导/伺服)</w:t>
      </w:r>
    </w:p>
    <w:p w14:paraId="2C3E0260">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2.主泵最大流量：</w:t>
      </w:r>
    </w:p>
    <w:p w14:paraId="677A56B2">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主泵 (每个)：</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 x 249 L/min</w:t>
      </w:r>
    </w:p>
    <w:p w14:paraId="648E5E63">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总流量：</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498 L/min</w:t>
      </w:r>
    </w:p>
    <w:p w14:paraId="78BBF93A">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3.安全阀设定压力：34.3MPa(343 bar, 4976 psi)</w:t>
      </w:r>
    </w:p>
    <w:p w14:paraId="7AC965A2">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4.先导安全阀设定压力：3.9MPa(39 bar, 566 psi)</w:t>
      </w:r>
    </w:p>
    <w:p w14:paraId="0C4C66CA">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5.液压油箱容量：</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200L</w:t>
      </w:r>
    </w:p>
    <w:p w14:paraId="6DEA2F0E">
      <w:pPr>
        <w:numPr>
          <w:ilvl w:val="0"/>
          <w:numId w:val="0"/>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 行走系统</w:t>
      </w:r>
    </w:p>
    <w:p w14:paraId="191D6AB8">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1.行走方式：液压驱动履带式</w:t>
      </w:r>
    </w:p>
    <w:p w14:paraId="13CF73F6">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2.行走马达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轴向柱塞马达(带驻车制动)</w:t>
      </w:r>
    </w:p>
    <w:p w14:paraId="0553B4C8">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3.行走速度：低速档：3.1 - 4.0 km/h高速档：4.8 - 5.5 km/h</w:t>
      </w:r>
    </w:p>
    <w:p w14:paraId="3A372DB6">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4.爬坡能力：35°(70%)</w:t>
      </w:r>
    </w:p>
    <w:p w14:paraId="15FC1DC1">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5.接地比压：48kPa (标准履带板，600mm宽)</w:t>
      </w:r>
    </w:p>
    <w:p w14:paraId="3DFC51B1">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6.履带板宽度：标准可选600mm或700mm(加宽)</w:t>
      </w:r>
    </w:p>
    <w:p w14:paraId="06E56D8B">
      <w:pPr>
        <w:numPr>
          <w:ilvl w:val="0"/>
          <w:numId w:val="0"/>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、回转系统</w:t>
      </w:r>
    </w:p>
    <w:p w14:paraId="5138AA0D">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1.回转马达：轴向柱塞马达 (带机械式驻车制动)</w:t>
      </w:r>
    </w:p>
    <w:p w14:paraId="4DDF13C0">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2.回转速度：11.5rpm</w:t>
      </w:r>
    </w:p>
    <w:p w14:paraId="0C7B1993">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3.最大回转扭矩：125kN·m</w:t>
      </w:r>
    </w:p>
    <w:p w14:paraId="50450D9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4.回转制动扭矩：125kN·m</w:t>
      </w:r>
    </w:p>
    <w:p w14:paraId="1C48A85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、工作范围(典型值</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标准动臂和小臂配置)</w:t>
      </w:r>
    </w:p>
    <w:p w14:paraId="3FD81F84">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5.1</w:t>
      </w:r>
      <w:r>
        <w:rPr>
          <w:rFonts w:hint="eastAsia" w:ascii="仿宋" w:hAnsi="仿宋" w:eastAsia="仿宋" w:cs="仿宋"/>
          <w:sz w:val="24"/>
          <w:szCs w:val="24"/>
          <w:highlight w:val="none"/>
        </w:rPr>
        <w:t>.动臂长度：标准94 m (可选加长动臂6.72 m)</w:t>
      </w:r>
    </w:p>
    <w:p w14:paraId="3BBF6208">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2.小臂长度：标准2.94 m(可选3.04 m)</w:t>
      </w:r>
    </w:p>
    <w:p w14:paraId="36DC9528">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3.最大挖掘深度：</w:t>
      </w:r>
    </w:p>
    <w:p w14:paraId="5C842C37">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标准臂/标准小臂：7020 mm</w:t>
      </w:r>
    </w:p>
    <w:p w14:paraId="7C8776CC">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加长臂/加长小臂：8350 mm</w:t>
      </w:r>
    </w:p>
    <w:p w14:paraId="1DA8EFB0">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4.最大垂直挖掘深度：</w:t>
      </w:r>
    </w:p>
    <w:p w14:paraId="147E0EBE">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标准臂/标准小臂：6100 mm</w:t>
      </w:r>
    </w:p>
    <w:p w14:paraId="6961C4E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加长臂/加长小臂：7120 mm</w:t>
      </w:r>
    </w:p>
    <w:p w14:paraId="2CCCC4DE">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5.最大挖掘高度：</w:t>
      </w:r>
    </w:p>
    <w:p w14:paraId="0AB37CE2">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标准臂/标准小臂：9720 mm</w:t>
      </w:r>
    </w:p>
    <w:p w14:paraId="57B2C24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加长臂/加长小臂：10280mm</w:t>
      </w:r>
    </w:p>
    <w:p w14:paraId="617FF581">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6.最大挖掘半径：</w:t>
      </w:r>
    </w:p>
    <w:p w14:paraId="58271CF6">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标准臂/标准小臂：9930mm</w:t>
      </w:r>
    </w:p>
    <w:p w14:paraId="3700AF7C">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加长臂/加长小臂：10870mm</w:t>
      </w:r>
    </w:p>
    <w:p w14:paraId="07810846">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7.最小尾部回转半径：2850mm(标准履带板)</w:t>
      </w:r>
    </w:p>
    <w:p w14:paraId="37C508D7">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、尺寸</w:t>
      </w:r>
    </w:p>
    <w:p w14:paraId="426303E6">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1.运输总长度：9900mm</w:t>
      </w:r>
    </w:p>
    <w:p w14:paraId="6EFC8FD0">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2.运输总宽度：</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990mm(600mm履带板)</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3190mm700mm履带板)</w:t>
      </w:r>
    </w:p>
    <w:p w14:paraId="2C0AEB0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3.运输总高度（驾驶室顶）：3080mm</w:t>
      </w:r>
    </w:p>
    <w:p w14:paraId="29A0003E">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4.履带轨距：2390mm</w:t>
      </w:r>
    </w:p>
    <w:p w14:paraId="3224773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5.履带长度：4420mm</w:t>
      </w:r>
    </w:p>
    <w:p w14:paraId="3D1BE910">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6.离地间隙：450mm</w:t>
      </w:r>
    </w:p>
    <w:p w14:paraId="7F92C44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环保要求排放标准符合国家现行法规，国四，</w:t>
      </w:r>
    </w:p>
    <w:p w14:paraId="1F59C79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安全要求：符合国家相关安全标准GB 25684《土方机械安全》系列标准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必备安全装置、后视镜/摄像头等</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灯光、信号装置齐全有效。</w:t>
      </w:r>
    </w:p>
    <w:p w14:paraId="023B959F">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设备数量：</w:t>
      </w:r>
      <w:r>
        <w:rPr>
          <w:rFonts w:hint="eastAsia" w:ascii="仿宋" w:hAnsi="仿宋" w:eastAsia="仿宋" w:cs="仿宋"/>
          <w:sz w:val="24"/>
          <w:szCs w:val="24"/>
          <w:highlight w:val="none"/>
          <w:lang w:val="en-US" w:eastAsia="zh-CN"/>
        </w:rPr>
        <w:t>1台</w:t>
      </w:r>
    </w:p>
    <w:p w14:paraId="2090191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累计工作小时数不超过</w:t>
      </w:r>
      <w:r>
        <w:rPr>
          <w:rFonts w:hint="eastAsia" w:ascii="仿宋" w:hAnsi="仿宋" w:eastAsia="仿宋" w:cs="仿宋"/>
          <w:sz w:val="24"/>
          <w:szCs w:val="24"/>
          <w:highlight w:val="none"/>
          <w:lang w:val="en-US" w:eastAsia="zh-CN"/>
        </w:rPr>
        <w:t>6000</w:t>
      </w:r>
      <w:r>
        <w:rPr>
          <w:rFonts w:hint="eastAsia" w:ascii="仿宋" w:hAnsi="仿宋" w:eastAsia="仿宋" w:cs="仿宋"/>
          <w:sz w:val="24"/>
          <w:szCs w:val="24"/>
          <w:highlight w:val="none"/>
        </w:rPr>
        <w:t>小时，并提供证明（如设备仪表盘照片、原厂维修保养记录）。</w:t>
      </w:r>
    </w:p>
    <w:p w14:paraId="56FE04F1">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设备必须技术状况良好，各系统（发动机、液压、传动、电气、行走）工作正常，无影响安全和性能的隐患及故障。能通过采购人（或其委托方）的进场验收。</w:t>
      </w:r>
    </w:p>
    <w:p w14:paraId="5717D29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外观：设备外观整洁，无明显破损、锈蚀（不影响功能的除外）。</w:t>
      </w:r>
    </w:p>
    <w:p w14:paraId="0993F15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合法来源：供应商拥有设备合法所有权或完全处置权，无产权纠纷、抵押、查封等情形。需提供设备发票或所有权证明文件复印件备查。</w:t>
      </w:r>
    </w:p>
    <w:p w14:paraId="1C941B4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随机附件：</w:t>
      </w:r>
    </w:p>
    <w:p w14:paraId="103022A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标准铲斗（斗容符合要求）。</w:t>
      </w:r>
    </w:p>
    <w:p w14:paraId="7320A4B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必要的随车工具（如：黄油枪、常用扳手等）。</w:t>
      </w:r>
    </w:p>
    <w:p w14:paraId="2BC87587">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三、服务要求</w:t>
      </w:r>
    </w:p>
    <w:p w14:paraId="2D94C58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运输责任与费用：明确由供应商负责将设备安全、完好地运输至指定地点，并承担运输费用、保险费用及风险。</w:t>
      </w:r>
    </w:p>
    <w:p w14:paraId="3CE0D09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进场验收：设备到达现场后，由采购人（或其代表）进行现场验收。验收内容包括：核对设备型号规格、检查外观及技术状况（可试运行）、核查工作小时数、检查安全装置、清点随机附件等。验收合格是租赁期开始和支付租金的前提。</w:t>
      </w:r>
    </w:p>
    <w:p w14:paraId="08997E3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操作人员配备：配备操作手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食宿及工资、社保由供应商承担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2E2445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投标人中标后</w:t>
      </w:r>
      <w:r>
        <w:rPr>
          <w:rFonts w:hint="eastAsia" w:ascii="仿宋" w:hAnsi="仿宋" w:eastAsia="仿宋" w:cs="仿宋"/>
          <w:sz w:val="24"/>
          <w:szCs w:val="24"/>
          <w:highlight w:val="none"/>
        </w:rPr>
        <w:t>每台设备配备</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名持有有效的《特种设备作业人员证》（挖掘机操作项目）或国家认可的工程机械操作证书（如住建部门核发），并符合项目所在地对特种作业人员的其他要求。</w:t>
      </w:r>
    </w:p>
    <w:p w14:paraId="1BA1BF8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工作要求：服从采购人现场管理人员的指挥调度，遵守现场安全、环保等各项规章制度。工作时间需满足项目要求（管理责任：操作手由供应商负责管理（包括工资、社保、保险、安全教育等），但其在现场工作期间必须遵守采购人的管理。</w:t>
      </w:r>
    </w:p>
    <w:p w14:paraId="26210A4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更换：供应商需保证操作手稳定，如需更换，应提前通知并确保新操作手符合要求。</w:t>
      </w:r>
    </w:p>
    <w:p w14:paraId="7B6B844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设备维护、保养与维修：</w:t>
      </w:r>
    </w:p>
    <w:p w14:paraId="22B5443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定期保养：供应商必须按照设备制造商的要求或双方约定的周期进行定期保养（更换机油、机滤、液压油滤芯、空气滤芯等），并承担保养费用（人工和物料）。</w:t>
      </w:r>
    </w:p>
    <w:p w14:paraId="2DB76C9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故障维修：</w:t>
      </w:r>
    </w:p>
    <w:p w14:paraId="2A9552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责任划分：维修责任和费用由供应商承担。</w:t>
      </w:r>
    </w:p>
    <w:p w14:paraId="0E9528F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响应时间：设备发生故障时，供应商接到通知后应在</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小时内响应，</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小时内技术人员到达现场，一般故障应在</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小时内修复。重大故障需明确修复或更换设备的时限。</w:t>
      </w:r>
    </w:p>
    <w:p w14:paraId="19D01C9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燃油、润滑油及辅料供应：</w:t>
      </w:r>
    </w:p>
    <w:p w14:paraId="220951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提供设备正常工作所需的燃油（柴油）、润滑油、液压油、冷却液、黄油等，并承担费用。</w:t>
      </w:r>
    </w:p>
    <w:p w14:paraId="5966DC1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必保险种：第三者责任险保额</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万元，操作手/驾驶员意外伤害。</w:t>
      </w:r>
    </w:p>
    <w:p w14:paraId="48E6DF6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保险期限应覆盖整个租赁期及运输过程。</w:t>
      </w:r>
    </w:p>
    <w:p w14:paraId="0EBFA85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安全与环保责任：</w:t>
      </w:r>
    </w:p>
    <w:p w14:paraId="2E1B7D7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明确供应商对其设备本身安全性和操作手行为的安全责任。</w:t>
      </w:r>
    </w:p>
    <w:p w14:paraId="550A950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明确供应商需遵守项目现场的所有安全、环保规定。</w:t>
      </w:r>
    </w:p>
    <w:p w14:paraId="1837516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发生安全事故时的报告流程和责任划分原则。</w:t>
      </w:r>
    </w:p>
    <w:p w14:paraId="3F1E2FFC">
      <w:pPr>
        <w:pStyle w:val="19"/>
        <w:spacing w:line="360" w:lineRule="auto"/>
        <w:rPr>
          <w:rFonts w:hint="eastAsia" w:ascii="仿宋" w:hAnsi="仿宋" w:eastAsia="仿宋" w:cs="仿宋"/>
          <w:sz w:val="24"/>
          <w:szCs w:val="24"/>
          <w:highlight w:val="none"/>
        </w:rPr>
      </w:pPr>
    </w:p>
    <w:p w14:paraId="71CDD11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01641088">
      <w:pPr>
        <w:spacing w:line="360" w:lineRule="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服务内容②</w:t>
      </w:r>
    </w:p>
    <w:p w14:paraId="21E7FC4E">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一、项目基本信息</w:t>
      </w:r>
    </w:p>
    <w:p w14:paraId="7A31674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项目名称：新疆阿勒泰伟晶岩型高纯石英用硅质原料矿普查</w:t>
      </w:r>
    </w:p>
    <w:p w14:paraId="5EF8C09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租赁设备交付/使用地点：新疆阿勒泰</w:t>
      </w:r>
    </w:p>
    <w:p w14:paraId="3D6277F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工作内容：该项目的</w:t>
      </w:r>
      <w:r>
        <w:rPr>
          <w:rFonts w:hint="eastAsia" w:ascii="仿宋" w:hAnsi="仿宋" w:eastAsia="仿宋" w:cs="仿宋"/>
          <w:b w:val="0"/>
          <w:bCs w:val="0"/>
          <w:i w:val="0"/>
          <w:iCs w:val="0"/>
          <w:color w:val="auto"/>
          <w:sz w:val="24"/>
          <w:szCs w:val="24"/>
          <w:highlight w:val="none"/>
          <w:u w:val="none"/>
          <w:lang w:eastAsia="zh-CN"/>
        </w:rPr>
        <w:t>槽探</w:t>
      </w:r>
      <w:r>
        <w:rPr>
          <w:rFonts w:hint="eastAsia" w:ascii="仿宋" w:hAnsi="仿宋" w:eastAsia="仿宋" w:cs="仿宋"/>
          <w:b w:val="0"/>
          <w:bCs w:val="0"/>
          <w:i w:val="0"/>
          <w:iCs w:val="0"/>
          <w:color w:val="auto"/>
          <w:sz w:val="24"/>
          <w:szCs w:val="24"/>
          <w:highlight w:val="none"/>
          <w:u w:val="none"/>
          <w:lang w:val="en-US" w:eastAsia="zh-CN"/>
        </w:rPr>
        <w:t>开挖及</w:t>
      </w:r>
      <w:r>
        <w:rPr>
          <w:rFonts w:hint="eastAsia" w:ascii="仿宋" w:hAnsi="仿宋" w:eastAsia="仿宋" w:cs="仿宋"/>
          <w:b w:val="0"/>
          <w:bCs w:val="0"/>
          <w:i w:val="0"/>
          <w:iCs w:val="0"/>
          <w:color w:val="auto"/>
          <w:sz w:val="24"/>
          <w:szCs w:val="24"/>
          <w:highlight w:val="none"/>
          <w:u w:val="none"/>
          <w:lang w:eastAsia="zh-CN"/>
        </w:rPr>
        <w:t>回填，</w:t>
      </w:r>
      <w:r>
        <w:rPr>
          <w:rFonts w:hint="eastAsia" w:ascii="仿宋" w:hAnsi="仿宋" w:eastAsia="仿宋" w:cs="仿宋"/>
          <w:b w:val="0"/>
          <w:bCs w:val="0"/>
          <w:i w:val="0"/>
          <w:iCs w:val="0"/>
          <w:color w:val="auto"/>
          <w:sz w:val="24"/>
          <w:szCs w:val="24"/>
          <w:highlight w:val="none"/>
          <w:u w:val="none"/>
          <w:lang w:val="en-US" w:eastAsia="zh-CN"/>
        </w:rPr>
        <w:t>营地、</w:t>
      </w:r>
      <w:r>
        <w:rPr>
          <w:rFonts w:hint="eastAsia" w:ascii="仿宋" w:hAnsi="仿宋" w:eastAsia="仿宋" w:cs="仿宋"/>
          <w:b w:val="0"/>
          <w:bCs w:val="0"/>
          <w:i w:val="0"/>
          <w:iCs w:val="0"/>
          <w:color w:val="auto"/>
          <w:sz w:val="24"/>
          <w:szCs w:val="24"/>
          <w:highlight w:val="none"/>
          <w:u w:val="none"/>
          <w:lang w:eastAsia="zh-CN"/>
        </w:rPr>
        <w:t>道路平整及维护。</w:t>
      </w:r>
    </w:p>
    <w:p w14:paraId="726345AE">
      <w:pPr>
        <w:numPr>
          <w:ilvl w:val="0"/>
          <w:numId w:val="0"/>
        </w:numPr>
        <w:spacing w:line="360" w:lineRule="auto"/>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二、</w:t>
      </w:r>
      <w:r>
        <w:rPr>
          <w:rFonts w:hint="eastAsia" w:ascii="仿宋" w:hAnsi="仿宋" w:eastAsia="仿宋" w:cs="仿宋"/>
          <w:b/>
          <w:bCs/>
          <w:sz w:val="24"/>
          <w:szCs w:val="24"/>
          <w:highlight w:val="none"/>
        </w:rPr>
        <w:t>租赁标的物需求</w:t>
      </w:r>
    </w:p>
    <w:p w14:paraId="463516E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设备类型：履带式挖掘机。</w:t>
      </w:r>
    </w:p>
    <w:p w14:paraId="2EFEE51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设备规格型号与技术参数：</w:t>
      </w:r>
    </w:p>
    <w:p w14:paraId="7A36D96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标准斗容范围：1.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立方米</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立方米。</w:t>
      </w:r>
    </w:p>
    <w:p w14:paraId="2FB817B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工作重量范围：</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吨</w:t>
      </w:r>
    </w:p>
    <w:p w14:paraId="62D3D2D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发动机功率：≥</w:t>
      </w:r>
      <w:r>
        <w:rPr>
          <w:rFonts w:hint="eastAsia" w:ascii="仿宋" w:hAnsi="仿宋" w:eastAsia="仿宋" w:cs="仿宋"/>
          <w:sz w:val="24"/>
          <w:szCs w:val="24"/>
          <w:highlight w:val="none"/>
          <w:lang w:val="en-US" w:eastAsia="zh-CN"/>
        </w:rPr>
        <w:t>200</w:t>
      </w:r>
      <w:r>
        <w:rPr>
          <w:rFonts w:hint="eastAsia" w:ascii="仿宋" w:hAnsi="仿宋" w:eastAsia="仿宋" w:cs="仿宋"/>
          <w:sz w:val="24"/>
          <w:szCs w:val="24"/>
          <w:highlight w:val="none"/>
        </w:rPr>
        <w:t>kW</w:t>
      </w:r>
    </w:p>
    <w:p w14:paraId="1740FE9F">
      <w:pPr>
        <w:spacing w:line="360" w:lineRule="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主要尺寸：</w:t>
      </w:r>
      <w:r>
        <w:rPr>
          <w:rFonts w:hint="eastAsia" w:ascii="仿宋" w:hAnsi="仿宋" w:eastAsia="仿宋" w:cs="仿宋"/>
          <w:sz w:val="24"/>
          <w:szCs w:val="24"/>
          <w:highlight w:val="none"/>
          <w:lang w:val="en-US" w:eastAsia="zh-CN"/>
        </w:rPr>
        <w:t>总长10.8-11.2米，总款2.8-3.2米，总高（至动力臂顶部）3.1-3.3米，离地间隙0.45-0.5米</w:t>
      </w:r>
    </w:p>
    <w:p w14:paraId="7D791F55">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最大挖掘深度</w:t>
      </w:r>
      <w:r>
        <w:rPr>
          <w:rFonts w:hint="eastAsia" w:ascii="仿宋" w:hAnsi="仿宋" w:eastAsia="仿宋" w:cs="仿宋"/>
          <w:sz w:val="24"/>
          <w:szCs w:val="24"/>
          <w:highlight w:val="none"/>
          <w:lang w:val="en-US" w:eastAsia="zh-CN"/>
        </w:rPr>
        <w:t>7-8米</w:t>
      </w:r>
    </w:p>
    <w:p w14:paraId="7BDB0C7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最大挖掘力（斗杆/铲斗）</w:t>
      </w:r>
      <w:r>
        <w:rPr>
          <w:rFonts w:hint="eastAsia" w:ascii="仿宋" w:hAnsi="仿宋" w:eastAsia="仿宋" w:cs="仿宋"/>
          <w:sz w:val="24"/>
          <w:szCs w:val="24"/>
          <w:highlight w:val="none"/>
          <w:lang w:val="en-US" w:eastAsia="zh-CN"/>
        </w:rPr>
        <w:t>160-230KN</w:t>
      </w:r>
      <w:r>
        <w:rPr>
          <w:rFonts w:hint="eastAsia" w:ascii="仿宋" w:hAnsi="仿宋" w:eastAsia="仿宋" w:cs="仿宋"/>
          <w:sz w:val="24"/>
          <w:szCs w:val="24"/>
          <w:highlight w:val="none"/>
        </w:rPr>
        <w:t>。</w:t>
      </w:r>
    </w:p>
    <w:p w14:paraId="2C382609">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行走速度</w:t>
      </w:r>
      <w:r>
        <w:rPr>
          <w:rFonts w:hint="eastAsia" w:ascii="仿宋" w:hAnsi="仿宋" w:eastAsia="仿宋" w:cs="仿宋"/>
          <w:sz w:val="24"/>
          <w:szCs w:val="24"/>
          <w:highlight w:val="none"/>
          <w:lang w:val="en-US" w:eastAsia="zh-CN"/>
        </w:rPr>
        <w:t>3.2-5.5KM/H</w:t>
      </w:r>
      <w:r>
        <w:rPr>
          <w:rFonts w:hint="eastAsia" w:ascii="仿宋" w:hAnsi="仿宋" w:eastAsia="仿宋" w:cs="仿宋"/>
          <w:sz w:val="24"/>
          <w:szCs w:val="24"/>
          <w:highlight w:val="none"/>
        </w:rPr>
        <w:t>/爬坡能力</w:t>
      </w: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回转速度</w:t>
      </w:r>
      <w:r>
        <w:rPr>
          <w:rFonts w:hint="eastAsia" w:ascii="仿宋" w:hAnsi="仿宋" w:eastAsia="仿宋" w:cs="仿宋"/>
          <w:sz w:val="24"/>
          <w:szCs w:val="24"/>
          <w:highlight w:val="none"/>
          <w:lang w:val="en-US" w:eastAsia="zh-CN"/>
        </w:rPr>
        <w:t>9.0-100KN.M</w:t>
      </w:r>
    </w:p>
    <w:p w14:paraId="2B7B72D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燃油箱容量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连续工作</w:t>
      </w:r>
      <w:r>
        <w:rPr>
          <w:rFonts w:hint="eastAsia" w:ascii="仿宋" w:hAnsi="仿宋" w:eastAsia="仿宋" w:cs="仿宋"/>
          <w:sz w:val="24"/>
          <w:szCs w:val="24"/>
          <w:highlight w:val="none"/>
          <w:lang w:val="en-US" w:eastAsia="zh-CN"/>
        </w:rPr>
        <w:t>20小</w:t>
      </w:r>
      <w:r>
        <w:rPr>
          <w:rFonts w:hint="eastAsia" w:ascii="仿宋" w:hAnsi="仿宋" w:eastAsia="仿宋" w:cs="仿宋"/>
          <w:sz w:val="24"/>
          <w:szCs w:val="24"/>
          <w:highlight w:val="none"/>
        </w:rPr>
        <w:t>时</w:t>
      </w:r>
    </w:p>
    <w:p w14:paraId="4A2BC4E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环保要求：排放标准、国四</w:t>
      </w:r>
    </w:p>
    <w:p w14:paraId="2908E1D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安全要求：符合国家GB 25684《土方机械安全》系列标准）。</w:t>
      </w:r>
    </w:p>
    <w:p w14:paraId="5BB8905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整车配置</w:t>
      </w:r>
      <w:r>
        <w:rPr>
          <w:rFonts w:hint="eastAsia" w:ascii="仿宋" w:hAnsi="仿宋" w:eastAsia="仿宋" w:cs="仿宋"/>
          <w:sz w:val="24"/>
          <w:szCs w:val="24"/>
          <w:highlight w:val="none"/>
        </w:rPr>
        <w:t>后视镜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灯光、信号装置齐全有效。</w:t>
      </w:r>
    </w:p>
    <w:p w14:paraId="46E3D85A">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设备数量：</w:t>
      </w:r>
      <w:r>
        <w:rPr>
          <w:rFonts w:hint="eastAsia" w:ascii="仿宋" w:hAnsi="仿宋" w:eastAsia="仿宋" w:cs="仿宋"/>
          <w:sz w:val="24"/>
          <w:szCs w:val="24"/>
          <w:highlight w:val="none"/>
          <w:lang w:val="en-US" w:eastAsia="zh-CN"/>
        </w:rPr>
        <w:t>1台</w:t>
      </w:r>
    </w:p>
    <w:p w14:paraId="116E276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设备状态要求</w:t>
      </w:r>
    </w:p>
    <w:p w14:paraId="698703A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新旧程度：通常要求设备为全新或近三年内出厂的设备，设备累计工作小时数不超过</w:t>
      </w:r>
      <w:r>
        <w:rPr>
          <w:rFonts w:hint="eastAsia" w:ascii="仿宋" w:hAnsi="仿宋" w:eastAsia="仿宋" w:cs="仿宋"/>
          <w:sz w:val="24"/>
          <w:szCs w:val="24"/>
          <w:highlight w:val="none"/>
          <w:lang w:val="en-US" w:eastAsia="zh-CN"/>
        </w:rPr>
        <w:t>5000</w:t>
      </w:r>
      <w:r>
        <w:rPr>
          <w:rFonts w:hint="eastAsia" w:ascii="仿宋" w:hAnsi="仿宋" w:eastAsia="仿宋" w:cs="仿宋"/>
          <w:sz w:val="24"/>
          <w:szCs w:val="24"/>
          <w:highlight w:val="none"/>
        </w:rPr>
        <w:t>小时</w:t>
      </w:r>
    </w:p>
    <w:p w14:paraId="52203DE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设备必须技术状况良好，各系统（发动机、液压、传动、电气、行走）工作正常，无影响安全和性能的隐患及故障。能通过采购人（或其委托方）的进场验收。</w:t>
      </w:r>
    </w:p>
    <w:p w14:paraId="519F646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外观：设备外观整洁，无明显破损、锈蚀（不影响功能的除外）。</w:t>
      </w:r>
    </w:p>
    <w:p w14:paraId="735F481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合法来源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供应商拥有设备合法所有权或完全处置权，无产权纠纷、抵押、查封等情形。</w:t>
      </w:r>
    </w:p>
    <w:p w14:paraId="2D3C123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随机附件：</w:t>
      </w:r>
    </w:p>
    <w:p w14:paraId="36DBE4C3">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斗容符合要求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随车工具</w:t>
      </w:r>
      <w:r>
        <w:rPr>
          <w:rFonts w:hint="eastAsia" w:ascii="仿宋" w:hAnsi="仿宋" w:eastAsia="仿宋" w:cs="仿宋"/>
          <w:sz w:val="24"/>
          <w:szCs w:val="24"/>
          <w:highlight w:val="none"/>
          <w:lang w:val="en-US" w:eastAsia="zh-CN"/>
        </w:rPr>
        <w:t>有</w:t>
      </w:r>
      <w:r>
        <w:rPr>
          <w:rFonts w:hint="eastAsia" w:ascii="仿宋" w:hAnsi="仿宋" w:eastAsia="仿宋" w:cs="仿宋"/>
          <w:sz w:val="24"/>
          <w:szCs w:val="24"/>
          <w:highlight w:val="none"/>
        </w:rPr>
        <w:t>黄油枪、常用扳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手破碎锤包含在租赁费内</w:t>
      </w:r>
      <w:r>
        <w:rPr>
          <w:rFonts w:hint="eastAsia" w:ascii="仿宋" w:hAnsi="仿宋" w:eastAsia="仿宋" w:cs="仿宋"/>
          <w:sz w:val="24"/>
          <w:szCs w:val="24"/>
          <w:highlight w:val="none"/>
          <w:lang w:eastAsia="zh-CN"/>
        </w:rPr>
        <w:t>。</w:t>
      </w:r>
    </w:p>
    <w:p w14:paraId="7328218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原厂操作手册/使用说明书（复印件或电子版）。</w:t>
      </w:r>
    </w:p>
    <w:p w14:paraId="6B9AB5BE">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三、服务要求</w:t>
      </w:r>
    </w:p>
    <w:p w14:paraId="78CDE30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运输责任与费用：明确由供应商负责将设备安全、完好地运输至指定地点，并承担运输费用、保险费用及风险。</w:t>
      </w:r>
    </w:p>
    <w:p w14:paraId="0255FA3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进场验收：设备到达现场后，由采购人（或其代表）进行现场验收。验收内容包括：核对设备型号规格、检查外观及技术状况（可试运行）、核查工作小时数、检查安全装置、清点随机附件等。验收合格是租赁期开始和支付租金的前提。</w:t>
      </w:r>
    </w:p>
    <w:p w14:paraId="6D0DD6B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操作人员配备：配备操作手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食宿及工资、社保由供应商承担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C39E88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投标人中标后</w:t>
      </w:r>
      <w:r>
        <w:rPr>
          <w:rFonts w:hint="eastAsia" w:ascii="仿宋" w:hAnsi="仿宋" w:eastAsia="仿宋" w:cs="仿宋"/>
          <w:sz w:val="24"/>
          <w:szCs w:val="24"/>
          <w:highlight w:val="none"/>
        </w:rPr>
        <w:t>每台设备配备</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名持有有效的《特种设备作业人员证》（挖掘机操作项目）或国家认可的工程机械操作证书（如住建部门核发），并符合项目所在地对特种作业人员的其他要求。</w:t>
      </w:r>
    </w:p>
    <w:p w14:paraId="12B5754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工作要求：服从采购人现场管理人员的指挥调度，遵守现场安全、环保等各项规章制度。工作时间需满足项目要求（管理责任：操作手由供应商负责管理（包括工资、社保、保险、安全教育等），但其在现场工作期间必须遵守采购人的管理。</w:t>
      </w:r>
    </w:p>
    <w:p w14:paraId="5833A4D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更换：供应商需保证操作手稳定，如需更换，应提前通知并确保新操作手符合要求。</w:t>
      </w:r>
    </w:p>
    <w:p w14:paraId="411843C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设备维护、保养与维修：</w:t>
      </w:r>
    </w:p>
    <w:p w14:paraId="68D59D0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定期保养：供应商必须按照设备制造商的要求或双方约定的周期进行定期保养（更换机油、机滤、液压油滤芯、空气滤芯等），并承担保养费用（人工和物料）。</w:t>
      </w:r>
    </w:p>
    <w:p w14:paraId="2F15AE5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故障维修：维修责任和费用由供应商承担。</w:t>
      </w:r>
    </w:p>
    <w:p w14:paraId="2D068FC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响应时间：设备发生故障时，供应商接到通知后应在</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小时内响应，</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小时内技术人员到达现场，一般故障应在</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小时内修复。重大故障需明确修复或更换设备的时限。</w:t>
      </w:r>
    </w:p>
    <w:p w14:paraId="766924A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提供设备正常工作所需的燃油（柴油）、润滑油、液压油、冷却液、黄油等，并承担费用。</w:t>
      </w:r>
    </w:p>
    <w:p w14:paraId="044363A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保险：第三者责任险保额</w:t>
      </w:r>
      <w:r>
        <w:rPr>
          <w:rFonts w:hint="eastAsia" w:ascii="仿宋" w:hAnsi="仿宋" w:eastAsia="仿宋" w:cs="仿宋"/>
          <w:sz w:val="24"/>
          <w:szCs w:val="24"/>
          <w:highlight w:val="none"/>
          <w:lang w:val="en-US" w:eastAsia="zh-CN"/>
        </w:rPr>
        <w:t>200</w:t>
      </w:r>
      <w:r>
        <w:rPr>
          <w:rFonts w:hint="eastAsia" w:ascii="仿宋" w:hAnsi="仿宋" w:eastAsia="仿宋" w:cs="仿宋"/>
          <w:sz w:val="24"/>
          <w:szCs w:val="24"/>
          <w:highlight w:val="none"/>
        </w:rPr>
        <w:t>万元，保险期限应覆盖整个租赁期及运输过程。</w:t>
      </w:r>
    </w:p>
    <w:p w14:paraId="3BE3850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安全与环保责任：</w:t>
      </w:r>
    </w:p>
    <w:p w14:paraId="7767112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供应商对其设备本身安全性和操作手行为的安全责任。</w:t>
      </w:r>
    </w:p>
    <w:p w14:paraId="214B13C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供应商需遵守项目现场的所有安全、环保规定。</w:t>
      </w:r>
    </w:p>
    <w:p w14:paraId="06EB34A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发生安全事故时的报告流程和责任划分原则。</w:t>
      </w:r>
    </w:p>
    <w:p w14:paraId="4DA85576">
      <w:pPr>
        <w:spacing w:line="360" w:lineRule="auto"/>
        <w:rPr>
          <w:rFonts w:hint="eastAsia" w:ascii="仿宋" w:hAnsi="仿宋" w:eastAsia="仿宋" w:cs="仿宋"/>
          <w:b/>
          <w:bCs/>
          <w:color w:val="auto"/>
          <w:sz w:val="24"/>
          <w:szCs w:val="24"/>
          <w:highlight w:val="none"/>
        </w:rPr>
      </w:pPr>
    </w:p>
    <w:p w14:paraId="4BFF83B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color w:val="auto"/>
          <w:sz w:val="24"/>
          <w:szCs w:val="24"/>
          <w:highlight w:val="none"/>
        </w:rPr>
      </w:pPr>
    </w:p>
    <w:p w14:paraId="061615FA">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投标人应注意采购人在技术规格中指出的参数、工艺、材料和设备等内容仅起说明作用，无任何倾向性或限制性；任何品牌的产品均可依法参加本项目的采购活动。在安装调试中所需辅材费用包含在投标人投标产品的报价中，不再单独计取。</w:t>
      </w:r>
      <w:r>
        <w:rPr>
          <w:rFonts w:hint="eastAsia" w:ascii="仿宋" w:hAnsi="仿宋" w:eastAsia="仿宋" w:cs="仿宋"/>
          <w:b/>
          <w:color w:val="auto"/>
          <w:sz w:val="24"/>
          <w:szCs w:val="24"/>
          <w:highlight w:val="none"/>
        </w:rPr>
        <w:br w:type="page"/>
      </w:r>
    </w:p>
    <w:p w14:paraId="4D9BB22F">
      <w:pPr>
        <w:spacing w:line="440" w:lineRule="exact"/>
        <w:jc w:val="center"/>
        <w:outlineLvl w:val="0"/>
        <w:rPr>
          <w:rFonts w:hint="eastAsia" w:ascii="仿宋" w:hAnsi="仿宋" w:eastAsia="仿宋" w:cs="仿宋"/>
          <w:b/>
          <w:color w:val="auto"/>
          <w:sz w:val="24"/>
          <w:szCs w:val="24"/>
          <w:highlight w:val="none"/>
        </w:rPr>
      </w:pPr>
      <w:bookmarkStart w:id="314" w:name="_Toc8583"/>
      <w:r>
        <w:rPr>
          <w:rFonts w:hint="eastAsia" w:ascii="仿宋" w:hAnsi="仿宋" w:eastAsia="仿宋" w:cs="仿宋"/>
          <w:b/>
          <w:color w:val="auto"/>
          <w:sz w:val="24"/>
          <w:szCs w:val="24"/>
          <w:highlight w:val="none"/>
        </w:rPr>
        <w:t>第五章 投标文件格式</w:t>
      </w:r>
      <w:bookmarkEnd w:id="313"/>
      <w:bookmarkEnd w:id="314"/>
    </w:p>
    <w:p w14:paraId="533C9DBC">
      <w:pPr>
        <w:rPr>
          <w:rFonts w:hint="eastAsia" w:ascii="仿宋" w:hAnsi="仿宋" w:eastAsia="仿宋" w:cs="仿宋"/>
          <w:b/>
          <w:color w:val="auto"/>
          <w:sz w:val="24"/>
          <w:szCs w:val="24"/>
          <w:highlight w:val="none"/>
        </w:rPr>
      </w:pPr>
    </w:p>
    <w:p w14:paraId="5EB6B1CB">
      <w:pPr>
        <w:rPr>
          <w:rFonts w:hint="eastAsia" w:ascii="仿宋" w:hAnsi="仿宋" w:eastAsia="仿宋" w:cs="仿宋"/>
          <w:b/>
          <w:color w:val="auto"/>
          <w:sz w:val="24"/>
          <w:szCs w:val="24"/>
          <w:highlight w:val="none"/>
        </w:rPr>
      </w:pPr>
    </w:p>
    <w:p w14:paraId="73DD11A3">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31985BD1">
      <w:pPr>
        <w:spacing w:line="480" w:lineRule="auto"/>
        <w:jc w:val="center"/>
        <w:rPr>
          <w:rFonts w:hint="eastAsia" w:ascii="仿宋" w:hAnsi="仿宋" w:eastAsia="仿宋" w:cs="仿宋"/>
          <w:b/>
          <w:color w:val="auto"/>
          <w:sz w:val="24"/>
          <w:szCs w:val="24"/>
          <w:highlight w:val="none"/>
          <w:bdr w:val="single" w:color="auto" w:sz="4" w:space="0"/>
        </w:rPr>
      </w:pPr>
    </w:p>
    <w:p w14:paraId="0A717214">
      <w:pPr>
        <w:spacing w:line="480" w:lineRule="auto"/>
        <w:jc w:val="center"/>
        <w:rPr>
          <w:rFonts w:hint="eastAsia" w:ascii="仿宋" w:hAnsi="仿宋" w:eastAsia="仿宋" w:cs="仿宋"/>
          <w:b/>
          <w:color w:val="auto"/>
          <w:sz w:val="24"/>
          <w:szCs w:val="24"/>
          <w:highlight w:val="none"/>
          <w:bdr w:val="single" w:color="auto" w:sz="4" w:space="0"/>
        </w:rPr>
      </w:pPr>
    </w:p>
    <w:p w14:paraId="5A6D865F">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3ECF9EAB">
      <w:pPr>
        <w:spacing w:line="480" w:lineRule="auto"/>
        <w:jc w:val="center"/>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rPr>
        <w:t>（项目编号）</w:t>
      </w:r>
      <w:r>
        <w:rPr>
          <w:rFonts w:hint="eastAsia" w:ascii="仿宋" w:hAnsi="仿宋" w:eastAsia="仿宋" w:cs="仿宋"/>
          <w:b/>
          <w:bCs/>
          <w:color w:val="auto"/>
          <w:sz w:val="24"/>
          <w:szCs w:val="24"/>
          <w:highlight w:val="none"/>
          <w:u w:val="single"/>
        </w:rPr>
        <w:br w:type="textWrapping"/>
      </w:r>
    </w:p>
    <w:p w14:paraId="5C076A1C">
      <w:pPr>
        <w:spacing w:line="300" w:lineRule="exact"/>
        <w:jc w:val="center"/>
        <w:rPr>
          <w:rFonts w:hint="eastAsia" w:ascii="仿宋" w:hAnsi="仿宋" w:eastAsia="仿宋" w:cs="仿宋"/>
          <w:b/>
          <w:bCs/>
          <w:color w:val="auto"/>
          <w:sz w:val="24"/>
          <w:szCs w:val="24"/>
          <w:highlight w:val="none"/>
        </w:rPr>
      </w:pPr>
    </w:p>
    <w:p w14:paraId="4BF3801A">
      <w:pPr>
        <w:spacing w:line="300" w:lineRule="exact"/>
        <w:jc w:val="center"/>
        <w:rPr>
          <w:rFonts w:hint="eastAsia" w:ascii="仿宋" w:hAnsi="仿宋" w:eastAsia="仿宋" w:cs="仿宋"/>
          <w:b/>
          <w:bCs/>
          <w:color w:val="auto"/>
          <w:sz w:val="24"/>
          <w:szCs w:val="24"/>
          <w:highlight w:val="none"/>
        </w:rPr>
      </w:pPr>
    </w:p>
    <w:p w14:paraId="60FB9DFD">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5BA56F5">
      <w:pPr>
        <w:spacing w:line="720" w:lineRule="auto"/>
        <w:rPr>
          <w:rFonts w:hint="eastAsia" w:ascii="仿宋" w:hAnsi="仿宋" w:eastAsia="仿宋" w:cs="仿宋"/>
          <w:color w:val="auto"/>
          <w:sz w:val="24"/>
          <w:szCs w:val="24"/>
          <w:highlight w:val="none"/>
        </w:rPr>
      </w:pPr>
    </w:p>
    <w:p w14:paraId="2B5542D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283858D">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6B56C806">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14D3D16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3CDDF5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264C3C03">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0F4DEC96">
      <w:pPr>
        <w:spacing w:line="720" w:lineRule="auto"/>
        <w:rPr>
          <w:rFonts w:hint="eastAsia" w:ascii="仿宋" w:hAnsi="仿宋" w:eastAsia="仿宋" w:cs="仿宋"/>
          <w:color w:val="auto"/>
          <w:sz w:val="24"/>
          <w:szCs w:val="24"/>
          <w:highlight w:val="none"/>
        </w:rPr>
      </w:pPr>
    </w:p>
    <w:p w14:paraId="07859F3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1D7C55D3">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15" w:name="_Toc531016894"/>
      <w:bookmarkStart w:id="316" w:name="_Toc1937"/>
      <w:r>
        <w:rPr>
          <w:rFonts w:hint="eastAsia" w:ascii="仿宋" w:hAnsi="仿宋" w:eastAsia="仿宋" w:cs="仿宋"/>
          <w:b/>
          <w:color w:val="auto"/>
          <w:sz w:val="24"/>
          <w:szCs w:val="24"/>
          <w:highlight w:val="none"/>
        </w:rPr>
        <w:t>目录</w:t>
      </w:r>
      <w:bookmarkEnd w:id="315"/>
      <w:bookmarkEnd w:id="316"/>
    </w:p>
    <w:p w14:paraId="0A69CF2E">
      <w:pPr>
        <w:spacing w:line="360" w:lineRule="auto"/>
        <w:rPr>
          <w:rFonts w:hint="eastAsia" w:ascii="仿宋" w:hAnsi="仿宋" w:eastAsia="仿宋" w:cs="仿宋"/>
          <w:bCs/>
          <w:color w:val="auto"/>
          <w:sz w:val="24"/>
          <w:szCs w:val="24"/>
          <w:highlight w:val="none"/>
          <w:shd w:val="clear" w:color="auto" w:fill="FFFFFF" w:themeFill="background1"/>
        </w:rPr>
      </w:pPr>
    </w:p>
    <w:p w14:paraId="68853A5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一、投标函</w:t>
      </w:r>
    </w:p>
    <w:p w14:paraId="29FC6A5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二、开标一览表</w:t>
      </w:r>
    </w:p>
    <w:p w14:paraId="46874E0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三、投标价格明细表</w:t>
      </w:r>
    </w:p>
    <w:p w14:paraId="1F150F5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四、商务条款偏离表</w:t>
      </w:r>
    </w:p>
    <w:p w14:paraId="35080D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五、技术条款偏离表</w:t>
      </w:r>
    </w:p>
    <w:p w14:paraId="0C165D5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六、法定代表人身份证明书</w:t>
      </w:r>
    </w:p>
    <w:p w14:paraId="671AB7D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七、法定代表人授权委托书</w:t>
      </w:r>
    </w:p>
    <w:p w14:paraId="71448FE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八、投标人基本情况</w:t>
      </w:r>
    </w:p>
    <w:p w14:paraId="62DE8B02">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8.1法人或者其他组织的营业执照等证明文件，自然人的身份证明</w:t>
      </w:r>
    </w:p>
    <w:p w14:paraId="2338C8E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8.2财务状况报告，依法缴纳税收和社会保障资金的相关材料</w:t>
      </w:r>
    </w:p>
    <w:p w14:paraId="12A32F1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8.3具备履行合同所必需的设备和专业技术能力的证明材料</w:t>
      </w:r>
    </w:p>
    <w:p w14:paraId="67B3E74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8.4参加政府采购活动前3年内在经营活动中没有重大违法记录的书面声明</w:t>
      </w:r>
    </w:p>
    <w:p w14:paraId="36D81A5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8.5具备法律、行政法规规定的其他条件的证明材料</w:t>
      </w:r>
    </w:p>
    <w:p w14:paraId="281D507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九、投标人近三年类似项目业绩表</w:t>
      </w:r>
    </w:p>
    <w:p w14:paraId="68F4FA4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十、项目负责人简历表</w:t>
      </w:r>
    </w:p>
    <w:p w14:paraId="40E11A5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十一、拟派本项目服务人员情况表</w:t>
      </w:r>
    </w:p>
    <w:p w14:paraId="7AE6E98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十二、服务方案</w:t>
      </w:r>
    </w:p>
    <w:p w14:paraId="192F4A0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十三、其他需要提交的资料</w:t>
      </w:r>
    </w:p>
    <w:p w14:paraId="057C09A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41ADDBF9">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rPr>
        <w:br w:type="page"/>
      </w:r>
      <w:bookmarkStart w:id="317" w:name="_Toc38446470"/>
      <w:bookmarkStart w:id="318" w:name="_Toc18067"/>
      <w:bookmarkStart w:id="319" w:name="_Toc11555"/>
      <w:bookmarkStart w:id="320" w:name="_Toc533503181"/>
      <w:bookmarkStart w:id="321" w:name="_Toc507586166"/>
      <w:r>
        <w:rPr>
          <w:rFonts w:hint="eastAsia" w:ascii="仿宋" w:hAnsi="仿宋" w:eastAsia="仿宋" w:cs="仿宋"/>
          <w:b/>
          <w:color w:val="auto"/>
          <w:sz w:val="24"/>
          <w:szCs w:val="24"/>
          <w:highlight w:val="none"/>
          <w:shd w:val="clear" w:color="auto" w:fill="FFFFFF" w:themeFill="background1"/>
        </w:rPr>
        <w:t>一、投标函</w:t>
      </w:r>
      <w:bookmarkEnd w:id="317"/>
      <w:bookmarkEnd w:id="318"/>
      <w:bookmarkEnd w:id="319"/>
      <w:bookmarkEnd w:id="320"/>
      <w:bookmarkEnd w:id="321"/>
    </w:p>
    <w:p w14:paraId="18CD0FA5">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p>
    <w:p w14:paraId="29372AC9">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25EAC3DA">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根据已收到的</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项目的</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，遵照《中华人民共和国政府采购法》等有关法律法规的规定，经考察现场和充分研究贵方的</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的全部内容后，我方郑重承诺如下：</w:t>
      </w:r>
    </w:p>
    <w:p w14:paraId="59CD34C3">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.如果我方中标，我方将在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规定的时间内签订合同。如果我方违约，除没收投标保证金外，贵方有权终止我方中标并选择其它成交投标人。</w:t>
      </w:r>
    </w:p>
    <w:p w14:paraId="15CE26A3">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2</w:t>
      </w:r>
      <w:r>
        <w:rPr>
          <w:rFonts w:hint="eastAsia" w:ascii="仿宋" w:hAnsi="仿宋" w:eastAsia="仿宋" w:cs="仿宋"/>
          <w:color w:val="auto"/>
          <w:kern w:val="0"/>
          <w:sz w:val="24"/>
          <w:szCs w:val="24"/>
          <w:highlight w:val="none"/>
          <w:shd w:val="clear" w:color="auto" w:fill="FFFFFF" w:themeFill="background1"/>
        </w:rPr>
        <w:t>.本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0578BB20">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3</w:t>
      </w:r>
      <w:r>
        <w:rPr>
          <w:rFonts w:hint="eastAsia" w:ascii="仿宋" w:hAnsi="仿宋" w:eastAsia="仿宋" w:cs="仿宋"/>
          <w:color w:val="auto"/>
          <w:kern w:val="0"/>
          <w:sz w:val="24"/>
          <w:szCs w:val="24"/>
          <w:highlight w:val="none"/>
          <w:shd w:val="clear" w:color="auto" w:fill="FFFFFF" w:themeFill="background1"/>
        </w:rPr>
        <w:t>.我方已详细阅读</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全部内容且完全理解，同意放弃对这方面有不明及误解的权力。若有违反，同意被废除投标资格并接受处罚。</w:t>
      </w:r>
    </w:p>
    <w:p w14:paraId="2B7E69B0">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4</w:t>
      </w:r>
      <w:r>
        <w:rPr>
          <w:rFonts w:hint="eastAsia" w:ascii="仿宋" w:hAnsi="仿宋" w:eastAsia="仿宋" w:cs="仿宋"/>
          <w:color w:val="auto"/>
          <w:kern w:val="0"/>
          <w:sz w:val="24"/>
          <w:szCs w:val="24"/>
          <w:highlight w:val="none"/>
          <w:shd w:val="clear" w:color="auto" w:fill="FFFFFF" w:themeFill="background1"/>
        </w:rPr>
        <w:t>.我方保证</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内容无任何虚假、未侵犯他人知识产权。如有虚假，同意废除中标资格并被没收投标担保，承担因侵犯他人知识产权而由此引起的全部法律责任和经济责任。</w:t>
      </w:r>
    </w:p>
    <w:p w14:paraId="46D18ADF">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5</w:t>
      </w:r>
      <w:r>
        <w:rPr>
          <w:rFonts w:hint="eastAsia" w:ascii="仿宋" w:hAnsi="仿宋" w:eastAsia="仿宋" w:cs="仿宋"/>
          <w:color w:val="auto"/>
          <w:kern w:val="0"/>
          <w:sz w:val="24"/>
          <w:szCs w:val="24"/>
          <w:highlight w:val="none"/>
          <w:shd w:val="clear" w:color="auto" w:fill="FFFFFF" w:themeFill="background1"/>
        </w:rPr>
        <w:t>.我方愿意提供贵方可能要求的与投标有关的一切数据或资料，完全理解贵方不一定接受最低投标报价的投标或收到的任何投标。</w:t>
      </w:r>
    </w:p>
    <w:p w14:paraId="77A125C2">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6</w:t>
      </w:r>
      <w:r>
        <w:rPr>
          <w:rFonts w:hint="eastAsia" w:ascii="仿宋" w:hAnsi="仿宋" w:eastAsia="仿宋" w:cs="仿宋"/>
          <w:color w:val="auto"/>
          <w:kern w:val="0"/>
          <w:sz w:val="24"/>
          <w:szCs w:val="24"/>
          <w:highlight w:val="none"/>
          <w:shd w:val="clear" w:color="auto" w:fill="FFFFFF" w:themeFill="background1"/>
        </w:rPr>
        <w:t>.我方派法定代表人或其授权委托人作为我方代表，负责按时参加开标会并签署与投标有关的相关文件等。</w:t>
      </w:r>
    </w:p>
    <w:p w14:paraId="7D4028B6">
      <w:pPr>
        <w:widowControl/>
        <w:shd w:val="clear" w:color="auto" w:fill="FFFFFF"/>
        <w:snapToGrid w:val="0"/>
        <w:spacing w:line="336" w:lineRule="auto"/>
        <w:ind w:firstLine="42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7</w:t>
      </w:r>
      <w:r>
        <w:rPr>
          <w:rFonts w:hint="eastAsia" w:ascii="仿宋" w:hAnsi="仿宋" w:eastAsia="仿宋" w:cs="仿宋"/>
          <w:color w:val="auto"/>
          <w:kern w:val="0"/>
          <w:sz w:val="24"/>
          <w:szCs w:val="24"/>
          <w:highlight w:val="none"/>
          <w:shd w:val="clear" w:color="auto" w:fill="FFFFFF" w:themeFill="background1"/>
        </w:rPr>
        <w:t>.我方</w:t>
      </w:r>
      <w:r>
        <w:rPr>
          <w:rFonts w:hint="eastAsia" w:ascii="仿宋" w:hAnsi="仿宋" w:eastAsia="仿宋" w:cs="仿宋"/>
          <w:color w:val="auto"/>
          <w:sz w:val="24"/>
          <w:szCs w:val="24"/>
          <w:highlight w:val="none"/>
          <w:shd w:val="clear" w:color="auto" w:fill="FFFFFF" w:themeFill="background1"/>
        </w:rPr>
        <w:t>保证按招标文件及合同约定原则处理因采购人原因增加或调整的工作量及其他事宜。</w:t>
      </w:r>
    </w:p>
    <w:p w14:paraId="38E25BB7">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8</w:t>
      </w:r>
      <w:r>
        <w:rPr>
          <w:rFonts w:hint="eastAsia" w:ascii="仿宋" w:hAnsi="仿宋" w:eastAsia="仿宋" w:cs="仿宋"/>
          <w:color w:val="auto"/>
          <w:kern w:val="0"/>
          <w:sz w:val="24"/>
          <w:szCs w:val="24"/>
          <w:highlight w:val="none"/>
          <w:shd w:val="clear" w:color="auto" w:fill="FFFFFF" w:themeFill="background1"/>
        </w:rPr>
        <w:t>.如我方中标，我方自愿向采购代理机构支付咨询费，并在合同签订后3个工作日内向采购代理机构提供采购合同原件一份用于采购资料备案工作。</w:t>
      </w:r>
    </w:p>
    <w:p w14:paraId="44B45704">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p>
    <w:p w14:paraId="44FA9BDB">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3C46D2D4">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p>
    <w:p w14:paraId="48E6341C">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（盖章）                       </w:t>
      </w:r>
    </w:p>
    <w:p w14:paraId="6ED98DE4">
      <w:pPr>
        <w:widowControl/>
        <w:shd w:val="clear" w:color="auto" w:fill="FFFFFF"/>
        <w:snapToGrid w:val="0"/>
        <w:spacing w:line="336"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日期：年 月 日</w:t>
      </w:r>
    </w:p>
    <w:p w14:paraId="5F2FFDD7">
      <w:pPr>
        <w:rPr>
          <w:rFonts w:hint="eastAsia" w:ascii="仿宋" w:hAnsi="仿宋" w:eastAsia="仿宋" w:cs="仿宋"/>
          <w:b/>
          <w:color w:val="auto"/>
          <w:sz w:val="24"/>
          <w:szCs w:val="24"/>
          <w:highlight w:val="none"/>
          <w:shd w:val="clear" w:color="auto" w:fill="FFFFFF" w:themeFill="background1"/>
        </w:rPr>
      </w:pPr>
      <w:bookmarkStart w:id="322" w:name="_Toc26164"/>
      <w:bookmarkStart w:id="323" w:name="_Toc507586169"/>
      <w:bookmarkStart w:id="324" w:name="_Toc38446474"/>
      <w:bookmarkStart w:id="325" w:name="_Toc533503184"/>
      <w:r>
        <w:rPr>
          <w:rFonts w:hint="eastAsia" w:ascii="仿宋" w:hAnsi="仿宋" w:eastAsia="仿宋" w:cs="仿宋"/>
          <w:b/>
          <w:color w:val="auto"/>
          <w:sz w:val="24"/>
          <w:szCs w:val="24"/>
          <w:highlight w:val="none"/>
          <w:shd w:val="clear" w:color="auto" w:fill="FFFFFF" w:themeFill="background1"/>
        </w:rPr>
        <w:br w:type="page"/>
      </w:r>
    </w:p>
    <w:p w14:paraId="168E9701">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26" w:name="_Toc21913"/>
      <w:r>
        <w:rPr>
          <w:rFonts w:hint="eastAsia" w:ascii="仿宋" w:hAnsi="仿宋" w:eastAsia="仿宋" w:cs="仿宋"/>
          <w:b/>
          <w:color w:val="auto"/>
          <w:sz w:val="24"/>
          <w:szCs w:val="24"/>
          <w:highlight w:val="none"/>
          <w:shd w:val="clear" w:color="auto" w:fill="FFFFFF" w:themeFill="background1"/>
        </w:rPr>
        <w:t>二、开标一览表</w:t>
      </w:r>
      <w:bookmarkEnd w:id="326"/>
    </w:p>
    <w:p w14:paraId="20650C28">
      <w:pPr>
        <w:pStyle w:val="40"/>
        <w:ind w:firstLine="234"/>
        <w:jc w:val="righ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报价单位：</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民</w:t>
      </w:r>
      <w:r>
        <w:rPr>
          <w:rFonts w:hint="eastAsia" w:ascii="仿宋" w:hAnsi="仿宋" w:eastAsia="仿宋" w:cs="仿宋"/>
          <w:color w:val="auto"/>
          <w:sz w:val="24"/>
          <w:szCs w:val="24"/>
          <w:highlight w:val="none"/>
        </w:rPr>
        <w:t>币元</w:t>
      </w:r>
    </w:p>
    <w:p w14:paraId="000CA0B7">
      <w:pPr>
        <w:pStyle w:val="40"/>
        <w:ind w:firstLine="240"/>
        <w:jc w:val="right"/>
        <w:rPr>
          <w:rFonts w:hint="eastAsia" w:ascii="仿宋" w:hAnsi="仿宋" w:eastAsia="仿宋" w:cs="仿宋"/>
          <w:color w:val="auto"/>
          <w:sz w:val="24"/>
          <w:szCs w:val="24"/>
          <w:highlight w:val="none"/>
        </w:rPr>
      </w:pPr>
    </w:p>
    <w:tbl>
      <w:tblPr>
        <w:tblStyle w:val="42"/>
        <w:tblW w:w="9220" w:type="dxa"/>
        <w:tblInd w:w="93" w:type="dxa"/>
        <w:tblLayout w:type="autofit"/>
        <w:tblCellMar>
          <w:top w:w="0" w:type="dxa"/>
          <w:left w:w="108" w:type="dxa"/>
          <w:bottom w:w="0" w:type="dxa"/>
          <w:right w:w="108" w:type="dxa"/>
        </w:tblCellMar>
      </w:tblPr>
      <w:tblGrid>
        <w:gridCol w:w="2384"/>
        <w:gridCol w:w="6836"/>
      </w:tblGrid>
      <w:tr w14:paraId="774F39F0">
        <w:tblPrEx>
          <w:tblCellMar>
            <w:top w:w="0" w:type="dxa"/>
            <w:left w:w="108" w:type="dxa"/>
            <w:bottom w:w="0" w:type="dxa"/>
            <w:right w:w="108" w:type="dxa"/>
          </w:tblCellMar>
        </w:tblPrEx>
        <w:trPr>
          <w:trHeight w:val="506" w:hRule="atLeast"/>
        </w:trPr>
        <w:tc>
          <w:tcPr>
            <w:tcW w:w="2384" w:type="dxa"/>
            <w:tcBorders>
              <w:top w:val="single" w:color="auto" w:sz="4" w:space="0"/>
              <w:left w:val="single" w:color="auto" w:sz="4" w:space="0"/>
              <w:bottom w:val="single" w:color="auto" w:sz="4" w:space="0"/>
              <w:right w:val="single" w:color="auto" w:sz="4" w:space="0"/>
            </w:tcBorders>
            <w:vAlign w:val="center"/>
          </w:tcPr>
          <w:p w14:paraId="274AAC89">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836" w:type="dxa"/>
            <w:tcBorders>
              <w:top w:val="single" w:color="auto" w:sz="4" w:space="0"/>
              <w:left w:val="nil"/>
              <w:bottom w:val="single" w:color="auto" w:sz="4" w:space="0"/>
              <w:right w:val="single" w:color="auto" w:sz="4" w:space="0"/>
            </w:tcBorders>
            <w:vAlign w:val="center"/>
          </w:tcPr>
          <w:p w14:paraId="682085D7">
            <w:pPr>
              <w:widowControl/>
              <w:spacing w:line="360" w:lineRule="auto"/>
              <w:rPr>
                <w:rFonts w:hint="eastAsia" w:ascii="仿宋" w:hAnsi="仿宋" w:eastAsia="仿宋" w:cs="仿宋"/>
                <w:color w:val="auto"/>
                <w:sz w:val="24"/>
                <w:szCs w:val="24"/>
                <w:highlight w:val="none"/>
              </w:rPr>
            </w:pPr>
          </w:p>
        </w:tc>
      </w:tr>
      <w:tr w14:paraId="4691E484">
        <w:tblPrEx>
          <w:tblCellMar>
            <w:top w:w="0" w:type="dxa"/>
            <w:left w:w="108" w:type="dxa"/>
            <w:bottom w:w="0" w:type="dxa"/>
            <w:right w:w="108" w:type="dxa"/>
          </w:tblCellMar>
        </w:tblPrEx>
        <w:trPr>
          <w:trHeight w:val="506" w:hRule="atLeast"/>
        </w:trPr>
        <w:tc>
          <w:tcPr>
            <w:tcW w:w="2384" w:type="dxa"/>
            <w:tcBorders>
              <w:top w:val="single" w:color="auto" w:sz="4" w:space="0"/>
              <w:left w:val="single" w:color="auto" w:sz="4" w:space="0"/>
              <w:bottom w:val="single" w:color="auto" w:sz="4" w:space="0"/>
              <w:right w:val="single" w:color="auto" w:sz="4" w:space="0"/>
            </w:tcBorders>
            <w:vAlign w:val="center"/>
          </w:tcPr>
          <w:p w14:paraId="2640FA11">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p>
        </w:tc>
        <w:tc>
          <w:tcPr>
            <w:tcW w:w="6836" w:type="dxa"/>
            <w:tcBorders>
              <w:top w:val="single" w:color="auto" w:sz="4" w:space="0"/>
              <w:left w:val="nil"/>
              <w:bottom w:val="single" w:color="auto" w:sz="4" w:space="0"/>
              <w:right w:val="single" w:color="auto" w:sz="4" w:space="0"/>
            </w:tcBorders>
            <w:vAlign w:val="center"/>
          </w:tcPr>
          <w:p w14:paraId="7FB8EAA6">
            <w:pPr>
              <w:widowControl/>
              <w:spacing w:line="360" w:lineRule="auto"/>
              <w:rPr>
                <w:rFonts w:hint="eastAsia" w:ascii="仿宋" w:hAnsi="仿宋" w:eastAsia="仿宋" w:cs="仿宋"/>
                <w:color w:val="auto"/>
                <w:sz w:val="24"/>
                <w:szCs w:val="24"/>
                <w:highlight w:val="none"/>
              </w:rPr>
            </w:pPr>
          </w:p>
        </w:tc>
      </w:tr>
      <w:tr w14:paraId="383A4DFC">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793B5C55">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836" w:type="dxa"/>
            <w:tcBorders>
              <w:top w:val="single" w:color="auto" w:sz="4" w:space="0"/>
              <w:left w:val="nil"/>
              <w:bottom w:val="single" w:color="auto" w:sz="4" w:space="0"/>
              <w:right w:val="single" w:color="auto" w:sz="4" w:space="0"/>
            </w:tcBorders>
            <w:vAlign w:val="center"/>
          </w:tcPr>
          <w:p w14:paraId="0CDD2950">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大写：   </w:t>
            </w:r>
          </w:p>
          <w:p w14:paraId="59D35E03">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r w14:paraId="25404140">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50C6EFE0">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themeFill="background1"/>
              </w:rPr>
              <w:t>服务周期</w:t>
            </w:r>
          </w:p>
        </w:tc>
        <w:tc>
          <w:tcPr>
            <w:tcW w:w="6836" w:type="dxa"/>
            <w:tcBorders>
              <w:top w:val="single" w:color="auto" w:sz="4" w:space="0"/>
              <w:left w:val="nil"/>
              <w:bottom w:val="single" w:color="auto" w:sz="4" w:space="0"/>
              <w:right w:val="single" w:color="auto" w:sz="4" w:space="0"/>
            </w:tcBorders>
            <w:vAlign w:val="center"/>
          </w:tcPr>
          <w:p w14:paraId="291D16F2">
            <w:pPr>
              <w:widowControl/>
              <w:spacing w:line="360" w:lineRule="auto"/>
              <w:rPr>
                <w:rFonts w:hint="eastAsia" w:ascii="仿宋" w:hAnsi="仿宋" w:eastAsia="仿宋" w:cs="仿宋"/>
                <w:color w:val="auto"/>
                <w:sz w:val="24"/>
                <w:szCs w:val="24"/>
                <w:highlight w:val="none"/>
              </w:rPr>
            </w:pPr>
          </w:p>
        </w:tc>
      </w:tr>
      <w:tr w14:paraId="1EDE8848">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6E815BC1">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备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注</w:t>
            </w:r>
          </w:p>
        </w:tc>
        <w:tc>
          <w:tcPr>
            <w:tcW w:w="6836" w:type="dxa"/>
            <w:tcBorders>
              <w:top w:val="single" w:color="auto" w:sz="4" w:space="0"/>
              <w:left w:val="nil"/>
              <w:bottom w:val="single" w:color="auto" w:sz="4" w:space="0"/>
              <w:right w:val="single" w:color="auto" w:sz="4" w:space="0"/>
            </w:tcBorders>
            <w:vAlign w:val="center"/>
          </w:tcPr>
          <w:p w14:paraId="145334BE">
            <w:pPr>
              <w:widowControl/>
              <w:spacing w:line="360" w:lineRule="auto"/>
              <w:rPr>
                <w:rFonts w:hint="eastAsia" w:ascii="仿宋" w:hAnsi="仿宋" w:eastAsia="仿宋" w:cs="仿宋"/>
                <w:color w:val="auto"/>
                <w:sz w:val="24"/>
                <w:szCs w:val="24"/>
                <w:highlight w:val="none"/>
              </w:rPr>
            </w:pPr>
          </w:p>
        </w:tc>
      </w:tr>
    </w:tbl>
    <w:p w14:paraId="1B38516C">
      <w:pPr>
        <w:spacing w:line="360" w:lineRule="auto"/>
        <w:ind w:left="569" w:leftChars="-15" w:hanging="600" w:hanging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注：1、报价应是最终用户验收合格后的总价。 </w:t>
      </w:r>
    </w:p>
    <w:p w14:paraId="06F453AB">
      <w:pPr>
        <w:spacing w:line="360" w:lineRule="auto"/>
        <w:ind w:left="4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2、“开标一览表”为多页的，每页均需由法定代表人盖章并盖投标人印章。</w:t>
      </w:r>
    </w:p>
    <w:p w14:paraId="0A85BC1B">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D76A7E6">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66B336C">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16BCDEA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4CAD13F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（盖章）                       </w:t>
      </w:r>
    </w:p>
    <w:p w14:paraId="39761259">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日期：年 月 日</w:t>
      </w:r>
    </w:p>
    <w:p w14:paraId="71B712A7">
      <w:pPr>
        <w:pStyle w:val="40"/>
        <w:ind w:firstLine="210"/>
        <w:rPr>
          <w:rFonts w:hint="eastAsia" w:ascii="仿宋" w:hAnsi="仿宋" w:eastAsia="仿宋" w:cs="仿宋"/>
          <w:color w:val="auto"/>
          <w:highlight w:val="none"/>
          <w:shd w:val="clear" w:color="auto" w:fill="FFFFFF" w:themeFill="background1"/>
        </w:rPr>
      </w:pPr>
    </w:p>
    <w:p w14:paraId="168EE4C1">
      <w:pPr>
        <w:widowControl/>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17FB9D70">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27" w:name="_Toc9746"/>
      <w:r>
        <w:rPr>
          <w:rFonts w:hint="eastAsia" w:ascii="仿宋" w:hAnsi="仿宋" w:eastAsia="仿宋" w:cs="仿宋"/>
          <w:b/>
          <w:color w:val="auto"/>
          <w:sz w:val="24"/>
          <w:szCs w:val="24"/>
          <w:highlight w:val="none"/>
          <w:shd w:val="clear" w:color="auto" w:fill="FFFFFF" w:themeFill="background1"/>
        </w:rPr>
        <w:t>三、投标价格明细表</w:t>
      </w:r>
      <w:bookmarkEnd w:id="322"/>
      <w:bookmarkEnd w:id="327"/>
    </w:p>
    <w:tbl>
      <w:tblPr>
        <w:tblStyle w:val="4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5"/>
        <w:gridCol w:w="1645"/>
        <w:gridCol w:w="1481"/>
        <w:gridCol w:w="1473"/>
        <w:gridCol w:w="1982"/>
        <w:gridCol w:w="973"/>
      </w:tblGrid>
      <w:tr w14:paraId="7B1C6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6" w:type="pct"/>
            <w:vAlign w:val="center"/>
          </w:tcPr>
          <w:p w14:paraId="43EE2497">
            <w:pPr>
              <w:keepNext w:val="0"/>
              <w:keepLines w:val="0"/>
              <w:pageBreakBefore w:val="0"/>
              <w:widowControl w:val="0"/>
              <w:kinsoku/>
              <w:wordWrap/>
              <w:overflowPunct/>
              <w:topLinePunct w:val="0"/>
              <w:autoSpaceDE/>
              <w:autoSpaceDN/>
              <w:bidi w:val="0"/>
              <w:adjustRightInd w:val="0"/>
              <w:snapToGrid w:val="0"/>
              <w:spacing w:before="120" w:beforeLines="5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965" w:type="pct"/>
            <w:tcBorders>
              <w:right w:val="single" w:color="auto" w:sz="4" w:space="0"/>
            </w:tcBorders>
            <w:vAlign w:val="center"/>
          </w:tcPr>
          <w:p w14:paraId="671C69DD">
            <w:pPr>
              <w:keepNext w:val="0"/>
              <w:keepLines w:val="0"/>
              <w:pageBreakBefore w:val="0"/>
              <w:widowControl w:val="0"/>
              <w:kinsoku/>
              <w:wordWrap/>
              <w:overflowPunct/>
              <w:topLinePunct w:val="0"/>
              <w:autoSpaceDE/>
              <w:autoSpaceDN/>
              <w:bidi w:val="0"/>
              <w:adjustRightInd w:val="0"/>
              <w:snapToGrid w:val="0"/>
              <w:spacing w:before="120" w:beforeLines="50"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设备名称</w:t>
            </w:r>
          </w:p>
        </w:tc>
        <w:tc>
          <w:tcPr>
            <w:tcW w:w="869" w:type="pct"/>
            <w:tcBorders>
              <w:left w:val="single" w:color="auto" w:sz="4" w:space="0"/>
            </w:tcBorders>
            <w:vAlign w:val="center"/>
          </w:tcPr>
          <w:p w14:paraId="07BF53DD">
            <w:pPr>
              <w:keepNext w:val="0"/>
              <w:keepLines w:val="0"/>
              <w:pageBreakBefore w:val="0"/>
              <w:widowControl w:val="0"/>
              <w:kinsoku/>
              <w:wordWrap/>
              <w:overflowPunct/>
              <w:topLinePunct w:val="0"/>
              <w:autoSpaceDE/>
              <w:autoSpaceDN/>
              <w:bidi w:val="0"/>
              <w:adjustRightInd w:val="0"/>
              <w:snapToGrid w:val="0"/>
              <w:spacing w:before="120" w:beforeLines="50" w:line="36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color w:val="000000"/>
                <w:sz w:val="24"/>
                <w:szCs w:val="24"/>
                <w:highlight w:val="none"/>
                <w:vertAlign w:val="baseline"/>
              </w:rPr>
              <w:t>规格型号</w:t>
            </w:r>
          </w:p>
        </w:tc>
        <w:tc>
          <w:tcPr>
            <w:tcW w:w="862" w:type="pct"/>
            <w:tcBorders>
              <w:right w:val="single" w:color="auto" w:sz="4" w:space="0"/>
            </w:tcBorders>
            <w:vAlign w:val="center"/>
          </w:tcPr>
          <w:p w14:paraId="5321614B">
            <w:pPr>
              <w:keepNext w:val="0"/>
              <w:keepLines w:val="0"/>
              <w:pageBreakBefore w:val="0"/>
              <w:widowControl w:val="0"/>
              <w:kinsoku/>
              <w:wordWrap/>
              <w:overflowPunct/>
              <w:topLinePunct w:val="0"/>
              <w:autoSpaceDE/>
              <w:autoSpaceDN/>
              <w:bidi w:val="0"/>
              <w:adjustRightInd w:val="0"/>
              <w:snapToGrid w:val="0"/>
              <w:spacing w:before="120" w:beforeLines="5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台</w:t>
            </w:r>
            <w:r>
              <w:rPr>
                <w:rFonts w:hint="eastAsia" w:ascii="仿宋" w:hAnsi="仿宋" w:eastAsia="仿宋" w:cs="仿宋"/>
                <w:sz w:val="24"/>
                <w:szCs w:val="24"/>
                <w:highlight w:val="none"/>
                <w:lang w:eastAsia="zh-CN"/>
              </w:rPr>
              <w:t>）</w:t>
            </w:r>
          </w:p>
        </w:tc>
        <w:tc>
          <w:tcPr>
            <w:tcW w:w="1163" w:type="pct"/>
            <w:vAlign w:val="center"/>
          </w:tcPr>
          <w:p w14:paraId="5EE3A953">
            <w:pPr>
              <w:keepNext w:val="0"/>
              <w:keepLines w:val="0"/>
              <w:pageBreakBefore w:val="0"/>
              <w:widowControl w:val="0"/>
              <w:kinsoku/>
              <w:wordWrap/>
              <w:overflowPunct/>
              <w:topLinePunct w:val="0"/>
              <w:autoSpaceDE/>
              <w:autoSpaceDN/>
              <w:bidi w:val="0"/>
              <w:adjustRightInd w:val="0"/>
              <w:snapToGrid w:val="0"/>
              <w:spacing w:before="120" w:beforeLines="5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报价（元）</w:t>
            </w:r>
          </w:p>
        </w:tc>
        <w:tc>
          <w:tcPr>
            <w:tcW w:w="571" w:type="pct"/>
            <w:vAlign w:val="center"/>
          </w:tcPr>
          <w:p w14:paraId="4783CBCC">
            <w:pPr>
              <w:keepNext w:val="0"/>
              <w:keepLines w:val="0"/>
              <w:pageBreakBefore w:val="0"/>
              <w:widowControl w:val="0"/>
              <w:kinsoku/>
              <w:wordWrap/>
              <w:overflowPunct/>
              <w:topLinePunct w:val="0"/>
              <w:autoSpaceDE/>
              <w:autoSpaceDN/>
              <w:bidi w:val="0"/>
              <w:adjustRightInd w:val="0"/>
              <w:snapToGrid w:val="0"/>
              <w:spacing w:before="120" w:beforeLines="5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4BFFB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566" w:type="pct"/>
            <w:vAlign w:val="center"/>
          </w:tcPr>
          <w:p w14:paraId="3F0CACD1">
            <w:pPr>
              <w:spacing w:line="360" w:lineRule="auto"/>
              <w:jc w:val="center"/>
              <w:rPr>
                <w:rFonts w:hint="eastAsia" w:ascii="仿宋" w:hAnsi="仿宋" w:eastAsia="仿宋" w:cs="仿宋"/>
                <w:bCs/>
                <w:sz w:val="24"/>
                <w:szCs w:val="24"/>
                <w:highlight w:val="none"/>
              </w:rPr>
            </w:pPr>
          </w:p>
        </w:tc>
        <w:tc>
          <w:tcPr>
            <w:tcW w:w="965" w:type="pct"/>
            <w:tcBorders>
              <w:right w:val="single" w:color="auto" w:sz="4" w:space="0"/>
            </w:tcBorders>
            <w:vAlign w:val="center"/>
          </w:tcPr>
          <w:p w14:paraId="7035B846">
            <w:pPr>
              <w:spacing w:line="360" w:lineRule="auto"/>
              <w:jc w:val="center"/>
              <w:rPr>
                <w:rFonts w:hint="eastAsia" w:ascii="仿宋" w:hAnsi="仿宋" w:eastAsia="仿宋" w:cs="仿宋"/>
                <w:bCs/>
                <w:sz w:val="24"/>
                <w:szCs w:val="24"/>
                <w:highlight w:val="none"/>
              </w:rPr>
            </w:pPr>
          </w:p>
        </w:tc>
        <w:tc>
          <w:tcPr>
            <w:tcW w:w="869" w:type="pct"/>
            <w:tcBorders>
              <w:left w:val="single" w:color="auto" w:sz="4" w:space="0"/>
            </w:tcBorders>
            <w:vAlign w:val="center"/>
          </w:tcPr>
          <w:p w14:paraId="777B3D55">
            <w:pPr>
              <w:spacing w:line="360" w:lineRule="auto"/>
              <w:jc w:val="center"/>
              <w:rPr>
                <w:rFonts w:hint="eastAsia" w:ascii="仿宋" w:hAnsi="仿宋" w:eastAsia="仿宋" w:cs="仿宋"/>
                <w:bCs/>
                <w:sz w:val="24"/>
                <w:szCs w:val="24"/>
                <w:highlight w:val="none"/>
              </w:rPr>
            </w:pPr>
          </w:p>
        </w:tc>
        <w:tc>
          <w:tcPr>
            <w:tcW w:w="862" w:type="pct"/>
            <w:tcBorders>
              <w:right w:val="single" w:color="auto" w:sz="4" w:space="0"/>
            </w:tcBorders>
            <w:vAlign w:val="center"/>
          </w:tcPr>
          <w:p w14:paraId="70DD8A9F">
            <w:pPr>
              <w:spacing w:line="360" w:lineRule="auto"/>
              <w:jc w:val="center"/>
              <w:rPr>
                <w:rFonts w:hint="eastAsia" w:ascii="仿宋" w:hAnsi="仿宋" w:eastAsia="仿宋" w:cs="仿宋"/>
                <w:kern w:val="0"/>
                <w:sz w:val="24"/>
                <w:szCs w:val="24"/>
                <w:highlight w:val="none"/>
              </w:rPr>
            </w:pPr>
          </w:p>
        </w:tc>
        <w:tc>
          <w:tcPr>
            <w:tcW w:w="1163" w:type="pct"/>
            <w:vAlign w:val="center"/>
          </w:tcPr>
          <w:p w14:paraId="06DDE8EB">
            <w:pPr>
              <w:spacing w:line="360" w:lineRule="auto"/>
              <w:jc w:val="center"/>
              <w:rPr>
                <w:rFonts w:hint="eastAsia" w:ascii="仿宋" w:hAnsi="仿宋" w:eastAsia="仿宋" w:cs="仿宋"/>
                <w:bCs/>
                <w:sz w:val="24"/>
                <w:szCs w:val="24"/>
                <w:highlight w:val="none"/>
              </w:rPr>
            </w:pPr>
          </w:p>
        </w:tc>
        <w:tc>
          <w:tcPr>
            <w:tcW w:w="571" w:type="pct"/>
            <w:vAlign w:val="center"/>
          </w:tcPr>
          <w:p w14:paraId="1FA8B9FC">
            <w:pPr>
              <w:spacing w:line="360" w:lineRule="auto"/>
              <w:jc w:val="center"/>
              <w:rPr>
                <w:rFonts w:hint="eastAsia" w:ascii="仿宋" w:hAnsi="仿宋" w:eastAsia="仿宋" w:cs="仿宋"/>
                <w:bCs/>
                <w:sz w:val="24"/>
                <w:szCs w:val="24"/>
                <w:highlight w:val="none"/>
              </w:rPr>
            </w:pPr>
          </w:p>
        </w:tc>
      </w:tr>
      <w:tr w14:paraId="5F2F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566" w:type="pct"/>
            <w:vAlign w:val="center"/>
          </w:tcPr>
          <w:p w14:paraId="73A09D33">
            <w:pPr>
              <w:spacing w:line="360" w:lineRule="auto"/>
              <w:jc w:val="center"/>
              <w:rPr>
                <w:rFonts w:hint="eastAsia" w:ascii="仿宋" w:hAnsi="仿宋" w:eastAsia="仿宋" w:cs="仿宋"/>
                <w:bCs/>
                <w:sz w:val="24"/>
                <w:szCs w:val="24"/>
                <w:highlight w:val="none"/>
              </w:rPr>
            </w:pPr>
          </w:p>
        </w:tc>
        <w:tc>
          <w:tcPr>
            <w:tcW w:w="965" w:type="pct"/>
            <w:tcBorders>
              <w:right w:val="single" w:color="auto" w:sz="4" w:space="0"/>
            </w:tcBorders>
            <w:vAlign w:val="center"/>
          </w:tcPr>
          <w:p w14:paraId="5068FF71">
            <w:pPr>
              <w:spacing w:line="360" w:lineRule="auto"/>
              <w:jc w:val="center"/>
              <w:rPr>
                <w:rFonts w:hint="eastAsia" w:ascii="仿宋" w:hAnsi="仿宋" w:eastAsia="仿宋" w:cs="仿宋"/>
                <w:bCs/>
                <w:sz w:val="24"/>
                <w:szCs w:val="24"/>
                <w:highlight w:val="none"/>
              </w:rPr>
            </w:pPr>
          </w:p>
        </w:tc>
        <w:tc>
          <w:tcPr>
            <w:tcW w:w="869" w:type="pct"/>
            <w:tcBorders>
              <w:left w:val="single" w:color="auto" w:sz="4" w:space="0"/>
            </w:tcBorders>
            <w:vAlign w:val="center"/>
          </w:tcPr>
          <w:p w14:paraId="7B28DE46">
            <w:pPr>
              <w:spacing w:line="360" w:lineRule="auto"/>
              <w:jc w:val="center"/>
              <w:rPr>
                <w:rFonts w:hint="eastAsia" w:ascii="仿宋" w:hAnsi="仿宋" w:eastAsia="仿宋" w:cs="仿宋"/>
                <w:bCs/>
                <w:sz w:val="24"/>
                <w:szCs w:val="24"/>
                <w:highlight w:val="none"/>
              </w:rPr>
            </w:pPr>
          </w:p>
        </w:tc>
        <w:tc>
          <w:tcPr>
            <w:tcW w:w="862" w:type="pct"/>
            <w:tcBorders>
              <w:right w:val="single" w:color="auto" w:sz="4" w:space="0"/>
            </w:tcBorders>
            <w:vAlign w:val="center"/>
          </w:tcPr>
          <w:p w14:paraId="482C3059">
            <w:pPr>
              <w:spacing w:line="360" w:lineRule="auto"/>
              <w:jc w:val="center"/>
              <w:rPr>
                <w:rFonts w:hint="eastAsia" w:ascii="仿宋" w:hAnsi="仿宋" w:eastAsia="仿宋" w:cs="仿宋"/>
                <w:kern w:val="0"/>
                <w:sz w:val="24"/>
                <w:szCs w:val="24"/>
                <w:highlight w:val="none"/>
              </w:rPr>
            </w:pPr>
          </w:p>
        </w:tc>
        <w:tc>
          <w:tcPr>
            <w:tcW w:w="1163" w:type="pct"/>
            <w:vAlign w:val="center"/>
          </w:tcPr>
          <w:p w14:paraId="6B4D8D55">
            <w:pPr>
              <w:spacing w:line="360" w:lineRule="auto"/>
              <w:jc w:val="center"/>
              <w:rPr>
                <w:rFonts w:hint="eastAsia" w:ascii="仿宋" w:hAnsi="仿宋" w:eastAsia="仿宋" w:cs="仿宋"/>
                <w:bCs/>
                <w:sz w:val="24"/>
                <w:szCs w:val="24"/>
                <w:highlight w:val="none"/>
              </w:rPr>
            </w:pPr>
          </w:p>
        </w:tc>
        <w:tc>
          <w:tcPr>
            <w:tcW w:w="571" w:type="pct"/>
            <w:vAlign w:val="center"/>
          </w:tcPr>
          <w:p w14:paraId="2829ADB8">
            <w:pPr>
              <w:spacing w:line="360" w:lineRule="auto"/>
              <w:jc w:val="center"/>
              <w:rPr>
                <w:rFonts w:hint="eastAsia" w:ascii="仿宋" w:hAnsi="仿宋" w:eastAsia="仿宋" w:cs="仿宋"/>
                <w:bCs/>
                <w:sz w:val="24"/>
                <w:szCs w:val="24"/>
                <w:highlight w:val="none"/>
              </w:rPr>
            </w:pPr>
          </w:p>
        </w:tc>
      </w:tr>
      <w:tr w14:paraId="78CA9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566" w:type="pct"/>
            <w:vAlign w:val="center"/>
          </w:tcPr>
          <w:p w14:paraId="2E80D4CC">
            <w:pPr>
              <w:spacing w:line="360" w:lineRule="auto"/>
              <w:jc w:val="center"/>
              <w:rPr>
                <w:rFonts w:hint="eastAsia" w:ascii="仿宋" w:hAnsi="仿宋" w:eastAsia="仿宋" w:cs="仿宋"/>
                <w:bCs/>
                <w:sz w:val="24"/>
                <w:szCs w:val="24"/>
                <w:highlight w:val="none"/>
              </w:rPr>
            </w:pPr>
          </w:p>
        </w:tc>
        <w:tc>
          <w:tcPr>
            <w:tcW w:w="965" w:type="pct"/>
            <w:tcBorders>
              <w:right w:val="single" w:color="auto" w:sz="4" w:space="0"/>
            </w:tcBorders>
            <w:vAlign w:val="center"/>
          </w:tcPr>
          <w:p w14:paraId="21129D74">
            <w:pPr>
              <w:spacing w:line="360" w:lineRule="auto"/>
              <w:jc w:val="center"/>
              <w:rPr>
                <w:rFonts w:hint="eastAsia" w:ascii="仿宋" w:hAnsi="仿宋" w:eastAsia="仿宋" w:cs="仿宋"/>
                <w:bCs/>
                <w:sz w:val="24"/>
                <w:szCs w:val="24"/>
                <w:highlight w:val="none"/>
              </w:rPr>
            </w:pPr>
          </w:p>
        </w:tc>
        <w:tc>
          <w:tcPr>
            <w:tcW w:w="869" w:type="pct"/>
            <w:tcBorders>
              <w:left w:val="single" w:color="auto" w:sz="4" w:space="0"/>
            </w:tcBorders>
            <w:vAlign w:val="center"/>
          </w:tcPr>
          <w:p w14:paraId="66CBFD2E">
            <w:pPr>
              <w:spacing w:line="360" w:lineRule="auto"/>
              <w:jc w:val="center"/>
              <w:rPr>
                <w:rFonts w:hint="eastAsia" w:ascii="仿宋" w:hAnsi="仿宋" w:eastAsia="仿宋" w:cs="仿宋"/>
                <w:bCs/>
                <w:sz w:val="24"/>
                <w:szCs w:val="24"/>
                <w:highlight w:val="none"/>
              </w:rPr>
            </w:pPr>
          </w:p>
        </w:tc>
        <w:tc>
          <w:tcPr>
            <w:tcW w:w="862" w:type="pct"/>
            <w:tcBorders>
              <w:right w:val="single" w:color="auto" w:sz="4" w:space="0"/>
            </w:tcBorders>
            <w:vAlign w:val="center"/>
          </w:tcPr>
          <w:p w14:paraId="5871D1F1">
            <w:pPr>
              <w:spacing w:line="360" w:lineRule="auto"/>
              <w:jc w:val="center"/>
              <w:rPr>
                <w:rFonts w:hint="eastAsia" w:ascii="仿宋" w:hAnsi="仿宋" w:eastAsia="仿宋" w:cs="仿宋"/>
                <w:kern w:val="0"/>
                <w:sz w:val="24"/>
                <w:szCs w:val="24"/>
                <w:highlight w:val="none"/>
              </w:rPr>
            </w:pPr>
          </w:p>
        </w:tc>
        <w:tc>
          <w:tcPr>
            <w:tcW w:w="1163" w:type="pct"/>
            <w:vAlign w:val="center"/>
          </w:tcPr>
          <w:p w14:paraId="254D8A28">
            <w:pPr>
              <w:spacing w:line="360" w:lineRule="auto"/>
              <w:jc w:val="center"/>
              <w:rPr>
                <w:rFonts w:hint="eastAsia" w:ascii="仿宋" w:hAnsi="仿宋" w:eastAsia="仿宋" w:cs="仿宋"/>
                <w:bCs/>
                <w:sz w:val="24"/>
                <w:szCs w:val="24"/>
                <w:highlight w:val="none"/>
              </w:rPr>
            </w:pPr>
          </w:p>
        </w:tc>
        <w:tc>
          <w:tcPr>
            <w:tcW w:w="571" w:type="pct"/>
            <w:vAlign w:val="center"/>
          </w:tcPr>
          <w:p w14:paraId="23CCD34B">
            <w:pPr>
              <w:spacing w:line="360" w:lineRule="auto"/>
              <w:jc w:val="center"/>
              <w:rPr>
                <w:rFonts w:hint="eastAsia" w:ascii="仿宋" w:hAnsi="仿宋" w:eastAsia="仿宋" w:cs="仿宋"/>
                <w:bCs/>
                <w:sz w:val="24"/>
                <w:szCs w:val="24"/>
                <w:highlight w:val="none"/>
              </w:rPr>
            </w:pPr>
          </w:p>
        </w:tc>
      </w:tr>
      <w:tr w14:paraId="166EE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 w:hRule="atLeast"/>
          <w:jc w:val="center"/>
        </w:trPr>
        <w:tc>
          <w:tcPr>
            <w:tcW w:w="566" w:type="pct"/>
            <w:vAlign w:val="center"/>
          </w:tcPr>
          <w:p w14:paraId="204BF385">
            <w:pPr>
              <w:spacing w:line="360" w:lineRule="auto"/>
              <w:jc w:val="center"/>
              <w:rPr>
                <w:rFonts w:hint="eastAsia" w:ascii="仿宋" w:hAnsi="仿宋" w:eastAsia="仿宋" w:cs="仿宋"/>
                <w:bCs/>
                <w:sz w:val="24"/>
                <w:szCs w:val="24"/>
                <w:highlight w:val="none"/>
              </w:rPr>
            </w:pPr>
          </w:p>
        </w:tc>
        <w:tc>
          <w:tcPr>
            <w:tcW w:w="965" w:type="pct"/>
            <w:tcBorders>
              <w:right w:val="single" w:color="auto" w:sz="4" w:space="0"/>
            </w:tcBorders>
            <w:vAlign w:val="center"/>
          </w:tcPr>
          <w:p w14:paraId="75C41003">
            <w:pPr>
              <w:spacing w:line="360" w:lineRule="auto"/>
              <w:jc w:val="center"/>
              <w:rPr>
                <w:rFonts w:hint="eastAsia" w:ascii="仿宋" w:hAnsi="仿宋" w:eastAsia="仿宋" w:cs="仿宋"/>
                <w:bCs/>
                <w:sz w:val="24"/>
                <w:szCs w:val="24"/>
                <w:highlight w:val="none"/>
              </w:rPr>
            </w:pPr>
          </w:p>
        </w:tc>
        <w:tc>
          <w:tcPr>
            <w:tcW w:w="869" w:type="pct"/>
            <w:tcBorders>
              <w:left w:val="single" w:color="auto" w:sz="4" w:space="0"/>
            </w:tcBorders>
            <w:vAlign w:val="center"/>
          </w:tcPr>
          <w:p w14:paraId="4EDAB86A">
            <w:pPr>
              <w:spacing w:line="360" w:lineRule="auto"/>
              <w:jc w:val="center"/>
              <w:rPr>
                <w:rFonts w:hint="eastAsia" w:ascii="仿宋" w:hAnsi="仿宋" w:eastAsia="仿宋" w:cs="仿宋"/>
                <w:bCs/>
                <w:sz w:val="24"/>
                <w:szCs w:val="24"/>
                <w:highlight w:val="none"/>
              </w:rPr>
            </w:pPr>
          </w:p>
        </w:tc>
        <w:tc>
          <w:tcPr>
            <w:tcW w:w="862" w:type="pct"/>
            <w:tcBorders>
              <w:right w:val="single" w:color="auto" w:sz="4" w:space="0"/>
            </w:tcBorders>
            <w:vAlign w:val="center"/>
          </w:tcPr>
          <w:p w14:paraId="2A854384">
            <w:pPr>
              <w:spacing w:line="360" w:lineRule="auto"/>
              <w:jc w:val="center"/>
              <w:rPr>
                <w:rFonts w:hint="eastAsia" w:ascii="仿宋" w:hAnsi="仿宋" w:eastAsia="仿宋" w:cs="仿宋"/>
                <w:kern w:val="0"/>
                <w:sz w:val="24"/>
                <w:szCs w:val="24"/>
                <w:highlight w:val="none"/>
              </w:rPr>
            </w:pPr>
          </w:p>
        </w:tc>
        <w:tc>
          <w:tcPr>
            <w:tcW w:w="1163" w:type="pct"/>
            <w:vAlign w:val="center"/>
          </w:tcPr>
          <w:p w14:paraId="4EA5BD88">
            <w:pPr>
              <w:spacing w:line="360" w:lineRule="auto"/>
              <w:jc w:val="center"/>
              <w:rPr>
                <w:rFonts w:hint="eastAsia" w:ascii="仿宋" w:hAnsi="仿宋" w:eastAsia="仿宋" w:cs="仿宋"/>
                <w:bCs/>
                <w:sz w:val="24"/>
                <w:szCs w:val="24"/>
                <w:highlight w:val="none"/>
              </w:rPr>
            </w:pPr>
          </w:p>
        </w:tc>
        <w:tc>
          <w:tcPr>
            <w:tcW w:w="571" w:type="pct"/>
            <w:vAlign w:val="center"/>
          </w:tcPr>
          <w:p w14:paraId="281906E3">
            <w:pPr>
              <w:spacing w:line="360" w:lineRule="auto"/>
              <w:jc w:val="center"/>
              <w:rPr>
                <w:rFonts w:hint="eastAsia" w:ascii="仿宋" w:hAnsi="仿宋" w:eastAsia="仿宋" w:cs="仿宋"/>
                <w:bCs/>
                <w:sz w:val="24"/>
                <w:szCs w:val="24"/>
                <w:highlight w:val="none"/>
              </w:rPr>
            </w:pPr>
          </w:p>
        </w:tc>
      </w:tr>
      <w:tr w14:paraId="79E3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566" w:type="pct"/>
            <w:vAlign w:val="center"/>
          </w:tcPr>
          <w:p w14:paraId="36CF6677">
            <w:pPr>
              <w:spacing w:line="360" w:lineRule="auto"/>
              <w:jc w:val="center"/>
              <w:rPr>
                <w:rFonts w:hint="eastAsia" w:ascii="仿宋" w:hAnsi="仿宋" w:eastAsia="仿宋" w:cs="仿宋"/>
                <w:bCs/>
                <w:sz w:val="24"/>
                <w:szCs w:val="24"/>
                <w:highlight w:val="none"/>
              </w:rPr>
            </w:pPr>
          </w:p>
        </w:tc>
        <w:tc>
          <w:tcPr>
            <w:tcW w:w="965" w:type="pct"/>
            <w:tcBorders>
              <w:right w:val="single" w:color="auto" w:sz="4" w:space="0"/>
            </w:tcBorders>
            <w:vAlign w:val="center"/>
          </w:tcPr>
          <w:p w14:paraId="7178FB2B">
            <w:pPr>
              <w:spacing w:line="360" w:lineRule="auto"/>
              <w:jc w:val="center"/>
              <w:rPr>
                <w:rFonts w:hint="eastAsia" w:ascii="仿宋" w:hAnsi="仿宋" w:eastAsia="仿宋" w:cs="仿宋"/>
                <w:bCs/>
                <w:sz w:val="24"/>
                <w:szCs w:val="24"/>
                <w:highlight w:val="none"/>
              </w:rPr>
            </w:pPr>
          </w:p>
        </w:tc>
        <w:tc>
          <w:tcPr>
            <w:tcW w:w="869" w:type="pct"/>
            <w:tcBorders>
              <w:left w:val="single" w:color="auto" w:sz="4" w:space="0"/>
            </w:tcBorders>
            <w:vAlign w:val="center"/>
          </w:tcPr>
          <w:p w14:paraId="71E9BCA8">
            <w:pPr>
              <w:spacing w:line="360" w:lineRule="auto"/>
              <w:jc w:val="center"/>
              <w:rPr>
                <w:rFonts w:hint="eastAsia" w:ascii="仿宋" w:hAnsi="仿宋" w:eastAsia="仿宋" w:cs="仿宋"/>
                <w:bCs/>
                <w:sz w:val="24"/>
                <w:szCs w:val="24"/>
                <w:highlight w:val="none"/>
              </w:rPr>
            </w:pPr>
          </w:p>
        </w:tc>
        <w:tc>
          <w:tcPr>
            <w:tcW w:w="862" w:type="pct"/>
            <w:tcBorders>
              <w:right w:val="single" w:color="auto" w:sz="4" w:space="0"/>
            </w:tcBorders>
            <w:vAlign w:val="center"/>
          </w:tcPr>
          <w:p w14:paraId="68B76231">
            <w:pPr>
              <w:spacing w:line="360" w:lineRule="auto"/>
              <w:jc w:val="center"/>
              <w:rPr>
                <w:rFonts w:hint="eastAsia" w:ascii="仿宋" w:hAnsi="仿宋" w:eastAsia="仿宋" w:cs="仿宋"/>
                <w:kern w:val="0"/>
                <w:sz w:val="24"/>
                <w:szCs w:val="24"/>
                <w:highlight w:val="none"/>
              </w:rPr>
            </w:pPr>
          </w:p>
        </w:tc>
        <w:tc>
          <w:tcPr>
            <w:tcW w:w="1163" w:type="pct"/>
            <w:vAlign w:val="center"/>
          </w:tcPr>
          <w:p w14:paraId="3530CFA6">
            <w:pPr>
              <w:spacing w:line="360" w:lineRule="auto"/>
              <w:jc w:val="center"/>
              <w:rPr>
                <w:rFonts w:hint="eastAsia" w:ascii="仿宋" w:hAnsi="仿宋" w:eastAsia="仿宋" w:cs="仿宋"/>
                <w:bCs/>
                <w:sz w:val="24"/>
                <w:szCs w:val="24"/>
                <w:highlight w:val="none"/>
              </w:rPr>
            </w:pPr>
          </w:p>
        </w:tc>
        <w:tc>
          <w:tcPr>
            <w:tcW w:w="571" w:type="pct"/>
            <w:vAlign w:val="center"/>
          </w:tcPr>
          <w:p w14:paraId="60259F20">
            <w:pPr>
              <w:spacing w:line="360" w:lineRule="auto"/>
              <w:jc w:val="center"/>
              <w:rPr>
                <w:rFonts w:hint="eastAsia" w:ascii="仿宋" w:hAnsi="仿宋" w:eastAsia="仿宋" w:cs="仿宋"/>
                <w:bCs/>
                <w:sz w:val="24"/>
                <w:szCs w:val="24"/>
                <w:highlight w:val="none"/>
              </w:rPr>
            </w:pPr>
          </w:p>
        </w:tc>
      </w:tr>
      <w:tr w14:paraId="77A0A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566" w:type="pct"/>
            <w:vAlign w:val="center"/>
          </w:tcPr>
          <w:p w14:paraId="187E1D94">
            <w:pPr>
              <w:spacing w:line="360" w:lineRule="auto"/>
              <w:jc w:val="center"/>
              <w:rPr>
                <w:rFonts w:hint="eastAsia" w:ascii="仿宋" w:hAnsi="仿宋" w:eastAsia="仿宋" w:cs="仿宋"/>
                <w:bCs/>
                <w:sz w:val="24"/>
                <w:szCs w:val="24"/>
                <w:highlight w:val="none"/>
              </w:rPr>
            </w:pPr>
          </w:p>
        </w:tc>
        <w:tc>
          <w:tcPr>
            <w:tcW w:w="965" w:type="pct"/>
            <w:tcBorders>
              <w:right w:val="single" w:color="auto" w:sz="4" w:space="0"/>
            </w:tcBorders>
            <w:vAlign w:val="center"/>
          </w:tcPr>
          <w:p w14:paraId="0B49D90E">
            <w:pPr>
              <w:spacing w:line="360" w:lineRule="auto"/>
              <w:jc w:val="center"/>
              <w:rPr>
                <w:rFonts w:hint="eastAsia" w:ascii="仿宋" w:hAnsi="仿宋" w:eastAsia="仿宋" w:cs="仿宋"/>
                <w:kern w:val="0"/>
                <w:sz w:val="24"/>
                <w:szCs w:val="24"/>
                <w:highlight w:val="none"/>
              </w:rPr>
            </w:pPr>
          </w:p>
        </w:tc>
        <w:tc>
          <w:tcPr>
            <w:tcW w:w="869" w:type="pct"/>
            <w:tcBorders>
              <w:left w:val="single" w:color="auto" w:sz="4" w:space="0"/>
            </w:tcBorders>
            <w:vAlign w:val="center"/>
          </w:tcPr>
          <w:p w14:paraId="5A7FA9BF">
            <w:pPr>
              <w:spacing w:line="360" w:lineRule="auto"/>
              <w:jc w:val="center"/>
              <w:rPr>
                <w:rFonts w:hint="eastAsia" w:ascii="仿宋" w:hAnsi="仿宋" w:eastAsia="仿宋" w:cs="仿宋"/>
                <w:kern w:val="0"/>
                <w:sz w:val="24"/>
                <w:szCs w:val="24"/>
                <w:highlight w:val="none"/>
              </w:rPr>
            </w:pPr>
          </w:p>
        </w:tc>
        <w:tc>
          <w:tcPr>
            <w:tcW w:w="862" w:type="pct"/>
            <w:tcBorders>
              <w:right w:val="single" w:color="auto" w:sz="4" w:space="0"/>
            </w:tcBorders>
            <w:vAlign w:val="center"/>
          </w:tcPr>
          <w:p w14:paraId="5521D222">
            <w:pPr>
              <w:spacing w:line="360" w:lineRule="auto"/>
              <w:jc w:val="center"/>
              <w:rPr>
                <w:rFonts w:hint="eastAsia" w:ascii="仿宋" w:hAnsi="仿宋" w:eastAsia="仿宋" w:cs="仿宋"/>
                <w:kern w:val="0"/>
                <w:sz w:val="24"/>
                <w:szCs w:val="24"/>
                <w:highlight w:val="none"/>
              </w:rPr>
            </w:pPr>
          </w:p>
        </w:tc>
        <w:tc>
          <w:tcPr>
            <w:tcW w:w="1163" w:type="pct"/>
            <w:vAlign w:val="center"/>
          </w:tcPr>
          <w:p w14:paraId="7BA0041E">
            <w:pPr>
              <w:spacing w:line="360" w:lineRule="auto"/>
              <w:jc w:val="center"/>
              <w:rPr>
                <w:rFonts w:hint="eastAsia" w:ascii="仿宋" w:hAnsi="仿宋" w:eastAsia="仿宋" w:cs="仿宋"/>
                <w:bCs/>
                <w:sz w:val="24"/>
                <w:szCs w:val="24"/>
                <w:highlight w:val="none"/>
              </w:rPr>
            </w:pPr>
          </w:p>
        </w:tc>
        <w:tc>
          <w:tcPr>
            <w:tcW w:w="571" w:type="pct"/>
            <w:vAlign w:val="center"/>
          </w:tcPr>
          <w:p w14:paraId="5069BCEC">
            <w:pPr>
              <w:spacing w:line="360" w:lineRule="auto"/>
              <w:jc w:val="center"/>
              <w:rPr>
                <w:rFonts w:hint="eastAsia" w:ascii="仿宋" w:hAnsi="仿宋" w:eastAsia="仿宋" w:cs="仿宋"/>
                <w:bCs/>
                <w:sz w:val="24"/>
                <w:szCs w:val="24"/>
                <w:highlight w:val="none"/>
              </w:rPr>
            </w:pPr>
          </w:p>
        </w:tc>
      </w:tr>
      <w:tr w14:paraId="278E7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3264" w:type="pct"/>
            <w:gridSpan w:val="4"/>
            <w:tcBorders>
              <w:right w:val="single" w:color="auto" w:sz="4" w:space="0"/>
            </w:tcBorders>
            <w:vAlign w:val="center"/>
          </w:tcPr>
          <w:p w14:paraId="1A3B9E2C">
            <w:pPr>
              <w:spacing w:line="360" w:lineRule="auto"/>
              <w:jc w:val="center"/>
              <w:rPr>
                <w:rFonts w:hint="eastAsia" w:ascii="仿宋" w:hAnsi="仿宋" w:eastAsia="仿宋" w:cs="仿宋"/>
                <w:bCs/>
                <w:sz w:val="24"/>
                <w:szCs w:val="24"/>
                <w:highlight w:val="none"/>
              </w:rPr>
            </w:pPr>
            <w:r>
              <w:rPr>
                <w:rFonts w:hint="eastAsia" w:ascii="仿宋" w:hAnsi="仿宋" w:eastAsia="仿宋" w:cs="仿宋"/>
                <w:kern w:val="0"/>
                <w:sz w:val="24"/>
                <w:szCs w:val="24"/>
                <w:highlight w:val="none"/>
              </w:rPr>
              <w:t>合计</w:t>
            </w:r>
          </w:p>
        </w:tc>
        <w:tc>
          <w:tcPr>
            <w:tcW w:w="1163" w:type="pct"/>
            <w:vAlign w:val="center"/>
          </w:tcPr>
          <w:p w14:paraId="676771EA">
            <w:pPr>
              <w:spacing w:line="360" w:lineRule="auto"/>
              <w:jc w:val="center"/>
              <w:rPr>
                <w:rFonts w:hint="eastAsia" w:ascii="仿宋" w:hAnsi="仿宋" w:eastAsia="仿宋" w:cs="仿宋"/>
                <w:bCs/>
                <w:sz w:val="24"/>
                <w:szCs w:val="24"/>
                <w:highlight w:val="none"/>
              </w:rPr>
            </w:pPr>
          </w:p>
        </w:tc>
        <w:tc>
          <w:tcPr>
            <w:tcW w:w="571" w:type="pct"/>
            <w:vAlign w:val="center"/>
          </w:tcPr>
          <w:p w14:paraId="637288AF">
            <w:pPr>
              <w:spacing w:line="360" w:lineRule="auto"/>
              <w:jc w:val="center"/>
              <w:rPr>
                <w:rFonts w:hint="eastAsia" w:ascii="仿宋" w:hAnsi="仿宋" w:eastAsia="仿宋" w:cs="仿宋"/>
                <w:bCs/>
                <w:sz w:val="24"/>
                <w:szCs w:val="24"/>
                <w:highlight w:val="none"/>
              </w:rPr>
            </w:pPr>
          </w:p>
        </w:tc>
      </w:tr>
    </w:tbl>
    <w:p w14:paraId="00029E8B">
      <w:pPr>
        <w:spacing w:line="360" w:lineRule="auto"/>
        <w:rPr>
          <w:rFonts w:hint="eastAsia" w:ascii="仿宋" w:hAnsi="仿宋" w:eastAsia="仿宋" w:cs="仿宋"/>
          <w:color w:val="auto"/>
          <w:sz w:val="24"/>
          <w:szCs w:val="24"/>
          <w:highlight w:val="none"/>
          <w:shd w:val="clear" w:color="auto" w:fill="FFFFFF" w:themeFill="background1"/>
        </w:rPr>
      </w:pPr>
    </w:p>
    <w:p w14:paraId="220B9A67">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w:t>
      </w:r>
    </w:p>
    <w:p w14:paraId="0A5B2F8C">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1、投标人填报投标价格合计应与投标函载明价格一致，若不一致，应按照第二章评审办法修正原则进行修正。</w:t>
      </w:r>
    </w:p>
    <w:p w14:paraId="3B4D5718">
      <w:pPr>
        <w:spacing w:line="360" w:lineRule="auto"/>
        <w:rPr>
          <w:rFonts w:hint="eastAsia" w:ascii="仿宋" w:hAnsi="仿宋" w:eastAsia="仿宋" w:cs="仿宋"/>
          <w:color w:val="auto"/>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2、投标人的服务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512494CD">
      <w:pPr>
        <w:spacing w:line="360" w:lineRule="auto"/>
        <w:jc w:val="left"/>
        <w:rPr>
          <w:rFonts w:hint="eastAsia" w:ascii="仿宋" w:hAnsi="仿宋" w:eastAsia="仿宋" w:cs="仿宋"/>
          <w:color w:val="auto"/>
          <w:sz w:val="24"/>
          <w:szCs w:val="24"/>
          <w:highlight w:val="none"/>
          <w:shd w:val="clear" w:color="auto" w:fill="FFFFFF" w:themeFill="background1"/>
        </w:rPr>
      </w:pPr>
    </w:p>
    <w:p w14:paraId="2426E921">
      <w:pPr>
        <w:spacing w:line="360" w:lineRule="auto"/>
        <w:jc w:val="left"/>
        <w:rPr>
          <w:rFonts w:hint="eastAsia" w:ascii="仿宋" w:hAnsi="仿宋" w:eastAsia="仿宋" w:cs="仿宋"/>
          <w:color w:val="auto"/>
          <w:sz w:val="24"/>
          <w:szCs w:val="24"/>
          <w:highlight w:val="none"/>
          <w:shd w:val="clear" w:color="auto" w:fill="FFFFFF" w:themeFill="background1"/>
        </w:rPr>
      </w:pPr>
    </w:p>
    <w:p w14:paraId="048A84B0">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4919E20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745488C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55E93718">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31B76A8D">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p>
    <w:p w14:paraId="5A96D184">
      <w:pPr>
        <w:tabs>
          <w:tab w:val="center" w:pos="4832"/>
          <w:tab w:val="left" w:pos="7140"/>
        </w:tabs>
        <w:spacing w:line="360" w:lineRule="auto"/>
        <w:jc w:val="center"/>
        <w:outlineLvl w:val="1"/>
        <w:rPr>
          <w:rFonts w:hint="eastAsia" w:ascii="仿宋" w:hAnsi="仿宋" w:eastAsia="仿宋" w:cs="仿宋"/>
          <w:color w:val="auto"/>
          <w:kern w:val="0"/>
          <w:sz w:val="24"/>
          <w:szCs w:val="24"/>
          <w:highlight w:val="none"/>
          <w:shd w:val="clear" w:color="auto" w:fill="FFFFFF" w:themeFill="background1"/>
        </w:rPr>
      </w:pPr>
      <w:bookmarkStart w:id="328" w:name="_Toc22264"/>
      <w:bookmarkStart w:id="329" w:name="_Toc10230"/>
      <w:r>
        <w:rPr>
          <w:rFonts w:hint="eastAsia" w:ascii="仿宋" w:hAnsi="仿宋" w:eastAsia="仿宋" w:cs="仿宋"/>
          <w:b/>
          <w:color w:val="auto"/>
          <w:sz w:val="24"/>
          <w:szCs w:val="24"/>
          <w:highlight w:val="none"/>
          <w:shd w:val="clear" w:color="auto" w:fill="FFFFFF" w:themeFill="background1"/>
        </w:rPr>
        <w:t>四、商务条款偏离表</w:t>
      </w:r>
      <w:bookmarkEnd w:id="323"/>
      <w:bookmarkEnd w:id="324"/>
      <w:bookmarkEnd w:id="325"/>
      <w:bookmarkEnd w:id="328"/>
      <w:bookmarkEnd w:id="329"/>
    </w:p>
    <w:tbl>
      <w:tblPr>
        <w:tblStyle w:val="4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699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3AFDCBF">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814" w:type="dxa"/>
            <w:vAlign w:val="center"/>
          </w:tcPr>
          <w:p w14:paraId="38F65EE7">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招标文件条目号</w:t>
            </w:r>
          </w:p>
        </w:tc>
        <w:tc>
          <w:tcPr>
            <w:tcW w:w="2083" w:type="dxa"/>
            <w:vAlign w:val="center"/>
          </w:tcPr>
          <w:p w14:paraId="4A636E99">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招标文件商务条款</w:t>
            </w:r>
          </w:p>
        </w:tc>
        <w:tc>
          <w:tcPr>
            <w:tcW w:w="2182" w:type="dxa"/>
            <w:vAlign w:val="center"/>
          </w:tcPr>
          <w:p w14:paraId="5AC49377">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投标文件商务条款</w:t>
            </w:r>
          </w:p>
        </w:tc>
        <w:tc>
          <w:tcPr>
            <w:tcW w:w="1155" w:type="dxa"/>
            <w:vAlign w:val="center"/>
          </w:tcPr>
          <w:p w14:paraId="41534602">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偏离</w:t>
            </w:r>
          </w:p>
        </w:tc>
        <w:tc>
          <w:tcPr>
            <w:tcW w:w="1219" w:type="dxa"/>
            <w:vAlign w:val="center"/>
          </w:tcPr>
          <w:p w14:paraId="210C4EF9">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说明</w:t>
            </w:r>
          </w:p>
        </w:tc>
      </w:tr>
      <w:tr w14:paraId="66EB5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532C97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45E763C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70D6FAD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3A77C0F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5D52CF0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61DD0107">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1967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F86F99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024720A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12F7B4DB">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4B8CE8E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4D02A6B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5F64A24A">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36223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E7E1BC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1CF19FC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40D913C4">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50B8B8D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51A6384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1979093A">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83E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028F70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2FC71924">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6FB17F3B">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1851233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6FF00B8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5BD19121">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1826F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1040A1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0E0552F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1B706A6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3DD1848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7CF7465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372E905C">
            <w:pPr>
              <w:spacing w:line="360" w:lineRule="auto"/>
              <w:jc w:val="center"/>
              <w:rPr>
                <w:rFonts w:hint="eastAsia" w:ascii="仿宋" w:hAnsi="仿宋" w:eastAsia="仿宋" w:cs="仿宋"/>
                <w:b/>
                <w:bCs/>
                <w:color w:val="auto"/>
                <w:szCs w:val="21"/>
                <w:highlight w:val="none"/>
                <w:shd w:val="clear" w:color="auto" w:fill="FFFFFF" w:themeFill="background1"/>
              </w:rPr>
            </w:pPr>
          </w:p>
        </w:tc>
      </w:tr>
    </w:tbl>
    <w:p w14:paraId="220AD476">
      <w:pPr>
        <w:spacing w:line="360" w:lineRule="auto"/>
        <w:ind w:firstLine="42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备注：投标人对招标文件商务条款有偏离的，应在此表中列明实际响应的内容并加以说明，以便查对。请在此偏离表“偏离”中填写无偏离或正偏离或负偏离。商务条款是指投标人须知前附表中的实质性内容。</w:t>
      </w:r>
    </w:p>
    <w:p w14:paraId="609B0BD8">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5D587229">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250D247A">
      <w:pPr>
        <w:spacing w:line="360" w:lineRule="auto"/>
        <w:jc w:val="left"/>
        <w:rPr>
          <w:rFonts w:hint="eastAsia" w:ascii="仿宋" w:hAnsi="仿宋" w:eastAsia="仿宋" w:cs="仿宋"/>
          <w:color w:val="auto"/>
          <w:sz w:val="24"/>
          <w:szCs w:val="24"/>
          <w:highlight w:val="none"/>
          <w:shd w:val="clear" w:color="auto" w:fill="FFFFFF" w:themeFill="background1"/>
        </w:rPr>
      </w:pPr>
    </w:p>
    <w:p w14:paraId="2A41CD16">
      <w:pPr>
        <w:spacing w:line="360" w:lineRule="auto"/>
        <w:jc w:val="left"/>
        <w:rPr>
          <w:rFonts w:hint="eastAsia" w:ascii="仿宋" w:hAnsi="仿宋" w:eastAsia="仿宋" w:cs="仿宋"/>
          <w:color w:val="auto"/>
          <w:sz w:val="24"/>
          <w:szCs w:val="24"/>
          <w:highlight w:val="none"/>
          <w:shd w:val="clear" w:color="auto" w:fill="FFFFFF" w:themeFill="background1"/>
        </w:rPr>
      </w:pPr>
    </w:p>
    <w:p w14:paraId="0DC80D98">
      <w:pPr>
        <w:spacing w:line="360" w:lineRule="auto"/>
        <w:jc w:val="left"/>
        <w:rPr>
          <w:rFonts w:hint="eastAsia" w:ascii="仿宋" w:hAnsi="仿宋" w:eastAsia="仿宋" w:cs="仿宋"/>
          <w:color w:val="auto"/>
          <w:sz w:val="24"/>
          <w:szCs w:val="24"/>
          <w:highlight w:val="none"/>
          <w:shd w:val="clear" w:color="auto" w:fill="FFFFFF" w:themeFill="background1"/>
        </w:rPr>
      </w:pPr>
    </w:p>
    <w:p w14:paraId="442510A0">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65ED7B5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360EFF1D">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35ADDBAF">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431BC006">
      <w:pPr>
        <w:widowControl/>
        <w:spacing w:line="360" w:lineRule="auto"/>
        <w:jc w:val="left"/>
        <w:rPr>
          <w:rFonts w:hint="eastAsia" w:ascii="仿宋" w:hAnsi="仿宋" w:eastAsia="仿宋" w:cs="仿宋"/>
          <w:b/>
          <w:bCs/>
          <w:color w:val="auto"/>
          <w:kern w:val="36"/>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p>
    <w:p w14:paraId="4B8E192E">
      <w:pPr>
        <w:tabs>
          <w:tab w:val="center" w:pos="4832"/>
          <w:tab w:val="left" w:pos="7140"/>
        </w:tabs>
        <w:spacing w:line="360" w:lineRule="auto"/>
        <w:jc w:val="center"/>
        <w:outlineLvl w:val="1"/>
        <w:rPr>
          <w:rFonts w:hint="eastAsia" w:ascii="仿宋" w:hAnsi="仿宋" w:eastAsia="仿宋" w:cs="仿宋"/>
          <w:color w:val="auto"/>
          <w:kern w:val="0"/>
          <w:sz w:val="24"/>
          <w:szCs w:val="24"/>
          <w:highlight w:val="none"/>
          <w:shd w:val="clear" w:color="auto" w:fill="FFFFFF" w:themeFill="background1"/>
        </w:rPr>
      </w:pPr>
      <w:bookmarkStart w:id="330" w:name="_Toc4958"/>
      <w:bookmarkStart w:id="331" w:name="_Toc19585"/>
      <w:r>
        <w:rPr>
          <w:rFonts w:hint="eastAsia" w:ascii="仿宋" w:hAnsi="仿宋" w:eastAsia="仿宋" w:cs="仿宋"/>
          <w:b/>
          <w:color w:val="auto"/>
          <w:sz w:val="24"/>
          <w:szCs w:val="24"/>
          <w:highlight w:val="none"/>
          <w:shd w:val="clear" w:color="auto" w:fill="FFFFFF" w:themeFill="background1"/>
        </w:rPr>
        <w:t>五、技术条款偏离表</w:t>
      </w:r>
      <w:bookmarkEnd w:id="330"/>
      <w:bookmarkEnd w:id="331"/>
    </w:p>
    <w:tbl>
      <w:tblPr>
        <w:tblStyle w:val="42"/>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BFD0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35C3E44">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814" w:type="dxa"/>
            <w:vAlign w:val="center"/>
          </w:tcPr>
          <w:p w14:paraId="1076A5BC">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招标文件条目号</w:t>
            </w:r>
          </w:p>
        </w:tc>
        <w:tc>
          <w:tcPr>
            <w:tcW w:w="2083" w:type="dxa"/>
            <w:vAlign w:val="center"/>
          </w:tcPr>
          <w:p w14:paraId="75271D4B">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招标文件技术条款</w:t>
            </w:r>
          </w:p>
        </w:tc>
        <w:tc>
          <w:tcPr>
            <w:tcW w:w="2182" w:type="dxa"/>
            <w:vAlign w:val="center"/>
          </w:tcPr>
          <w:p w14:paraId="6996187C">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投标文件技术条款</w:t>
            </w:r>
          </w:p>
        </w:tc>
        <w:tc>
          <w:tcPr>
            <w:tcW w:w="1155" w:type="dxa"/>
            <w:vAlign w:val="center"/>
          </w:tcPr>
          <w:p w14:paraId="282D9436">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偏离</w:t>
            </w:r>
          </w:p>
        </w:tc>
        <w:tc>
          <w:tcPr>
            <w:tcW w:w="1219" w:type="dxa"/>
            <w:vAlign w:val="center"/>
          </w:tcPr>
          <w:p w14:paraId="449CF985">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说明</w:t>
            </w:r>
          </w:p>
        </w:tc>
      </w:tr>
      <w:tr w14:paraId="40A58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201EAA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363F989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4E1B7CA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5018553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5838610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391BB04E">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BF2B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93347C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792B455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5808210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64E7633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30B01A2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2F5975C8">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7C3C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186D1B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1055E5CD">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76F03B5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6688725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68089BF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01DE722C">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A1DA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2BD62E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7AAFFA09">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5EE0E8A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042A258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7F52DD3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5DB037AF">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35623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DD3EFBB">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73C4206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2B3D683D">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5629E59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3A2C2F7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4EA7D9C9">
            <w:pPr>
              <w:spacing w:line="360" w:lineRule="auto"/>
              <w:jc w:val="center"/>
              <w:rPr>
                <w:rFonts w:hint="eastAsia" w:ascii="仿宋" w:hAnsi="仿宋" w:eastAsia="仿宋" w:cs="仿宋"/>
                <w:b/>
                <w:bCs/>
                <w:color w:val="auto"/>
                <w:szCs w:val="21"/>
                <w:highlight w:val="none"/>
                <w:shd w:val="clear" w:color="auto" w:fill="FFFFFF" w:themeFill="background1"/>
              </w:rPr>
            </w:pPr>
          </w:p>
        </w:tc>
      </w:tr>
    </w:tbl>
    <w:p w14:paraId="0E3AE8F3">
      <w:pPr>
        <w:spacing w:line="360" w:lineRule="auto"/>
        <w:ind w:firstLine="42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备注：投标人对招标文件</w:t>
      </w:r>
      <w:r>
        <w:rPr>
          <w:rFonts w:hint="eastAsia" w:ascii="仿宋" w:hAnsi="仿宋" w:eastAsia="仿宋" w:cs="仿宋"/>
          <w:bCs/>
          <w:color w:val="auto"/>
          <w:szCs w:val="21"/>
          <w:highlight w:val="none"/>
          <w:shd w:val="clear" w:color="auto" w:fill="FFFFFF" w:themeFill="background1"/>
        </w:rPr>
        <w:t>技术</w:t>
      </w:r>
      <w:r>
        <w:rPr>
          <w:rFonts w:hint="eastAsia" w:ascii="仿宋" w:hAnsi="仿宋" w:eastAsia="仿宋" w:cs="仿宋"/>
          <w:color w:val="auto"/>
          <w:szCs w:val="24"/>
          <w:highlight w:val="none"/>
          <w:shd w:val="clear" w:color="auto" w:fill="FFFFFF" w:themeFill="background1"/>
        </w:rPr>
        <w:t>条款有偏离的，应在此表中列明实际响应的内容并加以说明，以便查对。请在此偏离表“偏离”中填写无偏离或正偏离或负偏离。技术条款是指服务标准和要求中的实质性内容。</w:t>
      </w:r>
    </w:p>
    <w:p w14:paraId="5E4B676E">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428A30F9">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3BD5B4B3">
      <w:pPr>
        <w:spacing w:line="360" w:lineRule="auto"/>
        <w:jc w:val="left"/>
        <w:rPr>
          <w:rFonts w:hint="eastAsia" w:ascii="仿宋" w:hAnsi="仿宋" w:eastAsia="仿宋" w:cs="仿宋"/>
          <w:color w:val="auto"/>
          <w:sz w:val="24"/>
          <w:szCs w:val="24"/>
          <w:highlight w:val="none"/>
          <w:shd w:val="clear" w:color="auto" w:fill="FFFFFF" w:themeFill="background1"/>
        </w:rPr>
      </w:pPr>
    </w:p>
    <w:p w14:paraId="1E154531">
      <w:pPr>
        <w:spacing w:line="360" w:lineRule="auto"/>
        <w:jc w:val="left"/>
        <w:rPr>
          <w:rFonts w:hint="eastAsia" w:ascii="仿宋" w:hAnsi="仿宋" w:eastAsia="仿宋" w:cs="仿宋"/>
          <w:color w:val="auto"/>
          <w:sz w:val="24"/>
          <w:szCs w:val="24"/>
          <w:highlight w:val="none"/>
          <w:shd w:val="clear" w:color="auto" w:fill="FFFFFF" w:themeFill="background1"/>
        </w:rPr>
      </w:pPr>
    </w:p>
    <w:p w14:paraId="067A2476">
      <w:pPr>
        <w:spacing w:line="360" w:lineRule="auto"/>
        <w:jc w:val="left"/>
        <w:rPr>
          <w:rFonts w:hint="eastAsia" w:ascii="仿宋" w:hAnsi="仿宋" w:eastAsia="仿宋" w:cs="仿宋"/>
          <w:color w:val="auto"/>
          <w:sz w:val="24"/>
          <w:szCs w:val="24"/>
          <w:highlight w:val="none"/>
          <w:shd w:val="clear" w:color="auto" w:fill="FFFFFF" w:themeFill="background1"/>
        </w:rPr>
      </w:pPr>
    </w:p>
    <w:p w14:paraId="58552C9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0783F5F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7DD2A9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592807E6">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2BDB8EA7">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bookmarkStart w:id="332" w:name="_Toc533503185"/>
      <w:bookmarkStart w:id="333" w:name="_Toc38446475"/>
      <w:bookmarkStart w:id="334" w:name="_Toc31121"/>
      <w:bookmarkStart w:id="335" w:name="_Toc507586170"/>
      <w:bookmarkStart w:id="336" w:name="_Toc17833"/>
      <w:r>
        <w:rPr>
          <w:rFonts w:hint="eastAsia" w:ascii="仿宋" w:hAnsi="仿宋" w:eastAsia="仿宋" w:cs="仿宋"/>
          <w:b/>
          <w:color w:val="auto"/>
          <w:sz w:val="24"/>
          <w:szCs w:val="24"/>
          <w:highlight w:val="none"/>
          <w:shd w:val="clear" w:color="auto" w:fill="FFFFFF" w:themeFill="background1"/>
        </w:rPr>
        <w:t>六、法定代表人身份证明书</w:t>
      </w:r>
      <w:bookmarkEnd w:id="332"/>
      <w:bookmarkEnd w:id="333"/>
      <w:bookmarkEnd w:id="334"/>
      <w:bookmarkEnd w:id="335"/>
      <w:bookmarkEnd w:id="336"/>
    </w:p>
    <w:p w14:paraId="0FBCD18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3B8A082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 标 人：</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008F553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单位性质：</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24DD234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地    址：</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213BB97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成立时间：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日</w:t>
      </w:r>
    </w:p>
    <w:p w14:paraId="6A3D4C6F">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经营期限：</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07084ED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DF04908">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姓名：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年龄：</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职务：</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（投标人名称）的法定代表人。</w:t>
      </w:r>
    </w:p>
    <w:p w14:paraId="6B0C08CE">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特此证明。</w:t>
      </w:r>
    </w:p>
    <w:p w14:paraId="4BC0C7F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B874677">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附：法定代表人身份证明</w:t>
      </w:r>
    </w:p>
    <w:p w14:paraId="31A42BB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tbl>
      <w:tblPr>
        <w:tblStyle w:val="42"/>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8A61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03124B0">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法定代表人身份证复印件（正面）</w:t>
            </w:r>
          </w:p>
        </w:tc>
      </w:tr>
    </w:tbl>
    <w:p w14:paraId="473474D7">
      <w:pPr>
        <w:spacing w:line="360" w:lineRule="auto"/>
        <w:rPr>
          <w:rFonts w:hint="eastAsia" w:ascii="仿宋" w:hAnsi="仿宋" w:eastAsia="仿宋" w:cs="仿宋"/>
          <w:vanish/>
          <w:color w:val="auto"/>
          <w:sz w:val="24"/>
          <w:szCs w:val="24"/>
          <w:highlight w:val="none"/>
          <w:shd w:val="clear" w:color="auto" w:fill="FFFFFF" w:themeFill="background1"/>
        </w:rPr>
      </w:pPr>
    </w:p>
    <w:tbl>
      <w:tblPr>
        <w:tblStyle w:val="42"/>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5368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E0B4AAE">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法定代表人身份证复印件（反面）</w:t>
            </w:r>
          </w:p>
        </w:tc>
      </w:tr>
    </w:tbl>
    <w:p w14:paraId="3473E59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w:t>
      </w:r>
    </w:p>
    <w:p w14:paraId="0E9071F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3C4904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53E76626">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 年  月  日</w:t>
      </w:r>
    </w:p>
    <w:p w14:paraId="1D0E18A1">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4BA8AD4A">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3A87C0B1">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0"/>
          <w:sz w:val="24"/>
          <w:szCs w:val="24"/>
          <w:highlight w:val="none"/>
          <w:shd w:val="clear" w:color="auto" w:fill="FFFFFF" w:themeFill="background1"/>
        </w:rPr>
        <w:br w:type="page"/>
      </w:r>
      <w:bookmarkStart w:id="337" w:name="_Toc533503186"/>
      <w:bookmarkStart w:id="338" w:name="_Toc24163"/>
      <w:bookmarkStart w:id="339" w:name="_Toc507586171"/>
      <w:bookmarkStart w:id="340" w:name="_Toc13722"/>
      <w:bookmarkStart w:id="341" w:name="_Toc38446476"/>
      <w:r>
        <w:rPr>
          <w:rFonts w:hint="eastAsia" w:ascii="仿宋" w:hAnsi="仿宋" w:eastAsia="仿宋" w:cs="仿宋"/>
          <w:b/>
          <w:color w:val="auto"/>
          <w:sz w:val="24"/>
          <w:szCs w:val="24"/>
          <w:highlight w:val="none"/>
          <w:shd w:val="clear" w:color="auto" w:fill="FFFFFF" w:themeFill="background1"/>
        </w:rPr>
        <w:t>七、法定代表人授权委托书</w:t>
      </w:r>
      <w:bookmarkEnd w:id="337"/>
      <w:bookmarkEnd w:id="338"/>
      <w:bookmarkEnd w:id="339"/>
      <w:bookmarkEnd w:id="340"/>
      <w:bookmarkEnd w:id="341"/>
    </w:p>
    <w:p w14:paraId="583612A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C2EB2D4">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（投标人名称）的法定代表人，现拟派我单位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（姓名）为我方委托代理人。委托代理人根据授权，就</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w:t>
      </w:r>
      <w:r>
        <w:rPr>
          <w:rFonts w:hint="eastAsia" w:ascii="仿宋" w:hAnsi="仿宋" w:eastAsia="仿宋" w:cs="仿宋"/>
          <w:color w:val="auto"/>
          <w:kern w:val="0"/>
          <w:sz w:val="24"/>
          <w:szCs w:val="24"/>
          <w:highlight w:val="none"/>
          <w:shd w:val="clear" w:color="auto" w:fill="FFFFFF" w:themeFill="background1"/>
          <w:lang w:val="en-US" w:eastAsia="zh-CN"/>
        </w:rPr>
        <w:t>项目</w:t>
      </w:r>
      <w:r>
        <w:rPr>
          <w:rFonts w:hint="eastAsia" w:ascii="仿宋" w:hAnsi="仿宋" w:eastAsia="仿宋" w:cs="仿宋"/>
          <w:color w:val="auto"/>
          <w:kern w:val="0"/>
          <w:sz w:val="24"/>
          <w:szCs w:val="24"/>
          <w:highlight w:val="none"/>
          <w:shd w:val="clear" w:color="auto" w:fill="FFFFFF" w:themeFill="background1"/>
        </w:rPr>
        <w:t>名称）的投标，以本公司名义处理一切与之有关的事务，其法律后果由我方承担。</w:t>
      </w:r>
    </w:p>
    <w:p w14:paraId="63D91008">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u w:val="singl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w:t>
      </w:r>
      <w:r>
        <w:rPr>
          <w:rFonts w:hint="eastAsia" w:ascii="仿宋" w:hAnsi="仿宋" w:eastAsia="仿宋" w:cs="仿宋"/>
          <w:i/>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年龄：</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3121C8B9">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  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部门：</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职务：</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588453D3">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代理人无转委权，特此申明。</w:t>
      </w:r>
    </w:p>
    <w:p w14:paraId="3DFBFC4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28E356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附：委托代理人身份证明。</w:t>
      </w:r>
    </w:p>
    <w:p w14:paraId="1B85B8A2">
      <w:pPr>
        <w:pStyle w:val="14"/>
        <w:spacing w:before="6"/>
        <w:rPr>
          <w:rFonts w:hint="eastAsia" w:ascii="仿宋" w:hAnsi="仿宋" w:eastAsia="仿宋" w:cs="仿宋"/>
          <w:color w:val="auto"/>
          <w:sz w:val="21"/>
          <w:szCs w:val="21"/>
          <w:highlight w:val="none"/>
        </w:rPr>
      </w:pPr>
    </w:p>
    <w:p w14:paraId="7858600A">
      <w:pPr>
        <w:pStyle w:val="14"/>
        <w:rPr>
          <w:rFonts w:hint="eastAsia" w:ascii="仿宋" w:hAnsi="仿宋" w:eastAsia="仿宋" w:cs="仿宋"/>
          <w:color w:val="auto"/>
          <w:sz w:val="21"/>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page">
                  <wp:posOffset>1302385</wp:posOffset>
                </wp:positionH>
                <wp:positionV relativeFrom="paragraph">
                  <wp:posOffset>119380</wp:posOffset>
                </wp:positionV>
                <wp:extent cx="2240915" cy="1125855"/>
                <wp:effectExtent l="4445" t="4445" r="10795" b="1397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4D4DB2B1">
                            <w:pPr>
                              <w:pStyle w:val="14"/>
                              <w:autoSpaceDE w:val="0"/>
                              <w:autoSpaceDN w:val="0"/>
                              <w:ind w:firstLine="480" w:firstLineChars="200"/>
                              <w:rPr>
                                <w:rFonts w:ascii="宋体" w:hAnsi="宋体" w:cs="宋体"/>
                              </w:rPr>
                            </w:pPr>
                          </w:p>
                          <w:p w14:paraId="02281D9A">
                            <w:pPr>
                              <w:pStyle w:val="14"/>
                              <w:autoSpaceDE w:val="0"/>
                              <w:autoSpaceDN w:val="0"/>
                              <w:ind w:firstLine="480" w:firstLineChars="200"/>
                              <w:rPr>
                                <w:rFonts w:ascii="宋体" w:hAnsi="宋体" w:cs="宋体"/>
                              </w:rPr>
                            </w:pPr>
                            <w:r>
                              <w:rPr>
                                <w:rFonts w:hint="eastAsia" w:ascii="宋体" w:hAnsi="宋体" w:cs="宋体"/>
                              </w:rPr>
                              <w:t>法定代表人身份证复印件</w:t>
                            </w:r>
                          </w:p>
                          <w:p w14:paraId="6FEBE11C">
                            <w:pPr>
                              <w:pStyle w:val="14"/>
                              <w:autoSpaceDE w:val="0"/>
                              <w:autoSpaceDN w:val="0"/>
                              <w:jc w:val="center"/>
                              <w:rPr>
                                <w:rFonts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7216;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M1Vq9gAAAAKAQAA&#10;DwAAAAAAAAABACAAAAAiAAAAZHJzL2Rvd25yZXYueG1sUEsBAhQAFAAAAAgAh07iQIhKeaUZAgAA&#10;QgQAAA4AAAAAAAAAAQAgAAAAJwEAAGRycy9lMm9Eb2MueG1sUEsFBgAAAAAGAAYAWQEAALIFAAAA&#10;AA==&#10;">
                <v:fill on="f" focussize="0,0"/>
                <v:stroke color="#000000" joinstyle="miter"/>
                <v:imagedata o:title=""/>
                <o:lock v:ext="edit" aspectratio="f"/>
                <v:textbox inset="0mm,0mm,0mm,0mm">
                  <w:txbxContent>
                    <w:p w14:paraId="4D4DB2B1">
                      <w:pPr>
                        <w:pStyle w:val="14"/>
                        <w:autoSpaceDE w:val="0"/>
                        <w:autoSpaceDN w:val="0"/>
                        <w:ind w:firstLine="480" w:firstLineChars="200"/>
                        <w:rPr>
                          <w:rFonts w:ascii="宋体" w:hAnsi="宋体" w:cs="宋体"/>
                        </w:rPr>
                      </w:pPr>
                    </w:p>
                    <w:p w14:paraId="02281D9A">
                      <w:pPr>
                        <w:pStyle w:val="14"/>
                        <w:autoSpaceDE w:val="0"/>
                        <w:autoSpaceDN w:val="0"/>
                        <w:ind w:firstLine="480" w:firstLineChars="200"/>
                        <w:rPr>
                          <w:rFonts w:ascii="宋体" w:hAnsi="宋体" w:cs="宋体"/>
                        </w:rPr>
                      </w:pPr>
                      <w:r>
                        <w:rPr>
                          <w:rFonts w:hint="eastAsia" w:ascii="宋体" w:hAnsi="宋体" w:cs="宋体"/>
                        </w:rPr>
                        <w:t>法定代表人身份证复印件</w:t>
                      </w:r>
                    </w:p>
                    <w:p w14:paraId="6FEBE11C">
                      <w:pPr>
                        <w:pStyle w:val="14"/>
                        <w:autoSpaceDE w:val="0"/>
                        <w:autoSpaceDN w:val="0"/>
                        <w:jc w:val="center"/>
                        <w:rPr>
                          <w:rFonts w:ascii="宋体" w:hAnsi="宋体" w:cs="宋体"/>
                        </w:rPr>
                      </w:pPr>
                      <w:r>
                        <w:rPr>
                          <w:rFonts w:hint="eastAsia" w:ascii="宋体" w:hAnsi="宋体" w:cs="宋体"/>
                        </w:rPr>
                        <w:t>（正面）</w:t>
                      </w:r>
                    </w:p>
                  </w:txbxContent>
                </v:textbox>
                <w10:wrap type="topAndBottom"/>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page">
                  <wp:posOffset>3790315</wp:posOffset>
                </wp:positionH>
                <wp:positionV relativeFrom="paragraph">
                  <wp:posOffset>121285</wp:posOffset>
                </wp:positionV>
                <wp:extent cx="2240915" cy="1125855"/>
                <wp:effectExtent l="4445" t="4445" r="10795" b="1397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16EDFF29">
                            <w:pPr>
                              <w:pStyle w:val="14"/>
                              <w:ind w:left="417" w:right="416"/>
                              <w:jc w:val="center"/>
                              <w:rPr>
                                <w:rFonts w:ascii="宋体" w:hAnsi="宋体" w:cs="宋体"/>
                              </w:rPr>
                            </w:pPr>
                          </w:p>
                          <w:p w14:paraId="30A0460F">
                            <w:pPr>
                              <w:pStyle w:val="14"/>
                              <w:ind w:left="417" w:right="416"/>
                              <w:jc w:val="center"/>
                              <w:rPr>
                                <w:rFonts w:ascii="宋体" w:hAnsi="宋体" w:cs="宋体"/>
                              </w:rPr>
                            </w:pPr>
                            <w:r>
                              <w:rPr>
                                <w:rFonts w:hint="eastAsia" w:ascii="宋体" w:hAnsi="宋体" w:cs="宋体"/>
                              </w:rPr>
                              <w:t>授权代表身份证复印件</w:t>
                            </w:r>
                          </w:p>
                          <w:p w14:paraId="3315AFC5">
                            <w:pPr>
                              <w:pStyle w:val="14"/>
                              <w:spacing w:before="2"/>
                              <w:ind w:left="417" w:right="416"/>
                              <w:jc w:val="center"/>
                              <w:rPr>
                                <w:rFonts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6192;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QXk+LZAAAACgEA&#10;AA8AAAAAAAAAAQAgAAAAIgAAAGRycy9kb3ducmV2LnhtbFBLAQIUABQAAAAIAIdO4kCzPtrCGQIA&#10;AEIEAAAOAAAAAAAAAAEAIAAAACgBAABkcnMvZTJvRG9jLnhtbFBLBQYAAAAABgAGAFkBAACzBQAA&#10;AAA=&#10;">
                <v:fill on="f" focussize="0,0"/>
                <v:stroke color="#000000" joinstyle="miter"/>
                <v:imagedata o:title=""/>
                <o:lock v:ext="edit" aspectratio="f"/>
                <v:textbox inset="0mm,0mm,0mm,0mm">
                  <w:txbxContent>
                    <w:p w14:paraId="16EDFF29">
                      <w:pPr>
                        <w:pStyle w:val="14"/>
                        <w:ind w:left="417" w:right="416"/>
                        <w:jc w:val="center"/>
                        <w:rPr>
                          <w:rFonts w:ascii="宋体" w:hAnsi="宋体" w:cs="宋体"/>
                        </w:rPr>
                      </w:pPr>
                    </w:p>
                    <w:p w14:paraId="30A0460F">
                      <w:pPr>
                        <w:pStyle w:val="14"/>
                        <w:ind w:left="417" w:right="416"/>
                        <w:jc w:val="center"/>
                        <w:rPr>
                          <w:rFonts w:ascii="宋体" w:hAnsi="宋体" w:cs="宋体"/>
                        </w:rPr>
                      </w:pPr>
                      <w:r>
                        <w:rPr>
                          <w:rFonts w:hint="eastAsia" w:ascii="宋体" w:hAnsi="宋体" w:cs="宋体"/>
                        </w:rPr>
                        <w:t>授权代表身份证复印件</w:t>
                      </w:r>
                    </w:p>
                    <w:p w14:paraId="3315AFC5">
                      <w:pPr>
                        <w:pStyle w:val="14"/>
                        <w:spacing w:before="2"/>
                        <w:ind w:left="417" w:right="416"/>
                        <w:jc w:val="center"/>
                        <w:rPr>
                          <w:rFonts w:ascii="宋体" w:hAnsi="宋体" w:cs="宋体"/>
                        </w:rPr>
                      </w:pPr>
                      <w:r>
                        <w:rPr>
                          <w:rFonts w:hint="eastAsia" w:ascii="宋体" w:hAnsi="宋体" w:cs="宋体"/>
                        </w:rPr>
                        <w:t>（正面）</w:t>
                      </w:r>
                    </w:p>
                  </w:txbxContent>
                </v:textbox>
                <w10:wrap type="topAndBottom"/>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1513840</wp:posOffset>
                </wp:positionV>
                <wp:extent cx="2240915" cy="1125855"/>
                <wp:effectExtent l="4445" t="4445" r="10795" b="1397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3DB49F97">
                            <w:pPr>
                              <w:pStyle w:val="14"/>
                              <w:rPr>
                                <w:rFonts w:ascii="宋体" w:hAnsi="宋体" w:cs="宋体"/>
                              </w:rPr>
                            </w:pPr>
                          </w:p>
                          <w:p w14:paraId="5C71F3AA">
                            <w:pPr>
                              <w:pStyle w:val="14"/>
                              <w:ind w:left="417" w:right="417"/>
                              <w:jc w:val="center"/>
                              <w:rPr>
                                <w:rFonts w:ascii="宋体" w:hAnsi="宋体" w:cs="宋体"/>
                              </w:rPr>
                            </w:pPr>
                            <w:r>
                              <w:rPr>
                                <w:rFonts w:hint="eastAsia" w:ascii="宋体" w:hAnsi="宋体" w:cs="宋体"/>
                              </w:rPr>
                              <w:t>法定代表人身份证复印件</w:t>
                            </w:r>
                          </w:p>
                          <w:p w14:paraId="74596F9F">
                            <w:pPr>
                              <w:pStyle w:val="14"/>
                              <w:spacing w:before="8"/>
                              <w:ind w:left="417" w:right="416"/>
                              <w:jc w:val="center"/>
                              <w:rPr>
                                <w:rFonts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5168;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N0TntsAAAAL&#10;AQAADwAAAAAAAAABACAAAAAiAAAAZHJzL2Rvd25yZXYueG1sUEsBAhQAFAAAAAgAh07iQEIEuIoZ&#10;AgAAQgQAAA4AAAAAAAAAAQAgAAAAKgEAAGRycy9lMm9Eb2MueG1sUEsFBgAAAAAGAAYAWQEAALUF&#10;AAAAAA==&#10;">
                <v:fill on="f" focussize="0,0"/>
                <v:stroke color="#000000" joinstyle="miter"/>
                <v:imagedata o:title=""/>
                <o:lock v:ext="edit" aspectratio="f"/>
                <v:textbox inset="0mm,0mm,0mm,0mm">
                  <w:txbxContent>
                    <w:p w14:paraId="3DB49F97">
                      <w:pPr>
                        <w:pStyle w:val="14"/>
                        <w:rPr>
                          <w:rFonts w:ascii="宋体" w:hAnsi="宋体" w:cs="宋体"/>
                        </w:rPr>
                      </w:pPr>
                    </w:p>
                    <w:p w14:paraId="5C71F3AA">
                      <w:pPr>
                        <w:pStyle w:val="14"/>
                        <w:ind w:left="417" w:right="417"/>
                        <w:jc w:val="center"/>
                        <w:rPr>
                          <w:rFonts w:ascii="宋体" w:hAnsi="宋体" w:cs="宋体"/>
                        </w:rPr>
                      </w:pPr>
                      <w:r>
                        <w:rPr>
                          <w:rFonts w:hint="eastAsia" w:ascii="宋体" w:hAnsi="宋体" w:cs="宋体"/>
                        </w:rPr>
                        <w:t>法定代表人身份证复印件</w:t>
                      </w:r>
                    </w:p>
                    <w:p w14:paraId="74596F9F">
                      <w:pPr>
                        <w:pStyle w:val="14"/>
                        <w:spacing w:before="8"/>
                        <w:ind w:left="417" w:right="416"/>
                        <w:jc w:val="center"/>
                        <w:rPr>
                          <w:rFonts w:ascii="宋体" w:hAnsi="宋体" w:cs="宋体"/>
                        </w:rPr>
                      </w:pPr>
                      <w:r>
                        <w:rPr>
                          <w:rFonts w:hint="eastAsia" w:ascii="宋体" w:hAnsi="宋体" w:cs="宋体"/>
                        </w:rPr>
                        <w:t>（反面）</w:t>
                      </w:r>
                    </w:p>
                  </w:txbxContent>
                </v:textbox>
                <w10:wrap type="topAndBottom"/>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1515745</wp:posOffset>
                </wp:positionV>
                <wp:extent cx="2240915" cy="1125855"/>
                <wp:effectExtent l="4445" t="4445" r="10795" b="1397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090BEDD4">
                            <w:pPr>
                              <w:pStyle w:val="14"/>
                              <w:rPr>
                                <w:rFonts w:ascii="宋体" w:hAnsi="宋体" w:cs="宋体"/>
                              </w:rPr>
                            </w:pPr>
                          </w:p>
                          <w:p w14:paraId="5FD03EF5">
                            <w:pPr>
                              <w:pStyle w:val="14"/>
                              <w:ind w:left="417" w:right="416"/>
                              <w:jc w:val="center"/>
                              <w:rPr>
                                <w:rFonts w:ascii="宋体" w:hAnsi="宋体" w:cs="宋体"/>
                              </w:rPr>
                            </w:pPr>
                            <w:r>
                              <w:rPr>
                                <w:rFonts w:hint="eastAsia" w:ascii="宋体" w:hAnsi="宋体" w:cs="宋体"/>
                              </w:rPr>
                              <w:t>授权代表身份证复印件</w:t>
                            </w:r>
                          </w:p>
                          <w:p w14:paraId="6FF60480">
                            <w:pPr>
                              <w:pStyle w:val="14"/>
                              <w:spacing w:before="3"/>
                              <w:ind w:left="417" w:right="416"/>
                              <w:jc w:val="center"/>
                              <w:rPr>
                                <w:rFonts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4144;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pON3dsAAAAL&#10;AQAADwAAAAAAAAABACAAAAAiAAAAZHJzL2Rvd25yZXYueG1sUEsBAhQAFAAAAAgAh07iQO3tmbIZ&#10;AgAAQgQAAA4AAAAAAAAAAQAgAAAAKgEAAGRycy9lMm9Eb2MueG1sUEsFBgAAAAAGAAYAWQEAALUF&#10;AAAAAA==&#10;">
                <v:fill on="f" focussize="0,0"/>
                <v:stroke color="#000000" joinstyle="miter"/>
                <v:imagedata o:title=""/>
                <o:lock v:ext="edit" aspectratio="f"/>
                <v:textbox inset="0mm,0mm,0mm,0mm">
                  <w:txbxContent>
                    <w:p w14:paraId="090BEDD4">
                      <w:pPr>
                        <w:pStyle w:val="14"/>
                        <w:rPr>
                          <w:rFonts w:ascii="宋体" w:hAnsi="宋体" w:cs="宋体"/>
                        </w:rPr>
                      </w:pPr>
                    </w:p>
                    <w:p w14:paraId="5FD03EF5">
                      <w:pPr>
                        <w:pStyle w:val="14"/>
                        <w:ind w:left="417" w:right="416"/>
                        <w:jc w:val="center"/>
                        <w:rPr>
                          <w:rFonts w:ascii="宋体" w:hAnsi="宋体" w:cs="宋体"/>
                        </w:rPr>
                      </w:pPr>
                      <w:r>
                        <w:rPr>
                          <w:rFonts w:hint="eastAsia" w:ascii="宋体" w:hAnsi="宋体" w:cs="宋体"/>
                        </w:rPr>
                        <w:t>授权代表身份证复印件</w:t>
                      </w:r>
                    </w:p>
                    <w:p w14:paraId="6FF60480">
                      <w:pPr>
                        <w:pStyle w:val="14"/>
                        <w:spacing w:before="3"/>
                        <w:ind w:left="417" w:right="416"/>
                        <w:jc w:val="center"/>
                        <w:rPr>
                          <w:rFonts w:ascii="宋体" w:hAnsi="宋体" w:cs="宋体"/>
                        </w:rPr>
                      </w:pPr>
                      <w:r>
                        <w:rPr>
                          <w:rFonts w:hint="eastAsia" w:ascii="宋体" w:hAnsi="宋体" w:cs="宋体"/>
                        </w:rPr>
                        <w:t>（反面）</w:t>
                      </w:r>
                    </w:p>
                  </w:txbxContent>
                </v:textbox>
                <w10:wrap type="topAndBottom"/>
              </v:shape>
            </w:pict>
          </mc:Fallback>
        </mc:AlternateContent>
      </w:r>
    </w:p>
    <w:p w14:paraId="31A7D8D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D2E20E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1E9AB91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0B81344">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772641D5">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5D08260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F128AD3">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 xml:space="preserve"> </w:t>
      </w:r>
    </w:p>
    <w:p w14:paraId="38EC4311">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42" w:name="_Toc507586173"/>
      <w:r>
        <w:rPr>
          <w:rFonts w:hint="eastAsia" w:ascii="仿宋" w:hAnsi="仿宋" w:eastAsia="仿宋" w:cs="仿宋"/>
          <w:b/>
          <w:color w:val="auto"/>
          <w:sz w:val="24"/>
          <w:szCs w:val="24"/>
          <w:highlight w:val="none"/>
          <w:shd w:val="clear" w:color="auto" w:fill="FFFFFF" w:themeFill="background1"/>
        </w:rPr>
        <w:br w:type="page"/>
      </w:r>
      <w:bookmarkStart w:id="343" w:name="_Toc22909"/>
      <w:bookmarkStart w:id="344" w:name="_Toc38446478"/>
      <w:bookmarkStart w:id="345" w:name="_Toc533503189"/>
      <w:bookmarkStart w:id="346" w:name="_Toc30621"/>
      <w:r>
        <w:rPr>
          <w:rFonts w:hint="eastAsia" w:ascii="仿宋" w:hAnsi="仿宋" w:eastAsia="仿宋" w:cs="仿宋"/>
          <w:b/>
          <w:color w:val="auto"/>
          <w:sz w:val="24"/>
          <w:szCs w:val="24"/>
          <w:highlight w:val="none"/>
          <w:shd w:val="clear" w:color="auto" w:fill="FFFFFF" w:themeFill="background1"/>
        </w:rPr>
        <w:t>八、投标人基本情况</w:t>
      </w:r>
      <w:bookmarkEnd w:id="342"/>
      <w:bookmarkEnd w:id="343"/>
      <w:bookmarkEnd w:id="344"/>
      <w:bookmarkEnd w:id="345"/>
      <w:bookmarkEnd w:id="346"/>
    </w:p>
    <w:p w14:paraId="1414B865">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42"/>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42C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33E78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投标人名称</w:t>
            </w:r>
          </w:p>
        </w:tc>
        <w:tc>
          <w:tcPr>
            <w:tcW w:w="7300" w:type="dxa"/>
            <w:gridSpan w:val="3"/>
            <w:vAlign w:val="center"/>
          </w:tcPr>
          <w:p w14:paraId="7E123F4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0481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B59A43C">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注册地址</w:t>
            </w:r>
          </w:p>
        </w:tc>
        <w:tc>
          <w:tcPr>
            <w:tcW w:w="3165" w:type="dxa"/>
            <w:vAlign w:val="center"/>
          </w:tcPr>
          <w:p w14:paraId="36EFCC2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2F31451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邮政编码</w:t>
            </w:r>
          </w:p>
        </w:tc>
        <w:tc>
          <w:tcPr>
            <w:tcW w:w="2140" w:type="dxa"/>
            <w:vAlign w:val="center"/>
          </w:tcPr>
          <w:p w14:paraId="7CDF8A2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EDF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8521BB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成立时间</w:t>
            </w:r>
          </w:p>
        </w:tc>
        <w:tc>
          <w:tcPr>
            <w:tcW w:w="3165" w:type="dxa"/>
            <w:vAlign w:val="center"/>
          </w:tcPr>
          <w:p w14:paraId="20C31BF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75C7BD69">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企业性质</w:t>
            </w:r>
          </w:p>
        </w:tc>
        <w:tc>
          <w:tcPr>
            <w:tcW w:w="2140" w:type="dxa"/>
            <w:vAlign w:val="center"/>
          </w:tcPr>
          <w:p w14:paraId="6268DCA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AF2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F32806B">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营业执照号</w:t>
            </w:r>
          </w:p>
        </w:tc>
        <w:tc>
          <w:tcPr>
            <w:tcW w:w="3165" w:type="dxa"/>
            <w:vAlign w:val="center"/>
          </w:tcPr>
          <w:p w14:paraId="08D8370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63AA4C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注册资金</w:t>
            </w:r>
          </w:p>
        </w:tc>
        <w:tc>
          <w:tcPr>
            <w:tcW w:w="2140" w:type="dxa"/>
            <w:vAlign w:val="center"/>
          </w:tcPr>
          <w:p w14:paraId="2BFF329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980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C230AF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p>
        </w:tc>
        <w:tc>
          <w:tcPr>
            <w:tcW w:w="3165" w:type="dxa"/>
            <w:vAlign w:val="center"/>
          </w:tcPr>
          <w:p w14:paraId="4005D32A">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230B7108">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电话</w:t>
            </w:r>
          </w:p>
        </w:tc>
        <w:tc>
          <w:tcPr>
            <w:tcW w:w="2140" w:type="dxa"/>
            <w:vAlign w:val="center"/>
          </w:tcPr>
          <w:p w14:paraId="502FEC8B">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11E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3F0B75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联系人</w:t>
            </w:r>
          </w:p>
        </w:tc>
        <w:tc>
          <w:tcPr>
            <w:tcW w:w="3165" w:type="dxa"/>
            <w:vAlign w:val="center"/>
          </w:tcPr>
          <w:p w14:paraId="4C34F908">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28A8CF1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电话</w:t>
            </w:r>
          </w:p>
        </w:tc>
        <w:tc>
          <w:tcPr>
            <w:tcW w:w="2140" w:type="dxa"/>
            <w:vAlign w:val="center"/>
          </w:tcPr>
          <w:p w14:paraId="74B969BA">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839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D24C31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传真</w:t>
            </w:r>
          </w:p>
        </w:tc>
        <w:tc>
          <w:tcPr>
            <w:tcW w:w="3165" w:type="dxa"/>
            <w:vAlign w:val="center"/>
          </w:tcPr>
          <w:p w14:paraId="45F69199">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00E3FEE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网址</w:t>
            </w:r>
          </w:p>
        </w:tc>
        <w:tc>
          <w:tcPr>
            <w:tcW w:w="2140" w:type="dxa"/>
            <w:vAlign w:val="center"/>
          </w:tcPr>
          <w:p w14:paraId="48AB7F4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0789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0C797D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开户银行</w:t>
            </w:r>
          </w:p>
        </w:tc>
        <w:tc>
          <w:tcPr>
            <w:tcW w:w="3165" w:type="dxa"/>
            <w:vAlign w:val="center"/>
          </w:tcPr>
          <w:p w14:paraId="502089C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23D3C15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lang w:eastAsia="zh-CN"/>
              </w:rPr>
            </w:pPr>
            <w:r>
              <w:rPr>
                <w:rFonts w:hint="eastAsia" w:ascii="仿宋" w:hAnsi="仿宋" w:eastAsia="仿宋" w:cs="仿宋"/>
                <w:color w:val="auto"/>
                <w:kern w:val="0"/>
                <w:sz w:val="24"/>
                <w:szCs w:val="24"/>
                <w:highlight w:val="none"/>
                <w:shd w:val="clear" w:color="auto" w:fill="FFFFFF" w:themeFill="background1"/>
              </w:rPr>
              <w:t>银行</w:t>
            </w:r>
            <w:r>
              <w:rPr>
                <w:rFonts w:hint="eastAsia" w:ascii="仿宋" w:hAnsi="仿宋" w:eastAsia="仿宋" w:cs="仿宋"/>
                <w:color w:val="auto"/>
                <w:kern w:val="0"/>
                <w:sz w:val="24"/>
                <w:szCs w:val="24"/>
                <w:highlight w:val="none"/>
                <w:shd w:val="clear" w:color="auto" w:fill="FFFFFF" w:themeFill="background1"/>
                <w:lang w:eastAsia="zh-CN"/>
              </w:rPr>
              <w:t>账号</w:t>
            </w:r>
          </w:p>
        </w:tc>
        <w:tc>
          <w:tcPr>
            <w:tcW w:w="2140" w:type="dxa"/>
            <w:vAlign w:val="center"/>
          </w:tcPr>
          <w:p w14:paraId="236FF3D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B3D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79CDD2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职工概况</w:t>
            </w:r>
          </w:p>
        </w:tc>
        <w:tc>
          <w:tcPr>
            <w:tcW w:w="7300" w:type="dxa"/>
            <w:gridSpan w:val="3"/>
            <w:vAlign w:val="center"/>
          </w:tcPr>
          <w:p w14:paraId="0B5DB4D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6F4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82D219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经营范围</w:t>
            </w:r>
          </w:p>
        </w:tc>
        <w:tc>
          <w:tcPr>
            <w:tcW w:w="7300" w:type="dxa"/>
            <w:gridSpan w:val="3"/>
            <w:vAlign w:val="center"/>
          </w:tcPr>
          <w:p w14:paraId="7EE94BA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bl>
    <w:p w14:paraId="6E074D6D">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p>
    <w:p w14:paraId="69BA6B4F">
      <w:pPr>
        <w:widowControl/>
        <w:jc w:val="left"/>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br w:type="page"/>
      </w:r>
    </w:p>
    <w:p w14:paraId="0971CE7C">
      <w:pPr>
        <w:rPr>
          <w:rFonts w:hint="eastAsia" w:ascii="仿宋" w:hAnsi="仿宋" w:eastAsia="仿宋" w:cs="仿宋"/>
          <w:color w:val="auto"/>
          <w:highlight w:val="none"/>
          <w:shd w:val="clear" w:color="auto" w:fill="FFFFFF" w:themeFill="background1"/>
        </w:rPr>
      </w:pPr>
      <w:bookmarkStart w:id="347" w:name="_Toc109143671"/>
      <w:bookmarkStart w:id="348" w:name="_Toc32366"/>
      <w:bookmarkStart w:id="349" w:name="_Toc11207"/>
      <w:bookmarkStart w:id="350" w:name="_Toc107422184"/>
      <w:bookmarkStart w:id="351" w:name="_Toc111556487"/>
    </w:p>
    <w:p w14:paraId="18A357C7">
      <w:pPr>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52" w:name="_Toc16611"/>
      <w:bookmarkStart w:id="353" w:name="_Toc20683"/>
      <w:bookmarkStart w:id="354" w:name="_Toc128476878"/>
      <w:bookmarkStart w:id="355" w:name="_Toc113901849"/>
      <w:bookmarkStart w:id="356" w:name="_Toc133453662"/>
      <w:r>
        <w:rPr>
          <w:rFonts w:hint="eastAsia" w:ascii="仿宋" w:hAnsi="仿宋" w:eastAsia="仿宋" w:cs="仿宋"/>
          <w:b/>
          <w:color w:val="auto"/>
          <w:sz w:val="24"/>
          <w:szCs w:val="24"/>
          <w:highlight w:val="none"/>
          <w:shd w:val="clear" w:color="auto" w:fill="FFFFFF" w:themeFill="background1"/>
        </w:rPr>
        <w:t>8.1</w:t>
      </w:r>
      <w:bookmarkEnd w:id="347"/>
      <w:bookmarkEnd w:id="348"/>
      <w:bookmarkEnd w:id="349"/>
      <w:bookmarkEnd w:id="350"/>
      <w:r>
        <w:rPr>
          <w:rFonts w:hint="eastAsia" w:ascii="仿宋" w:hAnsi="仿宋" w:eastAsia="仿宋" w:cs="仿宋"/>
          <w:b/>
          <w:color w:val="auto"/>
          <w:sz w:val="24"/>
          <w:szCs w:val="24"/>
          <w:highlight w:val="none"/>
          <w:shd w:val="clear" w:color="auto" w:fill="FFFFFF" w:themeFill="background1"/>
        </w:rPr>
        <w:t>法人或者其他组织的营业执照等证明文件，自然人的身份证明</w:t>
      </w:r>
      <w:bookmarkEnd w:id="352"/>
      <w:bookmarkEnd w:id="353"/>
      <w:bookmarkEnd w:id="354"/>
      <w:bookmarkEnd w:id="355"/>
      <w:bookmarkEnd w:id="356"/>
    </w:p>
    <w:p w14:paraId="68AAA4D6">
      <w:pPr>
        <w:spacing w:line="360" w:lineRule="auto"/>
        <w:rPr>
          <w:rFonts w:hint="eastAsia" w:ascii="仿宋" w:hAnsi="仿宋" w:eastAsia="仿宋" w:cs="仿宋"/>
          <w:color w:val="auto"/>
          <w:sz w:val="24"/>
          <w:szCs w:val="24"/>
          <w:highlight w:val="none"/>
          <w:shd w:val="clear" w:color="auto" w:fill="FFFFFF" w:themeFill="background1"/>
        </w:rPr>
      </w:pPr>
    </w:p>
    <w:p w14:paraId="44AAAA2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lang w:val="en-US" w:eastAsia="zh-CN"/>
        </w:rPr>
        <w:t>1</w:t>
      </w: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rPr>
        <w:t>如投标人是企业（包括合伙企业)，应提供在工商部门注册的有效“企业法人营业执照”或“营业执照”;</w:t>
      </w:r>
    </w:p>
    <w:p w14:paraId="5331273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lang w:val="en-US" w:eastAsia="zh-CN"/>
        </w:rPr>
        <w:t>2</w:t>
      </w: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rPr>
        <w:t>如投标人是事业单位，应提供有效的“事业单位法人证书”;</w:t>
      </w:r>
    </w:p>
    <w:p w14:paraId="1F40C6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lang w:val="en-US" w:eastAsia="zh-CN"/>
        </w:rPr>
        <w:t>3</w:t>
      </w: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rPr>
        <w:t>投标人是非企业专业服务机构的，应提供执业许可证等证明文件;</w:t>
      </w:r>
    </w:p>
    <w:p w14:paraId="49F89BF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lang w:val="en-US" w:eastAsia="zh-CN"/>
        </w:rPr>
        <w:t>4</w:t>
      </w: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rPr>
        <w:t>如投标人是个体工商户，应提供有效的“个体工商户营业执照”;</w:t>
      </w:r>
    </w:p>
    <w:p w14:paraId="6063B544">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lang w:val="en-US" w:eastAsia="zh-CN"/>
        </w:rPr>
        <w:t>5</w:t>
      </w: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rPr>
        <w:t>如投标人是自然人，应提供有效的自然人身份证明。</w:t>
      </w:r>
    </w:p>
    <w:p w14:paraId="7615C9FE">
      <w:pPr>
        <w:spacing w:line="360" w:lineRule="auto"/>
        <w:rPr>
          <w:rFonts w:hint="eastAsia" w:ascii="仿宋" w:hAnsi="仿宋" w:eastAsia="仿宋" w:cs="仿宋"/>
          <w:color w:val="auto"/>
          <w:sz w:val="24"/>
          <w:szCs w:val="24"/>
          <w:highlight w:val="none"/>
          <w:shd w:val="clear" w:color="auto" w:fill="FFFFFF" w:themeFill="background1"/>
        </w:rPr>
      </w:pPr>
    </w:p>
    <w:p w14:paraId="56EC4867">
      <w:pPr>
        <w:spacing w:line="360" w:lineRule="auto"/>
        <w:rPr>
          <w:rFonts w:hint="eastAsia" w:ascii="仿宋" w:hAnsi="仿宋" w:eastAsia="仿宋" w:cs="仿宋"/>
          <w:color w:val="auto"/>
          <w:sz w:val="24"/>
          <w:szCs w:val="24"/>
          <w:highlight w:val="none"/>
          <w:shd w:val="clear" w:color="auto" w:fill="FFFFFF" w:themeFill="background1"/>
        </w:rPr>
      </w:pPr>
    </w:p>
    <w:p w14:paraId="592A6BAA">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27148B54">
      <w:pPr>
        <w:rPr>
          <w:rFonts w:hint="eastAsia" w:ascii="仿宋" w:hAnsi="仿宋" w:eastAsia="仿宋" w:cs="仿宋"/>
          <w:color w:val="auto"/>
          <w:highlight w:val="none"/>
          <w:shd w:val="clear" w:color="auto" w:fill="FFFFFF" w:themeFill="background1"/>
        </w:rPr>
      </w:pPr>
    </w:p>
    <w:p w14:paraId="3727347B">
      <w:pPr>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57" w:name="_Toc128476879"/>
      <w:bookmarkStart w:id="358" w:name="_Toc133453663"/>
      <w:bookmarkStart w:id="359" w:name="_Toc18165"/>
      <w:bookmarkStart w:id="360" w:name="_Toc113901850"/>
      <w:bookmarkStart w:id="361" w:name="_Toc10010"/>
      <w:r>
        <w:rPr>
          <w:rFonts w:hint="eastAsia" w:ascii="仿宋" w:hAnsi="仿宋" w:eastAsia="仿宋" w:cs="仿宋"/>
          <w:b/>
          <w:color w:val="auto"/>
          <w:sz w:val="24"/>
          <w:szCs w:val="24"/>
          <w:highlight w:val="none"/>
          <w:shd w:val="clear" w:color="auto" w:fill="FFFFFF" w:themeFill="background1"/>
        </w:rPr>
        <w:t>8.2</w:t>
      </w:r>
      <w:bookmarkEnd w:id="351"/>
      <w:r>
        <w:rPr>
          <w:rFonts w:hint="eastAsia" w:ascii="仿宋" w:hAnsi="仿宋" w:eastAsia="仿宋" w:cs="仿宋"/>
          <w:b/>
          <w:color w:val="auto"/>
          <w:sz w:val="24"/>
          <w:szCs w:val="24"/>
          <w:highlight w:val="none"/>
          <w:shd w:val="clear" w:color="auto" w:fill="FFFFFF" w:themeFill="background1"/>
        </w:rPr>
        <w:t>财务状况报告，依法缴纳税收和社会保障资金的相关材料</w:t>
      </w:r>
      <w:bookmarkEnd w:id="357"/>
      <w:bookmarkEnd w:id="358"/>
      <w:bookmarkEnd w:id="359"/>
      <w:bookmarkEnd w:id="360"/>
      <w:bookmarkEnd w:id="361"/>
    </w:p>
    <w:p w14:paraId="6B435AAF">
      <w:pPr>
        <w:pStyle w:val="14"/>
        <w:spacing w:line="360" w:lineRule="auto"/>
        <w:rPr>
          <w:rFonts w:hint="eastAsia" w:ascii="仿宋" w:hAnsi="仿宋" w:eastAsia="仿宋" w:cs="仿宋"/>
          <w:color w:val="auto"/>
          <w:spacing w:val="10"/>
          <w:szCs w:val="24"/>
          <w:highlight w:val="none"/>
          <w:shd w:val="clear" w:color="auto" w:fill="FFFFFF" w:themeFill="background1"/>
        </w:rPr>
      </w:pPr>
    </w:p>
    <w:p w14:paraId="26861CBF">
      <w:pPr>
        <w:spacing w:line="360" w:lineRule="auto"/>
        <w:ind w:firstLine="480" w:firstLineChars="200"/>
        <w:rPr>
          <w:rFonts w:hint="eastAsia" w:ascii="仿宋" w:hAnsi="仿宋" w:eastAsia="仿宋" w:cs="仿宋"/>
          <w:color w:val="auto"/>
          <w:sz w:val="24"/>
          <w:szCs w:val="24"/>
          <w:highlight w:val="none"/>
        </w:rPr>
      </w:pPr>
      <w:bookmarkStart w:id="362" w:name="_Toc30348"/>
      <w:bookmarkStart w:id="363" w:name="_Toc113901851"/>
      <w:bookmarkStart w:id="364" w:name="_Toc128476880"/>
      <w:bookmarkStart w:id="365" w:name="_Toc111556488"/>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财务状况报告（满足下述一条要求即可）：</w:t>
      </w:r>
    </w:p>
    <w:p w14:paraId="3001E9E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要求1、经审计的财务报告（2023年度</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2024年度，包括“四表-注”，即资产负债表、利润表、现金流量表、所有者权益变动表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及其附注）或银行出具的资信/金证明。</w:t>
      </w:r>
    </w:p>
    <w:p w14:paraId="480235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要求2、财政部门认可的政府采购专业担保机构出具的有效期内的投标担保函。</w:t>
      </w:r>
    </w:p>
    <w:p w14:paraId="2B03E3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要求3、2025年度成立的</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无需提供。</w:t>
      </w:r>
    </w:p>
    <w:p w14:paraId="4E319B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依法缴纳税收和社会保障资金的相关材料</w:t>
      </w:r>
    </w:p>
    <w:p w14:paraId="3AF7EB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依法缴纳税收的证明材料：</w:t>
      </w:r>
    </w:p>
    <w:p w14:paraId="54C757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参加政府采购活动前一段时间（响应文件递交截止之日前六个月内任一个月）内缴纳税收的完税凭证（指各种完税证、缴款书、印花税票、扣（收）税凭证以及其他完税证明）。</w:t>
      </w:r>
    </w:p>
    <w:p w14:paraId="455D27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依法缴纳社会保障资金的证明材料：</w:t>
      </w:r>
    </w:p>
    <w:p w14:paraId="7D2214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参加政府采购活动前一段时间（响应文件递交截止之日前六个月内任一个月）内缴纳社会保险的凭据，其他组织和自然人也需要提供缴纳税收的凭据和缴纳社会保险的凭据。</w:t>
      </w:r>
    </w:p>
    <w:p w14:paraId="21E870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，应提供相应文件证明其依法免税或不需要缴纳社会保障资金。</w:t>
      </w:r>
    </w:p>
    <w:p w14:paraId="478C33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注：</w:t>
      </w:r>
    </w:p>
    <w:p w14:paraId="25EB32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如因有关主管部门政策调整，部分证明材料有所增减，以最新政策要求为准；</w:t>
      </w:r>
    </w:p>
    <w:p w14:paraId="041A96AD">
      <w:pPr>
        <w:spacing w:line="360" w:lineRule="auto"/>
        <w:ind w:firstLine="480" w:firstLineChars="200"/>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所在地有关主管部门反馈的证明材料与本文中要求不一致时，以当地要求为准，但须</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提供文字说明。</w:t>
      </w:r>
      <w:r>
        <w:rPr>
          <w:rFonts w:hint="eastAsia" w:ascii="仿宋" w:hAnsi="仿宋" w:eastAsia="仿宋" w:cs="仿宋"/>
          <w:b/>
          <w:color w:val="auto"/>
          <w:sz w:val="24"/>
          <w:szCs w:val="24"/>
          <w:highlight w:val="none"/>
          <w:shd w:val="clear" w:color="auto" w:fill="FFFFFF" w:themeFill="background1"/>
        </w:rPr>
        <w:br w:type="page"/>
      </w:r>
    </w:p>
    <w:p w14:paraId="5968D9CF">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66" w:name="_Toc133453664"/>
      <w:bookmarkStart w:id="367" w:name="_Toc8098"/>
      <w:r>
        <w:rPr>
          <w:rFonts w:hint="eastAsia" w:ascii="仿宋" w:hAnsi="仿宋" w:eastAsia="仿宋" w:cs="仿宋"/>
          <w:b/>
          <w:color w:val="auto"/>
          <w:sz w:val="24"/>
          <w:szCs w:val="24"/>
          <w:highlight w:val="none"/>
          <w:shd w:val="clear" w:color="auto" w:fill="FFFFFF" w:themeFill="background1"/>
        </w:rPr>
        <w:t>8.3具备履行合同所必需的设备和专业技术能力的证明材料</w:t>
      </w:r>
      <w:bookmarkEnd w:id="362"/>
      <w:bookmarkEnd w:id="363"/>
      <w:bookmarkEnd w:id="364"/>
      <w:bookmarkEnd w:id="366"/>
      <w:bookmarkEnd w:id="367"/>
    </w:p>
    <w:p w14:paraId="29CE6D73">
      <w:pPr>
        <w:spacing w:line="360" w:lineRule="auto"/>
        <w:rPr>
          <w:rFonts w:hint="eastAsia" w:ascii="仿宋" w:hAnsi="仿宋" w:eastAsia="仿宋" w:cs="仿宋"/>
          <w:color w:val="auto"/>
          <w:sz w:val="24"/>
          <w:szCs w:val="24"/>
          <w:highlight w:val="none"/>
          <w:shd w:val="clear" w:color="auto" w:fill="FFFFFF" w:themeFill="background1"/>
        </w:rPr>
      </w:pPr>
    </w:p>
    <w:p w14:paraId="428FCDD4">
      <w:pPr>
        <w:spacing w:line="360" w:lineRule="auto"/>
        <w:rPr>
          <w:rFonts w:hint="eastAsia" w:ascii="仿宋" w:hAnsi="仿宋" w:eastAsia="仿宋" w:cs="仿宋"/>
          <w:color w:val="auto"/>
          <w:sz w:val="24"/>
          <w:szCs w:val="24"/>
          <w:highlight w:val="none"/>
          <w:shd w:val="clear" w:color="auto" w:fill="FFFFFF" w:themeFill="background1"/>
        </w:rPr>
      </w:pPr>
    </w:p>
    <w:p w14:paraId="3A1E5E36">
      <w:pPr>
        <w:spacing w:line="360" w:lineRule="auto"/>
        <w:jc w:val="cente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t>具有履行合同所必需的设备和专业技术能力的承诺</w:t>
      </w:r>
      <w:bookmarkEnd w:id="365"/>
      <w:r>
        <w:rPr>
          <w:rFonts w:hint="eastAsia" w:ascii="仿宋" w:hAnsi="仿宋" w:eastAsia="仿宋" w:cs="仿宋"/>
          <w:b/>
          <w:color w:val="auto"/>
          <w:sz w:val="24"/>
          <w:szCs w:val="24"/>
          <w:highlight w:val="none"/>
          <w:shd w:val="clear" w:color="auto" w:fill="FFFFFF" w:themeFill="background1"/>
        </w:rPr>
        <w:t>函</w:t>
      </w:r>
    </w:p>
    <w:p w14:paraId="236E50B9">
      <w:pPr>
        <w:adjustRightInd w:val="0"/>
        <w:snapToGrid w:val="0"/>
        <w:spacing w:line="360" w:lineRule="auto"/>
        <w:ind w:firstLine="480" w:firstLineChars="200"/>
        <w:jc w:val="center"/>
        <w:rPr>
          <w:rFonts w:hint="eastAsia" w:ascii="仿宋" w:hAnsi="仿宋" w:eastAsia="仿宋" w:cs="仿宋"/>
          <w:color w:val="auto"/>
          <w:sz w:val="24"/>
          <w:szCs w:val="24"/>
          <w:highlight w:val="none"/>
          <w:shd w:val="clear" w:color="auto" w:fill="FFFFFF" w:themeFill="background1"/>
        </w:rPr>
      </w:pPr>
    </w:p>
    <w:p w14:paraId="11918A3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48C77D2C">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p>
    <w:p w14:paraId="21776272">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我单位郑重承诺： </w:t>
      </w:r>
    </w:p>
    <w:p w14:paraId="1E38CF2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我单位具备履行</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w:t>
      </w:r>
      <w:r>
        <w:rPr>
          <w:rFonts w:hint="eastAsia" w:ascii="仿宋" w:hAnsi="仿宋" w:eastAsia="仿宋" w:cs="仿宋"/>
          <w:color w:val="auto"/>
          <w:kern w:val="0"/>
          <w:sz w:val="24"/>
          <w:szCs w:val="24"/>
          <w:highlight w:val="none"/>
          <w:shd w:val="clear" w:color="auto" w:fill="FFFFFF" w:themeFill="background1"/>
          <w:lang w:val="en-US" w:eastAsia="zh-CN"/>
        </w:rPr>
        <w:t>项目</w:t>
      </w:r>
      <w:r>
        <w:rPr>
          <w:rFonts w:hint="eastAsia" w:ascii="仿宋" w:hAnsi="仿宋" w:eastAsia="仿宋" w:cs="仿宋"/>
          <w:color w:val="auto"/>
          <w:kern w:val="0"/>
          <w:sz w:val="24"/>
          <w:szCs w:val="24"/>
          <w:highlight w:val="none"/>
          <w:shd w:val="clear" w:color="auto" w:fill="FFFFFF" w:themeFill="background1"/>
        </w:rPr>
        <w:t>名称）合同所必需的设备和专业技术能力；</w:t>
      </w:r>
    </w:p>
    <w:p w14:paraId="74B4CB6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特此承诺。 </w:t>
      </w:r>
    </w:p>
    <w:p w14:paraId="75E8A92B">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BC5B0E6">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29D666F">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A0FA2C8">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4C1C7C20">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0877C69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414C8D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12EC44B">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1770C7ED">
      <w:pPr>
        <w:adjustRightInd w:val="0"/>
        <w:snapToGrid w:val="0"/>
        <w:spacing w:line="360" w:lineRule="auto"/>
        <w:rPr>
          <w:rFonts w:hint="eastAsia" w:ascii="仿宋" w:hAnsi="仿宋" w:eastAsia="仿宋" w:cs="仿宋"/>
          <w:bCs/>
          <w:color w:val="auto"/>
          <w:sz w:val="24"/>
          <w:szCs w:val="24"/>
          <w:highlight w:val="none"/>
          <w:shd w:val="clear" w:color="auto" w:fill="FFFFFF" w:themeFill="background1"/>
        </w:rPr>
      </w:pPr>
    </w:p>
    <w:p w14:paraId="66381B0D">
      <w:pPr>
        <w:spacing w:line="360" w:lineRule="auto"/>
        <w:rPr>
          <w:rFonts w:hint="eastAsia" w:ascii="仿宋" w:hAnsi="仿宋" w:eastAsia="仿宋" w:cs="仿宋"/>
          <w:color w:val="auto"/>
          <w:sz w:val="24"/>
          <w:szCs w:val="24"/>
          <w:highlight w:val="none"/>
          <w:shd w:val="clear" w:color="auto" w:fill="FFFFFF" w:themeFill="background1"/>
        </w:rPr>
      </w:pPr>
    </w:p>
    <w:p w14:paraId="37A7F0CC">
      <w:pPr>
        <w:spacing w:line="360" w:lineRule="auto"/>
        <w:rPr>
          <w:rFonts w:hint="eastAsia" w:ascii="仿宋" w:hAnsi="仿宋" w:eastAsia="仿宋" w:cs="仿宋"/>
          <w:color w:val="auto"/>
          <w:sz w:val="24"/>
          <w:szCs w:val="24"/>
          <w:highlight w:val="none"/>
          <w:shd w:val="clear" w:color="auto" w:fill="FFFFFF" w:themeFill="background1"/>
        </w:rPr>
      </w:pPr>
    </w:p>
    <w:p w14:paraId="160F2A7B">
      <w:pPr>
        <w:spacing w:line="360" w:lineRule="auto"/>
        <w:rPr>
          <w:rFonts w:hint="eastAsia" w:ascii="仿宋" w:hAnsi="仿宋" w:eastAsia="仿宋" w:cs="仿宋"/>
          <w:color w:val="auto"/>
          <w:sz w:val="24"/>
          <w:szCs w:val="24"/>
          <w:highlight w:val="none"/>
          <w:shd w:val="clear" w:color="auto" w:fill="FFFFFF" w:themeFill="background1"/>
        </w:rPr>
      </w:pPr>
    </w:p>
    <w:p w14:paraId="32015380">
      <w:pPr>
        <w:spacing w:line="360" w:lineRule="auto"/>
        <w:rPr>
          <w:rFonts w:hint="eastAsia" w:ascii="仿宋" w:hAnsi="仿宋" w:eastAsia="仿宋" w:cs="仿宋"/>
          <w:color w:val="auto"/>
          <w:sz w:val="24"/>
          <w:szCs w:val="24"/>
          <w:highlight w:val="none"/>
          <w:shd w:val="clear" w:color="auto" w:fill="FFFFFF" w:themeFill="background1"/>
        </w:rPr>
      </w:pPr>
    </w:p>
    <w:p w14:paraId="724FF1E5">
      <w:pPr>
        <w:spacing w:line="360" w:lineRule="auto"/>
        <w:rPr>
          <w:rFonts w:hint="eastAsia" w:ascii="仿宋" w:hAnsi="仿宋" w:eastAsia="仿宋" w:cs="仿宋"/>
          <w:color w:val="auto"/>
          <w:sz w:val="24"/>
          <w:szCs w:val="24"/>
          <w:highlight w:val="none"/>
          <w:shd w:val="clear" w:color="auto" w:fill="FFFFFF" w:themeFill="background1"/>
        </w:rPr>
      </w:pPr>
    </w:p>
    <w:p w14:paraId="142C93E5">
      <w:pPr>
        <w:spacing w:line="360" w:lineRule="auto"/>
        <w:rPr>
          <w:rFonts w:hint="eastAsia" w:ascii="仿宋" w:hAnsi="仿宋" w:eastAsia="仿宋" w:cs="仿宋"/>
          <w:color w:val="auto"/>
          <w:sz w:val="24"/>
          <w:szCs w:val="24"/>
          <w:highlight w:val="none"/>
          <w:shd w:val="clear" w:color="auto" w:fill="FFFFFF" w:themeFill="background1"/>
        </w:rPr>
      </w:pPr>
    </w:p>
    <w:p w14:paraId="57D0B5D9">
      <w:pPr>
        <w:widowControl/>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20CFC1BE">
      <w:pPr>
        <w:adjustRightInd w:val="0"/>
        <w:snapToGrid w:val="0"/>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68" w:name="_Toc113901852"/>
      <w:bookmarkStart w:id="369" w:name="_Toc13792"/>
      <w:bookmarkStart w:id="370" w:name="_Toc133453665"/>
      <w:bookmarkStart w:id="371" w:name="_Toc128476881"/>
      <w:bookmarkStart w:id="372" w:name="_Toc5703"/>
      <w:bookmarkStart w:id="373" w:name="_Toc111556490"/>
      <w:r>
        <w:rPr>
          <w:rFonts w:hint="eastAsia" w:ascii="仿宋" w:hAnsi="仿宋" w:eastAsia="仿宋" w:cs="仿宋"/>
          <w:b/>
          <w:color w:val="auto"/>
          <w:sz w:val="24"/>
          <w:szCs w:val="24"/>
          <w:highlight w:val="none"/>
          <w:shd w:val="clear" w:color="auto" w:fill="FFFFFF" w:themeFill="background1"/>
        </w:rPr>
        <w:t>8.4参加政府采购活动前3年内在经营活动中没有重大违法记录的书面声明</w:t>
      </w:r>
      <w:bookmarkEnd w:id="368"/>
      <w:bookmarkEnd w:id="369"/>
      <w:bookmarkEnd w:id="370"/>
      <w:bookmarkEnd w:id="371"/>
      <w:bookmarkEnd w:id="372"/>
    </w:p>
    <w:bookmarkEnd w:id="373"/>
    <w:p w14:paraId="2F63140E">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5C8763BC">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6ADC5F87">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6D08A78B">
      <w:pPr>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我单位在参与</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w:t>
      </w:r>
      <w:r>
        <w:rPr>
          <w:rFonts w:hint="eastAsia" w:ascii="仿宋" w:hAnsi="仿宋" w:eastAsia="仿宋" w:cs="仿宋"/>
          <w:color w:val="auto"/>
          <w:kern w:val="0"/>
          <w:sz w:val="24"/>
          <w:szCs w:val="24"/>
          <w:highlight w:val="none"/>
          <w:shd w:val="clear" w:color="auto" w:fill="FFFFFF" w:themeFill="background1"/>
          <w:lang w:val="en-US" w:eastAsia="zh-CN"/>
        </w:rPr>
        <w:t>项目</w:t>
      </w:r>
      <w:r>
        <w:rPr>
          <w:rFonts w:hint="eastAsia" w:ascii="仿宋" w:hAnsi="仿宋" w:eastAsia="仿宋" w:cs="仿宋"/>
          <w:color w:val="auto"/>
          <w:kern w:val="0"/>
          <w:sz w:val="24"/>
          <w:szCs w:val="24"/>
          <w:highlight w:val="none"/>
          <w:shd w:val="clear" w:color="auto" w:fill="FFFFFF" w:themeFill="background1"/>
        </w:rPr>
        <w:t>名称</w:t>
      </w:r>
      <w:r>
        <w:rPr>
          <w:rFonts w:hint="eastAsia" w:ascii="仿宋" w:hAnsi="仿宋" w:eastAsia="仿宋" w:cs="仿宋"/>
          <w:color w:val="auto"/>
          <w:sz w:val="24"/>
          <w:szCs w:val="24"/>
          <w:highlight w:val="none"/>
          <w:shd w:val="clear" w:color="auto" w:fill="FFFFFF" w:themeFill="background1"/>
        </w:rPr>
        <w:t>）</w:t>
      </w:r>
      <w:r>
        <w:rPr>
          <w:rFonts w:hint="eastAsia" w:ascii="仿宋" w:hAnsi="仿宋" w:eastAsia="仿宋" w:cs="仿宋"/>
          <w:color w:val="auto"/>
          <w:kern w:val="0"/>
          <w:sz w:val="24"/>
          <w:szCs w:val="24"/>
          <w:highlight w:val="none"/>
          <w:shd w:val="clear" w:color="auto" w:fill="FFFFFF" w:themeFill="background1"/>
        </w:rPr>
        <w:t>前三年内（以</w:t>
      </w:r>
      <w:r>
        <w:rPr>
          <w:rFonts w:hint="eastAsia" w:ascii="仿宋" w:hAnsi="仿宋" w:eastAsia="仿宋" w:cs="仿宋"/>
          <w:color w:val="auto"/>
          <w:sz w:val="24"/>
          <w:szCs w:val="24"/>
          <w:highlight w:val="none"/>
          <w:shd w:val="clear" w:color="auto" w:fill="FFFFFF" w:themeFill="background1"/>
        </w:rPr>
        <w:t>投标文件递交截止之日为期限</w:t>
      </w:r>
      <w:r>
        <w:rPr>
          <w:rFonts w:hint="eastAsia" w:ascii="仿宋" w:hAnsi="仿宋" w:eastAsia="仿宋" w:cs="仿宋"/>
          <w:color w:val="auto"/>
          <w:kern w:val="0"/>
          <w:sz w:val="24"/>
          <w:szCs w:val="24"/>
          <w:highlight w:val="none"/>
          <w:shd w:val="clear" w:color="auto" w:fill="FFFFFF" w:themeFill="background1"/>
        </w:rPr>
        <w:t>）在经营活动中没有重大违法记录。</w:t>
      </w:r>
    </w:p>
    <w:p w14:paraId="5E4ED008">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若贵方在本项目采购过程中发现我方参加政府采购活动前三年内有重大违法记录；</w:t>
      </w:r>
      <w:r>
        <w:rPr>
          <w:rFonts w:hint="eastAsia" w:ascii="仿宋" w:hAnsi="仿宋" w:eastAsia="仿宋" w:cs="仿宋"/>
          <w:color w:val="auto"/>
          <w:kern w:val="0"/>
          <w:sz w:val="24"/>
          <w:szCs w:val="24"/>
          <w:highlight w:val="none"/>
          <w:shd w:val="clear" w:color="auto" w:fill="FFFFFF" w:themeFill="background1"/>
        </w:rPr>
        <w:t>我单位</w:t>
      </w:r>
      <w:r>
        <w:rPr>
          <w:rFonts w:hint="eastAsia" w:ascii="仿宋" w:hAnsi="仿宋" w:eastAsia="仿宋" w:cs="仿宋"/>
          <w:color w:val="auto"/>
          <w:sz w:val="24"/>
          <w:szCs w:val="24"/>
          <w:highlight w:val="none"/>
          <w:shd w:val="clear" w:color="auto" w:fill="FFFFFF" w:themeFill="background1"/>
        </w:rPr>
        <w:t>将无条件退出本项目的投标，并承担因此引起的一切后果。我方对此声明负全部法律责任。</w:t>
      </w:r>
    </w:p>
    <w:p w14:paraId="59013C5F">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特此声明！</w:t>
      </w:r>
    </w:p>
    <w:p w14:paraId="42FD44A8">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648C34D6">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148D46E3">
      <w:pPr>
        <w:adjustRightInd w:val="0"/>
        <w:snapToGrid w:val="0"/>
        <w:spacing w:line="360" w:lineRule="auto"/>
        <w:ind w:firstLine="420" w:firstLineChars="200"/>
        <w:rPr>
          <w:rFonts w:hint="eastAsia" w:ascii="仿宋" w:hAnsi="仿宋" w:eastAsia="仿宋" w:cs="仿宋"/>
          <w:color w:val="auto"/>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w:t>
      </w:r>
    </w:p>
    <w:p w14:paraId="5F47CA02">
      <w:pPr>
        <w:adjustRightInd w:val="0"/>
        <w:snapToGrid w:val="0"/>
        <w:spacing w:line="360" w:lineRule="auto"/>
        <w:ind w:firstLine="42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若投标人在投标文件递交截止之日成立时间不足三年，以自成立以来的时间计取。</w:t>
      </w:r>
    </w:p>
    <w:p w14:paraId="2A45FB97">
      <w:pPr>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p>
    <w:p w14:paraId="433A5492">
      <w:pPr>
        <w:adjustRightInd w:val="0"/>
        <w:snapToGrid w:val="0"/>
        <w:spacing w:line="360" w:lineRule="auto"/>
        <w:ind w:firstLine="3112" w:firstLineChars="1297"/>
        <w:rPr>
          <w:rFonts w:hint="eastAsia" w:ascii="仿宋" w:hAnsi="仿宋" w:eastAsia="仿宋" w:cs="仿宋"/>
          <w:color w:val="auto"/>
          <w:sz w:val="24"/>
          <w:szCs w:val="24"/>
          <w:highlight w:val="none"/>
          <w:shd w:val="clear" w:color="auto" w:fill="FFFFFF" w:themeFill="background1"/>
        </w:rPr>
      </w:pPr>
    </w:p>
    <w:p w14:paraId="7E59395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30886455">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p>
    <w:p w14:paraId="63B1E7C0">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p>
    <w:p w14:paraId="358DA0A1">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13144215">
      <w:pPr>
        <w:widowControl/>
        <w:shd w:val="clear" w:color="auto" w:fill="FFFFFF"/>
        <w:snapToGrid w:val="0"/>
        <w:spacing w:line="360" w:lineRule="auto"/>
        <w:ind w:firstLine="420"/>
        <w:rPr>
          <w:rFonts w:hint="eastAsia" w:ascii="仿宋" w:hAnsi="仿宋" w:eastAsia="仿宋" w:cs="仿宋"/>
          <w:color w:val="auto"/>
          <w:kern w:val="0"/>
          <w:sz w:val="24"/>
          <w:szCs w:val="24"/>
          <w:highlight w:val="none"/>
          <w:shd w:val="clear" w:color="auto" w:fill="FFFFFF" w:themeFill="background1"/>
        </w:rPr>
      </w:pPr>
    </w:p>
    <w:p w14:paraId="07717102">
      <w:pPr>
        <w:widowControl/>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p>
    <w:p w14:paraId="3A3A8B67">
      <w:pPr>
        <w:adjustRightInd w:val="0"/>
        <w:snapToGrid w:val="0"/>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74" w:name="_Toc113901853"/>
      <w:bookmarkStart w:id="375" w:name="_Toc128476882"/>
      <w:bookmarkStart w:id="376" w:name="_Toc12167"/>
      <w:bookmarkStart w:id="377" w:name="_Toc133453666"/>
      <w:bookmarkStart w:id="378" w:name="_Toc15699"/>
      <w:r>
        <w:rPr>
          <w:rFonts w:hint="eastAsia" w:ascii="仿宋" w:hAnsi="仿宋" w:eastAsia="仿宋" w:cs="仿宋"/>
          <w:b/>
          <w:color w:val="auto"/>
          <w:sz w:val="24"/>
          <w:szCs w:val="24"/>
          <w:highlight w:val="none"/>
          <w:shd w:val="clear" w:color="auto" w:fill="FFFFFF" w:themeFill="background1"/>
        </w:rPr>
        <w:t>8.5具备法律、行政法规规定的其他条件的证明材料</w:t>
      </w:r>
      <w:bookmarkEnd w:id="374"/>
      <w:bookmarkEnd w:id="375"/>
      <w:bookmarkEnd w:id="376"/>
      <w:bookmarkEnd w:id="377"/>
      <w:bookmarkEnd w:id="378"/>
    </w:p>
    <w:p w14:paraId="64068D36">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01E46E92">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国家有关主管部门的行政许可（如有时）。</w:t>
      </w:r>
    </w:p>
    <w:p w14:paraId="7C29531F">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lang w:val="en-US" w:eastAsia="zh-CN"/>
        </w:rPr>
        <w:t>2</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投标人如为</w:t>
      </w:r>
      <w:r>
        <w:rPr>
          <w:rFonts w:hint="eastAsia" w:ascii="仿宋" w:hAnsi="仿宋" w:eastAsia="仿宋" w:cs="仿宋"/>
          <w:color w:val="auto"/>
          <w:kern w:val="0"/>
          <w:sz w:val="24"/>
          <w:szCs w:val="24"/>
          <w:highlight w:val="none"/>
          <w:shd w:val="clear" w:color="auto" w:fill="FFFFFF" w:themeFill="background1"/>
          <w:lang w:val="en-US" w:eastAsia="zh-CN"/>
        </w:rPr>
        <w:t>中</w:t>
      </w:r>
      <w:r>
        <w:rPr>
          <w:rFonts w:hint="eastAsia" w:ascii="仿宋" w:hAnsi="仿宋" w:eastAsia="仿宋" w:cs="仿宋"/>
          <w:color w:val="auto"/>
          <w:kern w:val="0"/>
          <w:sz w:val="24"/>
          <w:szCs w:val="24"/>
          <w:highlight w:val="none"/>
          <w:shd w:val="clear" w:color="auto" w:fill="FFFFFF" w:themeFill="background1"/>
        </w:rPr>
        <w:t>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79AFBB82">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p>
    <w:p w14:paraId="35C89FD7">
      <w:pPr>
        <w:pStyle w:val="36"/>
        <w:spacing w:line="360" w:lineRule="auto"/>
        <w:rPr>
          <w:rStyle w:val="45"/>
          <w:rFonts w:hint="eastAsia" w:ascii="仿宋" w:hAnsi="仿宋" w:eastAsia="仿宋" w:cs="仿宋"/>
          <w:color w:val="auto"/>
          <w:highlight w:val="none"/>
          <w:shd w:val="clear" w:color="auto" w:fill="FFFFFF" w:themeFill="background1"/>
        </w:rPr>
      </w:pPr>
      <w:r>
        <w:rPr>
          <w:rFonts w:hint="eastAsia" w:ascii="仿宋" w:hAnsi="仿宋" w:eastAsia="仿宋" w:cs="仿宋"/>
          <w:color w:val="auto"/>
          <w:highlight w:val="none"/>
          <w:shd w:val="clear" w:color="auto" w:fill="FFFFFF" w:themeFill="background1"/>
        </w:rPr>
        <w:t xml:space="preserve"> </w:t>
      </w:r>
      <w:r>
        <w:rPr>
          <w:rStyle w:val="45"/>
          <w:rFonts w:hint="eastAsia" w:ascii="仿宋" w:hAnsi="仿宋" w:eastAsia="仿宋" w:cs="仿宋"/>
          <w:color w:val="auto"/>
          <w:highlight w:val="none"/>
          <w:shd w:val="clear" w:color="auto" w:fill="FFFFFF" w:themeFill="background1"/>
        </w:rPr>
        <w:t xml:space="preserve">附表一、                  </w:t>
      </w:r>
    </w:p>
    <w:p w14:paraId="5D001048">
      <w:pPr>
        <w:spacing w:line="588"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中小企业声明函（工程、服务）</w:t>
      </w:r>
    </w:p>
    <w:p w14:paraId="139BFFF7">
      <w:pPr>
        <w:spacing w:line="588" w:lineRule="exact"/>
        <w:jc w:val="center"/>
        <w:rPr>
          <w:rFonts w:hint="eastAsia" w:ascii="仿宋" w:hAnsi="仿宋" w:eastAsia="仿宋" w:cs="仿宋"/>
          <w:b/>
          <w:color w:val="auto"/>
          <w:spacing w:val="6"/>
          <w:sz w:val="24"/>
          <w:highlight w:val="none"/>
        </w:rPr>
      </w:pPr>
    </w:p>
    <w:p w14:paraId="0871B03C">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806A1B">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 xml:space="preserve"> ，属于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3BDA78A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 xml:space="preserve"> ，属于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4477348">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16693A1">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AFECBB6">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42104DF8">
      <w:pPr>
        <w:spacing w:line="588" w:lineRule="exact"/>
        <w:ind w:firstLine="480" w:firstLineChars="20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251BEFE6">
      <w:pPr>
        <w:spacing w:line="588" w:lineRule="exact"/>
        <w:ind w:right="480" w:firstLine="480" w:firstLineChars="200"/>
        <w:jc w:val="righ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日期：</w:t>
      </w:r>
    </w:p>
    <w:p w14:paraId="7E5D2C34">
      <w:pPr>
        <w:spacing w:line="588" w:lineRule="exact"/>
        <w:rPr>
          <w:rStyle w:val="45"/>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注：人员、营业收入、资产总额填报上一年度数据，无上一年度数据的新成立企业可不填报。</w:t>
      </w:r>
    </w:p>
    <w:p w14:paraId="4DDDEC85">
      <w:pPr>
        <w:spacing w:line="360" w:lineRule="auto"/>
        <w:ind w:firstLine="420" w:firstLineChars="200"/>
        <w:rPr>
          <w:rFonts w:hint="eastAsia" w:ascii="仿宋" w:hAnsi="仿宋" w:eastAsia="仿宋" w:cs="仿宋"/>
          <w:color w:val="auto"/>
          <w:highlight w:val="none"/>
        </w:rPr>
      </w:pPr>
    </w:p>
    <w:p w14:paraId="5271AC7E">
      <w:pPr>
        <w:keepNext w:val="0"/>
        <w:keepLines w:val="0"/>
        <w:pageBreakBefore w:val="0"/>
        <w:tabs>
          <w:tab w:val="left" w:pos="3777"/>
          <w:tab w:val="center" w:pos="4819"/>
        </w:tabs>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379" w:name="_Toc138177925"/>
      <w:bookmarkStart w:id="380" w:name="_Toc28587"/>
      <w:bookmarkStart w:id="381" w:name="_Toc3480"/>
      <w:bookmarkStart w:id="382" w:name="_Toc2253"/>
      <w:r>
        <w:rPr>
          <w:rFonts w:hint="eastAsia" w:ascii="仿宋" w:hAnsi="仿宋" w:eastAsia="仿宋" w:cs="仿宋"/>
          <w:b/>
          <w:color w:val="auto"/>
          <w:spacing w:val="6"/>
          <w:sz w:val="24"/>
          <w:highlight w:val="none"/>
        </w:rPr>
        <w:t>监狱企业声明函</w:t>
      </w:r>
      <w:bookmarkEnd w:id="379"/>
      <w:bookmarkEnd w:id="380"/>
      <w:bookmarkEnd w:id="381"/>
      <w:bookmarkEnd w:id="382"/>
    </w:p>
    <w:p w14:paraId="1FF6AC1F">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（监狱企业适用）</w:t>
      </w:r>
    </w:p>
    <w:p w14:paraId="64274BF6">
      <w:pPr>
        <w:keepNext w:val="0"/>
        <w:keepLines w:val="0"/>
        <w:pageBreakBefore w:val="0"/>
        <w:kinsoku/>
        <w:wordWrap/>
        <w:overflowPunct/>
        <w:topLinePunct w:val="0"/>
        <w:bidi w:val="0"/>
        <w:spacing w:line="360" w:lineRule="auto"/>
        <w:ind w:firstLine="540" w:firstLineChars="2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本公司郑重声明，根据《关于政府采购支持监狱企业发展有关问题的通知》（财库[2014]68号）的规定，本公司为监狱企业。</w:t>
      </w:r>
    </w:p>
    <w:p w14:paraId="462429E9">
      <w:pPr>
        <w:keepNext w:val="0"/>
        <w:keepLines w:val="0"/>
        <w:pageBreakBefore w:val="0"/>
        <w:kinsoku/>
        <w:wordWrap/>
        <w:overflowPunct/>
        <w:topLinePunct w:val="0"/>
        <w:bidi w:val="0"/>
        <w:spacing w:line="360" w:lineRule="auto"/>
        <w:ind w:firstLine="540" w:firstLineChars="2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本公司参加______单位的______项目采购活动，采购活动提供本企业（填写制造的货物，由本企业承担工程、提供服务）。</w:t>
      </w:r>
    </w:p>
    <w:p w14:paraId="42A7BDFF">
      <w:pPr>
        <w:keepNext w:val="0"/>
        <w:keepLines w:val="0"/>
        <w:pageBreakBefore w:val="0"/>
        <w:kinsoku/>
        <w:wordWrap/>
        <w:overflowPunct/>
        <w:topLinePunct w:val="0"/>
        <w:bidi w:val="0"/>
        <w:spacing w:line="360" w:lineRule="auto"/>
        <w:ind w:firstLine="540" w:firstLineChars="2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本条所称货物不包括使用大型企业注册商标的货物和服务。</w:t>
      </w:r>
    </w:p>
    <w:p w14:paraId="2F43855B">
      <w:pPr>
        <w:keepNext w:val="0"/>
        <w:keepLines w:val="0"/>
        <w:pageBreakBefore w:val="0"/>
        <w:kinsoku/>
        <w:wordWrap/>
        <w:overflowPunct/>
        <w:topLinePunct w:val="0"/>
        <w:bidi w:val="0"/>
        <w:spacing w:line="360" w:lineRule="auto"/>
        <w:ind w:firstLine="540" w:firstLineChars="2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753B4322">
      <w:pPr>
        <w:keepNext w:val="0"/>
        <w:keepLines w:val="0"/>
        <w:pageBreakBefore w:val="0"/>
        <w:kinsoku/>
        <w:wordWrap/>
        <w:overflowPunct/>
        <w:topLinePunct w:val="0"/>
        <w:bidi w:val="0"/>
        <w:spacing w:line="360" w:lineRule="auto"/>
        <w:ind w:firstLine="4860" w:firstLineChars="2025"/>
        <w:textAlignment w:val="auto"/>
        <w:outlineLvl w:val="9"/>
        <w:rPr>
          <w:rFonts w:hint="eastAsia" w:ascii="仿宋" w:hAnsi="仿宋" w:eastAsia="仿宋" w:cs="仿宋"/>
          <w:color w:val="auto"/>
          <w:sz w:val="24"/>
          <w:szCs w:val="24"/>
          <w:highlight w:val="none"/>
        </w:rPr>
      </w:pPr>
    </w:p>
    <w:p w14:paraId="4104A7AC">
      <w:pPr>
        <w:keepNext w:val="0"/>
        <w:keepLines w:val="0"/>
        <w:pageBreakBefore w:val="0"/>
        <w:kinsoku/>
        <w:wordWrap/>
        <w:overflowPunct/>
        <w:topLinePunct w:val="0"/>
        <w:bidi w:val="0"/>
        <w:spacing w:line="360" w:lineRule="auto"/>
        <w:ind w:firstLine="4320" w:firstLine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企业名称（加盖公章）：</w:t>
      </w:r>
    </w:p>
    <w:p w14:paraId="640A408F">
      <w:pPr>
        <w:keepNext w:val="0"/>
        <w:keepLines w:val="0"/>
        <w:pageBreakBefore w:val="0"/>
        <w:kinsoku/>
        <w:wordWrap/>
        <w:overflowPunct/>
        <w:topLinePunct w:val="0"/>
        <w:bidi w:val="0"/>
        <w:spacing w:line="360" w:lineRule="auto"/>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法定代表人（负责人）或其授权代表(签字)：</w:t>
      </w:r>
    </w:p>
    <w:p w14:paraId="13846868">
      <w:pPr>
        <w:keepNext w:val="0"/>
        <w:keepLines w:val="0"/>
        <w:pageBreakBefore w:val="0"/>
        <w:tabs>
          <w:tab w:val="left" w:pos="2880"/>
        </w:tabs>
        <w:kinsoku/>
        <w:wordWrap/>
        <w:overflowPunct/>
        <w:topLinePunct w:val="0"/>
        <w:bidi w:val="0"/>
        <w:spacing w:line="460" w:lineRule="atLeast"/>
        <w:ind w:firstLine="4560" w:firstLineChars="19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5E14B18D">
      <w:pPr>
        <w:keepNext w:val="0"/>
        <w:keepLines w:val="0"/>
        <w:pageBreakBefore w:val="0"/>
        <w:kinsoku/>
        <w:wordWrap/>
        <w:overflowPunct/>
        <w:topLinePunct w:val="0"/>
        <w:bidi w:val="0"/>
        <w:spacing w:line="440" w:lineRule="exact"/>
        <w:ind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注：后附监狱企业资格证明文件</w:t>
      </w:r>
    </w:p>
    <w:p w14:paraId="575BDAD3">
      <w:pPr>
        <w:keepNext w:val="0"/>
        <w:keepLines w:val="0"/>
        <w:pageBreakBefore w:val="0"/>
        <w:kinsoku/>
        <w:wordWrap/>
        <w:overflowPunct/>
        <w:topLinePunct w:val="0"/>
        <w:bidi w:val="0"/>
        <w:spacing w:line="440" w:lineRule="exact"/>
        <w:ind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省级以上监狱管理局、戒毒管理局（含新疆生产建设兵团）出具的属于监狱企业的证明文件；</w:t>
      </w:r>
    </w:p>
    <w:p w14:paraId="33EAABBB">
      <w:pPr>
        <w:keepNext w:val="0"/>
        <w:keepLines w:val="0"/>
        <w:pageBreakBefore w:val="0"/>
        <w:kinsoku/>
        <w:wordWrap/>
        <w:overflowPunct/>
        <w:topLinePunct w:val="0"/>
        <w:bidi w:val="0"/>
        <w:spacing w:line="440" w:lineRule="exact"/>
        <w:ind w:firstLine="720" w:firstLineChars="3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2.证明材料加盖供应商公章。</w:t>
      </w:r>
    </w:p>
    <w:p w14:paraId="3B4A7A76">
      <w:pPr>
        <w:keepNext w:val="0"/>
        <w:keepLines w:val="0"/>
        <w:pageBreakBefore w:val="0"/>
        <w:kinsoku/>
        <w:wordWrap/>
        <w:overflowPunct/>
        <w:topLinePunct w:val="0"/>
        <w:bidi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（若响应性文件中无上述证明文件，则在评审时不考虑对该监狱企业的相关优惠。） </w:t>
      </w:r>
    </w:p>
    <w:p w14:paraId="3A3907F7">
      <w:pPr>
        <w:keepNext w:val="0"/>
        <w:keepLines w:val="0"/>
        <w:pageBreakBefore w:val="0"/>
        <w:tabs>
          <w:tab w:val="left" w:pos="3777"/>
          <w:tab w:val="center" w:pos="4819"/>
        </w:tabs>
        <w:kinsoku/>
        <w:wordWrap/>
        <w:overflowPunct/>
        <w:topLinePunct w:val="0"/>
        <w:bidi w:val="0"/>
        <w:spacing w:line="360" w:lineRule="auto"/>
        <w:jc w:val="center"/>
        <w:textAlignment w:val="auto"/>
        <w:outlineLvl w:val="9"/>
        <w:rPr>
          <w:rFonts w:hint="eastAsia" w:ascii="仿宋" w:hAnsi="仿宋" w:eastAsia="仿宋" w:cs="仿宋"/>
          <w:b/>
          <w:color w:val="auto"/>
          <w:spacing w:val="6"/>
          <w:sz w:val="24"/>
          <w:highlight w:val="none"/>
        </w:rPr>
      </w:pPr>
      <w:bookmarkStart w:id="383" w:name="_Toc12565"/>
      <w:bookmarkStart w:id="384" w:name="_Toc20936"/>
      <w:bookmarkStart w:id="385" w:name="_Toc2606"/>
      <w:bookmarkStart w:id="386" w:name="_Toc138177926"/>
      <w:r>
        <w:rPr>
          <w:rFonts w:hint="eastAsia" w:ascii="仿宋" w:hAnsi="仿宋" w:eastAsia="仿宋" w:cs="仿宋"/>
          <w:b/>
          <w:color w:val="auto"/>
          <w:spacing w:val="6"/>
          <w:sz w:val="24"/>
          <w:highlight w:val="none"/>
        </w:rPr>
        <w:t>残疾人福利性单位声明函</w:t>
      </w:r>
      <w:bookmarkEnd w:id="383"/>
      <w:bookmarkEnd w:id="384"/>
      <w:bookmarkEnd w:id="385"/>
      <w:bookmarkEnd w:id="386"/>
    </w:p>
    <w:p w14:paraId="09FEA8B1">
      <w:pPr>
        <w:keepNext w:val="0"/>
        <w:keepLines w:val="0"/>
        <w:pageBreakBefore w:val="0"/>
        <w:kinsoku/>
        <w:wordWrap/>
        <w:overflowPunct/>
        <w:topLinePunct w:val="0"/>
        <w:autoSpaceDE w:val="0"/>
        <w:autoSpaceDN w:val="0"/>
        <w:bidi w:val="0"/>
        <w:adjustRightInd w:val="0"/>
        <w:spacing w:line="440" w:lineRule="exact"/>
        <w:textAlignment w:val="auto"/>
        <w:outlineLvl w:val="9"/>
        <w:rPr>
          <w:rFonts w:hint="eastAsia" w:ascii="仿宋" w:hAnsi="仿宋" w:eastAsia="仿宋" w:cs="仿宋"/>
          <w:b/>
          <w:bCs/>
          <w:color w:val="auto"/>
          <w:spacing w:val="6"/>
          <w:highlight w:val="none"/>
        </w:rPr>
      </w:pPr>
    </w:p>
    <w:p w14:paraId="25B31A08">
      <w:pPr>
        <w:keepNext w:val="0"/>
        <w:keepLines w:val="0"/>
        <w:pageBreakBefore w:val="0"/>
        <w:kinsoku/>
        <w:wordWrap/>
        <w:overflowPunct/>
        <w:topLinePunct w:val="0"/>
        <w:bidi w:val="0"/>
        <w:adjustRightInd w:val="0"/>
        <w:snapToGrid w:val="0"/>
        <w:spacing w:line="440" w:lineRule="exact"/>
        <w:ind w:firstLine="504" w:firstLineChars="200"/>
        <w:textAlignment w:val="auto"/>
        <w:outlineLvl w:val="9"/>
        <w:rPr>
          <w:rFonts w:hint="eastAsia" w:ascii="仿宋" w:hAnsi="仿宋" w:eastAsia="仿宋" w:cs="仿宋"/>
          <w:color w:val="auto"/>
          <w:spacing w:val="6"/>
          <w:sz w:val="24"/>
          <w:szCs w:val="28"/>
          <w:highlight w:val="none"/>
        </w:rPr>
      </w:pPr>
      <w:r>
        <w:rPr>
          <w:rFonts w:hint="eastAsia" w:ascii="仿宋" w:hAnsi="仿宋" w:eastAsia="仿宋" w:cs="仿宋"/>
          <w:color w:val="auto"/>
          <w:spacing w:val="6"/>
          <w:sz w:val="24"/>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6467BA">
      <w:pPr>
        <w:keepNext w:val="0"/>
        <w:keepLines w:val="0"/>
        <w:pageBreakBefore w:val="0"/>
        <w:kinsoku/>
        <w:wordWrap/>
        <w:overflowPunct/>
        <w:topLinePunct w:val="0"/>
        <w:bidi w:val="0"/>
        <w:adjustRightInd w:val="0"/>
        <w:snapToGrid w:val="0"/>
        <w:spacing w:line="440" w:lineRule="exact"/>
        <w:ind w:firstLine="504" w:firstLineChars="200"/>
        <w:textAlignment w:val="auto"/>
        <w:outlineLvl w:val="9"/>
        <w:rPr>
          <w:rFonts w:hint="eastAsia" w:ascii="仿宋" w:hAnsi="仿宋" w:eastAsia="仿宋" w:cs="仿宋"/>
          <w:color w:val="auto"/>
          <w:spacing w:val="6"/>
          <w:sz w:val="24"/>
          <w:szCs w:val="28"/>
          <w:highlight w:val="none"/>
        </w:rPr>
      </w:pPr>
      <w:r>
        <w:rPr>
          <w:rFonts w:hint="eastAsia" w:ascii="仿宋" w:hAnsi="仿宋" w:eastAsia="仿宋" w:cs="仿宋"/>
          <w:color w:val="auto"/>
          <w:spacing w:val="6"/>
          <w:sz w:val="24"/>
          <w:szCs w:val="28"/>
          <w:highlight w:val="none"/>
        </w:rPr>
        <w:t xml:space="preserve">本单位对上述声明的真实性负责。如有虚假，将依法承担相应责任。 </w:t>
      </w:r>
    </w:p>
    <w:p w14:paraId="7D35CF31">
      <w:pPr>
        <w:keepNext w:val="0"/>
        <w:keepLines w:val="0"/>
        <w:pageBreakBefore w:val="0"/>
        <w:kinsoku/>
        <w:wordWrap/>
        <w:overflowPunct/>
        <w:topLinePunct w:val="0"/>
        <w:bidi w:val="0"/>
        <w:adjustRightInd w:val="0"/>
        <w:snapToGrid w:val="0"/>
        <w:spacing w:line="440" w:lineRule="exact"/>
        <w:ind w:firstLine="504" w:firstLineChars="200"/>
        <w:textAlignment w:val="auto"/>
        <w:outlineLvl w:val="9"/>
        <w:rPr>
          <w:rFonts w:hint="eastAsia" w:ascii="仿宋" w:hAnsi="仿宋" w:eastAsia="仿宋" w:cs="仿宋"/>
          <w:color w:val="auto"/>
          <w:spacing w:val="6"/>
          <w:sz w:val="24"/>
          <w:szCs w:val="28"/>
          <w:highlight w:val="none"/>
        </w:rPr>
      </w:pPr>
    </w:p>
    <w:p w14:paraId="67F500DE">
      <w:pPr>
        <w:keepNext w:val="0"/>
        <w:keepLines w:val="0"/>
        <w:pageBreakBefore w:val="0"/>
        <w:kinsoku/>
        <w:wordWrap/>
        <w:overflowPunct/>
        <w:topLinePunct w:val="0"/>
        <w:bidi w:val="0"/>
        <w:adjustRightInd w:val="0"/>
        <w:snapToGrid w:val="0"/>
        <w:spacing w:line="440" w:lineRule="exact"/>
        <w:ind w:firstLine="5544" w:firstLineChars="2200"/>
        <w:textAlignment w:val="auto"/>
        <w:outlineLvl w:val="9"/>
        <w:rPr>
          <w:rFonts w:hint="eastAsia" w:ascii="仿宋" w:hAnsi="仿宋" w:eastAsia="仿宋" w:cs="仿宋"/>
          <w:color w:val="auto"/>
          <w:spacing w:val="6"/>
          <w:sz w:val="24"/>
          <w:szCs w:val="28"/>
          <w:highlight w:val="none"/>
        </w:rPr>
      </w:pPr>
      <w:r>
        <w:rPr>
          <w:rFonts w:hint="eastAsia" w:ascii="仿宋" w:hAnsi="仿宋" w:eastAsia="仿宋" w:cs="仿宋"/>
          <w:color w:val="auto"/>
          <w:spacing w:val="6"/>
          <w:sz w:val="24"/>
          <w:szCs w:val="28"/>
          <w:highlight w:val="none"/>
        </w:rPr>
        <w:t>单位名称（盖章）：</w:t>
      </w:r>
    </w:p>
    <w:p w14:paraId="207EA999">
      <w:pPr>
        <w:keepNext w:val="0"/>
        <w:keepLines w:val="0"/>
        <w:pageBreakBefore w:val="0"/>
        <w:widowControl/>
        <w:kinsoku/>
        <w:wordWrap/>
        <w:overflowPunct/>
        <w:topLinePunct w:val="0"/>
        <w:bidi w:val="0"/>
        <w:spacing w:line="360" w:lineRule="auto"/>
        <w:jc w:val="center"/>
        <w:textAlignment w:val="auto"/>
        <w:outlineLvl w:val="9"/>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pacing w:val="6"/>
          <w:sz w:val="24"/>
          <w:szCs w:val="28"/>
          <w:highlight w:val="none"/>
          <w:lang w:val="en-US" w:eastAsia="zh-CN"/>
        </w:rPr>
        <w:t xml:space="preserve">                      </w:t>
      </w:r>
      <w:r>
        <w:rPr>
          <w:rFonts w:hint="eastAsia" w:ascii="仿宋" w:hAnsi="仿宋" w:eastAsia="仿宋" w:cs="仿宋"/>
          <w:color w:val="auto"/>
          <w:spacing w:val="6"/>
          <w:sz w:val="24"/>
          <w:szCs w:val="28"/>
          <w:highlight w:val="none"/>
        </w:rPr>
        <w:t>日  期：</w:t>
      </w:r>
    </w:p>
    <w:p w14:paraId="02DC825F">
      <w:pPr>
        <w:keepNext w:val="0"/>
        <w:keepLines w:val="0"/>
        <w:pageBreakBefore w:val="0"/>
        <w:widowControl/>
        <w:kinsoku/>
        <w:wordWrap/>
        <w:overflowPunct/>
        <w:topLinePunct w:val="0"/>
        <w:bidi w:val="0"/>
        <w:spacing w:line="360" w:lineRule="auto"/>
        <w:jc w:val="left"/>
        <w:textAlignment w:val="auto"/>
        <w:outlineLvl w:val="9"/>
        <w:rPr>
          <w:rFonts w:hint="eastAsia" w:ascii="仿宋" w:hAnsi="仿宋" w:eastAsia="仿宋" w:cs="仿宋"/>
          <w:b/>
          <w:color w:val="auto"/>
          <w:sz w:val="24"/>
          <w:szCs w:val="24"/>
          <w:highlight w:val="none"/>
          <w:shd w:val="clear" w:color="auto" w:fill="FFFFFF" w:themeFill="background1"/>
        </w:rPr>
      </w:pPr>
    </w:p>
    <w:p w14:paraId="154BC4E1">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387" w:name="_Toc507586174"/>
      <w:bookmarkStart w:id="388" w:name="_Toc38446479"/>
      <w:bookmarkStart w:id="389" w:name="_Toc533503190"/>
      <w:bookmarkStart w:id="390" w:name="_Toc25643"/>
      <w:bookmarkStart w:id="391" w:name="_Toc30180"/>
      <w:r>
        <w:rPr>
          <w:rFonts w:hint="eastAsia" w:ascii="仿宋" w:hAnsi="仿宋" w:eastAsia="仿宋" w:cs="仿宋"/>
          <w:b/>
          <w:color w:val="auto"/>
          <w:sz w:val="24"/>
          <w:szCs w:val="24"/>
          <w:highlight w:val="none"/>
          <w:shd w:val="clear" w:color="auto" w:fill="FFFFFF" w:themeFill="background1"/>
        </w:rPr>
        <w:t>九、</w:t>
      </w:r>
      <w:bookmarkEnd w:id="387"/>
      <w:bookmarkEnd w:id="388"/>
      <w:bookmarkEnd w:id="389"/>
      <w:bookmarkEnd w:id="390"/>
      <w:r>
        <w:rPr>
          <w:rFonts w:hint="eastAsia" w:ascii="仿宋" w:hAnsi="仿宋" w:eastAsia="仿宋" w:cs="仿宋"/>
          <w:b/>
          <w:bCs/>
          <w:color w:val="auto"/>
          <w:sz w:val="24"/>
          <w:szCs w:val="24"/>
          <w:highlight w:val="none"/>
          <w:shd w:val="clear" w:color="auto" w:fill="FFFFFF" w:themeFill="background1"/>
        </w:rPr>
        <w:t>投标人近三年类似项目业绩表</w:t>
      </w:r>
      <w:bookmarkEnd w:id="391"/>
    </w:p>
    <w:p w14:paraId="7F3AB0D6">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4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1402"/>
        <w:gridCol w:w="1043"/>
        <w:gridCol w:w="1246"/>
        <w:gridCol w:w="1095"/>
        <w:gridCol w:w="1111"/>
        <w:gridCol w:w="1111"/>
        <w:gridCol w:w="742"/>
      </w:tblGrid>
      <w:tr w14:paraId="4FCB2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BAFF660">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25737E2F">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37757B8E">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4E6DCBF8">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w:t>
            </w:r>
          </w:p>
          <w:p w14:paraId="7AA8A25E">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7B03615A">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557520FE">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5540D07B">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275B3836">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备注</w:t>
            </w:r>
          </w:p>
        </w:tc>
      </w:tr>
      <w:tr w14:paraId="4FA11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310E08C">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3F0A195F">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15E17D">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ADC8711">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29E9148">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434F5E7">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9168248">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1B5A755">
            <w:pPr>
              <w:jc w:val="center"/>
              <w:rPr>
                <w:rFonts w:hint="eastAsia" w:ascii="仿宋" w:hAnsi="仿宋" w:eastAsia="仿宋" w:cs="仿宋"/>
                <w:color w:val="auto"/>
                <w:kern w:val="0"/>
                <w:sz w:val="24"/>
                <w:szCs w:val="24"/>
                <w:highlight w:val="none"/>
                <w:shd w:val="clear" w:color="auto" w:fill="FFFFFF" w:themeFill="background1"/>
              </w:rPr>
            </w:pPr>
          </w:p>
        </w:tc>
      </w:tr>
      <w:tr w14:paraId="0A3FA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17E1667">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C21E8D9">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5F47275">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85BF752">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B845EC0">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327D19E">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F934748">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54E7D94">
            <w:pPr>
              <w:jc w:val="center"/>
              <w:rPr>
                <w:rFonts w:hint="eastAsia" w:ascii="仿宋" w:hAnsi="仿宋" w:eastAsia="仿宋" w:cs="仿宋"/>
                <w:color w:val="auto"/>
                <w:kern w:val="0"/>
                <w:sz w:val="24"/>
                <w:szCs w:val="24"/>
                <w:highlight w:val="none"/>
                <w:shd w:val="clear" w:color="auto" w:fill="FFFFFF" w:themeFill="background1"/>
              </w:rPr>
            </w:pPr>
          </w:p>
        </w:tc>
      </w:tr>
      <w:tr w14:paraId="35FAB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C0817B4">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5619ECC">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86D97C1">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F9F6EC7">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13011DA">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C5F7CBD">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F26073C">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AEDE31D">
            <w:pPr>
              <w:jc w:val="center"/>
              <w:rPr>
                <w:rFonts w:hint="eastAsia" w:ascii="仿宋" w:hAnsi="仿宋" w:eastAsia="仿宋" w:cs="仿宋"/>
                <w:color w:val="auto"/>
                <w:kern w:val="0"/>
                <w:sz w:val="24"/>
                <w:szCs w:val="24"/>
                <w:highlight w:val="none"/>
                <w:shd w:val="clear" w:color="auto" w:fill="FFFFFF" w:themeFill="background1"/>
              </w:rPr>
            </w:pPr>
          </w:p>
        </w:tc>
      </w:tr>
      <w:tr w14:paraId="5DA3E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6F4930C">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CDB7864">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8B26C64">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56A1E7F">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D930068">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3380647">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F41179F">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36777BA">
            <w:pPr>
              <w:jc w:val="center"/>
              <w:rPr>
                <w:rFonts w:hint="eastAsia" w:ascii="仿宋" w:hAnsi="仿宋" w:eastAsia="仿宋" w:cs="仿宋"/>
                <w:color w:val="auto"/>
                <w:kern w:val="0"/>
                <w:sz w:val="24"/>
                <w:szCs w:val="24"/>
                <w:highlight w:val="none"/>
                <w:shd w:val="clear" w:color="auto" w:fill="FFFFFF" w:themeFill="background1"/>
              </w:rPr>
            </w:pPr>
          </w:p>
        </w:tc>
      </w:tr>
      <w:tr w14:paraId="499F6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BA0FFCF">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1E179A3">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AD017DD">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A407899">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6797969">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F886573">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61372B7">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C09293D">
            <w:pPr>
              <w:jc w:val="center"/>
              <w:rPr>
                <w:rFonts w:hint="eastAsia" w:ascii="仿宋" w:hAnsi="仿宋" w:eastAsia="仿宋" w:cs="仿宋"/>
                <w:color w:val="auto"/>
                <w:kern w:val="0"/>
                <w:sz w:val="24"/>
                <w:szCs w:val="24"/>
                <w:highlight w:val="none"/>
                <w:shd w:val="clear" w:color="auto" w:fill="FFFFFF" w:themeFill="background1"/>
              </w:rPr>
            </w:pPr>
          </w:p>
        </w:tc>
      </w:tr>
    </w:tbl>
    <w:p w14:paraId="7EC46C53">
      <w:pPr>
        <w:spacing w:line="360" w:lineRule="auto"/>
        <w:jc w:val="left"/>
        <w:rPr>
          <w:rFonts w:hint="eastAsia" w:ascii="仿宋" w:hAnsi="仿宋" w:eastAsia="仿宋" w:cs="仿宋"/>
          <w:color w:val="auto"/>
          <w:sz w:val="24"/>
          <w:szCs w:val="24"/>
          <w:highlight w:val="none"/>
          <w:shd w:val="clear" w:color="auto" w:fill="FFFFFF" w:themeFill="background1"/>
        </w:rPr>
      </w:pPr>
    </w:p>
    <w:p w14:paraId="49726652">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备注：本表后须附业绩的证明资料：</w:t>
      </w:r>
      <w:r>
        <w:rPr>
          <w:rFonts w:hint="eastAsia" w:ascii="仿宋" w:hAnsi="仿宋" w:eastAsia="仿宋" w:cs="仿宋"/>
          <w:color w:val="auto"/>
          <w:sz w:val="24"/>
          <w:szCs w:val="24"/>
          <w:highlight w:val="none"/>
          <w:u w:val="single"/>
          <w:shd w:val="clear" w:color="auto" w:fill="FFFFFF" w:themeFill="background1"/>
        </w:rPr>
        <w:t>需提供招标文件要求的有关书面证明材料。</w:t>
      </w:r>
    </w:p>
    <w:p w14:paraId="32EAD2EA">
      <w:pPr>
        <w:spacing w:line="360" w:lineRule="auto"/>
        <w:ind w:firstLine="480" w:firstLineChars="200"/>
        <w:rPr>
          <w:rFonts w:hint="eastAsia" w:ascii="仿宋" w:hAnsi="仿宋" w:eastAsia="仿宋" w:cs="仿宋"/>
          <w:color w:val="auto"/>
          <w:sz w:val="24"/>
          <w:szCs w:val="24"/>
          <w:highlight w:val="none"/>
          <w:u w:val="single"/>
          <w:shd w:val="clear" w:color="auto" w:fill="FFFFFF" w:themeFill="background1"/>
        </w:rPr>
      </w:pPr>
    </w:p>
    <w:p w14:paraId="5AEFC81F">
      <w:pPr>
        <w:spacing w:line="360" w:lineRule="auto"/>
        <w:ind w:firstLine="480" w:firstLineChars="200"/>
        <w:rPr>
          <w:rFonts w:hint="eastAsia" w:ascii="仿宋" w:hAnsi="仿宋" w:eastAsia="仿宋" w:cs="仿宋"/>
          <w:color w:val="auto"/>
          <w:sz w:val="24"/>
          <w:szCs w:val="24"/>
          <w:highlight w:val="none"/>
          <w:u w:val="single"/>
          <w:shd w:val="clear" w:color="auto" w:fill="FFFFFF" w:themeFill="background1"/>
        </w:rPr>
      </w:pPr>
    </w:p>
    <w:p w14:paraId="6C8143EA">
      <w:pPr>
        <w:widowControl/>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064DE4BE">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392" w:name="_Toc533503191"/>
      <w:bookmarkStart w:id="393" w:name="_Toc20381"/>
      <w:bookmarkStart w:id="394" w:name="_Toc38446480"/>
      <w:bookmarkStart w:id="395" w:name="_Toc507586175"/>
      <w:bookmarkStart w:id="396" w:name="_Toc3975"/>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bCs/>
          <w:color w:val="auto"/>
          <w:sz w:val="24"/>
          <w:szCs w:val="24"/>
          <w:highlight w:val="none"/>
          <w:shd w:val="clear" w:color="auto" w:fill="FFFFFF" w:themeFill="background1"/>
        </w:rPr>
        <w:t>项目负责人简历表</w:t>
      </w:r>
      <w:bookmarkEnd w:id="392"/>
      <w:bookmarkEnd w:id="393"/>
      <w:bookmarkEnd w:id="394"/>
      <w:bookmarkEnd w:id="395"/>
      <w:bookmarkEnd w:id="396"/>
    </w:p>
    <w:p w14:paraId="377DBA2F">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42"/>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40D8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2F1E98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姓名</w:t>
            </w:r>
          </w:p>
        </w:tc>
        <w:tc>
          <w:tcPr>
            <w:tcW w:w="2602" w:type="dxa"/>
            <w:gridSpan w:val="2"/>
            <w:vAlign w:val="center"/>
          </w:tcPr>
          <w:p w14:paraId="454DFA8D">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6AE7D753">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性别</w:t>
            </w:r>
          </w:p>
        </w:tc>
        <w:tc>
          <w:tcPr>
            <w:tcW w:w="2639" w:type="dxa"/>
            <w:gridSpan w:val="2"/>
            <w:vAlign w:val="center"/>
          </w:tcPr>
          <w:p w14:paraId="56E8C7ED">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452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C5230F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身份证号码</w:t>
            </w:r>
          </w:p>
        </w:tc>
        <w:tc>
          <w:tcPr>
            <w:tcW w:w="2602" w:type="dxa"/>
            <w:gridSpan w:val="2"/>
            <w:vAlign w:val="center"/>
          </w:tcPr>
          <w:p w14:paraId="2970429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35590CD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学历</w:t>
            </w:r>
          </w:p>
        </w:tc>
        <w:tc>
          <w:tcPr>
            <w:tcW w:w="2639" w:type="dxa"/>
            <w:gridSpan w:val="2"/>
            <w:vAlign w:val="center"/>
          </w:tcPr>
          <w:p w14:paraId="12D7F424">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7A46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62562B6">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毕业学校</w:t>
            </w:r>
          </w:p>
        </w:tc>
        <w:tc>
          <w:tcPr>
            <w:tcW w:w="2602" w:type="dxa"/>
            <w:gridSpan w:val="2"/>
            <w:vAlign w:val="center"/>
          </w:tcPr>
          <w:p w14:paraId="651CB580">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154C807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专业</w:t>
            </w:r>
          </w:p>
        </w:tc>
        <w:tc>
          <w:tcPr>
            <w:tcW w:w="2639" w:type="dxa"/>
            <w:gridSpan w:val="2"/>
            <w:vAlign w:val="center"/>
          </w:tcPr>
          <w:p w14:paraId="1A834C85">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1EEE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07DE084">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参加工作时间</w:t>
            </w:r>
          </w:p>
        </w:tc>
        <w:tc>
          <w:tcPr>
            <w:tcW w:w="2602" w:type="dxa"/>
            <w:gridSpan w:val="2"/>
            <w:vAlign w:val="center"/>
          </w:tcPr>
          <w:p w14:paraId="59D361BE">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1D528D5F">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从事本职业年限</w:t>
            </w:r>
          </w:p>
        </w:tc>
        <w:tc>
          <w:tcPr>
            <w:tcW w:w="2639" w:type="dxa"/>
            <w:gridSpan w:val="2"/>
            <w:vAlign w:val="center"/>
          </w:tcPr>
          <w:p w14:paraId="584F4C31">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4F0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B7648D7">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在公司担任职务</w:t>
            </w:r>
          </w:p>
        </w:tc>
        <w:tc>
          <w:tcPr>
            <w:tcW w:w="2602" w:type="dxa"/>
            <w:gridSpan w:val="2"/>
            <w:vAlign w:val="center"/>
          </w:tcPr>
          <w:p w14:paraId="00D2DB6D">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67A42C3F">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联系方式</w:t>
            </w:r>
          </w:p>
        </w:tc>
        <w:tc>
          <w:tcPr>
            <w:tcW w:w="2639" w:type="dxa"/>
            <w:gridSpan w:val="2"/>
            <w:vAlign w:val="center"/>
          </w:tcPr>
          <w:p w14:paraId="36A480BB">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1A22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425AD8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证书名称</w:t>
            </w:r>
          </w:p>
        </w:tc>
        <w:tc>
          <w:tcPr>
            <w:tcW w:w="2602" w:type="dxa"/>
            <w:gridSpan w:val="2"/>
            <w:vAlign w:val="center"/>
          </w:tcPr>
          <w:p w14:paraId="3FCE1B56">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61A8301E">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证书编号</w:t>
            </w:r>
          </w:p>
        </w:tc>
        <w:tc>
          <w:tcPr>
            <w:tcW w:w="2639" w:type="dxa"/>
            <w:gridSpan w:val="2"/>
            <w:vAlign w:val="center"/>
          </w:tcPr>
          <w:p w14:paraId="475E2DD2">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E7D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0F5E75B0">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近三年类似业绩</w:t>
            </w:r>
          </w:p>
        </w:tc>
        <w:tc>
          <w:tcPr>
            <w:tcW w:w="1372" w:type="dxa"/>
            <w:vAlign w:val="center"/>
          </w:tcPr>
          <w:p w14:paraId="599A4B08">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项目名称</w:t>
            </w:r>
          </w:p>
        </w:tc>
        <w:tc>
          <w:tcPr>
            <w:tcW w:w="1463" w:type="dxa"/>
            <w:gridSpan w:val="2"/>
            <w:vAlign w:val="center"/>
          </w:tcPr>
          <w:p w14:paraId="1CEA20A6">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采购人</w:t>
            </w:r>
          </w:p>
        </w:tc>
        <w:tc>
          <w:tcPr>
            <w:tcW w:w="1702" w:type="dxa"/>
            <w:vAlign w:val="center"/>
          </w:tcPr>
          <w:p w14:paraId="7FC91594">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合同内容</w:t>
            </w:r>
          </w:p>
        </w:tc>
        <w:tc>
          <w:tcPr>
            <w:tcW w:w="1275" w:type="dxa"/>
            <w:vAlign w:val="center"/>
          </w:tcPr>
          <w:p w14:paraId="21A03BED">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合同价格</w:t>
            </w:r>
          </w:p>
        </w:tc>
        <w:tc>
          <w:tcPr>
            <w:tcW w:w="1364" w:type="dxa"/>
            <w:vAlign w:val="center"/>
          </w:tcPr>
          <w:p w14:paraId="1C2F5389">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签约日期</w:t>
            </w:r>
          </w:p>
        </w:tc>
      </w:tr>
      <w:tr w14:paraId="79D7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6F9C604">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4C78CD9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739FE1F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37E7776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0ED3D2AF">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62B1912F">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46AA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3A0A44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4E162D1F">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6FB11DE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5BE1787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0E18E698">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6466682B">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1A45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BF3510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07F60F2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132A4DD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43911FCB">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2DD6DB95">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039EA435">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1D0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4EBB40D">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5E534F5C">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3733653E">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3A052A4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35DB590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1E43C495">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75B1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32BCA8B">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28F64FF0">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0BE451B8">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16ED4B6C">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5267E0A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3852179B">
            <w:pPr>
              <w:spacing w:line="360" w:lineRule="auto"/>
              <w:jc w:val="center"/>
              <w:rPr>
                <w:rFonts w:hint="eastAsia" w:ascii="仿宋" w:hAnsi="仿宋" w:eastAsia="仿宋" w:cs="仿宋"/>
                <w:color w:val="auto"/>
                <w:sz w:val="24"/>
                <w:szCs w:val="24"/>
                <w:highlight w:val="none"/>
                <w:shd w:val="clear" w:color="auto" w:fill="FFFFFF" w:themeFill="background1"/>
              </w:rPr>
            </w:pPr>
          </w:p>
        </w:tc>
      </w:tr>
    </w:tbl>
    <w:p w14:paraId="5468EBDB">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7062E10B">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备注：本表后需提供招标文件要求</w:t>
      </w:r>
      <w:r>
        <w:rPr>
          <w:rFonts w:hint="eastAsia" w:ascii="仿宋" w:hAnsi="仿宋" w:eastAsia="仿宋" w:cs="仿宋"/>
          <w:color w:val="auto"/>
          <w:sz w:val="24"/>
          <w:szCs w:val="24"/>
          <w:highlight w:val="none"/>
          <w:shd w:val="clear" w:color="auto" w:fill="FFFFFF" w:themeFill="background1"/>
          <w:lang w:val="en-US" w:eastAsia="zh-CN"/>
        </w:rPr>
        <w:t>或与本项目</w:t>
      </w:r>
      <w:r>
        <w:rPr>
          <w:rFonts w:hint="eastAsia" w:ascii="仿宋" w:hAnsi="仿宋" w:eastAsia="仿宋" w:cs="仿宋"/>
          <w:color w:val="auto"/>
          <w:sz w:val="24"/>
          <w:szCs w:val="24"/>
          <w:highlight w:val="none"/>
          <w:shd w:val="clear" w:color="auto" w:fill="FFFFFF" w:themeFill="background1"/>
        </w:rPr>
        <w:t>有关的书面证明材料。</w:t>
      </w:r>
    </w:p>
    <w:p w14:paraId="2468B98E">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397" w:name="_Toc507586176"/>
      <w:r>
        <w:rPr>
          <w:rFonts w:hint="eastAsia" w:ascii="仿宋" w:hAnsi="仿宋" w:eastAsia="仿宋" w:cs="仿宋"/>
          <w:b/>
          <w:bCs/>
          <w:color w:val="auto"/>
          <w:sz w:val="24"/>
          <w:szCs w:val="24"/>
          <w:highlight w:val="none"/>
          <w:shd w:val="clear" w:color="auto" w:fill="FFFFFF" w:themeFill="background1"/>
        </w:rPr>
        <w:br w:type="page"/>
      </w:r>
      <w:bookmarkStart w:id="398" w:name="_Toc38446481"/>
      <w:bookmarkStart w:id="399" w:name="_Toc533503192"/>
      <w:bookmarkStart w:id="400" w:name="_Toc4484"/>
      <w:bookmarkStart w:id="401" w:name="_Toc10335"/>
      <w:r>
        <w:rPr>
          <w:rFonts w:hint="eastAsia" w:ascii="仿宋" w:hAnsi="仿宋" w:eastAsia="仿宋" w:cs="仿宋"/>
          <w:b/>
          <w:bCs/>
          <w:color w:val="auto"/>
          <w:sz w:val="24"/>
          <w:szCs w:val="24"/>
          <w:highlight w:val="none"/>
          <w:shd w:val="clear" w:color="auto" w:fill="FFFFFF" w:themeFill="background1"/>
        </w:rPr>
        <w:t>十一、</w:t>
      </w:r>
      <w:bookmarkEnd w:id="397"/>
      <w:bookmarkEnd w:id="398"/>
      <w:bookmarkEnd w:id="399"/>
      <w:r>
        <w:rPr>
          <w:rFonts w:hint="eastAsia" w:ascii="仿宋" w:hAnsi="仿宋" w:eastAsia="仿宋" w:cs="仿宋"/>
          <w:b/>
          <w:bCs/>
          <w:color w:val="auto"/>
          <w:sz w:val="24"/>
          <w:szCs w:val="24"/>
          <w:highlight w:val="none"/>
          <w:shd w:val="clear" w:color="auto" w:fill="FFFFFF" w:themeFill="background1"/>
        </w:rPr>
        <w:t>拟派本项目服务人员情况表</w:t>
      </w:r>
      <w:bookmarkEnd w:id="400"/>
      <w:bookmarkEnd w:id="401"/>
    </w:p>
    <w:p w14:paraId="7B7F783C">
      <w:pPr>
        <w:spacing w:line="360" w:lineRule="auto"/>
        <w:rPr>
          <w:rFonts w:hint="eastAsia" w:ascii="仿宋" w:hAnsi="仿宋" w:eastAsia="仿宋" w:cs="仿宋"/>
          <w:color w:val="auto"/>
          <w:sz w:val="24"/>
          <w:szCs w:val="24"/>
          <w:highlight w:val="none"/>
          <w:shd w:val="clear" w:color="auto" w:fill="FFFFFF" w:themeFill="background1"/>
        </w:rPr>
      </w:pPr>
    </w:p>
    <w:tbl>
      <w:tblPr>
        <w:tblStyle w:val="4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14"/>
        <w:gridCol w:w="1196"/>
        <w:gridCol w:w="1558"/>
        <w:gridCol w:w="1299"/>
        <w:gridCol w:w="1455"/>
        <w:gridCol w:w="1377"/>
        <w:gridCol w:w="742"/>
      </w:tblGrid>
      <w:tr w14:paraId="38FD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1552A8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序号</w:t>
            </w:r>
          </w:p>
        </w:tc>
        <w:tc>
          <w:tcPr>
            <w:tcW w:w="1214" w:type="dxa"/>
            <w:vAlign w:val="center"/>
          </w:tcPr>
          <w:p w14:paraId="26997BA7">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姓名</w:t>
            </w:r>
          </w:p>
        </w:tc>
        <w:tc>
          <w:tcPr>
            <w:tcW w:w="1196" w:type="dxa"/>
            <w:vAlign w:val="center"/>
          </w:tcPr>
          <w:p w14:paraId="3E686F54">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性别</w:t>
            </w:r>
          </w:p>
        </w:tc>
        <w:tc>
          <w:tcPr>
            <w:tcW w:w="1558" w:type="dxa"/>
            <w:vAlign w:val="center"/>
          </w:tcPr>
          <w:p w14:paraId="5ED0B05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身份证号码</w:t>
            </w:r>
          </w:p>
        </w:tc>
        <w:tc>
          <w:tcPr>
            <w:tcW w:w="1299" w:type="dxa"/>
            <w:vAlign w:val="center"/>
          </w:tcPr>
          <w:p w14:paraId="138F9849">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学历</w:t>
            </w:r>
          </w:p>
        </w:tc>
        <w:tc>
          <w:tcPr>
            <w:tcW w:w="1455" w:type="dxa"/>
            <w:vAlign w:val="center"/>
          </w:tcPr>
          <w:p w14:paraId="123271F6">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担任岗位</w:t>
            </w:r>
          </w:p>
        </w:tc>
        <w:tc>
          <w:tcPr>
            <w:tcW w:w="1377" w:type="dxa"/>
            <w:vAlign w:val="center"/>
          </w:tcPr>
          <w:p w14:paraId="5B35F24D">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从事类似</w:t>
            </w:r>
          </w:p>
          <w:p w14:paraId="783AEE1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工作年限</w:t>
            </w:r>
          </w:p>
        </w:tc>
        <w:tc>
          <w:tcPr>
            <w:tcW w:w="742" w:type="dxa"/>
            <w:vAlign w:val="center"/>
          </w:tcPr>
          <w:p w14:paraId="2CC7A12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w:t>
            </w:r>
          </w:p>
        </w:tc>
      </w:tr>
      <w:tr w14:paraId="5E04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BBD571A">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2104074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4C1F6E6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0577B014">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71B1A86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52489265">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112F3F28">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2725874F">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6138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59F77D8">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6B72AE2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4D3316BE">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0633EFEB">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37A298D0">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70D75DDF">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0B8FCF30">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28538A1B">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500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246D36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3F6E489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341EBC4A">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45FC1EF4">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52E381B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5856E336">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373094FE">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4BB42A8C">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7292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60F570A5">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15FD922B">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623F453F">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0DE826F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09C89DB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0BF85A8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2B83A89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27299D31">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291D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4DBA8C6">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641B41E4">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33B9635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06509CC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27A5FAD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1752D9F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34E618F6">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3C092BD6">
            <w:pPr>
              <w:spacing w:line="360" w:lineRule="auto"/>
              <w:jc w:val="center"/>
              <w:rPr>
                <w:rFonts w:hint="eastAsia" w:ascii="仿宋" w:hAnsi="仿宋" w:eastAsia="仿宋" w:cs="仿宋"/>
                <w:color w:val="auto"/>
                <w:sz w:val="24"/>
                <w:szCs w:val="24"/>
                <w:highlight w:val="none"/>
                <w:shd w:val="clear" w:color="auto" w:fill="FFFFFF" w:themeFill="background1"/>
              </w:rPr>
            </w:pPr>
          </w:p>
        </w:tc>
      </w:tr>
    </w:tbl>
    <w:p w14:paraId="3F7E358C">
      <w:pPr>
        <w:spacing w:line="360" w:lineRule="auto"/>
        <w:jc w:val="left"/>
        <w:rPr>
          <w:rFonts w:hint="eastAsia" w:ascii="仿宋" w:hAnsi="仿宋" w:eastAsia="仿宋" w:cs="仿宋"/>
          <w:bCs/>
          <w:color w:val="auto"/>
          <w:sz w:val="24"/>
          <w:szCs w:val="24"/>
          <w:highlight w:val="none"/>
          <w:shd w:val="clear" w:color="auto" w:fill="FFFFFF" w:themeFill="background1"/>
        </w:rPr>
      </w:pPr>
    </w:p>
    <w:p w14:paraId="7F252D70">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rPr>
        <w:t>备注：</w:t>
      </w:r>
      <w:r>
        <w:rPr>
          <w:rFonts w:hint="eastAsia" w:ascii="仿宋" w:hAnsi="仿宋" w:eastAsia="仿宋" w:cs="仿宋"/>
          <w:color w:val="auto"/>
          <w:sz w:val="24"/>
          <w:szCs w:val="24"/>
          <w:highlight w:val="none"/>
          <w:shd w:val="clear" w:color="auto" w:fill="FFFFFF" w:themeFill="background1"/>
        </w:rPr>
        <w:t>本表后需提供招标文件要求</w:t>
      </w:r>
      <w:r>
        <w:rPr>
          <w:rFonts w:hint="eastAsia" w:ascii="仿宋" w:hAnsi="仿宋" w:eastAsia="仿宋" w:cs="仿宋"/>
          <w:color w:val="auto"/>
          <w:sz w:val="24"/>
          <w:szCs w:val="24"/>
          <w:highlight w:val="none"/>
          <w:shd w:val="clear" w:color="auto" w:fill="FFFFFF" w:themeFill="background1"/>
          <w:lang w:val="en-US" w:eastAsia="zh-CN"/>
        </w:rPr>
        <w:t>或与本项目</w:t>
      </w:r>
      <w:r>
        <w:rPr>
          <w:rFonts w:hint="eastAsia" w:ascii="仿宋" w:hAnsi="仿宋" w:eastAsia="仿宋" w:cs="仿宋"/>
          <w:color w:val="auto"/>
          <w:sz w:val="24"/>
          <w:szCs w:val="24"/>
          <w:highlight w:val="none"/>
          <w:shd w:val="clear" w:color="auto" w:fill="FFFFFF" w:themeFill="background1"/>
        </w:rPr>
        <w:t>有关的书面证明材料。</w:t>
      </w:r>
    </w:p>
    <w:p w14:paraId="4E17AC42">
      <w:pPr>
        <w:spacing w:line="360" w:lineRule="auto"/>
        <w:jc w:val="center"/>
        <w:outlineLvl w:val="1"/>
        <w:rPr>
          <w:rFonts w:hint="eastAsia" w:ascii="仿宋" w:hAnsi="仿宋" w:eastAsia="仿宋" w:cs="仿宋"/>
          <w:bCs/>
          <w:color w:val="auto"/>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bookmarkStart w:id="402" w:name="_Toc533503193"/>
      <w:bookmarkStart w:id="403" w:name="_Toc507586177"/>
      <w:bookmarkStart w:id="404" w:name="_Toc4741"/>
      <w:bookmarkStart w:id="405" w:name="_Toc38446482"/>
      <w:bookmarkStart w:id="406" w:name="_Toc26818"/>
      <w:r>
        <w:rPr>
          <w:rFonts w:hint="eastAsia" w:ascii="仿宋" w:hAnsi="仿宋" w:eastAsia="仿宋" w:cs="仿宋"/>
          <w:b/>
          <w:color w:val="auto"/>
          <w:sz w:val="24"/>
          <w:szCs w:val="24"/>
          <w:highlight w:val="none"/>
          <w:shd w:val="clear" w:color="auto" w:fill="FFFFFF" w:themeFill="background1"/>
        </w:rPr>
        <w:t>十二、</w:t>
      </w:r>
      <w:r>
        <w:rPr>
          <w:rFonts w:hint="eastAsia" w:ascii="仿宋" w:hAnsi="仿宋" w:eastAsia="仿宋" w:cs="仿宋"/>
          <w:b/>
          <w:bCs/>
          <w:color w:val="auto"/>
          <w:sz w:val="24"/>
          <w:szCs w:val="24"/>
          <w:highlight w:val="none"/>
          <w:shd w:val="clear" w:color="auto" w:fill="FFFFFF" w:themeFill="background1"/>
        </w:rPr>
        <w:t>服务方案</w:t>
      </w:r>
      <w:bookmarkEnd w:id="402"/>
      <w:bookmarkEnd w:id="403"/>
      <w:bookmarkEnd w:id="404"/>
      <w:bookmarkEnd w:id="405"/>
      <w:bookmarkEnd w:id="406"/>
    </w:p>
    <w:p w14:paraId="66CCE494">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rPr>
        <w:t>投标人须提交拟完成本项目的服务方案，服务方案的格式和内容由投标人根据本项目的具体情况</w:t>
      </w:r>
      <w:r>
        <w:rPr>
          <w:rFonts w:hint="eastAsia" w:ascii="仿宋" w:hAnsi="仿宋" w:eastAsia="仿宋" w:cs="仿宋"/>
          <w:color w:val="auto"/>
          <w:sz w:val="24"/>
          <w:szCs w:val="24"/>
          <w:highlight w:val="none"/>
          <w:shd w:val="clear" w:color="auto" w:fill="FFFFFF" w:themeFill="background1"/>
        </w:rPr>
        <w:t>自行拟定。</w:t>
      </w:r>
    </w:p>
    <w:p w14:paraId="7C2B0DF3">
      <w:pPr>
        <w:spacing w:line="360" w:lineRule="auto"/>
        <w:ind w:firstLine="480" w:firstLineChars="200"/>
        <w:rPr>
          <w:rFonts w:hint="eastAsia" w:ascii="仿宋" w:hAnsi="仿宋" w:eastAsia="仿宋" w:cs="仿宋"/>
          <w:bCs/>
          <w:color w:val="auto"/>
          <w:sz w:val="24"/>
          <w:szCs w:val="24"/>
          <w:highlight w:val="none"/>
          <w:shd w:val="clear" w:color="auto" w:fill="FFFFFF" w:themeFill="background1"/>
        </w:rPr>
      </w:pPr>
    </w:p>
    <w:p w14:paraId="2A753C26">
      <w:pPr>
        <w:pStyle w:val="14"/>
        <w:rPr>
          <w:rFonts w:hint="eastAsia" w:ascii="仿宋" w:hAnsi="仿宋" w:eastAsia="仿宋" w:cs="仿宋"/>
          <w:color w:val="auto"/>
          <w:highlight w:val="none"/>
        </w:rPr>
      </w:pPr>
    </w:p>
    <w:p w14:paraId="6F79FAE4">
      <w:pPr>
        <w:rPr>
          <w:rFonts w:hint="eastAsia" w:ascii="仿宋" w:hAnsi="仿宋" w:eastAsia="仿宋" w:cs="仿宋"/>
          <w:color w:val="auto"/>
          <w:highlight w:val="none"/>
        </w:rPr>
      </w:pPr>
    </w:p>
    <w:p w14:paraId="74D25154">
      <w:pPr>
        <w:pStyle w:val="14"/>
        <w:rPr>
          <w:rFonts w:hint="eastAsia" w:ascii="仿宋" w:hAnsi="仿宋" w:eastAsia="仿宋" w:cs="仿宋"/>
          <w:color w:val="auto"/>
          <w:highlight w:val="none"/>
        </w:rPr>
      </w:pPr>
    </w:p>
    <w:p w14:paraId="56770526">
      <w:pPr>
        <w:rPr>
          <w:rFonts w:hint="eastAsia" w:ascii="仿宋" w:hAnsi="仿宋" w:eastAsia="仿宋" w:cs="仿宋"/>
          <w:color w:val="auto"/>
          <w:highlight w:val="none"/>
        </w:rPr>
      </w:pPr>
    </w:p>
    <w:p w14:paraId="5A386DB7">
      <w:pPr>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407" w:name="_Toc38446484"/>
      <w:bookmarkStart w:id="408" w:name="_Toc533503194"/>
      <w:bookmarkStart w:id="409" w:name="_Toc507586178"/>
      <w:bookmarkStart w:id="410" w:name="_Toc4676"/>
      <w:bookmarkStart w:id="411" w:name="_Toc274"/>
      <w:r>
        <w:rPr>
          <w:rFonts w:hint="eastAsia" w:ascii="仿宋" w:hAnsi="仿宋" w:eastAsia="仿宋" w:cs="仿宋"/>
          <w:b/>
          <w:color w:val="auto"/>
          <w:sz w:val="24"/>
          <w:szCs w:val="24"/>
          <w:highlight w:val="none"/>
          <w:shd w:val="clear" w:color="auto" w:fill="FFFFFF" w:themeFill="background1"/>
        </w:rPr>
        <w:t>十三、其他需要提交的资料</w:t>
      </w:r>
      <w:bookmarkEnd w:id="407"/>
      <w:bookmarkEnd w:id="408"/>
      <w:bookmarkEnd w:id="409"/>
      <w:bookmarkEnd w:id="410"/>
      <w:bookmarkEnd w:id="411"/>
    </w:p>
    <w:p w14:paraId="7B283E75">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根据招标文件的要求和投标人认为需要提供的资料（如投标保证金缴纳凭证等）。</w:t>
      </w:r>
    </w:p>
    <w:p w14:paraId="2AFAB32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2CE87C2E">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A66AB28">
      <w:pPr>
        <w:tabs>
          <w:tab w:val="center" w:pos="4832"/>
          <w:tab w:val="left" w:pos="7140"/>
        </w:tabs>
        <w:spacing w:line="360" w:lineRule="auto"/>
        <w:jc w:val="center"/>
        <w:outlineLvl w:val="0"/>
        <w:rPr>
          <w:rFonts w:hint="eastAsia" w:ascii="仿宋" w:hAnsi="仿宋" w:eastAsia="仿宋" w:cs="仿宋"/>
          <w:b/>
          <w:color w:val="auto"/>
          <w:sz w:val="24"/>
          <w:szCs w:val="24"/>
          <w:highlight w:val="none"/>
        </w:rPr>
      </w:pPr>
      <w:bookmarkStart w:id="412" w:name="_Toc29549"/>
      <w:r>
        <w:rPr>
          <w:rFonts w:hint="eastAsia" w:ascii="仿宋" w:hAnsi="仿宋" w:eastAsia="仿宋" w:cs="仿宋"/>
          <w:b/>
          <w:color w:val="auto"/>
          <w:sz w:val="24"/>
          <w:szCs w:val="24"/>
          <w:highlight w:val="none"/>
        </w:rPr>
        <w:t>第六章 补充条款</w:t>
      </w:r>
      <w:bookmarkEnd w:id="412"/>
    </w:p>
    <w:p w14:paraId="365F124B">
      <w:pPr>
        <w:spacing w:line="360" w:lineRule="auto"/>
        <w:ind w:firstLine="480" w:firstLineChars="200"/>
        <w:jc w:val="center"/>
        <w:rPr>
          <w:rFonts w:hint="eastAsia" w:ascii="仿宋" w:hAnsi="仿宋" w:eastAsia="仿宋" w:cs="仿宋"/>
          <w:color w:val="auto"/>
          <w:sz w:val="24"/>
          <w:szCs w:val="24"/>
          <w:highlight w:val="none"/>
        </w:rPr>
      </w:pPr>
    </w:p>
    <w:sectPr>
      <w:headerReference r:id="rId10" w:type="default"/>
      <w:footerReference r:id="rId11" w:type="default"/>
      <w:pgSz w:w="11906" w:h="16838"/>
      <w:pgMar w:top="1440" w:right="1800" w:bottom="1440" w:left="180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3278">
    <w:pPr>
      <w:pStyle w:val="24"/>
      <w:ind w:right="90"/>
      <w:jc w:val="right"/>
    </w:pPr>
  </w:p>
  <w:p w14:paraId="69C610E3">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A1E19">
    <w:pPr>
      <w:pStyle w:val="24"/>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68</w:t>
    </w:r>
    <w:r>
      <w:rPr>
        <w:rStyle w:val="46"/>
      </w:rPr>
      <w:fldChar w:fldCharType="end"/>
    </w:r>
  </w:p>
  <w:p w14:paraId="1C8A5B83">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CBCA">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A9EE">
    <w:pPr>
      <w:pStyle w:val="24"/>
      <w:rPr>
        <w:rFonts w:asciiTheme="minorEastAsia" w:hAnsiTheme="minorEastAsia" w:eastAsiaTheme="minorEastAsia"/>
        <w:sz w:val="21"/>
        <w:szCs w:val="21"/>
        <w:lang w:val="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8C554">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298C554">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884A">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4137F">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B74137F">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E3CC">
    <w:pPr>
      <w:pStyle w:val="24"/>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56764">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856764">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571A">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582B">
    <w:pPr>
      <w:pStyle w:val="2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43F8">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MDBkMjE1ZmU1YzVjODI4OGVlMjZiNjA0YzViN2EifQ=="/>
    <w:docVar w:name="KSO_WPS_MARK_KEY" w:val="85996549-4f80-4e2e-9ba0-20f7c0168d15"/>
  </w:docVars>
  <w:rsids>
    <w:rsidRoot w:val="00101AA4"/>
    <w:rsid w:val="000002B4"/>
    <w:rsid w:val="00001340"/>
    <w:rsid w:val="00002143"/>
    <w:rsid w:val="00004DAA"/>
    <w:rsid w:val="00005C75"/>
    <w:rsid w:val="00006BD9"/>
    <w:rsid w:val="00007BA8"/>
    <w:rsid w:val="000104D6"/>
    <w:rsid w:val="00010CE2"/>
    <w:rsid w:val="000111C4"/>
    <w:rsid w:val="00012108"/>
    <w:rsid w:val="00012E01"/>
    <w:rsid w:val="00013899"/>
    <w:rsid w:val="00014F7D"/>
    <w:rsid w:val="00015EBB"/>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0D1"/>
    <w:rsid w:val="00054F47"/>
    <w:rsid w:val="0005551C"/>
    <w:rsid w:val="00057565"/>
    <w:rsid w:val="000604DE"/>
    <w:rsid w:val="0006199F"/>
    <w:rsid w:val="000641A9"/>
    <w:rsid w:val="000653CD"/>
    <w:rsid w:val="000661C0"/>
    <w:rsid w:val="00070AF5"/>
    <w:rsid w:val="00070BFE"/>
    <w:rsid w:val="0007362D"/>
    <w:rsid w:val="00073D96"/>
    <w:rsid w:val="000762D4"/>
    <w:rsid w:val="00077D54"/>
    <w:rsid w:val="00077DB3"/>
    <w:rsid w:val="0008025F"/>
    <w:rsid w:val="00080E16"/>
    <w:rsid w:val="000829F2"/>
    <w:rsid w:val="00082FC4"/>
    <w:rsid w:val="0008328D"/>
    <w:rsid w:val="0008436D"/>
    <w:rsid w:val="000904A3"/>
    <w:rsid w:val="00090F37"/>
    <w:rsid w:val="000916AB"/>
    <w:rsid w:val="000923E8"/>
    <w:rsid w:val="000946D4"/>
    <w:rsid w:val="00094989"/>
    <w:rsid w:val="000976AE"/>
    <w:rsid w:val="000A0272"/>
    <w:rsid w:val="000A02F9"/>
    <w:rsid w:val="000A1ECD"/>
    <w:rsid w:val="000A32B9"/>
    <w:rsid w:val="000A3552"/>
    <w:rsid w:val="000A452A"/>
    <w:rsid w:val="000A53A5"/>
    <w:rsid w:val="000A7B36"/>
    <w:rsid w:val="000B210F"/>
    <w:rsid w:val="000B318F"/>
    <w:rsid w:val="000B331B"/>
    <w:rsid w:val="000B4C6A"/>
    <w:rsid w:val="000B4FF0"/>
    <w:rsid w:val="000B7C76"/>
    <w:rsid w:val="000C364C"/>
    <w:rsid w:val="000C3FDE"/>
    <w:rsid w:val="000D171A"/>
    <w:rsid w:val="000D5DA0"/>
    <w:rsid w:val="000D728E"/>
    <w:rsid w:val="000D7CE7"/>
    <w:rsid w:val="000E2D54"/>
    <w:rsid w:val="000E40A6"/>
    <w:rsid w:val="000E5B9C"/>
    <w:rsid w:val="000E674D"/>
    <w:rsid w:val="000E7461"/>
    <w:rsid w:val="000F186E"/>
    <w:rsid w:val="000F56EE"/>
    <w:rsid w:val="00100D44"/>
    <w:rsid w:val="00101966"/>
    <w:rsid w:val="00101AA4"/>
    <w:rsid w:val="00102AB6"/>
    <w:rsid w:val="00104F86"/>
    <w:rsid w:val="001063D0"/>
    <w:rsid w:val="0010650C"/>
    <w:rsid w:val="00106BA4"/>
    <w:rsid w:val="00111383"/>
    <w:rsid w:val="001145B2"/>
    <w:rsid w:val="00115901"/>
    <w:rsid w:val="00115A4B"/>
    <w:rsid w:val="0011725D"/>
    <w:rsid w:val="00121DF5"/>
    <w:rsid w:val="001248E7"/>
    <w:rsid w:val="00124E50"/>
    <w:rsid w:val="00127B38"/>
    <w:rsid w:val="00127C9A"/>
    <w:rsid w:val="0013312B"/>
    <w:rsid w:val="00134210"/>
    <w:rsid w:val="00134F82"/>
    <w:rsid w:val="00137BC9"/>
    <w:rsid w:val="00142BB8"/>
    <w:rsid w:val="00143169"/>
    <w:rsid w:val="0014554F"/>
    <w:rsid w:val="00146E26"/>
    <w:rsid w:val="001543A3"/>
    <w:rsid w:val="001575BE"/>
    <w:rsid w:val="00157673"/>
    <w:rsid w:val="0015794E"/>
    <w:rsid w:val="00160311"/>
    <w:rsid w:val="00161961"/>
    <w:rsid w:val="00162DD4"/>
    <w:rsid w:val="001652C6"/>
    <w:rsid w:val="0016644B"/>
    <w:rsid w:val="00170A17"/>
    <w:rsid w:val="00171110"/>
    <w:rsid w:val="00172AA0"/>
    <w:rsid w:val="001733AF"/>
    <w:rsid w:val="001753D2"/>
    <w:rsid w:val="00176FAD"/>
    <w:rsid w:val="0017733A"/>
    <w:rsid w:val="00181200"/>
    <w:rsid w:val="001930FC"/>
    <w:rsid w:val="00193402"/>
    <w:rsid w:val="00194DD8"/>
    <w:rsid w:val="00197628"/>
    <w:rsid w:val="001A1D16"/>
    <w:rsid w:val="001A2117"/>
    <w:rsid w:val="001A24E6"/>
    <w:rsid w:val="001A45DD"/>
    <w:rsid w:val="001A4E5A"/>
    <w:rsid w:val="001A4E90"/>
    <w:rsid w:val="001A71AF"/>
    <w:rsid w:val="001B1372"/>
    <w:rsid w:val="001B1748"/>
    <w:rsid w:val="001B4413"/>
    <w:rsid w:val="001B5A4C"/>
    <w:rsid w:val="001B7239"/>
    <w:rsid w:val="001B74E2"/>
    <w:rsid w:val="001C15DD"/>
    <w:rsid w:val="001C4134"/>
    <w:rsid w:val="001D4B73"/>
    <w:rsid w:val="001D50A5"/>
    <w:rsid w:val="001D5DEA"/>
    <w:rsid w:val="001E288B"/>
    <w:rsid w:val="001E33A7"/>
    <w:rsid w:val="001E3D69"/>
    <w:rsid w:val="001E4755"/>
    <w:rsid w:val="001E634A"/>
    <w:rsid w:val="001E6E8F"/>
    <w:rsid w:val="001E794E"/>
    <w:rsid w:val="001F292C"/>
    <w:rsid w:val="001F3A08"/>
    <w:rsid w:val="001F610A"/>
    <w:rsid w:val="001F79E8"/>
    <w:rsid w:val="001F7C95"/>
    <w:rsid w:val="00200BA8"/>
    <w:rsid w:val="0020240F"/>
    <w:rsid w:val="002055DD"/>
    <w:rsid w:val="00205968"/>
    <w:rsid w:val="00205DF6"/>
    <w:rsid w:val="00205F22"/>
    <w:rsid w:val="0021147C"/>
    <w:rsid w:val="00214257"/>
    <w:rsid w:val="00214392"/>
    <w:rsid w:val="002144B8"/>
    <w:rsid w:val="00215BA5"/>
    <w:rsid w:val="00215F58"/>
    <w:rsid w:val="00217E00"/>
    <w:rsid w:val="0022016C"/>
    <w:rsid w:val="0022177D"/>
    <w:rsid w:val="002224AE"/>
    <w:rsid w:val="00223931"/>
    <w:rsid w:val="002246D6"/>
    <w:rsid w:val="00226DEC"/>
    <w:rsid w:val="0022747A"/>
    <w:rsid w:val="00227871"/>
    <w:rsid w:val="0023151C"/>
    <w:rsid w:val="002324EA"/>
    <w:rsid w:val="0023323E"/>
    <w:rsid w:val="002357A0"/>
    <w:rsid w:val="00236058"/>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72E96"/>
    <w:rsid w:val="00280F38"/>
    <w:rsid w:val="00283C54"/>
    <w:rsid w:val="00285885"/>
    <w:rsid w:val="00285ABC"/>
    <w:rsid w:val="002939C8"/>
    <w:rsid w:val="002967DA"/>
    <w:rsid w:val="002A6197"/>
    <w:rsid w:val="002A7CE2"/>
    <w:rsid w:val="002B0041"/>
    <w:rsid w:val="002B01D0"/>
    <w:rsid w:val="002B3DBF"/>
    <w:rsid w:val="002B77E1"/>
    <w:rsid w:val="002C02A1"/>
    <w:rsid w:val="002C2DD2"/>
    <w:rsid w:val="002C4DD6"/>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21AD"/>
    <w:rsid w:val="00313F13"/>
    <w:rsid w:val="00315623"/>
    <w:rsid w:val="00315D4B"/>
    <w:rsid w:val="00315D59"/>
    <w:rsid w:val="003160D4"/>
    <w:rsid w:val="00316DBA"/>
    <w:rsid w:val="00317D34"/>
    <w:rsid w:val="00321036"/>
    <w:rsid w:val="00323AFC"/>
    <w:rsid w:val="00326152"/>
    <w:rsid w:val="003317E6"/>
    <w:rsid w:val="00331C14"/>
    <w:rsid w:val="0033231B"/>
    <w:rsid w:val="00332D2E"/>
    <w:rsid w:val="00333E01"/>
    <w:rsid w:val="00336EED"/>
    <w:rsid w:val="00344BCD"/>
    <w:rsid w:val="00347E66"/>
    <w:rsid w:val="0035118C"/>
    <w:rsid w:val="003537E4"/>
    <w:rsid w:val="0035581F"/>
    <w:rsid w:val="00357E91"/>
    <w:rsid w:val="00360813"/>
    <w:rsid w:val="00360D30"/>
    <w:rsid w:val="00361C9D"/>
    <w:rsid w:val="00363991"/>
    <w:rsid w:val="00364473"/>
    <w:rsid w:val="003646E5"/>
    <w:rsid w:val="00366F29"/>
    <w:rsid w:val="00367BA8"/>
    <w:rsid w:val="00370F25"/>
    <w:rsid w:val="00372324"/>
    <w:rsid w:val="00373602"/>
    <w:rsid w:val="00373826"/>
    <w:rsid w:val="00373AD1"/>
    <w:rsid w:val="00376E83"/>
    <w:rsid w:val="003879AD"/>
    <w:rsid w:val="00390A3C"/>
    <w:rsid w:val="003964F5"/>
    <w:rsid w:val="003A28C5"/>
    <w:rsid w:val="003A5B50"/>
    <w:rsid w:val="003A6107"/>
    <w:rsid w:val="003A7427"/>
    <w:rsid w:val="003B0D63"/>
    <w:rsid w:val="003B70AD"/>
    <w:rsid w:val="003B7226"/>
    <w:rsid w:val="003C0B9E"/>
    <w:rsid w:val="003C21E8"/>
    <w:rsid w:val="003C558B"/>
    <w:rsid w:val="003D01BB"/>
    <w:rsid w:val="003D05EA"/>
    <w:rsid w:val="003D3CCB"/>
    <w:rsid w:val="003D4211"/>
    <w:rsid w:val="003E11F4"/>
    <w:rsid w:val="003E4A7A"/>
    <w:rsid w:val="003F08DC"/>
    <w:rsid w:val="003F3849"/>
    <w:rsid w:val="003F4611"/>
    <w:rsid w:val="003F59D7"/>
    <w:rsid w:val="004011D8"/>
    <w:rsid w:val="0040310D"/>
    <w:rsid w:val="00404253"/>
    <w:rsid w:val="00407128"/>
    <w:rsid w:val="004079CE"/>
    <w:rsid w:val="004143A5"/>
    <w:rsid w:val="004220B6"/>
    <w:rsid w:val="00423980"/>
    <w:rsid w:val="004252CD"/>
    <w:rsid w:val="0042662D"/>
    <w:rsid w:val="004270EF"/>
    <w:rsid w:val="00427533"/>
    <w:rsid w:val="00432C0C"/>
    <w:rsid w:val="00433EED"/>
    <w:rsid w:val="00435310"/>
    <w:rsid w:val="0044198C"/>
    <w:rsid w:val="0044280B"/>
    <w:rsid w:val="00443888"/>
    <w:rsid w:val="004449F3"/>
    <w:rsid w:val="00444EE1"/>
    <w:rsid w:val="00445872"/>
    <w:rsid w:val="0044799D"/>
    <w:rsid w:val="0045091A"/>
    <w:rsid w:val="00452BB8"/>
    <w:rsid w:val="00455196"/>
    <w:rsid w:val="004575EA"/>
    <w:rsid w:val="004639BC"/>
    <w:rsid w:val="004640C1"/>
    <w:rsid w:val="00464725"/>
    <w:rsid w:val="00464BAE"/>
    <w:rsid w:val="004660B0"/>
    <w:rsid w:val="004704FB"/>
    <w:rsid w:val="00480C32"/>
    <w:rsid w:val="0048512D"/>
    <w:rsid w:val="00494431"/>
    <w:rsid w:val="00497C15"/>
    <w:rsid w:val="004A010F"/>
    <w:rsid w:val="004A01F6"/>
    <w:rsid w:val="004A1F5D"/>
    <w:rsid w:val="004A3D6D"/>
    <w:rsid w:val="004A4981"/>
    <w:rsid w:val="004A5190"/>
    <w:rsid w:val="004A5376"/>
    <w:rsid w:val="004A6517"/>
    <w:rsid w:val="004A67FA"/>
    <w:rsid w:val="004A68AF"/>
    <w:rsid w:val="004A7D7E"/>
    <w:rsid w:val="004B029E"/>
    <w:rsid w:val="004B0537"/>
    <w:rsid w:val="004B7ACC"/>
    <w:rsid w:val="004B7DE5"/>
    <w:rsid w:val="004C1AE6"/>
    <w:rsid w:val="004C6BAD"/>
    <w:rsid w:val="004D0A4A"/>
    <w:rsid w:val="004D0E18"/>
    <w:rsid w:val="004D11B3"/>
    <w:rsid w:val="004D3C30"/>
    <w:rsid w:val="004D40F7"/>
    <w:rsid w:val="004D5AE9"/>
    <w:rsid w:val="004D5C23"/>
    <w:rsid w:val="004D5F63"/>
    <w:rsid w:val="004D75D5"/>
    <w:rsid w:val="004E0230"/>
    <w:rsid w:val="004E2088"/>
    <w:rsid w:val="004E419C"/>
    <w:rsid w:val="004E56D8"/>
    <w:rsid w:val="004E606C"/>
    <w:rsid w:val="004E76F6"/>
    <w:rsid w:val="004E7786"/>
    <w:rsid w:val="004F0D23"/>
    <w:rsid w:val="00501303"/>
    <w:rsid w:val="0050507E"/>
    <w:rsid w:val="00507DCF"/>
    <w:rsid w:val="00511664"/>
    <w:rsid w:val="00520FE8"/>
    <w:rsid w:val="0052394D"/>
    <w:rsid w:val="00524F86"/>
    <w:rsid w:val="00526F0E"/>
    <w:rsid w:val="005271EF"/>
    <w:rsid w:val="00527A46"/>
    <w:rsid w:val="005307A5"/>
    <w:rsid w:val="0053132A"/>
    <w:rsid w:val="0053466A"/>
    <w:rsid w:val="00536952"/>
    <w:rsid w:val="005369FB"/>
    <w:rsid w:val="00537638"/>
    <w:rsid w:val="0054181E"/>
    <w:rsid w:val="00541AC4"/>
    <w:rsid w:val="00541FB5"/>
    <w:rsid w:val="0054485F"/>
    <w:rsid w:val="0055435D"/>
    <w:rsid w:val="005574D7"/>
    <w:rsid w:val="00560740"/>
    <w:rsid w:val="00561AD0"/>
    <w:rsid w:val="005627EE"/>
    <w:rsid w:val="00562B2E"/>
    <w:rsid w:val="00566F28"/>
    <w:rsid w:val="00570015"/>
    <w:rsid w:val="00573EAA"/>
    <w:rsid w:val="00576ADE"/>
    <w:rsid w:val="00577ECB"/>
    <w:rsid w:val="00577FFA"/>
    <w:rsid w:val="0058012A"/>
    <w:rsid w:val="00582F95"/>
    <w:rsid w:val="00586658"/>
    <w:rsid w:val="005879D1"/>
    <w:rsid w:val="0059145C"/>
    <w:rsid w:val="005948FE"/>
    <w:rsid w:val="00594BE3"/>
    <w:rsid w:val="00596BA7"/>
    <w:rsid w:val="005A215C"/>
    <w:rsid w:val="005A6326"/>
    <w:rsid w:val="005A69CA"/>
    <w:rsid w:val="005A770A"/>
    <w:rsid w:val="005C11E5"/>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3F0"/>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382"/>
    <w:rsid w:val="006447A2"/>
    <w:rsid w:val="00644CAA"/>
    <w:rsid w:val="0064722F"/>
    <w:rsid w:val="00647D58"/>
    <w:rsid w:val="0065082F"/>
    <w:rsid w:val="00650F27"/>
    <w:rsid w:val="00651977"/>
    <w:rsid w:val="006523BD"/>
    <w:rsid w:val="00652A1B"/>
    <w:rsid w:val="00652A7E"/>
    <w:rsid w:val="00652A9D"/>
    <w:rsid w:val="00653B67"/>
    <w:rsid w:val="00653FFE"/>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650"/>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1DD"/>
    <w:rsid w:val="006B14EC"/>
    <w:rsid w:val="006B2DDD"/>
    <w:rsid w:val="006B6739"/>
    <w:rsid w:val="006B72B0"/>
    <w:rsid w:val="006B72D9"/>
    <w:rsid w:val="006B7760"/>
    <w:rsid w:val="006C06C9"/>
    <w:rsid w:val="006C08F0"/>
    <w:rsid w:val="006C214D"/>
    <w:rsid w:val="006C3250"/>
    <w:rsid w:val="006C551A"/>
    <w:rsid w:val="006C5A93"/>
    <w:rsid w:val="006D0395"/>
    <w:rsid w:val="006D0D54"/>
    <w:rsid w:val="006D21CC"/>
    <w:rsid w:val="006D3A5D"/>
    <w:rsid w:val="006D5419"/>
    <w:rsid w:val="006D541A"/>
    <w:rsid w:val="006D54D4"/>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6A9E"/>
    <w:rsid w:val="00731CAD"/>
    <w:rsid w:val="00737F44"/>
    <w:rsid w:val="00742828"/>
    <w:rsid w:val="00747623"/>
    <w:rsid w:val="00750F56"/>
    <w:rsid w:val="0075151D"/>
    <w:rsid w:val="0075182A"/>
    <w:rsid w:val="00751E8B"/>
    <w:rsid w:val="00752409"/>
    <w:rsid w:val="0075307E"/>
    <w:rsid w:val="007555F9"/>
    <w:rsid w:val="00756E59"/>
    <w:rsid w:val="007574D1"/>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1EC4"/>
    <w:rsid w:val="00794BDB"/>
    <w:rsid w:val="007952C7"/>
    <w:rsid w:val="00796034"/>
    <w:rsid w:val="007A0C42"/>
    <w:rsid w:val="007A0E43"/>
    <w:rsid w:val="007A1947"/>
    <w:rsid w:val="007A237A"/>
    <w:rsid w:val="007A3B2A"/>
    <w:rsid w:val="007A4FBA"/>
    <w:rsid w:val="007A5319"/>
    <w:rsid w:val="007A7C18"/>
    <w:rsid w:val="007A7EF1"/>
    <w:rsid w:val="007B29C9"/>
    <w:rsid w:val="007B2A84"/>
    <w:rsid w:val="007C2D89"/>
    <w:rsid w:val="007C4912"/>
    <w:rsid w:val="007C4B8E"/>
    <w:rsid w:val="007C66D2"/>
    <w:rsid w:val="007C6BBF"/>
    <w:rsid w:val="007D1C55"/>
    <w:rsid w:val="007D2E1C"/>
    <w:rsid w:val="007D3CF4"/>
    <w:rsid w:val="007D3DC6"/>
    <w:rsid w:val="007D4455"/>
    <w:rsid w:val="007D62D7"/>
    <w:rsid w:val="007D68A5"/>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3EB0"/>
    <w:rsid w:val="008247D9"/>
    <w:rsid w:val="0082538B"/>
    <w:rsid w:val="00825A15"/>
    <w:rsid w:val="00825F46"/>
    <w:rsid w:val="00825FAA"/>
    <w:rsid w:val="00826C3A"/>
    <w:rsid w:val="0082760F"/>
    <w:rsid w:val="00830296"/>
    <w:rsid w:val="0083223D"/>
    <w:rsid w:val="008330C9"/>
    <w:rsid w:val="00835F52"/>
    <w:rsid w:val="00840117"/>
    <w:rsid w:val="00843C8F"/>
    <w:rsid w:val="00844290"/>
    <w:rsid w:val="008443B1"/>
    <w:rsid w:val="00844507"/>
    <w:rsid w:val="0084490D"/>
    <w:rsid w:val="00844A00"/>
    <w:rsid w:val="00846F1B"/>
    <w:rsid w:val="008526D9"/>
    <w:rsid w:val="008534E7"/>
    <w:rsid w:val="00854E30"/>
    <w:rsid w:val="00857654"/>
    <w:rsid w:val="00857B62"/>
    <w:rsid w:val="008618C1"/>
    <w:rsid w:val="00862BE3"/>
    <w:rsid w:val="00862EBB"/>
    <w:rsid w:val="008631DD"/>
    <w:rsid w:val="00864330"/>
    <w:rsid w:val="008703DB"/>
    <w:rsid w:val="00872CE4"/>
    <w:rsid w:val="0087459C"/>
    <w:rsid w:val="00877E4D"/>
    <w:rsid w:val="00880D74"/>
    <w:rsid w:val="00880ED3"/>
    <w:rsid w:val="00881BAB"/>
    <w:rsid w:val="00881D84"/>
    <w:rsid w:val="00882B2C"/>
    <w:rsid w:val="00883470"/>
    <w:rsid w:val="00884BA6"/>
    <w:rsid w:val="008858F6"/>
    <w:rsid w:val="00890712"/>
    <w:rsid w:val="00892BDA"/>
    <w:rsid w:val="00892DE8"/>
    <w:rsid w:val="008A072E"/>
    <w:rsid w:val="008A08DB"/>
    <w:rsid w:val="008A3A9E"/>
    <w:rsid w:val="008A4942"/>
    <w:rsid w:val="008A4B8E"/>
    <w:rsid w:val="008A53DE"/>
    <w:rsid w:val="008A561B"/>
    <w:rsid w:val="008A6628"/>
    <w:rsid w:val="008B01C2"/>
    <w:rsid w:val="008B029B"/>
    <w:rsid w:val="008B1D39"/>
    <w:rsid w:val="008B1E52"/>
    <w:rsid w:val="008B372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33E"/>
    <w:rsid w:val="009209E8"/>
    <w:rsid w:val="009211B4"/>
    <w:rsid w:val="00922373"/>
    <w:rsid w:val="00922592"/>
    <w:rsid w:val="00923C4A"/>
    <w:rsid w:val="009259D5"/>
    <w:rsid w:val="00925B9C"/>
    <w:rsid w:val="00926CDD"/>
    <w:rsid w:val="00926EE7"/>
    <w:rsid w:val="009278C5"/>
    <w:rsid w:val="0093107D"/>
    <w:rsid w:val="00931A8B"/>
    <w:rsid w:val="009324FE"/>
    <w:rsid w:val="00932976"/>
    <w:rsid w:val="00933150"/>
    <w:rsid w:val="00933165"/>
    <w:rsid w:val="0093334D"/>
    <w:rsid w:val="00934B57"/>
    <w:rsid w:val="00935307"/>
    <w:rsid w:val="0094041C"/>
    <w:rsid w:val="0094055B"/>
    <w:rsid w:val="00941545"/>
    <w:rsid w:val="009435A6"/>
    <w:rsid w:val="009437A7"/>
    <w:rsid w:val="00946789"/>
    <w:rsid w:val="00950163"/>
    <w:rsid w:val="00950CB5"/>
    <w:rsid w:val="009546B7"/>
    <w:rsid w:val="00954D08"/>
    <w:rsid w:val="00955047"/>
    <w:rsid w:val="00955238"/>
    <w:rsid w:val="009558DD"/>
    <w:rsid w:val="009613A3"/>
    <w:rsid w:val="0096147D"/>
    <w:rsid w:val="0096479F"/>
    <w:rsid w:val="00965552"/>
    <w:rsid w:val="0096574A"/>
    <w:rsid w:val="0096617A"/>
    <w:rsid w:val="00967429"/>
    <w:rsid w:val="009700E7"/>
    <w:rsid w:val="009701A2"/>
    <w:rsid w:val="00971FF1"/>
    <w:rsid w:val="00972DDE"/>
    <w:rsid w:val="00975775"/>
    <w:rsid w:val="009775FC"/>
    <w:rsid w:val="00977BAE"/>
    <w:rsid w:val="00977D99"/>
    <w:rsid w:val="0098099B"/>
    <w:rsid w:val="00981749"/>
    <w:rsid w:val="0098383B"/>
    <w:rsid w:val="00983BD4"/>
    <w:rsid w:val="00983E4E"/>
    <w:rsid w:val="009840B0"/>
    <w:rsid w:val="00984531"/>
    <w:rsid w:val="0098659E"/>
    <w:rsid w:val="009869E5"/>
    <w:rsid w:val="00991F92"/>
    <w:rsid w:val="0099239A"/>
    <w:rsid w:val="00992683"/>
    <w:rsid w:val="009930AE"/>
    <w:rsid w:val="009930CA"/>
    <w:rsid w:val="00994368"/>
    <w:rsid w:val="009960AD"/>
    <w:rsid w:val="00997017"/>
    <w:rsid w:val="009A089A"/>
    <w:rsid w:val="009A170D"/>
    <w:rsid w:val="009A1ABA"/>
    <w:rsid w:val="009A1D1C"/>
    <w:rsid w:val="009A456E"/>
    <w:rsid w:val="009A6799"/>
    <w:rsid w:val="009A693B"/>
    <w:rsid w:val="009A7284"/>
    <w:rsid w:val="009A75CB"/>
    <w:rsid w:val="009B074B"/>
    <w:rsid w:val="009B0A3E"/>
    <w:rsid w:val="009B72EB"/>
    <w:rsid w:val="009B792F"/>
    <w:rsid w:val="009C4BB9"/>
    <w:rsid w:val="009C4C50"/>
    <w:rsid w:val="009C4EA2"/>
    <w:rsid w:val="009C7D0A"/>
    <w:rsid w:val="009C7FD8"/>
    <w:rsid w:val="009D05BF"/>
    <w:rsid w:val="009D2432"/>
    <w:rsid w:val="009D245C"/>
    <w:rsid w:val="009E0EA7"/>
    <w:rsid w:val="009E36F0"/>
    <w:rsid w:val="009E7471"/>
    <w:rsid w:val="009F064F"/>
    <w:rsid w:val="009F11C8"/>
    <w:rsid w:val="009F15EF"/>
    <w:rsid w:val="009F24D1"/>
    <w:rsid w:val="009F3D47"/>
    <w:rsid w:val="009F4563"/>
    <w:rsid w:val="009F487E"/>
    <w:rsid w:val="00A01EFD"/>
    <w:rsid w:val="00A039D2"/>
    <w:rsid w:val="00A04B51"/>
    <w:rsid w:val="00A05781"/>
    <w:rsid w:val="00A068B7"/>
    <w:rsid w:val="00A069FC"/>
    <w:rsid w:val="00A06A22"/>
    <w:rsid w:val="00A0749F"/>
    <w:rsid w:val="00A127F1"/>
    <w:rsid w:val="00A12C82"/>
    <w:rsid w:val="00A1322D"/>
    <w:rsid w:val="00A17158"/>
    <w:rsid w:val="00A2031C"/>
    <w:rsid w:val="00A20856"/>
    <w:rsid w:val="00A2140F"/>
    <w:rsid w:val="00A22375"/>
    <w:rsid w:val="00A24145"/>
    <w:rsid w:val="00A24411"/>
    <w:rsid w:val="00A252A2"/>
    <w:rsid w:val="00A30F32"/>
    <w:rsid w:val="00A319A4"/>
    <w:rsid w:val="00A320D2"/>
    <w:rsid w:val="00A32455"/>
    <w:rsid w:val="00A32D75"/>
    <w:rsid w:val="00A33C82"/>
    <w:rsid w:val="00A33EC9"/>
    <w:rsid w:val="00A377F1"/>
    <w:rsid w:val="00A40087"/>
    <w:rsid w:val="00A41CA5"/>
    <w:rsid w:val="00A426D2"/>
    <w:rsid w:val="00A46BC3"/>
    <w:rsid w:val="00A47BEB"/>
    <w:rsid w:val="00A51A47"/>
    <w:rsid w:val="00A5296E"/>
    <w:rsid w:val="00A5323E"/>
    <w:rsid w:val="00A5538A"/>
    <w:rsid w:val="00A5692F"/>
    <w:rsid w:val="00A57C84"/>
    <w:rsid w:val="00A6358C"/>
    <w:rsid w:val="00A63DE3"/>
    <w:rsid w:val="00A648D2"/>
    <w:rsid w:val="00A648FB"/>
    <w:rsid w:val="00A665B8"/>
    <w:rsid w:val="00A67621"/>
    <w:rsid w:val="00A70DE0"/>
    <w:rsid w:val="00A72947"/>
    <w:rsid w:val="00A73132"/>
    <w:rsid w:val="00A73E82"/>
    <w:rsid w:val="00A80815"/>
    <w:rsid w:val="00A81B56"/>
    <w:rsid w:val="00A83F70"/>
    <w:rsid w:val="00A841E3"/>
    <w:rsid w:val="00A86E53"/>
    <w:rsid w:val="00A920ED"/>
    <w:rsid w:val="00A92497"/>
    <w:rsid w:val="00A94B95"/>
    <w:rsid w:val="00A95164"/>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1FF"/>
    <w:rsid w:val="00AB7635"/>
    <w:rsid w:val="00AB7D40"/>
    <w:rsid w:val="00AC0195"/>
    <w:rsid w:val="00AC169A"/>
    <w:rsid w:val="00AC17BD"/>
    <w:rsid w:val="00AC627A"/>
    <w:rsid w:val="00AC6C9F"/>
    <w:rsid w:val="00AC7076"/>
    <w:rsid w:val="00AD0219"/>
    <w:rsid w:val="00AD0858"/>
    <w:rsid w:val="00AD159E"/>
    <w:rsid w:val="00AD25AF"/>
    <w:rsid w:val="00AD3FA3"/>
    <w:rsid w:val="00AD5B00"/>
    <w:rsid w:val="00AE0905"/>
    <w:rsid w:val="00AE2F7F"/>
    <w:rsid w:val="00AF2729"/>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36D"/>
    <w:rsid w:val="00B55DD4"/>
    <w:rsid w:val="00B601DE"/>
    <w:rsid w:val="00B60D21"/>
    <w:rsid w:val="00B60F8C"/>
    <w:rsid w:val="00B61DB0"/>
    <w:rsid w:val="00B628A3"/>
    <w:rsid w:val="00B635C3"/>
    <w:rsid w:val="00B64E0D"/>
    <w:rsid w:val="00B65DD7"/>
    <w:rsid w:val="00B66B82"/>
    <w:rsid w:val="00B67C8D"/>
    <w:rsid w:val="00B67DE8"/>
    <w:rsid w:val="00B71A77"/>
    <w:rsid w:val="00B746DE"/>
    <w:rsid w:val="00B75E89"/>
    <w:rsid w:val="00B761D0"/>
    <w:rsid w:val="00B76B5B"/>
    <w:rsid w:val="00B76E0A"/>
    <w:rsid w:val="00B770A1"/>
    <w:rsid w:val="00B826E5"/>
    <w:rsid w:val="00B836E8"/>
    <w:rsid w:val="00B83FBC"/>
    <w:rsid w:val="00B841A4"/>
    <w:rsid w:val="00B871DD"/>
    <w:rsid w:val="00B87B57"/>
    <w:rsid w:val="00B93135"/>
    <w:rsid w:val="00B95CAD"/>
    <w:rsid w:val="00B9774B"/>
    <w:rsid w:val="00BA1954"/>
    <w:rsid w:val="00BA376F"/>
    <w:rsid w:val="00BA5F64"/>
    <w:rsid w:val="00BA61A9"/>
    <w:rsid w:val="00BB06A4"/>
    <w:rsid w:val="00BB0A71"/>
    <w:rsid w:val="00BB33FD"/>
    <w:rsid w:val="00BB33FE"/>
    <w:rsid w:val="00BB4913"/>
    <w:rsid w:val="00BB5C5F"/>
    <w:rsid w:val="00BB612A"/>
    <w:rsid w:val="00BB627A"/>
    <w:rsid w:val="00BC193E"/>
    <w:rsid w:val="00BC4F1B"/>
    <w:rsid w:val="00BC6F1B"/>
    <w:rsid w:val="00BC753E"/>
    <w:rsid w:val="00BC7668"/>
    <w:rsid w:val="00BC7E29"/>
    <w:rsid w:val="00BD1D60"/>
    <w:rsid w:val="00BD1FA5"/>
    <w:rsid w:val="00BD2812"/>
    <w:rsid w:val="00BD6949"/>
    <w:rsid w:val="00BE4B8D"/>
    <w:rsid w:val="00BE5EB9"/>
    <w:rsid w:val="00BE73E9"/>
    <w:rsid w:val="00BF0B2C"/>
    <w:rsid w:val="00BF0C97"/>
    <w:rsid w:val="00BF28EC"/>
    <w:rsid w:val="00BF4BF5"/>
    <w:rsid w:val="00BF51F6"/>
    <w:rsid w:val="00BF682C"/>
    <w:rsid w:val="00BF7476"/>
    <w:rsid w:val="00C02D9A"/>
    <w:rsid w:val="00C06808"/>
    <w:rsid w:val="00C10EEC"/>
    <w:rsid w:val="00C12240"/>
    <w:rsid w:val="00C138B2"/>
    <w:rsid w:val="00C13F57"/>
    <w:rsid w:val="00C17074"/>
    <w:rsid w:val="00C1758E"/>
    <w:rsid w:val="00C21672"/>
    <w:rsid w:val="00C21ACC"/>
    <w:rsid w:val="00C22755"/>
    <w:rsid w:val="00C230AB"/>
    <w:rsid w:val="00C31F14"/>
    <w:rsid w:val="00C34E9B"/>
    <w:rsid w:val="00C34FE2"/>
    <w:rsid w:val="00C36041"/>
    <w:rsid w:val="00C36B8D"/>
    <w:rsid w:val="00C36C5A"/>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2F1B"/>
    <w:rsid w:val="00C63C53"/>
    <w:rsid w:val="00C70B15"/>
    <w:rsid w:val="00C70F4F"/>
    <w:rsid w:val="00C749C1"/>
    <w:rsid w:val="00C74A12"/>
    <w:rsid w:val="00C7603F"/>
    <w:rsid w:val="00C80ECD"/>
    <w:rsid w:val="00C8206E"/>
    <w:rsid w:val="00C83BA2"/>
    <w:rsid w:val="00C840F2"/>
    <w:rsid w:val="00C8538F"/>
    <w:rsid w:val="00C9122B"/>
    <w:rsid w:val="00C93D82"/>
    <w:rsid w:val="00C948CD"/>
    <w:rsid w:val="00C94904"/>
    <w:rsid w:val="00C9683B"/>
    <w:rsid w:val="00CA0EF6"/>
    <w:rsid w:val="00CA31DB"/>
    <w:rsid w:val="00CA4361"/>
    <w:rsid w:val="00CA69D3"/>
    <w:rsid w:val="00CA7A2A"/>
    <w:rsid w:val="00CB21A0"/>
    <w:rsid w:val="00CB26B0"/>
    <w:rsid w:val="00CB2ACC"/>
    <w:rsid w:val="00CB717B"/>
    <w:rsid w:val="00CC0A81"/>
    <w:rsid w:val="00CC2EA3"/>
    <w:rsid w:val="00CC41D4"/>
    <w:rsid w:val="00CD0EFC"/>
    <w:rsid w:val="00CD2724"/>
    <w:rsid w:val="00CD33AB"/>
    <w:rsid w:val="00CD4A09"/>
    <w:rsid w:val="00CD5E71"/>
    <w:rsid w:val="00CD6B61"/>
    <w:rsid w:val="00CE4E7B"/>
    <w:rsid w:val="00CF08A4"/>
    <w:rsid w:val="00CF0C7B"/>
    <w:rsid w:val="00CF1C70"/>
    <w:rsid w:val="00CF291C"/>
    <w:rsid w:val="00CF4B54"/>
    <w:rsid w:val="00CF6AA7"/>
    <w:rsid w:val="00D02613"/>
    <w:rsid w:val="00D060F5"/>
    <w:rsid w:val="00D06613"/>
    <w:rsid w:val="00D114B4"/>
    <w:rsid w:val="00D119E0"/>
    <w:rsid w:val="00D1210A"/>
    <w:rsid w:val="00D12679"/>
    <w:rsid w:val="00D13574"/>
    <w:rsid w:val="00D13FCC"/>
    <w:rsid w:val="00D149B3"/>
    <w:rsid w:val="00D14E0D"/>
    <w:rsid w:val="00D14EAA"/>
    <w:rsid w:val="00D1522D"/>
    <w:rsid w:val="00D15B9A"/>
    <w:rsid w:val="00D15D80"/>
    <w:rsid w:val="00D1666A"/>
    <w:rsid w:val="00D17D8C"/>
    <w:rsid w:val="00D21BE7"/>
    <w:rsid w:val="00D26793"/>
    <w:rsid w:val="00D27953"/>
    <w:rsid w:val="00D27B89"/>
    <w:rsid w:val="00D33441"/>
    <w:rsid w:val="00D334C0"/>
    <w:rsid w:val="00D36619"/>
    <w:rsid w:val="00D3707C"/>
    <w:rsid w:val="00D43AF8"/>
    <w:rsid w:val="00D450F4"/>
    <w:rsid w:val="00D45431"/>
    <w:rsid w:val="00D505AC"/>
    <w:rsid w:val="00D50730"/>
    <w:rsid w:val="00D50E55"/>
    <w:rsid w:val="00D50E97"/>
    <w:rsid w:val="00D539DF"/>
    <w:rsid w:val="00D53B3B"/>
    <w:rsid w:val="00D542EE"/>
    <w:rsid w:val="00D54F3E"/>
    <w:rsid w:val="00D577AF"/>
    <w:rsid w:val="00D57932"/>
    <w:rsid w:val="00D65F39"/>
    <w:rsid w:val="00D664CF"/>
    <w:rsid w:val="00D67757"/>
    <w:rsid w:val="00D72D71"/>
    <w:rsid w:val="00D7654E"/>
    <w:rsid w:val="00D7698D"/>
    <w:rsid w:val="00D76D8D"/>
    <w:rsid w:val="00D83166"/>
    <w:rsid w:val="00D8329A"/>
    <w:rsid w:val="00D85475"/>
    <w:rsid w:val="00D86304"/>
    <w:rsid w:val="00D87DC8"/>
    <w:rsid w:val="00D9044D"/>
    <w:rsid w:val="00D90F3B"/>
    <w:rsid w:val="00D94EB2"/>
    <w:rsid w:val="00D96521"/>
    <w:rsid w:val="00D97881"/>
    <w:rsid w:val="00DA2563"/>
    <w:rsid w:val="00DA318F"/>
    <w:rsid w:val="00DA380B"/>
    <w:rsid w:val="00DA5364"/>
    <w:rsid w:val="00DB160F"/>
    <w:rsid w:val="00DB2F65"/>
    <w:rsid w:val="00DB4270"/>
    <w:rsid w:val="00DB50E6"/>
    <w:rsid w:val="00DB5B28"/>
    <w:rsid w:val="00DB7459"/>
    <w:rsid w:val="00DC2BD1"/>
    <w:rsid w:val="00DC32BC"/>
    <w:rsid w:val="00DC3C54"/>
    <w:rsid w:val="00DC499D"/>
    <w:rsid w:val="00DC7034"/>
    <w:rsid w:val="00DC770C"/>
    <w:rsid w:val="00DD3685"/>
    <w:rsid w:val="00DD5A57"/>
    <w:rsid w:val="00DD5B1D"/>
    <w:rsid w:val="00DE664E"/>
    <w:rsid w:val="00DE6FEA"/>
    <w:rsid w:val="00DF29E0"/>
    <w:rsid w:val="00DF4654"/>
    <w:rsid w:val="00E00DF4"/>
    <w:rsid w:val="00E0178C"/>
    <w:rsid w:val="00E0297A"/>
    <w:rsid w:val="00E0354C"/>
    <w:rsid w:val="00E05CD7"/>
    <w:rsid w:val="00E12168"/>
    <w:rsid w:val="00E121FC"/>
    <w:rsid w:val="00E12BD3"/>
    <w:rsid w:val="00E14149"/>
    <w:rsid w:val="00E155EB"/>
    <w:rsid w:val="00E17B8A"/>
    <w:rsid w:val="00E27F9E"/>
    <w:rsid w:val="00E30852"/>
    <w:rsid w:val="00E311A1"/>
    <w:rsid w:val="00E34833"/>
    <w:rsid w:val="00E34FF9"/>
    <w:rsid w:val="00E3576F"/>
    <w:rsid w:val="00E3696F"/>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3C91"/>
    <w:rsid w:val="00E656AA"/>
    <w:rsid w:val="00E6785B"/>
    <w:rsid w:val="00E67BB4"/>
    <w:rsid w:val="00E702E4"/>
    <w:rsid w:val="00E705A5"/>
    <w:rsid w:val="00E71356"/>
    <w:rsid w:val="00E713BE"/>
    <w:rsid w:val="00E715AA"/>
    <w:rsid w:val="00E718FA"/>
    <w:rsid w:val="00E73C64"/>
    <w:rsid w:val="00E751F6"/>
    <w:rsid w:val="00E761CC"/>
    <w:rsid w:val="00E76A25"/>
    <w:rsid w:val="00E82AFE"/>
    <w:rsid w:val="00E8351B"/>
    <w:rsid w:val="00E8434D"/>
    <w:rsid w:val="00E847F7"/>
    <w:rsid w:val="00E84BDF"/>
    <w:rsid w:val="00E869A1"/>
    <w:rsid w:val="00E86E6A"/>
    <w:rsid w:val="00E87230"/>
    <w:rsid w:val="00E872AD"/>
    <w:rsid w:val="00E87666"/>
    <w:rsid w:val="00E9078D"/>
    <w:rsid w:val="00E912E2"/>
    <w:rsid w:val="00E92B97"/>
    <w:rsid w:val="00E92E6C"/>
    <w:rsid w:val="00E94407"/>
    <w:rsid w:val="00E964E5"/>
    <w:rsid w:val="00E96D5C"/>
    <w:rsid w:val="00EA076E"/>
    <w:rsid w:val="00EA75E3"/>
    <w:rsid w:val="00EB19B3"/>
    <w:rsid w:val="00EB312C"/>
    <w:rsid w:val="00EC012F"/>
    <w:rsid w:val="00EC22AB"/>
    <w:rsid w:val="00EC767D"/>
    <w:rsid w:val="00ED4D77"/>
    <w:rsid w:val="00ED7DB6"/>
    <w:rsid w:val="00EE1040"/>
    <w:rsid w:val="00EE2F7B"/>
    <w:rsid w:val="00EE35B9"/>
    <w:rsid w:val="00EE4888"/>
    <w:rsid w:val="00EE4A7D"/>
    <w:rsid w:val="00EE7991"/>
    <w:rsid w:val="00EF0DD2"/>
    <w:rsid w:val="00EF3196"/>
    <w:rsid w:val="00EF4BD4"/>
    <w:rsid w:val="00EF61BD"/>
    <w:rsid w:val="00F00A1D"/>
    <w:rsid w:val="00F00D73"/>
    <w:rsid w:val="00F011EE"/>
    <w:rsid w:val="00F0325A"/>
    <w:rsid w:val="00F077F5"/>
    <w:rsid w:val="00F101CF"/>
    <w:rsid w:val="00F10359"/>
    <w:rsid w:val="00F11AEB"/>
    <w:rsid w:val="00F141A0"/>
    <w:rsid w:val="00F1438C"/>
    <w:rsid w:val="00F21F0C"/>
    <w:rsid w:val="00F22CC8"/>
    <w:rsid w:val="00F2452B"/>
    <w:rsid w:val="00F24F7D"/>
    <w:rsid w:val="00F27F0C"/>
    <w:rsid w:val="00F31749"/>
    <w:rsid w:val="00F31B0F"/>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5A84"/>
    <w:rsid w:val="00F94DA0"/>
    <w:rsid w:val="00F95020"/>
    <w:rsid w:val="00F95580"/>
    <w:rsid w:val="00F95C1E"/>
    <w:rsid w:val="00FA6BE0"/>
    <w:rsid w:val="00FA6E45"/>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1C65E1"/>
    <w:rsid w:val="01872357"/>
    <w:rsid w:val="019239B4"/>
    <w:rsid w:val="01B86B06"/>
    <w:rsid w:val="01C401C9"/>
    <w:rsid w:val="02125852"/>
    <w:rsid w:val="028271B2"/>
    <w:rsid w:val="02957E3E"/>
    <w:rsid w:val="03151A50"/>
    <w:rsid w:val="03346C50"/>
    <w:rsid w:val="034D62DE"/>
    <w:rsid w:val="036C262D"/>
    <w:rsid w:val="038965C0"/>
    <w:rsid w:val="03AD7315"/>
    <w:rsid w:val="03CA02A5"/>
    <w:rsid w:val="03CD5B4A"/>
    <w:rsid w:val="03D075ED"/>
    <w:rsid w:val="03EC32E0"/>
    <w:rsid w:val="04107E55"/>
    <w:rsid w:val="043C0AB7"/>
    <w:rsid w:val="048552F8"/>
    <w:rsid w:val="0488627D"/>
    <w:rsid w:val="04CF69F1"/>
    <w:rsid w:val="051416E4"/>
    <w:rsid w:val="05155D56"/>
    <w:rsid w:val="05336F74"/>
    <w:rsid w:val="053946FE"/>
    <w:rsid w:val="053F44DA"/>
    <w:rsid w:val="0556347F"/>
    <w:rsid w:val="05657965"/>
    <w:rsid w:val="056A6870"/>
    <w:rsid w:val="057F2246"/>
    <w:rsid w:val="05934EED"/>
    <w:rsid w:val="059D7485"/>
    <w:rsid w:val="05A218FD"/>
    <w:rsid w:val="05E32826"/>
    <w:rsid w:val="05EC584B"/>
    <w:rsid w:val="05FB57C1"/>
    <w:rsid w:val="060B799A"/>
    <w:rsid w:val="06425AFA"/>
    <w:rsid w:val="0651104B"/>
    <w:rsid w:val="065135D3"/>
    <w:rsid w:val="066901FE"/>
    <w:rsid w:val="068B2EE2"/>
    <w:rsid w:val="06B02C31"/>
    <w:rsid w:val="06C00186"/>
    <w:rsid w:val="06CB2EB0"/>
    <w:rsid w:val="070A598E"/>
    <w:rsid w:val="070C00E2"/>
    <w:rsid w:val="07215923"/>
    <w:rsid w:val="075676BA"/>
    <w:rsid w:val="075926EA"/>
    <w:rsid w:val="07C90EA0"/>
    <w:rsid w:val="07F01A92"/>
    <w:rsid w:val="082D0DDC"/>
    <w:rsid w:val="0838462F"/>
    <w:rsid w:val="084654BA"/>
    <w:rsid w:val="088031A4"/>
    <w:rsid w:val="0888458F"/>
    <w:rsid w:val="08A06B4F"/>
    <w:rsid w:val="08C5160C"/>
    <w:rsid w:val="08CC7FAB"/>
    <w:rsid w:val="08F8767A"/>
    <w:rsid w:val="09197B3E"/>
    <w:rsid w:val="094C39EC"/>
    <w:rsid w:val="09527571"/>
    <w:rsid w:val="09546F15"/>
    <w:rsid w:val="09AE2D28"/>
    <w:rsid w:val="09BD43C3"/>
    <w:rsid w:val="09D472EE"/>
    <w:rsid w:val="09E45CBE"/>
    <w:rsid w:val="09E61F4C"/>
    <w:rsid w:val="09FB10FF"/>
    <w:rsid w:val="0A3D5C6E"/>
    <w:rsid w:val="0A603E15"/>
    <w:rsid w:val="0ABF5C4C"/>
    <w:rsid w:val="0B0F368D"/>
    <w:rsid w:val="0B3A5CA3"/>
    <w:rsid w:val="0B4162E6"/>
    <w:rsid w:val="0B6017B9"/>
    <w:rsid w:val="0B735A0F"/>
    <w:rsid w:val="0B7A2E36"/>
    <w:rsid w:val="0B99525E"/>
    <w:rsid w:val="0BCE34E9"/>
    <w:rsid w:val="0BD41778"/>
    <w:rsid w:val="0BDB1D67"/>
    <w:rsid w:val="0BE95E9A"/>
    <w:rsid w:val="0C15127E"/>
    <w:rsid w:val="0C5F5889"/>
    <w:rsid w:val="0C7F638D"/>
    <w:rsid w:val="0C994A55"/>
    <w:rsid w:val="0CAA4C53"/>
    <w:rsid w:val="0CD168E1"/>
    <w:rsid w:val="0D0667FF"/>
    <w:rsid w:val="0D415C54"/>
    <w:rsid w:val="0D50435C"/>
    <w:rsid w:val="0D5B600F"/>
    <w:rsid w:val="0D7A754F"/>
    <w:rsid w:val="0D7F775F"/>
    <w:rsid w:val="0D895471"/>
    <w:rsid w:val="0DB822CE"/>
    <w:rsid w:val="0DD62318"/>
    <w:rsid w:val="0DFD4250"/>
    <w:rsid w:val="0E347BBB"/>
    <w:rsid w:val="0E4C5684"/>
    <w:rsid w:val="0E4E0B87"/>
    <w:rsid w:val="0E90348C"/>
    <w:rsid w:val="0E9272B5"/>
    <w:rsid w:val="0E971A98"/>
    <w:rsid w:val="0EA145B8"/>
    <w:rsid w:val="0EDD7260"/>
    <w:rsid w:val="0EFE142F"/>
    <w:rsid w:val="0F0D2C42"/>
    <w:rsid w:val="0F24532B"/>
    <w:rsid w:val="0F3E048F"/>
    <w:rsid w:val="0F4E7C06"/>
    <w:rsid w:val="0F522FDA"/>
    <w:rsid w:val="0F5576A6"/>
    <w:rsid w:val="0F681E28"/>
    <w:rsid w:val="0F75161B"/>
    <w:rsid w:val="0F833182"/>
    <w:rsid w:val="0F837C65"/>
    <w:rsid w:val="0FAB6F93"/>
    <w:rsid w:val="0FE872AF"/>
    <w:rsid w:val="0FED3DE9"/>
    <w:rsid w:val="102B2696"/>
    <w:rsid w:val="102E7CFD"/>
    <w:rsid w:val="103F078A"/>
    <w:rsid w:val="10411A22"/>
    <w:rsid w:val="104834EE"/>
    <w:rsid w:val="104E41AE"/>
    <w:rsid w:val="10612D17"/>
    <w:rsid w:val="1083059A"/>
    <w:rsid w:val="10B75798"/>
    <w:rsid w:val="10C152C4"/>
    <w:rsid w:val="10C6436B"/>
    <w:rsid w:val="10DF70BF"/>
    <w:rsid w:val="10EB46B0"/>
    <w:rsid w:val="1148579C"/>
    <w:rsid w:val="116746F9"/>
    <w:rsid w:val="118515F1"/>
    <w:rsid w:val="11DE1CDD"/>
    <w:rsid w:val="11E07ECD"/>
    <w:rsid w:val="11F70C71"/>
    <w:rsid w:val="122E65E4"/>
    <w:rsid w:val="123518F7"/>
    <w:rsid w:val="127F50E9"/>
    <w:rsid w:val="12826F09"/>
    <w:rsid w:val="128F3808"/>
    <w:rsid w:val="12D10C57"/>
    <w:rsid w:val="131320DA"/>
    <w:rsid w:val="131462C7"/>
    <w:rsid w:val="131C2A52"/>
    <w:rsid w:val="132C47D1"/>
    <w:rsid w:val="1388614A"/>
    <w:rsid w:val="139C2C55"/>
    <w:rsid w:val="13B44B40"/>
    <w:rsid w:val="13F3080A"/>
    <w:rsid w:val="13F74913"/>
    <w:rsid w:val="14012977"/>
    <w:rsid w:val="140372DF"/>
    <w:rsid w:val="14642A47"/>
    <w:rsid w:val="148E4F94"/>
    <w:rsid w:val="14A4376A"/>
    <w:rsid w:val="14AB7030"/>
    <w:rsid w:val="14AD6CB5"/>
    <w:rsid w:val="14E47444"/>
    <w:rsid w:val="14F53290"/>
    <w:rsid w:val="1505030B"/>
    <w:rsid w:val="151948F4"/>
    <w:rsid w:val="151C212F"/>
    <w:rsid w:val="152E1F10"/>
    <w:rsid w:val="156B3533"/>
    <w:rsid w:val="159A1A9C"/>
    <w:rsid w:val="15DA30A6"/>
    <w:rsid w:val="15FD6214"/>
    <w:rsid w:val="16022C53"/>
    <w:rsid w:val="160A7825"/>
    <w:rsid w:val="16114A98"/>
    <w:rsid w:val="16184950"/>
    <w:rsid w:val="161F42DB"/>
    <w:rsid w:val="163B00F8"/>
    <w:rsid w:val="16547C2D"/>
    <w:rsid w:val="16590EFE"/>
    <w:rsid w:val="167B5CCB"/>
    <w:rsid w:val="1684137A"/>
    <w:rsid w:val="168510F5"/>
    <w:rsid w:val="16BA03A1"/>
    <w:rsid w:val="16CB4C00"/>
    <w:rsid w:val="16DC6423"/>
    <w:rsid w:val="16E85228"/>
    <w:rsid w:val="16FF7D3A"/>
    <w:rsid w:val="1703505F"/>
    <w:rsid w:val="170556EF"/>
    <w:rsid w:val="172B1502"/>
    <w:rsid w:val="17454AD8"/>
    <w:rsid w:val="174B5E12"/>
    <w:rsid w:val="17627DEA"/>
    <w:rsid w:val="17666976"/>
    <w:rsid w:val="1779455B"/>
    <w:rsid w:val="17911BEA"/>
    <w:rsid w:val="17AF0188"/>
    <w:rsid w:val="17D06220"/>
    <w:rsid w:val="18DE36FC"/>
    <w:rsid w:val="19043F59"/>
    <w:rsid w:val="19047893"/>
    <w:rsid w:val="190D7E26"/>
    <w:rsid w:val="190E0680"/>
    <w:rsid w:val="19351120"/>
    <w:rsid w:val="19E21BB8"/>
    <w:rsid w:val="1A4A621C"/>
    <w:rsid w:val="1AA057B7"/>
    <w:rsid w:val="1AEF00AA"/>
    <w:rsid w:val="1B456999"/>
    <w:rsid w:val="1B4B1512"/>
    <w:rsid w:val="1B672584"/>
    <w:rsid w:val="1B7C5240"/>
    <w:rsid w:val="1B8F0552"/>
    <w:rsid w:val="1BD0376A"/>
    <w:rsid w:val="1BD10986"/>
    <w:rsid w:val="1BD664C1"/>
    <w:rsid w:val="1BE62E2C"/>
    <w:rsid w:val="1C5521A2"/>
    <w:rsid w:val="1C6401A7"/>
    <w:rsid w:val="1C6C5F2C"/>
    <w:rsid w:val="1CAE4A99"/>
    <w:rsid w:val="1CD207E0"/>
    <w:rsid w:val="1D2027D7"/>
    <w:rsid w:val="1D374D5D"/>
    <w:rsid w:val="1DC97089"/>
    <w:rsid w:val="1DEA22A2"/>
    <w:rsid w:val="1E0C5F9A"/>
    <w:rsid w:val="1E3962F7"/>
    <w:rsid w:val="1E45218B"/>
    <w:rsid w:val="1E4A58C3"/>
    <w:rsid w:val="1E546218"/>
    <w:rsid w:val="1E5633AE"/>
    <w:rsid w:val="1ECD0317"/>
    <w:rsid w:val="1EFB0E1B"/>
    <w:rsid w:val="1F0C54A8"/>
    <w:rsid w:val="1F9A75ED"/>
    <w:rsid w:val="1FAA2EDE"/>
    <w:rsid w:val="1FB91219"/>
    <w:rsid w:val="1FC0465F"/>
    <w:rsid w:val="1FFE0644"/>
    <w:rsid w:val="20347290"/>
    <w:rsid w:val="20371C1F"/>
    <w:rsid w:val="20646A1B"/>
    <w:rsid w:val="20693865"/>
    <w:rsid w:val="206D0AF9"/>
    <w:rsid w:val="208A0EA9"/>
    <w:rsid w:val="209A5FCA"/>
    <w:rsid w:val="20A2140E"/>
    <w:rsid w:val="20A4060B"/>
    <w:rsid w:val="20A90FFA"/>
    <w:rsid w:val="20E65B96"/>
    <w:rsid w:val="20EE2B7C"/>
    <w:rsid w:val="20F82B96"/>
    <w:rsid w:val="210A4BA1"/>
    <w:rsid w:val="211704C9"/>
    <w:rsid w:val="21274D1A"/>
    <w:rsid w:val="212C5FC3"/>
    <w:rsid w:val="214116AB"/>
    <w:rsid w:val="217A373D"/>
    <w:rsid w:val="21A732AA"/>
    <w:rsid w:val="21D06385"/>
    <w:rsid w:val="21DB371C"/>
    <w:rsid w:val="21E77118"/>
    <w:rsid w:val="21E9221E"/>
    <w:rsid w:val="21EE7D57"/>
    <w:rsid w:val="221F0D41"/>
    <w:rsid w:val="2225798F"/>
    <w:rsid w:val="22361626"/>
    <w:rsid w:val="22714B76"/>
    <w:rsid w:val="22D25477"/>
    <w:rsid w:val="231F0CAA"/>
    <w:rsid w:val="238F6834"/>
    <w:rsid w:val="23912854"/>
    <w:rsid w:val="239F4BBF"/>
    <w:rsid w:val="23AA06E5"/>
    <w:rsid w:val="23B3087D"/>
    <w:rsid w:val="23B77CC6"/>
    <w:rsid w:val="23D71570"/>
    <w:rsid w:val="23FC3666"/>
    <w:rsid w:val="23FC43CB"/>
    <w:rsid w:val="242023D2"/>
    <w:rsid w:val="24265EF9"/>
    <w:rsid w:val="24422247"/>
    <w:rsid w:val="2452597D"/>
    <w:rsid w:val="24586FAC"/>
    <w:rsid w:val="248A691A"/>
    <w:rsid w:val="24A00BB7"/>
    <w:rsid w:val="24AE0D3C"/>
    <w:rsid w:val="24F309A0"/>
    <w:rsid w:val="25001A40"/>
    <w:rsid w:val="252E6649"/>
    <w:rsid w:val="254C0545"/>
    <w:rsid w:val="259C66EA"/>
    <w:rsid w:val="25B53702"/>
    <w:rsid w:val="25B86E36"/>
    <w:rsid w:val="25C15CCE"/>
    <w:rsid w:val="25CE6C15"/>
    <w:rsid w:val="25CE7CE7"/>
    <w:rsid w:val="25DC0129"/>
    <w:rsid w:val="25FD7F08"/>
    <w:rsid w:val="26303A95"/>
    <w:rsid w:val="26461889"/>
    <w:rsid w:val="26565067"/>
    <w:rsid w:val="2687240F"/>
    <w:rsid w:val="269C4F84"/>
    <w:rsid w:val="26E0318F"/>
    <w:rsid w:val="26E8008C"/>
    <w:rsid w:val="270A580F"/>
    <w:rsid w:val="271742D6"/>
    <w:rsid w:val="27535154"/>
    <w:rsid w:val="27541D8F"/>
    <w:rsid w:val="27650367"/>
    <w:rsid w:val="27B76579"/>
    <w:rsid w:val="27C7230C"/>
    <w:rsid w:val="27D51A6E"/>
    <w:rsid w:val="28092E82"/>
    <w:rsid w:val="280A70F0"/>
    <w:rsid w:val="28241E16"/>
    <w:rsid w:val="2828418B"/>
    <w:rsid w:val="285831A2"/>
    <w:rsid w:val="2880705B"/>
    <w:rsid w:val="28935078"/>
    <w:rsid w:val="28BA032F"/>
    <w:rsid w:val="28D771B3"/>
    <w:rsid w:val="28F22610"/>
    <w:rsid w:val="291F32E1"/>
    <w:rsid w:val="292B7661"/>
    <w:rsid w:val="29583B07"/>
    <w:rsid w:val="296576F6"/>
    <w:rsid w:val="2970151A"/>
    <w:rsid w:val="297A26A8"/>
    <w:rsid w:val="297F5D39"/>
    <w:rsid w:val="29D37D2A"/>
    <w:rsid w:val="29F66FE5"/>
    <w:rsid w:val="2A0C6CC3"/>
    <w:rsid w:val="2A0E7F0F"/>
    <w:rsid w:val="2A1213E4"/>
    <w:rsid w:val="2A207473"/>
    <w:rsid w:val="2A396D97"/>
    <w:rsid w:val="2A832468"/>
    <w:rsid w:val="2A881708"/>
    <w:rsid w:val="2A965A80"/>
    <w:rsid w:val="2AAD386A"/>
    <w:rsid w:val="2AEB1EBC"/>
    <w:rsid w:val="2AEC58C2"/>
    <w:rsid w:val="2B25315D"/>
    <w:rsid w:val="2B272BDA"/>
    <w:rsid w:val="2B4861ED"/>
    <w:rsid w:val="2B605293"/>
    <w:rsid w:val="2B612554"/>
    <w:rsid w:val="2B8354F2"/>
    <w:rsid w:val="2B94670F"/>
    <w:rsid w:val="2B9F4376"/>
    <w:rsid w:val="2BBB30E2"/>
    <w:rsid w:val="2BC17F92"/>
    <w:rsid w:val="2BDB76C2"/>
    <w:rsid w:val="2BE3057D"/>
    <w:rsid w:val="2C013CDC"/>
    <w:rsid w:val="2C2124F4"/>
    <w:rsid w:val="2C3579BB"/>
    <w:rsid w:val="2C4F3D60"/>
    <w:rsid w:val="2C6C6D68"/>
    <w:rsid w:val="2C750052"/>
    <w:rsid w:val="2C8A2821"/>
    <w:rsid w:val="2C9D6E98"/>
    <w:rsid w:val="2CEC37BF"/>
    <w:rsid w:val="2CF56F7A"/>
    <w:rsid w:val="2D0504C1"/>
    <w:rsid w:val="2D5B1AF1"/>
    <w:rsid w:val="2D645A8B"/>
    <w:rsid w:val="2D795EE6"/>
    <w:rsid w:val="2DA75C8B"/>
    <w:rsid w:val="2DB61DC2"/>
    <w:rsid w:val="2DDC5444"/>
    <w:rsid w:val="2DE509DA"/>
    <w:rsid w:val="2DE57602"/>
    <w:rsid w:val="2DE8326D"/>
    <w:rsid w:val="2E4A429A"/>
    <w:rsid w:val="2E6426E9"/>
    <w:rsid w:val="2E742A36"/>
    <w:rsid w:val="2E806AC0"/>
    <w:rsid w:val="2EB10C98"/>
    <w:rsid w:val="2EC41B6D"/>
    <w:rsid w:val="2F371186"/>
    <w:rsid w:val="2F7B3348"/>
    <w:rsid w:val="2F8C4860"/>
    <w:rsid w:val="2F9873EC"/>
    <w:rsid w:val="2FB1436E"/>
    <w:rsid w:val="2FBB13DF"/>
    <w:rsid w:val="2FC46C7B"/>
    <w:rsid w:val="2FFA3CBF"/>
    <w:rsid w:val="305A3A1C"/>
    <w:rsid w:val="307C573E"/>
    <w:rsid w:val="30D17ACB"/>
    <w:rsid w:val="30E01C26"/>
    <w:rsid w:val="30FA62A5"/>
    <w:rsid w:val="31164EE4"/>
    <w:rsid w:val="311E2D72"/>
    <w:rsid w:val="312430B7"/>
    <w:rsid w:val="3137444E"/>
    <w:rsid w:val="314D541F"/>
    <w:rsid w:val="31833619"/>
    <w:rsid w:val="31982EEE"/>
    <w:rsid w:val="31A313C1"/>
    <w:rsid w:val="31AD16AC"/>
    <w:rsid w:val="31C02162"/>
    <w:rsid w:val="31C35F31"/>
    <w:rsid w:val="31D75B44"/>
    <w:rsid w:val="321F68AE"/>
    <w:rsid w:val="322D5960"/>
    <w:rsid w:val="322F18A1"/>
    <w:rsid w:val="323A4C76"/>
    <w:rsid w:val="32453F0C"/>
    <w:rsid w:val="32916000"/>
    <w:rsid w:val="32A323B5"/>
    <w:rsid w:val="32BF029E"/>
    <w:rsid w:val="32BF4ECF"/>
    <w:rsid w:val="32F609DC"/>
    <w:rsid w:val="32FC6F32"/>
    <w:rsid w:val="330A715A"/>
    <w:rsid w:val="330D309E"/>
    <w:rsid w:val="332561EC"/>
    <w:rsid w:val="33384636"/>
    <w:rsid w:val="336530DF"/>
    <w:rsid w:val="33663C27"/>
    <w:rsid w:val="338A6244"/>
    <w:rsid w:val="338E7B26"/>
    <w:rsid w:val="33936F97"/>
    <w:rsid w:val="33BD766E"/>
    <w:rsid w:val="33C022CD"/>
    <w:rsid w:val="33C865FF"/>
    <w:rsid w:val="33EE55C1"/>
    <w:rsid w:val="341C2C0D"/>
    <w:rsid w:val="342C7624"/>
    <w:rsid w:val="34620568"/>
    <w:rsid w:val="34797724"/>
    <w:rsid w:val="349E59C5"/>
    <w:rsid w:val="34C52530"/>
    <w:rsid w:val="34F22E60"/>
    <w:rsid w:val="34F52E22"/>
    <w:rsid w:val="34FD5173"/>
    <w:rsid w:val="35132EF4"/>
    <w:rsid w:val="351E0F07"/>
    <w:rsid w:val="35403AD5"/>
    <w:rsid w:val="356F0F35"/>
    <w:rsid w:val="35773A99"/>
    <w:rsid w:val="3599165E"/>
    <w:rsid w:val="35B93F94"/>
    <w:rsid w:val="35D26A5B"/>
    <w:rsid w:val="35DF6709"/>
    <w:rsid w:val="35E42AC7"/>
    <w:rsid w:val="362B686B"/>
    <w:rsid w:val="363641A4"/>
    <w:rsid w:val="365454CD"/>
    <w:rsid w:val="36596B7F"/>
    <w:rsid w:val="36915EB5"/>
    <w:rsid w:val="36AB7421"/>
    <w:rsid w:val="36C074C4"/>
    <w:rsid w:val="36DE5C94"/>
    <w:rsid w:val="3709455A"/>
    <w:rsid w:val="371344B3"/>
    <w:rsid w:val="37213DE5"/>
    <w:rsid w:val="374B4FC3"/>
    <w:rsid w:val="37846422"/>
    <w:rsid w:val="37906B8B"/>
    <w:rsid w:val="37912C2B"/>
    <w:rsid w:val="38007C07"/>
    <w:rsid w:val="380A685C"/>
    <w:rsid w:val="386901D1"/>
    <w:rsid w:val="38A06A11"/>
    <w:rsid w:val="38AB7278"/>
    <w:rsid w:val="38EA11EC"/>
    <w:rsid w:val="39206C68"/>
    <w:rsid w:val="392574AE"/>
    <w:rsid w:val="3937661B"/>
    <w:rsid w:val="394A04AD"/>
    <w:rsid w:val="396F4CC8"/>
    <w:rsid w:val="397E34F9"/>
    <w:rsid w:val="39C946FC"/>
    <w:rsid w:val="39D66090"/>
    <w:rsid w:val="39F96C47"/>
    <w:rsid w:val="3A0B267A"/>
    <w:rsid w:val="3A22009D"/>
    <w:rsid w:val="3A6504E4"/>
    <w:rsid w:val="3A7E0A06"/>
    <w:rsid w:val="3A7E1162"/>
    <w:rsid w:val="3A942F44"/>
    <w:rsid w:val="3A972710"/>
    <w:rsid w:val="3AF61384"/>
    <w:rsid w:val="3AF82491"/>
    <w:rsid w:val="3B013DDA"/>
    <w:rsid w:val="3B475B9C"/>
    <w:rsid w:val="3B620EA2"/>
    <w:rsid w:val="3B621B39"/>
    <w:rsid w:val="3B697D24"/>
    <w:rsid w:val="3B930097"/>
    <w:rsid w:val="3B9B709C"/>
    <w:rsid w:val="3BB97A2D"/>
    <w:rsid w:val="3BF54D88"/>
    <w:rsid w:val="3C5C4E6F"/>
    <w:rsid w:val="3C6D19FB"/>
    <w:rsid w:val="3C815AE6"/>
    <w:rsid w:val="3CAE1E2C"/>
    <w:rsid w:val="3CC842D5"/>
    <w:rsid w:val="3CDE6407"/>
    <w:rsid w:val="3CF03605"/>
    <w:rsid w:val="3CF53E5E"/>
    <w:rsid w:val="3CFB076D"/>
    <w:rsid w:val="3D1847CA"/>
    <w:rsid w:val="3D3C3CA5"/>
    <w:rsid w:val="3D404689"/>
    <w:rsid w:val="3D4E29E8"/>
    <w:rsid w:val="3D5B6155"/>
    <w:rsid w:val="3D5D508F"/>
    <w:rsid w:val="3D6F4456"/>
    <w:rsid w:val="3D942A8E"/>
    <w:rsid w:val="3DA44151"/>
    <w:rsid w:val="3DBE7231"/>
    <w:rsid w:val="3DD806C4"/>
    <w:rsid w:val="3DF82424"/>
    <w:rsid w:val="3E327332"/>
    <w:rsid w:val="3E7873E6"/>
    <w:rsid w:val="3E7D4B7E"/>
    <w:rsid w:val="3EA1023D"/>
    <w:rsid w:val="3ED5433F"/>
    <w:rsid w:val="3EF4545B"/>
    <w:rsid w:val="3F2A5350"/>
    <w:rsid w:val="3F4F373E"/>
    <w:rsid w:val="3F543E53"/>
    <w:rsid w:val="3F5B494A"/>
    <w:rsid w:val="3F634A8A"/>
    <w:rsid w:val="3F6527BE"/>
    <w:rsid w:val="3F9A1E5E"/>
    <w:rsid w:val="3FAE10D2"/>
    <w:rsid w:val="3FB30094"/>
    <w:rsid w:val="3FC221AA"/>
    <w:rsid w:val="3FC24DFB"/>
    <w:rsid w:val="3FF3077A"/>
    <w:rsid w:val="40424194"/>
    <w:rsid w:val="404C36C2"/>
    <w:rsid w:val="40774F6D"/>
    <w:rsid w:val="40AC6ABD"/>
    <w:rsid w:val="40F70F22"/>
    <w:rsid w:val="41022B36"/>
    <w:rsid w:val="410C33C4"/>
    <w:rsid w:val="410C6A04"/>
    <w:rsid w:val="41271642"/>
    <w:rsid w:val="412B3CFA"/>
    <w:rsid w:val="415572CF"/>
    <w:rsid w:val="41614DC5"/>
    <w:rsid w:val="41714924"/>
    <w:rsid w:val="418C2A9A"/>
    <w:rsid w:val="41A91B94"/>
    <w:rsid w:val="41BE5103"/>
    <w:rsid w:val="41F01338"/>
    <w:rsid w:val="42260647"/>
    <w:rsid w:val="423F17DF"/>
    <w:rsid w:val="425A3496"/>
    <w:rsid w:val="429F4798"/>
    <w:rsid w:val="42B503FB"/>
    <w:rsid w:val="42BC385C"/>
    <w:rsid w:val="42C24FD0"/>
    <w:rsid w:val="433B4099"/>
    <w:rsid w:val="434F4ECF"/>
    <w:rsid w:val="43AB2A94"/>
    <w:rsid w:val="43BC2723"/>
    <w:rsid w:val="43E06C09"/>
    <w:rsid w:val="43EE44B2"/>
    <w:rsid w:val="44127EBA"/>
    <w:rsid w:val="441B2477"/>
    <w:rsid w:val="442E77EA"/>
    <w:rsid w:val="443E6826"/>
    <w:rsid w:val="44A761AF"/>
    <w:rsid w:val="44BE6C6C"/>
    <w:rsid w:val="44CC6850"/>
    <w:rsid w:val="44D37F54"/>
    <w:rsid w:val="44D90D2D"/>
    <w:rsid w:val="44E1728E"/>
    <w:rsid w:val="44F338DE"/>
    <w:rsid w:val="451435D9"/>
    <w:rsid w:val="45344663"/>
    <w:rsid w:val="45924D5C"/>
    <w:rsid w:val="45FA3D9C"/>
    <w:rsid w:val="45FA5C41"/>
    <w:rsid w:val="460A786B"/>
    <w:rsid w:val="4656787E"/>
    <w:rsid w:val="465765F5"/>
    <w:rsid w:val="46683C12"/>
    <w:rsid w:val="46AA30C5"/>
    <w:rsid w:val="46B11CD5"/>
    <w:rsid w:val="47071FDC"/>
    <w:rsid w:val="47390B3E"/>
    <w:rsid w:val="4739459F"/>
    <w:rsid w:val="4740699E"/>
    <w:rsid w:val="47501485"/>
    <w:rsid w:val="475F7C6C"/>
    <w:rsid w:val="47683C93"/>
    <w:rsid w:val="47B578DE"/>
    <w:rsid w:val="490364C8"/>
    <w:rsid w:val="491F5084"/>
    <w:rsid w:val="49375169"/>
    <w:rsid w:val="49547913"/>
    <w:rsid w:val="496137C4"/>
    <w:rsid w:val="496C50A6"/>
    <w:rsid w:val="49711339"/>
    <w:rsid w:val="498F50D9"/>
    <w:rsid w:val="49977984"/>
    <w:rsid w:val="49FF361D"/>
    <w:rsid w:val="4A523DC6"/>
    <w:rsid w:val="4A7466FF"/>
    <w:rsid w:val="4AA352A0"/>
    <w:rsid w:val="4AB06EC7"/>
    <w:rsid w:val="4AFD2145"/>
    <w:rsid w:val="4B344C32"/>
    <w:rsid w:val="4B560286"/>
    <w:rsid w:val="4B6A50B4"/>
    <w:rsid w:val="4B7A3338"/>
    <w:rsid w:val="4B9316C9"/>
    <w:rsid w:val="4BC304DA"/>
    <w:rsid w:val="4BE84ADE"/>
    <w:rsid w:val="4BEA35E2"/>
    <w:rsid w:val="4BFD05CC"/>
    <w:rsid w:val="4C1116CD"/>
    <w:rsid w:val="4C261041"/>
    <w:rsid w:val="4C357B95"/>
    <w:rsid w:val="4C7321DD"/>
    <w:rsid w:val="4C81306E"/>
    <w:rsid w:val="4CEA7917"/>
    <w:rsid w:val="4D1A675C"/>
    <w:rsid w:val="4D237EEE"/>
    <w:rsid w:val="4D36236B"/>
    <w:rsid w:val="4D426A4E"/>
    <w:rsid w:val="4D447ACD"/>
    <w:rsid w:val="4D69372C"/>
    <w:rsid w:val="4DE20C4E"/>
    <w:rsid w:val="4E121B55"/>
    <w:rsid w:val="4E1409B4"/>
    <w:rsid w:val="4E244E42"/>
    <w:rsid w:val="4E5A6974"/>
    <w:rsid w:val="4E6F2738"/>
    <w:rsid w:val="4E822DD2"/>
    <w:rsid w:val="4E8376D0"/>
    <w:rsid w:val="4E8A3AF9"/>
    <w:rsid w:val="4E904C65"/>
    <w:rsid w:val="4EA33192"/>
    <w:rsid w:val="4ED14E3B"/>
    <w:rsid w:val="4EDB451F"/>
    <w:rsid w:val="4EDE6994"/>
    <w:rsid w:val="4EF574D2"/>
    <w:rsid w:val="4F375E50"/>
    <w:rsid w:val="4F3A4FAD"/>
    <w:rsid w:val="4F413421"/>
    <w:rsid w:val="4F5542BA"/>
    <w:rsid w:val="4F5B6A7C"/>
    <w:rsid w:val="4F902DE8"/>
    <w:rsid w:val="4FEF31B4"/>
    <w:rsid w:val="4FF108B5"/>
    <w:rsid w:val="4FF727BF"/>
    <w:rsid w:val="505D37E8"/>
    <w:rsid w:val="505E5044"/>
    <w:rsid w:val="50645371"/>
    <w:rsid w:val="50783615"/>
    <w:rsid w:val="50975B14"/>
    <w:rsid w:val="50CE2008"/>
    <w:rsid w:val="50E161AA"/>
    <w:rsid w:val="5103512C"/>
    <w:rsid w:val="51051CE7"/>
    <w:rsid w:val="512833BF"/>
    <w:rsid w:val="52026457"/>
    <w:rsid w:val="523D05D3"/>
    <w:rsid w:val="52596244"/>
    <w:rsid w:val="527B17DD"/>
    <w:rsid w:val="527B1A36"/>
    <w:rsid w:val="528662F0"/>
    <w:rsid w:val="529E3019"/>
    <w:rsid w:val="52FA3944"/>
    <w:rsid w:val="53125FE1"/>
    <w:rsid w:val="531E4716"/>
    <w:rsid w:val="534C582B"/>
    <w:rsid w:val="534E07B4"/>
    <w:rsid w:val="536729EA"/>
    <w:rsid w:val="5385080E"/>
    <w:rsid w:val="53B355D7"/>
    <w:rsid w:val="53F33750"/>
    <w:rsid w:val="541E31C1"/>
    <w:rsid w:val="54226DAD"/>
    <w:rsid w:val="54B57C0A"/>
    <w:rsid w:val="54C2149E"/>
    <w:rsid w:val="54D072C3"/>
    <w:rsid w:val="551845E5"/>
    <w:rsid w:val="55741A72"/>
    <w:rsid w:val="55AD5A35"/>
    <w:rsid w:val="55CD5707"/>
    <w:rsid w:val="55D05DD8"/>
    <w:rsid w:val="55DF072A"/>
    <w:rsid w:val="561719BF"/>
    <w:rsid w:val="561C4D71"/>
    <w:rsid w:val="561F0A81"/>
    <w:rsid w:val="562070BA"/>
    <w:rsid w:val="562654E2"/>
    <w:rsid w:val="56276D69"/>
    <w:rsid w:val="567B0D05"/>
    <w:rsid w:val="5687274B"/>
    <w:rsid w:val="56AF7B24"/>
    <w:rsid w:val="56E3240E"/>
    <w:rsid w:val="56EB2994"/>
    <w:rsid w:val="56F077A0"/>
    <w:rsid w:val="57580AC9"/>
    <w:rsid w:val="577E4D9D"/>
    <w:rsid w:val="57C91F73"/>
    <w:rsid w:val="57F55ADD"/>
    <w:rsid w:val="57F87AFA"/>
    <w:rsid w:val="58350BDD"/>
    <w:rsid w:val="58365C18"/>
    <w:rsid w:val="58BB07A8"/>
    <w:rsid w:val="58D16635"/>
    <w:rsid w:val="58F93587"/>
    <w:rsid w:val="590B7E1B"/>
    <w:rsid w:val="59235EE6"/>
    <w:rsid w:val="593A6196"/>
    <w:rsid w:val="593D5A74"/>
    <w:rsid w:val="59634AD2"/>
    <w:rsid w:val="596F7DF9"/>
    <w:rsid w:val="59700CB2"/>
    <w:rsid w:val="5992590A"/>
    <w:rsid w:val="59F667CF"/>
    <w:rsid w:val="59F73FA9"/>
    <w:rsid w:val="5A006E37"/>
    <w:rsid w:val="5A0709C0"/>
    <w:rsid w:val="5A443ABB"/>
    <w:rsid w:val="5A4D392F"/>
    <w:rsid w:val="5A6A2C63"/>
    <w:rsid w:val="5A7979FA"/>
    <w:rsid w:val="5A863E8E"/>
    <w:rsid w:val="5AB74E18"/>
    <w:rsid w:val="5ABE73D9"/>
    <w:rsid w:val="5AD51BB4"/>
    <w:rsid w:val="5AD621DB"/>
    <w:rsid w:val="5AE557FF"/>
    <w:rsid w:val="5AF20017"/>
    <w:rsid w:val="5AF5329F"/>
    <w:rsid w:val="5AF542D9"/>
    <w:rsid w:val="5B1512E1"/>
    <w:rsid w:val="5B307A41"/>
    <w:rsid w:val="5B4D5A36"/>
    <w:rsid w:val="5B664ADB"/>
    <w:rsid w:val="5B785F50"/>
    <w:rsid w:val="5B7A4125"/>
    <w:rsid w:val="5B877940"/>
    <w:rsid w:val="5BA81C2A"/>
    <w:rsid w:val="5BFA7EF6"/>
    <w:rsid w:val="5C116D59"/>
    <w:rsid w:val="5C32271D"/>
    <w:rsid w:val="5C45068B"/>
    <w:rsid w:val="5C5A3EE7"/>
    <w:rsid w:val="5C784F41"/>
    <w:rsid w:val="5CAC42F9"/>
    <w:rsid w:val="5CBA7FC0"/>
    <w:rsid w:val="5D2C38E4"/>
    <w:rsid w:val="5D333476"/>
    <w:rsid w:val="5D34491A"/>
    <w:rsid w:val="5D411F85"/>
    <w:rsid w:val="5D4F642A"/>
    <w:rsid w:val="5D536E7C"/>
    <w:rsid w:val="5D7828E6"/>
    <w:rsid w:val="5D874EB5"/>
    <w:rsid w:val="5DA028CB"/>
    <w:rsid w:val="5DB85ED3"/>
    <w:rsid w:val="5DC871F5"/>
    <w:rsid w:val="5DFB2D6D"/>
    <w:rsid w:val="5E090D78"/>
    <w:rsid w:val="5E2C6546"/>
    <w:rsid w:val="5E4F72F6"/>
    <w:rsid w:val="5E6721EE"/>
    <w:rsid w:val="5EA12141"/>
    <w:rsid w:val="5EC827A4"/>
    <w:rsid w:val="5ECD6188"/>
    <w:rsid w:val="5ED65FEF"/>
    <w:rsid w:val="5EE12163"/>
    <w:rsid w:val="5F052914"/>
    <w:rsid w:val="5F0A4BA5"/>
    <w:rsid w:val="5F0A5F36"/>
    <w:rsid w:val="5F187E14"/>
    <w:rsid w:val="5F517590"/>
    <w:rsid w:val="5F931193"/>
    <w:rsid w:val="5F995DE3"/>
    <w:rsid w:val="5FD157E9"/>
    <w:rsid w:val="60183D36"/>
    <w:rsid w:val="60316A8A"/>
    <w:rsid w:val="60352E49"/>
    <w:rsid w:val="604307FB"/>
    <w:rsid w:val="60436DFE"/>
    <w:rsid w:val="60587F6C"/>
    <w:rsid w:val="60745B86"/>
    <w:rsid w:val="60757548"/>
    <w:rsid w:val="60922EA7"/>
    <w:rsid w:val="60D276FD"/>
    <w:rsid w:val="60DD09F9"/>
    <w:rsid w:val="60EB1D7C"/>
    <w:rsid w:val="60FB43D3"/>
    <w:rsid w:val="61215C6A"/>
    <w:rsid w:val="614822A7"/>
    <w:rsid w:val="615467BF"/>
    <w:rsid w:val="615E13D9"/>
    <w:rsid w:val="61891392"/>
    <w:rsid w:val="619A74DB"/>
    <w:rsid w:val="61D536CC"/>
    <w:rsid w:val="61D95419"/>
    <w:rsid w:val="61E46B07"/>
    <w:rsid w:val="61E559A8"/>
    <w:rsid w:val="61E72504"/>
    <w:rsid w:val="62082855"/>
    <w:rsid w:val="62201DCB"/>
    <w:rsid w:val="6254509F"/>
    <w:rsid w:val="62670855"/>
    <w:rsid w:val="626B2E63"/>
    <w:rsid w:val="62722BF9"/>
    <w:rsid w:val="62781254"/>
    <w:rsid w:val="628F56D7"/>
    <w:rsid w:val="62AD77BF"/>
    <w:rsid w:val="62B6401D"/>
    <w:rsid w:val="62C55BA5"/>
    <w:rsid w:val="62F04C62"/>
    <w:rsid w:val="62F77B79"/>
    <w:rsid w:val="63357CC5"/>
    <w:rsid w:val="63417E63"/>
    <w:rsid w:val="63586D06"/>
    <w:rsid w:val="639B5D89"/>
    <w:rsid w:val="63A32E81"/>
    <w:rsid w:val="63A82549"/>
    <w:rsid w:val="640052D8"/>
    <w:rsid w:val="6402249F"/>
    <w:rsid w:val="6417398B"/>
    <w:rsid w:val="64382979"/>
    <w:rsid w:val="646D3538"/>
    <w:rsid w:val="64DC72A8"/>
    <w:rsid w:val="64F13D73"/>
    <w:rsid w:val="65114B98"/>
    <w:rsid w:val="65170A3D"/>
    <w:rsid w:val="651E4C38"/>
    <w:rsid w:val="65365292"/>
    <w:rsid w:val="65436AE1"/>
    <w:rsid w:val="65704466"/>
    <w:rsid w:val="6584222B"/>
    <w:rsid w:val="65CD26B4"/>
    <w:rsid w:val="65D214B6"/>
    <w:rsid w:val="660A60F8"/>
    <w:rsid w:val="661253BE"/>
    <w:rsid w:val="6612692A"/>
    <w:rsid w:val="66161F0A"/>
    <w:rsid w:val="66196145"/>
    <w:rsid w:val="665F2CA6"/>
    <w:rsid w:val="6670389E"/>
    <w:rsid w:val="66C60A29"/>
    <w:rsid w:val="66D042E9"/>
    <w:rsid w:val="66F34812"/>
    <w:rsid w:val="66F66FFA"/>
    <w:rsid w:val="66F73355"/>
    <w:rsid w:val="67116F88"/>
    <w:rsid w:val="671921DE"/>
    <w:rsid w:val="6731565E"/>
    <w:rsid w:val="673536B8"/>
    <w:rsid w:val="674E497A"/>
    <w:rsid w:val="675608AD"/>
    <w:rsid w:val="675B1FDC"/>
    <w:rsid w:val="677D30E0"/>
    <w:rsid w:val="68006EE8"/>
    <w:rsid w:val="68166C87"/>
    <w:rsid w:val="6819202A"/>
    <w:rsid w:val="68401238"/>
    <w:rsid w:val="684727D9"/>
    <w:rsid w:val="68535FE0"/>
    <w:rsid w:val="68683D31"/>
    <w:rsid w:val="68A06278"/>
    <w:rsid w:val="68B3726E"/>
    <w:rsid w:val="68BD171A"/>
    <w:rsid w:val="68C1349D"/>
    <w:rsid w:val="69264754"/>
    <w:rsid w:val="694420CC"/>
    <w:rsid w:val="696E1C4C"/>
    <w:rsid w:val="69816C11"/>
    <w:rsid w:val="69E07828"/>
    <w:rsid w:val="6A1224A0"/>
    <w:rsid w:val="6A1802E3"/>
    <w:rsid w:val="6A31115D"/>
    <w:rsid w:val="6A502F91"/>
    <w:rsid w:val="6A5C2E89"/>
    <w:rsid w:val="6A6B1379"/>
    <w:rsid w:val="6A6F21B0"/>
    <w:rsid w:val="6A87109B"/>
    <w:rsid w:val="6A996FCF"/>
    <w:rsid w:val="6AB6268C"/>
    <w:rsid w:val="6B0C0A7D"/>
    <w:rsid w:val="6B195F9E"/>
    <w:rsid w:val="6B2F7019"/>
    <w:rsid w:val="6B7B77ED"/>
    <w:rsid w:val="6B834A11"/>
    <w:rsid w:val="6BA5799B"/>
    <w:rsid w:val="6BAF3BBE"/>
    <w:rsid w:val="6BD86705"/>
    <w:rsid w:val="6BDC6768"/>
    <w:rsid w:val="6BE33C8F"/>
    <w:rsid w:val="6BFD6A38"/>
    <w:rsid w:val="6C26003F"/>
    <w:rsid w:val="6C39469E"/>
    <w:rsid w:val="6C81224F"/>
    <w:rsid w:val="6C8E09FD"/>
    <w:rsid w:val="6CAA1438"/>
    <w:rsid w:val="6CB674EB"/>
    <w:rsid w:val="6CC3417C"/>
    <w:rsid w:val="6CF751CD"/>
    <w:rsid w:val="6CFE2A90"/>
    <w:rsid w:val="6D033406"/>
    <w:rsid w:val="6D101F46"/>
    <w:rsid w:val="6D363AA9"/>
    <w:rsid w:val="6D6A23A6"/>
    <w:rsid w:val="6D747C94"/>
    <w:rsid w:val="6D7A7986"/>
    <w:rsid w:val="6D843218"/>
    <w:rsid w:val="6DAA3AC3"/>
    <w:rsid w:val="6DB27C2E"/>
    <w:rsid w:val="6DB33789"/>
    <w:rsid w:val="6DC349D7"/>
    <w:rsid w:val="6DCF3E9D"/>
    <w:rsid w:val="6DD01ED5"/>
    <w:rsid w:val="6DD1579D"/>
    <w:rsid w:val="6E520A94"/>
    <w:rsid w:val="6E583149"/>
    <w:rsid w:val="6E722676"/>
    <w:rsid w:val="6E725242"/>
    <w:rsid w:val="6E7716CA"/>
    <w:rsid w:val="6E7D3E7D"/>
    <w:rsid w:val="6E8B036B"/>
    <w:rsid w:val="6E916298"/>
    <w:rsid w:val="6E946B8C"/>
    <w:rsid w:val="6EA83F00"/>
    <w:rsid w:val="6EA84809"/>
    <w:rsid w:val="6EA86D11"/>
    <w:rsid w:val="6ED64481"/>
    <w:rsid w:val="6EF041DC"/>
    <w:rsid w:val="6F225078"/>
    <w:rsid w:val="6F4F5C6B"/>
    <w:rsid w:val="6F6D5808"/>
    <w:rsid w:val="6F7F79D1"/>
    <w:rsid w:val="6FF3443A"/>
    <w:rsid w:val="6FF40BBB"/>
    <w:rsid w:val="70013752"/>
    <w:rsid w:val="70317E9E"/>
    <w:rsid w:val="7032319A"/>
    <w:rsid w:val="70342CA5"/>
    <w:rsid w:val="70363C29"/>
    <w:rsid w:val="705410A6"/>
    <w:rsid w:val="705D2BE9"/>
    <w:rsid w:val="708A7E30"/>
    <w:rsid w:val="70E26C32"/>
    <w:rsid w:val="70E86DEE"/>
    <w:rsid w:val="712307DD"/>
    <w:rsid w:val="71356F33"/>
    <w:rsid w:val="719C3171"/>
    <w:rsid w:val="71B6648E"/>
    <w:rsid w:val="71DA2984"/>
    <w:rsid w:val="71E81E35"/>
    <w:rsid w:val="71F31696"/>
    <w:rsid w:val="721169B3"/>
    <w:rsid w:val="723D3F29"/>
    <w:rsid w:val="72556B12"/>
    <w:rsid w:val="725F4533"/>
    <w:rsid w:val="72665AB1"/>
    <w:rsid w:val="726B0346"/>
    <w:rsid w:val="729F603C"/>
    <w:rsid w:val="72A21144"/>
    <w:rsid w:val="72AC5DEC"/>
    <w:rsid w:val="72BA11D4"/>
    <w:rsid w:val="72C34BC0"/>
    <w:rsid w:val="72EF0842"/>
    <w:rsid w:val="736D13CC"/>
    <w:rsid w:val="73C34FB0"/>
    <w:rsid w:val="73E630B6"/>
    <w:rsid w:val="747709E7"/>
    <w:rsid w:val="74A75C74"/>
    <w:rsid w:val="74AE727B"/>
    <w:rsid w:val="74B72109"/>
    <w:rsid w:val="74BC79F6"/>
    <w:rsid w:val="74BD356E"/>
    <w:rsid w:val="74DE2D28"/>
    <w:rsid w:val="74DE6273"/>
    <w:rsid w:val="75034DA5"/>
    <w:rsid w:val="75055E9E"/>
    <w:rsid w:val="750B5416"/>
    <w:rsid w:val="75317F36"/>
    <w:rsid w:val="75434148"/>
    <w:rsid w:val="75536301"/>
    <w:rsid w:val="757731F2"/>
    <w:rsid w:val="75A84F6F"/>
    <w:rsid w:val="75A872BD"/>
    <w:rsid w:val="75C46A48"/>
    <w:rsid w:val="75E13D13"/>
    <w:rsid w:val="763E2F56"/>
    <w:rsid w:val="76582980"/>
    <w:rsid w:val="765B603D"/>
    <w:rsid w:val="765C7713"/>
    <w:rsid w:val="76671C9E"/>
    <w:rsid w:val="767B6F1E"/>
    <w:rsid w:val="76820B5D"/>
    <w:rsid w:val="768E1D0F"/>
    <w:rsid w:val="76BA5152"/>
    <w:rsid w:val="76E97262"/>
    <w:rsid w:val="77411B76"/>
    <w:rsid w:val="77482DDB"/>
    <w:rsid w:val="774B2396"/>
    <w:rsid w:val="778012E8"/>
    <w:rsid w:val="77AA1492"/>
    <w:rsid w:val="782F7348"/>
    <w:rsid w:val="783025F2"/>
    <w:rsid w:val="78582600"/>
    <w:rsid w:val="7881670C"/>
    <w:rsid w:val="78967EE6"/>
    <w:rsid w:val="78B25E04"/>
    <w:rsid w:val="78BD4522"/>
    <w:rsid w:val="78C42AEC"/>
    <w:rsid w:val="78DA4DE9"/>
    <w:rsid w:val="78EA6A67"/>
    <w:rsid w:val="79010C64"/>
    <w:rsid w:val="79164A8A"/>
    <w:rsid w:val="79343267"/>
    <w:rsid w:val="794A3E9B"/>
    <w:rsid w:val="796304EA"/>
    <w:rsid w:val="799042FF"/>
    <w:rsid w:val="79D96301"/>
    <w:rsid w:val="79E9164D"/>
    <w:rsid w:val="7A213F9F"/>
    <w:rsid w:val="7A25707D"/>
    <w:rsid w:val="7A446928"/>
    <w:rsid w:val="7AB824C3"/>
    <w:rsid w:val="7ABD52ED"/>
    <w:rsid w:val="7B0D13DE"/>
    <w:rsid w:val="7B6A2E87"/>
    <w:rsid w:val="7B743B30"/>
    <w:rsid w:val="7B7A6518"/>
    <w:rsid w:val="7BA82B1B"/>
    <w:rsid w:val="7BB15250"/>
    <w:rsid w:val="7BD754B6"/>
    <w:rsid w:val="7BE36163"/>
    <w:rsid w:val="7BEE2FE2"/>
    <w:rsid w:val="7C1039EF"/>
    <w:rsid w:val="7C2C6B33"/>
    <w:rsid w:val="7C7310AD"/>
    <w:rsid w:val="7C79405E"/>
    <w:rsid w:val="7C814E20"/>
    <w:rsid w:val="7C9D2643"/>
    <w:rsid w:val="7CC22674"/>
    <w:rsid w:val="7CDE07EA"/>
    <w:rsid w:val="7D07504F"/>
    <w:rsid w:val="7D083A4C"/>
    <w:rsid w:val="7D1A3539"/>
    <w:rsid w:val="7D2D49BC"/>
    <w:rsid w:val="7D5D46AB"/>
    <w:rsid w:val="7D851A94"/>
    <w:rsid w:val="7D88777A"/>
    <w:rsid w:val="7DAB34EE"/>
    <w:rsid w:val="7DE06C1B"/>
    <w:rsid w:val="7DE1182D"/>
    <w:rsid w:val="7DF34CB6"/>
    <w:rsid w:val="7E035813"/>
    <w:rsid w:val="7E1410AD"/>
    <w:rsid w:val="7E4253D3"/>
    <w:rsid w:val="7E46459C"/>
    <w:rsid w:val="7E753D6C"/>
    <w:rsid w:val="7E905C32"/>
    <w:rsid w:val="7EC30AC6"/>
    <w:rsid w:val="7EFB1398"/>
    <w:rsid w:val="7F1926C7"/>
    <w:rsid w:val="7F1D6B1B"/>
    <w:rsid w:val="7F5D7905"/>
    <w:rsid w:val="7F7416AC"/>
    <w:rsid w:val="7F8A0016"/>
    <w:rsid w:val="7F960A48"/>
    <w:rsid w:val="7FD36A43"/>
    <w:rsid w:val="7FE27B5E"/>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4"/>
    <w:autoRedefine/>
    <w:qFormat/>
    <w:uiPriority w:val="9"/>
    <w:pPr>
      <w:keepNext/>
      <w:widowControl/>
      <w:spacing w:before="340" w:after="330" w:line="576" w:lineRule="auto"/>
      <w:outlineLvl w:val="0"/>
    </w:pPr>
    <w:rPr>
      <w:rFonts w:ascii="???" w:hAnsi="???" w:eastAsia="宋体" w:cs="Arial"/>
      <w:color w:val="020000"/>
      <w:kern w:val="36"/>
      <w:sz w:val="44"/>
      <w:szCs w:val="44"/>
    </w:rPr>
  </w:style>
  <w:style w:type="paragraph" w:styleId="3">
    <w:name w:val="heading 2"/>
    <w:basedOn w:val="1"/>
    <w:next w:val="1"/>
    <w:link w:val="66"/>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5"/>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6"/>
    <w:qFormat/>
    <w:uiPriority w:val="0"/>
    <w:pPr>
      <w:keepNext/>
      <w:keepLines/>
      <w:ind w:firstLine="420" w:firstLineChars="150"/>
      <w:outlineLvl w:val="3"/>
    </w:pPr>
    <w:rPr>
      <w:rFonts w:ascii="Arial" w:hAnsi="Arial" w:cs="Arial"/>
      <w:b/>
      <w:sz w:val="28"/>
      <w:szCs w:val="28"/>
    </w:rPr>
  </w:style>
  <w:style w:type="paragraph" w:styleId="7">
    <w:name w:val="heading 5"/>
    <w:basedOn w:val="1"/>
    <w:next w:val="6"/>
    <w:autoRedefine/>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17"/>
    <w:autoRedefine/>
    <w:qFormat/>
    <w:uiPriority w:val="0"/>
    <w:pPr>
      <w:ind w:firstLine="420" w:firstLineChars="200"/>
    </w:pPr>
    <w:rPr>
      <w:rFonts w:ascii="Times New Roman" w:hAnsi="Times New Roman" w:eastAsia="宋体" w:cs="Times New Roman"/>
      <w:kern w:val="0"/>
      <w:sz w:val="24"/>
      <w:szCs w:val="20"/>
    </w:rPr>
  </w:style>
  <w:style w:type="paragraph" w:styleId="9">
    <w:name w:val="toc 7"/>
    <w:basedOn w:val="1"/>
    <w:next w:val="1"/>
    <w:qFormat/>
    <w:uiPriority w:val="0"/>
    <w:pPr>
      <w:ind w:left="2520" w:leftChars="1200"/>
    </w:pPr>
    <w:rPr>
      <w:rFonts w:ascii="Times New Roman" w:hAnsi="Times New Roman" w:eastAsia="宋体" w:cs="Times New Roman"/>
      <w:szCs w:val="24"/>
    </w:rPr>
  </w:style>
  <w:style w:type="paragraph" w:styleId="10">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Document Map"/>
    <w:basedOn w:val="1"/>
    <w:link w:val="135"/>
    <w:autoRedefine/>
    <w:qFormat/>
    <w:uiPriority w:val="0"/>
    <w:rPr>
      <w:rFonts w:ascii="宋体" w:hAnsi="Calibri" w:eastAsia="宋体" w:cs="Times New Roman"/>
      <w:kern w:val="0"/>
      <w:sz w:val="18"/>
      <w:szCs w:val="20"/>
    </w:rPr>
  </w:style>
  <w:style w:type="paragraph" w:styleId="12">
    <w:name w:val="toa heading"/>
    <w:basedOn w:val="1"/>
    <w:next w:val="1"/>
    <w:qFormat/>
    <w:uiPriority w:val="0"/>
    <w:pPr>
      <w:spacing w:before="120"/>
    </w:pPr>
    <w:rPr>
      <w:rFonts w:ascii="Cambria" w:hAnsi="Cambria"/>
      <w:sz w:val="24"/>
      <w:szCs w:val="20"/>
    </w:rPr>
  </w:style>
  <w:style w:type="paragraph" w:styleId="13">
    <w:name w:val="annotation text"/>
    <w:basedOn w:val="1"/>
    <w:link w:val="163"/>
    <w:qFormat/>
    <w:uiPriority w:val="0"/>
    <w:pPr>
      <w:jc w:val="left"/>
    </w:pPr>
  </w:style>
  <w:style w:type="paragraph" w:styleId="14">
    <w:name w:val="Body Text"/>
    <w:basedOn w:val="1"/>
    <w:next w:val="15"/>
    <w:link w:val="138"/>
    <w:autoRedefine/>
    <w:qFormat/>
    <w:uiPriority w:val="99"/>
    <w:pPr>
      <w:spacing w:after="120"/>
    </w:pPr>
    <w:rPr>
      <w:rFonts w:ascii="Calibri" w:hAnsi="Calibri" w:eastAsia="宋体" w:cs="Times New Roman"/>
      <w:kern w:val="0"/>
      <w:sz w:val="24"/>
      <w:szCs w:val="20"/>
    </w:rPr>
  </w:style>
  <w:style w:type="paragraph" w:customStyle="1" w:styleId="15">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6">
    <w:name w:val="Body Text Indent"/>
    <w:basedOn w:val="1"/>
    <w:link w:val="69"/>
    <w:qFormat/>
    <w:uiPriority w:val="0"/>
    <w:pPr>
      <w:widowControl/>
      <w:spacing w:after="120"/>
      <w:ind w:left="420"/>
    </w:pPr>
    <w:rPr>
      <w:rFonts w:ascii="??" w:hAnsi="??" w:eastAsia="宋体" w:cs="Arial"/>
      <w:kern w:val="0"/>
      <w:sz w:val="24"/>
      <w:szCs w:val="24"/>
    </w:rPr>
  </w:style>
  <w:style w:type="paragraph" w:styleId="17">
    <w:name w:val="toc 5"/>
    <w:basedOn w:val="1"/>
    <w:next w:val="1"/>
    <w:qFormat/>
    <w:uiPriority w:val="0"/>
    <w:pPr>
      <w:ind w:left="1680" w:leftChars="800"/>
    </w:pPr>
    <w:rPr>
      <w:rFonts w:ascii="Times New Roman" w:hAnsi="Times New Roman" w:eastAsia="宋体" w:cs="Times New Roman"/>
      <w:szCs w:val="24"/>
    </w:rPr>
  </w:style>
  <w:style w:type="paragraph" w:styleId="18">
    <w:name w:val="toc 3"/>
    <w:basedOn w:val="1"/>
    <w:next w:val="1"/>
    <w:autoRedefine/>
    <w:qFormat/>
    <w:uiPriority w:val="39"/>
    <w:pPr>
      <w:ind w:left="840" w:leftChars="400"/>
    </w:pPr>
    <w:rPr>
      <w:rFonts w:ascii="Times New Roman" w:hAnsi="Times New Roman" w:eastAsia="宋体" w:cs="Times New Roman"/>
      <w:szCs w:val="24"/>
    </w:rPr>
  </w:style>
  <w:style w:type="paragraph" w:styleId="19">
    <w:name w:val="Plain Text"/>
    <w:basedOn w:val="1"/>
    <w:link w:val="198"/>
    <w:qFormat/>
    <w:uiPriority w:val="99"/>
    <w:rPr>
      <w:rFonts w:ascii="宋体" w:hAnsi="Courier New" w:eastAsia="宋体"/>
      <w:szCs w:val="21"/>
    </w:rPr>
  </w:style>
  <w:style w:type="paragraph" w:styleId="20">
    <w:name w:val="toc 8"/>
    <w:basedOn w:val="1"/>
    <w:next w:val="1"/>
    <w:qFormat/>
    <w:uiPriority w:val="0"/>
    <w:pPr>
      <w:ind w:left="2940" w:leftChars="1400"/>
    </w:pPr>
    <w:rPr>
      <w:rFonts w:ascii="Times New Roman" w:hAnsi="Times New Roman" w:eastAsia="宋体" w:cs="Times New Roman"/>
      <w:szCs w:val="24"/>
    </w:rPr>
  </w:style>
  <w:style w:type="paragraph" w:styleId="21">
    <w:name w:val="Date"/>
    <w:basedOn w:val="1"/>
    <w:next w:val="1"/>
    <w:link w:val="158"/>
    <w:autoRedefine/>
    <w:qFormat/>
    <w:uiPriority w:val="0"/>
    <w:rPr>
      <w:szCs w:val="21"/>
    </w:rPr>
  </w:style>
  <w:style w:type="paragraph" w:styleId="22">
    <w:name w:val="Body Text Indent 2"/>
    <w:basedOn w:val="1"/>
    <w:link w:val="131"/>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3">
    <w:name w:val="Balloon Text"/>
    <w:basedOn w:val="1"/>
    <w:link w:val="81"/>
    <w:qFormat/>
    <w:uiPriority w:val="99"/>
    <w:rPr>
      <w:rFonts w:ascii="Calibri" w:hAnsi="Calibri" w:eastAsia="宋体" w:cs="Times New Roman"/>
      <w:sz w:val="18"/>
      <w:szCs w:val="18"/>
    </w:rPr>
  </w:style>
  <w:style w:type="paragraph" w:styleId="24">
    <w:name w:val="footer"/>
    <w:basedOn w:val="1"/>
    <w:link w:val="68"/>
    <w:qFormat/>
    <w:uiPriority w:val="99"/>
    <w:pPr>
      <w:tabs>
        <w:tab w:val="center" w:pos="4153"/>
        <w:tab w:val="right" w:pos="8306"/>
      </w:tabs>
      <w:snapToGrid w:val="0"/>
      <w:jc w:val="left"/>
    </w:pPr>
    <w:rPr>
      <w:rFonts w:ascii="Calibri" w:hAnsi="Calibri" w:eastAsia="宋体" w:cs="Times New Roman"/>
      <w:sz w:val="18"/>
      <w:szCs w:val="18"/>
    </w:rPr>
  </w:style>
  <w:style w:type="paragraph" w:styleId="25">
    <w:name w:val="header"/>
    <w:basedOn w:val="1"/>
    <w:link w:val="6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6">
    <w:name w:val="toc 1"/>
    <w:basedOn w:val="1"/>
    <w:next w:val="1"/>
    <w:qFormat/>
    <w:uiPriority w:val="39"/>
    <w:rPr>
      <w:rFonts w:ascii="Times New Roman" w:hAnsi="Times New Roman" w:eastAsia="宋体" w:cs="Times New Roman"/>
      <w:szCs w:val="24"/>
    </w:rPr>
  </w:style>
  <w:style w:type="paragraph" w:styleId="27">
    <w:name w:val="toc 4"/>
    <w:basedOn w:val="1"/>
    <w:next w:val="1"/>
    <w:qFormat/>
    <w:uiPriority w:val="0"/>
    <w:pPr>
      <w:ind w:left="1260" w:leftChars="600"/>
    </w:pPr>
    <w:rPr>
      <w:rFonts w:ascii="Times New Roman" w:hAnsi="Times New Roman" w:eastAsia="宋体" w:cs="Times New Roman"/>
      <w:szCs w:val="24"/>
    </w:rPr>
  </w:style>
  <w:style w:type="paragraph" w:styleId="28">
    <w:name w:val="Subtitle"/>
    <w:basedOn w:val="1"/>
    <w:next w:val="1"/>
    <w:qFormat/>
    <w:uiPriority w:val="0"/>
    <w:pPr>
      <w:wordWrap w:val="0"/>
      <w:spacing w:after="60"/>
      <w:jc w:val="center"/>
    </w:pPr>
    <w:rPr>
      <w:sz w:val="24"/>
    </w:rPr>
  </w:style>
  <w:style w:type="paragraph" w:styleId="29">
    <w:name w:val="footnote text"/>
    <w:basedOn w:val="1"/>
    <w:link w:val="175"/>
    <w:semiHidden/>
    <w:qFormat/>
    <w:uiPriority w:val="0"/>
    <w:pPr>
      <w:snapToGrid w:val="0"/>
      <w:jc w:val="left"/>
    </w:pPr>
    <w:rPr>
      <w:rFonts w:ascii="Times New Roman" w:hAnsi="Times New Roman" w:eastAsia="宋体" w:cs="Times New Roman"/>
      <w:sz w:val="18"/>
      <w:szCs w:val="18"/>
    </w:rPr>
  </w:style>
  <w:style w:type="paragraph" w:styleId="30">
    <w:name w:val="toc 6"/>
    <w:basedOn w:val="1"/>
    <w:next w:val="1"/>
    <w:qFormat/>
    <w:uiPriority w:val="0"/>
    <w:pPr>
      <w:ind w:left="2100" w:leftChars="1000"/>
    </w:pPr>
    <w:rPr>
      <w:rFonts w:ascii="Times New Roman" w:hAnsi="Times New Roman" w:eastAsia="宋体" w:cs="Times New Roman"/>
      <w:szCs w:val="24"/>
    </w:rPr>
  </w:style>
  <w:style w:type="paragraph" w:styleId="31">
    <w:name w:val="Body Text Indent 3"/>
    <w:basedOn w:val="1"/>
    <w:link w:val="133"/>
    <w:qFormat/>
    <w:uiPriority w:val="99"/>
    <w:pPr>
      <w:spacing w:line="440" w:lineRule="exact"/>
      <w:ind w:firstLine="412" w:firstLineChars="200"/>
    </w:pPr>
    <w:rPr>
      <w:rFonts w:ascii="宋体" w:hAnsi="Calibri" w:eastAsia="宋体" w:cs="Times New Roman"/>
      <w:kern w:val="0"/>
      <w:sz w:val="20"/>
      <w:szCs w:val="20"/>
    </w:rPr>
  </w:style>
  <w:style w:type="paragraph" w:styleId="32">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3">
    <w:name w:val="toc 2"/>
    <w:basedOn w:val="1"/>
    <w:next w:val="1"/>
    <w:qFormat/>
    <w:uiPriority w:val="39"/>
    <w:pPr>
      <w:ind w:left="420" w:leftChars="200"/>
    </w:pPr>
    <w:rPr>
      <w:rFonts w:ascii="Times New Roman" w:hAnsi="Times New Roman" w:eastAsia="宋体" w:cs="Times New Roman"/>
      <w:szCs w:val="24"/>
    </w:rPr>
  </w:style>
  <w:style w:type="paragraph" w:styleId="34">
    <w:name w:val="toc 9"/>
    <w:basedOn w:val="1"/>
    <w:next w:val="1"/>
    <w:qFormat/>
    <w:uiPriority w:val="0"/>
    <w:pPr>
      <w:ind w:left="3360" w:leftChars="1600"/>
    </w:pPr>
    <w:rPr>
      <w:rFonts w:ascii="Times New Roman" w:hAnsi="Times New Roman" w:eastAsia="宋体" w:cs="Times New Roman"/>
      <w:szCs w:val="24"/>
    </w:rPr>
  </w:style>
  <w:style w:type="paragraph" w:styleId="35">
    <w:name w:val="List Continue 2"/>
    <w:basedOn w:val="1"/>
    <w:qFormat/>
    <w:uiPriority w:val="99"/>
    <w:pPr>
      <w:spacing w:after="120"/>
      <w:ind w:left="840" w:leftChars="400"/>
    </w:pPr>
    <w:rPr>
      <w:rFonts w:ascii="Times New Roman" w:hAnsi="Times New Roman" w:eastAsia="宋体" w:cs="Times New Roman"/>
      <w:szCs w:val="24"/>
    </w:rPr>
  </w:style>
  <w:style w:type="paragraph" w:styleId="3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7">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8">
    <w:name w:val="Title"/>
    <w:basedOn w:val="1"/>
    <w:next w:val="1"/>
    <w:link w:val="161"/>
    <w:qFormat/>
    <w:uiPriority w:val="0"/>
    <w:pPr>
      <w:spacing w:before="240" w:after="60"/>
      <w:jc w:val="center"/>
      <w:outlineLvl w:val="0"/>
    </w:pPr>
    <w:rPr>
      <w:rFonts w:ascii="Cambria" w:hAnsi="Cambria" w:cs="Times New Roman"/>
      <w:b/>
      <w:bCs/>
      <w:sz w:val="32"/>
      <w:szCs w:val="32"/>
    </w:rPr>
  </w:style>
  <w:style w:type="paragraph" w:styleId="39">
    <w:name w:val="annotation subject"/>
    <w:basedOn w:val="13"/>
    <w:next w:val="13"/>
    <w:link w:val="168"/>
    <w:qFormat/>
    <w:uiPriority w:val="0"/>
    <w:rPr>
      <w:b/>
      <w:bCs/>
    </w:rPr>
  </w:style>
  <w:style w:type="paragraph" w:styleId="40">
    <w:name w:val="Body Text First Indent"/>
    <w:basedOn w:val="14"/>
    <w:link w:val="208"/>
    <w:unhideWhenUsed/>
    <w:qFormat/>
    <w:uiPriority w:val="99"/>
    <w:pPr>
      <w:ind w:firstLine="420" w:firstLineChars="100"/>
    </w:pPr>
    <w:rPr>
      <w:rFonts w:asciiTheme="minorHAnsi" w:hAnsiTheme="minorHAnsi" w:eastAsiaTheme="minorEastAsia" w:cstheme="minorBidi"/>
      <w:kern w:val="2"/>
      <w:sz w:val="21"/>
      <w:szCs w:val="22"/>
    </w:rPr>
  </w:style>
  <w:style w:type="paragraph" w:styleId="41">
    <w:name w:val="Body Text First Indent 2"/>
    <w:basedOn w:val="16"/>
    <w:next w:val="1"/>
    <w:link w:val="212"/>
    <w:semiHidden/>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3">
    <w:name w:val="Table Grid"/>
    <w:basedOn w:val="4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basedOn w:val="44"/>
    <w:qFormat/>
    <w:uiPriority w:val="22"/>
    <w:rPr>
      <w:rFonts w:cs="Times New Roman"/>
      <w:b/>
    </w:rPr>
  </w:style>
  <w:style w:type="character" w:styleId="46">
    <w:name w:val="page number"/>
    <w:basedOn w:val="44"/>
    <w:qFormat/>
    <w:uiPriority w:val="0"/>
    <w:rPr>
      <w:rFonts w:cs="Times New Roman"/>
    </w:rPr>
  </w:style>
  <w:style w:type="character" w:styleId="47">
    <w:name w:val="FollowedHyperlink"/>
    <w:basedOn w:val="44"/>
    <w:qFormat/>
    <w:uiPriority w:val="99"/>
    <w:rPr>
      <w:rFonts w:cs="Times New Roman"/>
      <w:color w:val="555555"/>
      <w:u w:val="none"/>
    </w:rPr>
  </w:style>
  <w:style w:type="character" w:styleId="48">
    <w:name w:val="Emphasis"/>
    <w:basedOn w:val="44"/>
    <w:qFormat/>
    <w:uiPriority w:val="0"/>
    <w:rPr>
      <w:rFonts w:cs="Times New Roman"/>
      <w:i/>
    </w:rPr>
  </w:style>
  <w:style w:type="character" w:styleId="49">
    <w:name w:val="HTML Definition"/>
    <w:basedOn w:val="44"/>
    <w:qFormat/>
    <w:uiPriority w:val="99"/>
    <w:rPr>
      <w:rFonts w:cs="Times New Roman"/>
    </w:rPr>
  </w:style>
  <w:style w:type="character" w:styleId="50">
    <w:name w:val="HTML Acronym"/>
    <w:basedOn w:val="44"/>
    <w:qFormat/>
    <w:uiPriority w:val="99"/>
    <w:rPr>
      <w:rFonts w:cs="Times New Roman"/>
    </w:rPr>
  </w:style>
  <w:style w:type="character" w:styleId="51">
    <w:name w:val="HTML Variable"/>
    <w:basedOn w:val="44"/>
    <w:qFormat/>
    <w:uiPriority w:val="99"/>
    <w:rPr>
      <w:rFonts w:cs="Times New Roman"/>
    </w:rPr>
  </w:style>
  <w:style w:type="character" w:styleId="52">
    <w:name w:val="Hyperlink"/>
    <w:basedOn w:val="44"/>
    <w:qFormat/>
    <w:uiPriority w:val="99"/>
    <w:rPr>
      <w:rFonts w:cs="Times New Roman"/>
      <w:color w:val="555555"/>
      <w:u w:val="none"/>
    </w:rPr>
  </w:style>
  <w:style w:type="character" w:styleId="53">
    <w:name w:val="HTML Code"/>
    <w:basedOn w:val="44"/>
    <w:qFormat/>
    <w:uiPriority w:val="99"/>
    <w:rPr>
      <w:rFonts w:ascii="monospace" w:hAnsi="monospace" w:cs="Times New Roman"/>
      <w:sz w:val="24"/>
    </w:rPr>
  </w:style>
  <w:style w:type="character" w:styleId="54">
    <w:name w:val="annotation reference"/>
    <w:qFormat/>
    <w:uiPriority w:val="0"/>
    <w:rPr>
      <w:sz w:val="21"/>
      <w:szCs w:val="21"/>
    </w:rPr>
  </w:style>
  <w:style w:type="character" w:styleId="55">
    <w:name w:val="HTML Cite"/>
    <w:basedOn w:val="44"/>
    <w:qFormat/>
    <w:uiPriority w:val="99"/>
    <w:rPr>
      <w:rFonts w:cs="Times New Roman"/>
    </w:rPr>
  </w:style>
  <w:style w:type="character" w:styleId="56">
    <w:name w:val="footnote reference"/>
    <w:semiHidden/>
    <w:qFormat/>
    <w:uiPriority w:val="0"/>
    <w:rPr>
      <w:vertAlign w:val="superscript"/>
    </w:rPr>
  </w:style>
  <w:style w:type="character" w:styleId="57">
    <w:name w:val="HTML Keyboard"/>
    <w:basedOn w:val="44"/>
    <w:qFormat/>
    <w:uiPriority w:val="99"/>
    <w:rPr>
      <w:rFonts w:ascii="monospace" w:hAnsi="monospace" w:cs="Times New Roman"/>
      <w:sz w:val="24"/>
    </w:rPr>
  </w:style>
  <w:style w:type="character" w:styleId="58">
    <w:name w:val="HTML Sample"/>
    <w:basedOn w:val="44"/>
    <w:qFormat/>
    <w:uiPriority w:val="99"/>
    <w:rPr>
      <w:rFonts w:ascii="monospace" w:hAnsi="monospace" w:cs="Times New Roman"/>
      <w:sz w:val="24"/>
    </w:rPr>
  </w:style>
  <w:style w:type="paragraph" w:customStyle="1" w:styleId="59">
    <w:name w:val="H3-HXDI"/>
    <w:basedOn w:val="60"/>
    <w:next w:val="62"/>
    <w:qFormat/>
    <w:uiPriority w:val="0"/>
    <w:pPr>
      <w:spacing w:before="0" w:after="0"/>
      <w:outlineLvl w:val="2"/>
    </w:pPr>
  </w:style>
  <w:style w:type="paragraph" w:customStyle="1" w:styleId="60">
    <w:name w:val="H2-HXDI"/>
    <w:basedOn w:val="61"/>
    <w:next w:val="62"/>
    <w:qFormat/>
    <w:uiPriority w:val="0"/>
    <w:pPr>
      <w:pageBreakBefore w:val="0"/>
      <w:outlineLvl w:val="1"/>
    </w:pPr>
    <w:rPr>
      <w:sz w:val="24"/>
    </w:rPr>
  </w:style>
  <w:style w:type="paragraph" w:customStyle="1" w:styleId="61">
    <w:name w:val="H1-HXDI"/>
    <w:basedOn w:val="62"/>
    <w:next w:val="62"/>
    <w:qFormat/>
    <w:uiPriority w:val="0"/>
    <w:pPr>
      <w:pageBreakBefore/>
      <w:spacing w:before="120" w:after="120"/>
      <w:outlineLvl w:val="0"/>
    </w:pPr>
    <w:rPr>
      <w:rFonts w:eastAsia="黑体"/>
      <w:sz w:val="28"/>
    </w:rPr>
  </w:style>
  <w:style w:type="paragraph" w:customStyle="1" w:styleId="62">
    <w:name w:val="正文-HXDI"/>
    <w:basedOn w:val="1"/>
    <w:qFormat/>
    <w:uiPriority w:val="0"/>
    <w:pPr>
      <w:adjustRightInd w:val="0"/>
      <w:textAlignment w:val="baseline"/>
    </w:pPr>
    <w:rPr>
      <w:kern w:val="0"/>
    </w:rPr>
  </w:style>
  <w:style w:type="paragraph" w:customStyle="1" w:styleId="63">
    <w:name w:val="方案正文"/>
    <w:basedOn w:val="14"/>
    <w:qFormat/>
    <w:uiPriority w:val="0"/>
    <w:pPr>
      <w:spacing w:after="0"/>
      <w:ind w:firstLine="560" w:firstLineChars="200"/>
      <w:jc w:val="left"/>
    </w:pPr>
    <w:rPr>
      <w:rFonts w:ascii="Arial" w:hAnsi="Arial" w:eastAsia="仿宋" w:cs="宋体"/>
      <w:sz w:val="28"/>
      <w:szCs w:val="21"/>
    </w:rPr>
  </w:style>
  <w:style w:type="character" w:customStyle="1" w:styleId="64">
    <w:name w:val="标题 1 Char"/>
    <w:basedOn w:val="44"/>
    <w:link w:val="2"/>
    <w:qFormat/>
    <w:uiPriority w:val="9"/>
    <w:rPr>
      <w:rFonts w:ascii="???" w:hAnsi="???" w:eastAsia="宋体" w:cs="Arial"/>
      <w:b/>
      <w:bCs/>
      <w:color w:val="020000"/>
      <w:kern w:val="36"/>
      <w:sz w:val="44"/>
      <w:szCs w:val="44"/>
    </w:rPr>
  </w:style>
  <w:style w:type="character" w:customStyle="1" w:styleId="65">
    <w:name w:val="标题 3 Char"/>
    <w:basedOn w:val="44"/>
    <w:link w:val="4"/>
    <w:qFormat/>
    <w:uiPriority w:val="0"/>
    <w:rPr>
      <w:rFonts w:ascii="??" w:hAnsi="??" w:eastAsia="宋体" w:cs="Arial"/>
      <w:b/>
      <w:bCs/>
      <w:color w:val="000000"/>
      <w:kern w:val="0"/>
      <w:sz w:val="32"/>
      <w:szCs w:val="32"/>
    </w:rPr>
  </w:style>
  <w:style w:type="character" w:customStyle="1" w:styleId="66">
    <w:name w:val="标题 2 Char"/>
    <w:basedOn w:val="44"/>
    <w:link w:val="3"/>
    <w:qFormat/>
    <w:uiPriority w:val="99"/>
    <w:rPr>
      <w:rFonts w:ascii="???" w:hAnsi="???" w:eastAsia="宋体" w:cs="Arial"/>
      <w:b/>
      <w:bCs/>
      <w:color w:val="020000"/>
      <w:kern w:val="0"/>
      <w:sz w:val="32"/>
      <w:szCs w:val="32"/>
    </w:rPr>
  </w:style>
  <w:style w:type="character" w:customStyle="1" w:styleId="67">
    <w:name w:val="页眉 Char"/>
    <w:basedOn w:val="44"/>
    <w:link w:val="25"/>
    <w:qFormat/>
    <w:uiPriority w:val="99"/>
    <w:rPr>
      <w:rFonts w:ascii="Calibri" w:hAnsi="Calibri" w:eastAsia="宋体" w:cs="Times New Roman"/>
      <w:sz w:val="18"/>
      <w:szCs w:val="18"/>
    </w:rPr>
  </w:style>
  <w:style w:type="character" w:customStyle="1" w:styleId="68">
    <w:name w:val="页脚 Char"/>
    <w:basedOn w:val="44"/>
    <w:link w:val="24"/>
    <w:qFormat/>
    <w:uiPriority w:val="99"/>
    <w:rPr>
      <w:rFonts w:ascii="Calibri" w:hAnsi="Calibri" w:eastAsia="宋体" w:cs="Times New Roman"/>
      <w:sz w:val="18"/>
      <w:szCs w:val="18"/>
    </w:rPr>
  </w:style>
  <w:style w:type="character" w:customStyle="1" w:styleId="69">
    <w:name w:val="正文文本缩进 Char"/>
    <w:basedOn w:val="44"/>
    <w:link w:val="16"/>
    <w:qFormat/>
    <w:uiPriority w:val="0"/>
    <w:rPr>
      <w:rFonts w:ascii="??" w:hAnsi="??" w:eastAsia="宋体" w:cs="Arial"/>
      <w:kern w:val="0"/>
      <w:sz w:val="24"/>
      <w:szCs w:val="24"/>
    </w:rPr>
  </w:style>
  <w:style w:type="paragraph" w:customStyle="1" w:styleId="70">
    <w:name w:val="列出段落1"/>
    <w:basedOn w:val="1"/>
    <w:qFormat/>
    <w:uiPriority w:val="34"/>
    <w:pPr>
      <w:ind w:firstLine="420" w:firstLineChars="200"/>
    </w:pPr>
    <w:rPr>
      <w:rFonts w:ascii="Calibri" w:hAnsi="Calibri" w:eastAsia="宋体" w:cs="Times New Roman"/>
    </w:rPr>
  </w:style>
  <w:style w:type="character" w:customStyle="1" w:styleId="71">
    <w:name w:val="标题 2 Char Char"/>
    <w:qFormat/>
    <w:uiPriority w:val="99"/>
    <w:rPr>
      <w:rFonts w:ascii="Arial" w:hAnsi="Arial" w:eastAsia="黑体"/>
      <w:b/>
      <w:kern w:val="2"/>
      <w:sz w:val="32"/>
      <w:lang w:val="en-US" w:eastAsia="zh-CN"/>
    </w:rPr>
  </w:style>
  <w:style w:type="character" w:customStyle="1" w:styleId="72">
    <w:name w:val="2charchar"/>
    <w:basedOn w:val="44"/>
    <w:qFormat/>
    <w:uiPriority w:val="99"/>
    <w:rPr>
      <w:rFonts w:cs="Times New Roman"/>
    </w:rPr>
  </w:style>
  <w:style w:type="paragraph" w:customStyle="1" w:styleId="73">
    <w:name w:val="表格文字"/>
    <w:basedOn w:val="1"/>
    <w:next w:val="14"/>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74">
    <w:name w:val="z-窗体顶端1"/>
    <w:basedOn w:val="1"/>
    <w:next w:val="1"/>
    <w:link w:val="75"/>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5">
    <w:name w:val="z-窗体顶端 Char"/>
    <w:basedOn w:val="44"/>
    <w:link w:val="74"/>
    <w:semiHidden/>
    <w:qFormat/>
    <w:uiPriority w:val="99"/>
    <w:rPr>
      <w:rFonts w:ascii="Arial" w:hAnsi="Arial" w:eastAsia="宋体" w:cs="Arial"/>
      <w:vanish/>
      <w:kern w:val="0"/>
      <w:sz w:val="16"/>
      <w:szCs w:val="16"/>
    </w:rPr>
  </w:style>
  <w:style w:type="paragraph" w:customStyle="1" w:styleId="76">
    <w:name w:val="z-窗体底端1"/>
    <w:basedOn w:val="1"/>
    <w:next w:val="1"/>
    <w:link w:val="77"/>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7">
    <w:name w:val="z-窗体底端 Char"/>
    <w:basedOn w:val="44"/>
    <w:link w:val="76"/>
    <w:semiHidden/>
    <w:qFormat/>
    <w:uiPriority w:val="99"/>
    <w:rPr>
      <w:rFonts w:ascii="Arial" w:hAnsi="Arial" w:eastAsia="宋体" w:cs="Arial"/>
      <w:vanish/>
      <w:kern w:val="0"/>
      <w:sz w:val="16"/>
      <w:szCs w:val="16"/>
    </w:rPr>
  </w:style>
  <w:style w:type="paragraph" w:customStyle="1" w:styleId="78">
    <w:name w:val="hu正文"/>
    <w:basedOn w:val="1"/>
    <w:link w:val="79"/>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9">
    <w:name w:val="hu正文 Char"/>
    <w:link w:val="78"/>
    <w:qFormat/>
    <w:locked/>
    <w:uiPriority w:val="99"/>
    <w:rPr>
      <w:rFonts w:ascii="Times New Roman" w:hAnsi="Times New Roman" w:eastAsia="宋体" w:cs="Times New Roman"/>
      <w:kern w:val="0"/>
      <w:sz w:val="24"/>
      <w:szCs w:val="20"/>
    </w:rPr>
  </w:style>
  <w:style w:type="paragraph" w:customStyle="1" w:styleId="80">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1">
    <w:name w:val="批注框文本 Char"/>
    <w:basedOn w:val="44"/>
    <w:link w:val="23"/>
    <w:qFormat/>
    <w:uiPriority w:val="99"/>
    <w:rPr>
      <w:rFonts w:ascii="Calibri" w:hAnsi="Calibri" w:eastAsia="宋体" w:cs="Times New Roman"/>
      <w:sz w:val="18"/>
      <w:szCs w:val="18"/>
    </w:rPr>
  </w:style>
  <w:style w:type="character" w:customStyle="1" w:styleId="82">
    <w:name w:val="ui-bz-bg-hover1"/>
    <w:basedOn w:val="44"/>
    <w:qFormat/>
    <w:uiPriority w:val="99"/>
    <w:rPr>
      <w:rFonts w:cs="Times New Roman"/>
    </w:rPr>
  </w:style>
  <w:style w:type="character" w:customStyle="1" w:styleId="83">
    <w:name w:val="批注框文本 Char1"/>
    <w:qFormat/>
    <w:uiPriority w:val="99"/>
    <w:rPr>
      <w:rFonts w:ascii="Times New Roman" w:hAnsi="Times New Roman" w:eastAsia="宋体"/>
      <w:sz w:val="18"/>
    </w:rPr>
  </w:style>
  <w:style w:type="character" w:customStyle="1" w:styleId="84">
    <w:name w:val="bds_nopic"/>
    <w:basedOn w:val="44"/>
    <w:qFormat/>
    <w:uiPriority w:val="99"/>
    <w:rPr>
      <w:rFonts w:cs="Times New Roman"/>
    </w:rPr>
  </w:style>
  <w:style w:type="character" w:customStyle="1" w:styleId="85">
    <w:name w:val="tip12"/>
    <w:qFormat/>
    <w:uiPriority w:val="99"/>
    <w:rPr>
      <w:vanish/>
      <w:color w:val="FF0000"/>
      <w:sz w:val="18"/>
    </w:rPr>
  </w:style>
  <w:style w:type="character" w:customStyle="1" w:styleId="86">
    <w:name w:val="Body Text Indent 3 Char"/>
    <w:qFormat/>
    <w:locked/>
    <w:uiPriority w:val="99"/>
    <w:rPr>
      <w:rFonts w:ascii="宋体" w:eastAsia="宋体"/>
    </w:rPr>
  </w:style>
  <w:style w:type="character" w:customStyle="1" w:styleId="87">
    <w:name w:val="HTML Markup"/>
    <w:qFormat/>
    <w:uiPriority w:val="99"/>
    <w:rPr>
      <w:vanish/>
      <w:color w:val="FF0000"/>
    </w:rPr>
  </w:style>
  <w:style w:type="character" w:customStyle="1" w:styleId="88">
    <w:name w:val="tip7"/>
    <w:qFormat/>
    <w:uiPriority w:val="99"/>
    <w:rPr>
      <w:vanish/>
      <w:color w:val="FF0000"/>
      <w:sz w:val="18"/>
    </w:rPr>
  </w:style>
  <w:style w:type="character" w:customStyle="1" w:styleId="89">
    <w:name w:val="f-star"/>
    <w:qFormat/>
    <w:uiPriority w:val="99"/>
    <w:rPr>
      <w:color w:val="999999"/>
      <w:sz w:val="21"/>
    </w:rPr>
  </w:style>
  <w:style w:type="character" w:customStyle="1" w:styleId="90">
    <w:name w:val="Document Map Char1"/>
    <w:qFormat/>
    <w:uiPriority w:val="99"/>
    <w:rPr>
      <w:rFonts w:ascii="Times New Roman" w:hAnsi="Times New Roman"/>
      <w:kern w:val="2"/>
      <w:sz w:val="2"/>
    </w:rPr>
  </w:style>
  <w:style w:type="character" w:customStyle="1" w:styleId="91">
    <w:name w:val="my-class2"/>
    <w:basedOn w:val="44"/>
    <w:qFormat/>
    <w:uiPriority w:val="99"/>
    <w:rPr>
      <w:rFonts w:cs="Times New Roman"/>
    </w:rPr>
  </w:style>
  <w:style w:type="character" w:customStyle="1" w:styleId="92">
    <w:name w:val="no52"/>
    <w:basedOn w:val="44"/>
    <w:qFormat/>
    <w:uiPriority w:val="99"/>
    <w:rPr>
      <w:rFonts w:cs="Times New Roman"/>
    </w:rPr>
  </w:style>
  <w:style w:type="character" w:customStyle="1" w:styleId="93">
    <w:name w:val="no4"/>
    <w:basedOn w:val="44"/>
    <w:qFormat/>
    <w:uiPriority w:val="99"/>
    <w:rPr>
      <w:rFonts w:cs="Times New Roman"/>
    </w:rPr>
  </w:style>
  <w:style w:type="character" w:customStyle="1" w:styleId="94">
    <w:name w:val="my-notice"/>
    <w:basedOn w:val="44"/>
    <w:qFormat/>
    <w:uiPriority w:val="99"/>
    <w:rPr>
      <w:rFonts w:cs="Times New Roman"/>
    </w:rPr>
  </w:style>
  <w:style w:type="character" w:customStyle="1" w:styleId="95">
    <w:name w:val="ico-jiang"/>
    <w:basedOn w:val="44"/>
    <w:qFormat/>
    <w:uiPriority w:val="99"/>
    <w:rPr>
      <w:rFonts w:cs="Times New Roman"/>
    </w:rPr>
  </w:style>
  <w:style w:type="character" w:customStyle="1" w:styleId="96">
    <w:name w:val="ico-jiang2"/>
    <w:basedOn w:val="44"/>
    <w:qFormat/>
    <w:uiPriority w:val="99"/>
    <w:rPr>
      <w:rFonts w:cs="Times New Roman"/>
    </w:rPr>
  </w:style>
  <w:style w:type="character" w:customStyle="1" w:styleId="97">
    <w:name w:val="bds_more1"/>
    <w:qFormat/>
    <w:uiPriority w:val="99"/>
    <w:rPr>
      <w:rFonts w:ascii="宋体" w:hAnsi="宋体" w:eastAsia="宋体"/>
    </w:rPr>
  </w:style>
  <w:style w:type="character" w:customStyle="1" w:styleId="98">
    <w:name w:val="Body Text Indent 2 Char"/>
    <w:qFormat/>
    <w:locked/>
    <w:uiPriority w:val="99"/>
    <w:rPr>
      <w:rFonts w:ascii="宋体" w:eastAsia="宋体"/>
      <w:sz w:val="24"/>
    </w:rPr>
  </w:style>
  <w:style w:type="character" w:customStyle="1" w:styleId="99">
    <w:name w:val="org_name"/>
    <w:basedOn w:val="44"/>
    <w:qFormat/>
    <w:uiPriority w:val="99"/>
    <w:rPr>
      <w:rFonts w:cs="Times New Roman"/>
    </w:rPr>
  </w:style>
  <w:style w:type="character" w:customStyle="1" w:styleId="100">
    <w:name w:val="org_name2"/>
    <w:basedOn w:val="44"/>
    <w:qFormat/>
    <w:uiPriority w:val="99"/>
    <w:rPr>
      <w:rFonts w:cs="Times New Roman"/>
    </w:rPr>
  </w:style>
  <w:style w:type="character" w:customStyle="1" w:styleId="101">
    <w:name w:val="tip10"/>
    <w:qFormat/>
    <w:uiPriority w:val="99"/>
    <w:rPr>
      <w:vanish/>
      <w:color w:val="FF0000"/>
      <w:sz w:val="18"/>
    </w:rPr>
  </w:style>
  <w:style w:type="character" w:customStyle="1" w:styleId="102">
    <w:name w:val="orange"/>
    <w:qFormat/>
    <w:uiPriority w:val="99"/>
    <w:rPr>
      <w:color w:val="3FB58F"/>
    </w:rPr>
  </w:style>
  <w:style w:type="character" w:customStyle="1" w:styleId="103">
    <w:name w:val="bds_more"/>
    <w:basedOn w:val="44"/>
    <w:qFormat/>
    <w:uiPriority w:val="99"/>
    <w:rPr>
      <w:rFonts w:cs="Times New Roman"/>
    </w:rPr>
  </w:style>
  <w:style w:type="character" w:customStyle="1" w:styleId="104">
    <w:name w:val="t-tag"/>
    <w:qFormat/>
    <w:uiPriority w:val="99"/>
    <w:rPr>
      <w:color w:val="FFFFFF"/>
      <w:sz w:val="18"/>
      <w:shd w:val="clear" w:color="auto" w:fill="FE8833"/>
    </w:rPr>
  </w:style>
  <w:style w:type="character" w:customStyle="1" w:styleId="105">
    <w:name w:val="top-icon"/>
    <w:basedOn w:val="44"/>
    <w:qFormat/>
    <w:uiPriority w:val="99"/>
    <w:rPr>
      <w:rFonts w:cs="Times New Roman"/>
    </w:rPr>
  </w:style>
  <w:style w:type="character" w:customStyle="1" w:styleId="106">
    <w:name w:val="Body Text Char"/>
    <w:qFormat/>
    <w:locked/>
    <w:uiPriority w:val="99"/>
    <w:rPr>
      <w:sz w:val="24"/>
    </w:rPr>
  </w:style>
  <w:style w:type="character" w:customStyle="1" w:styleId="107">
    <w:name w:val="no72"/>
    <w:basedOn w:val="44"/>
    <w:qFormat/>
    <w:uiPriority w:val="99"/>
    <w:rPr>
      <w:rFonts w:cs="Times New Roman"/>
    </w:rPr>
  </w:style>
  <w:style w:type="character" w:customStyle="1" w:styleId="108">
    <w:name w:val="bds_nopic2"/>
    <w:basedOn w:val="44"/>
    <w:qFormat/>
    <w:uiPriority w:val="99"/>
    <w:rPr>
      <w:rFonts w:cs="Times New Roman"/>
    </w:rPr>
  </w:style>
  <w:style w:type="character" w:customStyle="1" w:styleId="109">
    <w:name w:val="Document Map Char"/>
    <w:qFormat/>
    <w:uiPriority w:val="99"/>
    <w:rPr>
      <w:rFonts w:ascii="宋体"/>
      <w:sz w:val="18"/>
    </w:rPr>
  </w:style>
  <w:style w:type="character" w:customStyle="1" w:styleId="110">
    <w:name w:val="no6"/>
    <w:basedOn w:val="44"/>
    <w:qFormat/>
    <w:uiPriority w:val="99"/>
    <w:rPr>
      <w:rFonts w:cs="Times New Roman"/>
    </w:rPr>
  </w:style>
  <w:style w:type="character" w:customStyle="1" w:styleId="111">
    <w:name w:val="tip"/>
    <w:qFormat/>
    <w:uiPriority w:val="99"/>
    <w:rPr>
      <w:vanish/>
      <w:color w:val="FF0000"/>
      <w:sz w:val="18"/>
    </w:rPr>
  </w:style>
  <w:style w:type="character" w:customStyle="1" w:styleId="112">
    <w:name w:val="apple-converted-space"/>
    <w:basedOn w:val="44"/>
    <w:qFormat/>
    <w:uiPriority w:val="99"/>
    <w:rPr>
      <w:rFonts w:cs="Times New Roman"/>
    </w:rPr>
  </w:style>
  <w:style w:type="character" w:customStyle="1" w:styleId="113">
    <w:name w:val="bds_more2"/>
    <w:basedOn w:val="44"/>
    <w:qFormat/>
    <w:uiPriority w:val="99"/>
    <w:rPr>
      <w:rFonts w:cs="Times New Roman"/>
    </w:rPr>
  </w:style>
  <w:style w:type="character" w:customStyle="1" w:styleId="114">
    <w:name w:val="my-class"/>
    <w:basedOn w:val="44"/>
    <w:qFormat/>
    <w:uiPriority w:val="99"/>
    <w:rPr>
      <w:rFonts w:cs="Times New Roman"/>
    </w:rPr>
  </w:style>
  <w:style w:type="character" w:customStyle="1" w:styleId="115">
    <w:name w:val="ui-bz-bg-hover"/>
    <w:qFormat/>
    <w:uiPriority w:val="99"/>
    <w:rPr>
      <w:shd w:val="clear" w:color="auto" w:fill="000000"/>
    </w:rPr>
  </w:style>
  <w:style w:type="character" w:customStyle="1" w:styleId="116">
    <w:name w:val="no7"/>
    <w:basedOn w:val="44"/>
    <w:qFormat/>
    <w:uiPriority w:val="99"/>
    <w:rPr>
      <w:rFonts w:cs="Times New Roman"/>
    </w:rPr>
  </w:style>
  <w:style w:type="character" w:customStyle="1" w:styleId="117">
    <w:name w:val="正文缩进 Char"/>
    <w:link w:val="6"/>
    <w:qFormat/>
    <w:locked/>
    <w:uiPriority w:val="0"/>
    <w:rPr>
      <w:rFonts w:ascii="Times New Roman" w:hAnsi="Times New Roman" w:eastAsia="宋体" w:cs="Times New Roman"/>
      <w:kern w:val="0"/>
      <w:sz w:val="24"/>
      <w:szCs w:val="20"/>
    </w:rPr>
  </w:style>
  <w:style w:type="character" w:customStyle="1" w:styleId="118">
    <w:name w:val="ico-jiang1"/>
    <w:basedOn w:val="44"/>
    <w:qFormat/>
    <w:uiPriority w:val="99"/>
    <w:rPr>
      <w:rFonts w:cs="Times New Roman"/>
    </w:rPr>
  </w:style>
  <w:style w:type="character" w:customStyle="1" w:styleId="119">
    <w:name w:val="no62"/>
    <w:basedOn w:val="44"/>
    <w:qFormat/>
    <w:uiPriority w:val="99"/>
    <w:rPr>
      <w:rFonts w:cs="Times New Roman"/>
    </w:rPr>
  </w:style>
  <w:style w:type="character" w:customStyle="1" w:styleId="120">
    <w:name w:val="orange5"/>
    <w:qFormat/>
    <w:uiPriority w:val="99"/>
    <w:rPr>
      <w:color w:val="3FB58F"/>
    </w:rPr>
  </w:style>
  <w:style w:type="character" w:customStyle="1" w:styleId="121">
    <w:name w:val="bds_more4"/>
    <w:basedOn w:val="44"/>
    <w:qFormat/>
    <w:uiPriority w:val="99"/>
    <w:rPr>
      <w:rFonts w:cs="Times New Roman"/>
    </w:rPr>
  </w:style>
  <w:style w:type="character" w:customStyle="1" w:styleId="122">
    <w:name w:val="no5"/>
    <w:basedOn w:val="44"/>
    <w:qFormat/>
    <w:uiPriority w:val="99"/>
    <w:rPr>
      <w:rFonts w:cs="Times New Roman"/>
    </w:rPr>
  </w:style>
  <w:style w:type="character" w:customStyle="1" w:styleId="123">
    <w:name w:val="bds_more3"/>
    <w:basedOn w:val="44"/>
    <w:qFormat/>
    <w:uiPriority w:val="99"/>
    <w:rPr>
      <w:rFonts w:cs="Times New Roman"/>
    </w:rPr>
  </w:style>
  <w:style w:type="character" w:customStyle="1" w:styleId="124">
    <w:name w:val="no42"/>
    <w:basedOn w:val="44"/>
    <w:qFormat/>
    <w:uiPriority w:val="99"/>
    <w:rPr>
      <w:rFonts w:cs="Times New Roman"/>
    </w:rPr>
  </w:style>
  <w:style w:type="character" w:customStyle="1" w:styleId="125">
    <w:name w:val="bds_nopic1"/>
    <w:basedOn w:val="44"/>
    <w:qFormat/>
    <w:uiPriority w:val="99"/>
    <w:rPr>
      <w:rFonts w:cs="Times New Roman"/>
    </w:rPr>
  </w:style>
  <w:style w:type="character" w:customStyle="1" w:styleId="126">
    <w:name w:val="my-notice1"/>
    <w:basedOn w:val="44"/>
    <w:qFormat/>
    <w:uiPriority w:val="99"/>
    <w:rPr>
      <w:rFonts w:cs="Times New Roman"/>
    </w:rPr>
  </w:style>
  <w:style w:type="character" w:customStyle="1" w:styleId="127">
    <w:name w:val="orange6"/>
    <w:qFormat/>
    <w:uiPriority w:val="99"/>
    <w:rPr>
      <w:color w:val="3FB58F"/>
    </w:rPr>
  </w:style>
  <w:style w:type="character" w:customStyle="1" w:styleId="128">
    <w:name w:val="Document Map Char2"/>
    <w:qFormat/>
    <w:locked/>
    <w:uiPriority w:val="99"/>
    <w:rPr>
      <w:rFonts w:ascii="宋体"/>
      <w:sz w:val="18"/>
    </w:rPr>
  </w:style>
  <w:style w:type="character" w:customStyle="1" w:styleId="129">
    <w:name w:val="ico-jiang3"/>
    <w:basedOn w:val="44"/>
    <w:qFormat/>
    <w:uiPriority w:val="99"/>
    <w:rPr>
      <w:rFonts w:cs="Times New Roman"/>
    </w:rPr>
  </w:style>
  <w:style w:type="character" w:customStyle="1" w:styleId="130">
    <w:name w:val="tip13"/>
    <w:qFormat/>
    <w:uiPriority w:val="99"/>
    <w:rPr>
      <w:vanish/>
      <w:color w:val="FF0000"/>
      <w:sz w:val="18"/>
    </w:rPr>
  </w:style>
  <w:style w:type="character" w:customStyle="1" w:styleId="131">
    <w:name w:val="正文文本缩进 2 Char"/>
    <w:basedOn w:val="44"/>
    <w:link w:val="22"/>
    <w:qFormat/>
    <w:uiPriority w:val="99"/>
    <w:rPr>
      <w:rFonts w:ascii="宋体" w:hAnsi="Calibri" w:eastAsia="宋体" w:cs="Times New Roman"/>
      <w:kern w:val="0"/>
      <w:sz w:val="24"/>
      <w:szCs w:val="20"/>
    </w:rPr>
  </w:style>
  <w:style w:type="character" w:customStyle="1" w:styleId="132">
    <w:name w:val="Body Text Indent 2 Char1"/>
    <w:basedOn w:val="44"/>
    <w:semiHidden/>
    <w:qFormat/>
    <w:locked/>
    <w:uiPriority w:val="99"/>
    <w:rPr>
      <w:rFonts w:cs="Times New Roman"/>
    </w:rPr>
  </w:style>
  <w:style w:type="character" w:customStyle="1" w:styleId="133">
    <w:name w:val="正文文本缩进 3 Char"/>
    <w:basedOn w:val="44"/>
    <w:link w:val="31"/>
    <w:qFormat/>
    <w:uiPriority w:val="99"/>
    <w:rPr>
      <w:rFonts w:ascii="宋体" w:hAnsi="Calibri" w:eastAsia="宋体" w:cs="Times New Roman"/>
      <w:kern w:val="0"/>
      <w:sz w:val="20"/>
      <w:szCs w:val="20"/>
    </w:rPr>
  </w:style>
  <w:style w:type="character" w:customStyle="1" w:styleId="134">
    <w:name w:val="Body Text Indent 3 Char1"/>
    <w:basedOn w:val="44"/>
    <w:semiHidden/>
    <w:qFormat/>
    <w:locked/>
    <w:uiPriority w:val="99"/>
    <w:rPr>
      <w:rFonts w:cs="Times New Roman"/>
      <w:sz w:val="16"/>
      <w:szCs w:val="16"/>
    </w:rPr>
  </w:style>
  <w:style w:type="character" w:customStyle="1" w:styleId="135">
    <w:name w:val="文档结构图 Char"/>
    <w:basedOn w:val="44"/>
    <w:link w:val="11"/>
    <w:qFormat/>
    <w:uiPriority w:val="99"/>
    <w:rPr>
      <w:rFonts w:ascii="宋体" w:hAnsi="Calibri" w:eastAsia="宋体" w:cs="Times New Roman"/>
      <w:kern w:val="0"/>
      <w:sz w:val="18"/>
      <w:szCs w:val="20"/>
    </w:rPr>
  </w:style>
  <w:style w:type="character" w:customStyle="1" w:styleId="136">
    <w:name w:val="Document Map Char3"/>
    <w:basedOn w:val="44"/>
    <w:semiHidden/>
    <w:qFormat/>
    <w:locked/>
    <w:uiPriority w:val="99"/>
    <w:rPr>
      <w:rFonts w:ascii="Times New Roman" w:hAnsi="Times New Roman" w:cs="Times New Roman"/>
      <w:sz w:val="2"/>
    </w:rPr>
  </w:style>
  <w:style w:type="paragraph" w:customStyle="1" w:styleId="137">
    <w:name w:val="_Style 1"/>
    <w:basedOn w:val="1"/>
    <w:qFormat/>
    <w:uiPriority w:val="99"/>
    <w:pPr>
      <w:ind w:firstLine="420" w:firstLineChars="200"/>
    </w:pPr>
    <w:rPr>
      <w:rFonts w:ascii="Times New Roman" w:hAnsi="Times New Roman" w:eastAsia="宋体" w:cs="Times New Roman"/>
      <w:szCs w:val="24"/>
    </w:rPr>
  </w:style>
  <w:style w:type="character" w:customStyle="1" w:styleId="138">
    <w:name w:val="正文文本 Char"/>
    <w:basedOn w:val="44"/>
    <w:link w:val="14"/>
    <w:qFormat/>
    <w:uiPriority w:val="99"/>
    <w:rPr>
      <w:rFonts w:ascii="Calibri" w:hAnsi="Calibri" w:eastAsia="宋体" w:cs="Times New Roman"/>
      <w:kern w:val="0"/>
      <w:sz w:val="24"/>
      <w:szCs w:val="20"/>
    </w:rPr>
  </w:style>
  <w:style w:type="character" w:customStyle="1" w:styleId="139">
    <w:name w:val="Body Text Char1"/>
    <w:basedOn w:val="44"/>
    <w:semiHidden/>
    <w:qFormat/>
    <w:locked/>
    <w:uiPriority w:val="99"/>
    <w:rPr>
      <w:rFonts w:cs="Times New Roman"/>
    </w:rPr>
  </w:style>
  <w:style w:type="paragraph" w:customStyle="1" w:styleId="140">
    <w:name w:val="_Style 21"/>
    <w:basedOn w:val="1"/>
    <w:qFormat/>
    <w:uiPriority w:val="99"/>
    <w:rPr>
      <w:rFonts w:ascii="Times New Roman" w:hAnsi="Times New Roman" w:eastAsia="宋体" w:cs="Times New Roman"/>
      <w:szCs w:val="20"/>
    </w:rPr>
  </w:style>
  <w:style w:type="paragraph" w:customStyle="1" w:styleId="141">
    <w:name w:val="p0"/>
    <w:basedOn w:val="1"/>
    <w:qFormat/>
    <w:uiPriority w:val="99"/>
    <w:pPr>
      <w:widowControl/>
    </w:pPr>
    <w:rPr>
      <w:rFonts w:ascii="Times New Roman" w:hAnsi="Times New Roman" w:eastAsia="宋体" w:cs="Times New Roman"/>
      <w:kern w:val="0"/>
      <w:szCs w:val="21"/>
    </w:rPr>
  </w:style>
  <w:style w:type="paragraph" w:customStyle="1" w:styleId="142">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3">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4">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5">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7">
    <w:name w:val="_Style 2"/>
    <w:basedOn w:val="1"/>
    <w:qFormat/>
    <w:uiPriority w:val="99"/>
    <w:pPr>
      <w:ind w:firstLine="420" w:firstLineChars="200"/>
    </w:pPr>
    <w:rPr>
      <w:rFonts w:ascii="Calibri" w:hAnsi="Calibri" w:eastAsia="宋体" w:cs="Times New Roman"/>
    </w:rPr>
  </w:style>
  <w:style w:type="paragraph" w:customStyle="1" w:styleId="148">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9">
    <w:name w:val="_Style 11"/>
    <w:basedOn w:val="1"/>
    <w:qFormat/>
    <w:uiPriority w:val="99"/>
    <w:rPr>
      <w:rFonts w:ascii="Times New Roman" w:hAnsi="Times New Roman" w:eastAsia="宋体" w:cs="Times New Roman"/>
      <w:szCs w:val="24"/>
    </w:rPr>
  </w:style>
  <w:style w:type="paragraph" w:customStyle="1" w:styleId="150">
    <w:name w:val="Char"/>
    <w:basedOn w:val="1"/>
    <w:qFormat/>
    <w:uiPriority w:val="99"/>
    <w:rPr>
      <w:rFonts w:ascii="Times New Roman" w:hAnsi="Times New Roman" w:eastAsia="宋体" w:cs="Times New Roman"/>
      <w:szCs w:val="21"/>
    </w:rPr>
  </w:style>
  <w:style w:type="paragraph" w:customStyle="1" w:styleId="151">
    <w:name w:val="列出段落12"/>
    <w:basedOn w:val="1"/>
    <w:qFormat/>
    <w:uiPriority w:val="99"/>
    <w:pPr>
      <w:ind w:firstLine="420" w:firstLineChars="200"/>
    </w:pPr>
    <w:rPr>
      <w:rFonts w:ascii="Times New Roman" w:hAnsi="Times New Roman" w:eastAsia="宋体" w:cs="Times New Roman"/>
      <w:szCs w:val="24"/>
    </w:rPr>
  </w:style>
  <w:style w:type="paragraph" w:customStyle="1" w:styleId="152">
    <w:name w:val="列出段落2"/>
    <w:basedOn w:val="1"/>
    <w:qFormat/>
    <w:uiPriority w:val="99"/>
    <w:pPr>
      <w:ind w:firstLine="420" w:firstLineChars="200"/>
    </w:pPr>
    <w:rPr>
      <w:rFonts w:ascii="Times New Roman" w:hAnsi="Times New Roman" w:eastAsia="宋体" w:cs="Times New Roman"/>
      <w:szCs w:val="24"/>
    </w:rPr>
  </w:style>
  <w:style w:type="paragraph" w:customStyle="1" w:styleId="153">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4">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5">
    <w:name w:val="font41"/>
    <w:qFormat/>
    <w:uiPriority w:val="99"/>
    <w:rPr>
      <w:rFonts w:hint="eastAsia" w:ascii="宋体" w:hAnsi="宋体" w:eastAsia="宋体" w:cs="宋体"/>
      <w:b/>
      <w:color w:val="000000"/>
      <w:sz w:val="22"/>
      <w:szCs w:val="22"/>
      <w:u w:val="none"/>
    </w:rPr>
  </w:style>
  <w:style w:type="character" w:customStyle="1" w:styleId="156">
    <w:name w:val="font81"/>
    <w:qFormat/>
    <w:uiPriority w:val="99"/>
    <w:rPr>
      <w:rFonts w:hint="eastAsia" w:ascii="宋体" w:hAnsi="宋体" w:eastAsia="宋体" w:cs="宋体"/>
      <w:b/>
      <w:color w:val="000000"/>
      <w:sz w:val="22"/>
      <w:szCs w:val="22"/>
      <w:u w:val="none"/>
    </w:rPr>
  </w:style>
  <w:style w:type="character" w:customStyle="1" w:styleId="157">
    <w:name w:val="font21"/>
    <w:qFormat/>
    <w:uiPriority w:val="0"/>
    <w:rPr>
      <w:rFonts w:hint="eastAsia" w:ascii="宋体" w:hAnsi="宋体" w:eastAsia="宋体" w:cs="宋体"/>
      <w:color w:val="000000"/>
      <w:sz w:val="18"/>
      <w:szCs w:val="18"/>
      <w:u w:val="none"/>
    </w:rPr>
  </w:style>
  <w:style w:type="character" w:customStyle="1" w:styleId="158">
    <w:name w:val="日期 Char"/>
    <w:link w:val="21"/>
    <w:qFormat/>
    <w:uiPriority w:val="0"/>
    <w:rPr>
      <w:szCs w:val="21"/>
    </w:rPr>
  </w:style>
  <w:style w:type="character" w:customStyle="1" w:styleId="159">
    <w:name w:val="font01"/>
    <w:autoRedefine/>
    <w:qFormat/>
    <w:uiPriority w:val="99"/>
    <w:rPr>
      <w:rFonts w:hint="eastAsia" w:ascii="宋体" w:hAnsi="宋体" w:eastAsia="宋体" w:cs="宋体"/>
      <w:color w:val="000000"/>
      <w:sz w:val="22"/>
      <w:szCs w:val="22"/>
      <w:u w:val="none"/>
    </w:rPr>
  </w:style>
  <w:style w:type="character" w:customStyle="1" w:styleId="160">
    <w:name w:val="Char Char1"/>
    <w:qFormat/>
    <w:uiPriority w:val="0"/>
    <w:rPr>
      <w:rFonts w:eastAsia="宋体"/>
      <w:kern w:val="2"/>
      <w:sz w:val="18"/>
      <w:szCs w:val="18"/>
      <w:lang w:val="en-US" w:eastAsia="zh-CN" w:bidi="ar-SA"/>
    </w:rPr>
  </w:style>
  <w:style w:type="character" w:customStyle="1" w:styleId="161">
    <w:name w:val="标题 Char"/>
    <w:link w:val="38"/>
    <w:qFormat/>
    <w:uiPriority w:val="0"/>
    <w:rPr>
      <w:rFonts w:ascii="Cambria" w:hAnsi="Cambria" w:cs="Times New Roman"/>
      <w:b/>
      <w:bCs/>
      <w:sz w:val="32"/>
      <w:szCs w:val="32"/>
    </w:rPr>
  </w:style>
  <w:style w:type="character" w:customStyle="1" w:styleId="162">
    <w:name w:val="hei141"/>
    <w:qFormat/>
    <w:uiPriority w:val="0"/>
    <w:rPr>
      <w:rFonts w:hint="eastAsia" w:ascii="宋体" w:hAnsi="宋体" w:eastAsia="宋体"/>
      <w:color w:val="000000"/>
      <w:sz w:val="19"/>
      <w:szCs w:val="19"/>
      <w:u w:val="none"/>
    </w:rPr>
  </w:style>
  <w:style w:type="character" w:customStyle="1" w:styleId="163">
    <w:name w:val="批注文字 Char"/>
    <w:link w:val="13"/>
    <w:qFormat/>
    <w:uiPriority w:val="0"/>
  </w:style>
  <w:style w:type="character" w:customStyle="1" w:styleId="164">
    <w:name w:val="apple-style-span"/>
    <w:basedOn w:val="44"/>
    <w:qFormat/>
    <w:uiPriority w:val="0"/>
  </w:style>
  <w:style w:type="character" w:customStyle="1" w:styleId="165">
    <w:name w:val="param-value"/>
    <w:qFormat/>
    <w:uiPriority w:val="99"/>
    <w:rPr>
      <w:rFonts w:cs="Times New Roman"/>
    </w:rPr>
  </w:style>
  <w:style w:type="character" w:customStyle="1" w:styleId="166">
    <w:name w:val="font61"/>
    <w:qFormat/>
    <w:uiPriority w:val="0"/>
    <w:rPr>
      <w:rFonts w:hint="eastAsia" w:ascii="宋体" w:hAnsi="宋体" w:eastAsia="宋体" w:cs="宋体"/>
      <w:color w:val="000000"/>
      <w:sz w:val="22"/>
      <w:szCs w:val="22"/>
      <w:u w:val="none"/>
    </w:rPr>
  </w:style>
  <w:style w:type="character" w:customStyle="1" w:styleId="167">
    <w:name w:val="font11"/>
    <w:qFormat/>
    <w:uiPriority w:val="0"/>
    <w:rPr>
      <w:rFonts w:hint="eastAsia" w:ascii="宋体" w:hAnsi="宋体" w:eastAsia="宋体" w:cs="宋体"/>
      <w:color w:val="FF0000"/>
      <w:sz w:val="22"/>
      <w:szCs w:val="22"/>
      <w:u w:val="none"/>
    </w:rPr>
  </w:style>
  <w:style w:type="character" w:customStyle="1" w:styleId="168">
    <w:name w:val="批注主题 Char"/>
    <w:link w:val="39"/>
    <w:qFormat/>
    <w:uiPriority w:val="0"/>
    <w:rPr>
      <w:b/>
      <w:bCs/>
    </w:rPr>
  </w:style>
  <w:style w:type="character" w:customStyle="1" w:styleId="169">
    <w:name w:val="批注文字 Char1"/>
    <w:basedOn w:val="44"/>
    <w:semiHidden/>
    <w:qFormat/>
    <w:uiPriority w:val="99"/>
  </w:style>
  <w:style w:type="paragraph" w:customStyle="1" w:styleId="170">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71">
    <w:name w:val="批注主题 Char1"/>
    <w:basedOn w:val="169"/>
    <w:semiHidden/>
    <w:qFormat/>
    <w:uiPriority w:val="99"/>
    <w:rPr>
      <w:b/>
      <w:bCs/>
    </w:rPr>
  </w:style>
  <w:style w:type="paragraph" w:customStyle="1" w:styleId="172">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日期 Char1"/>
    <w:basedOn w:val="44"/>
    <w:semiHidden/>
    <w:qFormat/>
    <w:uiPriority w:val="99"/>
  </w:style>
  <w:style w:type="paragraph" w:customStyle="1" w:styleId="174">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5">
    <w:name w:val="脚注文本 Char"/>
    <w:basedOn w:val="44"/>
    <w:link w:val="29"/>
    <w:semiHidden/>
    <w:qFormat/>
    <w:uiPriority w:val="0"/>
    <w:rPr>
      <w:rFonts w:ascii="Times New Roman" w:hAnsi="Times New Roman" w:eastAsia="宋体" w:cs="Times New Roman"/>
      <w:sz w:val="18"/>
      <w:szCs w:val="18"/>
    </w:rPr>
  </w:style>
  <w:style w:type="paragraph" w:customStyle="1" w:styleId="176">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8">
    <w:name w:val="标题 Char1"/>
    <w:basedOn w:val="44"/>
    <w:qFormat/>
    <w:uiPriority w:val="10"/>
    <w:rPr>
      <w:rFonts w:eastAsia="宋体" w:asciiTheme="majorHAnsi" w:hAnsiTheme="majorHAnsi" w:cstheme="majorBidi"/>
      <w:b/>
      <w:bCs/>
      <w:sz w:val="32"/>
      <w:szCs w:val="32"/>
    </w:rPr>
  </w:style>
  <w:style w:type="paragraph" w:customStyle="1" w:styleId="179">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80">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8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3">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3"/>
    <w:basedOn w:val="1"/>
    <w:qFormat/>
    <w:uiPriority w:val="0"/>
    <w:pPr>
      <w:ind w:firstLine="420" w:firstLineChars="200"/>
    </w:pPr>
    <w:rPr>
      <w:rFonts w:ascii="Times New Roman" w:hAnsi="Times New Roman" w:eastAsia="宋体" w:cs="Times New Roman"/>
      <w:szCs w:val="24"/>
    </w:rPr>
  </w:style>
  <w:style w:type="character" w:customStyle="1" w:styleId="190">
    <w:name w:val="Char Char12"/>
    <w:qFormat/>
    <w:uiPriority w:val="0"/>
    <w:rPr>
      <w:rFonts w:eastAsia="宋体"/>
      <w:kern w:val="2"/>
      <w:sz w:val="18"/>
      <w:szCs w:val="18"/>
      <w:lang w:val="en-US" w:eastAsia="zh-CN" w:bidi="ar-SA"/>
    </w:rPr>
  </w:style>
  <w:style w:type="paragraph" w:customStyle="1" w:styleId="191">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列出段落4"/>
    <w:basedOn w:val="1"/>
    <w:qFormat/>
    <w:uiPriority w:val="0"/>
    <w:pPr>
      <w:ind w:firstLine="420" w:firstLineChars="200"/>
    </w:pPr>
    <w:rPr>
      <w:rFonts w:ascii="Times New Roman" w:hAnsi="Times New Roman" w:eastAsia="宋体" w:cs="Times New Roman"/>
      <w:szCs w:val="24"/>
    </w:rPr>
  </w:style>
  <w:style w:type="character" w:customStyle="1" w:styleId="194">
    <w:name w:val="Char Char11"/>
    <w:qFormat/>
    <w:uiPriority w:val="0"/>
    <w:rPr>
      <w:rFonts w:eastAsia="宋体"/>
      <w:kern w:val="2"/>
      <w:sz w:val="18"/>
      <w:szCs w:val="18"/>
      <w:lang w:val="en-US" w:eastAsia="zh-CN" w:bidi="ar-SA"/>
    </w:rPr>
  </w:style>
  <w:style w:type="paragraph" w:customStyle="1" w:styleId="195">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7">
    <w:name w:val="列出段落5"/>
    <w:basedOn w:val="1"/>
    <w:qFormat/>
    <w:uiPriority w:val="0"/>
    <w:pPr>
      <w:ind w:firstLine="420" w:firstLineChars="200"/>
    </w:pPr>
    <w:rPr>
      <w:rFonts w:ascii="Times New Roman" w:hAnsi="Times New Roman" w:eastAsia="宋体" w:cs="Times New Roman"/>
      <w:szCs w:val="24"/>
    </w:rPr>
  </w:style>
  <w:style w:type="character" w:customStyle="1" w:styleId="198">
    <w:name w:val="纯文本 Char"/>
    <w:link w:val="19"/>
    <w:qFormat/>
    <w:uiPriority w:val="99"/>
    <w:rPr>
      <w:rFonts w:ascii="宋体" w:hAnsi="Courier New" w:eastAsia="宋体"/>
      <w:szCs w:val="21"/>
    </w:rPr>
  </w:style>
  <w:style w:type="character" w:customStyle="1" w:styleId="199">
    <w:name w:val="纯文本 Char1"/>
    <w:basedOn w:val="44"/>
    <w:semiHidden/>
    <w:qFormat/>
    <w:uiPriority w:val="99"/>
    <w:rPr>
      <w:rFonts w:ascii="宋体" w:hAnsi="Courier New" w:eastAsia="宋体" w:cs="Courier New"/>
      <w:szCs w:val="21"/>
    </w:rPr>
  </w:style>
  <w:style w:type="paragraph" w:customStyle="1" w:styleId="20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2">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203">
    <w:name w:val="正文缩进2格"/>
    <w:basedOn w:val="1"/>
    <w:link w:val="204"/>
    <w:qFormat/>
    <w:uiPriority w:val="0"/>
    <w:pPr>
      <w:spacing w:line="600" w:lineRule="exact"/>
      <w:ind w:firstLine="639" w:firstLineChars="206"/>
    </w:pPr>
    <w:rPr>
      <w:rFonts w:ascii="仿宋_GB2312" w:hAnsi="宋体" w:eastAsia="仿宋_GB2312" w:cs="Times New Roman"/>
      <w:sz w:val="31"/>
      <w:szCs w:val="28"/>
    </w:rPr>
  </w:style>
  <w:style w:type="character" w:customStyle="1" w:styleId="204">
    <w:name w:val="正文缩进2格 Char"/>
    <w:link w:val="203"/>
    <w:qFormat/>
    <w:uiPriority w:val="0"/>
    <w:rPr>
      <w:rFonts w:ascii="仿宋_GB2312" w:hAnsi="宋体" w:eastAsia="仿宋_GB2312" w:cs="Times New Roman"/>
      <w:sz w:val="31"/>
      <w:szCs w:val="28"/>
    </w:rPr>
  </w:style>
  <w:style w:type="paragraph" w:customStyle="1" w:styleId="205">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6">
    <w:name w:val="List Paragraph"/>
    <w:basedOn w:val="1"/>
    <w:qFormat/>
    <w:uiPriority w:val="34"/>
    <w:pPr>
      <w:ind w:firstLine="420" w:firstLineChars="200"/>
    </w:pPr>
  </w:style>
  <w:style w:type="paragraph" w:customStyle="1" w:styleId="207">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8">
    <w:name w:val="正文首行缩进 Char"/>
    <w:basedOn w:val="138"/>
    <w:link w:val="40"/>
    <w:qFormat/>
    <w:uiPriority w:val="99"/>
    <w:rPr>
      <w:rFonts w:asciiTheme="minorHAnsi" w:hAnsiTheme="minorHAnsi" w:eastAsiaTheme="minorEastAsia" w:cstheme="minorBidi"/>
      <w:kern w:val="2"/>
      <w:sz w:val="21"/>
      <w:szCs w:val="22"/>
    </w:rPr>
  </w:style>
  <w:style w:type="paragraph" w:customStyle="1" w:styleId="209">
    <w:name w:val="Table Paragraph"/>
    <w:basedOn w:val="1"/>
    <w:qFormat/>
    <w:uiPriority w:val="1"/>
    <w:pPr>
      <w:autoSpaceDE w:val="0"/>
      <w:autoSpaceDN w:val="0"/>
      <w:jc w:val="left"/>
    </w:pPr>
    <w:rPr>
      <w:rFonts w:ascii="宋体" w:hAnsi="宋体" w:eastAsia="宋体" w:cs="宋体"/>
      <w:kern w:val="0"/>
      <w:sz w:val="22"/>
    </w:rPr>
  </w:style>
  <w:style w:type="paragraph" w:customStyle="1" w:styleId="210">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11">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12">
    <w:name w:val="正文首行缩进 2 Char"/>
    <w:basedOn w:val="69"/>
    <w:link w:val="41"/>
    <w:semiHidden/>
    <w:qFormat/>
    <w:uiPriority w:val="99"/>
    <w:rPr>
      <w:rFonts w:ascii="??" w:hAnsi="??" w:eastAsia="宋体" w:cs="Arial"/>
      <w:kern w:val="2"/>
      <w:sz w:val="21"/>
      <w:szCs w:val="22"/>
    </w:rPr>
  </w:style>
  <w:style w:type="paragraph" w:customStyle="1" w:styleId="213">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214">
    <w:name w:val="bookmark-item"/>
    <w:qFormat/>
    <w:uiPriority w:val="0"/>
  </w:style>
  <w:style w:type="paragraph" w:customStyle="1" w:styleId="215">
    <w:name w:val="报告正文"/>
    <w:basedOn w:val="1"/>
    <w:qFormat/>
    <w:uiPriority w:val="0"/>
    <w:pPr>
      <w:adjustRightInd w:val="0"/>
      <w:spacing w:line="360" w:lineRule="auto"/>
      <w:ind w:firstLine="200" w:firstLineChars="200"/>
    </w:pPr>
    <w:rPr>
      <w:rFonts w:ascii="宋体" w:hAnsi="宋体" w:eastAsia="宋体" w:cs="宋体"/>
      <w:kern w:val="0"/>
      <w:sz w:val="24"/>
      <w:szCs w:val="24"/>
    </w:rPr>
  </w:style>
  <w:style w:type="paragraph" w:customStyle="1" w:styleId="216">
    <w:name w:val="表格文字2"/>
    <w:basedOn w:val="1"/>
    <w:qFormat/>
    <w:uiPriority w:val="0"/>
    <w:pPr>
      <w:widowControl/>
      <w:spacing w:before="25" w:after="25"/>
      <w:jc w:val="left"/>
    </w:pPr>
    <w:rPr>
      <w:rFonts w:ascii="Times New Roman" w:hAnsi="Times New Roman" w:eastAsia="宋体" w:cs="Times New Roman"/>
      <w:bCs/>
      <w:spacing w:val="10"/>
      <w:kern w:val="0"/>
      <w:szCs w:val="21"/>
    </w:rPr>
  </w:style>
  <w:style w:type="paragraph" w:customStyle="1" w:styleId="217">
    <w:name w:val="BodyText1I"/>
    <w:basedOn w:val="218"/>
    <w:qFormat/>
    <w:uiPriority w:val="0"/>
    <w:pPr>
      <w:spacing w:line="360" w:lineRule="auto"/>
    </w:pPr>
    <w:rPr>
      <w:rFonts w:ascii="仿宋_GB2312" w:hAnsi="Times New Roman" w:eastAsia="仿宋_GB2312"/>
      <w:sz w:val="30"/>
      <w:szCs w:val="30"/>
    </w:rPr>
  </w:style>
  <w:style w:type="paragraph" w:customStyle="1" w:styleId="218">
    <w:name w:val="BodyText"/>
    <w:basedOn w:val="1"/>
    <w:next w:val="219"/>
    <w:qFormat/>
    <w:uiPriority w:val="0"/>
    <w:pPr>
      <w:widowControl/>
      <w:spacing w:before="156"/>
      <w:ind w:firstLine="200" w:firstLineChars="200"/>
      <w:textAlignment w:val="baseline"/>
    </w:pPr>
    <w:rPr>
      <w:rFonts w:ascii="楷体_GB2312" w:hAnsi="Arial" w:eastAsia="楷体_GB2312"/>
      <w:sz w:val="28"/>
      <w:szCs w:val="28"/>
    </w:rPr>
  </w:style>
  <w:style w:type="paragraph" w:customStyle="1" w:styleId="219">
    <w:name w:val="180"/>
    <w:basedOn w:val="1"/>
    <w:next w:val="1"/>
    <w:qFormat/>
    <w:uiPriority w:val="0"/>
    <w:pPr>
      <w:spacing w:after="160" w:line="259" w:lineRule="auto"/>
      <w:textAlignment w:val="baseline"/>
    </w:pPr>
    <w:rPr>
      <w:rFonts w:ascii="Calibri" w:hAnsi="Calibri" w:eastAsia="宋体"/>
      <w:i/>
      <w:iCs/>
      <w:color w:val="000000"/>
      <w:szCs w:val="24"/>
    </w:rPr>
  </w:style>
  <w:style w:type="character" w:customStyle="1" w:styleId="220">
    <w:name w:val="15"/>
    <w:qFormat/>
    <w:uiPriority w:val="0"/>
    <w:rPr>
      <w:rFonts w:hint="default" w:ascii="Times New Roman" w:hAnsi="Times New Roman" w:cs="Times New Roman"/>
      <w:kern w:val="2"/>
      <w:sz w:val="24"/>
      <w:szCs w:val="24"/>
    </w:rPr>
  </w:style>
  <w:style w:type="paragraph" w:customStyle="1" w:styleId="221">
    <w:name w:val="列表段落1"/>
    <w:basedOn w:val="1"/>
    <w:qFormat/>
    <w:uiPriority w:val="34"/>
    <w:pPr>
      <w:widowControl/>
      <w:ind w:firstLine="420"/>
    </w:pPr>
  </w:style>
  <w:style w:type="character" w:customStyle="1" w:styleId="222">
    <w:name w:val="font51"/>
    <w:basedOn w:val="44"/>
    <w:qFormat/>
    <w:uiPriority w:val="0"/>
    <w:rPr>
      <w:rFonts w:hint="default" w:ascii="Wingdings 2" w:hAnsi="Wingdings 2" w:eastAsia="Wingdings 2" w:cs="Wingdings 2"/>
      <w:color w:val="000000"/>
      <w:sz w:val="20"/>
      <w:szCs w:val="20"/>
      <w:u w:val="none"/>
    </w:rPr>
  </w:style>
  <w:style w:type="character" w:customStyle="1" w:styleId="223">
    <w:name w:val="font31"/>
    <w:basedOn w:val="44"/>
    <w:qFormat/>
    <w:uiPriority w:val="0"/>
    <w:rPr>
      <w:rFonts w:hint="default" w:ascii="Times New Roman" w:hAnsi="Times New Roman" w:cs="Times New Roman"/>
      <w:color w:val="000000"/>
      <w:sz w:val="20"/>
      <w:szCs w:val="20"/>
      <w:u w:val="none"/>
    </w:rPr>
  </w:style>
  <w:style w:type="paragraph" w:customStyle="1" w:styleId="224">
    <w:name w:val="正文缩进1"/>
    <w:basedOn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25">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26">
    <w:name w:val="纯文本1"/>
    <w:basedOn w:val="1"/>
    <w:qFormat/>
    <w:uiPriority w:val="0"/>
    <w:rPr>
      <w:rFonts w:ascii="宋体" w:hAnsi="Courier New" w:eastAsia="宋体" w:cs="Times New Roman"/>
      <w:kern w:val="0"/>
      <w:sz w:val="20"/>
      <w:szCs w:val="20"/>
    </w:rPr>
  </w:style>
  <w:style w:type="paragraph" w:customStyle="1" w:styleId="227">
    <w:name w:val="标题 5（有编号）（绿盟科技）"/>
    <w:basedOn w:val="1"/>
    <w:next w:val="228"/>
    <w:qFormat/>
    <w:uiPriority w:val="0"/>
    <w:pPr>
      <w:keepNext/>
      <w:keepLines/>
      <w:numPr>
        <w:ilvl w:val="4"/>
        <w:numId w:val="2"/>
      </w:numPr>
      <w:spacing w:before="280" w:after="156" w:line="377" w:lineRule="auto"/>
      <w:jc w:val="left"/>
      <w:outlineLvl w:val="4"/>
    </w:pPr>
    <w:rPr>
      <w:rFonts w:ascii="Arial" w:hAnsi="Arial" w:eastAsia="黑体"/>
      <w:b/>
      <w:szCs w:val="28"/>
    </w:rPr>
  </w:style>
  <w:style w:type="paragraph" w:customStyle="1" w:styleId="228">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A6118-2AA1-4E08-8DFC-4054DA4CCE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11426</Words>
  <Characters>12581</Characters>
  <Lines>493</Lines>
  <Paragraphs>139</Paragraphs>
  <TotalTime>33</TotalTime>
  <ScaleCrop>false</ScaleCrop>
  <LinksUpToDate>false</LinksUpToDate>
  <CharactersWithSpaces>12721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2024-04-29T13:58:00Z</dcterms:created>
  <dc:creator>Administrator</dc:creator>
  <cp:lastModifiedBy>Administrator</cp:lastModifiedBy>
  <cp:lastPrinted>2022-04-09T04:00:00Z</cp:lastPrinted>
  <dcterms:modified xsi:type="dcterms:W3CDTF">2025-07-16T08:10:21Z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708F885737BD49A295F98365542CF127_13</vt:lpwstr>
  </property>
  <property fmtid="{D5CDD505-2E9C-101B-9397-08002B2CF9AE}" pid="4" name="KSOTemplateDocerSaveRecord">
    <vt:lpwstr>eyJoZGlkIjoiZDM4MDBkMjE1ZmU1YzVjODI4OGVlMjZiNjA0YzViN2EiLCJ1c2VySWQiOiI1MzUyMjcwODIifQ==</vt:lpwstr>
  </property>
</Properties>
</file>