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rPr>
      </w:pPr>
    </w:p>
    <w:p>
      <w:pPr>
        <w:pStyle w:val="26"/>
        <w:jc w:val="center"/>
        <w:rPr>
          <w:rFonts w:hint="eastAsia"/>
          <w:sz w:val="20"/>
          <w:szCs w:val="22"/>
          <w:lang w:val="en-US" w:eastAsia="zh-CN"/>
        </w:rPr>
      </w:pPr>
      <w:r>
        <w:rPr>
          <w:rFonts w:hint="eastAsia" w:ascii="宋体" w:hAnsi="宋体" w:cs="宋体"/>
          <w:b/>
          <w:bCs/>
          <w:sz w:val="44"/>
          <w:szCs w:val="44"/>
          <w:lang w:val="en-US" w:eastAsia="zh-CN"/>
        </w:rPr>
        <w:t>2023年教育脱贫攻坚同乡村振兴有效衔接义务教育学校建设项目（设备采购）一包</w:t>
      </w:r>
    </w:p>
    <w:p>
      <w:pPr>
        <w:pStyle w:val="49"/>
        <w:rPr>
          <w:rFonts w:hint="default"/>
          <w:lang w:val="en-US" w:eastAsia="zh-CN"/>
        </w:rPr>
      </w:pPr>
    </w:p>
    <w:p>
      <w:pPr>
        <w:pStyle w:val="49"/>
        <w:rPr>
          <w:rFonts w:hint="default"/>
          <w:lang w:val="en-US" w:eastAsia="zh-CN"/>
        </w:rPr>
      </w:pPr>
    </w:p>
    <w:p>
      <w:pPr>
        <w:tabs>
          <w:tab w:val="center" w:pos="4215"/>
          <w:tab w:val="left" w:pos="6948"/>
        </w:tabs>
        <w:autoSpaceDE w:val="0"/>
        <w:autoSpaceDN w:val="0"/>
        <w:jc w:val="left"/>
        <w:rPr>
          <w:rFonts w:hint="eastAsia" w:ascii="宋体" w:hAnsi="宋体" w:eastAsia="宋体" w:cs="楷体"/>
          <w:b/>
          <w:bCs/>
          <w:sz w:val="72"/>
          <w:szCs w:val="72"/>
          <w:lang w:val="en-US" w:eastAsia="zh-CN"/>
        </w:rPr>
      </w:pPr>
      <w:r>
        <w:rPr>
          <w:rFonts w:hint="eastAsia" w:ascii="宋体" w:hAnsi="宋体" w:cs="楷体"/>
          <w:b/>
          <w:bCs/>
          <w:sz w:val="72"/>
          <w:szCs w:val="72"/>
          <w:lang w:val="en-US" w:eastAsia="zh-CN"/>
        </w:rPr>
        <w:tab/>
      </w:r>
      <w:r>
        <w:rPr>
          <w:rFonts w:hint="eastAsia" w:ascii="宋体" w:hAnsi="宋体" w:eastAsia="宋体" w:cs="楷体"/>
          <w:b/>
          <w:bCs/>
          <w:sz w:val="72"/>
          <w:szCs w:val="72"/>
          <w:lang w:val="en-US" w:eastAsia="zh-CN"/>
        </w:rPr>
        <w:t>招</w:t>
      </w:r>
      <w:r>
        <w:rPr>
          <w:rFonts w:hint="eastAsia" w:ascii="宋体" w:hAnsi="宋体" w:cs="楷体"/>
          <w:b/>
          <w:bCs/>
          <w:sz w:val="72"/>
          <w:szCs w:val="72"/>
          <w:lang w:val="en-US" w:eastAsia="zh-CN"/>
        </w:rPr>
        <w:tab/>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文</w:t>
      </w:r>
    </w:p>
    <w:p>
      <w:pPr>
        <w:autoSpaceDE w:val="0"/>
        <w:autoSpaceDN w:val="0"/>
        <w:jc w:val="center"/>
        <w:rPr>
          <w:rFonts w:hint="eastAsia" w:ascii="宋体" w:hAnsi="宋体" w:eastAsia="宋体" w:cs="楷体"/>
          <w:b/>
          <w:bCs/>
          <w:sz w:val="72"/>
          <w:szCs w:val="72"/>
          <w:lang w:val="en-US" w:eastAsia="zh-CN"/>
        </w:rPr>
      </w:pPr>
      <w:r>
        <w:rPr>
          <w:rFonts w:hint="eastAsia" w:ascii="宋体" w:hAnsi="宋体" w:eastAsia="宋体" w:cs="楷体"/>
          <w:b/>
          <w:bCs/>
          <w:sz w:val="72"/>
          <w:szCs w:val="72"/>
          <w:lang w:val="en-US" w:eastAsia="zh-CN"/>
        </w:rPr>
        <w:t>件</w:t>
      </w:r>
    </w:p>
    <w:p>
      <w:pPr>
        <w:pStyle w:val="49"/>
        <w:ind w:left="0" w:leftChars="0" w:firstLine="0" w:firstLineChars="0"/>
        <w:rPr>
          <w:rFonts w:hint="eastAsia"/>
          <w:lang w:val="zh-CN"/>
        </w:rPr>
      </w:pPr>
    </w:p>
    <w:p>
      <w:pPr>
        <w:pStyle w:val="49"/>
        <w:ind w:left="0" w:leftChars="0" w:firstLine="0" w:firstLineChars="0"/>
        <w:rPr>
          <w:rFonts w:hint="eastAsia"/>
          <w:lang w:val="zh-CN"/>
        </w:rPr>
      </w:pPr>
    </w:p>
    <w:p>
      <w:pPr>
        <w:widowControl/>
        <w:autoSpaceDE w:val="0"/>
        <w:autoSpaceDN w:val="0"/>
        <w:spacing w:line="600" w:lineRule="auto"/>
        <w:ind w:right="-28" w:firstLine="849" w:firstLineChars="300"/>
        <w:textAlignment w:val="bottom"/>
        <w:rPr>
          <w:rFonts w:hint="eastAsia" w:ascii="宋体" w:hAnsi="宋体" w:cs="宋体"/>
          <w:b/>
          <w:kern w:val="2"/>
          <w:sz w:val="28"/>
          <w:szCs w:val="22"/>
          <w:lang w:val="en-US" w:eastAsia="zh-CN" w:bidi="ar-SA"/>
        </w:rPr>
      </w:pPr>
      <w:r>
        <w:rPr>
          <w:rFonts w:hint="eastAsia" w:ascii="宋体" w:hAnsi="宋体"/>
          <w:b/>
          <w:sz w:val="28"/>
          <w:szCs w:val="22"/>
        </w:rPr>
        <w:t>采 购 人：</w:t>
      </w:r>
      <w:r>
        <w:rPr>
          <w:rFonts w:hint="eastAsia" w:ascii="宋体" w:hAnsi="宋体" w:cs="宋体"/>
          <w:b/>
          <w:kern w:val="2"/>
          <w:sz w:val="28"/>
          <w:szCs w:val="22"/>
          <w:lang w:val="en-US" w:eastAsia="zh-CN" w:bidi="ar-SA"/>
        </w:rPr>
        <w:t>阿图什市教育局（盖章）</w:t>
      </w:r>
    </w:p>
    <w:p>
      <w:pPr>
        <w:pStyle w:val="2"/>
        <w:spacing w:line="600" w:lineRule="auto"/>
        <w:ind w:firstLine="849" w:firstLineChars="300"/>
        <w:rPr>
          <w:rFonts w:hint="default"/>
          <w:lang w:val="en-US" w:eastAsia="zh-CN"/>
        </w:rPr>
      </w:pPr>
      <w:r>
        <w:rPr>
          <w:rFonts w:hint="eastAsia" w:ascii="宋体" w:hAnsi="宋体" w:cs="宋体"/>
          <w:b/>
          <w:kern w:val="2"/>
          <w:sz w:val="28"/>
          <w:szCs w:val="22"/>
          <w:lang w:val="en-US" w:eastAsia="zh-CN" w:bidi="ar-SA"/>
        </w:rPr>
        <w:t xml:space="preserve">法定代表人或授权人： </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sz w:val="28"/>
          <w:szCs w:val="22"/>
          <w:lang w:val="en-US" w:eastAsia="zh-CN"/>
        </w:rPr>
      </w:pPr>
      <w:r>
        <w:rPr>
          <w:rFonts w:hint="eastAsia" w:ascii="宋体" w:hAnsi="宋体"/>
          <w:b/>
          <w:sz w:val="28"/>
          <w:szCs w:val="22"/>
        </w:rPr>
        <w:t>联系人</w:t>
      </w:r>
      <w:r>
        <w:rPr>
          <w:rFonts w:hint="eastAsia" w:ascii="宋体" w:hAnsi="宋体"/>
          <w:b/>
          <w:sz w:val="28"/>
          <w:szCs w:val="22"/>
          <w:lang w:eastAsia="zh-CN"/>
        </w:rPr>
        <w:t>：</w:t>
      </w:r>
      <w:r>
        <w:rPr>
          <w:rFonts w:hint="eastAsia" w:ascii="宋体" w:hAnsi="宋体"/>
          <w:b/>
          <w:sz w:val="28"/>
          <w:szCs w:val="22"/>
          <w:lang w:val="en-US" w:eastAsia="zh-CN"/>
        </w:rPr>
        <w:t xml:space="preserve">沙先生            </w:t>
      </w:r>
      <w:r>
        <w:rPr>
          <w:rFonts w:hint="eastAsia" w:ascii="宋体" w:hAnsi="宋体"/>
          <w:b/>
          <w:sz w:val="28"/>
          <w:szCs w:val="22"/>
          <w:lang w:eastAsia="zh-CN"/>
        </w:rPr>
        <w:t>联系电话</w:t>
      </w:r>
      <w:r>
        <w:rPr>
          <w:rFonts w:hint="eastAsia" w:ascii="宋体" w:hAnsi="宋体"/>
          <w:b/>
          <w:sz w:val="28"/>
          <w:szCs w:val="22"/>
        </w:rPr>
        <w:t xml:space="preserve">   </w:t>
      </w:r>
      <w:r>
        <w:rPr>
          <w:rFonts w:hint="eastAsia" w:ascii="宋体" w:hAnsi="宋体"/>
          <w:b/>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sz w:val="28"/>
          <w:szCs w:val="22"/>
          <w:lang w:val="en-US" w:eastAsia="zh-CN"/>
        </w:rPr>
      </w:pPr>
      <w:r>
        <w:rPr>
          <w:rFonts w:hint="eastAsia" w:ascii="宋体" w:hAnsi="宋体"/>
          <w:b/>
          <w:sz w:val="28"/>
          <w:szCs w:val="22"/>
        </w:rPr>
        <w:t>代理机构：</w:t>
      </w:r>
      <w:r>
        <w:rPr>
          <w:rFonts w:hint="eastAsia" w:ascii="宋体" w:hAnsi="宋体"/>
          <w:b/>
          <w:sz w:val="28"/>
          <w:szCs w:val="22"/>
          <w:lang w:val="en-US" w:eastAsia="zh-CN"/>
        </w:rPr>
        <w:t>中轩项目管理有限公司（盖章）</w:t>
      </w:r>
    </w:p>
    <w:p>
      <w:pPr>
        <w:pStyle w:val="2"/>
        <w:spacing w:line="600" w:lineRule="auto"/>
        <w:ind w:firstLine="849" w:firstLineChars="300"/>
        <w:rPr>
          <w:rFonts w:hint="eastAsia"/>
          <w:lang w:eastAsia="zh-CN"/>
        </w:rPr>
      </w:pPr>
      <w:r>
        <w:rPr>
          <w:rFonts w:hint="eastAsia" w:ascii="宋体" w:hAnsi="宋体" w:cs="宋体"/>
          <w:b/>
          <w:kern w:val="2"/>
          <w:sz w:val="28"/>
          <w:szCs w:val="22"/>
          <w:lang w:val="en-US" w:eastAsia="zh-CN" w:bidi="ar-SA"/>
        </w:rPr>
        <w:t>法定代表人或授权人：</w:t>
      </w:r>
      <w:r>
        <w:rPr>
          <w:rFonts w:hint="eastAsia" w:ascii="宋体" w:hAnsi="宋体" w:cs="宋体"/>
          <w:b/>
          <w:kern w:val="2"/>
          <w:sz w:val="28"/>
          <w:szCs w:val="22"/>
          <w:u w:val="single"/>
          <w:lang w:val="en-US" w:eastAsia="zh-CN" w:bidi="ar-SA"/>
        </w:rPr>
        <w:t xml:space="preserve">                     </w:t>
      </w:r>
      <w:r>
        <w:rPr>
          <w:rFonts w:hint="eastAsia" w:ascii="宋体" w:hAnsi="宋体" w:cs="宋体"/>
          <w:b/>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lang w:val="en-US" w:eastAsia="zh-CN"/>
        </w:rPr>
      </w:pPr>
    </w:p>
    <w:p>
      <w:pPr>
        <w:pStyle w:val="5"/>
        <w:numPr>
          <w:ilvl w:val="1"/>
          <w:numId w:val="0"/>
        </w:numPr>
        <w:rPr>
          <w:rFonts w:hint="default"/>
          <w:lang w:val="en-US" w:eastAsia="zh-CN"/>
        </w:rPr>
      </w:pPr>
    </w:p>
    <w:p>
      <w:pPr>
        <w:rPr>
          <w:rFonts w:hint="default"/>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sz w:val="32"/>
          <w:szCs w:val="32"/>
        </w:rPr>
      </w:pPr>
      <w:r>
        <w:rPr>
          <w:rFonts w:hint="eastAsia" w:ascii="宋体" w:hAnsi="宋体" w:cs="宋体"/>
          <w:b/>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rPr>
            </w:pPr>
            <w:bookmarkStart w:id="0" w:name="_Hlt42956360"/>
            <w:bookmarkEnd w:id="0"/>
            <w:bookmarkStart w:id="1" w:name="_Hlt10524029"/>
            <w:bookmarkEnd w:id="1"/>
            <w:bookmarkStart w:id="2" w:name="_Hlt10529670"/>
            <w:bookmarkEnd w:id="2"/>
            <w:bookmarkStart w:id="3" w:name="_Hlt10519329"/>
            <w:bookmarkEnd w:id="3"/>
            <w:bookmarkStart w:id="4" w:name="_Hlt42956379"/>
            <w:bookmarkEnd w:id="4"/>
            <w:bookmarkStart w:id="5" w:name="_Hlt10462525"/>
            <w:bookmarkEnd w:id="5"/>
            <w:bookmarkStart w:id="6" w:name="_Hlt10524010"/>
            <w:bookmarkEnd w:id="6"/>
            <w:bookmarkStart w:id="7" w:name="_Hlt10523642"/>
            <w:bookmarkEnd w:id="7"/>
            <w:bookmarkStart w:id="8" w:name="_Hlt10524018"/>
            <w:bookmarkEnd w:id="8"/>
            <w:bookmarkStart w:id="9" w:name="_Hlt10567911"/>
            <w:bookmarkEnd w:id="9"/>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sz w:val="30"/>
                <w:szCs w:val="30"/>
                <w:lang w:val="zh-CN"/>
              </w:rPr>
            </w:pPr>
            <w:r>
              <w:rPr>
                <w:rFonts w:hint="eastAsia" w:ascii="宋体" w:hAnsi="宋体" w:cs="宋体"/>
                <w:sz w:val="30"/>
                <w:szCs w:val="30"/>
              </w:rPr>
              <w:t>招 标 人:</w:t>
            </w:r>
            <w:r>
              <w:rPr>
                <w:rFonts w:hint="eastAsia" w:ascii="宋体" w:hAnsi="宋体" w:cs="宋体"/>
                <w:sz w:val="30"/>
                <w:szCs w:val="30"/>
                <w:lang w:eastAsia="zh-CN"/>
              </w:rPr>
              <w:t>阿图什市教育局</w:t>
            </w:r>
          </w:p>
          <w:p>
            <w:pPr>
              <w:pStyle w:val="5"/>
              <w:numPr>
                <w:ilvl w:val="0"/>
                <w:numId w:val="0"/>
              </w:numPr>
              <w:rPr>
                <w:rFonts w:hint="eastAsia" w:ascii="宋体" w:hAnsi="宋体" w:cs="宋体"/>
              </w:rPr>
            </w:pPr>
          </w:p>
          <w:p>
            <w:pPr>
              <w:rPr>
                <w:rFonts w:hint="eastAsia" w:ascii="宋体" w:hAnsi="宋体" w:cs="宋体"/>
              </w:rPr>
            </w:pPr>
          </w:p>
          <w:p>
            <w:pPr>
              <w:pStyle w:val="49"/>
              <w:rPr>
                <w:rFonts w:hint="eastAsia"/>
              </w:rPr>
            </w:pPr>
          </w:p>
          <w:p>
            <w:pPr>
              <w:widowControl/>
              <w:adjustRightInd w:val="0"/>
              <w:spacing w:before="100" w:after="100" w:line="360" w:lineRule="auto"/>
              <w:jc w:val="left"/>
              <w:rPr>
                <w:rFonts w:hint="eastAsia" w:ascii="宋体" w:hAnsi="宋体" w:cs="宋体"/>
                <w:b/>
                <w:sz w:val="32"/>
              </w:rPr>
            </w:pPr>
          </w:p>
          <w:p>
            <w:pPr>
              <w:pStyle w:val="26"/>
              <w:ind w:left="0" w:leftChars="0" w:firstLine="0" w:firstLineChars="0"/>
              <w:jc w:val="both"/>
              <w:rPr>
                <w:rFonts w:hint="eastAsia" w:ascii="宋体" w:hAnsi="宋体" w:eastAsia="宋体" w:cs="宋体"/>
                <w:sz w:val="30"/>
                <w:szCs w:val="30"/>
                <w:lang w:val="en-US" w:eastAsia="zh-CN"/>
              </w:rPr>
            </w:pPr>
            <w:r>
              <w:rPr>
                <w:rFonts w:hint="eastAsia" w:ascii="宋体" w:hAnsi="宋体" w:eastAsia="宋体" w:cs="宋体"/>
                <w:sz w:val="30"/>
                <w:szCs w:val="30"/>
                <w:lang w:eastAsia="zh-CN"/>
              </w:rPr>
              <w:t>项目名称：</w:t>
            </w:r>
            <w:r>
              <w:rPr>
                <w:rFonts w:hint="eastAsia" w:ascii="宋体" w:hAnsi="宋体" w:eastAsia="宋体" w:cs="宋体"/>
                <w:sz w:val="30"/>
                <w:szCs w:val="30"/>
                <w:lang w:val="en-US" w:eastAsia="zh-CN"/>
              </w:rPr>
              <w:t>2023年教育脱贫攻坚同乡村振兴</w:t>
            </w:r>
            <w:r>
              <w:rPr>
                <w:rFonts w:hint="eastAsia" w:ascii="宋体" w:hAnsi="宋体" w:cs="宋体"/>
                <w:sz w:val="30"/>
                <w:szCs w:val="30"/>
                <w:lang w:val="en-US" w:eastAsia="zh-CN"/>
              </w:rPr>
              <w:t>有效</w:t>
            </w:r>
            <w:r>
              <w:rPr>
                <w:rFonts w:hint="eastAsia" w:ascii="宋体" w:hAnsi="宋体" w:eastAsia="宋体" w:cs="宋体"/>
                <w:sz w:val="30"/>
                <w:szCs w:val="30"/>
                <w:lang w:val="en-US" w:eastAsia="zh-CN"/>
              </w:rPr>
              <w:t>衔接义务教育学校建设项目（设备采购）一包</w:t>
            </w:r>
          </w:p>
          <w:p>
            <w:pPr>
              <w:widowControl/>
              <w:adjustRightInd w:val="0"/>
              <w:spacing w:before="100" w:after="100" w:line="360" w:lineRule="auto"/>
              <w:jc w:val="left"/>
              <w:rPr>
                <w:rFonts w:hint="eastAsia" w:ascii="宋体" w:hAnsi="宋体" w:eastAsia="宋体" w:cs="宋体"/>
                <w:sz w:val="30"/>
                <w:szCs w:val="30"/>
                <w:lang w:eastAsia="zh-CN"/>
              </w:rPr>
            </w:pPr>
          </w:p>
          <w:p>
            <w:pPr>
              <w:pStyle w:val="26"/>
              <w:rPr>
                <w:rFonts w:hint="eastAsia" w:ascii="宋体" w:hAnsi="宋体" w:eastAsia="宋体" w:cs="宋体"/>
                <w:sz w:val="30"/>
                <w:szCs w:val="30"/>
                <w:lang w:eastAsia="zh-CN"/>
              </w:rPr>
            </w:pPr>
          </w:p>
          <w:p>
            <w:pPr>
              <w:rPr>
                <w:rFonts w:hint="eastAsia" w:ascii="宋体" w:hAnsi="宋体" w:eastAsia="宋体" w:cs="宋体"/>
                <w:sz w:val="30"/>
                <w:szCs w:val="30"/>
                <w:lang w:eastAsia="zh-CN"/>
              </w:rPr>
            </w:pPr>
          </w:p>
          <w:p>
            <w:pPr>
              <w:pStyle w:val="26"/>
              <w:rPr>
                <w:rFonts w:hint="eastAsia"/>
                <w:lang w:eastAsia="zh-CN"/>
              </w:rPr>
            </w:pPr>
          </w:p>
          <w:p>
            <w:pPr>
              <w:widowControl/>
              <w:adjustRightInd w:val="0"/>
              <w:spacing w:before="100" w:after="100" w:line="360" w:lineRule="auto"/>
              <w:jc w:val="left"/>
              <w:rPr>
                <w:rFonts w:hint="eastAsia" w:ascii="宋体" w:hAnsi="宋体" w:eastAsia="宋体" w:cs="宋体"/>
                <w:sz w:val="30"/>
                <w:szCs w:val="30"/>
                <w:lang w:eastAsia="zh-CN"/>
              </w:rPr>
            </w:pPr>
          </w:p>
          <w:p>
            <w:pPr>
              <w:widowControl/>
              <w:adjustRightInd w:val="0"/>
              <w:spacing w:before="100" w:after="100" w:line="360" w:lineRule="auto"/>
              <w:jc w:val="left"/>
              <w:rPr>
                <w:rFonts w:hint="eastAsia" w:ascii="宋体" w:hAnsi="宋体" w:eastAsia="宋体" w:cs="宋体"/>
                <w:sz w:val="30"/>
                <w:szCs w:val="30"/>
                <w:lang w:eastAsia="zh-CN"/>
              </w:rPr>
            </w:pPr>
            <w:r>
              <w:rPr>
                <w:rFonts w:hint="eastAsia" w:ascii="宋体" w:hAnsi="宋体" w:eastAsia="宋体" w:cs="宋体"/>
                <w:sz w:val="30"/>
                <w:szCs w:val="30"/>
                <w:lang w:val="en-US" w:eastAsia="zh-CN"/>
              </w:rPr>
              <w:t>招标代理机构：</w:t>
            </w:r>
            <w:r>
              <w:rPr>
                <w:rFonts w:hint="eastAsia" w:ascii="宋体" w:hAnsi="宋体" w:cs="宋体"/>
                <w:sz w:val="30"/>
                <w:szCs w:val="30"/>
                <w:lang w:val="zh-CN" w:eastAsia="zh-CN"/>
              </w:rPr>
              <w:t>中轩项目管理有限公司</w:t>
            </w:r>
          </w:p>
          <w:p>
            <w:pPr>
              <w:pStyle w:val="26"/>
              <w:ind w:left="0" w:leftChars="0" w:firstLine="0" w:firstLineChars="0"/>
              <w:rPr>
                <w:rFonts w:hint="eastAsia" w:ascii="宋体" w:hAnsi="宋体" w:eastAsia="宋体" w:cs="宋体"/>
                <w:sz w:val="30"/>
                <w:szCs w:val="30"/>
                <w:lang w:eastAsia="zh-CN"/>
              </w:rPr>
            </w:pPr>
          </w:p>
          <w:p>
            <w:pPr>
              <w:rPr>
                <w:rFonts w:hint="eastAsia"/>
                <w:lang w:eastAsia="zh-CN"/>
              </w:rPr>
            </w:pPr>
          </w:p>
          <w:p>
            <w:pPr>
              <w:pStyle w:val="26"/>
              <w:rPr>
                <w:rFonts w:hint="eastAsia"/>
                <w:lang w:eastAsia="zh-CN"/>
              </w:rPr>
            </w:pPr>
          </w:p>
          <w:p>
            <w:pPr>
              <w:widowControl/>
              <w:adjustRightInd w:val="0"/>
              <w:spacing w:before="100" w:after="100" w:line="360" w:lineRule="auto"/>
              <w:ind w:firstLine="2121" w:firstLineChars="700"/>
              <w:jc w:val="left"/>
              <w:rPr>
                <w:rFonts w:hint="eastAsia" w:ascii="宋体" w:hAnsi="宋体" w:cs="宋体"/>
                <w:sz w:val="32"/>
                <w:szCs w:val="32"/>
              </w:rPr>
            </w:pPr>
            <w:r>
              <w:rPr>
                <w:rFonts w:hint="eastAsia" w:ascii="宋体" w:hAnsi="宋体" w:eastAsia="宋体" w:cs="宋体"/>
                <w:sz w:val="30"/>
                <w:szCs w:val="30"/>
                <w:lang w:eastAsia="zh-CN"/>
              </w:rPr>
              <w:t>本采购项目招标文件已报备</w:t>
            </w:r>
          </w:p>
        </w:tc>
      </w:tr>
    </w:tbl>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pStyle w:val="49"/>
        <w:spacing w:line="240" w:lineRule="auto"/>
        <w:ind w:left="0" w:leftChars="0" w:firstLine="0" w:firstLineChars="0"/>
        <w:rPr>
          <w:rFonts w:hint="eastAsia"/>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kern w:val="36"/>
          <w:sz w:val="36"/>
          <w:szCs w:val="36"/>
        </w:rPr>
      </w:pPr>
      <w:r>
        <w:rPr>
          <w:rFonts w:hint="eastAsia" w:ascii="宋体" w:hAnsi="宋体" w:cs="宋体"/>
          <w:color w:val="FF0000"/>
          <w:sz w:val="24"/>
          <w:highlight w:val="none"/>
        </w:rPr>
        <w:br w:type="page"/>
      </w:r>
      <w:r>
        <w:rPr>
          <w:rFonts w:ascii="宋体" w:hAnsi="宋体" w:cs="宋体"/>
          <w:b/>
          <w:bCs/>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kern w:val="2"/>
          <w:sz w:val="28"/>
          <w:szCs w:val="28"/>
          <w:lang w:val="en-US" w:eastAsia="zh-CN" w:bidi="ar-SA"/>
        </w:rPr>
      </w:pPr>
      <w:bookmarkStart w:id="10" w:name="_Toc469495721"/>
      <w:bookmarkStart w:id="11" w:name="_Toc469495723"/>
      <w:r>
        <w:rPr>
          <w:rFonts w:hint="eastAsia" w:ascii="宋体" w:hAnsi="宋体" w:eastAsia="宋体" w:cs="宋体"/>
          <w:b/>
          <w:bCs/>
          <w:kern w:val="2"/>
          <w:sz w:val="28"/>
          <w:szCs w:val="28"/>
          <w:lang w:val="en-US" w:eastAsia="zh-CN" w:bidi="ar-SA"/>
        </w:rPr>
        <w:t>2023年教育脱贫攻坚同乡村振兴</w:t>
      </w:r>
      <w:r>
        <w:rPr>
          <w:rFonts w:hint="eastAsia" w:ascii="宋体" w:hAnsi="宋体" w:cs="宋体"/>
          <w:b/>
          <w:bCs/>
          <w:kern w:val="2"/>
          <w:sz w:val="28"/>
          <w:szCs w:val="28"/>
          <w:lang w:val="en-US" w:eastAsia="zh-CN" w:bidi="ar-SA"/>
        </w:rPr>
        <w:t>有效</w:t>
      </w:r>
      <w:r>
        <w:rPr>
          <w:rFonts w:hint="eastAsia" w:ascii="宋体" w:hAnsi="宋体" w:eastAsia="宋体" w:cs="宋体"/>
          <w:b/>
          <w:bCs/>
          <w:kern w:val="2"/>
          <w:sz w:val="28"/>
          <w:szCs w:val="28"/>
          <w:lang w:val="en-US" w:eastAsia="zh-CN" w:bidi="ar-SA"/>
        </w:rPr>
        <w:t>衔接义务教育学校建设项目（设备采购）一包公开招标公告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kern w:val="2"/>
          <w:sz w:val="21"/>
          <w:szCs w:val="21"/>
          <w:lang w:val="en-US" w:eastAsia="zh-CN" w:bidi="ar-SA"/>
        </w:rPr>
        <w:t>06</w:t>
      </w:r>
      <w:r>
        <w:rPr>
          <w:rFonts w:hint="eastAsia" w:ascii="宋体" w:hAnsi="宋体" w:eastAsia="宋体" w:cs="宋体"/>
          <w:kern w:val="2"/>
          <w:sz w:val="21"/>
          <w:szCs w:val="21"/>
          <w:lang w:val="en-US" w:eastAsia="zh-CN" w:bidi="ar-SA"/>
        </w:rPr>
        <w:t>月</w:t>
      </w:r>
      <w:r>
        <w:rPr>
          <w:rFonts w:hint="eastAsia" w:cs="宋体"/>
          <w:kern w:val="2"/>
          <w:sz w:val="21"/>
          <w:szCs w:val="21"/>
          <w:lang w:val="en-US" w:eastAsia="zh-CN" w:bidi="ar-SA"/>
        </w:rPr>
        <w:t xml:space="preserve">19 </w:t>
      </w:r>
      <w:r>
        <w:rPr>
          <w:rFonts w:hint="eastAsia" w:ascii="宋体" w:hAnsi="宋体" w:eastAsia="宋体" w:cs="宋体"/>
          <w:kern w:val="2"/>
          <w:sz w:val="21"/>
          <w:szCs w:val="21"/>
          <w:lang w:val="en-US" w:eastAsia="zh-CN" w:bidi="ar-SA"/>
        </w:rPr>
        <w:t>日1</w:t>
      </w:r>
      <w:r>
        <w:rPr>
          <w:rFonts w:hint="eastAsia" w:cs="宋体"/>
          <w:kern w:val="2"/>
          <w:sz w:val="21"/>
          <w:szCs w:val="21"/>
          <w:lang w:val="en-US" w:eastAsia="zh-CN" w:bidi="ar-SA"/>
        </w:rPr>
        <w:t>0</w:t>
      </w: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最高限价（元）：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采购需求：信息技术及体育器材一批（数量及参数详见招标文件）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kern w:val="2"/>
          <w:sz w:val="21"/>
          <w:szCs w:val="21"/>
          <w:lang w:val="en-US" w:eastAsia="zh-CN" w:bidi="ar-SA"/>
        </w:rPr>
      </w:pPr>
      <w:r>
        <w:rPr>
          <w:rFonts w:hint="eastAsia" w:ascii="宋体" w:hAnsi="宋体" w:eastAsia="宋体" w:cs="宋体"/>
          <w:kern w:val="2"/>
          <w:sz w:val="21"/>
          <w:szCs w:val="21"/>
          <w:lang w:val="en-US" w:eastAsia="zh-CN" w:bidi="ar-SA"/>
        </w:rPr>
        <w:t>标项名称:2023年教育脱贫攻坚同乡村振兴</w:t>
      </w:r>
      <w:r>
        <w:rPr>
          <w:rFonts w:hint="eastAsia" w:cs="宋体"/>
          <w:kern w:val="2"/>
          <w:sz w:val="21"/>
          <w:szCs w:val="21"/>
          <w:lang w:val="en-US" w:eastAsia="zh-CN" w:bidi="ar-SA"/>
        </w:rPr>
        <w:t>有效</w:t>
      </w:r>
      <w:r>
        <w:rPr>
          <w:rFonts w:hint="eastAsia" w:ascii="宋体" w:hAnsi="宋体" w:eastAsia="宋体" w:cs="宋体"/>
          <w:kern w:val="2"/>
          <w:sz w:val="21"/>
          <w:szCs w:val="21"/>
          <w:lang w:val="en-US" w:eastAsia="zh-CN" w:bidi="ar-SA"/>
        </w:rPr>
        <w:t>衔接义务教育学校建设项目（设备采购）一包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数量:1</w:t>
      </w:r>
      <w:r>
        <w:rPr>
          <w:rFonts w:hint="eastAsia" w:cs="宋体"/>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预算金额（元）:</w:t>
      </w:r>
      <w:r>
        <w:rPr>
          <w:rFonts w:hint="eastAsia" w:cs="宋体"/>
          <w:kern w:val="2"/>
          <w:sz w:val="21"/>
          <w:szCs w:val="21"/>
          <w:lang w:val="en-US" w:eastAsia="zh-CN" w:bidi="ar-SA"/>
        </w:rPr>
        <w:t>2330000.00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简要规格描述或项目基本概况介绍、用途：信息技术及体育器材一批（数量及参数详见招标文件）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合同履约期限：标项 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2.落实政府采购政策需满足的资格要求：标项1：供应商为中小企业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本项目的特定资格要求：标项1：</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cs="宋体"/>
          <w:kern w:val="2"/>
          <w:sz w:val="21"/>
          <w:szCs w:val="21"/>
          <w:lang w:val="en-US" w:eastAsia="zh-CN" w:bidi="ar-SA"/>
        </w:rPr>
        <w:t>5</w:t>
      </w:r>
      <w:r>
        <w:rPr>
          <w:rFonts w:hint="eastAsia" w:ascii="宋体" w:hAnsi="宋体" w:eastAsia="宋体" w:cs="宋体"/>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时间：2023年</w:t>
      </w:r>
      <w:r>
        <w:rPr>
          <w:rFonts w:hint="eastAsia"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 xml:space="preserve"> 29</w:t>
      </w:r>
      <w:r>
        <w:rPr>
          <w:rFonts w:hint="eastAsia" w:ascii="宋体" w:hAnsi="宋体" w:eastAsia="宋体" w:cs="宋体"/>
          <w:kern w:val="2"/>
          <w:sz w:val="21"/>
          <w:szCs w:val="21"/>
          <w:highlight w:val="none"/>
          <w:lang w:val="en-US" w:eastAsia="zh-CN" w:bidi="ar-SA"/>
        </w:rPr>
        <w:t>日至2023年</w:t>
      </w:r>
      <w:r>
        <w:rPr>
          <w:rFonts w:hint="eastAsia"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月</w:t>
      </w:r>
      <w:r>
        <w:rPr>
          <w:rFonts w:hint="eastAsia"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日，每天上午10:00至1</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0，下午16:</w:t>
      </w:r>
      <w:r>
        <w:rPr>
          <w:rFonts w:hint="eastAsia"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0至</w:t>
      </w:r>
      <w:r>
        <w:rPr>
          <w:rFonts w:hint="eastAsia"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提交投标文件截止时间：202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 xml:space="preserve"> 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 xml:space="preserve">19 </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开标时间：202</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年</w:t>
      </w:r>
      <w:r>
        <w:rPr>
          <w:rFonts w:hint="eastAsia" w:cs="宋体"/>
          <w:i w:val="0"/>
          <w:iCs w:val="0"/>
          <w:caps w:val="0"/>
          <w:color w:val="000000"/>
          <w:spacing w:val="0"/>
          <w:kern w:val="0"/>
          <w:sz w:val="21"/>
          <w:szCs w:val="21"/>
          <w:lang w:val="en-US" w:eastAsia="zh-CN" w:bidi="ar"/>
        </w:rPr>
        <w:t>6</w:t>
      </w:r>
      <w:r>
        <w:rPr>
          <w:rFonts w:hint="eastAsia" w:ascii="宋体" w:hAnsi="宋体" w:eastAsia="宋体" w:cs="宋体"/>
          <w:i w:val="0"/>
          <w:iCs w:val="0"/>
          <w:caps w:val="0"/>
          <w:color w:val="000000"/>
          <w:spacing w:val="0"/>
          <w:kern w:val="0"/>
          <w:sz w:val="21"/>
          <w:szCs w:val="21"/>
          <w:lang w:val="en-US" w:eastAsia="zh-CN" w:bidi="ar"/>
        </w:rPr>
        <w:t>月</w:t>
      </w:r>
      <w:r>
        <w:rPr>
          <w:rFonts w:hint="eastAsia" w:cs="宋体"/>
          <w:i w:val="0"/>
          <w:iCs w:val="0"/>
          <w:caps w:val="0"/>
          <w:color w:val="000000"/>
          <w:spacing w:val="0"/>
          <w:kern w:val="0"/>
          <w:sz w:val="21"/>
          <w:szCs w:val="21"/>
          <w:lang w:val="en-US" w:eastAsia="zh-CN" w:bidi="ar"/>
        </w:rPr>
        <w:t>19</w:t>
      </w:r>
      <w:r>
        <w:rPr>
          <w:rFonts w:hint="eastAsia" w:ascii="宋体" w:hAnsi="宋体" w:eastAsia="宋体" w:cs="宋体"/>
          <w:i w:val="0"/>
          <w:iCs w:val="0"/>
          <w:caps w:val="0"/>
          <w:color w:val="000000"/>
          <w:spacing w:val="0"/>
          <w:kern w:val="0"/>
          <w:sz w:val="21"/>
          <w:szCs w:val="21"/>
          <w:lang w:val="en-US" w:eastAsia="zh-CN" w:bidi="ar"/>
        </w:rPr>
        <w:t>日 1</w:t>
      </w:r>
      <w:r>
        <w:rPr>
          <w:rFonts w:hint="eastAsia" w:cs="宋体"/>
          <w:i w:val="0"/>
          <w:iCs w:val="0"/>
          <w:caps w:val="0"/>
          <w:color w:val="000000"/>
          <w:spacing w:val="0"/>
          <w:kern w:val="0"/>
          <w:sz w:val="21"/>
          <w:szCs w:val="21"/>
          <w:lang w:val="en-US" w:eastAsia="zh-CN" w:bidi="ar"/>
        </w:rPr>
        <w:t>0</w:t>
      </w:r>
      <w:r>
        <w:rPr>
          <w:rFonts w:hint="eastAsia" w:ascii="宋体" w:hAnsi="宋体" w:eastAsia="宋体" w:cs="宋体"/>
          <w:i w:val="0"/>
          <w:iCs w:val="0"/>
          <w:caps w:val="0"/>
          <w:color w:val="000000"/>
          <w:spacing w:val="0"/>
          <w:kern w:val="0"/>
          <w:sz w:val="21"/>
          <w:szCs w:val="21"/>
          <w:lang w:val="en-US" w:eastAsia="zh-CN" w:bidi="ar"/>
        </w:rPr>
        <w:t>:</w:t>
      </w:r>
      <w:r>
        <w:rPr>
          <w:rFonts w:hint="eastAsia" w:cs="宋体"/>
          <w:i w:val="0"/>
          <w:iCs w:val="0"/>
          <w:caps w:val="0"/>
          <w:color w:val="000000"/>
          <w:spacing w:val="0"/>
          <w:kern w:val="0"/>
          <w:sz w:val="21"/>
          <w:szCs w:val="21"/>
          <w:lang w:val="en-US" w:eastAsia="zh-CN" w:bidi="ar"/>
        </w:rPr>
        <w:t>3</w:t>
      </w:r>
      <w:r>
        <w:rPr>
          <w:rFonts w:hint="eastAsia" w:ascii="宋体" w:hAnsi="宋体" w:eastAsia="宋体" w:cs="宋体"/>
          <w:i w:val="0"/>
          <w:iCs w:val="0"/>
          <w:caps w:val="0"/>
          <w:color w:val="000000"/>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7"/>
          <w:szCs w:val="27"/>
          <w:lang w:val="en-US" w:eastAsia="zh-CN"/>
        </w:rPr>
        <w:t xml:space="preserve"> </w:t>
      </w:r>
      <w:r>
        <w:rPr>
          <w:rFonts w:hint="eastAsia" w:ascii="宋体" w:hAnsi="宋体" w:eastAsia="宋体" w:cs="宋体"/>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sz w:val="21"/>
          <w:szCs w:val="21"/>
          <w:lang w:eastAsia="zh-CN"/>
        </w:rPr>
        <w:t xml:space="preserve">95763 </w:t>
      </w:r>
      <w:r>
        <w:rPr>
          <w:rFonts w:hint="eastAsia" w:ascii="宋体" w:hAnsi="宋体" w:eastAsia="宋体" w:cs="宋体"/>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cs="宋体"/>
          <w:sz w:val="21"/>
          <w:szCs w:val="21"/>
          <w:lang w:val="en-US" w:eastAsia="zh-CN"/>
        </w:rPr>
        <w:t xml:space="preserve">    </w:t>
      </w:r>
      <w:r>
        <w:rPr>
          <w:rFonts w:hint="eastAsia" w:ascii="宋体" w:hAnsi="宋体" w:eastAsia="宋体" w:cs="宋体"/>
          <w:sz w:val="21"/>
          <w:szCs w:val="21"/>
        </w:rPr>
        <w:t>5.供应商在开标时须使用制作加密电子投标文件所使用的CA锁及电脑，电脑须提前配置好浏览器（建议使用谷歌浏览器），以便开标时解锁。</w:t>
      </w:r>
      <w:r>
        <w:rPr>
          <w:rFonts w:hint="eastAsia" w:cs="宋体"/>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eastAsia="zh-CN"/>
        </w:rPr>
      </w:pPr>
      <w:r>
        <w:rPr>
          <w:rFonts w:hint="eastAsia" w:cs="宋体"/>
          <w:sz w:val="21"/>
          <w:szCs w:val="21"/>
          <w:lang w:val="en-US" w:eastAsia="zh-CN"/>
        </w:rPr>
        <w:t xml:space="preserve">    </w:t>
      </w:r>
      <w:r>
        <w:rPr>
          <w:rFonts w:hint="eastAsia" w:ascii="宋体" w:hAnsi="宋体" w:eastAsia="宋体" w:cs="宋体"/>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rPr>
      </w:pPr>
      <w:r>
        <w:rPr>
          <w:rFonts w:hint="eastAsia" w:cs="宋体"/>
          <w:sz w:val="21"/>
          <w:szCs w:val="21"/>
          <w:lang w:val="en-US" w:eastAsia="zh-CN"/>
        </w:rPr>
        <w:t xml:space="preserve">   </w:t>
      </w:r>
      <w:r>
        <w:rPr>
          <w:rFonts w:hint="eastAsia" w:ascii="宋体" w:hAnsi="宋体" w:eastAsia="宋体" w:cs="宋体"/>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333333"/>
          <w:sz w:val="21"/>
          <w:szCs w:val="21"/>
          <w:lang w:val="en-US" w:eastAsia="zh-CN"/>
        </w:rPr>
      </w:pPr>
      <w:r>
        <w:rPr>
          <w:rStyle w:val="31"/>
          <w:rFonts w:hint="eastAsia" w:ascii="宋体" w:hAnsi="宋体" w:eastAsia="宋体" w:cs="宋体"/>
          <w:b/>
          <w:color w:val="333333"/>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衔接义务教育学校建设项目（设备采购）一包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项目编号：ATSCG-2023032-1</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采购内容：信息技术及体育器材一批（数量及参数详见招标文件）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233</w:t>
            </w:r>
            <w:r>
              <w:rPr>
                <w:rFonts w:hint="eastAsia" w:ascii="Times New Roman" w:hAnsi="Times New Roman" w:eastAsia="宋体" w:cs="Times New Roman"/>
                <w:color w:val="auto"/>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233</w:t>
            </w:r>
            <w:r>
              <w:rPr>
                <w:rFonts w:hint="eastAsia" w:ascii="Times New Roman" w:hAnsi="Times New Roman" w:eastAsia="宋体" w:cs="Times New Roman"/>
                <w:b/>
                <w:bCs/>
                <w:color w:val="auto"/>
                <w:kern w:val="2"/>
                <w:sz w:val="21"/>
                <w:szCs w:val="21"/>
                <w:lang w:val="en-US" w:eastAsia="zh-CN" w:bidi="ar-SA"/>
              </w:rPr>
              <w:t>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w:t>
            </w:r>
            <w:bookmarkStart w:id="155" w:name="_GoBack"/>
            <w:bookmarkEnd w:id="155"/>
            <w:r>
              <w:rPr>
                <w:rFonts w:hint="eastAsia" w:hAnsi="Times New Roman" w:cs="Times New Roman"/>
                <w:b w:val="0"/>
                <w:bCs/>
                <w:color w:val="auto"/>
                <w:sz w:val="21"/>
                <w:szCs w:val="21"/>
                <w:highlight w:val="none"/>
                <w:lang w:val="en-US" w:eastAsia="zh-CN"/>
              </w:rPr>
              <w:t>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46</w:t>
            </w:r>
            <w:r>
              <w:rPr>
                <w:rFonts w:hint="eastAsia" w:ascii="宋体" w:hAnsi="宋体" w:cs="宋体-18030"/>
                <w:b/>
                <w:bCs w:val="0"/>
                <w:color w:val="auto"/>
                <w:szCs w:val="21"/>
              </w:rPr>
              <w:t>000</w:t>
            </w:r>
            <w:r>
              <w:rPr>
                <w:rFonts w:hint="eastAsia" w:hAnsi="宋体" w:cs="宋体-18030"/>
                <w:b/>
                <w:bCs w:val="0"/>
                <w:color w:val="auto"/>
                <w:szCs w:val="21"/>
                <w:lang w:val="en-US" w:eastAsia="zh-CN"/>
              </w:rPr>
              <w:t>.00</w:t>
            </w:r>
            <w:r>
              <w:rPr>
                <w:rFonts w:hint="eastAsia" w:ascii="宋体" w:hAnsi="宋体" w:cs="宋体-18030"/>
                <w:b/>
                <w:bCs w:val="0"/>
                <w:color w:val="auto"/>
                <w:szCs w:val="21"/>
              </w:rPr>
              <w:t>元（</w:t>
            </w:r>
            <w:r>
              <w:rPr>
                <w:rFonts w:hint="eastAsia" w:hAnsi="宋体" w:cs="宋体-18030"/>
                <w:b/>
                <w:bCs w:val="0"/>
                <w:color w:val="auto"/>
                <w:szCs w:val="21"/>
                <w:lang w:eastAsia="zh-CN"/>
              </w:rPr>
              <w:t>肆万陆仟</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投标保证金的金额：46000元；（</w:t>
            </w:r>
            <w:r>
              <w:rPr>
                <w:rFonts w:hint="eastAsia" w:hAnsi="宋体" w:cs="宋体-18030"/>
                <w:b w:val="0"/>
                <w:bCs/>
                <w:color w:val="auto"/>
                <w:szCs w:val="21"/>
                <w:lang w:eastAsia="zh-CN"/>
              </w:rPr>
              <w:t>肆万陆仟</w:t>
            </w:r>
            <w:r>
              <w:rPr>
                <w:rFonts w:hint="eastAsia" w:ascii="宋体" w:hAnsi="宋体" w:cs="宋体-18030"/>
                <w:b w:val="0"/>
                <w:bCs/>
                <w:color w:val="auto"/>
                <w:szCs w:val="21"/>
              </w:rPr>
              <w:t>元</w:t>
            </w:r>
            <w:r>
              <w:rPr>
                <w:rFonts w:hint="eastAsia" w:ascii="宋体" w:hAnsi="宋体" w:eastAsia="宋体" w:cs="宋体"/>
                <w:b w:val="0"/>
                <w:bCs/>
                <w:color w:val="auto"/>
                <w:szCs w:val="21"/>
                <w:lang w:val="en-US" w:eastAsia="zh-CN"/>
              </w:rPr>
              <w:t>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投标保证金缴纳要求：1、投标保证金以电汇、网银等转账形式提交的，应在投标截止时间2023年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 xml:space="preserve"> 6</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 26 </w:t>
            </w:r>
            <w:r>
              <w:rPr>
                <w:rFonts w:hint="eastAsia" w:hAnsi="Times New Roman" w:cs="Times New Roman"/>
                <w:b w:val="0"/>
                <w:bCs/>
                <w:color w:val="auto"/>
                <w:sz w:val="21"/>
                <w:szCs w:val="21"/>
                <w:highlight w:val="none"/>
                <w:lang w:val="en-US" w:eastAsia="zh-CN"/>
              </w:rPr>
              <w:t>日19:30</w:t>
            </w:r>
            <w:r>
              <w:rPr>
                <w:rFonts w:hint="eastAsia" w:hAnsi="Times New Roman" w:cs="Times New Roman"/>
                <w:b w:val="0"/>
                <w:bCs/>
                <w:color w:val="auto"/>
                <w:sz w:val="21"/>
                <w:szCs w:val="21"/>
                <w:highlight w:val="none"/>
                <w:lang w:val="en-US" w:eastAsia="zh-CN"/>
              </w:rPr>
              <w:t>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 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w:t>
            </w:r>
            <w:r>
              <w:rPr>
                <w:rFonts w:hint="eastAsia"/>
                <w:b w:val="0"/>
                <w:bCs/>
                <w:color w:val="auto"/>
                <w:lang w:val="en-US" w:eastAsia="zh-CN"/>
              </w:rPr>
              <w:t>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152042315"/>
      <w:bookmarkStart w:id="15" w:name="_Toc247592876"/>
      <w:bookmarkStart w:id="16" w:name="_Toc152045539"/>
      <w:bookmarkStart w:id="17" w:name="_Toc296602429"/>
      <w:bookmarkStart w:id="18" w:name="_Toc247513962"/>
      <w:bookmarkStart w:id="19" w:name="_Toc247527563"/>
      <w:bookmarkStart w:id="20" w:name="_Toc144974507"/>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13963"/>
      <w:bookmarkStart w:id="22" w:name="_Toc296602430"/>
      <w:bookmarkStart w:id="23" w:name="_Toc152045540"/>
      <w:bookmarkStart w:id="24" w:name="_Toc247527564"/>
      <w:bookmarkStart w:id="25" w:name="_Toc144974508"/>
      <w:bookmarkStart w:id="26" w:name="_Toc247592877"/>
      <w:bookmarkStart w:id="27" w:name="_Toc152042316"/>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0000FF"/>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0000FF"/>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w:t>
      </w:r>
      <w:r>
        <w:rPr>
          <w:rFonts w:hint="eastAsia" w:ascii="宋体"/>
          <w:color w:val="000000"/>
          <w:szCs w:val="21"/>
          <w:highlight w:val="none"/>
        </w:rPr>
        <w:t>均分</w:t>
      </w:r>
      <w:r>
        <w:rPr>
          <w:rFonts w:hint="eastAsia" w:ascii="宋体"/>
          <w:color w:val="000000"/>
          <w:szCs w:val="21"/>
          <w:highlight w:val="none"/>
          <w:lang w:val="en-US" w:eastAsia="zh-CN"/>
        </w:rPr>
        <w:t>30</w:t>
      </w:r>
      <w:r>
        <w:rPr>
          <w:rFonts w:hint="eastAsia" w:ascii="宋体"/>
          <w:color w:val="000000"/>
          <w:szCs w:val="21"/>
          <w:highlight w:val="none"/>
        </w:rPr>
        <w:t>%以上的</w:t>
      </w:r>
      <w:r>
        <w:rPr>
          <w:rFonts w:hint="eastAsia" w:ascii="宋体"/>
          <w:color w:val="auto"/>
          <w:szCs w:val="21"/>
          <w:highlight w:val="none"/>
        </w:rPr>
        <w:t>）情形的，应由相关人员当场改正或作出书面说明；拒不改正又不作书面说明的，由现场监督员如实记载后存入项目档案资料。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0000FF"/>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469495733"/>
      <w:bookmarkStart w:id="49" w:name="_Toc362983802"/>
      <w:bookmarkStart w:id="50" w:name="_Toc267320058"/>
      <w:bookmarkStart w:id="51"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rPr>
              <w:t>具备</w:t>
            </w:r>
            <w:r>
              <w:rPr>
                <w:rFonts w:hint="eastAsia" w:ascii="宋体" w:hAnsi="宋体" w:eastAsia="宋体" w:cs="宋体"/>
                <w:szCs w:val="21"/>
                <w:lang w:val="en-US" w:eastAsia="zh-CN"/>
              </w:rPr>
              <w:t>合格有效的</w:t>
            </w:r>
            <w:r>
              <w:rPr>
                <w:rFonts w:hint="eastAsia" w:ascii="宋体" w:hAnsi="宋体" w:eastAsia="宋体" w:cs="宋体"/>
                <w:szCs w:val="21"/>
              </w:rPr>
              <w:t>三证合一营业执照</w:t>
            </w:r>
            <w:r>
              <w:rPr>
                <w:rFonts w:hint="eastAsia" w:ascii="宋体" w:hAnsi="宋体" w:eastAsia="宋体" w:cs="宋体"/>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3</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投标企业须提供投标人（被授权人）投标截止时间前半年内任意1个月的社保证明；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投标保证金收据或保函等票据</w:t>
            </w:r>
            <w:r>
              <w:rPr>
                <w:rFonts w:hint="eastAsia" w:ascii="宋体" w:hAnsi="宋体" w:cs="宋体"/>
                <w:kern w:val="2"/>
                <w:sz w:val="21"/>
                <w:szCs w:val="21"/>
                <w:lang w:val="en-US" w:eastAsia="zh-CN" w:bidi="ar-SA"/>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项目</w:t>
            </w:r>
          </w:p>
        </w:tc>
        <w:tc>
          <w:tcPr>
            <w:tcW w:w="7074" w:type="dxa"/>
            <w:gridSpan w:val="2"/>
            <w:tcBorders>
              <w:top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rPr>
            </w:pPr>
          </w:p>
        </w:tc>
        <w:tc>
          <w:tcPr>
            <w:tcW w:w="7074" w:type="dxa"/>
            <w:gridSpan w:val="2"/>
            <w:tcBorders>
              <w:bottom w:val="single" w:color="auto" w:sz="4" w:space="0"/>
            </w:tcBorders>
            <w:noWrap w:val="0"/>
            <w:vAlign w:val="top"/>
          </w:tcPr>
          <w:p>
            <w:pPr>
              <w:rPr>
                <w:rFonts w:hint="eastAsia" w:ascii="宋体" w:hAnsi="宋体" w:cs="宋体"/>
              </w:rPr>
            </w:pPr>
          </w:p>
        </w:tc>
        <w:tc>
          <w:tcPr>
            <w:tcW w:w="753" w:type="dxa"/>
            <w:noWrap w:val="0"/>
            <w:vAlign w:val="center"/>
          </w:tcPr>
          <w:p>
            <w:pPr>
              <w:jc w:val="center"/>
              <w:rPr>
                <w:rFonts w:hint="eastAsia" w:ascii="宋体" w:hAnsi="宋体" w:cs="宋体"/>
                <w:b/>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审</w:t>
            </w:r>
          </w:p>
          <w:p>
            <w:pPr>
              <w:jc w:val="center"/>
              <w:rPr>
                <w:rFonts w:hint="eastAsia" w:ascii="宋体" w:hAnsi="宋体" w:cs="宋体"/>
                <w:szCs w:val="21"/>
              </w:rPr>
            </w:pPr>
            <w:r>
              <w:rPr>
                <w:rFonts w:hint="eastAsia" w:ascii="宋体" w:hAnsi="宋体" w:cs="宋体"/>
                <w:szCs w:val="21"/>
              </w:rPr>
              <w:t>查</w:t>
            </w:r>
          </w:p>
          <w:p>
            <w:pPr>
              <w:jc w:val="center"/>
              <w:rPr>
                <w:rFonts w:hint="eastAsia" w:ascii="宋体" w:hAnsi="宋体" w:cs="宋体"/>
                <w:szCs w:val="21"/>
              </w:rPr>
            </w:pPr>
            <w:r>
              <w:rPr>
                <w:rFonts w:hint="eastAsia" w:ascii="宋体" w:hAnsi="宋体" w:cs="宋体"/>
                <w:szCs w:val="21"/>
              </w:rPr>
              <w:t>标</w:t>
            </w:r>
          </w:p>
          <w:p>
            <w:pPr>
              <w:jc w:val="center"/>
              <w:rPr>
                <w:rFonts w:hint="eastAsia" w:ascii="宋体" w:hAnsi="宋体" w:cs="宋体"/>
                <w:szCs w:val="21"/>
              </w:rPr>
            </w:pPr>
            <w:r>
              <w:rPr>
                <w:rFonts w:hint="eastAsia" w:ascii="宋体" w:hAnsi="宋体" w:cs="宋体"/>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szCs w:val="21"/>
              </w:rPr>
            </w:pPr>
          </w:p>
        </w:tc>
        <w:tc>
          <w:tcPr>
            <w:tcW w:w="749" w:type="dxa"/>
            <w:tcBorders>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szCs w:val="21"/>
              </w:rPr>
            </w:pPr>
          </w:p>
        </w:tc>
        <w:tc>
          <w:tcPr>
            <w:tcW w:w="749" w:type="dxa"/>
            <w:tcBorders>
              <w:top w:val="single" w:color="auto" w:sz="4" w:space="0"/>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rPr>
            </w:pPr>
          </w:p>
        </w:tc>
        <w:tc>
          <w:tcPr>
            <w:tcW w:w="495" w:type="dxa"/>
            <w:tcBorders>
              <w:left w:val="single" w:color="auto" w:sz="4" w:space="0"/>
            </w:tcBorders>
            <w:noWrap w:val="0"/>
            <w:vAlign w:val="center"/>
          </w:tcPr>
          <w:p>
            <w:pPr>
              <w:jc w:val="center"/>
              <w:rPr>
                <w:rFonts w:hint="eastAsia" w:ascii="宋体" w:hAnsi="宋体" w:cs="宋体"/>
                <w:sz w:val="20"/>
                <w:szCs w:val="20"/>
              </w:rPr>
            </w:pPr>
            <w:r>
              <w:rPr>
                <w:rFonts w:hint="eastAsia" w:ascii="宋体" w:hAnsi="宋体" w:cs="宋体"/>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szCs w:val="21"/>
              </w:rPr>
            </w:pPr>
          </w:p>
        </w:tc>
        <w:tc>
          <w:tcPr>
            <w:tcW w:w="749" w:type="dxa"/>
            <w:tcBorders>
              <w:right w:val="single" w:color="auto" w:sz="4" w:space="0"/>
            </w:tcBorders>
            <w:noWrap w:val="0"/>
            <w:vAlign w:val="top"/>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margin" w:tblpXSpec="center" w:tblpY="83"/>
        <w:tblW w:w="9038" w:type="dxa"/>
        <w:tblCellSpacing w:w="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392"/>
        <w:gridCol w:w="985"/>
        <w:gridCol w:w="5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序号</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评审项目</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标准分</w:t>
            </w:r>
          </w:p>
        </w:tc>
        <w:tc>
          <w:tcPr>
            <w:tcW w:w="5846"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投标报价</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30分</w:t>
            </w:r>
          </w:p>
        </w:tc>
        <w:tc>
          <w:tcPr>
            <w:tcW w:w="5846" w:type="dxa"/>
            <w:tcBorders>
              <w:tl2br w:val="nil"/>
              <w:tr2bl w:val="nil"/>
            </w:tcBorders>
            <w:noWrap w:val="0"/>
            <w:vAlign w:val="center"/>
          </w:tcPr>
          <w:p>
            <w:pPr>
              <w:widowControl/>
              <w:spacing w:line="240" w:lineRule="auto"/>
              <w:jc w:val="left"/>
              <w:rPr>
                <w:rFonts w:hint="eastAsia" w:asciiTheme="minorEastAsia" w:hAnsiTheme="minorEastAsia" w:eastAsiaTheme="minorEastAsia" w:cstheme="minorEastAsia"/>
                <w:color w:val="000000"/>
                <w:szCs w:val="21"/>
                <w:highlight w:val="none"/>
                <w:lang w:bidi="ar-SA"/>
              </w:rPr>
            </w:pPr>
            <w:r>
              <w:rPr>
                <w:rFonts w:hint="eastAsia" w:asciiTheme="minorEastAsia" w:hAnsiTheme="minorEastAsia" w:eastAsiaTheme="minorEastAsia" w:cstheme="minorEastAsia"/>
                <w:color w:val="000000"/>
                <w:szCs w:val="21"/>
                <w:highlight w:val="none"/>
                <w:lang w:bidi="ar-SA"/>
              </w:rPr>
              <w:t>满足文件要求且最低价格为基准价，其价格分为满分，其他投标人的价格分按公式计算：报价得分＝（基准价／报价）x价格权值x100。【说明：给予小型、微型企业的价格给予6％-10％的扣除，用扣除后的价格参与评审，本项目具体扣除比例为6％。（小数点后保留二位小数，第三位四舍五入）。</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szCs w:val="21"/>
                <w:highlight w:val="none"/>
                <w:lang w:bidi="ar-SA"/>
              </w:rPr>
              <w:t>（投标总报价超过采购预算价的按废标处理。）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tblCellSpacing w:w="0" w:type="dxa"/>
        </w:trPr>
        <w:tc>
          <w:tcPr>
            <w:tcW w:w="815"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392" w:type="dxa"/>
            <w:tcBorders>
              <w:tl2br w:val="nil"/>
              <w:tr2bl w:val="nil"/>
            </w:tcBorders>
            <w:noWrap w:val="0"/>
            <w:vAlign w:val="center"/>
          </w:tcPr>
          <w:p>
            <w:pPr>
              <w:rPr>
                <w:rFonts w:hint="eastAsia" w:asciiTheme="minorEastAsia" w:hAnsiTheme="minorEastAsia" w:eastAsiaTheme="minorEastAsia" w:cstheme="minorEastAsia"/>
                <w:color w:val="auto"/>
                <w:szCs w:val="21"/>
                <w:shd w:val="clear" w:color="auto" w:fill="auto"/>
                <w:lang w:eastAsia="zh-CN"/>
              </w:rPr>
            </w:pPr>
            <w:r>
              <w:rPr>
                <w:rFonts w:hint="eastAsia" w:asciiTheme="minorEastAsia" w:hAnsiTheme="minorEastAsia" w:eastAsiaTheme="minorEastAsia" w:cstheme="minorEastAsia"/>
                <w:color w:val="auto"/>
                <w:szCs w:val="21"/>
                <w:shd w:val="clear" w:color="auto" w:fill="auto"/>
                <w:lang w:eastAsia="zh-CN"/>
              </w:rPr>
              <w:t>产品性能技术参数及相关要求</w:t>
            </w:r>
          </w:p>
        </w:tc>
        <w:tc>
          <w:tcPr>
            <w:tcW w:w="985" w:type="dxa"/>
            <w:tcBorders>
              <w:tl2br w:val="nil"/>
              <w:tr2bl w:val="nil"/>
            </w:tcBorders>
            <w:noWrap w:val="0"/>
            <w:vAlign w:val="center"/>
          </w:tcPr>
          <w:p>
            <w:pPr>
              <w:widowControl/>
              <w:spacing w:line="240" w:lineRule="auto"/>
              <w:jc w:val="center"/>
              <w:rPr>
                <w:rFonts w:hint="default"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35分</w:t>
            </w:r>
          </w:p>
        </w:tc>
        <w:tc>
          <w:tcPr>
            <w:tcW w:w="5846" w:type="dxa"/>
            <w:tcBorders>
              <w:tl2br w:val="nil"/>
              <w:tr2bl w:val="nil"/>
            </w:tcBorders>
            <w:noWrap w:val="0"/>
            <w:vAlign w:val="center"/>
          </w:tcPr>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p>
          <w:p>
            <w:pPr>
              <w:pStyle w:val="82"/>
              <w:numPr>
                <w:ilvl w:val="0"/>
                <w:numId w:val="0"/>
              </w:numPr>
              <w:tabs>
                <w:tab w:val="center" w:pos="2284"/>
              </w:tabs>
              <w:ind w:leftChars="0"/>
              <w:jc w:val="lef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1．技术指标、参数完全符合招标文件技术指标、参数要求的得25分.</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2．投标人技术指标、参数高于招标文件规定的相应技术指标、参数的，每有一项加1分，共10分（并提供真实相关证明资料（加盖公章的检测报告），否则不计分值）</w:t>
            </w:r>
          </w:p>
          <w:p>
            <w:pPr>
              <w:pStyle w:val="82"/>
              <w:numPr>
                <w:ilvl w:val="0"/>
                <w:numId w:val="0"/>
              </w:numPr>
              <w:tabs>
                <w:tab w:val="center" w:pos="2284"/>
              </w:tabs>
              <w:ind w:leftChars="0"/>
              <w:jc w:val="left"/>
              <w:rPr>
                <w:rFonts w:hint="eastAsia" w:asciiTheme="minorEastAsia" w:hAnsiTheme="minorEastAsia" w:eastAsiaTheme="minorEastAsia" w:cstheme="minorEastAsia"/>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实施方案</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val="en-US" w:eastAsia="zh-CN"/>
              </w:rPr>
              <w:t>10分</w:t>
            </w:r>
          </w:p>
        </w:tc>
        <w:tc>
          <w:tcPr>
            <w:tcW w:w="5846" w:type="dxa"/>
            <w:tcBorders>
              <w:tl2br w:val="nil"/>
              <w:tr2bl w:val="nil"/>
            </w:tcBorders>
            <w:noWrap w:val="0"/>
            <w:vAlign w:val="center"/>
          </w:tcPr>
          <w:p>
            <w:pPr>
              <w:jc w:val="left"/>
              <w:rPr>
                <w:rFonts w:hint="eastAsia"/>
                <w:lang w:val="en-US" w:eastAsia="zh-CN"/>
              </w:rPr>
            </w:pPr>
          </w:p>
          <w:p>
            <w:pPr>
              <w:jc w:val="left"/>
              <w:rPr>
                <w:rFonts w:hint="eastAsia"/>
                <w:lang w:val="en-US" w:eastAsia="zh-CN"/>
              </w:rPr>
            </w:pPr>
            <w:r>
              <w:rPr>
                <w:rFonts w:hint="eastAsia"/>
                <w:lang w:val="en-US" w:eastAsia="zh-CN"/>
              </w:rPr>
              <w:t>1．投标单位有合理的、详细的、流程清晰的、切实可行的、完整的项目实施方案；进行评价打分，优得5分，一般得2分，</w:t>
            </w:r>
          </w:p>
          <w:p>
            <w:pPr>
              <w:jc w:val="left"/>
              <w:rPr>
                <w:rFonts w:hint="eastAsia"/>
                <w:lang w:val="en-US" w:eastAsia="zh-CN"/>
              </w:rPr>
            </w:pPr>
            <w:r>
              <w:rPr>
                <w:rFonts w:hint="eastAsia"/>
                <w:lang w:val="en-US" w:eastAsia="zh-CN"/>
              </w:rPr>
              <w:t>2．投标人在充分响应招标文件要求的前提下做出相关违约惩罚措施或服务承诺，措施或承诺可行、合理的，进行评价打分。（提供书面材料）优得5分，一般得2分。</w:t>
            </w:r>
          </w:p>
          <w:p>
            <w:pPr>
              <w:pStyle w:val="5"/>
              <w:numPr>
                <w:ilvl w:val="1"/>
                <w:numId w:val="0"/>
              </w:numPr>
              <w:rPr>
                <w:rFonts w:hint="eastAsia"/>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blCellSpacing w:w="0" w:type="dxa"/>
        </w:trPr>
        <w:tc>
          <w:tcPr>
            <w:tcW w:w="815" w:type="dxa"/>
            <w:vMerge w:val="restart"/>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1392"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质量保证及售后服务承诺</w:t>
            </w:r>
          </w:p>
        </w:tc>
        <w:tc>
          <w:tcPr>
            <w:tcW w:w="985"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对投标人根据本项目所提供的售后服务方案进行分，售后方案内容详实，科学合理的得10分，售后方案内容简单、科学合理性一般的得5分。（共10分）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blCellSpacing w:w="0" w:type="dxa"/>
        </w:trPr>
        <w:tc>
          <w:tcPr>
            <w:tcW w:w="815" w:type="dxa"/>
            <w:vMerge w:val="continue"/>
            <w:tcBorders>
              <w:tl2br w:val="nil"/>
              <w:tr2bl w:val="nil"/>
            </w:tcBorders>
            <w:noWrap w:val="0"/>
            <w:vAlign w:val="center"/>
          </w:tcPr>
          <w:p>
            <w:pPr>
              <w:jc w:val="left"/>
            </w:pPr>
          </w:p>
        </w:tc>
        <w:tc>
          <w:tcPr>
            <w:tcW w:w="1392" w:type="dxa"/>
            <w:vMerge w:val="continue"/>
            <w:tcBorders>
              <w:tl2br w:val="nil"/>
              <w:tr2bl w:val="nil"/>
            </w:tcBorders>
            <w:noWrap w:val="0"/>
            <w:vAlign w:val="center"/>
          </w:tcPr>
          <w:p>
            <w:pPr>
              <w:jc w:val="left"/>
            </w:pPr>
          </w:p>
        </w:tc>
        <w:tc>
          <w:tcPr>
            <w:tcW w:w="985" w:type="dxa"/>
            <w:vMerge w:val="continue"/>
            <w:tcBorders>
              <w:tl2br w:val="nil"/>
              <w:tr2bl w:val="nil"/>
            </w:tcBorders>
            <w:noWrap w:val="0"/>
            <w:vAlign w:val="center"/>
          </w:tcPr>
          <w:p>
            <w:pPr>
              <w:jc w:val="left"/>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质保期满足招标文件要求的得2分，每延长一年加1分，最多加2分。（共4分）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供应商要具备快速解决设备故障的服务能力，满足招标文件售后服务承诺响应时间并承诺出现产品质量问题和机械故障在4小时务承诺内排除故障的得2分。每提前1个小时派专业人员到达现场，加0.5分，最多加2分。（共4分）（提供加盖公章的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根据实际情况，提供实质性的优惠措施（备品备件，零部件等）价格最低且备件、零部件最全的为第一名得3分，第二名得2分，第三名得0.5分。（共2分）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标书制作</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846" w:type="dxa"/>
            <w:tcBorders>
              <w:tl2br w:val="nil"/>
              <w:tr2bl w:val="nil"/>
            </w:tcBorders>
            <w:noWrap w:val="0"/>
            <w:vAlign w:val="top"/>
          </w:tcPr>
          <w:p>
            <w:pPr>
              <w:rPr>
                <w:rFonts w:hint="eastAsia"/>
                <w:lang w:val="en-US" w:eastAsia="zh-CN"/>
              </w:rPr>
            </w:pPr>
          </w:p>
          <w:p>
            <w:pPr>
              <w:rPr>
                <w:rFonts w:hint="eastAsia"/>
                <w:lang w:val="en-US" w:eastAsia="zh-CN"/>
              </w:rPr>
            </w:pPr>
            <w:r>
              <w:rPr>
                <w:rFonts w:hint="eastAsia"/>
                <w:lang w:val="en-US" w:eastAsia="zh-CN"/>
              </w:rPr>
              <w:t>投标文件按照招标文件要求的格式、内容及顺序填写（包括目录、页码、签字、总体编排等项目），整齐美观，优得5分，一般得2分。</w:t>
            </w:r>
          </w:p>
          <w:p>
            <w:pPr>
              <w:pStyle w:val="5"/>
              <w:numPr>
                <w:ilvl w:val="1"/>
                <w:numId w:val="0"/>
              </w:numPr>
              <w:rPr>
                <w:rFonts w:hint="eastAsia"/>
                <w:lang w:val="en-US" w:eastAsia="zh-CN"/>
              </w:rPr>
            </w:pPr>
          </w:p>
        </w:tc>
      </w:tr>
    </w:tbl>
    <w:p>
      <w:pPr>
        <w:rPr>
          <w:rFonts w:hint="eastAsia"/>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numPr>
          <w:ilvl w:val="0"/>
          <w:numId w:val="10"/>
        </w:numPr>
        <w:jc w:val="center"/>
        <w:rPr>
          <w:rFonts w:hint="eastAsia" w:ascii="Times New Roman" w:hAnsi="Times New Roman" w:eastAsia="宋体" w:cs="Times New Roman"/>
          <w:b/>
          <w:bCs/>
          <w:sz w:val="32"/>
          <w:szCs w:val="40"/>
          <w:lang w:val="en-US" w:eastAsia="zh-CN"/>
        </w:rPr>
      </w:pPr>
      <w:r>
        <w:rPr>
          <w:rFonts w:hint="eastAsia" w:ascii="Times New Roman" w:hAnsi="Times New Roman" w:eastAsia="宋体" w:cs="Times New Roman"/>
          <w:b/>
          <w:bCs/>
          <w:sz w:val="32"/>
          <w:szCs w:val="40"/>
          <w:lang w:val="en-US" w:eastAsia="zh-CN"/>
        </w:rPr>
        <w:t>采购内容及技术要求</w:t>
      </w:r>
    </w:p>
    <w:p>
      <w:pPr>
        <w:jc w:val="center"/>
        <w:rPr>
          <w:rFonts w:hint="eastAsia"/>
          <w:sz w:val="18"/>
          <w:szCs w:val="21"/>
          <w:lang w:val="en-US" w:eastAsia="zh-CN"/>
        </w:rPr>
      </w:pPr>
      <w:r>
        <w:rPr>
          <w:rFonts w:hint="eastAsia"/>
          <w:b/>
          <w:bCs/>
          <w:sz w:val="32"/>
          <w:szCs w:val="40"/>
        </w:rPr>
        <w:t>信息技术</w:t>
      </w:r>
    </w:p>
    <w:tbl>
      <w:tblPr>
        <w:tblStyle w:val="29"/>
        <w:tblpPr w:leftFromText="180" w:rightFromText="180" w:vertAnchor="text" w:horzAnchor="page" w:tblpX="1160" w:tblpY="599"/>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44"/>
        <w:gridCol w:w="6310"/>
        <w:gridCol w:w="85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53" w:type="dxa"/>
          </w:tcPr>
          <w:p>
            <w:pPr>
              <w:jc w:val="center"/>
              <w:rPr>
                <w:rFonts w:hint="eastAsia" w:eastAsiaTheme="minorEastAsia"/>
                <w:vertAlign w:val="baseline"/>
                <w:lang w:eastAsia="zh-CN"/>
              </w:rPr>
            </w:pPr>
            <w:r>
              <w:rPr>
                <w:rFonts w:hint="eastAsia"/>
                <w:vertAlign w:val="baseline"/>
                <w:lang w:eastAsia="zh-CN"/>
              </w:rPr>
              <w:t>序号</w:t>
            </w:r>
          </w:p>
        </w:tc>
        <w:tc>
          <w:tcPr>
            <w:tcW w:w="1144" w:type="dxa"/>
          </w:tcPr>
          <w:p>
            <w:pPr>
              <w:jc w:val="center"/>
              <w:rPr>
                <w:rFonts w:hint="eastAsia" w:eastAsiaTheme="minorEastAsia"/>
                <w:vertAlign w:val="baseline"/>
                <w:lang w:eastAsia="zh-CN"/>
              </w:rPr>
            </w:pPr>
            <w:r>
              <w:rPr>
                <w:rFonts w:hint="eastAsia"/>
                <w:vertAlign w:val="baseline"/>
                <w:lang w:eastAsia="zh-CN"/>
              </w:rPr>
              <w:t>名称</w:t>
            </w:r>
          </w:p>
        </w:tc>
        <w:tc>
          <w:tcPr>
            <w:tcW w:w="6310" w:type="dxa"/>
          </w:tcPr>
          <w:p>
            <w:pPr>
              <w:jc w:val="center"/>
              <w:rPr>
                <w:rFonts w:hint="eastAsia" w:eastAsiaTheme="minorEastAsia"/>
                <w:vertAlign w:val="baseline"/>
                <w:lang w:eastAsia="zh-CN"/>
              </w:rPr>
            </w:pPr>
            <w:r>
              <w:rPr>
                <w:rFonts w:hint="eastAsia"/>
                <w:vertAlign w:val="baseline"/>
                <w:lang w:eastAsia="zh-CN"/>
              </w:rPr>
              <w:t>参数</w:t>
            </w:r>
          </w:p>
        </w:tc>
        <w:tc>
          <w:tcPr>
            <w:tcW w:w="850" w:type="dxa"/>
          </w:tcPr>
          <w:p>
            <w:pPr>
              <w:jc w:val="center"/>
              <w:rPr>
                <w:rFonts w:hint="eastAsia" w:eastAsiaTheme="minorEastAsia"/>
                <w:vertAlign w:val="baseline"/>
                <w:lang w:eastAsia="zh-CN"/>
              </w:rPr>
            </w:pPr>
            <w:r>
              <w:rPr>
                <w:rFonts w:hint="eastAsia"/>
                <w:vertAlign w:val="baseline"/>
                <w:lang w:eastAsia="zh-CN"/>
              </w:rPr>
              <w:t>数量</w:t>
            </w:r>
          </w:p>
        </w:tc>
        <w:tc>
          <w:tcPr>
            <w:tcW w:w="958" w:type="dxa"/>
          </w:tcPr>
          <w:p>
            <w:pPr>
              <w:jc w:val="center"/>
              <w:rPr>
                <w:rFonts w:hint="eastAsia" w:eastAsiaTheme="minorEastAsia"/>
                <w:vertAlign w:val="baseline"/>
                <w:lang w:eastAsia="zh-CN"/>
              </w:rPr>
            </w:pPr>
            <w:r>
              <w:rPr>
                <w:rFonts w:hint="eastAsia"/>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4"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1144" w:type="dxa"/>
          </w:tcPr>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vertAlign w:val="baseline"/>
                <w:lang w:eastAsia="zh-CN"/>
              </w:rPr>
            </w:pPr>
          </w:p>
          <w:p>
            <w:pPr>
              <w:jc w:val="center"/>
              <w:rPr>
                <w:rFonts w:hint="eastAsia" w:eastAsiaTheme="minorEastAsia"/>
                <w:vertAlign w:val="baseline"/>
                <w:lang w:eastAsia="zh-CN"/>
              </w:rPr>
            </w:pPr>
            <w:r>
              <w:rPr>
                <w:rFonts w:hint="eastAsia"/>
                <w:vertAlign w:val="baseline"/>
                <w:lang w:eastAsia="zh-CN"/>
              </w:rPr>
              <w:t>学生电脑</w:t>
            </w:r>
          </w:p>
        </w:tc>
        <w:tc>
          <w:tcPr>
            <w:tcW w:w="6310" w:type="dxa"/>
          </w:tcPr>
          <w:p>
            <w:pPr>
              <w:jc w:val="left"/>
              <w:rPr>
                <w:rFonts w:hint="eastAsia"/>
                <w:vertAlign w:val="baseline"/>
              </w:rPr>
            </w:pPr>
            <w:r>
              <w:rPr>
                <w:rFonts w:hint="eastAsia"/>
                <w:vertAlign w:val="baseline"/>
              </w:rPr>
              <w:t>处理器CPU系列 酷睿i7 10代系列</w:t>
            </w:r>
          </w:p>
          <w:p>
            <w:pPr>
              <w:jc w:val="left"/>
              <w:rPr>
                <w:rFonts w:hint="eastAsia"/>
                <w:vertAlign w:val="baseline"/>
              </w:rPr>
            </w:pPr>
            <w:r>
              <w:rPr>
                <w:rFonts w:hint="eastAsia"/>
                <w:vertAlign w:val="baseline"/>
              </w:rPr>
              <w:t>CPU频率 2.9GHz</w:t>
            </w:r>
          </w:p>
          <w:p>
            <w:pPr>
              <w:jc w:val="left"/>
              <w:rPr>
                <w:rFonts w:hint="eastAsia"/>
                <w:vertAlign w:val="baseline"/>
              </w:rPr>
            </w:pPr>
            <w:r>
              <w:rPr>
                <w:rFonts w:hint="eastAsia"/>
                <w:vertAlign w:val="baseline"/>
              </w:rPr>
              <w:t>缓存L3 16MB</w:t>
            </w:r>
          </w:p>
          <w:p>
            <w:pPr>
              <w:jc w:val="left"/>
              <w:rPr>
                <w:rFonts w:hint="eastAsia"/>
                <w:vertAlign w:val="baseline"/>
              </w:rPr>
            </w:pPr>
            <w:r>
              <w:rPr>
                <w:rFonts w:hint="eastAsia"/>
                <w:vertAlign w:val="baseline"/>
              </w:rPr>
              <w:t>内存容量 8GB</w:t>
            </w:r>
          </w:p>
          <w:p>
            <w:pPr>
              <w:jc w:val="left"/>
              <w:rPr>
                <w:rFonts w:hint="eastAsia"/>
                <w:vertAlign w:val="baseline"/>
              </w:rPr>
            </w:pPr>
            <w:r>
              <w:rPr>
                <w:rFonts w:hint="eastAsia"/>
                <w:vertAlign w:val="baseline"/>
              </w:rPr>
              <w:t>内存类型 DDR4</w:t>
            </w:r>
          </w:p>
          <w:p>
            <w:pPr>
              <w:jc w:val="left"/>
              <w:rPr>
                <w:rFonts w:hint="eastAsia"/>
                <w:vertAlign w:val="baseline"/>
              </w:rPr>
            </w:pPr>
            <w:r>
              <w:rPr>
                <w:rFonts w:hint="eastAsia"/>
                <w:vertAlign w:val="baseline"/>
              </w:rPr>
              <w:t>硬盘容量 256GB+1TB</w:t>
            </w:r>
          </w:p>
          <w:p>
            <w:pPr>
              <w:jc w:val="left"/>
              <w:rPr>
                <w:rFonts w:hint="eastAsia"/>
                <w:vertAlign w:val="baseline"/>
              </w:rPr>
            </w:pPr>
            <w:r>
              <w:rPr>
                <w:rFonts w:hint="eastAsia"/>
                <w:vertAlign w:val="baseline"/>
              </w:rPr>
              <w:t>显卡类型 独立显卡</w:t>
            </w:r>
          </w:p>
          <w:p>
            <w:pPr>
              <w:jc w:val="left"/>
              <w:rPr>
                <w:rFonts w:hint="eastAsia"/>
                <w:vertAlign w:val="baseline"/>
              </w:rPr>
            </w:pPr>
            <w:r>
              <w:rPr>
                <w:rFonts w:hint="eastAsia"/>
                <w:vertAlign w:val="baseline"/>
              </w:rPr>
              <w:t>显存容量 2GB</w:t>
            </w:r>
          </w:p>
          <w:p>
            <w:pPr>
              <w:jc w:val="left"/>
              <w:rPr>
                <w:rFonts w:hint="eastAsia"/>
                <w:vertAlign w:val="baseline"/>
              </w:rPr>
            </w:pPr>
            <w:r>
              <w:rPr>
                <w:rFonts w:hint="eastAsia"/>
                <w:vertAlign w:val="baseline"/>
              </w:rPr>
              <w:t>屏幕尺寸 ≥21.5英寸</w:t>
            </w:r>
          </w:p>
          <w:p>
            <w:pPr>
              <w:jc w:val="left"/>
              <w:rPr>
                <w:rFonts w:hint="eastAsia"/>
                <w:vertAlign w:val="baseline"/>
              </w:rPr>
            </w:pPr>
            <w:r>
              <w:rPr>
                <w:rFonts w:hint="eastAsia"/>
                <w:vertAlign w:val="baseline"/>
              </w:rPr>
              <w:t>屏幕分辨率 ≥1920x1080</w:t>
            </w:r>
          </w:p>
          <w:p>
            <w:pPr>
              <w:jc w:val="left"/>
              <w:rPr>
                <w:rFonts w:hint="eastAsia"/>
                <w:vertAlign w:val="baseline"/>
              </w:rPr>
            </w:pPr>
            <w:r>
              <w:rPr>
                <w:rFonts w:hint="eastAsia"/>
                <w:vertAlign w:val="baseline"/>
              </w:rPr>
              <w:t>屏幕描述 窄边框</w:t>
            </w:r>
          </w:p>
          <w:p>
            <w:pPr>
              <w:jc w:val="left"/>
              <w:rPr>
                <w:rFonts w:hint="eastAsia"/>
                <w:vertAlign w:val="baseline"/>
              </w:rPr>
            </w:pPr>
            <w:r>
              <w:rPr>
                <w:rFonts w:hint="eastAsia"/>
                <w:vertAlign w:val="baseline"/>
              </w:rPr>
              <w:t>摄像头 1080P高清摄像头（物理防窥）</w:t>
            </w:r>
          </w:p>
          <w:p>
            <w:pPr>
              <w:jc w:val="left"/>
              <w:rPr>
                <w:rFonts w:hint="eastAsia"/>
                <w:vertAlign w:val="baseline"/>
              </w:rPr>
            </w:pPr>
            <w:r>
              <w:rPr>
                <w:rFonts w:hint="eastAsia"/>
                <w:vertAlign w:val="baseline"/>
              </w:rPr>
              <w:t>麦克风 内置麦克风</w:t>
            </w:r>
          </w:p>
          <w:p>
            <w:pPr>
              <w:jc w:val="left"/>
              <w:rPr>
                <w:rFonts w:hint="eastAsia"/>
                <w:vertAlign w:val="baseline"/>
              </w:rPr>
            </w:pPr>
            <w:r>
              <w:rPr>
                <w:rFonts w:hint="eastAsia"/>
                <w:vertAlign w:val="baseline"/>
              </w:rPr>
              <w:t>音频系统 内置音箱</w:t>
            </w:r>
          </w:p>
          <w:p>
            <w:pPr>
              <w:jc w:val="left"/>
              <w:rPr>
                <w:rFonts w:hint="eastAsia"/>
                <w:vertAlign w:val="baseline"/>
              </w:rPr>
            </w:pPr>
            <w:r>
              <w:rPr>
                <w:rFonts w:hint="eastAsia"/>
                <w:vertAlign w:val="baseline"/>
              </w:rPr>
              <w:t>无线网卡 支持802.11ac无线协议，支持双频（2.4GHz+5GHz）</w:t>
            </w:r>
          </w:p>
          <w:p>
            <w:pPr>
              <w:jc w:val="left"/>
              <w:rPr>
                <w:rFonts w:hint="eastAsia"/>
                <w:vertAlign w:val="baseline"/>
              </w:rPr>
            </w:pPr>
            <w:r>
              <w:rPr>
                <w:rFonts w:hint="eastAsia"/>
                <w:vertAlign w:val="baseline"/>
              </w:rPr>
              <w:t>有线网卡 1000Mbps以太网卡</w:t>
            </w:r>
          </w:p>
          <w:p>
            <w:pPr>
              <w:jc w:val="left"/>
              <w:rPr>
                <w:rFonts w:hint="eastAsia"/>
                <w:vertAlign w:val="baseline"/>
              </w:rPr>
            </w:pPr>
            <w:r>
              <w:rPr>
                <w:rFonts w:hint="eastAsia"/>
                <w:vertAlign w:val="baseline"/>
              </w:rPr>
              <w:t>数据接口 4×USB2.0，1×USB3.0，1×USB3.1</w:t>
            </w:r>
          </w:p>
          <w:p>
            <w:pPr>
              <w:jc w:val="left"/>
              <w:rPr>
                <w:rFonts w:hint="eastAsia"/>
                <w:vertAlign w:val="baseline"/>
              </w:rPr>
            </w:pPr>
            <w:r>
              <w:rPr>
                <w:rFonts w:hint="eastAsia"/>
                <w:vertAlign w:val="baseline"/>
              </w:rPr>
              <w:t>音频接口 耳机/麦克风两用接口</w:t>
            </w:r>
          </w:p>
          <w:p>
            <w:pPr>
              <w:jc w:val="left"/>
              <w:rPr>
                <w:rFonts w:hint="eastAsia"/>
                <w:vertAlign w:val="baseline"/>
              </w:rPr>
            </w:pPr>
            <w:r>
              <w:rPr>
                <w:rFonts w:hint="eastAsia"/>
                <w:vertAlign w:val="baseline"/>
              </w:rPr>
              <w:t>视频接口 2×HDMI</w:t>
            </w:r>
          </w:p>
          <w:p>
            <w:pPr>
              <w:jc w:val="left"/>
              <w:rPr>
                <w:rFonts w:hint="eastAsia"/>
                <w:vertAlign w:val="baseline"/>
              </w:rPr>
            </w:pPr>
            <w:r>
              <w:rPr>
                <w:rFonts w:hint="eastAsia"/>
                <w:vertAlign w:val="baseline"/>
              </w:rPr>
              <w:t>网络接口 RJ45（网络接口）</w:t>
            </w:r>
          </w:p>
          <w:p>
            <w:pPr>
              <w:jc w:val="left"/>
              <w:rPr>
                <w:rFonts w:hint="eastAsia"/>
                <w:vertAlign w:val="baseline"/>
              </w:rPr>
            </w:pPr>
            <w:r>
              <w:rPr>
                <w:rFonts w:hint="eastAsia"/>
                <w:vertAlign w:val="baseline"/>
              </w:rPr>
              <w:t>其它接口 电源接口</w:t>
            </w:r>
          </w:p>
          <w:p>
            <w:pPr>
              <w:jc w:val="left"/>
              <w:rPr>
                <w:rFonts w:hint="eastAsia"/>
                <w:vertAlign w:val="baseline"/>
              </w:rPr>
            </w:pPr>
            <w:r>
              <w:rPr>
                <w:rFonts w:hint="eastAsia"/>
                <w:vertAlign w:val="baseline"/>
              </w:rPr>
              <w:t>注：  含耳麦、机房布线、稳压电源及一系列所需材料，确保机房正常运行：</w:t>
            </w:r>
          </w:p>
          <w:p>
            <w:pPr>
              <w:jc w:val="left"/>
              <w:rPr>
                <w:rFonts w:hint="eastAsia"/>
                <w:vertAlign w:val="baseline"/>
              </w:rPr>
            </w:pPr>
            <w:r>
              <w:rPr>
                <w:rFonts w:hint="eastAsia"/>
                <w:vertAlign w:val="baseline"/>
              </w:rPr>
              <w:t>注意：正版系统、同传软件；自带一键恢复系统；</w:t>
            </w:r>
          </w:p>
        </w:tc>
        <w:tc>
          <w:tcPr>
            <w:tcW w:w="850" w:type="dxa"/>
          </w:tcPr>
          <w:p>
            <w:pPr>
              <w:jc w:val="center"/>
              <w:rPr>
                <w:rFonts w:hint="default" w:eastAsiaTheme="minorEastAsia"/>
                <w:vertAlign w:val="baseline"/>
                <w:lang w:val="en-US" w:eastAsia="zh-CN"/>
              </w:rPr>
            </w:pPr>
            <w:r>
              <w:rPr>
                <w:rFonts w:hint="eastAsia"/>
                <w:vertAlign w:val="baseline"/>
                <w:lang w:val="en-US" w:eastAsia="zh-CN"/>
              </w:rPr>
              <w:t>25</w:t>
            </w:r>
          </w:p>
        </w:tc>
        <w:tc>
          <w:tcPr>
            <w:tcW w:w="958" w:type="dxa"/>
          </w:tcPr>
          <w:p>
            <w:pPr>
              <w:jc w:val="center"/>
              <w:rPr>
                <w:rFonts w:hint="eastAsia" w:eastAsiaTheme="minorEastAsia"/>
                <w:vertAlign w:val="baseline"/>
                <w:lang w:eastAsia="zh-CN"/>
              </w:rPr>
            </w:pPr>
            <w:r>
              <w:rPr>
                <w:rFonts w:hint="eastAsia"/>
                <w:vertAlign w:val="baseli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2</w:t>
            </w:r>
          </w:p>
        </w:tc>
        <w:tc>
          <w:tcPr>
            <w:tcW w:w="1144" w:type="dxa"/>
          </w:tcPr>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r>
              <w:rPr>
                <w:rFonts w:hint="eastAsia"/>
                <w:vertAlign w:val="baseline"/>
              </w:rPr>
              <w:t>触控一体机（班班通）</w:t>
            </w:r>
          </w:p>
        </w:tc>
        <w:tc>
          <w:tcPr>
            <w:tcW w:w="6310" w:type="dxa"/>
          </w:tcPr>
          <w:p>
            <w:pPr>
              <w:jc w:val="left"/>
              <w:rPr>
                <w:rFonts w:hint="eastAsia"/>
                <w:vertAlign w:val="baseline"/>
              </w:rPr>
            </w:pPr>
            <w:r>
              <w:rPr>
                <w:rFonts w:hint="eastAsia"/>
                <w:vertAlign w:val="baseline"/>
              </w:rPr>
              <w:t>一：整体设计：</w:t>
            </w:r>
          </w:p>
          <w:p>
            <w:pPr>
              <w:jc w:val="left"/>
              <w:rPr>
                <w:rFonts w:hint="eastAsia"/>
                <w:vertAlign w:val="baseline"/>
              </w:rPr>
            </w:pPr>
            <w:r>
              <w:rPr>
                <w:rFonts w:hint="eastAsia"/>
                <w:vertAlign w:val="baseline"/>
              </w:rPr>
              <w:t>1.整机采用一体设计，外部无任何可见内部功能模块连接线。整机采用全金属外壳设计，边角采用弧形设计，表面无尖锐边缘或凸起。</w:t>
            </w:r>
          </w:p>
          <w:p>
            <w:pPr>
              <w:jc w:val="left"/>
              <w:rPr>
                <w:rFonts w:hint="eastAsia"/>
                <w:vertAlign w:val="baseline"/>
              </w:rPr>
            </w:pPr>
            <w:r>
              <w:rPr>
                <w:rFonts w:hint="eastAsia"/>
                <w:vertAlign w:val="baseline"/>
              </w:rPr>
              <w:t>2.整机屏幕采用≥75英寸液晶显示器。整机采用UHD超高清LED液晶屏，显示比例16:9，分辨率3840（L）×2160(h)、钢化玻璃表面硬度≥9H。色域覆盖率（NTSC）≥72%；灰度等级≥256级。</w:t>
            </w:r>
          </w:p>
          <w:p>
            <w:pPr>
              <w:jc w:val="left"/>
              <w:rPr>
                <w:rFonts w:hint="eastAsia"/>
                <w:vertAlign w:val="baseline"/>
              </w:rPr>
            </w:pPr>
            <w:r>
              <w:rPr>
                <w:rFonts w:hint="eastAsia"/>
                <w:vertAlign w:val="baseline"/>
              </w:rPr>
              <w:t>3.侧置输入接口具备2路HDMI、1路RS232、1路USB接口；侧置输出接口具备1路音频输出、1路触控USB输出；</w:t>
            </w:r>
          </w:p>
          <w:p>
            <w:pPr>
              <w:jc w:val="left"/>
              <w:rPr>
                <w:rFonts w:hint="eastAsia"/>
                <w:vertAlign w:val="baseline"/>
              </w:rPr>
            </w:pPr>
            <w:r>
              <w:rPr>
                <w:rFonts w:hint="eastAsia"/>
                <w:vertAlign w:val="baseline"/>
              </w:rPr>
              <w:t>4.前置输入接口3路USB接口（包含1路Type-C、2路USB）。</w:t>
            </w:r>
          </w:p>
          <w:p>
            <w:pPr>
              <w:jc w:val="left"/>
              <w:rPr>
                <w:rFonts w:hint="eastAsia"/>
                <w:vertAlign w:val="baseline"/>
              </w:rPr>
            </w:pPr>
            <w:r>
              <w:rPr>
                <w:rFonts w:hint="eastAsia"/>
                <w:vertAlign w:val="baseline"/>
              </w:rPr>
              <w:t>5.采用红外触控方式，支持Windows系统中进行20点或以上触控，支持Android系统中进行10点或以上触控。</w:t>
            </w:r>
          </w:p>
          <w:p>
            <w:pPr>
              <w:jc w:val="left"/>
              <w:rPr>
                <w:rFonts w:hint="eastAsia"/>
                <w:vertAlign w:val="baseline"/>
              </w:rPr>
            </w:pPr>
            <w:r>
              <w:rPr>
                <w:rFonts w:hint="eastAsia"/>
                <w:vertAlign w:val="baseline"/>
              </w:rPr>
              <w:t>6.整机内置2.2声道扬声器，前朝向10W高音扬声器2个，上朝向20W中低音扬声器2个，额定总功率60W。</w:t>
            </w:r>
          </w:p>
          <w:p>
            <w:pPr>
              <w:jc w:val="left"/>
              <w:rPr>
                <w:rFonts w:hint="eastAsia"/>
                <w:vertAlign w:val="baseline"/>
              </w:rPr>
            </w:pPr>
            <w:r>
              <w:rPr>
                <w:rFonts w:hint="eastAsia"/>
                <w:vertAlign w:val="baseline"/>
              </w:rPr>
              <w:t>7.整机支持高级音效设置，可以调节左右声道平衡；在中低频段125Hz～1KHz，高频段2KHz～16KHz分别有-12dB～12dB范围的调节功能。</w:t>
            </w:r>
          </w:p>
          <w:p>
            <w:pPr>
              <w:jc w:val="left"/>
              <w:rPr>
                <w:rFonts w:hint="eastAsia"/>
                <w:vertAlign w:val="baseline"/>
              </w:rPr>
            </w:pPr>
            <w:r>
              <w:rPr>
                <w:rFonts w:hint="eastAsia"/>
                <w:vertAlign w:val="baseline"/>
              </w:rPr>
              <w:t>8.整机内置非独立外扩展的4阵列麦克风，可用于对教室环境音频进行采集，拾音距离≥12m。整机内置扬声器采用缝隙发声技术，喇叭采用槽式开口设计，不大于5.8mm。</w:t>
            </w:r>
          </w:p>
          <w:p>
            <w:pPr>
              <w:jc w:val="left"/>
              <w:rPr>
                <w:rFonts w:hint="eastAsia"/>
                <w:vertAlign w:val="baseline"/>
              </w:rPr>
            </w:pPr>
            <w:r>
              <w:rPr>
                <w:rFonts w:hint="eastAsia"/>
                <w:vertAlign w:val="baseline"/>
              </w:rPr>
              <w:t>9.内置摄像头、麦克风无需外接线材连接，无任何可见外接线材及模块化拼接痕迹，未占用整机设备端口。</w:t>
            </w:r>
          </w:p>
          <w:p>
            <w:pPr>
              <w:jc w:val="left"/>
              <w:rPr>
                <w:rFonts w:hint="eastAsia"/>
                <w:vertAlign w:val="baseline"/>
              </w:rPr>
            </w:pPr>
            <w:r>
              <w:rPr>
                <w:rFonts w:hint="eastAsia"/>
                <w:vertAlign w:val="baseline"/>
              </w:rPr>
              <w:t>10.整机支持色彩空间可选，包含标准模式和sRGB模式，在sRGB模式下可做到高色准△E≤1.5。</w:t>
            </w:r>
          </w:p>
          <w:p>
            <w:pPr>
              <w:jc w:val="left"/>
              <w:rPr>
                <w:rFonts w:hint="eastAsia"/>
                <w:vertAlign w:val="baseline"/>
              </w:rPr>
            </w:pPr>
            <w:r>
              <w:rPr>
                <w:rFonts w:hint="eastAsia"/>
                <w:vertAlign w:val="baseline"/>
              </w:rPr>
              <w:t>主要功能：</w:t>
            </w:r>
          </w:p>
          <w:p>
            <w:pPr>
              <w:jc w:val="left"/>
              <w:rPr>
                <w:rFonts w:hint="eastAsia"/>
                <w:vertAlign w:val="baseline"/>
              </w:rPr>
            </w:pPr>
            <w:r>
              <w:rPr>
                <w:rFonts w:hint="eastAsia"/>
                <w:vertAlign w:val="baseline"/>
              </w:rPr>
              <w:t>11.整机摄像头支持环境色温判断，根据环境调节合适的显示图像效果。</w:t>
            </w:r>
          </w:p>
          <w:p>
            <w:pPr>
              <w:jc w:val="left"/>
              <w:rPr>
                <w:rFonts w:hint="eastAsia"/>
                <w:vertAlign w:val="baseline"/>
              </w:rPr>
            </w:pPr>
            <w:r>
              <w:rPr>
                <w:rFonts w:hint="eastAsia"/>
                <w:vertAlign w:val="baseline"/>
              </w:rPr>
              <w:t>12.支持可自定义图像设置，可对对比度、屏幕色温、图像亮度、亮度范围、色彩空间进行更进一步调节设置。</w:t>
            </w:r>
          </w:p>
          <w:p>
            <w:pPr>
              <w:jc w:val="left"/>
              <w:rPr>
                <w:rFonts w:hint="eastAsia"/>
                <w:vertAlign w:val="baseline"/>
              </w:rPr>
            </w:pPr>
            <w:r>
              <w:rPr>
                <w:rFonts w:hint="eastAsia"/>
                <w:vertAlign w:val="baseline"/>
              </w:rPr>
              <w:t>13.通过由中国标准化研究院制定的视觉舒适度（VICO）评价体系测试，并达到视觉舒适度A+级或以上标准。</w:t>
            </w:r>
          </w:p>
          <w:p>
            <w:pPr>
              <w:jc w:val="left"/>
              <w:rPr>
                <w:rFonts w:hint="eastAsia"/>
                <w:vertAlign w:val="baseline"/>
              </w:rPr>
            </w:pPr>
            <w:r>
              <w:rPr>
                <w:rFonts w:hint="eastAsia"/>
                <w:vertAlign w:val="baseline"/>
              </w:rPr>
              <w:t>14.整机视网膜蓝光危害（蓝光加权辐射亮度LB）满足IEC TR 62778:2014蓝光危害RG0级别，整机支持纸质护眼模式，可以在任意通道任意画面任意软件所有显示内容下实现画面纹理的实时调整；支持纸质纹理：牛皮纸、素描纸、宣纸、水彩纸、水纹纸；支持透明度调节；支持色温调节。</w:t>
            </w:r>
          </w:p>
          <w:p>
            <w:pPr>
              <w:jc w:val="left"/>
              <w:rPr>
                <w:rFonts w:hint="eastAsia"/>
                <w:vertAlign w:val="baseline"/>
              </w:rPr>
            </w:pPr>
            <w:r>
              <w:rPr>
                <w:rFonts w:hint="eastAsia"/>
                <w:vertAlign w:val="baseline"/>
              </w:rPr>
              <w:t>15.纸质护眼模式下，显示画面各像素点灰度不规则，减少背景干扰。</w:t>
            </w:r>
          </w:p>
          <w:p>
            <w:pPr>
              <w:jc w:val="left"/>
              <w:rPr>
                <w:rFonts w:hint="eastAsia"/>
                <w:vertAlign w:val="baseline"/>
              </w:rPr>
            </w:pPr>
            <w:r>
              <w:rPr>
                <w:rFonts w:hint="eastAsia"/>
                <w:vertAlign w:val="baseline"/>
              </w:rPr>
              <w:t>16.三合一电源按键，同一电源物理按键完成Android系统和Windows系统的开机、节能熄屏、关机操作；关机状态下按按键开机；开机状态下按按键实现节能熄屏/唤醒，长按按键实现关机。</w:t>
            </w:r>
          </w:p>
          <w:p>
            <w:pPr>
              <w:jc w:val="left"/>
              <w:rPr>
                <w:rFonts w:hint="eastAsia"/>
                <w:vertAlign w:val="baseline"/>
              </w:rPr>
            </w:pPr>
            <w:r>
              <w:rPr>
                <w:rFonts w:hint="eastAsia"/>
                <w:vertAlign w:val="baseline"/>
              </w:rPr>
              <w:t>17.整机具备至少6个前置按键，可实现老师开关机、调出中控菜单、音量+/-、护眼、录屏操作。</w:t>
            </w:r>
          </w:p>
          <w:p>
            <w:pPr>
              <w:jc w:val="left"/>
              <w:rPr>
                <w:rFonts w:hint="eastAsia"/>
                <w:vertAlign w:val="baseline"/>
              </w:rPr>
            </w:pPr>
            <w:r>
              <w:rPr>
                <w:rFonts w:hint="eastAsia"/>
                <w:vertAlign w:val="baseline"/>
              </w:rPr>
              <w:t>18.设备支持通过前置面板物理按键一键启动录屏功能，可将屏幕中显示的课件、音频内容与人声同时录制。</w:t>
            </w:r>
          </w:p>
          <w:p>
            <w:pPr>
              <w:jc w:val="left"/>
              <w:rPr>
                <w:rFonts w:hint="eastAsia"/>
                <w:vertAlign w:val="baseline"/>
              </w:rPr>
            </w:pPr>
            <w:r>
              <w:rPr>
                <w:rFonts w:hint="eastAsia"/>
                <w:vertAlign w:val="baseline"/>
              </w:rPr>
              <w:t>19.前置 USB 接口具备防撞挡板设计，防撞挡板采用转轴式翻转。</w:t>
            </w:r>
          </w:p>
          <w:p>
            <w:pPr>
              <w:jc w:val="left"/>
              <w:rPr>
                <w:rFonts w:hint="eastAsia"/>
                <w:vertAlign w:val="baseline"/>
              </w:rPr>
            </w:pPr>
            <w:r>
              <w:rPr>
                <w:rFonts w:hint="eastAsia"/>
                <w:vertAlign w:val="baseline"/>
              </w:rPr>
              <w:t>20.设备支持自定义前置“设置按键，可通过自定义设置实现前置面板功能按键一键启用任一全局小工具（批注、截屏、计时、降半屏、放大镜、倒数日、日历）、快捷开关（节能模式、纸质护眼模式、经典护眼模式、自动亮度模式）。</w:t>
            </w:r>
          </w:p>
          <w:p>
            <w:pPr>
              <w:jc w:val="left"/>
              <w:rPr>
                <w:rFonts w:hint="eastAsia"/>
                <w:vertAlign w:val="baseline"/>
              </w:rPr>
            </w:pPr>
            <w:r>
              <w:rPr>
                <w:rFonts w:hint="eastAsia"/>
                <w:vertAlign w:val="baseline"/>
              </w:rPr>
              <w:t>21.整机支持搭配具有NFC功能的手机、平板，通过接触整机设备上的NFC标签，即可实现手机、平板与大屏的连接并同步手机、平板的画面到设备上，无需其它操作设置，支持不少于4台手机、平板同时连接并显示。</w:t>
            </w:r>
          </w:p>
          <w:p>
            <w:pPr>
              <w:jc w:val="left"/>
              <w:rPr>
                <w:rFonts w:hint="eastAsia"/>
                <w:vertAlign w:val="baseline"/>
              </w:rPr>
            </w:pPr>
            <w:r>
              <w:rPr>
                <w:rFonts w:hint="eastAsia"/>
                <w:vertAlign w:val="baseline"/>
              </w:rPr>
              <w:t>22.整机支持蓝牙Bluetooth 5.2标准，固件版本号HCI11.20/LMP11.20。</w:t>
            </w:r>
          </w:p>
          <w:p>
            <w:pPr>
              <w:jc w:val="left"/>
              <w:rPr>
                <w:rFonts w:hint="eastAsia"/>
                <w:vertAlign w:val="baseline"/>
              </w:rPr>
            </w:pPr>
            <w:r>
              <w:rPr>
                <w:rFonts w:hint="eastAsia"/>
                <w:vertAlign w:val="baseline"/>
              </w:rPr>
              <w:t>23.整机支持主动发现蓝牙外设从而连接（无需整机进入发现模式），支持连接外部蓝牙音箱播放音频。</w:t>
            </w:r>
          </w:p>
          <w:p>
            <w:pPr>
              <w:jc w:val="left"/>
              <w:rPr>
                <w:rFonts w:hint="eastAsia"/>
                <w:vertAlign w:val="baseline"/>
              </w:rPr>
            </w:pPr>
            <w:r>
              <w:rPr>
                <w:rFonts w:hint="eastAsia"/>
                <w:vertAlign w:val="baseline"/>
              </w:rPr>
              <w:t>24.Wi-Fi及AP热点支持频段2.4GHz/5GHz ；Wi-Fi制式支持IEEE 802.11 a/b/g/n/ac/ax；支持版本Wi-Fi6。</w:t>
            </w:r>
          </w:p>
          <w:p>
            <w:pPr>
              <w:jc w:val="left"/>
              <w:rPr>
                <w:rFonts w:hint="eastAsia"/>
                <w:vertAlign w:val="baseline"/>
              </w:rPr>
            </w:pPr>
            <w:r>
              <w:rPr>
                <w:rFonts w:hint="eastAsia"/>
                <w:vertAlign w:val="baseline"/>
              </w:rPr>
              <w:t>25.整机内置摄像头（非外扩），PC通道下支持通过视频展台软件调用摄像头进行二维码扫码识别。具备摄像头工作指示灯，摄像头运行时，有指示灯提示。整机内置非独立摄像头，拍摄照片像素数≥1300万。摄像头视场角≥135度。</w:t>
            </w:r>
          </w:p>
          <w:p>
            <w:pPr>
              <w:jc w:val="left"/>
              <w:rPr>
                <w:rFonts w:hint="eastAsia"/>
                <w:vertAlign w:val="baseline"/>
              </w:rPr>
            </w:pPr>
            <w:r>
              <w:rPr>
                <w:rFonts w:hint="eastAsia"/>
                <w:vertAlign w:val="baseline"/>
              </w:rPr>
              <w:t>26.整机内置非独立的高清摄像头，可用于远程巡课，拍摄范围可以涵盖整机距离摄像头垂直法线左右水平距离各大于等于4米，左右最边缘深度大于等于2.3米范围内，并且可以AI识别人像。</w:t>
            </w:r>
          </w:p>
          <w:p>
            <w:pPr>
              <w:jc w:val="left"/>
              <w:rPr>
                <w:rFonts w:hint="eastAsia"/>
                <w:vertAlign w:val="baseline"/>
              </w:rPr>
            </w:pPr>
            <w:r>
              <w:rPr>
                <w:rFonts w:hint="eastAsia"/>
                <w:vertAlign w:val="baseline"/>
              </w:rPr>
              <w:t>27.整机摄像头支持大于等于10米距离时实现AI识别人像。整机摄像头支持人脸识别、快速点人数、随机抽人；识别所有学生，显示标记，然后随机抽选，同时显示标记不少于60人。</w:t>
            </w:r>
          </w:p>
          <w:p>
            <w:pPr>
              <w:jc w:val="left"/>
              <w:rPr>
                <w:rFonts w:hint="eastAsia"/>
                <w:vertAlign w:val="baseline"/>
              </w:rPr>
            </w:pPr>
            <w:r>
              <w:rPr>
                <w:rFonts w:hint="eastAsia"/>
                <w:vertAlign w:val="baseline"/>
              </w:rPr>
              <w:t>28.整机支持通过人脸识别进行解锁设备以及人脸识别进行登录账号。</w:t>
            </w:r>
          </w:p>
          <w:p>
            <w:pPr>
              <w:jc w:val="left"/>
              <w:rPr>
                <w:rFonts w:hint="eastAsia"/>
                <w:vertAlign w:val="baseline"/>
              </w:rPr>
            </w:pPr>
            <w:r>
              <w:rPr>
                <w:rFonts w:hint="eastAsia"/>
                <w:vertAlign w:val="baseline"/>
              </w:rPr>
              <w:t>29.支持Windows 7、Windows 8、Windows 10、Linux、Mac Os系统外置电脑操作系统接入时，无需安装触摸驱动。触摸分辨率32768×32768。触摸响应时间≤4ms。触摸最小识别物≤3mm。整机屏幕触摸有效识别高度不超过3.5mm,，即触摸物体距离玻璃外表面高度不超过3.5mm时，触摸屏识别为点击操作。</w:t>
            </w:r>
          </w:p>
          <w:p>
            <w:pPr>
              <w:jc w:val="left"/>
              <w:rPr>
                <w:rFonts w:hint="eastAsia"/>
                <w:vertAlign w:val="baseline"/>
              </w:rPr>
            </w:pPr>
            <w:r>
              <w:rPr>
                <w:rFonts w:hint="eastAsia"/>
                <w:vertAlign w:val="baseline"/>
              </w:rPr>
              <w:t>30.支持同一支红外笔笔头、笔尾书写不同的颜色，且颜色可自定义。</w:t>
            </w:r>
          </w:p>
          <w:p>
            <w:pPr>
              <w:jc w:val="left"/>
              <w:rPr>
                <w:rFonts w:hint="eastAsia"/>
                <w:vertAlign w:val="baseline"/>
              </w:rPr>
            </w:pPr>
            <w:r>
              <w:rPr>
                <w:rFonts w:hint="eastAsia"/>
                <w:vertAlign w:val="baseline"/>
              </w:rPr>
              <w:t>31.整机具备前置Type-C接口，通过Type-C接口实现音视频输入，外接电脑设备经双头Type-C线连接至整机，即可把外接电脑设备画面投到整机上，同时在整机上操作画面，可实现触摸电脑的操作，无需再连接触控USB线。</w:t>
            </w:r>
          </w:p>
          <w:p>
            <w:pPr>
              <w:jc w:val="left"/>
              <w:rPr>
                <w:rFonts w:hint="eastAsia"/>
                <w:vertAlign w:val="baseline"/>
              </w:rPr>
            </w:pPr>
            <w:r>
              <w:rPr>
                <w:rFonts w:hint="eastAsia"/>
                <w:vertAlign w:val="baseline"/>
              </w:rPr>
              <w:t>32.外接电脑设备经双头Type-C线连接至整机，可调用整机内置的摄像头、麦克风、扬声器，在外接电脑即可控制整机拍摄教室画面。前置Type-C接口，支持通过不带转换转置的外部线缆，实现外接电脑HDMI信号的接入显示。</w:t>
            </w:r>
          </w:p>
          <w:p>
            <w:pPr>
              <w:jc w:val="left"/>
              <w:rPr>
                <w:rFonts w:hint="eastAsia"/>
                <w:vertAlign w:val="baseline"/>
              </w:rPr>
            </w:pPr>
            <w:r>
              <w:rPr>
                <w:rFonts w:hint="eastAsia"/>
                <w:vertAlign w:val="baseline"/>
              </w:rPr>
              <w:t>33.嵌入式系统版本不低于Android 11，内存≥2GB，存储空间≥8GB。</w:t>
            </w:r>
          </w:p>
          <w:p>
            <w:pPr>
              <w:jc w:val="left"/>
              <w:rPr>
                <w:rFonts w:hint="eastAsia"/>
                <w:vertAlign w:val="baseline"/>
              </w:rPr>
            </w:pPr>
            <w:r>
              <w:rPr>
                <w:rFonts w:hint="eastAsia"/>
                <w:vertAlign w:val="baseline"/>
              </w:rPr>
              <w:t>34.整机内置专业硬件自检维护工具（非第三方工具），支持对触摸框和PC模块进行检测，并针对不同模块给出问题代码提示。当整机处于黑暗环境中并无人操作，一分钟后整机将可以自动进入熄屏模式。</w:t>
            </w:r>
          </w:p>
          <w:p>
            <w:pPr>
              <w:jc w:val="left"/>
              <w:rPr>
                <w:rFonts w:hint="eastAsia"/>
                <w:vertAlign w:val="baseline"/>
              </w:rPr>
            </w:pPr>
            <w:r>
              <w:rPr>
                <w:rFonts w:hint="eastAsia"/>
                <w:vertAlign w:val="baseline"/>
              </w:rPr>
              <w:t>35.整机电磁干扰ITE，满足教学环境多电子设备共用，无需采取任何电磁辐射防护措施。</w:t>
            </w:r>
          </w:p>
          <w:p>
            <w:pPr>
              <w:jc w:val="left"/>
              <w:rPr>
                <w:rFonts w:hint="eastAsia"/>
                <w:vertAlign w:val="baseline"/>
              </w:rPr>
            </w:pPr>
            <w:r>
              <w:rPr>
                <w:rFonts w:hint="eastAsia"/>
                <w:vertAlign w:val="baseline"/>
              </w:rPr>
              <w:t>36.采用全物理钢化玻璃，有效保护屏幕显示画面；整机采用防眩光玻璃，屏幕支持防眩光功能；机身具备防盐雾锈蚀特性，且满足GB4943.1-2011标准中的防火要求。整机具备抗振动、防跌落特性，保证整机运输或使用过程中不易受损。整机表面覆盖玻璃选用国标优等品，光学变形、点状缺陷、尺寸偏差、弯曲度、透射比等均符合GB11614-2009平板玻璃标准</w:t>
            </w:r>
          </w:p>
          <w:p>
            <w:pPr>
              <w:jc w:val="left"/>
              <w:rPr>
                <w:rFonts w:hint="eastAsia"/>
                <w:vertAlign w:val="baseline"/>
              </w:rPr>
            </w:pPr>
            <w:r>
              <w:rPr>
                <w:rFonts w:hint="eastAsia"/>
                <w:vertAlign w:val="baseline"/>
              </w:rPr>
              <w:t>37.整机书写面板采用防眩光全钢化防爆玻璃面板，面板的碎片状态、抗冲击性、霰弹袋冲击性能、耐热冲击性能均通过国家强制玻璃标准，表面应力≥100Mpa,适应学校复杂环境，保障教学安全。</w:t>
            </w:r>
          </w:p>
          <w:p>
            <w:pPr>
              <w:jc w:val="left"/>
              <w:rPr>
                <w:rFonts w:hint="eastAsia"/>
                <w:vertAlign w:val="baseline"/>
              </w:rPr>
            </w:pPr>
            <w:r>
              <w:rPr>
                <w:rFonts w:hint="eastAsia"/>
                <w:vertAlign w:val="baseline"/>
              </w:rPr>
              <w:t>38.整机在0℃- 40℃环境下可正常工作，在-20℃—60℃的环境下可正常贮存且贮存后功能无损。</w:t>
            </w:r>
          </w:p>
          <w:p>
            <w:pPr>
              <w:jc w:val="left"/>
              <w:rPr>
                <w:rFonts w:hint="eastAsia"/>
                <w:vertAlign w:val="baseline"/>
              </w:rPr>
            </w:pPr>
            <w:r>
              <w:rPr>
                <w:rFonts w:hint="eastAsia"/>
                <w:vertAlign w:val="baseline"/>
              </w:rPr>
              <w:t>39.整机具备供电保护模块，能够检测内置电脑是否插好在位，在内置电脑未在位的情况下，内置电脑无法上电工作。</w:t>
            </w:r>
          </w:p>
          <w:p>
            <w:pPr>
              <w:jc w:val="left"/>
              <w:rPr>
                <w:rFonts w:hint="eastAsia"/>
                <w:vertAlign w:val="baseline"/>
              </w:rPr>
            </w:pPr>
            <w:r>
              <w:rPr>
                <w:rFonts w:hint="eastAsia"/>
                <w:vertAlign w:val="baseline"/>
              </w:rPr>
              <w:t>40.整机内置全通道侧边栏快捷菜单，实时显示天气情况、日期、小工具、快捷设置、应用软件、亮度/音量调节、教室物联入口，在任意显示通道下均可通过侧边栏一键进入该触摸菜单。</w:t>
            </w:r>
          </w:p>
          <w:p>
            <w:pPr>
              <w:jc w:val="left"/>
              <w:rPr>
                <w:rFonts w:hint="eastAsia"/>
                <w:vertAlign w:val="baseline"/>
              </w:rPr>
            </w:pPr>
            <w:r>
              <w:rPr>
                <w:rFonts w:hint="eastAsia"/>
                <w:vertAlign w:val="baseline"/>
              </w:rPr>
              <w:t>41.提供专业的教师界面。整机设备教学桌面的教师登录账号后，可自动获取并在桌面显示最近使用的教学课件，点击任意课件可直接进入授课模式；并支持查看所有个人教学课件资源。</w:t>
            </w:r>
          </w:p>
          <w:p>
            <w:pPr>
              <w:jc w:val="left"/>
              <w:rPr>
                <w:rFonts w:hint="eastAsia"/>
                <w:vertAlign w:val="baseline"/>
              </w:rPr>
            </w:pPr>
            <w:r>
              <w:rPr>
                <w:rFonts w:hint="eastAsia"/>
                <w:vertAlign w:val="baseline"/>
              </w:rPr>
              <w:t>电脑模块：</w:t>
            </w:r>
          </w:p>
          <w:p>
            <w:pPr>
              <w:jc w:val="left"/>
              <w:rPr>
                <w:rFonts w:hint="eastAsia"/>
                <w:vertAlign w:val="baseline"/>
              </w:rPr>
            </w:pPr>
            <w:r>
              <w:rPr>
                <w:rFonts w:hint="eastAsia"/>
                <w:vertAlign w:val="baseline"/>
              </w:rPr>
              <w:t>42.PC模块可抽拉式插入整机，可实现无单独接线的插拔。采用按压式卡扣设计，无需工具即可快速拆卸PC模块。</w:t>
            </w:r>
          </w:p>
          <w:p>
            <w:pPr>
              <w:jc w:val="left"/>
              <w:rPr>
                <w:rFonts w:hint="eastAsia"/>
                <w:vertAlign w:val="baseline"/>
              </w:rPr>
            </w:pPr>
            <w:r>
              <w:rPr>
                <w:rFonts w:hint="eastAsia"/>
                <w:vertAlign w:val="baseline"/>
              </w:rPr>
              <w:t>43.和整机的连接采用≤80pin接口，传输速率≥10Gbps。</w:t>
            </w:r>
          </w:p>
          <w:p>
            <w:pPr>
              <w:jc w:val="left"/>
              <w:rPr>
                <w:rFonts w:hint="eastAsia"/>
                <w:vertAlign w:val="baseline"/>
              </w:rPr>
            </w:pPr>
            <w:r>
              <w:rPr>
                <w:rFonts w:hint="eastAsia"/>
                <w:vertAlign w:val="baseline"/>
              </w:rPr>
              <w:t>44.OPS插拔式电脑：intel标准接口，处理器:采用第十一代Intel CORE I5以上CPU， 内存不小于8G DDR4 ，硬盘≥256G SSD，内置双频无线和蓝牙接收器，千兆有线模块及相关接口。</w:t>
            </w:r>
          </w:p>
          <w:p>
            <w:pPr>
              <w:jc w:val="left"/>
              <w:rPr>
                <w:rFonts w:hint="eastAsia"/>
                <w:vertAlign w:val="baseline"/>
              </w:rPr>
            </w:pPr>
            <w:r>
              <w:rPr>
                <w:rFonts w:hint="eastAsia"/>
                <w:vertAlign w:val="baseline"/>
              </w:rPr>
              <w:t>教学软件：</w:t>
            </w:r>
          </w:p>
          <w:p>
            <w:pPr>
              <w:jc w:val="left"/>
              <w:rPr>
                <w:rFonts w:hint="eastAsia"/>
                <w:vertAlign w:val="baseline"/>
              </w:rPr>
            </w:pPr>
            <w:r>
              <w:rPr>
                <w:rFonts w:hint="eastAsia"/>
                <w:vertAlign w:val="baseline"/>
              </w:rPr>
              <w:t xml:space="preserve">45、能够为教师提供云存储空间，教师可在个人云空间中上传存储互动课件、云教案和其他教学资源。 </w:t>
            </w:r>
          </w:p>
          <w:p>
            <w:pPr>
              <w:jc w:val="left"/>
              <w:rPr>
                <w:rFonts w:hint="eastAsia"/>
                <w:vertAlign w:val="baseline"/>
              </w:rPr>
            </w:pPr>
            <w:r>
              <w:rPr>
                <w:rFonts w:hint="eastAsia"/>
                <w:vertAlign w:val="baseline"/>
              </w:rPr>
              <w:t>46、可以移动调整文件及文件夹的层级，能够对文件进行重命名、删除操作。互动课件与其他教学资源的云空间相互独立。教师可新建课件组或素材文件夹对教学资源进行个性化分类与标记。</w:t>
            </w:r>
          </w:p>
          <w:p>
            <w:pPr>
              <w:jc w:val="left"/>
              <w:rPr>
                <w:rFonts w:hint="eastAsia"/>
                <w:vertAlign w:val="baseline"/>
              </w:rPr>
            </w:pPr>
            <w:r>
              <w:rPr>
                <w:rFonts w:hint="eastAsia"/>
                <w:vertAlign w:val="baseline"/>
              </w:rPr>
              <w:t>47、具备AI智能备课助手：能按照教学环节筛选对应课件页一键插入课件中，可导入新课、作者简介。能按照元素类型思维导图、课堂活动选取需要的部分补充课件缺失的部分。 可以在查看部分课件的同时查看对应整份课件，了解作者整体教学思路。</w:t>
            </w:r>
          </w:p>
          <w:p>
            <w:pPr>
              <w:jc w:val="left"/>
              <w:rPr>
                <w:rFonts w:hint="eastAsia"/>
                <w:vertAlign w:val="baseline"/>
              </w:rPr>
            </w:pPr>
            <w:r>
              <w:rPr>
                <w:rFonts w:hint="eastAsia"/>
                <w:vertAlign w:val="baseline"/>
              </w:rPr>
              <w:t>48、支持PPT的原生解析，教师可将pptx课件转化为互动教学课件，支持单份导入和批量文件夹导入两种导入方式，保留pptx原文件中的文字、图片、表格等对象及动画的可编辑性，并可为课件增加互动教学元素。</w:t>
            </w:r>
          </w:p>
          <w:p>
            <w:pPr>
              <w:jc w:val="left"/>
              <w:rPr>
                <w:rFonts w:hint="eastAsia"/>
                <w:vertAlign w:val="baseline"/>
              </w:rPr>
            </w:pPr>
            <w:r>
              <w:rPr>
                <w:rFonts w:hint="eastAsia"/>
                <w:vertAlign w:val="baseline"/>
              </w:rPr>
              <w:t>49、AI智能纠错：软件内置的AI智能语义分析模块，可对输入的英文文本的拼写、句型、语法进行错误检查，并支持一键纠错。</w:t>
            </w:r>
          </w:p>
          <w:p>
            <w:pPr>
              <w:jc w:val="left"/>
              <w:rPr>
                <w:rFonts w:hint="eastAsia"/>
                <w:vertAlign w:val="baseline"/>
              </w:rPr>
            </w:pPr>
            <w:r>
              <w:rPr>
                <w:rFonts w:hint="eastAsia"/>
                <w:vertAlign w:val="baseline"/>
              </w:rPr>
              <w:t>50、AI音标助手：支持浏览和插入国际音标表，可直接点击发音，支持已整表和单个音标卡片插入。支持智能将字母、单词、句子转写为音标，并可一键插入到备课课件中形成文本。</w:t>
            </w:r>
          </w:p>
          <w:p>
            <w:pPr>
              <w:jc w:val="left"/>
              <w:rPr>
                <w:rFonts w:hint="eastAsia"/>
                <w:vertAlign w:val="baseline"/>
              </w:rPr>
            </w:pPr>
            <w:r>
              <w:rPr>
                <w:rFonts w:hint="eastAsia"/>
                <w:vertAlign w:val="baseline"/>
              </w:rPr>
              <w:t>二：集中控制管理平台</w:t>
            </w:r>
          </w:p>
          <w:p>
            <w:pPr>
              <w:jc w:val="left"/>
              <w:rPr>
                <w:rFonts w:hint="eastAsia"/>
                <w:vertAlign w:val="baseline"/>
              </w:rPr>
            </w:pPr>
            <w:r>
              <w:rPr>
                <w:rFonts w:hint="eastAsia"/>
                <w:vertAlign w:val="baseline"/>
              </w:rPr>
              <w:t>统一安全管理（LH)：</w:t>
            </w:r>
          </w:p>
          <w:p>
            <w:pPr>
              <w:jc w:val="left"/>
              <w:rPr>
                <w:rFonts w:hint="eastAsia"/>
                <w:vertAlign w:val="baseline"/>
              </w:rPr>
            </w:pPr>
            <w:r>
              <w:rPr>
                <w:rFonts w:hint="eastAsia"/>
                <w:vertAlign w:val="baseline"/>
              </w:rPr>
              <w:t>1. 采用一校一码的认证机制，为学校提供专属识别码，通过学校代码进行设备与管理平台之间的关联，保证管理的私密和安全。</w:t>
            </w:r>
          </w:p>
          <w:p>
            <w:pPr>
              <w:jc w:val="left"/>
              <w:rPr>
                <w:rFonts w:hint="eastAsia"/>
                <w:vertAlign w:val="baseline"/>
              </w:rPr>
            </w:pPr>
            <w:r>
              <w:rPr>
                <w:rFonts w:hint="eastAsia"/>
                <w:vertAlign w:val="baseline"/>
              </w:rPr>
              <w:t>2. 冰点还原：支持创设系统还原点，实现磁盘级的系统还原保护，可根据教学需要自由选择磁盘分区设立还原点、取消还原点。</w:t>
            </w:r>
          </w:p>
          <w:p>
            <w:pPr>
              <w:jc w:val="left"/>
              <w:rPr>
                <w:rFonts w:hint="eastAsia"/>
                <w:vertAlign w:val="baseline"/>
              </w:rPr>
            </w:pPr>
            <w:r>
              <w:rPr>
                <w:rFonts w:hint="eastAsia"/>
                <w:vertAlign w:val="baseline"/>
              </w:rPr>
              <w:t>3. 病毒查杀：支持对外接移动存储设备进行即时病毒检查，确保教学安全。</w:t>
            </w:r>
          </w:p>
          <w:p>
            <w:pPr>
              <w:jc w:val="left"/>
              <w:rPr>
                <w:rFonts w:hint="eastAsia"/>
                <w:vertAlign w:val="baseline"/>
              </w:rPr>
            </w:pPr>
            <w:r>
              <w:rPr>
                <w:rFonts w:hint="eastAsia"/>
                <w:vertAlign w:val="baseline"/>
              </w:rPr>
              <w:t>4. 弹窗拦截：支持对软件应用弹窗进行无差别拦截，可自定义自动拦截、手动点选拦截、超级拦截，保证教学过程中无干扰。</w:t>
            </w:r>
          </w:p>
          <w:p>
            <w:pPr>
              <w:jc w:val="left"/>
              <w:rPr>
                <w:rFonts w:hint="eastAsia"/>
                <w:vertAlign w:val="baseline"/>
              </w:rPr>
            </w:pPr>
            <w:r>
              <w:rPr>
                <w:rFonts w:hint="eastAsia"/>
                <w:vertAlign w:val="baseline"/>
              </w:rPr>
              <w:t>设备管理平台：</w:t>
            </w:r>
          </w:p>
          <w:p>
            <w:pPr>
              <w:jc w:val="left"/>
              <w:rPr>
                <w:rFonts w:hint="eastAsia"/>
                <w:vertAlign w:val="baseline"/>
              </w:rPr>
            </w:pPr>
            <w:r>
              <w:rPr>
                <w:rFonts w:hint="eastAsia"/>
                <w:vertAlign w:val="baseline"/>
              </w:rPr>
              <w:t>5. 系统采用B/S混合云架构设计，支持在Windows、Linux、Android、IOS等多种操作系统通过网页浏览器登录使用。</w:t>
            </w:r>
          </w:p>
          <w:p>
            <w:pPr>
              <w:jc w:val="left"/>
              <w:rPr>
                <w:rFonts w:hint="eastAsia"/>
                <w:vertAlign w:val="baseline"/>
              </w:rPr>
            </w:pPr>
            <w:r>
              <w:rPr>
                <w:rFonts w:hint="eastAsia"/>
                <w:vertAlign w:val="baseline"/>
              </w:rPr>
              <w:t>6. 系统支持对全校智慧教室的交互智能平板、交互智能录播、交互电子白板一体机设备进行集中运维管理和策略部署。</w:t>
            </w:r>
          </w:p>
          <w:p>
            <w:pPr>
              <w:jc w:val="left"/>
              <w:rPr>
                <w:rFonts w:hint="eastAsia"/>
                <w:vertAlign w:val="baseline"/>
              </w:rPr>
            </w:pPr>
            <w:r>
              <w:rPr>
                <w:rFonts w:hint="eastAsia"/>
                <w:vertAlign w:val="baseline"/>
              </w:rPr>
              <w:t>7. 支持根据实际使用场景按照产品类型、建筑物、班级、设备开关机状态分级管理，并可模糊搜索定位管理设备。</w:t>
            </w:r>
          </w:p>
          <w:p>
            <w:pPr>
              <w:jc w:val="left"/>
              <w:rPr>
                <w:rFonts w:hint="eastAsia"/>
                <w:vertAlign w:val="baseline"/>
              </w:rPr>
            </w:pPr>
            <w:r>
              <w:rPr>
                <w:rFonts w:hint="eastAsia"/>
                <w:vertAlign w:val="baseline"/>
              </w:rPr>
              <w:t>8. 支持实时查看指令执行状态，并且可监管指令发送日志，对发送失败的指令进行远程重发。</w:t>
            </w:r>
          </w:p>
          <w:p>
            <w:pPr>
              <w:jc w:val="left"/>
              <w:rPr>
                <w:rFonts w:hint="eastAsia"/>
                <w:vertAlign w:val="baseline"/>
              </w:rPr>
            </w:pPr>
            <w:r>
              <w:rPr>
                <w:rFonts w:hint="eastAsia"/>
                <w:vertAlign w:val="baseline"/>
              </w:rPr>
              <w:t>9. 支持实时展示所有设备的使用状态及设备运行画面，并可监控单台设备的开机情况、软件使用情况、硬盘使用、内存使用率、设备ID等数据，便于远程定位及维护设备。</w:t>
            </w:r>
          </w:p>
          <w:p>
            <w:pPr>
              <w:jc w:val="left"/>
              <w:rPr>
                <w:rFonts w:hint="eastAsia"/>
                <w:vertAlign w:val="baseline"/>
              </w:rPr>
            </w:pPr>
            <w:r>
              <w:rPr>
                <w:rFonts w:hint="eastAsia"/>
                <w:vertAlign w:val="baseline"/>
              </w:rPr>
              <w:t>10. 支持自定义循环周期设置锁屏周期指令，并支持一键下课锁屏、开机即锁屏、长时未使用自动锁屏等智能锁屏管理，以及可支持无网络激活码认证解锁、密码解锁，有网络场景下扫码快速解锁。</w:t>
            </w:r>
          </w:p>
          <w:p>
            <w:pPr>
              <w:jc w:val="left"/>
              <w:rPr>
                <w:rFonts w:hint="eastAsia"/>
                <w:vertAlign w:val="baseline"/>
              </w:rPr>
            </w:pPr>
            <w:r>
              <w:rPr>
                <w:rFonts w:hint="eastAsia"/>
                <w:vertAlign w:val="baseline"/>
              </w:rPr>
              <w:t>11. 支持远程发送消息通知、文件传输、静默安装软件、倒计时。</w:t>
            </w:r>
          </w:p>
          <w:p>
            <w:pPr>
              <w:jc w:val="left"/>
              <w:rPr>
                <w:rFonts w:hint="eastAsia"/>
                <w:vertAlign w:val="baseline"/>
              </w:rPr>
            </w:pPr>
            <w:r>
              <w:rPr>
                <w:rFonts w:hint="eastAsia"/>
                <w:vertAlign w:val="baseline"/>
              </w:rPr>
              <w:t>12. 支持远程实时控制设备，可监测设备当前运行界面，并远程操作设备界面，适用于远程维护和修复设备软件问题。</w:t>
            </w:r>
          </w:p>
          <w:p>
            <w:pPr>
              <w:jc w:val="left"/>
              <w:rPr>
                <w:rFonts w:hint="eastAsia"/>
                <w:vertAlign w:val="baseline"/>
              </w:rPr>
            </w:pPr>
            <w:r>
              <w:rPr>
                <w:rFonts w:hint="eastAsia"/>
                <w:vertAlign w:val="baseline"/>
              </w:rPr>
              <w:t>13. 支持教室的实时摄像头画面、设备屏幕画面；单台设备巡视时，发现有违规违纪行为时，可远程发消息、发语音直接干预，也可记录备注，事后教育。支持记录所有管理员的巡视记录，方便回溯。</w:t>
            </w:r>
          </w:p>
          <w:p>
            <w:pPr>
              <w:jc w:val="left"/>
              <w:rPr>
                <w:rFonts w:hint="eastAsia"/>
                <w:vertAlign w:val="baseline"/>
              </w:rPr>
            </w:pPr>
            <w:r>
              <w:rPr>
                <w:rFonts w:hint="eastAsia"/>
                <w:vertAlign w:val="baseline"/>
              </w:rPr>
              <w:t>14. 支持查看并导出设备使用数据、软件活跃数据、教学应用数据、健康度分析数据。</w:t>
            </w:r>
          </w:p>
          <w:p>
            <w:pPr>
              <w:jc w:val="left"/>
              <w:rPr>
                <w:rFonts w:hint="eastAsia"/>
                <w:vertAlign w:val="baseline"/>
              </w:rPr>
            </w:pPr>
            <w:r>
              <w:rPr>
                <w:rFonts w:hint="eastAsia"/>
                <w:vertAlign w:val="baseline"/>
              </w:rPr>
              <w:t>移动控制平台：</w:t>
            </w:r>
          </w:p>
          <w:p>
            <w:pPr>
              <w:jc w:val="left"/>
              <w:rPr>
                <w:rFonts w:hint="eastAsia"/>
                <w:vertAlign w:val="baseline"/>
              </w:rPr>
            </w:pPr>
            <w:r>
              <w:rPr>
                <w:rFonts w:hint="eastAsia"/>
                <w:vertAlign w:val="baseline"/>
              </w:rPr>
              <w:t>15. 移动系统采用Mini Program设计，无需下载单独安装APP即可使用；兼容Android、IOS等多种移动操作系统，便于远程管理及告警信息通知。</w:t>
            </w:r>
          </w:p>
          <w:p>
            <w:pPr>
              <w:jc w:val="left"/>
              <w:rPr>
                <w:rFonts w:hint="eastAsia"/>
                <w:vertAlign w:val="baseline"/>
              </w:rPr>
            </w:pPr>
            <w:r>
              <w:rPr>
                <w:rFonts w:hint="eastAsia"/>
                <w:vertAlign w:val="baseline"/>
              </w:rPr>
              <w:t>16. 支持查看不同类型设备的在线率、异常指令数、异常设备数及设备详情。</w:t>
            </w:r>
          </w:p>
          <w:p>
            <w:pPr>
              <w:jc w:val="left"/>
              <w:rPr>
                <w:rFonts w:hint="eastAsia"/>
                <w:vertAlign w:val="baseline"/>
              </w:rPr>
            </w:pPr>
            <w:r>
              <w:rPr>
                <w:rFonts w:hint="eastAsia"/>
                <w:vertAlign w:val="baseline"/>
              </w:rPr>
              <w:t>支持实时查看设备当前状态及实时画面，并可进行实时远程开机、关机、重启、锁屏、消息推送功能。</w:t>
            </w:r>
          </w:p>
        </w:tc>
        <w:tc>
          <w:tcPr>
            <w:tcW w:w="850" w:type="dxa"/>
            <w:vMerge w:val="restart"/>
          </w:tcPr>
          <w:p>
            <w:pPr>
              <w:jc w:val="center"/>
              <w:rPr>
                <w:rFonts w:hint="default" w:eastAsiaTheme="minorEastAsia"/>
                <w:vertAlign w:val="baseline"/>
                <w:lang w:val="en-US" w:eastAsia="zh-CN"/>
              </w:rPr>
            </w:pPr>
            <w:r>
              <w:rPr>
                <w:rFonts w:hint="eastAsia"/>
                <w:vertAlign w:val="baseline"/>
                <w:lang w:val="en-US" w:eastAsia="zh-CN"/>
              </w:rPr>
              <w:t>55</w:t>
            </w:r>
          </w:p>
        </w:tc>
        <w:tc>
          <w:tcPr>
            <w:tcW w:w="958" w:type="dxa"/>
            <w:vMerge w:val="restart"/>
          </w:tcPr>
          <w:p>
            <w:pPr>
              <w:jc w:val="center"/>
              <w:rPr>
                <w:rFonts w:hint="eastAsia" w:eastAsiaTheme="minorEastAsia"/>
                <w:vertAlign w:val="baseline"/>
                <w:lang w:eastAsia="zh-CN"/>
              </w:rPr>
            </w:pPr>
            <w:r>
              <w:rPr>
                <w:rFonts w:hint="eastAsia"/>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653"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3</w:t>
            </w:r>
          </w:p>
        </w:tc>
        <w:tc>
          <w:tcPr>
            <w:tcW w:w="1144" w:type="dxa"/>
          </w:tcPr>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p>
          <w:p>
            <w:pPr>
              <w:jc w:val="center"/>
              <w:rPr>
                <w:rFonts w:hint="eastAsia"/>
                <w:vertAlign w:val="baseline"/>
              </w:rPr>
            </w:pPr>
            <w:r>
              <w:rPr>
                <w:rFonts w:hint="eastAsia"/>
                <w:vertAlign w:val="baseline"/>
              </w:rPr>
              <w:t>推拉黑板</w:t>
            </w:r>
          </w:p>
        </w:tc>
        <w:tc>
          <w:tcPr>
            <w:tcW w:w="6310" w:type="dxa"/>
          </w:tcPr>
          <w:p>
            <w:pPr>
              <w:jc w:val="left"/>
              <w:rPr>
                <w:rFonts w:hint="eastAsia"/>
                <w:vertAlign w:val="baseline"/>
              </w:rPr>
            </w:pPr>
            <w:r>
              <w:rPr>
                <w:rFonts w:hint="eastAsia"/>
                <w:vertAlign w:val="baseline"/>
              </w:rPr>
              <w:t>整体外观尺寸：宽≥4200mm，高≥1243mm，厚≤149mm。书写板为左右推拉结构，由活动板、固定板、大框（轨道）、滑动系统构成，支持多媒体设备居中安装。书写板左右去竖框化设计，增加黑板整体美观性，也从根本上解决活动板与竖框的夹手问题。书写板分内外双层，内层为固定书写板，采用无固定件安装，与多媒体设备正面平齐；外层为滑动书写板，可左右推拉，两块活动板闭合后，无边框障碍，可连续书写。面板、背板四边折边，流水线作业，保证产品一致性，尺寸误差≤0.2mm，对角线误差≤0.3mm；活动板、固定板四边无铝合金边框，不仅更美观，且增加书写面积。大框（轨道）：采用银白色高档铝合金，表面经氧化、磨砂涂层处理，模具一次成型；双层铝合金管状结构，上框规格≤20mm×70mm，壁厚≥1.0mm；下框一体化设计，规格≤84*12mm，壁厚≥1.0mm。包角采用ABS工程塑料，模具注塑一次成型，银灰色，长≤150mm，不接受拼接，采用内插式设计，每块活动板上、下安装四个≥50mm增强改性尼龙滑块模组；上T型正向吊装，厚度≥5mm滑动设计；下滑块模组采用单轨限位设计，活动板晃动≤0.5mm、无噪音。粘接剂甲醛释放量符合国家规定。采用防潮吸音塑料蜂窝板，厚度≤10mm。黑板上框内隐形安装4块≥50*20*8mm硅胶缓冲块。采用黑色彩涂板，厚度≥0.25mm。</w:t>
            </w:r>
          </w:p>
          <w:p>
            <w:pPr>
              <w:jc w:val="left"/>
              <w:rPr>
                <w:rFonts w:hint="eastAsia"/>
                <w:vertAlign w:val="baseline"/>
              </w:rPr>
            </w:pPr>
            <w:r>
              <w:rPr>
                <w:rFonts w:hint="eastAsia"/>
                <w:vertAlign w:val="baseline"/>
              </w:rPr>
              <w:t>托架优质钢板一体冲压成型，尺寸≤130*45*80，有加强槽更牢固，整体镀锌防锈，数量≥7个。拉手ABS工程塑料注塑成型，尺寸≤100*18银白色拉手，流线型，美观。书写板颜色：墨绿色。面板采用优质烤漆钢板，基板厚度≥0.30mm，丙烯酸树脂漆，漆面细腻平整，整板无拼接。硬度：涂层硬度≥5H。光泽度：光泽度在7光泽单位以下，没有明显眩光。</w:t>
            </w:r>
          </w:p>
        </w:tc>
        <w:tc>
          <w:tcPr>
            <w:tcW w:w="850" w:type="dxa"/>
            <w:vMerge w:val="continue"/>
          </w:tcPr>
          <w:p>
            <w:pPr>
              <w:jc w:val="center"/>
              <w:rPr>
                <w:rFonts w:hint="eastAsia"/>
                <w:vertAlign w:val="baseline"/>
              </w:rPr>
            </w:pPr>
          </w:p>
        </w:tc>
        <w:tc>
          <w:tcPr>
            <w:tcW w:w="958" w:type="dxa"/>
            <w:vMerge w:val="continue"/>
          </w:tcPr>
          <w:p>
            <w:pPr>
              <w:jc w:val="center"/>
              <w:rPr>
                <w:rFonts w:hint="eastAsia"/>
                <w:vertAlign w:val="baseline"/>
              </w:rPr>
            </w:pPr>
          </w:p>
        </w:tc>
      </w:tr>
    </w:tbl>
    <w:p>
      <w:pPr>
        <w:spacing w:line="360" w:lineRule="auto"/>
        <w:rPr>
          <w:rFonts w:hint="eastAsia"/>
          <w:b/>
          <w:bCs/>
          <w:color w:val="auto"/>
          <w:sz w:val="22"/>
          <w:szCs w:val="28"/>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bookmarkStart w:id="58" w:name="_Toc267320049"/>
      <w:bookmarkStart w:id="59" w:name="_Toc340225290"/>
      <w:r>
        <w:rPr>
          <w:rFonts w:hint="eastAsia"/>
          <w:b/>
          <w:bCs/>
          <w:color w:val="auto"/>
          <w:sz w:val="22"/>
          <w:szCs w:val="28"/>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全部</w:t>
      </w:r>
      <w:r>
        <w:rPr>
          <w:rFonts w:hint="eastAsia" w:ascii="Times New Roman" w:hAnsi="Times New Roman" w:eastAsia="宋体" w:cs="Times New Roman"/>
          <w:b/>
          <w:bCs w:val="0"/>
          <w:color w:val="auto"/>
          <w:kern w:val="2"/>
          <w:sz w:val="21"/>
          <w:szCs w:val="21"/>
          <w:highlight w:val="none"/>
          <w:lang w:val="en-US" w:eastAsia="zh-CN" w:bidi="ar-SA"/>
        </w:rPr>
        <w:t>设备30日内到货安装并配合采购人完成验收工作，保证设备正常使用。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甲方指定地点。</w:t>
      </w:r>
      <w:r>
        <w:rPr>
          <w:rFonts w:hint="eastAsia" w:ascii="宋体" w:hAnsi="宋体" w:cs="宋体"/>
          <w:b/>
          <w:color w:val="auto"/>
          <w:szCs w:val="21"/>
          <w:highlight w:val="none"/>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1、自验收合格之日起计保修期，提供整机原厂</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highlight w:val="none"/>
          <w:lang w:val="en-US" w:eastAsia="zh-CN"/>
        </w:rPr>
      </w:pPr>
    </w:p>
    <w:p>
      <w:pPr>
        <w:widowControl/>
        <w:spacing w:line="360" w:lineRule="auto"/>
        <w:rPr>
          <w:rFonts w:hint="eastAsia" w:ascii="宋体" w:hAnsi="宋体" w:cs="宋体"/>
          <w:b/>
          <w:bCs/>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eastAsia="zh-CN"/>
        </w:rPr>
        <w:t>五</w:t>
      </w:r>
      <w:r>
        <w:rPr>
          <w:rFonts w:hint="eastAsia" w:ascii="宋体" w:hAnsi="宋体" w:cs="宋体"/>
          <w:b/>
          <w:bCs/>
          <w:color w:val="auto"/>
          <w:kern w:val="0"/>
          <w:szCs w:val="21"/>
        </w:rPr>
        <w:t>）</w:t>
      </w:r>
      <w:r>
        <w:rPr>
          <w:rFonts w:hint="eastAsia" w:ascii="宋体" w:hAnsi="宋体" w:cs="宋体"/>
          <w:b/>
          <w:bCs/>
          <w:color w:val="auto"/>
          <w:szCs w:val="21"/>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八</w:t>
      </w:r>
      <w:r>
        <w:rPr>
          <w:rFonts w:hint="eastAsia" w:ascii="宋体" w:hAnsi="宋体" w:cs="宋体"/>
          <w:b/>
          <w:color w:val="000000" w:themeColor="text1"/>
          <w:szCs w:val="21"/>
          <w14:textFill>
            <w14:solidFill>
              <w14:schemeClr w14:val="tx1"/>
            </w14:solidFill>
          </w14:textFill>
        </w:rPr>
        <w:t>）知识产权</w:t>
      </w:r>
    </w:p>
    <w:p>
      <w:pPr>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九</w:t>
      </w:r>
      <w:r>
        <w:rPr>
          <w:rFonts w:hint="eastAsia" w:ascii="宋体" w:hAnsi="宋体" w:cs="宋体"/>
          <w:b/>
          <w:color w:val="000000" w:themeColor="text1"/>
          <w:szCs w:val="21"/>
          <w14:textFill>
            <w14:solidFill>
              <w14:schemeClr w14:val="tx1"/>
            </w14:solidFill>
          </w14:textFill>
        </w:rPr>
        <w:t>）其他</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2、其他未尽事宜由供需双方在采购合同中详细约定。</w:t>
      </w:r>
      <w:bookmarkEnd w:id="57"/>
      <w:bookmarkStart w:id="62" w:name="_Toc469495740"/>
    </w:p>
    <w:p>
      <w:pPr>
        <w:spacing w:line="360" w:lineRule="auto"/>
        <w:ind w:firstLine="426" w:firstLineChars="200"/>
        <w:rPr>
          <w:rFonts w:hint="eastAsia"/>
          <w:lang w:val="en-US" w:eastAsia="zh-CN"/>
        </w:rPr>
      </w:pPr>
      <w:r>
        <w:rPr>
          <w:rFonts w:hint="eastAsia" w:ascii="宋体" w:hAnsi="宋体" w:cs="宋体"/>
          <w:bCs/>
          <w:color w:val="000000" w:themeColor="text1"/>
          <w:szCs w:val="21"/>
          <w:lang w:val="en-US" w:eastAsia="zh-CN"/>
          <w14:textFill>
            <w14:solidFill>
              <w14:schemeClr w14:val="tx1"/>
            </w14:solidFill>
          </w14:textFill>
        </w:rPr>
        <w:t>3、投标人在服务期必须遵守安全生产事项、如：发生安全事故由投标人承担一切责任。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296602498"/>
      <w:bookmarkStart w:id="66" w:name="_Toc246996996"/>
      <w:bookmarkStart w:id="67" w:name="_Toc246996253"/>
      <w:bookmarkStart w:id="68" w:name="_Toc179632628"/>
      <w:bookmarkStart w:id="69" w:name="_Toc152042388"/>
      <w:bookmarkStart w:id="70" w:name="_Toc247085768"/>
      <w:bookmarkStart w:id="71" w:name="_Toc144974578"/>
      <w:bookmarkStart w:id="72" w:name="_Toc469495742"/>
      <w:bookmarkStart w:id="73" w:name="_Toc152045610"/>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000000" w:themeColor="text1"/>
          <w:szCs w:val="21"/>
          <w:highlight w:val="none"/>
          <w14:textFill>
            <w14:solidFill>
              <w14:schemeClr w14:val="tx1"/>
            </w14:solidFill>
          </w14:textFill>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sz w:val="24"/>
        </w:rPr>
      </w:pPr>
      <w:r>
        <w:rPr>
          <w:rFonts w:hint="eastAsia" w:ascii="宋体" w:cs="宋体"/>
          <w:b/>
          <w:color w:val="000000" w:themeColor="text1"/>
          <w:szCs w:val="21"/>
          <w:highlight w:val="none"/>
          <w14:textFill>
            <w14:solidFill>
              <w14:schemeClr w14:val="tx1"/>
            </w14:solidFill>
          </w14:textFill>
        </w:rPr>
        <w:t xml:space="preserve">三. </w:t>
      </w:r>
      <w:r>
        <w:rPr>
          <w:rFonts w:hint="eastAsia" w:ascii="宋体" w:hAnsi="宋体" w:eastAsia="宋体" w:cs="宋体"/>
          <w:b/>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515647803"/>
      <w:bookmarkStart w:id="76" w:name="_Toc18974"/>
      <w:bookmarkStart w:id="77" w:name="_Toc18694"/>
      <w:bookmarkStart w:id="78" w:name="_Toc8919"/>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29899"/>
      <w:bookmarkStart w:id="81" w:name="_Toc17577"/>
      <w:bookmarkStart w:id="82" w:name="_Toc4844"/>
      <w:bookmarkStart w:id="83" w:name="_Ref467988698"/>
      <w:bookmarkStart w:id="84" w:name="_Toc216582813"/>
      <w:bookmarkStart w:id="85" w:name="_Toc520356217"/>
      <w:bookmarkStart w:id="86" w:name="_Toc48094234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515647808"/>
      <w:bookmarkStart w:id="89" w:name="_Toc7039"/>
      <w:bookmarkStart w:id="90" w:name="_Toc32520"/>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22472"/>
      <w:bookmarkStart w:id="92" w:name="_Toc515647807"/>
      <w:bookmarkStart w:id="93" w:name="_Toc23503"/>
      <w:bookmarkStart w:id="94" w:name="_Toc108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515647809"/>
      <w:bookmarkStart w:id="98" w:name="_Toc11047"/>
      <w:bookmarkStart w:id="99" w:name="_Toc28445"/>
      <w:bookmarkStart w:id="100" w:name="_Toc4866"/>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665"/>
      <w:bookmarkStart w:id="102" w:name="_Toc494296991"/>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515647810"/>
      <w:bookmarkStart w:id="104" w:name="_Toc27021"/>
      <w:bookmarkStart w:id="105" w:name="_Toc5710"/>
      <w:bookmarkStart w:id="106" w:name="_Toc18754"/>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4937"/>
      <w:bookmarkStart w:id="108" w:name="_Toc32670"/>
      <w:bookmarkStart w:id="109" w:name="_Toc515647811"/>
      <w:bookmarkStart w:id="110" w:name="_Toc24428"/>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11180"/>
      <w:bookmarkStart w:id="112" w:name="_Toc5695"/>
      <w:bookmarkStart w:id="113" w:name="_Toc515647816"/>
      <w:bookmarkStart w:id="114" w:name="_Toc22967"/>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12、评分标准和细则中</w:t>
      </w:r>
      <w:r>
        <w:rPr>
          <w:rFonts w:hint="eastAsia" w:ascii="宋体" w:hAnsi="宋体" w:cs="Times New Roman"/>
          <w:color w:val="000000"/>
          <w:szCs w:val="21"/>
          <w:highlight w:val="none"/>
          <w:lang w:val="en-US" w:eastAsia="zh-CN"/>
        </w:rPr>
        <w:t>商务</w:t>
      </w:r>
      <w:r>
        <w:rPr>
          <w:rFonts w:hint="eastAsia" w:ascii="宋体" w:hAnsi="宋体" w:eastAsia="宋体" w:cs="Times New Roman"/>
          <w:color w:val="000000"/>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000000"/>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23473"/>
      <w:bookmarkStart w:id="116" w:name="_Toc1266"/>
      <w:bookmarkStart w:id="117" w:name="_Toc10107"/>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1881"/>
      <w:bookmarkStart w:id="120" w:name="_Toc20897"/>
      <w:bookmarkStart w:id="121" w:name="_Toc216582815"/>
      <w:bookmarkStart w:id="122" w:name="_Toc515647818"/>
      <w:bookmarkStart w:id="123" w:name="_Toc10313"/>
      <w:bookmarkStart w:id="124" w:name="_Toc22563"/>
      <w:bookmarkStart w:id="125" w:name="_Toc216582817"/>
      <w:bookmarkStart w:id="126" w:name="_Toc28959"/>
      <w:bookmarkStart w:id="127" w:name="_Toc515647820"/>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1980"/>
      <w:bookmarkStart w:id="131" w:name="_Toc23"/>
      <w:bookmarkStart w:id="132" w:name="_Toc515647821"/>
      <w:bookmarkStart w:id="133" w:name="_Toc21391"/>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10725"/>
      <w:bookmarkStart w:id="136" w:name="_Toc515647823"/>
      <w:bookmarkStart w:id="137" w:name="_Toc2963"/>
      <w:bookmarkStart w:id="138" w:name="_Toc30795"/>
      <w:bookmarkStart w:id="139" w:name="_Toc28099"/>
      <w:bookmarkStart w:id="140" w:name="_Toc515647827"/>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kern w:val="0"/>
          <w:sz w:val="24"/>
        </w:rPr>
      </w:pPr>
      <w:r>
        <w:rPr>
          <w:rFonts w:hint="eastAsia" w:ascii="宋体" w:hAnsi="宋体" w:eastAsia="宋体" w:cs="宋体"/>
          <w:kern w:val="0"/>
          <w:sz w:val="24"/>
        </w:rPr>
        <w:t xml:space="preserve">        </w:t>
      </w:r>
    </w:p>
    <w:p>
      <w:pPr>
        <w:pStyle w:val="49"/>
        <w:kinsoku/>
        <w:topLinePunct w:val="0"/>
        <w:bidi w:val="0"/>
        <w:spacing w:line="380" w:lineRule="exact"/>
        <w:rPr>
          <w:rFonts w:hint="eastAsia" w:ascii="宋体" w:hAnsi="宋体" w:eastAsia="宋体" w:cs="宋体"/>
          <w:kern w:val="0"/>
          <w:sz w:val="24"/>
        </w:rPr>
      </w:pPr>
    </w:p>
    <w:p>
      <w:pPr>
        <w:pStyle w:val="49"/>
        <w:kinsoku/>
        <w:topLinePunct w:val="0"/>
        <w:bidi w:val="0"/>
        <w:spacing w:line="380" w:lineRule="exact"/>
        <w:rPr>
          <w:rFonts w:hint="eastAsia" w:ascii="宋体" w:hAnsi="宋体" w:eastAsia="宋体" w:cs="宋体"/>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rPr>
      </w:pPr>
    </w:p>
    <w:p>
      <w:pPr>
        <w:kinsoku/>
        <w:topLinePunct w:val="0"/>
        <w:bidi w:val="0"/>
        <w:spacing w:line="380" w:lineRule="exact"/>
        <w:rPr>
          <w:rFonts w:hint="eastAsia" w:ascii="宋体" w:hAnsi="宋体" w:eastAsia="宋体" w:cs="宋体"/>
        </w:rPr>
      </w:pPr>
      <w:bookmarkStart w:id="141" w:name="_Toc10977"/>
      <w:bookmarkStart w:id="142" w:name="_Toc10877"/>
      <w:bookmarkStart w:id="143" w:name="_Toc11803"/>
      <w:bookmarkStart w:id="144" w:name="_Toc515647824"/>
    </w:p>
    <w:p>
      <w:pPr>
        <w:pStyle w:val="26"/>
        <w:kinsoku/>
        <w:topLinePunct w:val="0"/>
        <w:bidi w:val="0"/>
        <w:spacing w:line="380" w:lineRule="exact"/>
        <w:rPr>
          <w:rFonts w:hint="eastAsia" w:ascii="宋体" w:hAnsi="宋体" w:eastAsia="宋体" w:cs="宋体"/>
        </w:rPr>
      </w:pPr>
    </w:p>
    <w:p>
      <w:pPr>
        <w:kinsoku/>
        <w:topLinePunct w:val="0"/>
        <w:bidi w:val="0"/>
        <w:spacing w:line="380" w:lineRule="exact"/>
        <w:rPr>
          <w:rFonts w:hint="eastAsia" w:ascii="宋体" w:hAnsi="宋体" w:eastAsia="宋体" w:cs="宋体"/>
        </w:rPr>
      </w:pPr>
    </w:p>
    <w:p>
      <w:pPr>
        <w:pStyle w:val="5"/>
        <w:numPr>
          <w:ilvl w:val="0"/>
          <w:numId w:val="0"/>
        </w:numPr>
        <w:kinsoku/>
        <w:topLinePunct w:val="0"/>
        <w:bidi w:val="0"/>
        <w:spacing w:line="380" w:lineRule="exact"/>
        <w:jc w:val="both"/>
        <w:rPr>
          <w:rFonts w:hint="eastAsia" w:ascii="宋体" w:hAnsi="宋体" w:eastAsia="宋体" w:cs="宋体"/>
          <w:b/>
          <w:bCs/>
        </w:rPr>
      </w:pPr>
    </w:p>
    <w:p>
      <w:pPr>
        <w:rPr>
          <w:rFonts w:hint="eastAsia" w:ascii="宋体" w:hAnsi="宋体" w:eastAsia="宋体" w:cs="宋体"/>
          <w:b/>
          <w:bCs/>
        </w:rPr>
      </w:pPr>
    </w:p>
    <w:p>
      <w:pPr>
        <w:pStyle w:val="2"/>
        <w:rPr>
          <w:rFonts w:hint="eastAsia"/>
        </w:rPr>
      </w:pPr>
    </w:p>
    <w:bookmarkEnd w:id="141"/>
    <w:bookmarkEnd w:id="142"/>
    <w:bookmarkEnd w:id="143"/>
    <w:bookmarkEnd w:id="144"/>
    <w:p>
      <w:pPr>
        <w:pStyle w:val="26"/>
        <w:kinsoku/>
        <w:topLinePunct w:val="0"/>
        <w:bidi w:val="0"/>
        <w:spacing w:line="380" w:lineRule="exact"/>
        <w:rPr>
          <w:rFonts w:hint="eastAsia" w:ascii="宋体" w:hAnsi="宋体" w:eastAsia="宋体" w:cs="宋体"/>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rPr>
      </w:pPr>
      <w:bookmarkStart w:id="145" w:name="_Toc8010"/>
      <w:bookmarkStart w:id="146" w:name="_Toc19284"/>
      <w:bookmarkStart w:id="147" w:name="_Toc515647825"/>
      <w:bookmarkStart w:id="148" w:name="_Toc23068"/>
      <w:bookmarkStart w:id="149" w:name="OLE_LINK13"/>
      <w:bookmarkStart w:id="150" w:name="OLE_LINK14"/>
      <w:r>
        <w:rPr>
          <w:rFonts w:hint="eastAsia" w:ascii="宋体" w:hAnsi="宋体" w:eastAsia="宋体" w:cs="宋体"/>
          <w:b/>
          <w:bCs/>
        </w:rPr>
        <w:t xml:space="preserve"> </w:t>
      </w:r>
      <w:r>
        <w:rPr>
          <w:rFonts w:hint="eastAsia" w:ascii="宋体" w:hAnsi="宋体" w:cs="宋体"/>
          <w:b/>
          <w:bCs/>
          <w:lang w:val="en-US" w:eastAsia="zh-CN"/>
        </w:rPr>
        <w:t>8</w:t>
      </w:r>
      <w:r>
        <w:rPr>
          <w:rFonts w:hint="eastAsia" w:ascii="宋体" w:hAnsi="宋体" w:eastAsia="宋体" w:cs="宋体"/>
          <w:b/>
          <w:bCs/>
          <w:lang w:val="en-US" w:eastAsia="zh-CN"/>
        </w:rPr>
        <w:t>、</w:t>
      </w:r>
      <w:r>
        <w:rPr>
          <w:rFonts w:hint="eastAsia" w:ascii="宋体" w:hAnsi="宋体" w:eastAsia="宋体" w:cs="宋体"/>
          <w:b/>
          <w:bCs/>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kinsoku/>
        <w:topLinePunct w:val="0"/>
        <w:bidi w:val="0"/>
        <w:spacing w:line="380" w:lineRule="exact"/>
        <w:ind w:left="1087" w:leftChars="257" w:hanging="540"/>
        <w:jc w:val="center"/>
        <w:rPr>
          <w:rFonts w:hint="eastAsia" w:ascii="宋体" w:hAnsi="宋体" w:eastAsia="宋体" w:cs="宋体"/>
          <w:b/>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5"/>
        <w:numPr>
          <w:ilvl w:val="0"/>
          <w:numId w:val="0"/>
        </w:numPr>
        <w:kinsoku/>
        <w:topLinePunct w:val="0"/>
        <w:bidi w:val="0"/>
        <w:spacing w:line="380" w:lineRule="exact"/>
        <w:ind w:left="547" w:leftChars="257"/>
        <w:jc w:val="center"/>
        <w:rPr>
          <w:rFonts w:hint="eastAsia" w:ascii="宋体" w:hAnsi="宋体" w:eastAsia="宋体" w:cs="宋体"/>
        </w:rPr>
      </w:pPr>
    </w:p>
    <w:p>
      <w:pPr>
        <w:pStyle w:val="49"/>
        <w:kinsoku/>
        <w:topLinePunct w:val="0"/>
        <w:bidi w:val="0"/>
        <w:spacing w:line="380" w:lineRule="exact"/>
        <w:ind w:left="0" w:leftChars="0" w:firstLine="0" w:firstLineChars="0"/>
        <w:rPr>
          <w:rFonts w:hint="eastAsia" w:ascii="宋体" w:hAnsi="宋体" w:eastAsia="宋体" w:cs="宋体"/>
        </w:rPr>
      </w:pPr>
    </w:p>
    <w:p>
      <w:pPr>
        <w:pStyle w:val="49"/>
        <w:kinsoku/>
        <w:topLinePunct w:val="0"/>
        <w:bidi w:val="0"/>
        <w:spacing w:line="380" w:lineRule="exact"/>
        <w:rPr>
          <w:rFonts w:hint="eastAsia" w:ascii="宋体" w:hAnsi="宋体" w:eastAsia="宋体" w:cs="宋体"/>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515647828"/>
      <w:bookmarkStart w:id="153" w:name="_Toc17333"/>
      <w:bookmarkStart w:id="154" w:name="_Toc7414"/>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sectPr>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jdiODNhMTc2ZWE2OTliODc0NjMzNTU0NWNkOT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5B6051"/>
    <w:rsid w:val="05D02834"/>
    <w:rsid w:val="05E64C20"/>
    <w:rsid w:val="05ED6429"/>
    <w:rsid w:val="064A0705"/>
    <w:rsid w:val="06897EFF"/>
    <w:rsid w:val="06A04F45"/>
    <w:rsid w:val="06AF7AFE"/>
    <w:rsid w:val="06B04F83"/>
    <w:rsid w:val="06D500D3"/>
    <w:rsid w:val="074143D2"/>
    <w:rsid w:val="07443158"/>
    <w:rsid w:val="074E6108"/>
    <w:rsid w:val="07D41F0B"/>
    <w:rsid w:val="07EF451C"/>
    <w:rsid w:val="080A62FE"/>
    <w:rsid w:val="082779D0"/>
    <w:rsid w:val="08305869"/>
    <w:rsid w:val="088849B4"/>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AC2639"/>
    <w:rsid w:val="0FB2671F"/>
    <w:rsid w:val="0FBF4B97"/>
    <w:rsid w:val="10130368"/>
    <w:rsid w:val="102E514F"/>
    <w:rsid w:val="104C77C0"/>
    <w:rsid w:val="1061783B"/>
    <w:rsid w:val="107812BE"/>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20040C"/>
    <w:rsid w:val="172374C5"/>
    <w:rsid w:val="174E3C66"/>
    <w:rsid w:val="175005C5"/>
    <w:rsid w:val="17BA0860"/>
    <w:rsid w:val="17FF1CA5"/>
    <w:rsid w:val="186576DB"/>
    <w:rsid w:val="1870581D"/>
    <w:rsid w:val="18852DC4"/>
    <w:rsid w:val="18B43EE8"/>
    <w:rsid w:val="19940024"/>
    <w:rsid w:val="19B73F44"/>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6E3D48"/>
    <w:rsid w:val="25F50CB6"/>
    <w:rsid w:val="260D24A3"/>
    <w:rsid w:val="26163EB5"/>
    <w:rsid w:val="26251D06"/>
    <w:rsid w:val="26321F0A"/>
    <w:rsid w:val="26C568DA"/>
    <w:rsid w:val="26D905D7"/>
    <w:rsid w:val="26EA6665"/>
    <w:rsid w:val="2746688A"/>
    <w:rsid w:val="276B6060"/>
    <w:rsid w:val="27822A1D"/>
    <w:rsid w:val="278F23C0"/>
    <w:rsid w:val="27B2145C"/>
    <w:rsid w:val="27FA7131"/>
    <w:rsid w:val="281A0EA7"/>
    <w:rsid w:val="28435545"/>
    <w:rsid w:val="287C121A"/>
    <w:rsid w:val="28962D82"/>
    <w:rsid w:val="28C22024"/>
    <w:rsid w:val="28DA4193"/>
    <w:rsid w:val="28E76FDC"/>
    <w:rsid w:val="28FB2A87"/>
    <w:rsid w:val="290129D3"/>
    <w:rsid w:val="298D5275"/>
    <w:rsid w:val="29F56D48"/>
    <w:rsid w:val="2A0D0CC4"/>
    <w:rsid w:val="2A1B2201"/>
    <w:rsid w:val="2A51735C"/>
    <w:rsid w:val="2A613DAE"/>
    <w:rsid w:val="2AC8240E"/>
    <w:rsid w:val="2AE474F4"/>
    <w:rsid w:val="2AE91610"/>
    <w:rsid w:val="2AF23A16"/>
    <w:rsid w:val="2B2D0EF2"/>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7C0898"/>
    <w:rsid w:val="341774EA"/>
    <w:rsid w:val="343C6007"/>
    <w:rsid w:val="3474525E"/>
    <w:rsid w:val="348231C8"/>
    <w:rsid w:val="349756CD"/>
    <w:rsid w:val="34BB1D0D"/>
    <w:rsid w:val="34DB703E"/>
    <w:rsid w:val="352B6080"/>
    <w:rsid w:val="352E7A4E"/>
    <w:rsid w:val="355D1BDD"/>
    <w:rsid w:val="358E0B37"/>
    <w:rsid w:val="35F273D0"/>
    <w:rsid w:val="35FF1075"/>
    <w:rsid w:val="36312BA6"/>
    <w:rsid w:val="363E3E80"/>
    <w:rsid w:val="364147F8"/>
    <w:rsid w:val="36AB0D07"/>
    <w:rsid w:val="36CA51EA"/>
    <w:rsid w:val="36F44901"/>
    <w:rsid w:val="371216F3"/>
    <w:rsid w:val="371562DB"/>
    <w:rsid w:val="37256F21"/>
    <w:rsid w:val="37321D6A"/>
    <w:rsid w:val="37555A58"/>
    <w:rsid w:val="37B26BC7"/>
    <w:rsid w:val="37BA272F"/>
    <w:rsid w:val="37DF7667"/>
    <w:rsid w:val="3810197F"/>
    <w:rsid w:val="382F7F59"/>
    <w:rsid w:val="3898459D"/>
    <w:rsid w:val="38A243F2"/>
    <w:rsid w:val="38B4677D"/>
    <w:rsid w:val="38D65532"/>
    <w:rsid w:val="39585248"/>
    <w:rsid w:val="39682C9F"/>
    <w:rsid w:val="39C0030D"/>
    <w:rsid w:val="39E15BEA"/>
    <w:rsid w:val="3A271963"/>
    <w:rsid w:val="3AF96F3C"/>
    <w:rsid w:val="3AFF6407"/>
    <w:rsid w:val="3B4E1274"/>
    <w:rsid w:val="3B6A75F8"/>
    <w:rsid w:val="3B8A2759"/>
    <w:rsid w:val="3BA20BFD"/>
    <w:rsid w:val="3BA42B0A"/>
    <w:rsid w:val="3BC40B50"/>
    <w:rsid w:val="3BD01B51"/>
    <w:rsid w:val="3C003D8D"/>
    <w:rsid w:val="3C3917A1"/>
    <w:rsid w:val="3C5C2847"/>
    <w:rsid w:val="3C925059"/>
    <w:rsid w:val="3CB5559F"/>
    <w:rsid w:val="3CBB0751"/>
    <w:rsid w:val="3CBC2B52"/>
    <w:rsid w:val="3CE753A4"/>
    <w:rsid w:val="3D094553"/>
    <w:rsid w:val="3D1F312E"/>
    <w:rsid w:val="3D6A7724"/>
    <w:rsid w:val="3DDC1163"/>
    <w:rsid w:val="3E3711E2"/>
    <w:rsid w:val="3E421533"/>
    <w:rsid w:val="3E4E44C1"/>
    <w:rsid w:val="3E8D5E6B"/>
    <w:rsid w:val="3ED01430"/>
    <w:rsid w:val="3EDC25BB"/>
    <w:rsid w:val="3F66594E"/>
    <w:rsid w:val="3F796D91"/>
    <w:rsid w:val="3F9733C2"/>
    <w:rsid w:val="3FA30497"/>
    <w:rsid w:val="3FD247CD"/>
    <w:rsid w:val="3FD414E4"/>
    <w:rsid w:val="40D45C40"/>
    <w:rsid w:val="40DB5220"/>
    <w:rsid w:val="40E81C84"/>
    <w:rsid w:val="40F94293"/>
    <w:rsid w:val="40FD34E0"/>
    <w:rsid w:val="4157061F"/>
    <w:rsid w:val="41662610"/>
    <w:rsid w:val="41921B27"/>
    <w:rsid w:val="41D75722"/>
    <w:rsid w:val="429E34F1"/>
    <w:rsid w:val="42AA6865"/>
    <w:rsid w:val="42C57F36"/>
    <w:rsid w:val="42D27F5D"/>
    <w:rsid w:val="42EA6221"/>
    <w:rsid w:val="434A46EC"/>
    <w:rsid w:val="435C7A89"/>
    <w:rsid w:val="43941B2C"/>
    <w:rsid w:val="43CB2F74"/>
    <w:rsid w:val="43E44935"/>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7F30BF"/>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4B7040"/>
    <w:rsid w:val="5B5136E8"/>
    <w:rsid w:val="5B8542BD"/>
    <w:rsid w:val="5BB22788"/>
    <w:rsid w:val="5BEF0AD5"/>
    <w:rsid w:val="5C0E64BD"/>
    <w:rsid w:val="5C0F3B78"/>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600A8C"/>
    <w:rsid w:val="6A7D7D3F"/>
    <w:rsid w:val="6A9C5931"/>
    <w:rsid w:val="6AD14FD7"/>
    <w:rsid w:val="6B327947"/>
    <w:rsid w:val="6BC92D5B"/>
    <w:rsid w:val="6BD20370"/>
    <w:rsid w:val="6BDC2A11"/>
    <w:rsid w:val="6BE85984"/>
    <w:rsid w:val="6C4179F9"/>
    <w:rsid w:val="6D2356D5"/>
    <w:rsid w:val="6D374CDD"/>
    <w:rsid w:val="6D4603CA"/>
    <w:rsid w:val="6D7A376E"/>
    <w:rsid w:val="6D924ED4"/>
    <w:rsid w:val="6D993497"/>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5532CF"/>
    <w:rsid w:val="72611287"/>
    <w:rsid w:val="72BB5F8B"/>
    <w:rsid w:val="72BB6655"/>
    <w:rsid w:val="72C712E1"/>
    <w:rsid w:val="72FA1A10"/>
    <w:rsid w:val="73322ECF"/>
    <w:rsid w:val="73662167"/>
    <w:rsid w:val="73952CB3"/>
    <w:rsid w:val="73C55FFA"/>
    <w:rsid w:val="744A0A36"/>
    <w:rsid w:val="7501589A"/>
    <w:rsid w:val="75092F11"/>
    <w:rsid w:val="751C6001"/>
    <w:rsid w:val="752C54C6"/>
    <w:rsid w:val="75686957"/>
    <w:rsid w:val="761A4816"/>
    <w:rsid w:val="76772852"/>
    <w:rsid w:val="767C4B99"/>
    <w:rsid w:val="769D3F76"/>
    <w:rsid w:val="76C46426"/>
    <w:rsid w:val="76D36956"/>
    <w:rsid w:val="771D3195"/>
    <w:rsid w:val="7758241F"/>
    <w:rsid w:val="77644F04"/>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72753A"/>
    <w:rsid w:val="7A8377B3"/>
    <w:rsid w:val="7AF47429"/>
    <w:rsid w:val="7B0862D8"/>
    <w:rsid w:val="7B130B37"/>
    <w:rsid w:val="7B406A51"/>
    <w:rsid w:val="7B6B4CD9"/>
    <w:rsid w:val="7B9B00FB"/>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87</Pages>
  <Words>46842</Words>
  <Characters>50333</Characters>
  <Lines>310</Lines>
  <Paragraphs>87</Paragraphs>
  <TotalTime>0</TotalTime>
  <ScaleCrop>false</ScaleCrop>
  <LinksUpToDate>false</LinksUpToDate>
  <CharactersWithSpaces>53657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2023-03-09T03:48:00Z</cp:lastPrinted>
  <dcterms:modified xsi:type="dcterms:W3CDTF">2023-05-25T12:02:48Z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C5226FD990DA432B9C00A95E23232FEE</vt:lpwstr>
  </property>
</Properties>
</file>