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737D1">
      <w:pPr>
        <w:snapToGrid w:val="0"/>
        <w:spacing w:line="360" w:lineRule="auto"/>
        <w:ind w:right="17"/>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14:paraId="48EBAA79">
      <w:pPr>
        <w:widowControl/>
        <w:spacing w:line="360" w:lineRule="atLeast"/>
        <w:ind w:firstLine="540"/>
        <w:jc w:val="center"/>
        <w:rPr>
          <w:rFonts w:hint="eastAsia" w:asciiTheme="minorEastAsia" w:hAnsiTheme="minorEastAsia" w:eastAsiaTheme="minorEastAsia" w:cstheme="minorEastAsia"/>
          <w:bCs/>
          <w:sz w:val="44"/>
          <w:szCs w:val="44"/>
        </w:rPr>
      </w:pPr>
    </w:p>
    <w:p w14:paraId="324930A5">
      <w:pPr>
        <w:widowControl/>
        <w:spacing w:line="360" w:lineRule="atLeast"/>
        <w:ind w:firstLine="540"/>
        <w:jc w:val="center"/>
        <w:rPr>
          <w:rFonts w:hint="eastAsia" w:asciiTheme="minorEastAsia" w:hAnsiTheme="minorEastAsia" w:eastAsiaTheme="minorEastAsia" w:cstheme="minorEastAsia"/>
          <w:b/>
          <w:kern w:val="0"/>
          <w:sz w:val="72"/>
          <w:szCs w:val="72"/>
          <w:shd w:val="clear" w:color="auto" w:fill="FFFFFF"/>
        </w:rPr>
      </w:pPr>
    </w:p>
    <w:p w14:paraId="2A54A4D7">
      <w:pPr>
        <w:snapToGrid w:val="0"/>
        <w:spacing w:line="360" w:lineRule="auto"/>
        <w:ind w:right="17"/>
        <w:jc w:val="center"/>
        <w:rPr>
          <w:rFonts w:hint="eastAsia" w:asciiTheme="minorEastAsia" w:hAnsiTheme="minorEastAsia" w:eastAsiaTheme="minorEastAsia" w:cstheme="minorEastAsia"/>
          <w:b/>
          <w:spacing w:val="60"/>
          <w:sz w:val="84"/>
          <w:szCs w:val="84"/>
        </w:rPr>
      </w:pPr>
      <w:r>
        <w:rPr>
          <w:rFonts w:hint="eastAsia" w:asciiTheme="minorEastAsia" w:hAnsiTheme="minorEastAsia" w:eastAsiaTheme="minorEastAsia" w:cstheme="minorEastAsia"/>
          <w:b/>
          <w:spacing w:val="60"/>
          <w:sz w:val="84"/>
          <w:szCs w:val="84"/>
        </w:rPr>
        <w:t>竞争性磋商文件</w:t>
      </w:r>
    </w:p>
    <w:p w14:paraId="242BB5AA">
      <w:pPr>
        <w:snapToGrid w:val="0"/>
        <w:spacing w:line="360" w:lineRule="auto"/>
        <w:ind w:right="17"/>
        <w:jc w:val="left"/>
        <w:rPr>
          <w:rFonts w:hint="eastAsia" w:asciiTheme="minorEastAsia" w:hAnsiTheme="minorEastAsia" w:eastAsiaTheme="minorEastAsia" w:cstheme="minorEastAsia"/>
          <w:bCs/>
          <w:sz w:val="30"/>
          <w:szCs w:val="30"/>
        </w:rPr>
      </w:pPr>
    </w:p>
    <w:p w14:paraId="7F5A38F2">
      <w:pPr>
        <w:snapToGrid w:val="0"/>
        <w:spacing w:line="360" w:lineRule="auto"/>
        <w:ind w:left="1400" w:right="17" w:hanging="1400" w:hangingChars="500"/>
        <w:jc w:val="left"/>
        <w:rPr>
          <w:rFonts w:hint="default"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rPr>
        <w:t>项目名称：</w:t>
      </w:r>
      <w:r>
        <w:rPr>
          <w:rFonts w:hint="eastAsia" w:asciiTheme="minorEastAsia" w:hAnsiTheme="minorEastAsia" w:eastAsiaTheme="minorEastAsia" w:cstheme="minorEastAsia"/>
          <w:bCs/>
          <w:sz w:val="28"/>
          <w:szCs w:val="28"/>
          <w:lang w:eastAsia="zh-CN"/>
        </w:rPr>
        <w:t>新疆科技学院2025-2026学年消防维保检测服务项目</w:t>
      </w:r>
    </w:p>
    <w:p w14:paraId="1D1EE843">
      <w:pPr>
        <w:snapToGrid w:val="0"/>
        <w:spacing w:line="360" w:lineRule="auto"/>
        <w:ind w:right="17"/>
        <w:jc w:val="left"/>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Cs/>
          <w:sz w:val="28"/>
          <w:szCs w:val="28"/>
        </w:rPr>
        <w:t>采购项目编号：</w:t>
      </w:r>
      <w:r>
        <w:rPr>
          <w:rFonts w:hint="eastAsia" w:asciiTheme="minorEastAsia" w:hAnsiTheme="minorEastAsia" w:eastAsiaTheme="minorEastAsia" w:cstheme="minorEastAsia"/>
          <w:bCs/>
          <w:sz w:val="28"/>
          <w:szCs w:val="28"/>
          <w:lang w:eastAsia="zh-CN"/>
        </w:rPr>
        <w:t>XJHY-XJKJXY2025-020</w:t>
      </w:r>
    </w:p>
    <w:p w14:paraId="3468C83B">
      <w:pPr>
        <w:pStyle w:val="27"/>
        <w:tabs>
          <w:tab w:val="left" w:pos="8460"/>
        </w:tabs>
        <w:snapToGrid w:val="0"/>
        <w:spacing w:line="360" w:lineRule="auto"/>
        <w:ind w:right="-334" w:rightChars="-159"/>
        <w:rPr>
          <w:rFonts w:hint="eastAsia" w:asciiTheme="minorEastAsia" w:hAnsiTheme="minorEastAsia" w:eastAsiaTheme="minorEastAsia" w:cstheme="minorEastAsia"/>
          <w:b/>
          <w:bCs/>
          <w:sz w:val="30"/>
          <w:szCs w:val="30"/>
        </w:rPr>
      </w:pPr>
    </w:p>
    <w:p w14:paraId="4E8BEA6D">
      <w:pPr>
        <w:pStyle w:val="27"/>
        <w:tabs>
          <w:tab w:val="left" w:pos="8460"/>
        </w:tabs>
        <w:snapToGrid w:val="0"/>
        <w:spacing w:line="360" w:lineRule="auto"/>
        <w:ind w:right="-334" w:rightChars="-159"/>
        <w:rPr>
          <w:rFonts w:hint="eastAsia" w:asciiTheme="minorEastAsia" w:hAnsiTheme="minorEastAsia" w:eastAsiaTheme="minorEastAsia" w:cstheme="minorEastAsia"/>
          <w:b/>
          <w:bCs/>
          <w:sz w:val="30"/>
          <w:szCs w:val="30"/>
        </w:rPr>
      </w:pPr>
    </w:p>
    <w:p w14:paraId="07DFE5DF">
      <w:pPr>
        <w:snapToGrid w:val="0"/>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采购人：</w:t>
      </w:r>
      <w:r>
        <w:rPr>
          <w:rFonts w:hint="eastAsia" w:asciiTheme="minorEastAsia" w:hAnsiTheme="minorEastAsia" w:eastAsiaTheme="minorEastAsia" w:cstheme="minorEastAsia"/>
          <w:bCs/>
          <w:sz w:val="28"/>
          <w:szCs w:val="28"/>
        </w:rPr>
        <w:t>新疆科技学院</w:t>
      </w:r>
    </w:p>
    <w:p w14:paraId="15E3460E">
      <w:pPr>
        <w:snapToGrid w:val="0"/>
        <w:spacing w:line="360" w:lineRule="auto"/>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联系人：</w:t>
      </w:r>
      <w:r>
        <w:rPr>
          <w:rFonts w:hint="eastAsia" w:asciiTheme="minorEastAsia" w:hAnsiTheme="minorEastAsia" w:eastAsiaTheme="minorEastAsia" w:cstheme="minorEastAsia"/>
          <w:sz w:val="28"/>
          <w:szCs w:val="28"/>
          <w:highlight w:val="none"/>
          <w:lang w:val="en-US" w:eastAsia="zh-CN"/>
        </w:rPr>
        <w:t>韩老师</w:t>
      </w:r>
    </w:p>
    <w:p w14:paraId="32A2B0E5">
      <w:pPr>
        <w:snapToGrid w:val="0"/>
        <w:spacing w:line="360" w:lineRule="auto"/>
        <w:jc w:val="left"/>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联系电话</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13369854939</w:t>
      </w:r>
    </w:p>
    <w:p w14:paraId="64B8B820">
      <w:pPr>
        <w:snapToGrid w:val="0"/>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地址：库尔勒市北京路89号</w:t>
      </w:r>
    </w:p>
    <w:p w14:paraId="082D4ABB">
      <w:pPr>
        <w:snapToGrid w:val="0"/>
        <w:spacing w:line="360" w:lineRule="auto"/>
        <w:jc w:val="left"/>
        <w:rPr>
          <w:rFonts w:hint="eastAsia" w:asciiTheme="minorEastAsia" w:hAnsiTheme="minorEastAsia" w:eastAsiaTheme="minorEastAsia" w:cstheme="minorEastAsia"/>
          <w:sz w:val="28"/>
          <w:szCs w:val="28"/>
        </w:rPr>
      </w:pPr>
    </w:p>
    <w:p w14:paraId="76FAD28E">
      <w:pPr>
        <w:snapToGrid w:val="0"/>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代理机构：新疆华域建设工程项目管理咨询有限公司</w:t>
      </w:r>
    </w:p>
    <w:p w14:paraId="4A719CBC">
      <w:pPr>
        <w:snapToGrid w:val="0"/>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联系人：黄工</w:t>
      </w:r>
    </w:p>
    <w:p w14:paraId="1D214DA9">
      <w:pPr>
        <w:snapToGrid w:val="0"/>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联系电话：15609913520</w:t>
      </w:r>
    </w:p>
    <w:p w14:paraId="768DAF68">
      <w:pPr>
        <w:snapToGrid w:val="0"/>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地址：新疆乌鲁木齐市水磨沟区五星北路194号新地园大厦1401</w:t>
      </w:r>
    </w:p>
    <w:p w14:paraId="1E85C7E0">
      <w:pPr>
        <w:snapToGrid w:val="0"/>
        <w:spacing w:line="360" w:lineRule="auto"/>
        <w:ind w:right="17" w:firstLine="980" w:firstLineChars="350"/>
        <w:jc w:val="left"/>
        <w:rPr>
          <w:rFonts w:hint="eastAsia" w:asciiTheme="minorEastAsia" w:hAnsiTheme="minorEastAsia" w:eastAsiaTheme="minorEastAsia" w:cstheme="minorEastAsia"/>
          <w:sz w:val="28"/>
          <w:szCs w:val="28"/>
        </w:rPr>
      </w:pPr>
    </w:p>
    <w:p w14:paraId="40508A29">
      <w:pPr>
        <w:pStyle w:val="19"/>
        <w:snapToGrid w:val="0"/>
        <w:spacing w:line="360" w:lineRule="auto"/>
        <w:jc w:val="center"/>
        <w:rPr>
          <w:rFonts w:hint="eastAsia" w:asciiTheme="minorEastAsia" w:hAnsiTheme="minorEastAsia" w:eastAsiaTheme="minorEastAsia" w:cstheme="minorEastAsia"/>
          <w:sz w:val="30"/>
          <w:szCs w:val="30"/>
        </w:rPr>
      </w:pPr>
    </w:p>
    <w:p w14:paraId="1FBEC51E">
      <w:pPr>
        <w:pStyle w:val="19"/>
        <w:snapToGrid w:val="0"/>
        <w:spacing w:line="360" w:lineRule="auto"/>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sz w:val="30"/>
          <w:szCs w:val="30"/>
        </w:rPr>
        <w:t>二〇二</w:t>
      </w:r>
      <w:r>
        <w:rPr>
          <w:rFonts w:hint="eastAsia" w:asciiTheme="minorEastAsia" w:hAnsiTheme="minorEastAsia" w:eastAsiaTheme="minorEastAsia" w:cstheme="minorEastAsia"/>
          <w:sz w:val="30"/>
          <w:szCs w:val="30"/>
          <w:lang w:val="en-US" w:eastAsia="zh-CN"/>
        </w:rPr>
        <w:t>五</w:t>
      </w:r>
      <w:r>
        <w:rPr>
          <w:rFonts w:hint="eastAsia" w:asciiTheme="minorEastAsia" w:hAnsiTheme="minorEastAsia" w:eastAsiaTheme="minorEastAsia" w:cstheme="minorEastAsia"/>
          <w:sz w:val="30"/>
          <w:szCs w:val="30"/>
        </w:rPr>
        <w:t>年</w:t>
      </w:r>
      <w:r>
        <w:rPr>
          <w:rFonts w:hint="eastAsia" w:asciiTheme="minorEastAsia" w:hAnsiTheme="minorEastAsia" w:eastAsiaTheme="minorEastAsia" w:cstheme="minorEastAsia"/>
          <w:sz w:val="30"/>
          <w:szCs w:val="30"/>
          <w:lang w:val="en-US" w:eastAsia="zh-CN"/>
        </w:rPr>
        <w:t>七</w:t>
      </w:r>
      <w:r>
        <w:rPr>
          <w:rFonts w:hint="eastAsia" w:asciiTheme="minorEastAsia" w:hAnsiTheme="minorEastAsia" w:eastAsiaTheme="minorEastAsia" w:cstheme="minorEastAsia"/>
          <w:sz w:val="30"/>
          <w:szCs w:val="30"/>
        </w:rPr>
        <w:t>月</w:t>
      </w:r>
    </w:p>
    <w:p w14:paraId="3F284817">
      <w:pPr>
        <w:snapToGrid w:val="0"/>
        <w:spacing w:line="360" w:lineRule="auto"/>
        <w:jc w:val="center"/>
        <w:rPr>
          <w:rFonts w:hint="eastAsia" w:asciiTheme="minorEastAsia" w:hAnsiTheme="minorEastAsia" w:eastAsiaTheme="minorEastAsia" w:cstheme="minorEastAsia"/>
          <w:b/>
          <w:sz w:val="32"/>
          <w:szCs w:val="32"/>
        </w:rPr>
        <w:sectPr>
          <w:footerReference r:id="rId3" w:type="default"/>
          <w:pgSz w:w="11911" w:h="16838"/>
          <w:pgMar w:top="1440" w:right="1633" w:bottom="1440" w:left="1633" w:header="0" w:footer="879" w:gutter="0"/>
          <w:cols w:space="720" w:num="1"/>
        </w:sectPr>
      </w:pPr>
    </w:p>
    <w:p w14:paraId="394451D5">
      <w:pPr>
        <w:rPr>
          <w:rFonts w:hint="eastAsia" w:asciiTheme="minorEastAsia" w:hAnsiTheme="minorEastAsia" w:eastAsiaTheme="minorEastAsia" w:cstheme="minorEastAsia"/>
        </w:rPr>
      </w:pPr>
    </w:p>
    <w:p w14:paraId="66BF55C3">
      <w:pPr>
        <w:snapToGrid w:val="0"/>
        <w:spacing w:line="360" w:lineRule="auto"/>
        <w:jc w:val="center"/>
        <w:outlineLvl w:val="0"/>
        <w:rPr>
          <w:rFonts w:hint="eastAsia" w:asciiTheme="minorEastAsia" w:hAnsiTheme="minorEastAsia" w:eastAsiaTheme="minorEastAsia" w:cstheme="minorEastAsia"/>
          <w:bCs/>
          <w:sz w:val="30"/>
          <w:szCs w:val="30"/>
        </w:rPr>
      </w:pPr>
      <w:r>
        <w:rPr>
          <w:rFonts w:hint="eastAsia" w:asciiTheme="minorEastAsia" w:hAnsiTheme="minorEastAsia" w:eastAsiaTheme="minorEastAsia" w:cstheme="minorEastAsia"/>
          <w:bCs/>
          <w:sz w:val="30"/>
          <w:szCs w:val="30"/>
        </w:rPr>
        <w:t>目 录</w:t>
      </w:r>
    </w:p>
    <w:p w14:paraId="667BC419">
      <w:pPr>
        <w:pStyle w:val="12"/>
        <w:ind w:firstLine="0"/>
        <w:rPr>
          <w:rFonts w:hint="eastAsia" w:asciiTheme="minorEastAsia" w:hAnsiTheme="minorEastAsia" w:eastAsiaTheme="minorEastAsia" w:cstheme="minorEastAsia"/>
          <w:color w:val="auto"/>
        </w:rPr>
      </w:pPr>
    </w:p>
    <w:p w14:paraId="6A688B8A">
      <w:pPr>
        <w:pStyle w:val="99"/>
        <w:tabs>
          <w:tab w:val="right" w:leader="dot" w:pos="8305"/>
        </w:tabs>
        <w:rPr>
          <w:rFonts w:hint="eastAsia" w:asciiTheme="minorEastAsia" w:hAnsiTheme="minorEastAsia" w:eastAsiaTheme="minorEastAsia" w:cstheme="minorEastAsia"/>
        </w:rPr>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TOC \o "1-1" \h \u </w:instrText>
      </w:r>
      <w:r>
        <w:rPr>
          <w:rFonts w:hint="eastAsia" w:asciiTheme="minorEastAsia" w:hAnsiTheme="minorEastAsia" w:eastAsiaTheme="minorEastAsia" w:cstheme="minorEastAsia"/>
          <w:szCs w:val="24"/>
        </w:rPr>
        <w:fldChar w:fldCharType="separate"/>
      </w:r>
    </w:p>
    <w:p w14:paraId="62F4E1F5">
      <w:pPr>
        <w:pStyle w:val="99"/>
        <w:tabs>
          <w:tab w:val="right" w:leader="dot" w:pos="8305"/>
        </w:tabs>
        <w:spacing w:line="480" w:lineRule="auto"/>
        <w:rPr>
          <w:rFonts w:hint="eastAsia" w:asciiTheme="minorEastAsia" w:hAnsiTheme="minorEastAsia" w:eastAsiaTheme="minorEastAsia" w:cstheme="minorEastAsia"/>
          <w:sz w:val="28"/>
          <w:szCs w:val="28"/>
        </w:rPr>
      </w:pPr>
      <w:r>
        <w:fldChar w:fldCharType="begin"/>
      </w:r>
      <w:r>
        <w:instrText xml:space="preserve"> HYPERLINK \l "_Toc22261" </w:instrText>
      </w:r>
      <w:r>
        <w:fldChar w:fldCharType="separate"/>
      </w:r>
      <w:r>
        <w:rPr>
          <w:rFonts w:hint="eastAsia" w:asciiTheme="minorEastAsia" w:hAnsiTheme="minorEastAsia" w:eastAsiaTheme="minorEastAsia" w:cstheme="minorEastAsia"/>
          <w:sz w:val="28"/>
          <w:szCs w:val="28"/>
        </w:rPr>
        <w:t>第一部分  竞争性磋商公告</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_Toc22261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08735EE">
      <w:pPr>
        <w:pStyle w:val="99"/>
        <w:tabs>
          <w:tab w:val="right" w:leader="dot" w:pos="8305"/>
        </w:tabs>
        <w:spacing w:line="480" w:lineRule="auto"/>
        <w:rPr>
          <w:rFonts w:hint="eastAsia" w:asciiTheme="minorEastAsia" w:hAnsiTheme="minorEastAsia" w:eastAsiaTheme="minorEastAsia" w:cstheme="minorEastAsia"/>
          <w:sz w:val="28"/>
          <w:szCs w:val="28"/>
        </w:rPr>
      </w:pPr>
      <w:r>
        <w:fldChar w:fldCharType="begin"/>
      </w:r>
      <w:r>
        <w:instrText xml:space="preserve"> HYPERLINK \l "_Toc24415" </w:instrText>
      </w:r>
      <w:r>
        <w:fldChar w:fldCharType="separate"/>
      </w:r>
      <w:r>
        <w:rPr>
          <w:rFonts w:hint="eastAsia" w:asciiTheme="minorEastAsia" w:hAnsiTheme="minorEastAsia" w:eastAsiaTheme="minorEastAsia" w:cstheme="minorEastAsia"/>
          <w:sz w:val="28"/>
          <w:szCs w:val="28"/>
        </w:rPr>
        <w:t>第二部分  供应商须知前附表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_Toc24415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50AA299">
      <w:pPr>
        <w:pStyle w:val="99"/>
        <w:tabs>
          <w:tab w:val="right" w:leader="dot" w:pos="8305"/>
        </w:tabs>
        <w:spacing w:line="480" w:lineRule="auto"/>
        <w:rPr>
          <w:rFonts w:hint="eastAsia" w:asciiTheme="minorEastAsia" w:hAnsiTheme="minorEastAsia" w:eastAsiaTheme="minorEastAsia" w:cstheme="minorEastAsia"/>
          <w:sz w:val="28"/>
          <w:szCs w:val="28"/>
        </w:rPr>
      </w:pPr>
      <w:r>
        <w:fldChar w:fldCharType="begin"/>
      </w:r>
      <w:r>
        <w:instrText xml:space="preserve"> HYPERLINK \l "_Toc3729" </w:instrText>
      </w:r>
      <w:r>
        <w:fldChar w:fldCharType="separate"/>
      </w:r>
      <w:r>
        <w:rPr>
          <w:rFonts w:hint="eastAsia" w:asciiTheme="minorEastAsia" w:hAnsiTheme="minorEastAsia" w:eastAsiaTheme="minorEastAsia" w:cstheme="minorEastAsia"/>
          <w:sz w:val="28"/>
          <w:szCs w:val="28"/>
        </w:rPr>
        <w:t>第三部分  采购合同</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_Toc3729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ADC5749">
      <w:pPr>
        <w:pStyle w:val="99"/>
        <w:tabs>
          <w:tab w:val="right" w:leader="dot" w:pos="8305"/>
        </w:tabs>
        <w:spacing w:line="480" w:lineRule="auto"/>
        <w:rPr>
          <w:rFonts w:hint="eastAsia" w:asciiTheme="minorEastAsia" w:hAnsiTheme="minorEastAsia" w:eastAsiaTheme="minorEastAsia" w:cstheme="minorEastAsia"/>
          <w:sz w:val="28"/>
          <w:szCs w:val="28"/>
        </w:rPr>
      </w:pPr>
      <w:r>
        <w:fldChar w:fldCharType="begin"/>
      </w:r>
      <w:r>
        <w:instrText xml:space="preserve"> HYPERLINK \l "_Toc9739" </w:instrText>
      </w:r>
      <w:r>
        <w:fldChar w:fldCharType="separate"/>
      </w:r>
      <w:r>
        <w:rPr>
          <w:rFonts w:hint="eastAsia" w:asciiTheme="minorEastAsia" w:hAnsiTheme="minorEastAsia" w:eastAsiaTheme="minorEastAsia" w:cstheme="minorEastAsia"/>
          <w:sz w:val="28"/>
          <w:szCs w:val="28"/>
        </w:rPr>
        <w:t>第四部分  采购需求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_Toc9739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34</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EC6A129">
      <w:pPr>
        <w:pStyle w:val="99"/>
        <w:tabs>
          <w:tab w:val="right" w:leader="dot" w:pos="8305"/>
        </w:tabs>
        <w:spacing w:line="480" w:lineRule="auto"/>
        <w:rPr>
          <w:rFonts w:hint="eastAsia" w:asciiTheme="minorEastAsia" w:hAnsiTheme="minorEastAsia" w:eastAsiaTheme="minorEastAsia" w:cstheme="minorEastAsia"/>
          <w:b/>
          <w:bCs/>
          <w:sz w:val="28"/>
          <w:szCs w:val="28"/>
        </w:rPr>
      </w:pPr>
      <w:r>
        <w:fldChar w:fldCharType="begin"/>
      </w:r>
      <w:r>
        <w:instrText xml:space="preserve"> HYPERLINK \l "_Toc20810" </w:instrText>
      </w:r>
      <w:r>
        <w:fldChar w:fldCharType="separate"/>
      </w:r>
      <w:r>
        <w:rPr>
          <w:rFonts w:hint="eastAsia" w:asciiTheme="minorEastAsia" w:hAnsiTheme="minorEastAsia" w:eastAsiaTheme="minorEastAsia" w:cstheme="minorEastAsia"/>
          <w:sz w:val="28"/>
          <w:szCs w:val="28"/>
        </w:rPr>
        <w:t>第五部分  磋商响应文件格式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36</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FFD39FB">
      <w:pPr>
        <w:pStyle w:val="99"/>
        <w:tabs>
          <w:tab w:val="right" w:leader="dot" w:pos="8305"/>
        </w:tabs>
        <w:rPr>
          <w:rFonts w:hint="eastAsia" w:asciiTheme="minorEastAsia" w:hAnsiTheme="minorEastAsia" w:eastAsiaTheme="minorEastAsia" w:cstheme="minorEastAsia"/>
        </w:rPr>
      </w:pPr>
    </w:p>
    <w:p w14:paraId="7C799454">
      <w:pPr>
        <w:pStyle w:val="99"/>
        <w:tabs>
          <w:tab w:val="right" w:leader="dot" w:pos="8305"/>
        </w:tabs>
        <w:rPr>
          <w:rFonts w:hint="eastAsia" w:asciiTheme="minorEastAsia" w:hAnsiTheme="minorEastAsia" w:eastAsiaTheme="minorEastAsia" w:cstheme="minorEastAsia"/>
        </w:rPr>
      </w:pPr>
    </w:p>
    <w:p w14:paraId="2FBF671C">
      <w:pP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fldChar w:fldCharType="end"/>
      </w:r>
    </w:p>
    <w:p w14:paraId="239D66E5">
      <w:pPr>
        <w:rPr>
          <w:rFonts w:hint="eastAsia" w:asciiTheme="minorEastAsia" w:hAnsiTheme="minorEastAsia" w:eastAsiaTheme="minorEastAsia" w:cstheme="minorEastAsia"/>
        </w:rPr>
      </w:pPr>
    </w:p>
    <w:p w14:paraId="3B47FA61">
      <w:pPr>
        <w:rPr>
          <w:rFonts w:hint="eastAsia" w:asciiTheme="minorEastAsia" w:hAnsiTheme="minorEastAsia" w:eastAsiaTheme="minorEastAsia" w:cstheme="minorEastAsia"/>
        </w:rPr>
      </w:pPr>
    </w:p>
    <w:p w14:paraId="02D1F82F">
      <w:pPr>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b/>
      </w:r>
    </w:p>
    <w:p w14:paraId="2709B1EB">
      <w:pPr>
        <w:snapToGrid w:val="0"/>
        <w:spacing w:line="360" w:lineRule="auto"/>
        <w:rPr>
          <w:rFonts w:hint="eastAsia" w:asciiTheme="minorEastAsia" w:hAnsiTheme="minorEastAsia" w:eastAsiaTheme="minorEastAsia" w:cstheme="minorEastAsia"/>
          <w:bCs/>
          <w:sz w:val="36"/>
          <w:szCs w:val="36"/>
        </w:rPr>
      </w:pPr>
    </w:p>
    <w:p w14:paraId="76CE96DF">
      <w:pPr>
        <w:snapToGrid w:val="0"/>
        <w:spacing w:line="360" w:lineRule="auto"/>
        <w:rPr>
          <w:rFonts w:hint="eastAsia" w:asciiTheme="minorEastAsia" w:hAnsiTheme="minorEastAsia" w:eastAsiaTheme="minorEastAsia" w:cstheme="minorEastAsia"/>
          <w:bCs/>
          <w:sz w:val="36"/>
          <w:szCs w:val="36"/>
        </w:rPr>
      </w:pPr>
    </w:p>
    <w:p w14:paraId="5CFEAF1B">
      <w:pPr>
        <w:snapToGrid w:val="0"/>
        <w:spacing w:line="360" w:lineRule="auto"/>
        <w:rPr>
          <w:rFonts w:hint="eastAsia" w:asciiTheme="minorEastAsia" w:hAnsiTheme="minorEastAsia" w:eastAsiaTheme="minorEastAsia" w:cstheme="minorEastAsia"/>
          <w:bCs/>
          <w:sz w:val="36"/>
          <w:szCs w:val="36"/>
        </w:rPr>
      </w:pPr>
    </w:p>
    <w:p w14:paraId="19F119BB">
      <w:pPr>
        <w:snapToGrid w:val="0"/>
        <w:spacing w:line="360" w:lineRule="auto"/>
        <w:jc w:val="center"/>
        <w:outlineLvl w:val="0"/>
        <w:rPr>
          <w:rFonts w:hint="eastAsia" w:asciiTheme="minorEastAsia" w:hAnsiTheme="minorEastAsia" w:eastAsiaTheme="minorEastAsia" w:cstheme="minorEastAsia"/>
          <w:b/>
          <w:sz w:val="30"/>
          <w:szCs w:val="30"/>
        </w:rPr>
        <w:sectPr>
          <w:headerReference r:id="rId5" w:type="first"/>
          <w:footerReference r:id="rId7" w:type="first"/>
          <w:headerReference r:id="rId4" w:type="default"/>
          <w:footerReference r:id="rId6" w:type="default"/>
          <w:pgSz w:w="11911" w:h="16838"/>
          <w:pgMar w:top="1440" w:right="1633" w:bottom="1440" w:left="1633" w:header="0" w:footer="879" w:gutter="0"/>
          <w:pgNumType w:start="1"/>
          <w:cols w:space="720" w:num="1"/>
          <w:docGrid w:linePitch="312" w:charSpace="0"/>
        </w:sectPr>
      </w:pPr>
      <w:bookmarkStart w:id="0" w:name="_Toc22261"/>
      <w:bookmarkStart w:id="1" w:name="_Toc21101"/>
    </w:p>
    <w:p w14:paraId="130C0DED">
      <w:pPr>
        <w:snapToGrid w:val="0"/>
        <w:spacing w:line="360" w:lineRule="auto"/>
        <w:jc w:val="center"/>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30"/>
          <w:szCs w:val="30"/>
        </w:rPr>
        <w:t>第一部分   竞争性磋商公告</w:t>
      </w:r>
      <w:bookmarkEnd w:id="0"/>
      <w:bookmarkEnd w:id="1"/>
    </w:p>
    <w:p w14:paraId="487D5563">
      <w:pPr>
        <w:pStyle w:val="7"/>
        <w:widowControl/>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新疆科技学院2025-2026学年消防维保检测服务项目</w:t>
      </w:r>
      <w:r>
        <w:rPr>
          <w:rFonts w:hint="eastAsia" w:asciiTheme="minorEastAsia" w:hAnsiTheme="minorEastAsia" w:eastAsiaTheme="minorEastAsia" w:cstheme="minorEastAsia"/>
          <w:sz w:val="32"/>
          <w:szCs w:val="32"/>
        </w:rPr>
        <w:t>竞争性磋商公告</w:t>
      </w:r>
    </w:p>
    <w:p w14:paraId="30472467">
      <w:pPr>
        <w:widowControl/>
        <w:spacing w:before="100" w:beforeAutospacing="1" w:after="100" w:afterAutospacing="1"/>
        <w:ind w:right="720"/>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项目概况</w:t>
      </w:r>
    </w:p>
    <w:p w14:paraId="45E50837">
      <w:pPr>
        <w:widowControl/>
        <w:spacing w:before="100" w:beforeAutospacing="1" w:after="100" w:afterAutospacing="1" w:line="360" w:lineRule="auto"/>
        <w:ind w:right="720"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CN"/>
        </w:rPr>
        <w:t>新疆科技学院2025-2026学年消防维保检测服务项目</w:t>
      </w:r>
      <w:r>
        <w:rPr>
          <w:rFonts w:hint="eastAsia" w:asciiTheme="minorEastAsia" w:hAnsiTheme="minorEastAsia" w:eastAsiaTheme="minorEastAsia" w:cstheme="minorEastAsia"/>
          <w:kern w:val="0"/>
          <w:sz w:val="24"/>
          <w:szCs w:val="24"/>
        </w:rPr>
        <w:t xml:space="preserve"> 的潜在供应商应在</w:t>
      </w:r>
      <w:r>
        <w:rPr>
          <w:rFonts w:hint="eastAsia" w:asciiTheme="minorEastAsia" w:hAnsiTheme="minorEastAsia" w:eastAsiaTheme="minorEastAsia" w:cstheme="minorEastAsia"/>
          <w:kern w:val="0"/>
          <w:sz w:val="24"/>
          <w:szCs w:val="24"/>
          <w:lang w:val="en-US" w:eastAsia="zh-CN"/>
        </w:rPr>
        <w:t>新疆政府采购网</w:t>
      </w:r>
      <w:r>
        <w:rPr>
          <w:rFonts w:hint="eastAsia" w:asciiTheme="minorEastAsia" w:hAnsiTheme="minorEastAsia" w:eastAsiaTheme="minorEastAsia" w:cstheme="minorEastAsia"/>
          <w:kern w:val="0"/>
          <w:sz w:val="24"/>
          <w:szCs w:val="24"/>
        </w:rPr>
        <w:t>获取采购文件，并于</w:t>
      </w:r>
      <w:r>
        <w:rPr>
          <w:rFonts w:hint="eastAsia" w:asciiTheme="minorEastAsia" w:hAnsiTheme="minorEastAsia" w:eastAsiaTheme="minorEastAsia" w:cstheme="minorEastAsia"/>
          <w:kern w:val="0"/>
          <w:sz w:val="24"/>
          <w:szCs w:val="24"/>
          <w:lang w:eastAsia="zh-CN"/>
        </w:rPr>
        <w:t>2025年7月28日16点30分</w:t>
      </w:r>
      <w:r>
        <w:rPr>
          <w:rFonts w:hint="eastAsia" w:asciiTheme="minorEastAsia" w:hAnsiTheme="minorEastAsia" w:eastAsiaTheme="minorEastAsia" w:cstheme="minorEastAsia"/>
          <w:kern w:val="0"/>
          <w:sz w:val="24"/>
          <w:szCs w:val="24"/>
        </w:rPr>
        <w:t>（北京时间）前提交响应文件。</w:t>
      </w:r>
    </w:p>
    <w:p w14:paraId="78994252">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一、项目基本情况</w:t>
      </w:r>
    </w:p>
    <w:p w14:paraId="70A9D532">
      <w:pPr>
        <w:widowControl/>
        <w:spacing w:before="100" w:beforeAutospacing="1" w:after="100" w:afterAutospacing="1"/>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项目编号：</w:t>
      </w:r>
      <w:r>
        <w:rPr>
          <w:rFonts w:hint="eastAsia" w:asciiTheme="minorEastAsia" w:hAnsiTheme="minorEastAsia" w:eastAsiaTheme="minorEastAsia" w:cstheme="minorEastAsia"/>
          <w:kern w:val="0"/>
          <w:sz w:val="24"/>
          <w:szCs w:val="24"/>
          <w:lang w:eastAsia="zh-CN"/>
        </w:rPr>
        <w:t>XJHY-XJKJXY2025-020</w:t>
      </w:r>
    </w:p>
    <w:p w14:paraId="58F09B15">
      <w:pPr>
        <w:widowControl/>
        <w:spacing w:before="100" w:beforeAutospacing="1" w:after="100" w:afterAutospacing="1"/>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项目名称：</w:t>
      </w:r>
      <w:r>
        <w:rPr>
          <w:rFonts w:hint="eastAsia" w:asciiTheme="minorEastAsia" w:hAnsiTheme="minorEastAsia" w:eastAsiaTheme="minorEastAsia" w:cstheme="minorEastAsia"/>
          <w:kern w:val="0"/>
          <w:sz w:val="24"/>
          <w:szCs w:val="24"/>
          <w:lang w:eastAsia="zh-CN"/>
        </w:rPr>
        <w:t>新疆科技学院2025-2026学年消防维保检测服务项目</w:t>
      </w:r>
    </w:p>
    <w:p w14:paraId="15ED843E">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采购方式：竞争性磋商</w:t>
      </w:r>
    </w:p>
    <w:p w14:paraId="20FDF1E6">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预算金额（元）：</w:t>
      </w:r>
      <w:r>
        <w:rPr>
          <w:rFonts w:hint="eastAsia" w:asciiTheme="minorEastAsia" w:hAnsiTheme="minorEastAsia" w:eastAsiaTheme="minorEastAsia" w:cstheme="minorEastAsia"/>
          <w:kern w:val="0"/>
          <w:sz w:val="24"/>
          <w:szCs w:val="24"/>
          <w:lang w:eastAsia="zh-CN"/>
        </w:rPr>
        <w:t>939000</w:t>
      </w:r>
      <w:r>
        <w:rPr>
          <w:rFonts w:hint="eastAsia" w:asciiTheme="minorEastAsia" w:hAnsiTheme="minorEastAsia" w:eastAsiaTheme="minorEastAsia" w:cstheme="minorEastAsia"/>
          <w:kern w:val="0"/>
          <w:sz w:val="24"/>
          <w:szCs w:val="24"/>
        </w:rPr>
        <w:t>.00</w:t>
      </w:r>
    </w:p>
    <w:p w14:paraId="05541AE1">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最高限价（元）：</w:t>
      </w:r>
      <w:r>
        <w:rPr>
          <w:rFonts w:hint="eastAsia" w:asciiTheme="minorEastAsia" w:hAnsiTheme="minorEastAsia" w:eastAsiaTheme="minorEastAsia" w:cstheme="minorEastAsia"/>
          <w:kern w:val="0"/>
          <w:sz w:val="24"/>
          <w:szCs w:val="24"/>
          <w:lang w:eastAsia="zh-CN"/>
        </w:rPr>
        <w:t>939000</w:t>
      </w:r>
      <w:r>
        <w:rPr>
          <w:rFonts w:hint="eastAsia" w:asciiTheme="minorEastAsia" w:hAnsiTheme="minorEastAsia" w:eastAsiaTheme="minorEastAsia" w:cstheme="minorEastAsia"/>
          <w:kern w:val="0"/>
          <w:sz w:val="24"/>
          <w:szCs w:val="24"/>
        </w:rPr>
        <w:t>.00</w:t>
      </w:r>
    </w:p>
    <w:p w14:paraId="702D0F7E">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采购需求：详见磋商文件</w:t>
      </w:r>
    </w:p>
    <w:p w14:paraId="33EC90D1">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合同履行期限：一年，自2025年8月1日起到2026年7月31日止</w:t>
      </w:r>
    </w:p>
    <w:p w14:paraId="3E55D44B">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本项目(不接受)联合体投标。</w:t>
      </w:r>
    </w:p>
    <w:p w14:paraId="2F689AB9">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二、申请人的资格要求：</w:t>
      </w:r>
    </w:p>
    <w:p w14:paraId="223FD0DD">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1.满足《中华人民共和国政府采购法》第二十二条规定；</w:t>
      </w:r>
    </w:p>
    <w:p w14:paraId="0AAC2431">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2.落实政府采购政策需满足的资格要求：本项目专门面向中小企业</w:t>
      </w:r>
    </w:p>
    <w:p w14:paraId="3C214FCC">
      <w:pPr>
        <w:numPr>
          <w:ilvl w:val="0"/>
          <w:numId w:val="1"/>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本项目的特定资格要求：</w:t>
      </w:r>
    </w:p>
    <w:p w14:paraId="485EC227">
      <w:pPr>
        <w:numPr>
          <w:ilvl w:val="0"/>
          <w:numId w:val="2"/>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供应商须是中华人民共和国境内注册的，具有有效的营业执照</w:t>
      </w:r>
      <w:r>
        <w:rPr>
          <w:rFonts w:hint="eastAsia" w:asciiTheme="minorEastAsia" w:hAnsiTheme="minorEastAsia" w:eastAsiaTheme="minorEastAsia" w:cstheme="minorEastAsia"/>
          <w:sz w:val="24"/>
          <w:szCs w:val="24"/>
        </w:rPr>
        <w:t>；</w:t>
      </w:r>
    </w:p>
    <w:p w14:paraId="600137BF">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供应商不得为“信用中国网站（www.creditchina.gov.cn）中列入失信被执行人和税收违法黑名单的供应商，不得为中国政府采购网（www.ccgp.gov.cn）政府采购严重违法失信行为记录名单中被财政部门禁止参加政府采购活动的供应商。</w:t>
      </w:r>
    </w:p>
    <w:p w14:paraId="16F50866">
      <w:pPr>
        <w:widowControl/>
        <w:spacing w:before="100" w:beforeAutospacing="1" w:after="100" w:afterAutospacing="1"/>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b/>
          <w:bCs/>
          <w:kern w:val="0"/>
          <w:sz w:val="24"/>
          <w:szCs w:val="24"/>
        </w:rPr>
        <w:t>三、获取</w:t>
      </w:r>
      <w:r>
        <w:rPr>
          <w:rFonts w:hint="eastAsia" w:asciiTheme="minorEastAsia" w:hAnsiTheme="minorEastAsia" w:eastAsiaTheme="minorEastAsia" w:cstheme="minorEastAsia"/>
          <w:b/>
          <w:bCs/>
          <w:kern w:val="0"/>
          <w:sz w:val="24"/>
          <w:szCs w:val="24"/>
          <w:lang w:eastAsia="zh-CN"/>
        </w:rPr>
        <w:t>磋商文件</w:t>
      </w:r>
    </w:p>
    <w:p w14:paraId="68C59197">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时间：202</w:t>
      </w:r>
      <w:r>
        <w:rPr>
          <w:rFonts w:hint="eastAsia" w:asciiTheme="minorEastAsia" w:hAnsiTheme="minorEastAsia" w:eastAsiaTheme="minorEastAsia" w:cstheme="minorEastAsia"/>
          <w:kern w:val="0"/>
          <w:sz w:val="24"/>
          <w:szCs w:val="24"/>
          <w:lang w:val="en-US" w:eastAsia="zh-CN"/>
        </w:rPr>
        <w:t>5</w:t>
      </w:r>
      <w:r>
        <w:rPr>
          <w:rFonts w:hint="eastAsia" w:asciiTheme="minorEastAsia" w:hAnsiTheme="minorEastAsia" w:eastAsiaTheme="minorEastAsia" w:cstheme="minorEastAsia"/>
          <w:kern w:val="0"/>
          <w:sz w:val="24"/>
          <w:szCs w:val="24"/>
        </w:rPr>
        <w:t>年</w:t>
      </w:r>
      <w:r>
        <w:rPr>
          <w:rFonts w:hint="eastAsia" w:asciiTheme="minorEastAsia" w:hAnsiTheme="minorEastAsia" w:eastAsiaTheme="minorEastAsia" w:cstheme="minorEastAsia"/>
          <w:kern w:val="0"/>
          <w:sz w:val="24"/>
          <w:szCs w:val="24"/>
          <w:lang w:val="en-US" w:eastAsia="zh-CN"/>
        </w:rPr>
        <w:t>7</w:t>
      </w:r>
      <w:r>
        <w:rPr>
          <w:rFonts w:hint="eastAsia" w:asciiTheme="minorEastAsia" w:hAnsiTheme="minorEastAsia" w:eastAsiaTheme="minorEastAsia" w:cstheme="minorEastAsia"/>
          <w:kern w:val="0"/>
          <w:sz w:val="24"/>
          <w:szCs w:val="24"/>
        </w:rPr>
        <w:t>月</w:t>
      </w:r>
      <w:r>
        <w:rPr>
          <w:rFonts w:hint="eastAsia" w:asciiTheme="minorEastAsia" w:hAnsiTheme="minorEastAsia" w:eastAsiaTheme="minorEastAsia" w:cstheme="minorEastAsia"/>
          <w:kern w:val="0"/>
          <w:sz w:val="24"/>
          <w:szCs w:val="24"/>
          <w:lang w:val="en-US" w:eastAsia="zh-CN"/>
        </w:rPr>
        <w:t>15</w:t>
      </w:r>
      <w:r>
        <w:rPr>
          <w:rFonts w:hint="eastAsia" w:asciiTheme="minorEastAsia" w:hAnsiTheme="minorEastAsia" w:eastAsiaTheme="minorEastAsia" w:cstheme="minorEastAsia"/>
          <w:kern w:val="0"/>
          <w:sz w:val="24"/>
          <w:szCs w:val="24"/>
        </w:rPr>
        <w:t>日至202</w:t>
      </w:r>
      <w:r>
        <w:rPr>
          <w:rFonts w:hint="eastAsia" w:asciiTheme="minorEastAsia" w:hAnsiTheme="minorEastAsia" w:eastAsiaTheme="minorEastAsia" w:cstheme="minorEastAsia"/>
          <w:kern w:val="0"/>
          <w:sz w:val="24"/>
          <w:szCs w:val="24"/>
          <w:lang w:val="en-US" w:eastAsia="zh-CN"/>
        </w:rPr>
        <w:t>5</w:t>
      </w:r>
      <w:r>
        <w:rPr>
          <w:rFonts w:hint="eastAsia" w:asciiTheme="minorEastAsia" w:hAnsiTheme="minorEastAsia" w:eastAsiaTheme="minorEastAsia" w:cstheme="minorEastAsia"/>
          <w:kern w:val="0"/>
          <w:sz w:val="24"/>
          <w:szCs w:val="24"/>
        </w:rPr>
        <w:t>年</w:t>
      </w:r>
      <w:r>
        <w:rPr>
          <w:rFonts w:hint="eastAsia" w:asciiTheme="minorEastAsia" w:hAnsiTheme="minorEastAsia" w:eastAsiaTheme="minorEastAsia" w:cstheme="minorEastAsia"/>
          <w:kern w:val="0"/>
          <w:sz w:val="24"/>
          <w:szCs w:val="24"/>
          <w:lang w:val="en-US" w:eastAsia="zh-CN"/>
        </w:rPr>
        <w:t>7</w:t>
      </w:r>
      <w:r>
        <w:rPr>
          <w:rFonts w:hint="eastAsia" w:asciiTheme="minorEastAsia" w:hAnsiTheme="minorEastAsia" w:eastAsiaTheme="minorEastAsia" w:cstheme="minorEastAsia"/>
          <w:kern w:val="0"/>
          <w:sz w:val="24"/>
          <w:szCs w:val="24"/>
        </w:rPr>
        <w:t>月</w:t>
      </w:r>
      <w:r>
        <w:rPr>
          <w:rFonts w:hint="eastAsia" w:asciiTheme="minorEastAsia" w:hAnsiTheme="minorEastAsia" w:eastAsiaTheme="minorEastAsia" w:cstheme="minorEastAsia"/>
          <w:kern w:val="0"/>
          <w:sz w:val="24"/>
          <w:szCs w:val="24"/>
          <w:lang w:val="en-US" w:eastAsia="zh-CN"/>
        </w:rPr>
        <w:t>22</w:t>
      </w:r>
      <w:r>
        <w:rPr>
          <w:rFonts w:hint="eastAsia" w:asciiTheme="minorEastAsia" w:hAnsiTheme="minorEastAsia" w:eastAsiaTheme="minorEastAsia" w:cstheme="minorEastAsia"/>
          <w:kern w:val="0"/>
          <w:sz w:val="24"/>
          <w:szCs w:val="24"/>
        </w:rPr>
        <w:t>日，每天上午00:00至12:00，下午12:00至23:59。（北京时间，法定节假日除外）</w:t>
      </w:r>
    </w:p>
    <w:p w14:paraId="706524EB">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地点：政采云平台</w:t>
      </w:r>
    </w:p>
    <w:p w14:paraId="2B9626B5">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方式：供应商</w:t>
      </w:r>
      <w:r>
        <w:rPr>
          <w:rFonts w:hint="eastAsia" w:asciiTheme="minorEastAsia" w:hAnsiTheme="minorEastAsia" w:eastAsiaTheme="minorEastAsia" w:cstheme="minorEastAsia"/>
          <w:kern w:val="0"/>
          <w:sz w:val="24"/>
          <w:szCs w:val="24"/>
          <w:lang w:eastAsia="zh-CN"/>
        </w:rPr>
        <w:t>登录</w:t>
      </w:r>
      <w:r>
        <w:rPr>
          <w:rFonts w:hint="eastAsia" w:asciiTheme="minorEastAsia" w:hAnsiTheme="minorEastAsia" w:eastAsiaTheme="minorEastAsia" w:cstheme="minorEastAsia"/>
          <w:kern w:val="0"/>
          <w:sz w:val="24"/>
          <w:szCs w:val="24"/>
        </w:rPr>
        <w:t>政采云平台 https://www.zcygov.cn/进入“项目采购”栏目，在获取磋商文件菜单中选择所要投标的项目，申请获取磋商文件。</w:t>
      </w:r>
    </w:p>
    <w:p w14:paraId="17535F3A">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售价：0</w:t>
      </w:r>
    </w:p>
    <w:p w14:paraId="28DD3007">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四、响应文件提交</w:t>
      </w:r>
    </w:p>
    <w:p w14:paraId="2A4A3CE0">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截止时间：</w:t>
      </w:r>
      <w:r>
        <w:rPr>
          <w:rFonts w:hint="eastAsia" w:asciiTheme="minorEastAsia" w:hAnsiTheme="minorEastAsia" w:eastAsiaTheme="minorEastAsia" w:cstheme="minorEastAsia"/>
          <w:kern w:val="0"/>
          <w:sz w:val="24"/>
          <w:szCs w:val="24"/>
          <w:lang w:eastAsia="zh-CN"/>
        </w:rPr>
        <w:t>2025年7月28日16点30分</w:t>
      </w:r>
      <w:r>
        <w:rPr>
          <w:rFonts w:hint="eastAsia" w:asciiTheme="minorEastAsia" w:hAnsiTheme="minorEastAsia" w:eastAsiaTheme="minorEastAsia" w:cstheme="minorEastAsia"/>
          <w:kern w:val="0"/>
          <w:sz w:val="24"/>
          <w:szCs w:val="24"/>
        </w:rPr>
        <w:t>（北京时间）</w:t>
      </w:r>
    </w:p>
    <w:p w14:paraId="2A30D308">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地点：政采云平台</w:t>
      </w:r>
    </w:p>
    <w:p w14:paraId="6B10B0C8">
      <w:pPr>
        <w:widowControl/>
        <w:numPr>
          <w:ilvl w:val="0"/>
          <w:numId w:val="3"/>
        </w:numPr>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响应文件开启</w:t>
      </w:r>
    </w:p>
    <w:p w14:paraId="6FEA7798">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开启时间：</w:t>
      </w:r>
      <w:r>
        <w:rPr>
          <w:rFonts w:hint="eastAsia" w:asciiTheme="minorEastAsia" w:hAnsiTheme="minorEastAsia" w:eastAsiaTheme="minorEastAsia" w:cstheme="minorEastAsia"/>
          <w:kern w:val="0"/>
          <w:sz w:val="24"/>
          <w:szCs w:val="24"/>
          <w:lang w:eastAsia="zh-CN"/>
        </w:rPr>
        <w:t>2025年7月28日16点30分</w:t>
      </w:r>
      <w:r>
        <w:rPr>
          <w:rFonts w:hint="eastAsia" w:asciiTheme="minorEastAsia" w:hAnsiTheme="minorEastAsia" w:eastAsiaTheme="minorEastAsia" w:cstheme="minorEastAsia"/>
          <w:kern w:val="0"/>
          <w:sz w:val="24"/>
          <w:szCs w:val="24"/>
        </w:rPr>
        <w:t>（北京时间）</w:t>
      </w:r>
    </w:p>
    <w:p w14:paraId="1DD31F4E">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地点：政采云平台</w:t>
      </w:r>
    </w:p>
    <w:p w14:paraId="6B35353F">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六、公告期限</w:t>
      </w:r>
    </w:p>
    <w:p w14:paraId="21CE382B">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自本公告发布之日起5个工作日</w:t>
      </w:r>
    </w:p>
    <w:p w14:paraId="21BC6F24">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七、其他补充事宜</w:t>
      </w:r>
    </w:p>
    <w:p w14:paraId="5905C311">
      <w:pPr>
        <w:widowControl/>
        <w:spacing w:before="100" w:beforeAutospacing="1" w:after="100" w:afterAutospacing="1" w:line="240" w:lineRule="auto"/>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1、本项目实行网上投标，采用电子投标文件。</w:t>
      </w:r>
    </w:p>
    <w:p w14:paraId="040F2813">
      <w:pPr>
        <w:widowControl/>
        <w:spacing w:before="100" w:beforeAutospacing="1" w:after="100" w:afterAutospacing="1" w:line="240" w:lineRule="auto"/>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w:t>
      </w:r>
    </w:p>
    <w:p w14:paraId="1EEEF674">
      <w:pPr>
        <w:widowControl/>
        <w:spacing w:before="100" w:beforeAutospacing="1" w:after="100" w:afterAutospacing="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3、供应商将政采云电子交易客户端下载、安装完成后，可通过账号密码或CA登录客户端进行投标文件的制作。在使用政采云投标客户端时，建议使用WIN7及以上操作系统。</w:t>
      </w:r>
    </w:p>
    <w:p w14:paraId="412F2DE9">
      <w:pPr>
        <w:widowControl/>
        <w:spacing w:before="100" w:beforeAutospacing="1" w:after="100" w:afterAutospacing="1"/>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八、凡对本次采购提出询问，请按以下方式联系。</w:t>
      </w:r>
    </w:p>
    <w:p w14:paraId="563709B7">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1.采购人信息</w:t>
      </w:r>
    </w:p>
    <w:p w14:paraId="3E5C6DC1">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称：新疆科技学院</w:t>
      </w:r>
    </w:p>
    <w:p w14:paraId="0423FFC9">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址：库尔勒市北京路89号</w:t>
      </w:r>
    </w:p>
    <w:p w14:paraId="2F979387">
      <w:pPr>
        <w:spacing w:line="360" w:lineRule="auto"/>
        <w:ind w:firstLine="240" w:firstLineChars="10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联系方式：</w:t>
      </w:r>
      <w:r>
        <w:rPr>
          <w:rFonts w:hint="eastAsia" w:asciiTheme="minorEastAsia" w:hAnsiTheme="minorEastAsia" w:eastAsiaTheme="minorEastAsia" w:cstheme="minorEastAsia"/>
          <w:sz w:val="24"/>
          <w:szCs w:val="24"/>
          <w:highlight w:val="none"/>
          <w:lang w:val="en-US" w:eastAsia="zh-CN"/>
        </w:rPr>
        <w:t>韩老师 13369854939</w:t>
      </w:r>
    </w:p>
    <w:p w14:paraId="7B34DAFD">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2.采购代理机构信息</w:t>
      </w:r>
    </w:p>
    <w:p w14:paraId="0AB002A0">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称：新疆华域建设工程项目管理咨询有限公司</w:t>
      </w:r>
    </w:p>
    <w:p w14:paraId="0D6F54F8">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址：新疆乌鲁木齐市水磨沟区五星北路194号新地园大厦1401</w:t>
      </w:r>
    </w:p>
    <w:p w14:paraId="4BA68462">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3.项目联系方式</w:t>
      </w:r>
    </w:p>
    <w:p w14:paraId="0AF5BC2A">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项目联系人：黄工</w:t>
      </w:r>
    </w:p>
    <w:p w14:paraId="133FF097">
      <w:pPr>
        <w:spacing w:line="360" w:lineRule="auto"/>
        <w:ind w:firstLine="24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电 话：15609913520</w:t>
      </w:r>
    </w:p>
    <w:p w14:paraId="235FC221">
      <w:pPr>
        <w:snapToGrid w:val="0"/>
        <w:spacing w:line="360" w:lineRule="auto"/>
        <w:jc w:val="center"/>
        <w:outlineLvl w:val="0"/>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bCs/>
          <w:sz w:val="24"/>
          <w:szCs w:val="24"/>
        </w:rPr>
        <w:br w:type="page"/>
      </w:r>
      <w:bookmarkStart w:id="2" w:name="_Toc9179"/>
      <w:bookmarkStart w:id="3" w:name="_Toc24415"/>
      <w:r>
        <w:rPr>
          <w:rFonts w:hint="eastAsia" w:asciiTheme="minorEastAsia" w:hAnsiTheme="minorEastAsia" w:eastAsiaTheme="minorEastAsia" w:cstheme="minorEastAsia"/>
          <w:b/>
          <w:sz w:val="30"/>
          <w:szCs w:val="30"/>
        </w:rPr>
        <w:t>第二部分   供应商须知前附表</w:t>
      </w:r>
      <w:bookmarkEnd w:id="2"/>
      <w:bookmarkEnd w:id="3"/>
    </w:p>
    <w:tbl>
      <w:tblPr>
        <w:tblStyle w:val="29"/>
        <w:tblW w:w="10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245"/>
      </w:tblGrid>
      <w:tr w14:paraId="3A683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1" w:type="dxa"/>
            <w:vAlign w:val="center"/>
          </w:tcPr>
          <w:p w14:paraId="69B9E592">
            <w:pPr>
              <w:snapToGrid w:val="0"/>
              <w:spacing w:line="360" w:lineRule="auto"/>
              <w:ind w:right="105" w:rightChars="5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w:t>
            </w:r>
          </w:p>
        </w:tc>
        <w:tc>
          <w:tcPr>
            <w:tcW w:w="9245" w:type="dxa"/>
            <w:vAlign w:val="center"/>
          </w:tcPr>
          <w:p w14:paraId="7DE5B415">
            <w:pPr>
              <w:snapToGrid w:val="0"/>
              <w:spacing w:line="360" w:lineRule="auto"/>
              <w:ind w:right="105" w:rightChars="5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    容</w:t>
            </w:r>
          </w:p>
        </w:tc>
      </w:tr>
      <w:tr w14:paraId="5866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51" w:type="dxa"/>
            <w:vAlign w:val="center"/>
          </w:tcPr>
          <w:p w14:paraId="1EB8CAC4">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9245" w:type="dxa"/>
            <w:vAlign w:val="center"/>
          </w:tcPr>
          <w:p w14:paraId="0408DE54">
            <w:pPr>
              <w:autoSpaceDE w:val="0"/>
              <w:autoSpaceDN w:val="0"/>
              <w:adjustRightInd w:val="0"/>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sz w:val="24"/>
                <w:szCs w:val="24"/>
                <w:lang w:eastAsia="zh-CN"/>
              </w:rPr>
              <w:t>新疆科技学院2025-2026学年消防维保检测服务项目</w:t>
            </w:r>
          </w:p>
          <w:p w14:paraId="73910705">
            <w:pPr>
              <w:autoSpaceDE w:val="0"/>
              <w:autoSpaceDN w:val="0"/>
              <w:adjustRightInd w:val="0"/>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24"/>
                <w:szCs w:val="24"/>
              </w:rPr>
              <w:t>采购项目编号：</w:t>
            </w:r>
            <w:r>
              <w:rPr>
                <w:rFonts w:hint="eastAsia" w:asciiTheme="minorEastAsia" w:hAnsiTheme="minorEastAsia" w:eastAsiaTheme="minorEastAsia" w:cstheme="minorEastAsia"/>
                <w:sz w:val="24"/>
                <w:szCs w:val="24"/>
                <w:lang w:eastAsia="zh-CN"/>
              </w:rPr>
              <w:t>XJHY-XJKJXY2025-020</w:t>
            </w:r>
          </w:p>
        </w:tc>
      </w:tr>
      <w:tr w14:paraId="2E974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51" w:type="dxa"/>
            <w:vAlign w:val="center"/>
          </w:tcPr>
          <w:p w14:paraId="29A13A35">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9245" w:type="dxa"/>
            <w:vAlign w:val="center"/>
          </w:tcPr>
          <w:p w14:paraId="0F3023AB">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采购内容：包含磋商文件、补充答疑文件、采购需求等全部采购及服务内容</w:t>
            </w:r>
          </w:p>
        </w:tc>
      </w:tr>
      <w:tr w14:paraId="4D8EE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14:paraId="173EE453">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9245" w:type="dxa"/>
            <w:vAlign w:val="center"/>
          </w:tcPr>
          <w:p w14:paraId="1EE1DBFC">
            <w:pPr>
              <w:pStyle w:val="27"/>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磋商供应商资格要求：</w:t>
            </w:r>
          </w:p>
          <w:p w14:paraId="3DA04BFA">
            <w:pPr>
              <w:pStyle w:val="27"/>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1.满足《中华人民共和国政府采购法》第二十二条规定；</w:t>
            </w:r>
          </w:p>
          <w:p w14:paraId="1DCA7800">
            <w:pPr>
              <w:pStyle w:val="27"/>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2.落实政府采购政策需满足的资格要求：</w:t>
            </w:r>
          </w:p>
          <w:p w14:paraId="05ACB01F">
            <w:pPr>
              <w:pStyle w:val="27"/>
              <w:spacing w:before="75" w:after="75" w:line="400" w:lineRule="exact"/>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本项目为专门面向中小企业采购项目，须在响应文件中提供《中小企业声明函》，其投标报价不进行扣除优惠政策。</w:t>
            </w:r>
          </w:p>
          <w:p w14:paraId="61DC5934">
            <w:pPr>
              <w:pStyle w:val="27"/>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3.本项目的特定资格要求：</w:t>
            </w:r>
          </w:p>
          <w:p w14:paraId="0AFD64B3">
            <w:pPr>
              <w:pStyle w:val="27"/>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（1）供应商须是中华人民共和国境内注册的，具有有效的营业执照</w:t>
            </w:r>
            <w:r>
              <w:rPr>
                <w:rFonts w:hint="eastAsia" w:asciiTheme="minorEastAsia" w:hAnsiTheme="minorEastAsia" w:eastAsiaTheme="minorEastAsia" w:cstheme="minorEastAsia"/>
              </w:rPr>
              <w:t>；</w:t>
            </w:r>
          </w:p>
          <w:p w14:paraId="2762934B">
            <w:pPr>
              <w:pStyle w:val="27"/>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rPr>
              <w:t>供应商不得为“信用中国网站（www.creditchina.gov.cn）中列入失信被执行人和税收违法黑名单的供应商，不得为中国政府采购网（www.ccgp.gov.cn）政府采购严重违法失信行为记录名单中被财政部门禁止参加政府采购活动的供应商。</w:t>
            </w:r>
          </w:p>
        </w:tc>
      </w:tr>
      <w:tr w14:paraId="11E2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51" w:type="dxa"/>
            <w:vAlign w:val="center"/>
          </w:tcPr>
          <w:p w14:paraId="34E3DF41">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9245" w:type="dxa"/>
            <w:vAlign w:val="center"/>
          </w:tcPr>
          <w:p w14:paraId="38A803D2">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信用查询时间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磋商响应文件提交截止时间前</w:t>
            </w:r>
          </w:p>
        </w:tc>
      </w:tr>
      <w:tr w14:paraId="23161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51" w:type="dxa"/>
            <w:vAlign w:val="center"/>
          </w:tcPr>
          <w:p w14:paraId="764AFBE1">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9245" w:type="dxa"/>
            <w:vAlign w:val="center"/>
          </w:tcPr>
          <w:p w14:paraId="1FAF7A65">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竞争性磋商文件费用：0元。</w:t>
            </w:r>
          </w:p>
        </w:tc>
      </w:tr>
      <w:tr w14:paraId="4835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51" w:type="dxa"/>
            <w:vAlign w:val="center"/>
          </w:tcPr>
          <w:p w14:paraId="004E7ACC">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9245" w:type="dxa"/>
            <w:vAlign w:val="center"/>
          </w:tcPr>
          <w:p w14:paraId="68AD7CD3">
            <w:pPr>
              <w:pStyle w:val="27"/>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投标保证金的金额：人民币</w:t>
            </w:r>
            <w:r>
              <w:rPr>
                <w:rFonts w:hint="eastAsia" w:asciiTheme="minorEastAsia" w:hAnsiTheme="minorEastAsia" w:eastAsiaTheme="minorEastAsia" w:cstheme="minorEastAsia"/>
                <w:lang w:val="en-US" w:eastAsia="zh-CN"/>
              </w:rPr>
              <w:t>180</w:t>
            </w:r>
            <w:r>
              <w:rPr>
                <w:rFonts w:hint="eastAsia" w:asciiTheme="minorEastAsia" w:hAnsiTheme="minorEastAsia" w:eastAsiaTheme="minorEastAsia" w:cstheme="minorEastAsia"/>
              </w:rPr>
              <w:t>00元</w:t>
            </w:r>
          </w:p>
          <w:p w14:paraId="70C7B7B9">
            <w:pPr>
              <w:pStyle w:val="27"/>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于</w:t>
            </w:r>
            <w:r>
              <w:rPr>
                <w:rFonts w:hint="eastAsia" w:asciiTheme="minorEastAsia" w:hAnsiTheme="minorEastAsia" w:eastAsiaTheme="minorEastAsia" w:cstheme="minorEastAsia"/>
                <w:lang w:eastAsia="zh-CN"/>
              </w:rPr>
              <w:t>2025年7月28日16点30分</w:t>
            </w:r>
            <w:r>
              <w:rPr>
                <w:rFonts w:hint="eastAsia" w:asciiTheme="minorEastAsia" w:hAnsiTheme="minorEastAsia" w:eastAsiaTheme="minorEastAsia" w:cstheme="minorEastAsia"/>
              </w:rPr>
              <w:t>前（北京时间，以到账时间为准)从供应商基本账户以支票、银行电汇、网银形式汇至指定账户，供应商递交投标保证金应充分考虑资金在途时间。</w:t>
            </w:r>
          </w:p>
          <w:p w14:paraId="6E69B2FF">
            <w:pPr>
              <w:pStyle w:val="27"/>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开户单位名称：新疆华域建设工程项目管理咨询有限公司</w:t>
            </w:r>
          </w:p>
          <w:p w14:paraId="5D164EBC">
            <w:pPr>
              <w:pStyle w:val="27"/>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开户银行：中国银行乌鲁木齐市南湖东路支行</w:t>
            </w:r>
          </w:p>
          <w:p w14:paraId="6C162C97">
            <w:pPr>
              <w:pStyle w:val="27"/>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开户行行号：104881006151</w:t>
            </w:r>
          </w:p>
          <w:p w14:paraId="5AEBCD79">
            <w:pPr>
              <w:pStyle w:val="27"/>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账号：107083025521</w:t>
            </w:r>
          </w:p>
          <w:p w14:paraId="5D3AC2A4">
            <w:pPr>
              <w:pStyle w:val="27"/>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投标保证金的形式：银行电汇、网银</w:t>
            </w:r>
          </w:p>
          <w:p w14:paraId="0DF82EB3">
            <w:pPr>
              <w:pStyle w:val="27"/>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汇款后请把汇款凭证复印件放在</w:t>
            </w:r>
            <w:r>
              <w:rPr>
                <w:rFonts w:hint="eastAsia" w:asciiTheme="minorEastAsia" w:hAnsiTheme="minorEastAsia" w:eastAsiaTheme="minorEastAsia" w:cstheme="minorEastAsia"/>
                <w:lang w:eastAsia="zh-CN"/>
              </w:rPr>
              <w:t>响应文件</w:t>
            </w:r>
            <w:r>
              <w:rPr>
                <w:rFonts w:hint="eastAsia" w:asciiTheme="minorEastAsia" w:hAnsiTheme="minorEastAsia" w:eastAsiaTheme="minorEastAsia" w:cstheme="minorEastAsia"/>
              </w:rPr>
              <w:t>中，无需到公司换取收据。</w:t>
            </w:r>
          </w:p>
          <w:p w14:paraId="42CA3D6B">
            <w:pPr>
              <w:pStyle w:val="27"/>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注：供应商递交磋商保证金时，须注明所投项目名称</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可简写</w:t>
            </w:r>
            <w:r>
              <w:rPr>
                <w:rFonts w:hint="eastAsia" w:asciiTheme="minorEastAsia" w:hAnsiTheme="minorEastAsia" w:eastAsiaTheme="minorEastAsia" w:cstheme="minorEastAsia"/>
              </w:rPr>
              <w:t>。</w:t>
            </w:r>
          </w:p>
          <w:p w14:paraId="57C8FFDC">
            <w:pPr>
              <w:pStyle w:val="27"/>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退还投标保证金找磋商文件中的项目负责人办理。</w:t>
            </w:r>
          </w:p>
          <w:p w14:paraId="10E31A77">
            <w:pPr>
              <w:pStyle w:val="27"/>
              <w:spacing w:before="75" w:after="75" w:line="400" w:lineRule="exact"/>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退还投标保证金时，请将法人授权委托书及委托人的身份证复印件（加盖公章及法人章）、汇款凭证复印件（加盖公章）、基本户信息复印件（加盖公章），彩色扫描件PDF版发送1506064139@qq.com办理退款。</w:t>
            </w:r>
          </w:p>
        </w:tc>
      </w:tr>
      <w:tr w14:paraId="419A1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51" w:type="dxa"/>
            <w:vAlign w:val="center"/>
          </w:tcPr>
          <w:p w14:paraId="0D2663EC">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9245" w:type="dxa"/>
            <w:vAlign w:val="center"/>
          </w:tcPr>
          <w:p w14:paraId="5451F76B">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预算金额</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939000</w:t>
            </w:r>
            <w:r>
              <w:rPr>
                <w:rFonts w:hint="eastAsia" w:asciiTheme="minorEastAsia" w:hAnsiTheme="minorEastAsia" w:eastAsiaTheme="minorEastAsia" w:cstheme="minorEastAsia"/>
                <w:sz w:val="24"/>
                <w:szCs w:val="24"/>
              </w:rPr>
              <w:t>元（大写：</w:t>
            </w:r>
            <w:r>
              <w:rPr>
                <w:rFonts w:hint="eastAsia" w:asciiTheme="minorEastAsia" w:hAnsiTheme="minorEastAsia" w:eastAsiaTheme="minorEastAsia" w:cstheme="minorEastAsia"/>
                <w:sz w:val="24"/>
                <w:szCs w:val="24"/>
                <w:lang w:val="en-US" w:eastAsia="zh-CN"/>
              </w:rPr>
              <w:t>玖拾叁万玖仟</w:t>
            </w:r>
            <w:r>
              <w:rPr>
                <w:rFonts w:hint="eastAsia" w:asciiTheme="minorEastAsia" w:hAnsiTheme="minorEastAsia" w:eastAsiaTheme="minorEastAsia" w:cstheme="minorEastAsia"/>
                <w:sz w:val="24"/>
                <w:szCs w:val="24"/>
              </w:rPr>
              <w:t>元整）</w:t>
            </w:r>
          </w:p>
          <w:p w14:paraId="02620F8B">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rPr>
              <w:t>供应商的投标报价不得高于此限价，否则按无效投标处理</w:t>
            </w:r>
          </w:p>
        </w:tc>
      </w:tr>
      <w:tr w14:paraId="64D67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vAlign w:val="center"/>
          </w:tcPr>
          <w:p w14:paraId="04D2C228">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9245" w:type="dxa"/>
            <w:vAlign w:val="center"/>
          </w:tcPr>
          <w:p w14:paraId="2732EC0F">
            <w:pPr>
              <w:numPr>
                <w:ilvl w:val="0"/>
                <w:numId w:val="4"/>
              </w:numPr>
              <w:spacing w:line="360" w:lineRule="auto"/>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电子</w:t>
            </w:r>
            <w:r>
              <w:rPr>
                <w:rFonts w:hint="eastAsia" w:asciiTheme="minorEastAsia" w:hAnsiTheme="minorEastAsia" w:eastAsiaTheme="minorEastAsia" w:cstheme="minorEastAsia"/>
                <w:bCs/>
                <w:sz w:val="24"/>
                <w:szCs w:val="24"/>
                <w:lang w:eastAsia="zh-CN"/>
              </w:rPr>
              <w:t>响应文件</w:t>
            </w:r>
            <w:r>
              <w:rPr>
                <w:rFonts w:hint="eastAsia" w:asciiTheme="minorEastAsia" w:hAnsiTheme="minorEastAsia" w:eastAsiaTheme="minorEastAsia" w:cstheme="minorEastAsia"/>
                <w:bCs/>
                <w:sz w:val="24"/>
                <w:szCs w:val="24"/>
              </w:rPr>
              <w:t>递交：供应商应于</w:t>
            </w:r>
            <w:r>
              <w:rPr>
                <w:rFonts w:hint="eastAsia" w:asciiTheme="minorEastAsia" w:hAnsiTheme="minorEastAsia" w:eastAsiaTheme="minorEastAsia" w:cstheme="minorEastAsia"/>
                <w:bCs/>
                <w:sz w:val="24"/>
                <w:szCs w:val="24"/>
                <w:lang w:eastAsia="zh-CN"/>
              </w:rPr>
              <w:t>2025年7月28日16点30分</w:t>
            </w:r>
            <w:r>
              <w:rPr>
                <w:rFonts w:hint="eastAsia" w:asciiTheme="minorEastAsia" w:hAnsiTheme="minorEastAsia" w:eastAsiaTheme="minorEastAsia" w:cstheme="minorEastAsia"/>
                <w:bCs/>
                <w:sz w:val="24"/>
                <w:szCs w:val="24"/>
              </w:rPr>
              <w:t>之前将电子</w:t>
            </w:r>
            <w:r>
              <w:rPr>
                <w:rFonts w:hint="eastAsia" w:asciiTheme="minorEastAsia" w:hAnsiTheme="minorEastAsia" w:eastAsiaTheme="minorEastAsia" w:cstheme="minorEastAsia"/>
                <w:bCs/>
                <w:sz w:val="24"/>
                <w:szCs w:val="24"/>
                <w:lang w:eastAsia="zh-CN"/>
              </w:rPr>
              <w:t>响应文件</w:t>
            </w:r>
            <w:r>
              <w:rPr>
                <w:rFonts w:hint="eastAsia" w:asciiTheme="minorEastAsia" w:hAnsiTheme="minorEastAsia" w:eastAsiaTheme="minorEastAsia" w:cstheme="minorEastAsia"/>
                <w:bCs/>
                <w:sz w:val="24"/>
                <w:szCs w:val="24"/>
              </w:rPr>
              <w:t>上传到“政采云”平台。应按照本项目磋商文件和政采云平台的要求编制、加密传输</w:t>
            </w:r>
            <w:r>
              <w:rPr>
                <w:rFonts w:hint="eastAsia" w:asciiTheme="minorEastAsia" w:hAnsiTheme="minorEastAsia" w:eastAsiaTheme="minorEastAsia" w:cstheme="minorEastAsia"/>
                <w:bCs/>
                <w:sz w:val="24"/>
                <w:szCs w:val="24"/>
                <w:lang w:eastAsia="zh-CN"/>
              </w:rPr>
              <w:t>响应文件</w:t>
            </w:r>
            <w:r>
              <w:rPr>
                <w:rFonts w:hint="eastAsia" w:asciiTheme="minorEastAsia" w:hAnsiTheme="minorEastAsia" w:eastAsiaTheme="minorEastAsia" w:cstheme="minorEastAsia"/>
                <w:bCs/>
                <w:sz w:val="24"/>
                <w:szCs w:val="24"/>
              </w:rPr>
              <w:t>。供应商对不见面开评标系统的技术操作咨询，可通过https://edu.zcygov.cn/luban/xinjiang-e-biding 自助查询，也可在政采云帮助中心常见问题解答和操作流程讲解视频中自助查询，网址为：https://service.zcygov.cn/#/help，“项目采购”—“操作流程</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电子 招投标”—“政府采购项目电子交易管理操作指南</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供应商”版面获取操 作指南，同时对自助查询无法解决的问题可通过钉钉群及政采云在线客服获取服务支持。</w:t>
            </w:r>
          </w:p>
          <w:p w14:paraId="18ED16C4">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（2）投标现场无需递交</w:t>
            </w:r>
            <w:r>
              <w:rPr>
                <w:rFonts w:hint="eastAsia" w:asciiTheme="minorEastAsia" w:hAnsiTheme="minorEastAsia" w:eastAsiaTheme="minorEastAsia" w:cstheme="minorEastAsia"/>
                <w:bCs/>
                <w:sz w:val="24"/>
                <w:szCs w:val="24"/>
                <w:lang w:eastAsia="zh-CN"/>
              </w:rPr>
              <w:t>响应文件</w:t>
            </w:r>
            <w:r>
              <w:rPr>
                <w:rFonts w:hint="eastAsia" w:asciiTheme="minorEastAsia" w:hAnsiTheme="minorEastAsia" w:eastAsiaTheme="minorEastAsia" w:cstheme="minorEastAsia"/>
                <w:bCs/>
                <w:sz w:val="24"/>
                <w:szCs w:val="24"/>
              </w:rPr>
              <w:t>。</w:t>
            </w:r>
          </w:p>
        </w:tc>
      </w:tr>
      <w:tr w14:paraId="5E52E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51" w:type="dxa"/>
            <w:vAlign w:val="center"/>
          </w:tcPr>
          <w:p w14:paraId="03575CF4">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9245" w:type="dxa"/>
            <w:vAlign w:val="center"/>
          </w:tcPr>
          <w:p w14:paraId="5D6BEC67">
            <w:pPr>
              <w:spacing w:line="4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本项目实行网上投标，采用电子</w:t>
            </w:r>
            <w:r>
              <w:rPr>
                <w:rFonts w:hint="eastAsia" w:asciiTheme="minorEastAsia" w:hAnsiTheme="minorEastAsia" w:eastAsiaTheme="minorEastAsia" w:cstheme="minorEastAsia"/>
                <w:bCs/>
                <w:sz w:val="24"/>
                <w:szCs w:val="24"/>
                <w:lang w:eastAsia="zh-CN"/>
              </w:rPr>
              <w:t>响应文件</w:t>
            </w:r>
            <w:r>
              <w:rPr>
                <w:rFonts w:hint="eastAsia" w:asciiTheme="minorEastAsia" w:hAnsiTheme="minorEastAsia" w:eastAsiaTheme="minorEastAsia" w:cstheme="minorEastAsia"/>
                <w:bCs/>
                <w:sz w:val="24"/>
                <w:szCs w:val="24"/>
              </w:rPr>
              <w:t>。若供应商参与投标，自行承担投标一切费用。</w:t>
            </w:r>
          </w:p>
          <w:p w14:paraId="2120B3AA">
            <w:pPr>
              <w:spacing w:line="4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各供应商应在开标前确保成为新疆维吾尔自治区政府采购网正式注册入库供应商，并完成CA数字证书申领。因未注册入库、未办理CA数字证书等原因造成无法投标或投标失败等后果由供应商自行承担。</w:t>
            </w:r>
          </w:p>
          <w:p w14:paraId="11073A10">
            <w:pPr>
              <w:spacing w:line="44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投标供应商应当在投标截止时间前，将生成的“电子加密</w:t>
            </w:r>
            <w:r>
              <w:rPr>
                <w:rFonts w:hint="eastAsia" w:asciiTheme="minorEastAsia" w:hAnsiTheme="minorEastAsia" w:eastAsiaTheme="minorEastAsia" w:cstheme="minorEastAsia"/>
                <w:bCs/>
                <w:sz w:val="24"/>
                <w:szCs w:val="24"/>
                <w:lang w:eastAsia="zh-CN"/>
              </w:rPr>
              <w:t>响应文件</w:t>
            </w:r>
            <w:r>
              <w:rPr>
                <w:rFonts w:hint="eastAsia" w:asciiTheme="minorEastAsia" w:hAnsiTheme="minorEastAsia" w:eastAsiaTheme="minorEastAsia" w:cstheme="minorEastAsia"/>
                <w:bCs/>
                <w:sz w:val="24"/>
                <w:szCs w:val="24"/>
              </w:rPr>
              <w:t>”上传递交至“政府采购云平台”。投标截止时间以后上传递交的</w:t>
            </w:r>
            <w:r>
              <w:rPr>
                <w:rFonts w:hint="eastAsia" w:asciiTheme="minorEastAsia" w:hAnsiTheme="minorEastAsia" w:eastAsiaTheme="minorEastAsia" w:cstheme="minorEastAsia"/>
                <w:bCs/>
                <w:sz w:val="24"/>
                <w:szCs w:val="24"/>
                <w:lang w:eastAsia="zh-CN"/>
              </w:rPr>
              <w:t>响应文件</w:t>
            </w:r>
            <w:r>
              <w:rPr>
                <w:rFonts w:hint="eastAsia" w:asciiTheme="minorEastAsia" w:hAnsiTheme="minorEastAsia" w:eastAsiaTheme="minorEastAsia" w:cstheme="minorEastAsia"/>
                <w:bCs/>
                <w:sz w:val="24"/>
                <w:szCs w:val="24"/>
              </w:rPr>
              <w:t>将被“政府采购云平台”拒收。</w:t>
            </w:r>
          </w:p>
        </w:tc>
      </w:tr>
      <w:tr w14:paraId="272DB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51" w:type="dxa"/>
            <w:vAlign w:val="center"/>
          </w:tcPr>
          <w:p w14:paraId="617064BD">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9245" w:type="dxa"/>
            <w:vAlign w:val="center"/>
          </w:tcPr>
          <w:p w14:paraId="1ED0DCC9">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磋商报价：供应商的报价应为所确定的招标范围内的全部工作内容的价格体现。</w:t>
            </w:r>
          </w:p>
        </w:tc>
      </w:tr>
      <w:tr w14:paraId="43410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1" w:type="dxa"/>
            <w:vAlign w:val="center"/>
          </w:tcPr>
          <w:p w14:paraId="2B5ECACE">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9245" w:type="dxa"/>
            <w:vAlign w:val="center"/>
          </w:tcPr>
          <w:p w14:paraId="4BFA2901">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响应文件</w:t>
            </w:r>
            <w:r>
              <w:rPr>
                <w:rFonts w:hint="eastAsia" w:asciiTheme="minorEastAsia" w:hAnsiTheme="minorEastAsia" w:eastAsiaTheme="minorEastAsia" w:cstheme="minorEastAsia"/>
                <w:sz w:val="24"/>
                <w:szCs w:val="24"/>
              </w:rPr>
              <w:t>解密时间为30分钟，供应商可以登录“政采云”平台，用“项目采购</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开标评标”功能进行解密</w:t>
            </w:r>
            <w:r>
              <w:rPr>
                <w:rFonts w:hint="eastAsia" w:asciiTheme="minorEastAsia" w:hAnsiTheme="minorEastAsia" w:eastAsiaTheme="minorEastAsia" w:cstheme="minorEastAsia"/>
                <w:sz w:val="24"/>
                <w:szCs w:val="24"/>
                <w:lang w:eastAsia="zh-CN"/>
              </w:rPr>
              <w:t>响应文件</w:t>
            </w:r>
            <w:r>
              <w:rPr>
                <w:rFonts w:hint="eastAsia" w:asciiTheme="minorEastAsia" w:hAnsiTheme="minorEastAsia" w:eastAsiaTheme="minorEastAsia" w:cstheme="minorEastAsia"/>
                <w:sz w:val="24"/>
                <w:szCs w:val="24"/>
              </w:rPr>
              <w:t>。若供应商在招标代理现场规定的时间内未按时解密的，视为</w:t>
            </w:r>
            <w:r>
              <w:rPr>
                <w:rFonts w:hint="eastAsia" w:asciiTheme="minorEastAsia" w:hAnsiTheme="minorEastAsia" w:eastAsiaTheme="minorEastAsia" w:cstheme="minorEastAsia"/>
                <w:sz w:val="24"/>
                <w:szCs w:val="24"/>
                <w:lang w:eastAsia="zh-CN"/>
              </w:rPr>
              <w:t>响应文件</w:t>
            </w:r>
            <w:r>
              <w:rPr>
                <w:rFonts w:hint="eastAsia" w:asciiTheme="minorEastAsia" w:hAnsiTheme="minorEastAsia" w:eastAsiaTheme="minorEastAsia" w:cstheme="minorEastAsia"/>
                <w:sz w:val="24"/>
                <w:szCs w:val="24"/>
              </w:rPr>
              <w:t>撤回。因网上招标系统故障导致所有供应商均解密失败，由采购人或采购代理机构现场请示项目主管部门处理。</w:t>
            </w:r>
          </w:p>
        </w:tc>
      </w:tr>
      <w:tr w14:paraId="5F5AA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1" w:type="dxa"/>
            <w:vAlign w:val="center"/>
          </w:tcPr>
          <w:p w14:paraId="5CF4E09E">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9245" w:type="dxa"/>
            <w:vAlign w:val="center"/>
          </w:tcPr>
          <w:p w14:paraId="7421F93D">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磋商响应文件的递交截止时间：</w:t>
            </w:r>
            <w:r>
              <w:rPr>
                <w:rFonts w:hint="eastAsia" w:asciiTheme="minorEastAsia" w:hAnsiTheme="minorEastAsia" w:eastAsiaTheme="minorEastAsia" w:cstheme="minorEastAsia"/>
                <w:sz w:val="24"/>
                <w:szCs w:val="24"/>
                <w:lang w:eastAsia="zh-CN"/>
              </w:rPr>
              <w:t>2025年7月28日16点30分</w:t>
            </w:r>
            <w:r>
              <w:rPr>
                <w:rFonts w:hint="eastAsia" w:asciiTheme="minorEastAsia" w:hAnsiTheme="minorEastAsia" w:eastAsiaTheme="minorEastAsia" w:cstheme="minorEastAsia"/>
                <w:sz w:val="24"/>
                <w:szCs w:val="24"/>
              </w:rPr>
              <w:t>（北京时间）</w:t>
            </w:r>
          </w:p>
        </w:tc>
      </w:tr>
      <w:tr w14:paraId="2398C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51" w:type="dxa"/>
            <w:vAlign w:val="center"/>
          </w:tcPr>
          <w:p w14:paraId="150FCD08">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9245" w:type="dxa"/>
            <w:vAlign w:val="center"/>
          </w:tcPr>
          <w:p w14:paraId="3F9FC32B">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磋商响应文件递交地点：</w:t>
            </w:r>
            <w:r>
              <w:rPr>
                <w:rFonts w:hint="eastAsia" w:asciiTheme="minorEastAsia" w:hAnsiTheme="minorEastAsia" w:eastAsiaTheme="minorEastAsia" w:cstheme="minorEastAsia"/>
                <w:kern w:val="0"/>
                <w:sz w:val="24"/>
                <w:szCs w:val="24"/>
              </w:rPr>
              <w:t>政采云平台（https://www.zcygov.cn/）</w:t>
            </w:r>
          </w:p>
        </w:tc>
      </w:tr>
      <w:tr w14:paraId="20A0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51" w:type="dxa"/>
            <w:vAlign w:val="center"/>
          </w:tcPr>
          <w:p w14:paraId="3F78D77D">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9245" w:type="dxa"/>
            <w:vAlign w:val="center"/>
          </w:tcPr>
          <w:p w14:paraId="1A471A16">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磋商响应时间：</w:t>
            </w:r>
            <w:r>
              <w:rPr>
                <w:rFonts w:hint="eastAsia" w:asciiTheme="minorEastAsia" w:hAnsiTheme="minorEastAsia" w:eastAsiaTheme="minorEastAsia" w:cstheme="minorEastAsia"/>
                <w:sz w:val="24"/>
                <w:szCs w:val="24"/>
                <w:lang w:eastAsia="zh-CN"/>
              </w:rPr>
              <w:t>2025年7月28日16点30分</w:t>
            </w:r>
            <w:r>
              <w:rPr>
                <w:rFonts w:hint="eastAsia" w:asciiTheme="minorEastAsia" w:hAnsiTheme="minorEastAsia" w:eastAsiaTheme="minorEastAsia" w:cstheme="minorEastAsia"/>
                <w:sz w:val="24"/>
                <w:szCs w:val="24"/>
              </w:rPr>
              <w:t>（北京时间）</w:t>
            </w:r>
          </w:p>
          <w:p w14:paraId="332CCE1F">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磋商地点：</w:t>
            </w:r>
            <w:r>
              <w:rPr>
                <w:rFonts w:hint="eastAsia" w:asciiTheme="minorEastAsia" w:hAnsiTheme="minorEastAsia" w:eastAsiaTheme="minorEastAsia" w:cstheme="minorEastAsia"/>
                <w:kern w:val="0"/>
                <w:sz w:val="24"/>
                <w:szCs w:val="24"/>
              </w:rPr>
              <w:t>库尔勒市欢乐海岸3号楼16楼开标室</w:t>
            </w:r>
          </w:p>
        </w:tc>
      </w:tr>
      <w:tr w14:paraId="51048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51" w:type="dxa"/>
            <w:vAlign w:val="center"/>
          </w:tcPr>
          <w:p w14:paraId="4D4F832C">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9245" w:type="dxa"/>
            <w:vAlign w:val="center"/>
          </w:tcPr>
          <w:p w14:paraId="57CC4D9D">
            <w:pPr>
              <w:spacing w:line="45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成交原则：依据提交最后报价的供应商，由磋商小组采用综合评分法对提交最后报价的供应商的磋商响应文件和最后报价进行综合评分。</w:t>
            </w:r>
          </w:p>
          <w:p w14:paraId="10E149E7">
            <w:pPr>
              <w:spacing w:line="45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综合评分法，是指磋商响应文件满足磋商文件全部实质性要求且按评审因素的量化指标评审得分最高的供应商为成交候选供应商的评审方法。</w:t>
            </w:r>
          </w:p>
        </w:tc>
      </w:tr>
      <w:tr w14:paraId="09D32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14:paraId="4B533D4D">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c>
          <w:tcPr>
            <w:tcW w:w="9245" w:type="dxa"/>
            <w:vAlign w:val="center"/>
          </w:tcPr>
          <w:p w14:paraId="6B176127">
            <w:pPr>
              <w:spacing w:line="45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磋商小组的组建：由采购人代表和评审专家共3人以上单数组成，其中评审专家人数不得少于磋商小组成员总数的2/3。</w:t>
            </w:r>
          </w:p>
        </w:tc>
      </w:tr>
      <w:tr w14:paraId="41608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51" w:type="dxa"/>
            <w:vAlign w:val="center"/>
          </w:tcPr>
          <w:p w14:paraId="109750A8">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p>
        </w:tc>
        <w:tc>
          <w:tcPr>
            <w:tcW w:w="9245" w:type="dxa"/>
            <w:vAlign w:val="center"/>
          </w:tcPr>
          <w:p w14:paraId="3DA7552C">
            <w:pPr>
              <w:spacing w:line="45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中小微型企业有关政策：</w:t>
            </w:r>
          </w:p>
          <w:p w14:paraId="01CE11D9">
            <w:pPr>
              <w:spacing w:line="45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根据工信部等部委发布的《关于印发中小企业划型标准规定的通知》（工信部联企业[2011]300号）规定执行；监狱企业、残疾人福利性单位视同为小微企业。</w:t>
            </w:r>
          </w:p>
        </w:tc>
      </w:tr>
      <w:tr w14:paraId="70582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51" w:type="dxa"/>
            <w:vAlign w:val="center"/>
          </w:tcPr>
          <w:p w14:paraId="303693F1">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w:t>
            </w:r>
          </w:p>
        </w:tc>
        <w:tc>
          <w:tcPr>
            <w:tcW w:w="9245" w:type="dxa"/>
            <w:vAlign w:val="center"/>
          </w:tcPr>
          <w:p w14:paraId="7B98092C">
            <w:pPr>
              <w:spacing w:line="450" w:lineRule="exact"/>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服务期限：一年，自2025年8月1日起到2026年7月31日止。</w:t>
            </w:r>
          </w:p>
          <w:p w14:paraId="7CC2A1F3">
            <w:pPr>
              <w:spacing w:line="450" w:lineRule="exact"/>
              <w:jc w:val="left"/>
            </w:pPr>
            <w:r>
              <w:rPr>
                <w:rFonts w:hint="eastAsia" w:asciiTheme="minorEastAsia" w:hAnsiTheme="minorEastAsia" w:eastAsiaTheme="minorEastAsia" w:cstheme="minorEastAsia"/>
                <w:sz w:val="24"/>
                <w:lang w:eastAsia="zh-CN"/>
              </w:rPr>
              <w:t>服务地点：新疆科技学院</w:t>
            </w:r>
          </w:p>
        </w:tc>
      </w:tr>
      <w:tr w14:paraId="652A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51" w:type="dxa"/>
            <w:vAlign w:val="center"/>
          </w:tcPr>
          <w:p w14:paraId="11E4C9F4">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w:t>
            </w:r>
          </w:p>
        </w:tc>
        <w:tc>
          <w:tcPr>
            <w:tcW w:w="9245" w:type="dxa"/>
            <w:vAlign w:val="center"/>
          </w:tcPr>
          <w:p w14:paraId="7C51BCFE">
            <w:pPr>
              <w:spacing w:line="45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付款方式：服务费用按月支付，每月15日前支付上个月度维护保养费用，分12次完成全年费用支付。</w:t>
            </w:r>
          </w:p>
        </w:tc>
      </w:tr>
      <w:tr w14:paraId="2D220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51" w:type="dxa"/>
            <w:vAlign w:val="center"/>
          </w:tcPr>
          <w:p w14:paraId="0FD334F0">
            <w:pPr>
              <w:snapToGrid w:val="0"/>
              <w:spacing w:line="360" w:lineRule="auto"/>
              <w:ind w:right="105" w:rightChars="5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p>
        </w:tc>
        <w:tc>
          <w:tcPr>
            <w:tcW w:w="9245" w:type="dxa"/>
            <w:vAlign w:val="center"/>
          </w:tcPr>
          <w:p w14:paraId="5659A5C5">
            <w:pPr>
              <w:spacing w:line="45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履</w:t>
            </w:r>
            <w:r>
              <w:rPr>
                <w:rFonts w:hint="eastAsia" w:asciiTheme="minorEastAsia" w:hAnsiTheme="minorEastAsia" w:eastAsiaTheme="minorEastAsia" w:cstheme="minorEastAsia"/>
                <w:sz w:val="24"/>
                <w:szCs w:val="24"/>
                <w:highlight w:val="none"/>
              </w:rPr>
              <w:t>约保证金：</w:t>
            </w:r>
            <w:r>
              <w:rPr>
                <w:rFonts w:hint="eastAsia" w:asciiTheme="minorEastAsia" w:hAnsiTheme="minorEastAsia" w:eastAsiaTheme="minorEastAsia" w:cstheme="minorEastAsia"/>
                <w:sz w:val="24"/>
                <w:szCs w:val="24"/>
                <w:highlight w:val="none"/>
                <w:lang w:val="en-US" w:eastAsia="zh-CN"/>
              </w:rPr>
              <w:t>无</w:t>
            </w:r>
          </w:p>
        </w:tc>
      </w:tr>
      <w:tr w14:paraId="54751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51" w:type="dxa"/>
            <w:shd w:val="clear" w:color="auto" w:fill="auto"/>
            <w:vAlign w:val="center"/>
          </w:tcPr>
          <w:p w14:paraId="7CF1A538">
            <w:pPr>
              <w:snapToGrid w:val="0"/>
              <w:spacing w:line="360" w:lineRule="auto"/>
              <w:ind w:right="105" w:rightChars="5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1</w:t>
            </w:r>
          </w:p>
        </w:tc>
        <w:tc>
          <w:tcPr>
            <w:tcW w:w="9245" w:type="dxa"/>
            <w:vAlign w:val="center"/>
          </w:tcPr>
          <w:p w14:paraId="37126F16">
            <w:pPr>
              <w:spacing w:line="45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其他要求：</w:t>
            </w:r>
            <w:r>
              <w:rPr>
                <w:rFonts w:hint="eastAsia" w:asciiTheme="minorEastAsia" w:hAnsiTheme="minorEastAsia" w:eastAsiaTheme="minorEastAsia" w:cstheme="minorEastAsia"/>
                <w:sz w:val="24"/>
                <w:szCs w:val="24"/>
                <w:lang w:val="en-US" w:eastAsia="zh-CN"/>
              </w:rPr>
              <w:t>无</w:t>
            </w:r>
          </w:p>
        </w:tc>
      </w:tr>
      <w:tr w14:paraId="7155F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51" w:type="dxa"/>
            <w:shd w:val="clear" w:color="auto" w:fill="auto"/>
            <w:vAlign w:val="center"/>
          </w:tcPr>
          <w:p w14:paraId="23D52DBD">
            <w:pPr>
              <w:snapToGrid w:val="0"/>
              <w:spacing w:line="360" w:lineRule="auto"/>
              <w:ind w:right="105" w:rightChars="5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2</w:t>
            </w:r>
          </w:p>
        </w:tc>
        <w:tc>
          <w:tcPr>
            <w:tcW w:w="9245" w:type="dxa"/>
            <w:vAlign w:val="center"/>
          </w:tcPr>
          <w:p w14:paraId="243C26E3">
            <w:pPr>
              <w:spacing w:line="45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标的所属行业</w:t>
            </w:r>
            <w:r>
              <w:rPr>
                <w:rFonts w:hint="eastAsia" w:asciiTheme="minorEastAsia" w:hAnsiTheme="minorEastAsia" w:eastAsiaTheme="minorEastAsia" w:cstheme="minorEastAsia"/>
                <w:sz w:val="24"/>
                <w:szCs w:val="24"/>
                <w:lang w:eastAsia="zh-CN"/>
              </w:rPr>
              <w:t>：其他未列明行业</w:t>
            </w:r>
          </w:p>
        </w:tc>
      </w:tr>
      <w:tr w14:paraId="633A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51" w:type="dxa"/>
            <w:shd w:val="clear" w:color="auto" w:fill="auto"/>
            <w:vAlign w:val="center"/>
          </w:tcPr>
          <w:p w14:paraId="1A5945D4">
            <w:pPr>
              <w:snapToGrid w:val="0"/>
              <w:spacing w:line="360" w:lineRule="auto"/>
              <w:ind w:right="105" w:rightChars="5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3</w:t>
            </w:r>
          </w:p>
        </w:tc>
        <w:tc>
          <w:tcPr>
            <w:tcW w:w="9245" w:type="dxa"/>
            <w:vAlign w:val="center"/>
          </w:tcPr>
          <w:p w14:paraId="4990B38A">
            <w:pPr>
              <w:spacing w:line="45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公告发布媒体：新疆政府采购网</w:t>
            </w:r>
          </w:p>
        </w:tc>
      </w:tr>
      <w:tr w14:paraId="75A8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51" w:type="dxa"/>
            <w:shd w:val="clear" w:color="auto" w:fill="auto"/>
            <w:vAlign w:val="center"/>
          </w:tcPr>
          <w:p w14:paraId="2CF52117">
            <w:pPr>
              <w:snapToGrid w:val="0"/>
              <w:spacing w:line="360" w:lineRule="auto"/>
              <w:ind w:right="105" w:rightChars="5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4</w:t>
            </w:r>
          </w:p>
        </w:tc>
        <w:tc>
          <w:tcPr>
            <w:tcW w:w="9245" w:type="dxa"/>
            <w:vAlign w:val="center"/>
          </w:tcPr>
          <w:p w14:paraId="4C1F1A9B">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磋商文件的澄清和修改：</w:t>
            </w:r>
          </w:p>
          <w:p w14:paraId="06991EBA">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交首次磋商响应文件截止之日前，采购人、采购代理机构或者磋商小组可以对已发出的磋商文件进行必要的澄清或者修改，澄清或者修改的内容作为磋商文件的组成部分。澄清或者修改的内容可能影响磋商响应文件编制的，采购人、采购代理机构应当在提交首次磋商响应文件截止时间至少5日前，以书面形式通知所有获取磋商文件的供应商；不足5日的，采购人、采购代理机构应当顺延提交首次磋商响应文件截止时间。</w:t>
            </w:r>
          </w:p>
        </w:tc>
      </w:tr>
      <w:tr w14:paraId="7B00B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51" w:type="dxa"/>
            <w:shd w:val="clear" w:color="auto" w:fill="auto"/>
            <w:vAlign w:val="center"/>
          </w:tcPr>
          <w:p w14:paraId="0A517A44">
            <w:pPr>
              <w:snapToGrid w:val="0"/>
              <w:spacing w:line="360" w:lineRule="auto"/>
              <w:ind w:right="105" w:rightChars="5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5</w:t>
            </w:r>
          </w:p>
        </w:tc>
        <w:tc>
          <w:tcPr>
            <w:tcW w:w="9245" w:type="dxa"/>
            <w:vAlign w:val="center"/>
          </w:tcPr>
          <w:p w14:paraId="42156394">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代理服务费：按新疆维吾尔自治区建设工程招标投标协会文件新建招协[2024]4号文的规定收取，由中标单位支付。</w:t>
            </w:r>
          </w:p>
        </w:tc>
      </w:tr>
      <w:tr w14:paraId="7D3F3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51" w:type="dxa"/>
            <w:shd w:val="clear" w:color="auto" w:fill="auto"/>
            <w:vAlign w:val="center"/>
          </w:tcPr>
          <w:p w14:paraId="6EBF0C90">
            <w:pPr>
              <w:snapToGrid w:val="0"/>
              <w:spacing w:line="360" w:lineRule="auto"/>
              <w:ind w:right="105" w:rightChars="5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6</w:t>
            </w:r>
          </w:p>
        </w:tc>
        <w:tc>
          <w:tcPr>
            <w:tcW w:w="9245" w:type="dxa"/>
            <w:vAlign w:val="center"/>
          </w:tcPr>
          <w:p w14:paraId="009347B4">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无论竞标结果如何，供应商均应自行承担竞标所需一切费用。</w:t>
            </w:r>
          </w:p>
        </w:tc>
      </w:tr>
      <w:tr w14:paraId="76880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51" w:type="dxa"/>
            <w:shd w:val="clear" w:color="auto" w:fill="auto"/>
            <w:vAlign w:val="center"/>
          </w:tcPr>
          <w:p w14:paraId="64CD1602">
            <w:pPr>
              <w:snapToGrid w:val="0"/>
              <w:spacing w:line="360" w:lineRule="auto"/>
              <w:ind w:right="105" w:rightChars="5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7</w:t>
            </w:r>
          </w:p>
        </w:tc>
        <w:tc>
          <w:tcPr>
            <w:tcW w:w="9245" w:type="dxa"/>
            <w:vAlign w:val="center"/>
          </w:tcPr>
          <w:p w14:paraId="1BCCD985">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磋商有效期：磋商响应文件截止之日起90天。</w:t>
            </w:r>
          </w:p>
        </w:tc>
      </w:tr>
      <w:tr w14:paraId="027BF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14:paraId="060D28FA">
            <w:pPr>
              <w:snapToGrid w:val="0"/>
              <w:spacing w:line="360" w:lineRule="auto"/>
              <w:ind w:right="105" w:right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28</w:t>
            </w:r>
          </w:p>
        </w:tc>
        <w:tc>
          <w:tcPr>
            <w:tcW w:w="9245" w:type="dxa"/>
            <w:vAlign w:val="center"/>
          </w:tcPr>
          <w:p w14:paraId="4E2CF04B">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所报服务等同或不得低于磋商文件要求的服务要求。任何对磋商文件的忽略或误解不能作为响应文件存在缺陷或瑕疵的理由，其风险由供应商承担。（2）供应商应保证，在中华人民共和国境内使用投标成果、服务或其任何一部分时，不会产生因第三方提出侵犯其专利权或其它知识产权而引起的法律和经济纠纷。</w:t>
            </w:r>
          </w:p>
        </w:tc>
      </w:tr>
    </w:tbl>
    <w:p w14:paraId="55F7659E">
      <w:pPr>
        <w:snapToGrid w:val="0"/>
        <w:spacing w:line="500" w:lineRule="exact"/>
        <w:jc w:val="left"/>
        <w:outlineLvl w:val="1"/>
        <w:rPr>
          <w:rFonts w:hint="eastAsia" w:asciiTheme="minorEastAsia" w:hAnsiTheme="minorEastAsia" w:eastAsiaTheme="minorEastAsia" w:cstheme="minorEastAsia"/>
          <w:b/>
          <w:sz w:val="24"/>
          <w:szCs w:val="24"/>
        </w:rPr>
      </w:pPr>
      <w:bookmarkStart w:id="4" w:name="_Toc27351"/>
      <w:r>
        <w:rPr>
          <w:rFonts w:hint="eastAsia" w:asciiTheme="minorEastAsia" w:hAnsiTheme="minorEastAsia" w:eastAsiaTheme="minorEastAsia" w:cstheme="minorEastAsia"/>
          <w:b/>
          <w:sz w:val="24"/>
          <w:szCs w:val="24"/>
        </w:rPr>
        <w:t>说明</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rPr>
        <w:t>当正文中的内容与前附表规定的内容不一致时，以前附表的规定为准。</w:t>
      </w:r>
    </w:p>
    <w:p w14:paraId="3ED7DCD8">
      <w:pPr>
        <w:snapToGrid w:val="0"/>
        <w:spacing w:line="500" w:lineRule="exact"/>
        <w:jc w:val="left"/>
        <w:outlineLvl w:val="1"/>
        <w:rPr>
          <w:rFonts w:hint="eastAsia" w:asciiTheme="minorEastAsia" w:hAnsiTheme="minorEastAsia" w:eastAsiaTheme="minorEastAsia" w:cstheme="minorEastAsia"/>
          <w:b/>
          <w:sz w:val="24"/>
          <w:szCs w:val="24"/>
        </w:rPr>
      </w:pPr>
    </w:p>
    <w:p w14:paraId="4D2EFAA5">
      <w:pPr>
        <w:pageBreakBefore/>
        <w:snapToGrid w:val="0"/>
        <w:spacing w:line="500" w:lineRule="exact"/>
        <w:jc w:val="center"/>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一、总则</w:t>
      </w:r>
      <w:bookmarkEnd w:id="4"/>
    </w:p>
    <w:p w14:paraId="61F22821">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（一）总则</w:t>
      </w:r>
    </w:p>
    <w:p w14:paraId="1F252B43">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项目说明</w:t>
      </w:r>
    </w:p>
    <w:p w14:paraId="394DBEC7">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 本项目的说明详见供应商须知前附表（以下简称“前附表”）所述。</w:t>
      </w:r>
    </w:p>
    <w:p w14:paraId="2A15A157">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 本招标项目已经批准，采购单位为</w:t>
      </w:r>
      <w:r>
        <w:rPr>
          <w:rFonts w:hint="eastAsia" w:asciiTheme="minorEastAsia" w:hAnsiTheme="minorEastAsia" w:eastAsiaTheme="minorEastAsia" w:cstheme="minorEastAsia"/>
          <w:sz w:val="24"/>
          <w:szCs w:val="24"/>
          <w:u w:val="single"/>
        </w:rPr>
        <w:t>新疆科技学院</w:t>
      </w:r>
      <w:r>
        <w:rPr>
          <w:rFonts w:hint="eastAsia" w:asciiTheme="minorEastAsia" w:hAnsiTheme="minorEastAsia" w:eastAsiaTheme="minorEastAsia" w:cstheme="minorEastAsia"/>
          <w:sz w:val="24"/>
          <w:szCs w:val="24"/>
        </w:rPr>
        <w:t>，该项目已具备招标条件。</w:t>
      </w:r>
    </w:p>
    <w:p w14:paraId="1BCA15A4">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1.3参加竞标的供应商必须符合供应商须知前附表说明，通过资格后审的供应商为合格的供应商。合格的供应商必须符合磋商文件中对供应商的规定，且具备独立完成本项目的能力</w:t>
      </w:r>
      <w:r>
        <w:rPr>
          <w:rFonts w:hint="eastAsia" w:asciiTheme="minorEastAsia" w:hAnsiTheme="minorEastAsia" w:eastAsiaTheme="minorEastAsia" w:cstheme="minorEastAsia"/>
          <w:b w:val="0"/>
          <w:bCs w:val="0"/>
          <w:sz w:val="24"/>
          <w:szCs w:val="24"/>
        </w:rPr>
        <w:t>，成交后不允许转包、违法分包。</w:t>
      </w:r>
    </w:p>
    <w:p w14:paraId="6A40A2EF">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 资格后审包括下列的内容</w:t>
      </w:r>
    </w:p>
    <w:p w14:paraId="267BF86F">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 供应商须满足“前附表”规定的资格要求 ；</w:t>
      </w:r>
    </w:p>
    <w:p w14:paraId="48EBADDE">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1.4.2 磋商响应文件有要求供应商法定代表人或其授权代表签字或盖章和加盖供应商公章要求的，供应商须按要求盖章或签字；</w:t>
      </w:r>
    </w:p>
    <w:p w14:paraId="1AAAF95C">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1.4.3</w:t>
      </w:r>
      <w:r>
        <w:rPr>
          <w:rFonts w:hint="eastAsia" w:asciiTheme="minorEastAsia" w:hAnsiTheme="minorEastAsia" w:eastAsiaTheme="minorEastAsia" w:cstheme="minorEastAsia"/>
          <w:sz w:val="24"/>
          <w:szCs w:val="24"/>
          <w:lang w:val="en-US" w:eastAsia="zh-CN"/>
        </w:rPr>
        <w:t>服务</w:t>
      </w:r>
      <w:r>
        <w:rPr>
          <w:rFonts w:hint="eastAsia" w:asciiTheme="minorEastAsia" w:hAnsiTheme="minorEastAsia" w:eastAsiaTheme="minorEastAsia" w:cstheme="minorEastAsia"/>
          <w:sz w:val="24"/>
          <w:szCs w:val="24"/>
          <w:lang w:eastAsia="zh-CN"/>
        </w:rPr>
        <w:t>期限</w:t>
      </w:r>
      <w:r>
        <w:rPr>
          <w:rFonts w:hint="eastAsia" w:asciiTheme="minorEastAsia" w:hAnsiTheme="minorEastAsia" w:eastAsiaTheme="minorEastAsia" w:cstheme="minorEastAsia"/>
          <w:sz w:val="24"/>
          <w:szCs w:val="24"/>
        </w:rPr>
        <w:t>符合磋商文件要求；</w:t>
      </w:r>
    </w:p>
    <w:p w14:paraId="5E7E3208">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 磋商地点符合磋商文件规定；</w:t>
      </w:r>
    </w:p>
    <w:p w14:paraId="7EB9EA5D">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1.4.5 磋商内容、质量满足磋商文件要求；</w:t>
      </w:r>
    </w:p>
    <w:p w14:paraId="7D121A6D">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1.4.6 磋商响应文件中所提条件均符合采购人的要求；</w:t>
      </w:r>
    </w:p>
    <w:p w14:paraId="4AD24D9D">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1.4.7 符合磋商文件中规定的其他实质性要求；</w:t>
      </w:r>
    </w:p>
    <w:p w14:paraId="76F89B65">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1.4.8 无</w:t>
      </w:r>
      <w:r>
        <w:rPr>
          <w:rFonts w:hint="eastAsia" w:asciiTheme="minorEastAsia" w:hAnsiTheme="minorEastAsia" w:eastAsiaTheme="minorEastAsia" w:cstheme="minorEastAsia"/>
          <w:sz w:val="24"/>
          <w:szCs w:val="24"/>
          <w:lang w:eastAsia="zh-CN"/>
        </w:rPr>
        <w:t>法律法规</w:t>
      </w:r>
      <w:r>
        <w:rPr>
          <w:rFonts w:hint="eastAsia" w:asciiTheme="minorEastAsia" w:hAnsiTheme="minorEastAsia" w:eastAsiaTheme="minorEastAsia" w:cstheme="minorEastAsia"/>
          <w:sz w:val="24"/>
          <w:szCs w:val="24"/>
        </w:rPr>
        <w:t>和规章禁止的其他情况。</w:t>
      </w:r>
    </w:p>
    <w:p w14:paraId="0F46E00E">
      <w:pPr>
        <w:snapToGrid w:val="0"/>
        <w:spacing w:line="50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（二）采购方式</w:t>
      </w:r>
    </w:p>
    <w:p w14:paraId="7E01A42B">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 本项目采取</w:t>
      </w:r>
      <w:r>
        <w:rPr>
          <w:rFonts w:hint="eastAsia" w:asciiTheme="minorEastAsia" w:hAnsiTheme="minorEastAsia" w:eastAsiaTheme="minorEastAsia" w:cstheme="minorEastAsia"/>
          <w:sz w:val="24"/>
          <w:szCs w:val="24"/>
          <w:u w:val="single"/>
        </w:rPr>
        <w:t>竞争性磋商方式</w:t>
      </w:r>
      <w:r>
        <w:rPr>
          <w:rFonts w:hint="eastAsia" w:asciiTheme="minorEastAsia" w:hAnsiTheme="minorEastAsia" w:eastAsiaTheme="minorEastAsia" w:cstheme="minorEastAsia"/>
          <w:sz w:val="24"/>
          <w:szCs w:val="24"/>
        </w:rPr>
        <w:t>采购。</w:t>
      </w:r>
    </w:p>
    <w:p w14:paraId="63A33A9A">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（三）合格的供应商</w:t>
      </w:r>
    </w:p>
    <w:p w14:paraId="7DCA43AF">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 合格的供应商必须是有能力按照本竞争性磋商文件规定的要求提供货物、服务，且具有独立承担民事等法律责任的法人或其它经济组织，本次磋商不接受联合体投标。</w:t>
      </w:r>
    </w:p>
    <w:p w14:paraId="6D09DC22">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 供应商应按照磋商文件的要求编制磋商响应文件。磋商响应文件应当对磋商文件提出的要求和条件</w:t>
      </w:r>
      <w:r>
        <w:rPr>
          <w:rFonts w:hint="eastAsia" w:asciiTheme="minorEastAsia" w:hAnsiTheme="minorEastAsia" w:eastAsiaTheme="minorEastAsia" w:cstheme="minorEastAsia"/>
          <w:sz w:val="24"/>
          <w:szCs w:val="24"/>
          <w:lang w:eastAsia="zh-CN"/>
        </w:rPr>
        <w:t>作出</w:t>
      </w:r>
      <w:r>
        <w:rPr>
          <w:rFonts w:hint="eastAsia" w:asciiTheme="minorEastAsia" w:hAnsiTheme="minorEastAsia" w:eastAsiaTheme="minorEastAsia" w:cstheme="minorEastAsia"/>
          <w:sz w:val="24"/>
          <w:szCs w:val="24"/>
        </w:rPr>
        <w:t>实质性响应。</w:t>
      </w:r>
    </w:p>
    <w:p w14:paraId="25CA7299">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3.3已按规定交纳磋商保证金。</w:t>
      </w:r>
    </w:p>
    <w:p w14:paraId="318E8298">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3.4单位负责人为同一人或者存在直接控股、管理关系的不同供应商，不得参加同一合同项下的政府采购活动。</w:t>
      </w:r>
    </w:p>
    <w:p w14:paraId="09CB3D3C">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 为采购项目提供整体设计、规范编制或者项目管理、监理、检测等服务的供应商，不得再参加本项目的采购活动。</w:t>
      </w:r>
    </w:p>
    <w:p w14:paraId="152B7310">
      <w:pPr>
        <w:snapToGrid w:val="0"/>
        <w:spacing w:line="50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（四）适用法律</w:t>
      </w:r>
    </w:p>
    <w:p w14:paraId="3B46A298">
      <w:pPr>
        <w:pStyle w:val="21"/>
        <w:snapToGrid w:val="0"/>
        <w:spacing w:line="500" w:lineRule="exact"/>
        <w:ind w:left="0" w:leftChars="0" w:firstLine="240" w:firstLineChars="1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b w:val="0"/>
          <w:szCs w:val="24"/>
          <w:u w:val="none"/>
        </w:rPr>
        <w:t>4.1</w:t>
      </w:r>
      <w:r>
        <w:rPr>
          <w:rFonts w:hint="eastAsia" w:asciiTheme="minorEastAsia" w:hAnsiTheme="minorEastAsia" w:eastAsiaTheme="minorEastAsia" w:cstheme="minorEastAsia"/>
          <w:szCs w:val="24"/>
          <w:u w:val="none"/>
        </w:rPr>
        <w:t xml:space="preserve"> </w:t>
      </w:r>
      <w:r>
        <w:rPr>
          <w:rFonts w:hint="eastAsia" w:asciiTheme="minorEastAsia" w:hAnsiTheme="minorEastAsia" w:eastAsiaTheme="minorEastAsia" w:cstheme="minorEastAsia"/>
          <w:szCs w:val="24"/>
        </w:rPr>
        <w:t>本次磋商及由本次磋商产生的合同受中华人民共和国的相关法律、法规制约和保护。</w:t>
      </w:r>
    </w:p>
    <w:p w14:paraId="1EA63255">
      <w:pPr>
        <w:snapToGrid w:val="0"/>
        <w:spacing w:line="50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（五）竞争性磋商费用</w:t>
      </w:r>
    </w:p>
    <w:p w14:paraId="5B5AE8DB">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供应商应自行承担所有参加磋商有关的费用。</w:t>
      </w:r>
    </w:p>
    <w:p w14:paraId="76371F8E">
      <w:pPr>
        <w:snapToGrid w:val="0"/>
        <w:spacing w:line="50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（六）竞争性磋商文件的约束力</w:t>
      </w:r>
    </w:p>
    <w:p w14:paraId="5CDF917A">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 供应商一旦报名参加本项目竞标，即被认为接受了本竞争性磋商文件中的所有条件和规定。</w:t>
      </w:r>
    </w:p>
    <w:p w14:paraId="30D5A9E2">
      <w:pPr>
        <w:snapToGrid w:val="0"/>
        <w:spacing w:line="500" w:lineRule="exact"/>
        <w:ind w:firstLine="200"/>
        <w:jc w:val="center"/>
        <w:outlineLvl w:val="1"/>
        <w:rPr>
          <w:rFonts w:hint="eastAsia" w:asciiTheme="minorEastAsia" w:hAnsiTheme="minorEastAsia" w:eastAsiaTheme="minorEastAsia" w:cstheme="minorEastAsia"/>
          <w:b/>
          <w:sz w:val="24"/>
          <w:szCs w:val="24"/>
        </w:rPr>
      </w:pPr>
      <w:bookmarkStart w:id="5" w:name="_Toc31468"/>
      <w:r>
        <w:rPr>
          <w:rFonts w:hint="eastAsia" w:asciiTheme="minorEastAsia" w:hAnsiTheme="minorEastAsia" w:eastAsiaTheme="minorEastAsia" w:cstheme="minorEastAsia"/>
          <w:b/>
          <w:sz w:val="24"/>
          <w:szCs w:val="24"/>
        </w:rPr>
        <w:t>二、竞争性磋商文件</w:t>
      </w:r>
      <w:bookmarkEnd w:id="5"/>
    </w:p>
    <w:p w14:paraId="3640F34C">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（七）竞争性磋商文件构成</w:t>
      </w:r>
    </w:p>
    <w:p w14:paraId="0A711215">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7.1 竞争性磋商文件包括内容：</w:t>
      </w:r>
    </w:p>
    <w:p w14:paraId="6D8327F5">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7.1.1竞争性磋商公告；</w:t>
      </w:r>
    </w:p>
    <w:p w14:paraId="07C3037E">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7.1.2供应商须知前附表及须知；</w:t>
      </w:r>
    </w:p>
    <w:p w14:paraId="567E3021">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7.1.3采购合同；</w:t>
      </w:r>
    </w:p>
    <w:p w14:paraId="730601D8">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7.1.4采购需求 ；</w:t>
      </w:r>
    </w:p>
    <w:p w14:paraId="5EB665E2">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7.1.5磋商响应文件格式。</w:t>
      </w:r>
    </w:p>
    <w:p w14:paraId="0E36A814">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 供应商获取竞争性磋商文件后，应仔细检查竞争性磋商文件页数和附件数量，如发现有缺漏，请</w:t>
      </w:r>
      <w:r>
        <w:rPr>
          <w:rFonts w:hint="eastAsia" w:asciiTheme="minorEastAsia" w:hAnsiTheme="minorEastAsia" w:eastAsiaTheme="minorEastAsia" w:cstheme="minorEastAsia"/>
          <w:sz w:val="24"/>
          <w:szCs w:val="24"/>
          <w:lang w:eastAsia="zh-CN"/>
        </w:rPr>
        <w:t>及时</w:t>
      </w:r>
      <w:r>
        <w:rPr>
          <w:rFonts w:hint="eastAsia" w:asciiTheme="minorEastAsia" w:hAnsiTheme="minorEastAsia" w:eastAsiaTheme="minorEastAsia" w:cstheme="minorEastAsia"/>
          <w:sz w:val="24"/>
          <w:szCs w:val="24"/>
        </w:rPr>
        <w:t>与采购代理机构联系补全。如果供应商不按上述要求操作而造成不良后果，采购人及采购代理机构不承担责任。</w:t>
      </w:r>
    </w:p>
    <w:p w14:paraId="3884D422">
      <w:pPr>
        <w:snapToGrid w:val="0"/>
        <w:spacing w:line="50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（八）竞争性磋商文件的澄清</w:t>
      </w:r>
    </w:p>
    <w:p w14:paraId="35C5DA79">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 任何要求对竞争性磋商文件澄清的供应商，均应当在提交首次响应文件截止时间5日前按公告中的通讯地址，以书面形式（加盖公章）递交给采购代理机构，采购代理机构对规定时间内收到的澄清要求以书面形式予以答复，答复不包括问题的来源。</w:t>
      </w:r>
    </w:p>
    <w:p w14:paraId="3400A0E8">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（九）竞争性磋商文件的修改</w:t>
      </w:r>
    </w:p>
    <w:p w14:paraId="7E086DA5">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9.1 </w:t>
      </w:r>
      <w:r>
        <w:rPr>
          <w:rFonts w:hint="eastAsia" w:asciiTheme="minorEastAsia" w:hAnsiTheme="minorEastAsia" w:eastAsiaTheme="minorEastAsia" w:cstheme="minorEastAsia"/>
          <w:bCs/>
          <w:sz w:val="24"/>
          <w:szCs w:val="24"/>
        </w:rPr>
        <w:t>提交首次磋商响应文件截止之日前，采购人、采购代理机构或者磋商小组可以对已发出的磋商文件进行必要的澄清或者修改，澄清或者修改的内容作为磋商文件的组成部分。澄清或者修改的内容可能影响磋商响应文件编制的，采购人、采购代理机构应当在提交首次磋商响应文件截止时间至少5日前，以书面形式通知所有获取磋商文件的供应商；不足5日的，采购人、采购代理机构应当顺延提交首次磋商响应文件截止时间。</w:t>
      </w:r>
    </w:p>
    <w:p w14:paraId="306F33EC">
      <w:pPr>
        <w:snapToGrid w:val="0"/>
        <w:spacing w:line="500" w:lineRule="exact"/>
        <w:ind w:firstLine="480" w:firstLineChars="200"/>
        <w:jc w:val="left"/>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rPr>
        <w:t>9.2 竞争性磋商文件的修改将以书面形式通知所有已报名供应商，并对竞标供应商具有约束力。</w:t>
      </w:r>
      <w:r>
        <w:rPr>
          <w:rFonts w:hint="eastAsia" w:asciiTheme="minorEastAsia" w:hAnsiTheme="minorEastAsia" w:eastAsiaTheme="minorEastAsia" w:cstheme="minorEastAsia"/>
          <w:bCs/>
          <w:sz w:val="24"/>
          <w:szCs w:val="24"/>
          <w:u w:val="none"/>
        </w:rPr>
        <w:t>供应商收到修改文件后，应回复采购人，逾期不回的，视同已收。供应商应及时关注通知，修改自通知发出起生效</w:t>
      </w:r>
      <w:r>
        <w:rPr>
          <w:rFonts w:hint="eastAsia" w:asciiTheme="minorEastAsia" w:hAnsiTheme="minorEastAsia" w:eastAsiaTheme="minorEastAsia" w:cstheme="minorEastAsia"/>
          <w:bCs/>
          <w:sz w:val="24"/>
          <w:szCs w:val="24"/>
          <w:u w:val="none"/>
          <w:lang w:eastAsia="zh-CN"/>
        </w:rPr>
        <w:t>。</w:t>
      </w:r>
    </w:p>
    <w:p w14:paraId="04FD05C4">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 为使供应商有充分的时间对竞争性磋商文件的修改部分进行分析、研究，采购人有权推迟磋商响应文件接收截止日期和磋商时间，并将此变更书面通知所有购买竞争性磋商文件的供应商。</w:t>
      </w:r>
    </w:p>
    <w:p w14:paraId="28F0676E">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9.4 采购人发出的所有补充、修改和变更文件均作为竞争性磋商文件的组成部分，与竞争性磋商文件具有同等法律效力。</w:t>
      </w:r>
    </w:p>
    <w:p w14:paraId="47645F28">
      <w:pPr>
        <w:snapToGrid w:val="0"/>
        <w:spacing w:line="500" w:lineRule="exact"/>
        <w:ind w:firstLine="480" w:firstLineChars="200"/>
        <w:jc w:val="left"/>
        <w:rPr>
          <w:rFonts w:hint="eastAsia" w:asciiTheme="minorEastAsia" w:hAnsiTheme="minorEastAsia" w:eastAsiaTheme="minorEastAsia" w:cstheme="minorEastAsia"/>
          <w:sz w:val="24"/>
          <w:szCs w:val="24"/>
        </w:rPr>
      </w:pPr>
    </w:p>
    <w:p w14:paraId="3BAD6000">
      <w:pPr>
        <w:snapToGrid w:val="0"/>
        <w:spacing w:line="500" w:lineRule="exact"/>
        <w:ind w:firstLine="200"/>
        <w:jc w:val="center"/>
        <w:outlineLvl w:val="1"/>
        <w:rPr>
          <w:rFonts w:hint="eastAsia" w:asciiTheme="minorEastAsia" w:hAnsiTheme="minorEastAsia" w:eastAsiaTheme="minorEastAsia" w:cstheme="minorEastAsia"/>
          <w:b/>
          <w:sz w:val="24"/>
          <w:szCs w:val="24"/>
        </w:rPr>
      </w:pPr>
      <w:bookmarkStart w:id="6" w:name="_Toc1863"/>
      <w:r>
        <w:rPr>
          <w:rFonts w:hint="eastAsia" w:asciiTheme="minorEastAsia" w:hAnsiTheme="minorEastAsia" w:eastAsiaTheme="minorEastAsia" w:cstheme="minorEastAsia"/>
          <w:b/>
          <w:sz w:val="24"/>
          <w:szCs w:val="24"/>
        </w:rPr>
        <w:t>三、磋商响应文件的编制</w:t>
      </w:r>
      <w:bookmarkEnd w:id="6"/>
    </w:p>
    <w:p w14:paraId="49661637">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（十）磋商响应文件的编制要求</w:t>
      </w:r>
    </w:p>
    <w:p w14:paraId="12BDE97F">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 供应商应仔细阅读“竞争性磋商文件”的所有内容，按“竞争性磋商文件”的要求编制“磋商响应文件”，并保证所提供的全部资料的真实性、完整性及有效性，并对“竞争性磋商文件”做出实质性响应。否则，可能被拒绝。</w:t>
      </w:r>
    </w:p>
    <w:p w14:paraId="18D50A35">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（十一）磋商响应文件构成</w:t>
      </w:r>
    </w:p>
    <w:p w14:paraId="3923BB3E">
      <w:pPr>
        <w:spacing w:line="500" w:lineRule="exact"/>
        <w:ind w:firstLine="480" w:firstLineChars="20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11.1</w:t>
      </w:r>
      <w:r>
        <w:rPr>
          <w:rFonts w:hint="eastAsia" w:asciiTheme="minorEastAsia" w:hAnsiTheme="minorEastAsia" w:eastAsiaTheme="minorEastAsia" w:cstheme="minorEastAsia"/>
          <w:sz w:val="24"/>
          <w:szCs w:val="24"/>
        </w:rPr>
        <w:t>磋商响应书</w:t>
      </w:r>
    </w:p>
    <w:p w14:paraId="0C723833">
      <w:pPr>
        <w:spacing w:line="500" w:lineRule="exact"/>
        <w:ind w:firstLine="480" w:firstLineChars="200"/>
        <w:rPr>
          <w:rFonts w:hint="eastAsia" w:asciiTheme="minorEastAsia" w:hAnsiTheme="minorEastAsia" w:eastAsiaTheme="minorEastAsia" w:cstheme="minorEastAsia"/>
          <w:bCs/>
          <w:kern w:val="0"/>
          <w:sz w:val="24"/>
          <w:szCs w:val="24"/>
          <w:lang w:eastAsia="zh-CN"/>
        </w:rPr>
      </w:pPr>
      <w:r>
        <w:rPr>
          <w:rFonts w:hint="eastAsia" w:asciiTheme="minorEastAsia" w:hAnsiTheme="minorEastAsia" w:eastAsiaTheme="minorEastAsia" w:cstheme="minorEastAsia"/>
          <w:bCs/>
          <w:kern w:val="0"/>
          <w:sz w:val="24"/>
          <w:szCs w:val="24"/>
        </w:rPr>
        <w:t>11.2</w:t>
      </w:r>
      <w:r>
        <w:rPr>
          <w:rFonts w:hint="eastAsia" w:asciiTheme="minorEastAsia" w:hAnsiTheme="minorEastAsia" w:eastAsiaTheme="minorEastAsia" w:cstheme="minorEastAsia"/>
          <w:bCs/>
          <w:kern w:val="0"/>
          <w:sz w:val="24"/>
          <w:szCs w:val="24"/>
          <w:lang w:eastAsia="zh-CN"/>
        </w:rPr>
        <w:t>报价一览表</w:t>
      </w:r>
    </w:p>
    <w:p w14:paraId="4314EF48">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11.3供应商基本情况表</w:t>
      </w:r>
    </w:p>
    <w:p w14:paraId="469CB0B5">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11.4法定代表人身份证明书</w:t>
      </w:r>
    </w:p>
    <w:p w14:paraId="581B2C71">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11.5法定代表人授权委托书</w:t>
      </w:r>
    </w:p>
    <w:p w14:paraId="3821E03A">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11.6关于《中华人民共和国政府采购法》第二十二条的承诺书</w:t>
      </w:r>
    </w:p>
    <w:p w14:paraId="79206F46">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11.7</w:t>
      </w:r>
      <w:r>
        <w:rPr>
          <w:rFonts w:hint="eastAsia" w:ascii="宋体" w:hAnsi="宋体"/>
          <w:sz w:val="24"/>
          <w:szCs w:val="24"/>
        </w:rPr>
        <w:t>廉洁投标承诺书</w:t>
      </w:r>
    </w:p>
    <w:p w14:paraId="3A93179F">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11.8供应商的资格声明</w:t>
      </w:r>
    </w:p>
    <w:p w14:paraId="25477270">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11.9供应商需提供的资料</w:t>
      </w:r>
    </w:p>
    <w:p w14:paraId="3A2D60A7">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11.10采购需求响应偏离表</w:t>
      </w:r>
    </w:p>
    <w:p w14:paraId="11169E01">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11.11供应商类似项目业绩表</w:t>
      </w:r>
    </w:p>
    <w:p w14:paraId="1D8F5FE7">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11.12中小微企业声明函</w:t>
      </w:r>
    </w:p>
    <w:p w14:paraId="00D12AC8">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11.13评审中所需资料</w:t>
      </w:r>
    </w:p>
    <w:p w14:paraId="776E9F9A">
      <w:pPr>
        <w:autoSpaceDE w:val="0"/>
        <w:autoSpaceDN w:val="0"/>
        <w:adjustRightIn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11.14供应商认为有必要提供的其他资料</w:t>
      </w:r>
    </w:p>
    <w:p w14:paraId="3EAF06F5">
      <w:pPr>
        <w:snapToGrid w:val="0"/>
        <w:spacing w:line="50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（十二）磋商响应文件格式</w:t>
      </w:r>
    </w:p>
    <w:p w14:paraId="3B0D4EFF">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 供应商需按照上述磋商响应文件构成顺序编制磋商响应文件，并编制目录、页码，并按竞争性磋商文件中提供的格式填写、签署。措施文件未提供格式的，供应商可自行拓展。</w:t>
      </w:r>
    </w:p>
    <w:p w14:paraId="345B6063">
      <w:pPr>
        <w:snapToGrid w:val="0"/>
        <w:spacing w:line="50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（十三）竞标报价</w:t>
      </w:r>
    </w:p>
    <w:p w14:paraId="01E9F7F9">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 本招标项目使用的货币为</w:t>
      </w:r>
      <w:r>
        <w:rPr>
          <w:rFonts w:hint="eastAsia" w:asciiTheme="minorEastAsia" w:hAnsiTheme="minorEastAsia" w:eastAsiaTheme="minorEastAsia" w:cstheme="minorEastAsia"/>
          <w:sz w:val="24"/>
          <w:szCs w:val="24"/>
          <w:u w:val="single"/>
        </w:rPr>
        <w:t xml:space="preserve"> 人民币 </w:t>
      </w:r>
      <w:r>
        <w:rPr>
          <w:rFonts w:hint="eastAsia" w:asciiTheme="minorEastAsia" w:hAnsiTheme="minorEastAsia" w:eastAsiaTheme="minorEastAsia" w:cstheme="minorEastAsia"/>
          <w:sz w:val="24"/>
          <w:szCs w:val="24"/>
        </w:rPr>
        <w:t xml:space="preserve">，实施时亦以 </w:t>
      </w:r>
      <w:r>
        <w:rPr>
          <w:rFonts w:hint="eastAsia" w:asciiTheme="minorEastAsia" w:hAnsiTheme="minorEastAsia" w:eastAsiaTheme="minorEastAsia" w:cstheme="minorEastAsia"/>
          <w:sz w:val="24"/>
          <w:szCs w:val="24"/>
          <w:u w:val="single"/>
        </w:rPr>
        <w:t xml:space="preserve">人民币 </w:t>
      </w:r>
      <w:r>
        <w:rPr>
          <w:rFonts w:hint="eastAsia" w:asciiTheme="minorEastAsia" w:hAnsiTheme="minorEastAsia" w:eastAsiaTheme="minorEastAsia" w:cstheme="minorEastAsia"/>
          <w:sz w:val="24"/>
          <w:szCs w:val="24"/>
        </w:rPr>
        <w:t>支付。</w:t>
      </w:r>
    </w:p>
    <w:p w14:paraId="0AB8698C">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 竞标报价为供应商的报价应为所确定的招标范围内的全部工作内容的价格体现。任何有选择的报价将不予接受（除非采购人另有约定），否则，在评标时将其视为无效投标。</w:t>
      </w:r>
    </w:p>
    <w:p w14:paraId="6A9BB150">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13.3 </w:t>
      </w:r>
      <w:r>
        <w:rPr>
          <w:rFonts w:hint="eastAsia" w:asciiTheme="minorEastAsia" w:hAnsiTheme="minorEastAsia" w:eastAsiaTheme="minorEastAsia" w:cstheme="minorEastAsia"/>
          <w:sz w:val="24"/>
          <w:szCs w:val="24"/>
          <w:lang w:eastAsia="zh-CN"/>
        </w:rPr>
        <w:t>报价一览表</w:t>
      </w:r>
      <w:r>
        <w:rPr>
          <w:rFonts w:hint="eastAsia" w:asciiTheme="minorEastAsia" w:hAnsiTheme="minorEastAsia" w:eastAsiaTheme="minorEastAsia" w:cstheme="minorEastAsia"/>
          <w:sz w:val="24"/>
          <w:szCs w:val="24"/>
        </w:rPr>
        <w:t>（报价表）标明的价格在签订合同及合同执行过程中是固定不变的，不得以任何理由予以变更（除非采购人另有约定）。</w:t>
      </w:r>
    </w:p>
    <w:p w14:paraId="0EFCFE8A">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13.4 开标时，磋商响应文件中</w:t>
      </w:r>
      <w:r>
        <w:rPr>
          <w:rFonts w:hint="eastAsia" w:asciiTheme="minorEastAsia" w:hAnsiTheme="minorEastAsia" w:eastAsiaTheme="minorEastAsia" w:cstheme="minorEastAsia"/>
          <w:sz w:val="24"/>
          <w:szCs w:val="24"/>
          <w:lang w:eastAsia="zh-CN"/>
        </w:rPr>
        <w:t>报价一览表</w:t>
      </w:r>
      <w:r>
        <w:rPr>
          <w:rFonts w:hint="eastAsia" w:asciiTheme="minorEastAsia" w:hAnsiTheme="minorEastAsia" w:eastAsiaTheme="minorEastAsia" w:cstheme="minorEastAsia"/>
          <w:sz w:val="24"/>
          <w:szCs w:val="24"/>
        </w:rPr>
        <w:t>（报价表）内容与磋商响应文件中分项报价表内容不一致的，以</w:t>
      </w:r>
      <w:r>
        <w:rPr>
          <w:rFonts w:hint="eastAsia" w:asciiTheme="minorEastAsia" w:hAnsiTheme="minorEastAsia" w:eastAsiaTheme="minorEastAsia" w:cstheme="minorEastAsia"/>
          <w:sz w:val="24"/>
          <w:szCs w:val="24"/>
          <w:lang w:eastAsia="zh-CN"/>
        </w:rPr>
        <w:t>报价一览表</w:t>
      </w:r>
      <w:r>
        <w:rPr>
          <w:rFonts w:hint="eastAsia" w:asciiTheme="minorEastAsia" w:hAnsiTheme="minorEastAsia" w:eastAsiaTheme="minorEastAsia" w:cstheme="minorEastAsia"/>
          <w:sz w:val="24"/>
          <w:szCs w:val="24"/>
        </w:rPr>
        <w:t>（报价表）为准。磋商响应文件的大小写金额不一致的，以大写金额为准；总价金额与按单价金额汇总金额不一致的，以单价金额计算结果为准；单价金额小数点有明显错位的，以总价为准，并修改单价；对不同文字文本磋商响应文件的解释发生异议的，以中文文本为准。若供应商拒不接受前述修正，将有可能导致投标无效。</w:t>
      </w:r>
    </w:p>
    <w:p w14:paraId="333A44D6">
      <w:pPr>
        <w:snapToGrid w:val="0"/>
        <w:spacing w:line="50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（十四）磋商保证金</w:t>
      </w:r>
    </w:p>
    <w:p w14:paraId="1FEE63C9">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 磋商保证金是为了保护采购人和招标机构免遭因供应商的违规、违约行为而引起的风险，采购人/招标机构在受到损害时可根据本须知的有关规定没收供应商的磋商保证金。成交供应商如未能按磋商文件要求与采购人签署项目合同并提交履约担保的，视为成交供应商违约，则采购人有权提取成交供应商磋商保证金。</w:t>
      </w:r>
    </w:p>
    <w:p w14:paraId="09580578">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14.2 供应商应提交磋商保证金，并作为其竞标的一部分。磋商文件前附表规定交纳磋商保证金的，供应商应按磋商文件前附表规定的要求提交保证金，磋商保证金有效期应与磋商文件规定的磋商有效期一致。供应商未按照磋商文件要求提交磋商保证金的，政府采购代理机构应当拒绝接收供应商的磋商响应文件或磋商小组在评标时将其视为无效竞标。</w:t>
      </w:r>
    </w:p>
    <w:p w14:paraId="236805F1">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14.3 磋商保证金不接受银行保函。凡未提交磋商保证金的投标，将被视为非实质性响应性投标而被拒绝。</w:t>
      </w:r>
    </w:p>
    <w:p w14:paraId="4CB48F73">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 联合体投标的，可以由联合体中的一方或者共同提交磋商保证金。以一方名义提交磋商保证金的，对联合体各方均具有约束力。</w:t>
      </w:r>
    </w:p>
    <w:p w14:paraId="132121A6">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14.5 未成交供应商的磋商保证金，将在成交通知书发出5个工作日内退还。因违反规定被没收的磋商保证金不予退回。</w:t>
      </w:r>
    </w:p>
    <w:p w14:paraId="4090AF3F">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14.6 成交供应商的磋商保证金，须按磋商要求与采购人签订合同并缴纳履约担保，提供与采购签署的合同复印件（须加盖成交供应商公章）</w:t>
      </w:r>
      <w:r>
        <w:rPr>
          <w:rFonts w:hint="eastAsia" w:asciiTheme="minorEastAsia" w:hAnsiTheme="minorEastAsia" w:eastAsiaTheme="minorEastAsia" w:cstheme="minorEastAsia"/>
          <w:sz w:val="24"/>
          <w:szCs w:val="24"/>
          <w:lang w:eastAsia="zh-CN"/>
        </w:rPr>
        <w:t>及</w:t>
      </w:r>
      <w:r>
        <w:rPr>
          <w:rFonts w:hint="eastAsia" w:asciiTheme="minorEastAsia" w:hAnsiTheme="minorEastAsia" w:eastAsiaTheme="minorEastAsia" w:cstheme="minorEastAsia"/>
          <w:sz w:val="24"/>
          <w:szCs w:val="24"/>
        </w:rPr>
        <w:t>按磋商要求向采购人提交履约担保证明资料（加盖成交供应商公章），向招标机构付清政府采购代理服务费后5个工作日内予以退还。</w:t>
      </w:r>
    </w:p>
    <w:p w14:paraId="6A7AE695">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14.7 下列任何情况发生时，磋商保证金将可能被没收：</w:t>
      </w:r>
    </w:p>
    <w:p w14:paraId="2992CC6E">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14.7.1 供应商在规定的磋商有效期内撤回其投标；</w:t>
      </w:r>
    </w:p>
    <w:p w14:paraId="6FEF6380">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14.7.2 成交供应商无正当理由拒绝按规定与采购人签订合同或未能在规定期限内签署合同的或未按采购文件要求提交履约保证金的；</w:t>
      </w:r>
    </w:p>
    <w:p w14:paraId="110E1B22">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14.8 供应商办理磋商保证金退款申请手续须提供以下资料：</w:t>
      </w:r>
    </w:p>
    <w:p w14:paraId="469FCAEF">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14.8.1 供应商给代理机构开具的收款收据（收款单位开具并加盖收款单位财务章）；同时须提供清晰的开户银行名称、银行账号及收款单位名称。</w:t>
      </w:r>
    </w:p>
    <w:p w14:paraId="1D03B29B">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14.8.2 退还成交供应商方磋商保证金时，成交供应商方还须提供与采购人签订的合同原件一份（原件核查无误后退还）和已加盖成交方公章的合同全本复印件一份（代理机构存档备查）。</w:t>
      </w:r>
    </w:p>
    <w:p w14:paraId="6839F457">
      <w:pPr>
        <w:snapToGrid w:val="0"/>
        <w:spacing w:line="50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（十五）磋商有效期</w:t>
      </w:r>
    </w:p>
    <w:p w14:paraId="572FFDCA">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 磋商有效期为竞争性磋商文件规定的供应商提交磋商响应文件截止之日起</w:t>
      </w:r>
      <w:r>
        <w:rPr>
          <w:rFonts w:hint="eastAsia" w:asciiTheme="minorEastAsia" w:hAnsiTheme="minorEastAsia" w:eastAsiaTheme="minorEastAsia" w:cstheme="minorEastAsia"/>
          <w:sz w:val="24"/>
          <w:szCs w:val="24"/>
          <w:u w:val="single"/>
        </w:rPr>
        <w:t>90</w:t>
      </w:r>
      <w:r>
        <w:rPr>
          <w:rFonts w:hint="eastAsia" w:asciiTheme="minorEastAsia" w:hAnsiTheme="minorEastAsia" w:eastAsiaTheme="minorEastAsia" w:cstheme="minorEastAsia"/>
          <w:sz w:val="24"/>
          <w:szCs w:val="24"/>
        </w:rPr>
        <w:t>天。磋商有效期不满足竞争性磋商文件要求的将视为非响应性文件而予以拒绝。</w:t>
      </w:r>
    </w:p>
    <w:p w14:paraId="7150FBCF">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15.2 在特殊情况下，采购人于原磋商有效期满之前，可向供应商提出延长磋商有效期的要求，这种要求与答复均应采用书面形式（如信件、传真或电报等），供应商可以拒绝采购人的这一要求而放弃参与磋商，磋商保证金予以退回；同意延长的供应商既不能要求也不允许修改其磋商响应文件。第十四条有关磋商保证金的没收和退还的规定在延长期内继续有效。</w:t>
      </w:r>
    </w:p>
    <w:p w14:paraId="20B97468">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（十六）磋商响应文件份数</w:t>
      </w:r>
    </w:p>
    <w:p w14:paraId="30894441">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 响应文件的组成</w:t>
      </w:r>
    </w:p>
    <w:p w14:paraId="4950DC1E">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投标现场无需递交</w:t>
      </w:r>
      <w:r>
        <w:rPr>
          <w:rFonts w:hint="eastAsia" w:asciiTheme="minorEastAsia" w:hAnsiTheme="minorEastAsia" w:eastAsiaTheme="minorEastAsia" w:cstheme="minorEastAsia"/>
          <w:sz w:val="24"/>
          <w:szCs w:val="24"/>
          <w:lang w:eastAsia="zh-CN"/>
        </w:rPr>
        <w:t>响应文件</w:t>
      </w:r>
      <w:r>
        <w:rPr>
          <w:rFonts w:hint="eastAsia" w:asciiTheme="minorEastAsia" w:hAnsiTheme="minorEastAsia" w:eastAsiaTheme="minorEastAsia" w:cstheme="minorEastAsia"/>
          <w:sz w:val="24"/>
          <w:szCs w:val="24"/>
        </w:rPr>
        <w:t>。</w:t>
      </w:r>
    </w:p>
    <w:p w14:paraId="580F0558">
      <w:pPr>
        <w:snapToGrid w:val="0"/>
        <w:spacing w:line="500" w:lineRule="exact"/>
        <w:ind w:firstLine="480"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b/>
          <w:sz w:val="24"/>
          <w:szCs w:val="24"/>
        </w:rPr>
        <w:t>说明：上传证件、证书等资料须是原件的扫描件，供应商应如实提供资料，并保证真实可靠，不得弄虚作假。如供应商隐瞒事实真相、弄虚作假，一经查实，取消该供应商的磋商资格，若成交的，取消其成交资格。</w:t>
      </w:r>
    </w:p>
    <w:p w14:paraId="5F810D31">
      <w:pPr>
        <w:snapToGrid w:val="0"/>
        <w:spacing w:line="500" w:lineRule="exact"/>
        <w:ind w:firstLine="480" w:firstLineChars="200"/>
        <w:jc w:val="left"/>
        <w:rPr>
          <w:rFonts w:hint="eastAsia" w:asciiTheme="minorEastAsia" w:hAnsiTheme="minorEastAsia" w:eastAsiaTheme="minorEastAsia" w:cstheme="minorEastAsia"/>
          <w:sz w:val="24"/>
          <w:szCs w:val="24"/>
        </w:rPr>
      </w:pPr>
    </w:p>
    <w:p w14:paraId="0E234CAA">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（十七）磋商响应文件格式</w:t>
      </w:r>
    </w:p>
    <w:p w14:paraId="7553E3C5">
      <w:pPr>
        <w:snapToGrid w:val="0"/>
        <w:spacing w:line="500" w:lineRule="exact"/>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17.1 供应商应按磋商文件提供的格式编写。</w:t>
      </w:r>
    </w:p>
    <w:p w14:paraId="1EA88781">
      <w:pPr>
        <w:snapToGrid w:val="0"/>
        <w:spacing w:line="500" w:lineRule="exact"/>
        <w:ind w:firstLine="482" w:firstLineChars="200"/>
        <w:rPr>
          <w:rFonts w:hint="eastAsia" w:asciiTheme="minorEastAsia" w:hAnsiTheme="minorEastAsia" w:eastAsiaTheme="minorEastAsia" w:cstheme="minorEastAsia"/>
          <w:b/>
          <w:sz w:val="24"/>
          <w:szCs w:val="24"/>
        </w:rPr>
      </w:pPr>
    </w:p>
    <w:p w14:paraId="191A29D8">
      <w:pPr>
        <w:snapToGrid w:val="0"/>
        <w:spacing w:line="500" w:lineRule="exact"/>
        <w:ind w:firstLine="200"/>
        <w:jc w:val="center"/>
        <w:outlineLvl w:val="1"/>
        <w:rPr>
          <w:rFonts w:hint="eastAsia" w:asciiTheme="minorEastAsia" w:hAnsiTheme="minorEastAsia" w:eastAsiaTheme="minorEastAsia" w:cstheme="minorEastAsia"/>
          <w:b/>
          <w:sz w:val="24"/>
          <w:szCs w:val="24"/>
        </w:rPr>
      </w:pPr>
      <w:bookmarkStart w:id="7" w:name="_Toc10581"/>
      <w:r>
        <w:rPr>
          <w:rFonts w:hint="eastAsia" w:asciiTheme="minorEastAsia" w:hAnsiTheme="minorEastAsia" w:eastAsiaTheme="minorEastAsia" w:cstheme="minorEastAsia"/>
          <w:b/>
          <w:sz w:val="24"/>
          <w:szCs w:val="24"/>
        </w:rPr>
        <w:t>四、磋商响应文件的递交</w:t>
      </w:r>
      <w:bookmarkEnd w:id="7"/>
    </w:p>
    <w:p w14:paraId="580B7EF7">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（十八）磋商响应文件递交截止日期及方式</w:t>
      </w:r>
    </w:p>
    <w:p w14:paraId="451FD654">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 所有磋商响应文件都必须在竞争性磋商文件规定的递交截止时间前上传政采云平台。</w:t>
      </w:r>
    </w:p>
    <w:p w14:paraId="4A4A0F35">
      <w:pPr>
        <w:snapToGrid w:val="0"/>
        <w:spacing w:line="500" w:lineRule="exact"/>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18.2 采购代理机构将在竞争性磋商文件规定的时间和地点组织磋商会议</w:t>
      </w:r>
      <w:r>
        <w:rPr>
          <w:rFonts w:hint="eastAsia" w:asciiTheme="minorEastAsia" w:hAnsiTheme="minorEastAsia" w:eastAsiaTheme="minorEastAsia" w:cstheme="minorEastAsia"/>
          <w:b/>
          <w:sz w:val="24"/>
          <w:szCs w:val="24"/>
        </w:rPr>
        <w:t>。</w:t>
      </w:r>
    </w:p>
    <w:p w14:paraId="4CA56F00">
      <w:pPr>
        <w:snapToGrid w:val="0"/>
        <w:spacing w:line="50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（十九）迟交的磋商响应文件</w:t>
      </w:r>
    </w:p>
    <w:p w14:paraId="266B8785">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19.1 采购人将拒绝接收在规定的截止日期后递交的任何磋商响应文件。</w:t>
      </w:r>
      <w:bookmarkStart w:id="8" w:name="_Toc213839733"/>
    </w:p>
    <w:p w14:paraId="14B844F6">
      <w:pPr>
        <w:snapToGrid w:val="0"/>
        <w:spacing w:line="500" w:lineRule="exact"/>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（二十）磋商响应文件的修改</w:t>
      </w:r>
      <w:bookmarkEnd w:id="8"/>
    </w:p>
    <w:p w14:paraId="238671DD">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 供应商在递交磋商响应文件截止时间之前，对所递交的磋商响应文件可以以书面形式补充、修改或撤回已提交的磋商响应文件，补充、修改的内容为磋商响应文件的组成部分，对供应商具有约束力。</w:t>
      </w:r>
      <w:bookmarkStart w:id="9" w:name="_Toc213839734"/>
    </w:p>
    <w:p w14:paraId="4A414DBF">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20.2供应商对磋商响应文件的补充、修改或撤回，应按本磋商文件的规定编制、标识和提交。</w:t>
      </w:r>
    </w:p>
    <w:p w14:paraId="44199CE9">
      <w:pPr>
        <w:snapToGrid w:val="0"/>
        <w:spacing w:line="500" w:lineRule="exact"/>
        <w:ind w:firstLine="200"/>
        <w:jc w:val="center"/>
        <w:outlineLvl w:val="1"/>
        <w:rPr>
          <w:rFonts w:hint="eastAsia" w:asciiTheme="minorEastAsia" w:hAnsiTheme="minorEastAsia" w:eastAsiaTheme="minorEastAsia" w:cstheme="minorEastAsia"/>
          <w:b/>
          <w:sz w:val="24"/>
          <w:szCs w:val="24"/>
        </w:rPr>
      </w:pPr>
      <w:bookmarkStart w:id="10" w:name="_Toc14072"/>
      <w:r>
        <w:rPr>
          <w:rFonts w:hint="eastAsia" w:asciiTheme="minorEastAsia" w:hAnsiTheme="minorEastAsia" w:eastAsiaTheme="minorEastAsia" w:cstheme="minorEastAsia"/>
          <w:b/>
          <w:sz w:val="24"/>
          <w:szCs w:val="24"/>
        </w:rPr>
        <w:t>五、无效标、废标条款</w:t>
      </w:r>
      <w:bookmarkEnd w:id="10"/>
    </w:p>
    <w:p w14:paraId="439D70FB">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（二十一）无效竞标条款</w:t>
      </w:r>
    </w:p>
    <w:p w14:paraId="4F00394A">
      <w:pPr>
        <w:snapToGrid w:val="0"/>
        <w:spacing w:line="500" w:lineRule="exact"/>
        <w:ind w:firstLine="480" w:firstLineChars="200"/>
        <w:jc w:val="left"/>
        <w:rPr>
          <w:rFonts w:hint="eastAsia" w:asciiTheme="minorEastAsia" w:hAnsiTheme="minorEastAsia" w:eastAsiaTheme="minorEastAsia" w:cstheme="minorEastAsia"/>
          <w:sz w:val="24"/>
          <w:szCs w:val="24"/>
          <w:lang w:val="zh-CN"/>
        </w:rPr>
      </w:pPr>
      <w:bookmarkStart w:id="11" w:name="_Toc520282245"/>
      <w:r>
        <w:rPr>
          <w:rFonts w:hint="eastAsia" w:asciiTheme="minorEastAsia" w:hAnsiTheme="minorEastAsia" w:eastAsiaTheme="minorEastAsia" w:cstheme="minorEastAsia"/>
          <w:sz w:val="24"/>
          <w:szCs w:val="24"/>
        </w:rPr>
        <w:t>21.1</w:t>
      </w:r>
      <w:r>
        <w:rPr>
          <w:rFonts w:hint="eastAsia" w:asciiTheme="minorEastAsia" w:hAnsiTheme="minorEastAsia" w:eastAsiaTheme="minorEastAsia" w:cstheme="minorEastAsia"/>
          <w:sz w:val="24"/>
          <w:szCs w:val="24"/>
          <w:lang w:val="zh-CN"/>
        </w:rPr>
        <w:t>未按竞争性磋商文件规定的形式和金额交纳磋商保证金的；</w:t>
      </w:r>
      <w:bookmarkEnd w:id="11"/>
    </w:p>
    <w:p w14:paraId="1DBC0E46">
      <w:pPr>
        <w:snapToGrid w:val="0"/>
        <w:spacing w:line="500" w:lineRule="exact"/>
        <w:ind w:firstLine="480" w:firstLineChars="200"/>
        <w:jc w:val="left"/>
        <w:rPr>
          <w:rFonts w:hint="eastAsia" w:asciiTheme="minorEastAsia" w:hAnsiTheme="minorEastAsia" w:eastAsiaTheme="minorEastAsia" w:cstheme="minorEastAsia"/>
          <w:sz w:val="24"/>
          <w:szCs w:val="24"/>
          <w:lang w:val="zh-CN"/>
        </w:rPr>
      </w:pPr>
      <w:bookmarkStart w:id="12" w:name="_Toc520282246"/>
      <w:r>
        <w:rPr>
          <w:rFonts w:hint="eastAsia" w:asciiTheme="minorEastAsia" w:hAnsiTheme="minorEastAsia" w:eastAsiaTheme="minorEastAsia" w:cstheme="minorEastAsia"/>
          <w:sz w:val="24"/>
          <w:szCs w:val="24"/>
        </w:rPr>
        <w:t>21.2</w:t>
      </w:r>
      <w:r>
        <w:rPr>
          <w:rFonts w:hint="eastAsia" w:asciiTheme="minorEastAsia" w:hAnsiTheme="minorEastAsia" w:eastAsiaTheme="minorEastAsia" w:cstheme="minorEastAsia"/>
          <w:sz w:val="24"/>
          <w:szCs w:val="24"/>
          <w:lang w:val="zh-CN"/>
        </w:rPr>
        <w:t>未按照竞争性磋商文件规定要求签署、盖章的；</w:t>
      </w:r>
      <w:bookmarkEnd w:id="12"/>
    </w:p>
    <w:p w14:paraId="2A40AC26">
      <w:pPr>
        <w:snapToGrid w:val="0"/>
        <w:spacing w:line="500" w:lineRule="exact"/>
        <w:ind w:firstLine="480" w:firstLineChars="200"/>
        <w:jc w:val="left"/>
        <w:rPr>
          <w:rFonts w:hint="eastAsia" w:asciiTheme="minorEastAsia" w:hAnsiTheme="minorEastAsia" w:eastAsiaTheme="minorEastAsia" w:cstheme="minorEastAsia"/>
          <w:sz w:val="24"/>
          <w:szCs w:val="24"/>
        </w:rPr>
      </w:pPr>
      <w:bookmarkStart w:id="13" w:name="_Toc520282247"/>
      <w:r>
        <w:rPr>
          <w:rFonts w:hint="eastAsia" w:asciiTheme="minorEastAsia" w:hAnsiTheme="minorEastAsia" w:eastAsiaTheme="minorEastAsia" w:cstheme="minorEastAsia"/>
          <w:sz w:val="24"/>
          <w:szCs w:val="24"/>
        </w:rPr>
        <w:t>21.3</w:t>
      </w:r>
      <w:r>
        <w:rPr>
          <w:rFonts w:hint="eastAsia" w:asciiTheme="minorEastAsia" w:hAnsiTheme="minorEastAsia" w:eastAsiaTheme="minorEastAsia" w:cstheme="minorEastAsia"/>
          <w:sz w:val="24"/>
          <w:szCs w:val="24"/>
          <w:lang w:val="zh-CN"/>
        </w:rPr>
        <w:t>未满足</w:t>
      </w:r>
      <w:r>
        <w:rPr>
          <w:rFonts w:hint="eastAsia" w:asciiTheme="minorEastAsia" w:hAnsiTheme="minorEastAsia" w:eastAsiaTheme="minorEastAsia" w:cstheme="minorEastAsia"/>
          <w:sz w:val="24"/>
          <w:szCs w:val="24"/>
        </w:rPr>
        <w:t>竞争性磋商文件规定资格要求的；</w:t>
      </w:r>
    </w:p>
    <w:p w14:paraId="39EB9312">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21.4未满足“投标须知”规定的实质性要求的；</w:t>
      </w:r>
    </w:p>
    <w:p w14:paraId="5AAC7459">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21.5同一供应商提交两个以上不同的磋商响应文件或者竞标报价的（竞争性磋商文件要求允许提交备选方案的除外）；</w:t>
      </w:r>
    </w:p>
    <w:p w14:paraId="4C8685F2">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21.6磋商响应文件载明的磋商响应内容小于竞争性磋商文件规定的采购内容的(缺漏竞争性磋商文件所要求的内容)；</w:t>
      </w:r>
    </w:p>
    <w:p w14:paraId="38CB6782">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21.7磋商有效期</w:t>
      </w:r>
      <w:r>
        <w:rPr>
          <w:rFonts w:hint="eastAsia" w:asciiTheme="minorEastAsia" w:hAnsiTheme="minorEastAsia" w:eastAsiaTheme="minorEastAsia" w:cstheme="minorEastAsia"/>
          <w:sz w:val="24"/>
          <w:szCs w:val="24"/>
          <w:lang w:val="zh-CN"/>
        </w:rPr>
        <w:t>不满足要求</w:t>
      </w:r>
      <w:r>
        <w:rPr>
          <w:rFonts w:hint="eastAsia" w:asciiTheme="minorEastAsia" w:hAnsiTheme="minorEastAsia" w:eastAsiaTheme="minorEastAsia" w:cstheme="minorEastAsia"/>
          <w:sz w:val="24"/>
          <w:szCs w:val="24"/>
        </w:rPr>
        <w:t>的；</w:t>
      </w:r>
    </w:p>
    <w:p w14:paraId="7BB8EAE5">
      <w:pPr>
        <w:snapToGrid w:val="0"/>
        <w:spacing w:line="500" w:lineRule="exact"/>
        <w:ind w:firstLine="480" w:firstLineChars="200"/>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21.8</w:t>
      </w:r>
      <w:r>
        <w:rPr>
          <w:rFonts w:hint="eastAsia" w:asciiTheme="minorEastAsia" w:hAnsiTheme="minorEastAsia" w:eastAsiaTheme="minorEastAsia" w:cstheme="minorEastAsia"/>
          <w:sz w:val="24"/>
          <w:szCs w:val="24"/>
          <w:lang w:val="zh-CN"/>
        </w:rPr>
        <w:t>未满足竞争性磋商文件中商务及技术条款的实质性要求；</w:t>
      </w:r>
      <w:bookmarkEnd w:id="13"/>
    </w:p>
    <w:p w14:paraId="7C35E90A">
      <w:pPr>
        <w:snapToGrid w:val="0"/>
        <w:spacing w:line="500" w:lineRule="exact"/>
        <w:ind w:firstLine="480" w:firstLineChars="200"/>
        <w:jc w:val="left"/>
        <w:rPr>
          <w:rFonts w:hint="eastAsia" w:asciiTheme="minorEastAsia" w:hAnsiTheme="minorEastAsia" w:eastAsiaTheme="minorEastAsia" w:cstheme="minorEastAsia"/>
          <w:sz w:val="24"/>
          <w:szCs w:val="24"/>
          <w:lang w:val="zh-CN"/>
        </w:rPr>
      </w:pPr>
      <w:bookmarkStart w:id="14" w:name="_Toc520282248"/>
      <w:r>
        <w:rPr>
          <w:rFonts w:hint="eastAsia" w:asciiTheme="minorEastAsia" w:hAnsiTheme="minorEastAsia" w:eastAsiaTheme="minorEastAsia" w:cstheme="minorEastAsia"/>
          <w:sz w:val="24"/>
          <w:szCs w:val="24"/>
        </w:rPr>
        <w:t>21.9</w:t>
      </w:r>
      <w:r>
        <w:rPr>
          <w:rFonts w:hint="eastAsia" w:asciiTheme="minorEastAsia" w:hAnsiTheme="minorEastAsia" w:eastAsiaTheme="minorEastAsia" w:cstheme="minorEastAsia"/>
          <w:sz w:val="24"/>
          <w:szCs w:val="24"/>
          <w:lang w:val="zh-CN"/>
        </w:rPr>
        <w:t>与其他供应商串通投标，或者与采购人串通投标妨碍其他供应商竞争行为，损害采购人或者其他供应商合法权益的；</w:t>
      </w:r>
      <w:bookmarkEnd w:id="14"/>
    </w:p>
    <w:p w14:paraId="74A651B8">
      <w:pPr>
        <w:snapToGrid w:val="0"/>
        <w:spacing w:line="500" w:lineRule="exact"/>
        <w:ind w:firstLine="480" w:firstLineChars="200"/>
        <w:jc w:val="left"/>
        <w:rPr>
          <w:rFonts w:hint="eastAsia" w:asciiTheme="minorEastAsia" w:hAnsiTheme="minorEastAsia" w:eastAsiaTheme="minorEastAsia" w:cstheme="minorEastAsia"/>
          <w:sz w:val="24"/>
          <w:szCs w:val="24"/>
          <w:lang w:val="zh-CN"/>
        </w:rPr>
      </w:pPr>
      <w:bookmarkStart w:id="15" w:name="_Toc520282249"/>
      <w:r>
        <w:rPr>
          <w:rFonts w:hint="eastAsia" w:asciiTheme="minorEastAsia" w:hAnsiTheme="minorEastAsia" w:eastAsiaTheme="minorEastAsia" w:cstheme="minorEastAsia"/>
          <w:sz w:val="24"/>
          <w:szCs w:val="24"/>
        </w:rPr>
        <w:t>21.10</w:t>
      </w:r>
      <w:r>
        <w:rPr>
          <w:rFonts w:hint="eastAsia" w:asciiTheme="minorEastAsia" w:hAnsiTheme="minorEastAsia" w:eastAsiaTheme="minorEastAsia" w:cstheme="minorEastAsia"/>
          <w:sz w:val="24"/>
          <w:szCs w:val="24"/>
          <w:lang w:val="zh-CN"/>
        </w:rPr>
        <w:t>属于竞争性磋商文件规定的其他无效投标情形；</w:t>
      </w:r>
      <w:bookmarkEnd w:id="15"/>
    </w:p>
    <w:p w14:paraId="054C8D68">
      <w:pPr>
        <w:snapToGrid w:val="0"/>
        <w:spacing w:line="500" w:lineRule="exact"/>
        <w:ind w:firstLine="480" w:firstLineChars="200"/>
        <w:jc w:val="left"/>
        <w:rPr>
          <w:rFonts w:hint="eastAsia" w:asciiTheme="minorEastAsia" w:hAnsiTheme="minorEastAsia" w:eastAsiaTheme="minorEastAsia" w:cstheme="minorEastAsia"/>
          <w:sz w:val="24"/>
          <w:szCs w:val="24"/>
          <w:lang w:val="zh-CN"/>
        </w:rPr>
      </w:pPr>
      <w:bookmarkStart w:id="16" w:name="_Toc520282250"/>
      <w:r>
        <w:rPr>
          <w:rFonts w:hint="eastAsia" w:asciiTheme="minorEastAsia" w:hAnsiTheme="minorEastAsia" w:eastAsiaTheme="minorEastAsia" w:cstheme="minorEastAsia"/>
          <w:sz w:val="24"/>
          <w:szCs w:val="24"/>
        </w:rPr>
        <w:t>21.11</w:t>
      </w:r>
      <w:r>
        <w:rPr>
          <w:rFonts w:hint="eastAsia" w:asciiTheme="minorEastAsia" w:hAnsiTheme="minorEastAsia" w:eastAsiaTheme="minorEastAsia" w:cstheme="minorEastAsia"/>
          <w:sz w:val="24"/>
          <w:szCs w:val="24"/>
          <w:lang w:val="zh-CN"/>
        </w:rPr>
        <w:t>评标委员会认为供应商的价格明显低于其他通过符合性检查供应商的价格，有可能影响履约的，且供应商未按照规定证明其报价合理性的；</w:t>
      </w:r>
      <w:bookmarkEnd w:id="16"/>
    </w:p>
    <w:p w14:paraId="6136F40E">
      <w:pPr>
        <w:snapToGrid w:val="0"/>
        <w:spacing w:line="500" w:lineRule="exact"/>
        <w:ind w:firstLine="480" w:firstLineChars="200"/>
        <w:jc w:val="left"/>
        <w:rPr>
          <w:rFonts w:hint="eastAsia" w:asciiTheme="minorEastAsia" w:hAnsiTheme="minorEastAsia" w:eastAsiaTheme="minorEastAsia" w:cstheme="minorEastAsia"/>
          <w:sz w:val="24"/>
          <w:szCs w:val="24"/>
          <w:lang w:val="zh-CN"/>
        </w:rPr>
      </w:pPr>
      <w:bookmarkStart w:id="17" w:name="_Toc520282251"/>
      <w:r>
        <w:rPr>
          <w:rFonts w:hint="eastAsia" w:asciiTheme="minorEastAsia" w:hAnsiTheme="minorEastAsia" w:eastAsiaTheme="minorEastAsia" w:cstheme="minorEastAsia"/>
          <w:sz w:val="24"/>
          <w:szCs w:val="24"/>
        </w:rPr>
        <w:t>21.12</w:t>
      </w:r>
      <w:r>
        <w:rPr>
          <w:rFonts w:hint="eastAsia" w:asciiTheme="minorEastAsia" w:hAnsiTheme="minorEastAsia" w:eastAsiaTheme="minorEastAsia" w:cstheme="minorEastAsia"/>
          <w:sz w:val="24"/>
          <w:szCs w:val="24"/>
          <w:lang w:val="zh-CN"/>
        </w:rPr>
        <w:t>磋商响应文件含有采购人不能接受的附加条件的；</w:t>
      </w:r>
      <w:bookmarkEnd w:id="17"/>
    </w:p>
    <w:p w14:paraId="1031287E">
      <w:pPr>
        <w:snapToGrid w:val="0"/>
        <w:spacing w:line="500" w:lineRule="exact"/>
        <w:ind w:firstLine="480" w:firstLineChars="200"/>
        <w:jc w:val="left"/>
        <w:rPr>
          <w:rFonts w:hint="eastAsia" w:asciiTheme="minorEastAsia" w:hAnsiTheme="minorEastAsia" w:eastAsiaTheme="minorEastAsia" w:cstheme="minorEastAsia"/>
          <w:sz w:val="24"/>
          <w:szCs w:val="24"/>
        </w:rPr>
      </w:pPr>
      <w:bookmarkStart w:id="18" w:name="_Toc520282252"/>
      <w:r>
        <w:rPr>
          <w:rFonts w:hint="eastAsia" w:asciiTheme="minorEastAsia" w:hAnsiTheme="minorEastAsia" w:eastAsiaTheme="minorEastAsia" w:cstheme="minorEastAsia"/>
          <w:sz w:val="24"/>
          <w:szCs w:val="24"/>
        </w:rPr>
        <w:t>21.13</w:t>
      </w:r>
      <w:r>
        <w:rPr>
          <w:rFonts w:hint="eastAsia" w:asciiTheme="minorEastAsia" w:hAnsiTheme="minorEastAsia" w:eastAsiaTheme="minorEastAsia" w:cstheme="minorEastAsia"/>
          <w:sz w:val="24"/>
          <w:szCs w:val="24"/>
          <w:lang w:val="zh-CN"/>
        </w:rPr>
        <w:t>不符合法规和竞争性磋商文件中规定的其他实质性要求的。</w:t>
      </w:r>
      <w:bookmarkEnd w:id="18"/>
    </w:p>
    <w:p w14:paraId="33FD8A05">
      <w:pPr>
        <w:snapToGrid w:val="0"/>
        <w:spacing w:line="500" w:lineRule="exact"/>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（二十二）废标条款</w:t>
      </w:r>
    </w:p>
    <w:p w14:paraId="49F752A6">
      <w:pPr>
        <w:snapToGrid w:val="0"/>
        <w:spacing w:line="500" w:lineRule="exact"/>
        <w:ind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22.1 开标后，符合专业条件的供应商或者对竞争性磋商文件作实质响应的供应商不足三家的；</w:t>
      </w:r>
    </w:p>
    <w:p w14:paraId="37C5A748">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22.2 出现影响采购公正的违法、违规行为的；</w:t>
      </w:r>
    </w:p>
    <w:p w14:paraId="1DB5FF2D">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22.3 供应商的报价均超过了采购预算，采购人不能支付的；</w:t>
      </w:r>
    </w:p>
    <w:p w14:paraId="3E986093">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22.4 因重大变故，采购任务取消的。</w:t>
      </w:r>
    </w:p>
    <w:p w14:paraId="7AA4AF5F">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（二十三）参与供应商不得少于三家</w:t>
      </w:r>
    </w:p>
    <w:p w14:paraId="457034B8">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23.1 根据《政府采购竞争性磋商采购方式管理暂行办法》的规定，参与项目的供应商不得少于三家。</w:t>
      </w:r>
    </w:p>
    <w:p w14:paraId="69CB5209">
      <w:pPr>
        <w:snapToGrid w:val="0"/>
        <w:spacing w:line="50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（二十四）取消成交候选人资格条款</w:t>
      </w:r>
    </w:p>
    <w:p w14:paraId="317C7166">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24.1 提供虚假材料谋取成交的；</w:t>
      </w:r>
    </w:p>
    <w:p w14:paraId="520E848C">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24.2 采取不正当手段诋毁、排挤其他供应商的；</w:t>
      </w:r>
    </w:p>
    <w:p w14:paraId="63CACAD8">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24.3 与采购人、其他供应商或者采购代理机构恶意串通的；</w:t>
      </w:r>
    </w:p>
    <w:p w14:paraId="3C7F01DD">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24.4 向采购人、采购代理机构行贿或者提供其他不正当利益的；</w:t>
      </w:r>
    </w:p>
    <w:p w14:paraId="55B89CC8">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24.5 在规定的时间内未按磋商要求与采购人签订采购合同或未按采购文件要求提交履约担保的；</w:t>
      </w:r>
    </w:p>
    <w:p w14:paraId="1E253CCD">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24.6 法律、法规规定的其他情况。</w:t>
      </w:r>
    </w:p>
    <w:p w14:paraId="7F7EE86B">
      <w:pPr>
        <w:snapToGrid w:val="0"/>
        <w:spacing w:line="500" w:lineRule="exact"/>
        <w:ind w:firstLine="200"/>
        <w:jc w:val="center"/>
        <w:outlineLvl w:val="1"/>
        <w:rPr>
          <w:rFonts w:hint="eastAsia" w:asciiTheme="minorEastAsia" w:hAnsiTheme="minorEastAsia" w:eastAsiaTheme="minorEastAsia" w:cstheme="minorEastAsia"/>
          <w:b/>
          <w:sz w:val="24"/>
          <w:szCs w:val="24"/>
        </w:rPr>
      </w:pPr>
      <w:bookmarkStart w:id="19" w:name="_Toc5909"/>
      <w:r>
        <w:rPr>
          <w:rFonts w:hint="eastAsia" w:asciiTheme="minorEastAsia" w:hAnsiTheme="minorEastAsia" w:eastAsiaTheme="minorEastAsia" w:cstheme="minorEastAsia"/>
          <w:b/>
          <w:sz w:val="24"/>
          <w:szCs w:val="24"/>
        </w:rPr>
        <w:t>六、磋商程序及最终报价</w:t>
      </w:r>
      <w:bookmarkEnd w:id="9"/>
      <w:bookmarkEnd w:id="19"/>
    </w:p>
    <w:p w14:paraId="2611C3D0">
      <w:pPr>
        <w:snapToGrid w:val="0"/>
        <w:spacing w:line="500" w:lineRule="exact"/>
        <w:ind w:firstLine="472" w:firstLineChars="196"/>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（二十五）磋商原则</w:t>
      </w:r>
    </w:p>
    <w:p w14:paraId="76C50862">
      <w:pPr>
        <w:adjustRightInd w:val="0"/>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评、定标依据《中华人民共和国政府采购法</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政府采购竞争性磋商采购方式管理暂行办法》等相关规定，遵循公开、公平、公正、竞争的原则。</w:t>
      </w:r>
    </w:p>
    <w:p w14:paraId="55D3ACE7">
      <w:pPr>
        <w:adjustRightInd w:val="0"/>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25.1 严格执行《中华人民共和国政府采购法》及自治区有关法规、政策、维护采购人、供应商的合法权益，选择对采购人最为有利的供应商或候选供应商。</w:t>
      </w:r>
    </w:p>
    <w:p w14:paraId="3E774DCC">
      <w:pPr>
        <w:adjustRightInd w:val="0"/>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25.2 磋商小组所有成员应当集中与单一供应商分别进行磋商，并给予所有参加磋商的供应商平等的磋商机会。不应谈及与供应商所提供的服务质量、技术、价格等无关的话题。</w:t>
      </w:r>
    </w:p>
    <w:p w14:paraId="7B63D1E9">
      <w:pPr>
        <w:adjustRightInd w:val="0"/>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25.3 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做出的实质性变动是竞争性磋商文件的有效组成部分，磋商小组应当及时以书面形式同时通知所有参加磋商的供应商。</w:t>
      </w:r>
    </w:p>
    <w:p w14:paraId="75BD93EF">
      <w:pPr>
        <w:adjustRightInd w:val="0"/>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25.4 坚持价格合理、综合评优的原则，不以最低报价作为中标唯一标准。</w:t>
      </w:r>
    </w:p>
    <w:p w14:paraId="3E092F60">
      <w:pPr>
        <w:adjustRightInd w:val="0"/>
        <w:snapToGrid w:val="0"/>
        <w:spacing w:line="500" w:lineRule="exact"/>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（二十六）</w:t>
      </w:r>
      <w:r>
        <w:rPr>
          <w:rFonts w:hint="eastAsia" w:asciiTheme="minorEastAsia" w:hAnsiTheme="minorEastAsia" w:eastAsiaTheme="minorEastAsia" w:cstheme="minorEastAsia"/>
          <w:b/>
          <w:sz w:val="24"/>
          <w:szCs w:val="24"/>
        </w:rPr>
        <w:t>磋商小组</w:t>
      </w:r>
    </w:p>
    <w:p w14:paraId="1B062A86">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26.1 采购人根据本项目的特点，于开标前48小时内，从新疆政府采购网政采云评审专家库中随机抽取组建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7831247E">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26.2 磋商小组在监督部门的监督下独立完成磋商工作，负责对磋商响应文件进行审查、质询、评审、推选成交候选供应商。</w:t>
      </w:r>
    </w:p>
    <w:p w14:paraId="6B540489">
      <w:pPr>
        <w:tabs>
          <w:tab w:val="left" w:pos="5744"/>
        </w:tabs>
        <w:snapToGrid w:val="0"/>
        <w:spacing w:line="50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（二十七）磋商程序</w:t>
      </w:r>
      <w:r>
        <w:rPr>
          <w:rFonts w:hint="eastAsia" w:asciiTheme="minorEastAsia" w:hAnsiTheme="minorEastAsia" w:eastAsiaTheme="minorEastAsia" w:cstheme="minorEastAsia"/>
          <w:b/>
          <w:bCs/>
          <w:sz w:val="24"/>
          <w:szCs w:val="24"/>
        </w:rPr>
        <w:tab/>
      </w:r>
    </w:p>
    <w:p w14:paraId="02C9079B">
      <w:pPr>
        <w:widowControl/>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27.1 代理机构按竞争性磋商文件规定的时间、地点组织开标、磋商。采购单位代表及有关工作人员参加，政府采购监管部门视情况参与。</w:t>
      </w:r>
    </w:p>
    <w:p w14:paraId="27F77F4C">
      <w:pPr>
        <w:widowControl/>
        <w:snapToGrid w:val="0"/>
        <w:spacing w:line="500" w:lineRule="exact"/>
        <w:ind w:firstLine="480" w:firstLineChars="200"/>
        <w:rPr>
          <w:rFonts w:hint="eastAsia" w:asciiTheme="minorEastAsia" w:hAnsiTheme="minorEastAsia" w:eastAsiaTheme="minorEastAsia" w:cstheme="minorEastAsia"/>
          <w:b w:val="0"/>
          <w:bCs w:val="0"/>
          <w:sz w:val="24"/>
          <w:szCs w:val="24"/>
          <w:u w:val="single"/>
        </w:rPr>
      </w:pPr>
      <w:r>
        <w:rPr>
          <w:rFonts w:hint="eastAsia" w:asciiTheme="minorEastAsia" w:hAnsiTheme="minorEastAsia" w:eastAsiaTheme="minorEastAsia" w:cstheme="minorEastAsia"/>
          <w:sz w:val="24"/>
          <w:szCs w:val="24"/>
        </w:rPr>
        <w:t>27.2 招标会将于供应商须知前附表规定的时间和地点召开，邀请供应商参加。磋商小组成员不得参加开标活动</w:t>
      </w:r>
      <w:r>
        <w:rPr>
          <w:rFonts w:hint="eastAsia" w:asciiTheme="minorEastAsia" w:hAnsiTheme="minorEastAsia" w:eastAsiaTheme="minorEastAsia" w:cstheme="minorEastAsia"/>
          <w:b w:val="0"/>
          <w:bCs w:val="0"/>
          <w:sz w:val="24"/>
          <w:szCs w:val="24"/>
        </w:rPr>
        <w:t>。在开标截止时间前不得解密磋商响应文件。</w:t>
      </w:r>
    </w:p>
    <w:p w14:paraId="33D97852">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27.3 开标会议由代理机构主持。合格供应商不足3家的，不得评标。对检查未通过的，采购人将拒绝并原封退回其磋商响应文件。</w:t>
      </w:r>
    </w:p>
    <w:p w14:paraId="75D3D6BA">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27.4. 在本项目竞争性磋商文件规定的查询时间之外，网站信息发生的任何变更均不作为资格审查依据。</w:t>
      </w:r>
    </w:p>
    <w:p w14:paraId="005CB947">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27.5 供应商代表对开标过程和开标记录有疑义，以及认为采购人、采购代理机构相关工作人员有需要回避的情形的，应当场提出询问或者回避申请。供应商未参加开标的，视同认可开标结果。</w:t>
      </w:r>
    </w:p>
    <w:p w14:paraId="19ABD9C2">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27.6 磋商会议由磋商小组组长主持。磋商小组首先对各磋商响应文件进行初步审查，初步审查包括资格性审查和符合性审查，未通过审查的为无效标。</w:t>
      </w:r>
    </w:p>
    <w:p w14:paraId="2B56A46A">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⑴资格性检查：磋商小组将根据法律法规和竞争性磋商文件的规定，对磋商响应文件的资格证明文件、磋商保证金等进行审查，以确定供应商是否具备竞争性磋商资格。</w:t>
      </w:r>
    </w:p>
    <w:p w14:paraId="7129C830">
      <w:pPr>
        <w:widowControl/>
        <w:tabs>
          <w:tab w:val="left" w:pos="540"/>
        </w:tabs>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⑵符合性检查：依据竞争性磋商文件的规定，从磋商响应文件的有效性、完整性和对竞争性磋商文件的响应程度进行审查，以确定是否对竞争性磋商文件的要求做出了实质性的响应，存在重大偏离的磋商响应文件为无效标。所谓重大偏离是指供应商磋商响应文件中所述服务质量、技术、规格、数量、</w:t>
      </w:r>
      <w:r>
        <w:rPr>
          <w:rFonts w:hint="eastAsia" w:asciiTheme="minorEastAsia" w:hAnsiTheme="minorEastAsia" w:eastAsiaTheme="minorEastAsia" w:cstheme="minorEastAsia"/>
          <w:sz w:val="24"/>
          <w:szCs w:val="24"/>
          <w:lang w:eastAsia="zh-CN"/>
        </w:rPr>
        <w:t>服务期限</w:t>
      </w:r>
      <w:r>
        <w:rPr>
          <w:rFonts w:hint="eastAsia" w:asciiTheme="minorEastAsia" w:hAnsiTheme="minorEastAsia" w:eastAsiaTheme="minorEastAsia" w:cstheme="minorEastAsia"/>
          <w:sz w:val="24"/>
          <w:szCs w:val="24"/>
        </w:rPr>
        <w:t>等和服务明显不能满足竞争性磋商文件要求。</w:t>
      </w:r>
      <w:r>
        <w:rPr>
          <w:rFonts w:hint="eastAsia" w:asciiTheme="minorEastAsia" w:hAnsiTheme="minorEastAsia" w:eastAsiaTheme="minorEastAsia" w:cstheme="minorEastAsia"/>
          <w:sz w:val="24"/>
          <w:szCs w:val="24"/>
          <w:u w:val="single"/>
        </w:rPr>
        <w:t>磋商小组成员对需要共同认定的事项存在争议的，应当按照少数服从多数的原则作出结论。持不同意见的磋商小组成员应当在评标报告上签署不同意见及理由，否则视为同意评标报告。</w:t>
      </w:r>
    </w:p>
    <w:p w14:paraId="14CA6FED">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27.7 磋商小组判断“磋商响应文件”的响应性，仅基于“磋商响应文件”本身而不靠外部证据。对非实质性响应的磋商响应文件，供应商不能通过修正或撤销不符之处，而使其成为实质性响应。</w:t>
      </w:r>
    </w:p>
    <w:p w14:paraId="00C088F5">
      <w:pPr>
        <w:pStyle w:val="19"/>
        <w:tabs>
          <w:tab w:val="left" w:pos="1260"/>
        </w:tabs>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27.8 磋商小组根据竞争性磋商文件要求，讨论、通过磋商工作流程和磋商要点。</w:t>
      </w:r>
    </w:p>
    <w:p w14:paraId="05C27E25">
      <w:pPr>
        <w:pStyle w:val="19"/>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27.9 采购人按照供应商签到时间顺序通知有效供应商磋商。</w:t>
      </w:r>
    </w:p>
    <w:p w14:paraId="560F6563">
      <w:pPr>
        <w:pStyle w:val="19"/>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参与二次及多次报价及服务承诺的人员须是供应商法定代表人或其授权代表人。供应商未及时参与磋商或多次报价的，视为自动放弃参与磋商的资格。</w:t>
      </w:r>
    </w:p>
    <w:p w14:paraId="0A2EC060">
      <w:pPr>
        <w:pStyle w:val="19"/>
        <w:tabs>
          <w:tab w:val="left" w:pos="1260"/>
        </w:tabs>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27.10</w:t>
      </w:r>
      <w:r>
        <w:rPr>
          <w:rFonts w:hint="eastAsia" w:asciiTheme="minorEastAsia" w:hAnsiTheme="minorEastAsia" w:eastAsiaTheme="minorEastAsia" w:cstheme="minorEastAsia"/>
          <w:b/>
          <w:bCs/>
          <w:sz w:val="24"/>
          <w:szCs w:val="24"/>
        </w:rPr>
        <w:t>第一轮磋商：</w:t>
      </w:r>
      <w:r>
        <w:rPr>
          <w:rFonts w:hint="eastAsia" w:asciiTheme="minorEastAsia" w:hAnsiTheme="minorEastAsia" w:eastAsiaTheme="minorEastAsia" w:cstheme="minorEastAsia"/>
          <w:sz w:val="24"/>
          <w:szCs w:val="24"/>
        </w:rPr>
        <w:t>磋商小组所有成员集中按已确定的磋商顺序，与单一供应商分别就符合采购需求、质量、服务等进行磋商，并了解其报价组成情况。</w:t>
      </w:r>
    </w:p>
    <w:p w14:paraId="6BA44E0A">
      <w:pPr>
        <w:pStyle w:val="19"/>
        <w:tabs>
          <w:tab w:val="left" w:pos="1260"/>
        </w:tabs>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27.11</w:t>
      </w:r>
      <w:r>
        <w:rPr>
          <w:rFonts w:hint="eastAsia" w:asciiTheme="minorEastAsia" w:hAnsiTheme="minorEastAsia" w:eastAsiaTheme="minorEastAsia" w:cstheme="minorEastAsia"/>
          <w:b/>
          <w:bCs/>
          <w:sz w:val="24"/>
          <w:szCs w:val="24"/>
        </w:rPr>
        <w:t>磋商文件修正：</w:t>
      </w:r>
      <w:r>
        <w:rPr>
          <w:rFonts w:hint="eastAsia" w:asciiTheme="minorEastAsia" w:hAnsiTheme="minorEastAsia" w:eastAsiaTheme="minorEastAsia" w:cstheme="minorEastAsia"/>
          <w:sz w:val="24"/>
          <w:szCs w:val="24"/>
        </w:rPr>
        <w:t>根据磋商掌握的情况，磋商小组可以根据磋商文件和磋商情况实质性变动采购需求中的技术、服务要求以及合同草案条款，但不得变动磋商文件中的其他内容。实质性变动的内容，须经磋商小组及采购人代表签字确认。采购代理机构通知磋商响应供应商集中，磋商小组强调调整后的采购要求，将磋商文件的修改结果以书面形式通知磋商响应供应商。</w:t>
      </w:r>
    </w:p>
    <w:p w14:paraId="35F44DC1">
      <w:pPr>
        <w:pStyle w:val="19"/>
        <w:tabs>
          <w:tab w:val="left" w:pos="1260"/>
        </w:tabs>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根据磋商情况和磋商文件修改书面通知，对原磋商响应文件进行修正，并在规定时间内将修正文件由供应商或其授权委托人签字或盖章后上传至系统。逾时未交的，视同放弃磋商。修正文件与磋商响应文件同具法律效力。</w:t>
      </w:r>
    </w:p>
    <w:p w14:paraId="505EFF10">
      <w:pPr>
        <w:pStyle w:val="19"/>
        <w:tabs>
          <w:tab w:val="left" w:pos="1260"/>
        </w:tabs>
        <w:snapToGrid w:val="0"/>
        <w:spacing w:line="50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27.12第二轮磋商：</w:t>
      </w:r>
      <w:r>
        <w:rPr>
          <w:rFonts w:hint="eastAsia" w:asciiTheme="minorEastAsia" w:hAnsiTheme="minorEastAsia" w:eastAsiaTheme="minorEastAsia" w:cstheme="minorEastAsia"/>
          <w:sz w:val="24"/>
          <w:szCs w:val="24"/>
        </w:rPr>
        <w:t>磋商小组就修正后的磋商响应文件与磋商响应供应商分别进行磋商。如未实质性提高采购需求中的技术、服务要求以及合同草案条款情况下，供应商第二轮磋商总报价及分项报价均不得超过第一轮报价，否则其本次报价无效并以其前一轮的报价为有效报价。</w:t>
      </w:r>
    </w:p>
    <w:p w14:paraId="2E83DCC3">
      <w:pPr>
        <w:pStyle w:val="19"/>
        <w:tabs>
          <w:tab w:val="left" w:pos="1260"/>
        </w:tabs>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第二轮磋商后磋商小组未能确定成交候选人的，按27.11磋商文件修正的要求，对磋商文件修正后进行第三轮磋商。</w:t>
      </w:r>
    </w:p>
    <w:p w14:paraId="479D12B0">
      <w:pPr>
        <w:pStyle w:val="19"/>
        <w:tabs>
          <w:tab w:val="left" w:pos="1260"/>
        </w:tabs>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27.13</w:t>
      </w:r>
      <w:r>
        <w:rPr>
          <w:rFonts w:hint="eastAsia" w:asciiTheme="minorEastAsia" w:hAnsiTheme="minorEastAsia" w:eastAsiaTheme="minorEastAsia" w:cstheme="minorEastAsia"/>
          <w:b/>
          <w:bCs/>
          <w:sz w:val="24"/>
          <w:szCs w:val="24"/>
        </w:rPr>
        <w:t>最终报价：</w:t>
      </w:r>
      <w:r>
        <w:rPr>
          <w:rFonts w:hint="eastAsia" w:asciiTheme="minorEastAsia" w:hAnsiTheme="minorEastAsia" w:eastAsiaTheme="minorEastAsia" w:cstheme="minorEastAsia"/>
          <w:sz w:val="24"/>
          <w:szCs w:val="24"/>
        </w:rPr>
        <w:t>最终的磋商结束后，所有磋商响应供应商</w:t>
      </w:r>
      <w:r>
        <w:rPr>
          <w:rFonts w:hint="eastAsia" w:asciiTheme="minorEastAsia" w:hAnsiTheme="minorEastAsia" w:eastAsiaTheme="minorEastAsia" w:cstheme="minorEastAsia"/>
          <w:sz w:val="24"/>
          <w:szCs w:val="24"/>
          <w:lang w:eastAsia="zh-CN"/>
        </w:rPr>
        <w:t>做</w:t>
      </w:r>
      <w:r>
        <w:rPr>
          <w:rFonts w:hint="eastAsia" w:asciiTheme="minorEastAsia" w:hAnsiTheme="minorEastAsia" w:eastAsiaTheme="minorEastAsia" w:cstheme="minorEastAsia"/>
          <w:sz w:val="24"/>
          <w:szCs w:val="24"/>
        </w:rPr>
        <w:t>最终报价，在规定时间内递交磋商小组，最终报价是供应商磋商响应文件的有效组成部分。由磋商小组采用综合评分法对提交最后报价的供应商的响应文件和最后报价进行综合评分。</w:t>
      </w:r>
    </w:p>
    <w:p w14:paraId="67E1BC86">
      <w:pPr>
        <w:pStyle w:val="19"/>
        <w:tabs>
          <w:tab w:val="left" w:pos="1260"/>
        </w:tabs>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27.14磋商文件能够详细列明采购标的的技术、服务要求的，磋商结束后，磋商小组应当要求所有实质性响应的供应商在规定时间内提交最后报价，提交最后报价的供应商不得少于3家。</w:t>
      </w:r>
    </w:p>
    <w:p w14:paraId="414BC9CA">
      <w:pPr>
        <w:pStyle w:val="19"/>
        <w:tabs>
          <w:tab w:val="left" w:pos="1260"/>
        </w:tabs>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2E00505">
      <w:pPr>
        <w:pStyle w:val="19"/>
        <w:tabs>
          <w:tab w:val="left" w:pos="1260"/>
        </w:tabs>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w:t>
      </w:r>
    </w:p>
    <w:p w14:paraId="4D105116">
      <w:pPr>
        <w:pStyle w:val="19"/>
        <w:tabs>
          <w:tab w:val="left" w:pos="1260"/>
        </w:tabs>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27.15已提交响应文件的供应商，在提交最后报价之前，可以根据磋商情况退出磋商。采购人、采购代理机构应当退还退出磋商的供应商的磋商保证金。   </w:t>
      </w:r>
    </w:p>
    <w:p w14:paraId="37E9E1FB">
      <w:pPr>
        <w:snapToGrid w:val="0"/>
        <w:spacing w:line="500" w:lineRule="exact"/>
        <w:ind w:firstLine="472" w:firstLineChars="197"/>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27.16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6ABF19A0">
      <w:pPr>
        <w:snapToGrid w:val="0"/>
        <w:spacing w:line="500" w:lineRule="exact"/>
        <w:ind w:firstLine="472" w:firstLineChars="197"/>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27.17 磋商小组发现磋商文件存在歧义、重大缺陷导致评标工作无法进行，或者磋商文件内容违反国家有关强制性规定的，应当停止评标工作，与采购人或者采购代理机构沟通并作书面记录。采购人或者采购代理机构确认后，应当修改磋商文件，重新组织采购活动。</w:t>
      </w:r>
    </w:p>
    <w:p w14:paraId="7F6E0FE5">
      <w:pPr>
        <w:pStyle w:val="19"/>
        <w:snapToGrid w:val="0"/>
        <w:spacing w:line="500" w:lineRule="exact"/>
        <w:ind w:firstLine="354" w:firstLineChars="147"/>
        <w:rPr>
          <w:rFonts w:hint="eastAsia" w:asciiTheme="minorEastAsia" w:hAnsiTheme="minorEastAsia" w:eastAsiaTheme="minorEastAsia" w:cstheme="minorEastAsia"/>
          <w:b/>
          <w:sz w:val="24"/>
          <w:szCs w:val="24"/>
        </w:rPr>
      </w:pPr>
      <w:bookmarkStart w:id="20" w:name="_Toc213839741"/>
      <w:r>
        <w:rPr>
          <w:rFonts w:hint="eastAsia" w:asciiTheme="minorEastAsia" w:hAnsiTheme="minorEastAsia" w:eastAsiaTheme="minorEastAsia" w:cstheme="minorEastAsia"/>
          <w:b/>
          <w:sz w:val="24"/>
          <w:szCs w:val="24"/>
        </w:rPr>
        <w:t>（二十八）最终报价</w:t>
      </w:r>
    </w:p>
    <w:p w14:paraId="05A7D80A">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28.1 磋商结束后，磋商小组将要求所有有效供应商在规定时间内提交最终报价及服务承诺。</w:t>
      </w:r>
    </w:p>
    <w:p w14:paraId="5362F65F">
      <w:pPr>
        <w:snapToGrid w:val="0"/>
        <w:spacing w:line="500" w:lineRule="exact"/>
        <w:ind w:firstLine="354" w:firstLineChars="147"/>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（二十九）确定成交候选供应商</w:t>
      </w:r>
    </w:p>
    <w:p w14:paraId="024BBA55">
      <w:pPr>
        <w:snapToGrid w:val="0"/>
        <w:spacing w:line="500" w:lineRule="exact"/>
        <w:ind w:firstLine="472" w:firstLineChars="1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29.1 经磋商确定最终采购需求和提交最后报价的供应商后，由磋商小组采用综合评分法对提交最后报价的供应商的磋商响应文件和最后报价进行综合评分。</w:t>
      </w:r>
    </w:p>
    <w:p w14:paraId="079D9268">
      <w:pPr>
        <w:snapToGrid w:val="0"/>
        <w:spacing w:line="500" w:lineRule="exact"/>
        <w:ind w:firstLine="472" w:firstLineChars="197"/>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14:paraId="6436DE67">
      <w:pPr>
        <w:snapToGrid w:val="0"/>
        <w:spacing w:line="500" w:lineRule="exact"/>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（三十）磋商过程</w:t>
      </w:r>
      <w:bookmarkEnd w:id="20"/>
      <w:r>
        <w:rPr>
          <w:rFonts w:hint="eastAsia" w:asciiTheme="minorEastAsia" w:hAnsiTheme="minorEastAsia" w:eastAsiaTheme="minorEastAsia" w:cstheme="minorEastAsia"/>
          <w:b/>
          <w:sz w:val="24"/>
          <w:szCs w:val="24"/>
        </w:rPr>
        <w:t>保密</w:t>
      </w:r>
    </w:p>
    <w:p w14:paraId="14D4C03B">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30.1 在宣布成交结果之前，凡属于审查、澄清、评价、比较竞争性磋商文件等有关信息，相关当事人均不得泄露给任何磋商供应商或与磋商工作无关的人员。</w:t>
      </w:r>
    </w:p>
    <w:p w14:paraId="38039F49">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30.2 供应商不得探听上述信息，不得以任何行为影响磋商过程，否则其磋商响应文件将被作为无效磋商响应文件。</w:t>
      </w:r>
    </w:p>
    <w:p w14:paraId="1972FF24">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30.3 在磋商期间，代理机构有专门工作人员与供应商进行联络。</w:t>
      </w:r>
    </w:p>
    <w:p w14:paraId="75D9CD9D">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30.4 采购人和磋商小组不向未成交的供应商解释未成交原因，也不对磋商过程中的细节问题进行公布。</w:t>
      </w:r>
    </w:p>
    <w:p w14:paraId="338B7BA5">
      <w:pPr>
        <w:snapToGrid w:val="0"/>
        <w:spacing w:line="500" w:lineRule="exact"/>
        <w:ind w:firstLine="200"/>
        <w:jc w:val="center"/>
        <w:outlineLvl w:val="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bookmarkStart w:id="21" w:name="_Toc28256"/>
      <w:r>
        <w:rPr>
          <w:rFonts w:hint="eastAsia" w:asciiTheme="minorEastAsia" w:hAnsiTheme="minorEastAsia" w:eastAsiaTheme="minorEastAsia" w:cstheme="minorEastAsia"/>
          <w:b/>
          <w:sz w:val="24"/>
          <w:szCs w:val="24"/>
        </w:rPr>
        <w:t>七、评标办法</w:t>
      </w:r>
      <w:bookmarkEnd w:id="21"/>
    </w:p>
    <w:p w14:paraId="40D358E4">
      <w:pPr>
        <w:snapToGrid w:val="0"/>
        <w:spacing w:line="44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szCs w:val="24"/>
        </w:rPr>
        <w:t>（三十一）</w:t>
      </w:r>
      <w:r>
        <w:rPr>
          <w:rFonts w:hint="eastAsia" w:asciiTheme="minorEastAsia" w:hAnsiTheme="minorEastAsia" w:eastAsiaTheme="minorEastAsia" w:cstheme="minorEastAsia"/>
          <w:b/>
          <w:bCs/>
          <w:sz w:val="24"/>
          <w:szCs w:val="24"/>
        </w:rPr>
        <w:t>初步</w:t>
      </w:r>
      <w:r>
        <w:rPr>
          <w:rFonts w:hint="eastAsia" w:asciiTheme="minorEastAsia" w:hAnsiTheme="minorEastAsia" w:eastAsiaTheme="minorEastAsia" w:cstheme="minorEastAsia"/>
          <w:b/>
          <w:sz w:val="24"/>
          <w:szCs w:val="24"/>
        </w:rPr>
        <w:t>评审</w:t>
      </w:r>
    </w:p>
    <w:p w14:paraId="345EE488">
      <w:pPr>
        <w:snapToGrid w:val="0"/>
        <w:spacing w:line="4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初步评审（资格审查标准）</w:t>
      </w:r>
    </w:p>
    <w:tbl>
      <w:tblPr>
        <w:tblStyle w:val="29"/>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5780"/>
        <w:gridCol w:w="854"/>
        <w:gridCol w:w="852"/>
        <w:gridCol w:w="851"/>
        <w:gridCol w:w="792"/>
      </w:tblGrid>
      <w:tr w14:paraId="059C9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02" w:type="dxa"/>
            <w:tcBorders>
              <w:bottom w:val="single" w:color="auto" w:sz="4" w:space="0"/>
            </w:tcBorders>
            <w:vAlign w:val="center"/>
          </w:tcPr>
          <w:p w14:paraId="4B5958CA">
            <w:pPr>
              <w:spacing w:line="34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序号</w:t>
            </w:r>
          </w:p>
        </w:tc>
        <w:tc>
          <w:tcPr>
            <w:tcW w:w="5780" w:type="dxa"/>
            <w:tcBorders>
              <w:bottom w:val="single" w:color="auto" w:sz="4" w:space="0"/>
            </w:tcBorders>
            <w:vAlign w:val="center"/>
          </w:tcPr>
          <w:p w14:paraId="090C1074">
            <w:pPr>
              <w:spacing w:line="3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评审内容及标准</w:t>
            </w:r>
          </w:p>
        </w:tc>
        <w:tc>
          <w:tcPr>
            <w:tcW w:w="854" w:type="dxa"/>
            <w:tcBorders>
              <w:bottom w:val="single" w:color="auto" w:sz="4" w:space="0"/>
            </w:tcBorders>
            <w:vAlign w:val="center"/>
          </w:tcPr>
          <w:p w14:paraId="5D6C4876">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供应商1</w:t>
            </w:r>
          </w:p>
        </w:tc>
        <w:tc>
          <w:tcPr>
            <w:tcW w:w="852" w:type="dxa"/>
            <w:tcBorders>
              <w:bottom w:val="single" w:color="auto" w:sz="4" w:space="0"/>
            </w:tcBorders>
            <w:vAlign w:val="center"/>
          </w:tcPr>
          <w:p w14:paraId="5B3FBCAE">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供应商2</w:t>
            </w:r>
          </w:p>
        </w:tc>
        <w:tc>
          <w:tcPr>
            <w:tcW w:w="851" w:type="dxa"/>
            <w:tcBorders>
              <w:bottom w:val="single" w:color="auto" w:sz="4" w:space="0"/>
            </w:tcBorders>
            <w:vAlign w:val="center"/>
          </w:tcPr>
          <w:p w14:paraId="70BD82CB">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供应商3</w:t>
            </w:r>
          </w:p>
        </w:tc>
        <w:tc>
          <w:tcPr>
            <w:tcW w:w="792" w:type="dxa"/>
            <w:tcBorders>
              <w:bottom w:val="single" w:color="auto" w:sz="4" w:space="0"/>
            </w:tcBorders>
            <w:vAlign w:val="center"/>
          </w:tcPr>
          <w:p w14:paraId="312F4613">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供应商N</w:t>
            </w:r>
          </w:p>
        </w:tc>
      </w:tr>
      <w:tr w14:paraId="44DC0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02" w:type="dxa"/>
            <w:vAlign w:val="center"/>
          </w:tcPr>
          <w:p w14:paraId="083D83B4">
            <w:pPr>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780" w:type="dxa"/>
            <w:vAlign w:val="center"/>
          </w:tcPr>
          <w:p w14:paraId="23190CD3">
            <w:pPr>
              <w:spacing w:line="3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满足《中华人民共和国政府采购法》第二十二条规定；</w:t>
            </w:r>
          </w:p>
        </w:tc>
        <w:tc>
          <w:tcPr>
            <w:tcW w:w="854" w:type="dxa"/>
            <w:vAlign w:val="center"/>
          </w:tcPr>
          <w:p w14:paraId="4C45331B">
            <w:pPr>
              <w:spacing w:line="340" w:lineRule="exact"/>
              <w:rPr>
                <w:rFonts w:hint="eastAsia" w:asciiTheme="minorEastAsia" w:hAnsiTheme="minorEastAsia" w:eastAsiaTheme="minorEastAsia" w:cstheme="minorEastAsia"/>
                <w:sz w:val="24"/>
                <w:szCs w:val="24"/>
              </w:rPr>
            </w:pPr>
          </w:p>
        </w:tc>
        <w:tc>
          <w:tcPr>
            <w:tcW w:w="852" w:type="dxa"/>
            <w:vAlign w:val="center"/>
          </w:tcPr>
          <w:p w14:paraId="4B454DAF">
            <w:pPr>
              <w:spacing w:line="340" w:lineRule="exact"/>
              <w:rPr>
                <w:rFonts w:hint="eastAsia" w:asciiTheme="minorEastAsia" w:hAnsiTheme="minorEastAsia" w:eastAsiaTheme="minorEastAsia" w:cstheme="minorEastAsia"/>
                <w:sz w:val="24"/>
                <w:szCs w:val="24"/>
              </w:rPr>
            </w:pPr>
          </w:p>
        </w:tc>
        <w:tc>
          <w:tcPr>
            <w:tcW w:w="851" w:type="dxa"/>
            <w:vAlign w:val="center"/>
          </w:tcPr>
          <w:p w14:paraId="276F1CCD">
            <w:pPr>
              <w:spacing w:line="340" w:lineRule="exact"/>
              <w:rPr>
                <w:rFonts w:hint="eastAsia" w:asciiTheme="minorEastAsia" w:hAnsiTheme="minorEastAsia" w:eastAsiaTheme="minorEastAsia" w:cstheme="minorEastAsia"/>
                <w:sz w:val="24"/>
                <w:szCs w:val="24"/>
              </w:rPr>
            </w:pPr>
          </w:p>
        </w:tc>
        <w:tc>
          <w:tcPr>
            <w:tcW w:w="792" w:type="dxa"/>
            <w:vAlign w:val="center"/>
          </w:tcPr>
          <w:p w14:paraId="6C0D5426">
            <w:pPr>
              <w:spacing w:line="340" w:lineRule="exact"/>
              <w:rPr>
                <w:rFonts w:hint="eastAsia" w:asciiTheme="minorEastAsia" w:hAnsiTheme="minorEastAsia" w:eastAsiaTheme="minorEastAsia" w:cstheme="minorEastAsia"/>
                <w:sz w:val="24"/>
                <w:szCs w:val="24"/>
              </w:rPr>
            </w:pPr>
          </w:p>
        </w:tc>
      </w:tr>
      <w:tr w14:paraId="15D3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02" w:type="dxa"/>
            <w:vAlign w:val="center"/>
          </w:tcPr>
          <w:p w14:paraId="2C7F1285">
            <w:pPr>
              <w:spacing w:line="3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5780" w:type="dxa"/>
            <w:vAlign w:val="center"/>
          </w:tcPr>
          <w:p w14:paraId="6F14370B">
            <w:pPr>
              <w:spacing w:line="3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请根据要求单独上传《中小企业声明函》。格式以采购文件要求为准。</w:t>
            </w:r>
          </w:p>
        </w:tc>
        <w:tc>
          <w:tcPr>
            <w:tcW w:w="854" w:type="dxa"/>
            <w:vAlign w:val="center"/>
          </w:tcPr>
          <w:p w14:paraId="5EDD8309">
            <w:pPr>
              <w:spacing w:line="340" w:lineRule="exact"/>
              <w:rPr>
                <w:rFonts w:hint="eastAsia" w:asciiTheme="minorEastAsia" w:hAnsiTheme="minorEastAsia" w:eastAsiaTheme="minorEastAsia" w:cstheme="minorEastAsia"/>
                <w:sz w:val="24"/>
                <w:szCs w:val="24"/>
              </w:rPr>
            </w:pPr>
          </w:p>
        </w:tc>
        <w:tc>
          <w:tcPr>
            <w:tcW w:w="852" w:type="dxa"/>
            <w:vAlign w:val="center"/>
          </w:tcPr>
          <w:p w14:paraId="28C76470">
            <w:pPr>
              <w:spacing w:line="340" w:lineRule="exact"/>
              <w:rPr>
                <w:rFonts w:hint="eastAsia" w:asciiTheme="minorEastAsia" w:hAnsiTheme="minorEastAsia" w:eastAsiaTheme="minorEastAsia" w:cstheme="minorEastAsia"/>
                <w:sz w:val="24"/>
                <w:szCs w:val="24"/>
              </w:rPr>
            </w:pPr>
          </w:p>
        </w:tc>
        <w:tc>
          <w:tcPr>
            <w:tcW w:w="851" w:type="dxa"/>
            <w:vAlign w:val="center"/>
          </w:tcPr>
          <w:p w14:paraId="527F5BF3">
            <w:pPr>
              <w:spacing w:line="340" w:lineRule="exact"/>
              <w:rPr>
                <w:rFonts w:hint="eastAsia" w:asciiTheme="minorEastAsia" w:hAnsiTheme="minorEastAsia" w:eastAsiaTheme="minorEastAsia" w:cstheme="minorEastAsia"/>
                <w:sz w:val="24"/>
                <w:szCs w:val="24"/>
              </w:rPr>
            </w:pPr>
          </w:p>
        </w:tc>
        <w:tc>
          <w:tcPr>
            <w:tcW w:w="792" w:type="dxa"/>
            <w:vAlign w:val="center"/>
          </w:tcPr>
          <w:p w14:paraId="5925E22A">
            <w:pPr>
              <w:spacing w:line="340" w:lineRule="exact"/>
              <w:rPr>
                <w:rFonts w:hint="eastAsia" w:asciiTheme="minorEastAsia" w:hAnsiTheme="minorEastAsia" w:eastAsiaTheme="minorEastAsia" w:cstheme="minorEastAsia"/>
                <w:sz w:val="24"/>
                <w:szCs w:val="24"/>
              </w:rPr>
            </w:pPr>
          </w:p>
        </w:tc>
      </w:tr>
      <w:tr w14:paraId="796DD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shd w:val="clear" w:color="auto" w:fill="auto"/>
            <w:vAlign w:val="center"/>
          </w:tcPr>
          <w:p w14:paraId="4188A272">
            <w:pPr>
              <w:spacing w:line="3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5780" w:type="dxa"/>
            <w:vAlign w:val="center"/>
          </w:tcPr>
          <w:p w14:paraId="1C9B25FC">
            <w:pPr>
              <w:spacing w:line="3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lang w:eastAsia="zh-CN"/>
              </w:rPr>
              <w:t>供应商须是中华人民共和国境内注册的，具有有效的营业执照</w:t>
            </w:r>
            <w:r>
              <w:rPr>
                <w:rFonts w:hint="eastAsia" w:asciiTheme="minorEastAsia" w:hAnsiTheme="minorEastAsia" w:eastAsiaTheme="minorEastAsia" w:cstheme="minorEastAsia"/>
                <w:sz w:val="24"/>
                <w:szCs w:val="24"/>
              </w:rPr>
              <w:t>；</w:t>
            </w:r>
          </w:p>
        </w:tc>
        <w:tc>
          <w:tcPr>
            <w:tcW w:w="854" w:type="dxa"/>
            <w:vAlign w:val="center"/>
          </w:tcPr>
          <w:p w14:paraId="09879BFA">
            <w:pPr>
              <w:spacing w:line="340" w:lineRule="exact"/>
              <w:rPr>
                <w:rFonts w:hint="eastAsia" w:asciiTheme="minorEastAsia" w:hAnsiTheme="minorEastAsia" w:eastAsiaTheme="minorEastAsia" w:cstheme="minorEastAsia"/>
                <w:sz w:val="24"/>
                <w:szCs w:val="24"/>
              </w:rPr>
            </w:pPr>
          </w:p>
        </w:tc>
        <w:tc>
          <w:tcPr>
            <w:tcW w:w="852" w:type="dxa"/>
            <w:vAlign w:val="center"/>
          </w:tcPr>
          <w:p w14:paraId="01C45BC7">
            <w:pPr>
              <w:spacing w:line="340" w:lineRule="exact"/>
              <w:rPr>
                <w:rFonts w:hint="eastAsia" w:asciiTheme="minorEastAsia" w:hAnsiTheme="minorEastAsia" w:eastAsiaTheme="minorEastAsia" w:cstheme="minorEastAsia"/>
                <w:sz w:val="24"/>
                <w:szCs w:val="24"/>
              </w:rPr>
            </w:pPr>
          </w:p>
        </w:tc>
        <w:tc>
          <w:tcPr>
            <w:tcW w:w="851" w:type="dxa"/>
            <w:vAlign w:val="center"/>
          </w:tcPr>
          <w:p w14:paraId="1E961252">
            <w:pPr>
              <w:spacing w:line="340" w:lineRule="exact"/>
              <w:rPr>
                <w:rFonts w:hint="eastAsia" w:asciiTheme="minorEastAsia" w:hAnsiTheme="minorEastAsia" w:eastAsiaTheme="minorEastAsia" w:cstheme="minorEastAsia"/>
                <w:sz w:val="24"/>
                <w:szCs w:val="24"/>
              </w:rPr>
            </w:pPr>
          </w:p>
        </w:tc>
        <w:tc>
          <w:tcPr>
            <w:tcW w:w="792" w:type="dxa"/>
            <w:vAlign w:val="center"/>
          </w:tcPr>
          <w:p w14:paraId="10EE8BAA">
            <w:pPr>
              <w:spacing w:line="340" w:lineRule="exact"/>
              <w:rPr>
                <w:rFonts w:hint="eastAsia" w:asciiTheme="minorEastAsia" w:hAnsiTheme="minorEastAsia" w:eastAsiaTheme="minorEastAsia" w:cstheme="minorEastAsia"/>
                <w:sz w:val="24"/>
                <w:szCs w:val="24"/>
              </w:rPr>
            </w:pPr>
          </w:p>
        </w:tc>
      </w:tr>
      <w:tr w14:paraId="74F88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vAlign w:val="center"/>
          </w:tcPr>
          <w:p w14:paraId="537D7D61">
            <w:pPr>
              <w:spacing w:line="3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5780" w:type="dxa"/>
            <w:vAlign w:val="center"/>
          </w:tcPr>
          <w:p w14:paraId="0EFFF8A6">
            <w:pPr>
              <w:spacing w:line="3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供应商不得为“信用中国网站（www.creditchina.gov.cn）中列入失信被执行人和税收违法黑名单的供应商，不得为中国政府采购网（www.ccgp.gov.cn）政府采购严重违法失信行为记录名单中被财政部门禁止参加政府采购活动的供应商</w:t>
            </w:r>
            <w:r>
              <w:rPr>
                <w:rFonts w:hint="eastAsia" w:asciiTheme="minorEastAsia" w:hAnsiTheme="minorEastAsia" w:eastAsiaTheme="minorEastAsia" w:cstheme="minorEastAsia"/>
                <w:bCs/>
                <w:sz w:val="24"/>
                <w:szCs w:val="24"/>
              </w:rPr>
              <w:t>。</w:t>
            </w:r>
          </w:p>
        </w:tc>
        <w:tc>
          <w:tcPr>
            <w:tcW w:w="854" w:type="dxa"/>
            <w:vAlign w:val="center"/>
          </w:tcPr>
          <w:p w14:paraId="765768F3">
            <w:pPr>
              <w:spacing w:line="340" w:lineRule="exact"/>
              <w:rPr>
                <w:rFonts w:hint="eastAsia" w:asciiTheme="minorEastAsia" w:hAnsiTheme="minorEastAsia" w:eastAsiaTheme="minorEastAsia" w:cstheme="minorEastAsia"/>
                <w:sz w:val="24"/>
                <w:szCs w:val="24"/>
              </w:rPr>
            </w:pPr>
          </w:p>
        </w:tc>
        <w:tc>
          <w:tcPr>
            <w:tcW w:w="852" w:type="dxa"/>
            <w:vAlign w:val="center"/>
          </w:tcPr>
          <w:p w14:paraId="6F2B2817">
            <w:pPr>
              <w:spacing w:line="340" w:lineRule="exact"/>
              <w:rPr>
                <w:rFonts w:hint="eastAsia" w:asciiTheme="minorEastAsia" w:hAnsiTheme="minorEastAsia" w:eastAsiaTheme="minorEastAsia" w:cstheme="minorEastAsia"/>
                <w:sz w:val="24"/>
                <w:szCs w:val="24"/>
              </w:rPr>
            </w:pPr>
          </w:p>
        </w:tc>
        <w:tc>
          <w:tcPr>
            <w:tcW w:w="851" w:type="dxa"/>
            <w:vAlign w:val="center"/>
          </w:tcPr>
          <w:p w14:paraId="5AB032C1">
            <w:pPr>
              <w:spacing w:line="340" w:lineRule="exact"/>
              <w:rPr>
                <w:rFonts w:hint="eastAsia" w:asciiTheme="minorEastAsia" w:hAnsiTheme="minorEastAsia" w:eastAsiaTheme="minorEastAsia" w:cstheme="minorEastAsia"/>
                <w:sz w:val="24"/>
                <w:szCs w:val="24"/>
              </w:rPr>
            </w:pPr>
          </w:p>
        </w:tc>
        <w:tc>
          <w:tcPr>
            <w:tcW w:w="792" w:type="dxa"/>
            <w:vAlign w:val="center"/>
          </w:tcPr>
          <w:p w14:paraId="661503BE">
            <w:pPr>
              <w:spacing w:line="340" w:lineRule="exact"/>
              <w:rPr>
                <w:rFonts w:hint="eastAsia" w:asciiTheme="minorEastAsia" w:hAnsiTheme="minorEastAsia" w:eastAsiaTheme="minorEastAsia" w:cstheme="minorEastAsia"/>
                <w:sz w:val="24"/>
                <w:szCs w:val="24"/>
              </w:rPr>
            </w:pPr>
          </w:p>
        </w:tc>
      </w:tr>
      <w:tr w14:paraId="1DA77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6482" w:type="dxa"/>
            <w:gridSpan w:val="2"/>
            <w:vAlign w:val="center"/>
          </w:tcPr>
          <w:p w14:paraId="3CD106F2">
            <w:pPr>
              <w:spacing w:line="34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结论：是否通过</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Cs/>
                <w:sz w:val="24"/>
                <w:szCs w:val="24"/>
              </w:rPr>
              <w:t>资格审查</w:t>
            </w:r>
            <w:r>
              <w:rPr>
                <w:rFonts w:hint="eastAsia" w:asciiTheme="minorEastAsia" w:hAnsiTheme="minorEastAsia" w:eastAsiaTheme="minorEastAsia" w:cstheme="minorEastAsia"/>
                <w:sz w:val="24"/>
                <w:szCs w:val="24"/>
              </w:rPr>
              <w:t>合格后方可进入符合性审查阶段</w:t>
            </w:r>
            <w:r>
              <w:rPr>
                <w:rFonts w:hint="eastAsia" w:asciiTheme="minorEastAsia" w:hAnsiTheme="minorEastAsia" w:eastAsiaTheme="minorEastAsia" w:cstheme="minorEastAsia"/>
                <w:b/>
                <w:sz w:val="24"/>
                <w:szCs w:val="24"/>
              </w:rPr>
              <w:t>）</w:t>
            </w:r>
          </w:p>
        </w:tc>
        <w:tc>
          <w:tcPr>
            <w:tcW w:w="854" w:type="dxa"/>
            <w:vAlign w:val="center"/>
          </w:tcPr>
          <w:p w14:paraId="07B4B2C0">
            <w:pPr>
              <w:spacing w:line="340" w:lineRule="exact"/>
              <w:rPr>
                <w:rFonts w:hint="eastAsia" w:asciiTheme="minorEastAsia" w:hAnsiTheme="minorEastAsia" w:eastAsiaTheme="minorEastAsia" w:cstheme="minorEastAsia"/>
                <w:sz w:val="24"/>
                <w:szCs w:val="24"/>
              </w:rPr>
            </w:pPr>
          </w:p>
        </w:tc>
        <w:tc>
          <w:tcPr>
            <w:tcW w:w="852" w:type="dxa"/>
            <w:vAlign w:val="center"/>
          </w:tcPr>
          <w:p w14:paraId="50153C30">
            <w:pPr>
              <w:spacing w:line="340" w:lineRule="exact"/>
              <w:rPr>
                <w:rFonts w:hint="eastAsia" w:asciiTheme="minorEastAsia" w:hAnsiTheme="minorEastAsia" w:eastAsiaTheme="minorEastAsia" w:cstheme="minorEastAsia"/>
                <w:sz w:val="24"/>
                <w:szCs w:val="24"/>
              </w:rPr>
            </w:pPr>
          </w:p>
        </w:tc>
        <w:tc>
          <w:tcPr>
            <w:tcW w:w="851" w:type="dxa"/>
            <w:vAlign w:val="center"/>
          </w:tcPr>
          <w:p w14:paraId="0F659E62">
            <w:pPr>
              <w:spacing w:line="340" w:lineRule="exact"/>
              <w:rPr>
                <w:rFonts w:hint="eastAsia" w:asciiTheme="minorEastAsia" w:hAnsiTheme="minorEastAsia" w:eastAsiaTheme="minorEastAsia" w:cstheme="minorEastAsia"/>
                <w:sz w:val="24"/>
                <w:szCs w:val="24"/>
              </w:rPr>
            </w:pPr>
          </w:p>
        </w:tc>
        <w:tc>
          <w:tcPr>
            <w:tcW w:w="792" w:type="dxa"/>
            <w:vAlign w:val="center"/>
          </w:tcPr>
          <w:p w14:paraId="7F1E778F">
            <w:pPr>
              <w:spacing w:line="340" w:lineRule="exact"/>
              <w:rPr>
                <w:rFonts w:hint="eastAsia" w:asciiTheme="minorEastAsia" w:hAnsiTheme="minorEastAsia" w:eastAsiaTheme="minorEastAsia" w:cstheme="minorEastAsia"/>
                <w:sz w:val="24"/>
                <w:szCs w:val="24"/>
              </w:rPr>
            </w:pPr>
          </w:p>
        </w:tc>
      </w:tr>
      <w:tr w14:paraId="3E0C6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0" w:hRule="atLeast"/>
        </w:trPr>
        <w:tc>
          <w:tcPr>
            <w:tcW w:w="9831" w:type="dxa"/>
            <w:gridSpan w:val="6"/>
            <w:vAlign w:val="center"/>
          </w:tcPr>
          <w:p w14:paraId="6A34CC51">
            <w:pPr>
              <w:spacing w:line="34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备注：如果</w:t>
            </w:r>
            <w:r>
              <w:rPr>
                <w:rFonts w:hint="eastAsia" w:asciiTheme="minorEastAsia" w:hAnsiTheme="minorEastAsia" w:eastAsiaTheme="minorEastAsia" w:cstheme="minorEastAsia"/>
                <w:sz w:val="24"/>
                <w:szCs w:val="24"/>
                <w:lang w:eastAsia="zh-CN"/>
              </w:rPr>
              <w:t>响应文件</w:t>
            </w:r>
            <w:r>
              <w:rPr>
                <w:rFonts w:hint="eastAsia" w:asciiTheme="minorEastAsia" w:hAnsiTheme="minorEastAsia" w:eastAsiaTheme="minorEastAsia" w:cstheme="minorEastAsia"/>
                <w:sz w:val="24"/>
                <w:szCs w:val="24"/>
              </w:rPr>
              <w:t>中有一项未通过上述审查标准，评标委员会将认定整个</w:t>
            </w:r>
            <w:r>
              <w:rPr>
                <w:rFonts w:hint="eastAsia" w:asciiTheme="minorEastAsia" w:hAnsiTheme="minorEastAsia" w:eastAsiaTheme="minorEastAsia" w:cstheme="minorEastAsia"/>
                <w:sz w:val="24"/>
                <w:szCs w:val="24"/>
                <w:lang w:eastAsia="zh-CN"/>
              </w:rPr>
              <w:t>响应文件</w:t>
            </w:r>
            <w:r>
              <w:rPr>
                <w:rFonts w:hint="eastAsia" w:asciiTheme="minorEastAsia" w:hAnsiTheme="minorEastAsia" w:eastAsiaTheme="minorEastAsia" w:cstheme="minorEastAsia"/>
                <w:sz w:val="24"/>
                <w:szCs w:val="24"/>
              </w:rPr>
              <w:t>不响应磋商文件而予以投标无效，并且不允许供应商通过修改或撤销其不符合要求的差异或保留，使之成为具有响应性的投标。通过审核的以“√”标记；未通过的以“×”标记，并予以说明。</w:t>
            </w:r>
          </w:p>
        </w:tc>
      </w:tr>
    </w:tbl>
    <w:p w14:paraId="33A1F7A8">
      <w:pPr>
        <w:pageBreakBefore/>
        <w:snapToGrid w:val="0"/>
        <w:spacing w:line="44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初步评审（符合性审查）</w:t>
      </w:r>
    </w:p>
    <w:tbl>
      <w:tblPr>
        <w:tblStyle w:val="29"/>
        <w:tblW w:w="8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545"/>
        <w:gridCol w:w="4163"/>
        <w:gridCol w:w="806"/>
        <w:gridCol w:w="806"/>
        <w:gridCol w:w="806"/>
        <w:gridCol w:w="807"/>
      </w:tblGrid>
      <w:tr w14:paraId="7BE7D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928" w:type="dxa"/>
            <w:tcBorders>
              <w:bottom w:val="single" w:color="auto" w:sz="4" w:space="0"/>
            </w:tcBorders>
            <w:vAlign w:val="center"/>
          </w:tcPr>
          <w:p w14:paraId="6AB207AF">
            <w:pPr>
              <w:spacing w:line="4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项目</w:t>
            </w:r>
          </w:p>
        </w:tc>
        <w:tc>
          <w:tcPr>
            <w:tcW w:w="4708" w:type="dxa"/>
            <w:gridSpan w:val="2"/>
            <w:tcBorders>
              <w:bottom w:val="single" w:color="auto" w:sz="4" w:space="0"/>
            </w:tcBorders>
            <w:vAlign w:val="center"/>
          </w:tcPr>
          <w:p w14:paraId="46E409DD">
            <w:pPr>
              <w:spacing w:line="4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  审  内  容</w:t>
            </w:r>
          </w:p>
        </w:tc>
        <w:tc>
          <w:tcPr>
            <w:tcW w:w="806" w:type="dxa"/>
            <w:tcBorders>
              <w:bottom w:val="single" w:color="auto" w:sz="4" w:space="0"/>
            </w:tcBorders>
            <w:vAlign w:val="center"/>
          </w:tcPr>
          <w:p w14:paraId="2B1AA964">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供应商1</w:t>
            </w:r>
          </w:p>
        </w:tc>
        <w:tc>
          <w:tcPr>
            <w:tcW w:w="806" w:type="dxa"/>
            <w:tcBorders>
              <w:bottom w:val="single" w:color="auto" w:sz="4" w:space="0"/>
            </w:tcBorders>
            <w:vAlign w:val="center"/>
          </w:tcPr>
          <w:p w14:paraId="50321BD4">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供应商2</w:t>
            </w:r>
          </w:p>
        </w:tc>
        <w:tc>
          <w:tcPr>
            <w:tcW w:w="806" w:type="dxa"/>
            <w:tcBorders>
              <w:bottom w:val="single" w:color="auto" w:sz="4" w:space="0"/>
            </w:tcBorders>
            <w:vAlign w:val="center"/>
          </w:tcPr>
          <w:p w14:paraId="006B5A4C">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供应商3</w:t>
            </w:r>
          </w:p>
        </w:tc>
        <w:tc>
          <w:tcPr>
            <w:tcW w:w="807" w:type="dxa"/>
            <w:tcBorders>
              <w:bottom w:val="single" w:color="auto" w:sz="4" w:space="0"/>
            </w:tcBorders>
            <w:vAlign w:val="center"/>
          </w:tcPr>
          <w:p w14:paraId="2EED8B31">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供应商N</w:t>
            </w:r>
          </w:p>
        </w:tc>
      </w:tr>
      <w:tr w14:paraId="46E00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928" w:type="dxa"/>
            <w:vMerge w:val="restart"/>
            <w:vAlign w:val="center"/>
          </w:tcPr>
          <w:p w14:paraId="65218DEE">
            <w:pPr>
              <w:spacing w:line="4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初</w:t>
            </w:r>
          </w:p>
          <w:p w14:paraId="1B7D3B74">
            <w:pPr>
              <w:spacing w:line="4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步</w:t>
            </w:r>
          </w:p>
          <w:p w14:paraId="331DBFF1">
            <w:pPr>
              <w:spacing w:line="4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w:t>
            </w:r>
          </w:p>
          <w:p w14:paraId="4182E7C3">
            <w:pPr>
              <w:spacing w:line="4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审</w:t>
            </w:r>
          </w:p>
          <w:p w14:paraId="7E29AF07">
            <w:pPr>
              <w:spacing w:line="4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w:t>
            </w:r>
          </w:p>
          <w:p w14:paraId="1640788E">
            <w:pPr>
              <w:spacing w:line="4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符合性审查</w:t>
            </w:r>
          </w:p>
          <w:p w14:paraId="2D3EDC66">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w:t>
            </w:r>
          </w:p>
        </w:tc>
        <w:tc>
          <w:tcPr>
            <w:tcW w:w="545" w:type="dxa"/>
            <w:vAlign w:val="center"/>
          </w:tcPr>
          <w:p w14:paraId="4AA7865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4163" w:type="dxa"/>
            <w:vAlign w:val="center"/>
          </w:tcPr>
          <w:p w14:paraId="4AA8360D">
            <w:pPr>
              <w:rPr>
                <w:rFonts w:hint="eastAsia" w:asciiTheme="minorEastAsia" w:hAnsiTheme="minorEastAsia" w:eastAsiaTheme="minorEastAsia" w:cstheme="minorEastAsia"/>
                <w:sz w:val="24"/>
                <w:szCs w:val="24"/>
              </w:rPr>
            </w:pPr>
            <w:r>
              <w:rPr>
                <w:rFonts w:hint="eastAsia" w:ascii="宋体" w:hAnsi="宋体"/>
                <w:sz w:val="24"/>
                <w:szCs w:val="24"/>
              </w:rPr>
              <w:t>投标报价不得超过</w:t>
            </w:r>
            <w:r>
              <w:rPr>
                <w:rFonts w:hint="eastAsia" w:ascii="宋体" w:hAnsi="宋体"/>
                <w:sz w:val="24"/>
                <w:szCs w:val="24"/>
                <w:lang w:eastAsia="zh-CN"/>
              </w:rPr>
              <w:t>磋商文件</w:t>
            </w:r>
            <w:r>
              <w:rPr>
                <w:rFonts w:hint="eastAsia" w:ascii="宋体" w:hAnsi="宋体"/>
                <w:sz w:val="24"/>
                <w:szCs w:val="24"/>
              </w:rPr>
              <w:t>采购预算，是否按照</w:t>
            </w:r>
            <w:r>
              <w:rPr>
                <w:rFonts w:hint="eastAsia" w:ascii="宋体" w:hAnsi="宋体"/>
                <w:sz w:val="24"/>
                <w:szCs w:val="24"/>
                <w:lang w:eastAsia="zh-CN"/>
              </w:rPr>
              <w:t>磋商文件</w:t>
            </w:r>
            <w:r>
              <w:rPr>
                <w:rFonts w:hint="eastAsia" w:ascii="宋体" w:hAnsi="宋体"/>
                <w:sz w:val="24"/>
                <w:szCs w:val="24"/>
              </w:rPr>
              <w:t>格式填写；</w:t>
            </w:r>
          </w:p>
        </w:tc>
        <w:tc>
          <w:tcPr>
            <w:tcW w:w="806" w:type="dxa"/>
            <w:vAlign w:val="center"/>
          </w:tcPr>
          <w:p w14:paraId="47339AEB">
            <w:pPr>
              <w:spacing w:line="440" w:lineRule="exact"/>
              <w:rPr>
                <w:rFonts w:hint="eastAsia" w:asciiTheme="minorEastAsia" w:hAnsiTheme="minorEastAsia" w:eastAsiaTheme="minorEastAsia" w:cstheme="minorEastAsia"/>
                <w:sz w:val="24"/>
                <w:szCs w:val="24"/>
              </w:rPr>
            </w:pPr>
          </w:p>
        </w:tc>
        <w:tc>
          <w:tcPr>
            <w:tcW w:w="806" w:type="dxa"/>
            <w:vAlign w:val="center"/>
          </w:tcPr>
          <w:p w14:paraId="0788F435">
            <w:pPr>
              <w:spacing w:line="440" w:lineRule="exact"/>
              <w:rPr>
                <w:rFonts w:hint="eastAsia" w:asciiTheme="minorEastAsia" w:hAnsiTheme="minorEastAsia" w:eastAsiaTheme="minorEastAsia" w:cstheme="minorEastAsia"/>
                <w:sz w:val="24"/>
                <w:szCs w:val="24"/>
              </w:rPr>
            </w:pPr>
          </w:p>
        </w:tc>
        <w:tc>
          <w:tcPr>
            <w:tcW w:w="806" w:type="dxa"/>
            <w:vAlign w:val="center"/>
          </w:tcPr>
          <w:p w14:paraId="4BFB2EA5">
            <w:pPr>
              <w:spacing w:line="440" w:lineRule="exact"/>
              <w:rPr>
                <w:rFonts w:hint="eastAsia" w:asciiTheme="minorEastAsia" w:hAnsiTheme="minorEastAsia" w:eastAsiaTheme="minorEastAsia" w:cstheme="minorEastAsia"/>
                <w:sz w:val="24"/>
                <w:szCs w:val="24"/>
              </w:rPr>
            </w:pPr>
          </w:p>
        </w:tc>
        <w:tc>
          <w:tcPr>
            <w:tcW w:w="807" w:type="dxa"/>
            <w:vAlign w:val="center"/>
          </w:tcPr>
          <w:p w14:paraId="6CB6B788">
            <w:pPr>
              <w:spacing w:line="440" w:lineRule="exact"/>
              <w:rPr>
                <w:rFonts w:hint="eastAsia" w:asciiTheme="minorEastAsia" w:hAnsiTheme="minorEastAsia" w:eastAsiaTheme="minorEastAsia" w:cstheme="minorEastAsia"/>
                <w:sz w:val="24"/>
                <w:szCs w:val="24"/>
              </w:rPr>
            </w:pPr>
          </w:p>
        </w:tc>
      </w:tr>
      <w:tr w14:paraId="42C42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928" w:type="dxa"/>
            <w:vMerge w:val="continue"/>
            <w:vAlign w:val="center"/>
          </w:tcPr>
          <w:p w14:paraId="06B8C5CA">
            <w:pPr>
              <w:spacing w:line="440" w:lineRule="exact"/>
              <w:jc w:val="center"/>
              <w:rPr>
                <w:rFonts w:hint="eastAsia" w:asciiTheme="minorEastAsia" w:hAnsiTheme="minorEastAsia" w:eastAsiaTheme="minorEastAsia" w:cstheme="minorEastAsia"/>
                <w:sz w:val="24"/>
                <w:szCs w:val="24"/>
              </w:rPr>
            </w:pPr>
          </w:p>
        </w:tc>
        <w:tc>
          <w:tcPr>
            <w:tcW w:w="545" w:type="dxa"/>
            <w:vAlign w:val="center"/>
          </w:tcPr>
          <w:p w14:paraId="79810500">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4"/>
                <w:szCs w:val="24"/>
              </w:rPr>
              <w:t>2</w:t>
            </w:r>
          </w:p>
        </w:tc>
        <w:tc>
          <w:tcPr>
            <w:tcW w:w="4163" w:type="dxa"/>
            <w:vAlign w:val="center"/>
          </w:tcPr>
          <w:p w14:paraId="1F118D1B">
            <w:pPr>
              <w:rPr>
                <w:rFonts w:hint="eastAsia" w:asciiTheme="minorEastAsia" w:hAnsiTheme="minorEastAsia" w:eastAsiaTheme="minorEastAsia" w:cstheme="minorEastAsia"/>
                <w:szCs w:val="21"/>
              </w:rPr>
            </w:pPr>
            <w:r>
              <w:rPr>
                <w:rFonts w:hint="eastAsia" w:ascii="宋体" w:hAnsi="宋体"/>
                <w:sz w:val="24"/>
                <w:szCs w:val="24"/>
                <w:lang w:eastAsia="zh-CN"/>
              </w:rPr>
              <w:t>响应文件</w:t>
            </w:r>
            <w:r>
              <w:rPr>
                <w:rFonts w:hint="eastAsia" w:ascii="宋体" w:hAnsi="宋体"/>
                <w:sz w:val="24"/>
                <w:szCs w:val="24"/>
              </w:rPr>
              <w:t>是否</w:t>
            </w:r>
            <w:r>
              <w:rPr>
                <w:rFonts w:hint="eastAsia" w:ascii="宋体" w:hAnsi="宋体"/>
                <w:sz w:val="24"/>
                <w:szCs w:val="24"/>
                <w:lang w:val="zh-CN"/>
              </w:rPr>
              <w:t>按照磋商文件规定格式完整提供</w:t>
            </w:r>
            <w:r>
              <w:rPr>
                <w:rFonts w:hint="eastAsia" w:ascii="宋体" w:hAnsi="宋体"/>
                <w:sz w:val="24"/>
                <w:szCs w:val="24"/>
              </w:rPr>
              <w:t>；</w:t>
            </w:r>
          </w:p>
        </w:tc>
        <w:tc>
          <w:tcPr>
            <w:tcW w:w="806" w:type="dxa"/>
            <w:vAlign w:val="center"/>
          </w:tcPr>
          <w:p w14:paraId="6B295AC3">
            <w:pPr>
              <w:spacing w:line="440" w:lineRule="exact"/>
              <w:rPr>
                <w:rFonts w:hint="eastAsia" w:asciiTheme="minorEastAsia" w:hAnsiTheme="minorEastAsia" w:eastAsiaTheme="minorEastAsia" w:cstheme="minorEastAsia"/>
                <w:sz w:val="24"/>
                <w:szCs w:val="24"/>
              </w:rPr>
            </w:pPr>
          </w:p>
        </w:tc>
        <w:tc>
          <w:tcPr>
            <w:tcW w:w="806" w:type="dxa"/>
            <w:vAlign w:val="center"/>
          </w:tcPr>
          <w:p w14:paraId="51B38198">
            <w:pPr>
              <w:spacing w:line="440" w:lineRule="exact"/>
              <w:rPr>
                <w:rFonts w:hint="eastAsia" w:asciiTheme="minorEastAsia" w:hAnsiTheme="minorEastAsia" w:eastAsiaTheme="minorEastAsia" w:cstheme="minorEastAsia"/>
                <w:sz w:val="24"/>
                <w:szCs w:val="24"/>
              </w:rPr>
            </w:pPr>
          </w:p>
        </w:tc>
        <w:tc>
          <w:tcPr>
            <w:tcW w:w="806" w:type="dxa"/>
            <w:vAlign w:val="center"/>
          </w:tcPr>
          <w:p w14:paraId="680A21AF">
            <w:pPr>
              <w:spacing w:line="440" w:lineRule="exact"/>
              <w:rPr>
                <w:rFonts w:hint="eastAsia" w:asciiTheme="minorEastAsia" w:hAnsiTheme="minorEastAsia" w:eastAsiaTheme="minorEastAsia" w:cstheme="minorEastAsia"/>
                <w:sz w:val="24"/>
                <w:szCs w:val="24"/>
              </w:rPr>
            </w:pPr>
          </w:p>
        </w:tc>
        <w:tc>
          <w:tcPr>
            <w:tcW w:w="807" w:type="dxa"/>
            <w:vAlign w:val="center"/>
          </w:tcPr>
          <w:p w14:paraId="6BD678E8">
            <w:pPr>
              <w:spacing w:line="440" w:lineRule="exact"/>
              <w:rPr>
                <w:rFonts w:hint="eastAsia" w:asciiTheme="minorEastAsia" w:hAnsiTheme="minorEastAsia" w:eastAsiaTheme="minorEastAsia" w:cstheme="minorEastAsia"/>
                <w:sz w:val="24"/>
                <w:szCs w:val="24"/>
              </w:rPr>
            </w:pPr>
          </w:p>
        </w:tc>
      </w:tr>
      <w:tr w14:paraId="50D5B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928" w:type="dxa"/>
            <w:vMerge w:val="continue"/>
            <w:vAlign w:val="center"/>
          </w:tcPr>
          <w:p w14:paraId="5D1A9C5B">
            <w:pPr>
              <w:spacing w:line="440" w:lineRule="exact"/>
              <w:jc w:val="center"/>
              <w:rPr>
                <w:rFonts w:hint="eastAsia" w:asciiTheme="minorEastAsia" w:hAnsiTheme="minorEastAsia" w:eastAsiaTheme="minorEastAsia" w:cstheme="minorEastAsia"/>
                <w:sz w:val="24"/>
                <w:szCs w:val="24"/>
              </w:rPr>
            </w:pPr>
          </w:p>
        </w:tc>
        <w:tc>
          <w:tcPr>
            <w:tcW w:w="545" w:type="dxa"/>
            <w:vAlign w:val="center"/>
          </w:tcPr>
          <w:p w14:paraId="57EF209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4163" w:type="dxa"/>
            <w:vAlign w:val="center"/>
          </w:tcPr>
          <w:p w14:paraId="382612E0">
            <w:pPr>
              <w:rPr>
                <w:rFonts w:hint="eastAsia" w:asciiTheme="minorEastAsia" w:hAnsiTheme="minorEastAsia" w:eastAsiaTheme="minorEastAsia" w:cstheme="minorEastAsia"/>
                <w:szCs w:val="21"/>
              </w:rPr>
            </w:pPr>
            <w:r>
              <w:rPr>
                <w:rFonts w:hint="eastAsia" w:ascii="宋体" w:hAnsi="宋体"/>
                <w:sz w:val="24"/>
                <w:szCs w:val="24"/>
                <w:lang w:val="zh-CN"/>
              </w:rPr>
              <w:t>响应文件中法定代表人身份证明书是否按磋商文件规定格式完整提供</w:t>
            </w:r>
            <w:r>
              <w:rPr>
                <w:rFonts w:hint="eastAsia" w:ascii="宋体" w:hAnsi="宋体"/>
                <w:sz w:val="24"/>
                <w:szCs w:val="24"/>
              </w:rPr>
              <w:t>；</w:t>
            </w:r>
          </w:p>
        </w:tc>
        <w:tc>
          <w:tcPr>
            <w:tcW w:w="806" w:type="dxa"/>
            <w:vAlign w:val="center"/>
          </w:tcPr>
          <w:p w14:paraId="5DDE92C4">
            <w:pPr>
              <w:spacing w:line="440" w:lineRule="exact"/>
              <w:rPr>
                <w:rFonts w:hint="eastAsia" w:asciiTheme="minorEastAsia" w:hAnsiTheme="minorEastAsia" w:eastAsiaTheme="minorEastAsia" w:cstheme="minorEastAsia"/>
                <w:sz w:val="24"/>
                <w:szCs w:val="24"/>
              </w:rPr>
            </w:pPr>
          </w:p>
        </w:tc>
        <w:tc>
          <w:tcPr>
            <w:tcW w:w="806" w:type="dxa"/>
            <w:vAlign w:val="center"/>
          </w:tcPr>
          <w:p w14:paraId="11217375">
            <w:pPr>
              <w:spacing w:line="440" w:lineRule="exact"/>
              <w:rPr>
                <w:rFonts w:hint="eastAsia" w:asciiTheme="minorEastAsia" w:hAnsiTheme="minorEastAsia" w:eastAsiaTheme="minorEastAsia" w:cstheme="minorEastAsia"/>
                <w:sz w:val="24"/>
                <w:szCs w:val="24"/>
              </w:rPr>
            </w:pPr>
          </w:p>
        </w:tc>
        <w:tc>
          <w:tcPr>
            <w:tcW w:w="806" w:type="dxa"/>
            <w:vAlign w:val="center"/>
          </w:tcPr>
          <w:p w14:paraId="1050DE0C">
            <w:pPr>
              <w:spacing w:line="440" w:lineRule="exact"/>
              <w:rPr>
                <w:rFonts w:hint="eastAsia" w:asciiTheme="minorEastAsia" w:hAnsiTheme="minorEastAsia" w:eastAsiaTheme="minorEastAsia" w:cstheme="minorEastAsia"/>
                <w:sz w:val="24"/>
                <w:szCs w:val="24"/>
              </w:rPr>
            </w:pPr>
          </w:p>
        </w:tc>
        <w:tc>
          <w:tcPr>
            <w:tcW w:w="807" w:type="dxa"/>
            <w:vAlign w:val="center"/>
          </w:tcPr>
          <w:p w14:paraId="50D23773">
            <w:pPr>
              <w:spacing w:line="440" w:lineRule="exact"/>
              <w:rPr>
                <w:rFonts w:hint="eastAsia" w:asciiTheme="minorEastAsia" w:hAnsiTheme="minorEastAsia" w:eastAsiaTheme="minorEastAsia" w:cstheme="minorEastAsia"/>
                <w:sz w:val="24"/>
                <w:szCs w:val="24"/>
              </w:rPr>
            </w:pPr>
          </w:p>
        </w:tc>
      </w:tr>
      <w:tr w14:paraId="7FDB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928" w:type="dxa"/>
            <w:vMerge w:val="continue"/>
            <w:vAlign w:val="center"/>
          </w:tcPr>
          <w:p w14:paraId="303CA448">
            <w:pPr>
              <w:spacing w:line="440" w:lineRule="exact"/>
              <w:jc w:val="center"/>
              <w:rPr>
                <w:rFonts w:hint="eastAsia" w:asciiTheme="minorEastAsia" w:hAnsiTheme="minorEastAsia" w:eastAsiaTheme="minorEastAsia" w:cstheme="minorEastAsia"/>
                <w:sz w:val="24"/>
                <w:szCs w:val="24"/>
              </w:rPr>
            </w:pPr>
          </w:p>
        </w:tc>
        <w:tc>
          <w:tcPr>
            <w:tcW w:w="545" w:type="dxa"/>
            <w:vAlign w:val="center"/>
          </w:tcPr>
          <w:p w14:paraId="0E70EB8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4163" w:type="dxa"/>
            <w:vAlign w:val="center"/>
          </w:tcPr>
          <w:p w14:paraId="4702F75D">
            <w:pPr>
              <w:rPr>
                <w:rFonts w:hint="eastAsia" w:asciiTheme="minorEastAsia" w:hAnsiTheme="minorEastAsia" w:eastAsiaTheme="minorEastAsia" w:cstheme="minorEastAsia"/>
                <w:szCs w:val="21"/>
              </w:rPr>
            </w:pPr>
            <w:r>
              <w:rPr>
                <w:rFonts w:hint="eastAsia" w:ascii="宋体" w:hAnsi="宋体"/>
                <w:sz w:val="24"/>
                <w:szCs w:val="24"/>
                <w:lang w:val="zh-CN"/>
              </w:rPr>
              <w:t>响应文件中法定代表人授权委托书是否按磋商文件规定格式完整提供</w:t>
            </w:r>
            <w:r>
              <w:rPr>
                <w:rFonts w:hint="eastAsia" w:ascii="宋体" w:hAnsi="宋体"/>
                <w:sz w:val="24"/>
                <w:szCs w:val="24"/>
              </w:rPr>
              <w:t>；</w:t>
            </w:r>
          </w:p>
        </w:tc>
        <w:tc>
          <w:tcPr>
            <w:tcW w:w="806" w:type="dxa"/>
            <w:vAlign w:val="center"/>
          </w:tcPr>
          <w:p w14:paraId="5054A85C">
            <w:pPr>
              <w:spacing w:line="440" w:lineRule="exact"/>
              <w:rPr>
                <w:rFonts w:hint="eastAsia" w:asciiTheme="minorEastAsia" w:hAnsiTheme="minorEastAsia" w:eastAsiaTheme="minorEastAsia" w:cstheme="minorEastAsia"/>
                <w:sz w:val="24"/>
                <w:szCs w:val="24"/>
              </w:rPr>
            </w:pPr>
          </w:p>
        </w:tc>
        <w:tc>
          <w:tcPr>
            <w:tcW w:w="806" w:type="dxa"/>
            <w:vAlign w:val="center"/>
          </w:tcPr>
          <w:p w14:paraId="02AD08D9">
            <w:pPr>
              <w:spacing w:line="440" w:lineRule="exact"/>
              <w:rPr>
                <w:rFonts w:hint="eastAsia" w:asciiTheme="minorEastAsia" w:hAnsiTheme="minorEastAsia" w:eastAsiaTheme="minorEastAsia" w:cstheme="minorEastAsia"/>
                <w:sz w:val="24"/>
                <w:szCs w:val="24"/>
              </w:rPr>
            </w:pPr>
          </w:p>
        </w:tc>
        <w:tc>
          <w:tcPr>
            <w:tcW w:w="806" w:type="dxa"/>
            <w:vAlign w:val="center"/>
          </w:tcPr>
          <w:p w14:paraId="1FC62813">
            <w:pPr>
              <w:spacing w:line="440" w:lineRule="exact"/>
              <w:rPr>
                <w:rFonts w:hint="eastAsia" w:asciiTheme="minorEastAsia" w:hAnsiTheme="minorEastAsia" w:eastAsiaTheme="minorEastAsia" w:cstheme="minorEastAsia"/>
                <w:sz w:val="24"/>
                <w:szCs w:val="24"/>
              </w:rPr>
            </w:pPr>
          </w:p>
        </w:tc>
        <w:tc>
          <w:tcPr>
            <w:tcW w:w="807" w:type="dxa"/>
            <w:vAlign w:val="center"/>
          </w:tcPr>
          <w:p w14:paraId="7FEE4391">
            <w:pPr>
              <w:spacing w:line="440" w:lineRule="exact"/>
              <w:rPr>
                <w:rFonts w:hint="eastAsia" w:asciiTheme="minorEastAsia" w:hAnsiTheme="minorEastAsia" w:eastAsiaTheme="minorEastAsia" w:cstheme="minorEastAsia"/>
                <w:sz w:val="24"/>
                <w:szCs w:val="24"/>
              </w:rPr>
            </w:pPr>
          </w:p>
        </w:tc>
      </w:tr>
      <w:tr w14:paraId="276C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928" w:type="dxa"/>
            <w:vMerge w:val="continue"/>
            <w:vAlign w:val="center"/>
          </w:tcPr>
          <w:p w14:paraId="37111451">
            <w:pPr>
              <w:spacing w:line="440" w:lineRule="exact"/>
              <w:jc w:val="center"/>
              <w:rPr>
                <w:rFonts w:hint="eastAsia" w:asciiTheme="minorEastAsia" w:hAnsiTheme="minorEastAsia" w:eastAsiaTheme="minorEastAsia" w:cstheme="minorEastAsia"/>
                <w:sz w:val="24"/>
                <w:szCs w:val="24"/>
              </w:rPr>
            </w:pPr>
          </w:p>
        </w:tc>
        <w:tc>
          <w:tcPr>
            <w:tcW w:w="545" w:type="dxa"/>
            <w:vAlign w:val="center"/>
          </w:tcPr>
          <w:p w14:paraId="26438E5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4163" w:type="dxa"/>
            <w:vAlign w:val="center"/>
          </w:tcPr>
          <w:p w14:paraId="22041F95">
            <w:pPr>
              <w:rPr>
                <w:rFonts w:hint="eastAsia" w:asciiTheme="minorEastAsia" w:hAnsiTheme="minorEastAsia" w:eastAsiaTheme="minorEastAsia" w:cstheme="minorEastAsia"/>
                <w:szCs w:val="21"/>
              </w:rPr>
            </w:pPr>
            <w:r>
              <w:rPr>
                <w:rFonts w:hint="eastAsia" w:ascii="宋体" w:hAnsi="宋体"/>
                <w:sz w:val="24"/>
                <w:szCs w:val="24"/>
                <w:lang w:eastAsia="zh-CN"/>
              </w:rPr>
              <w:t>响应文件</w:t>
            </w:r>
            <w:r>
              <w:rPr>
                <w:rFonts w:hint="eastAsia" w:ascii="宋体" w:hAnsi="宋体"/>
                <w:sz w:val="24"/>
                <w:szCs w:val="24"/>
              </w:rPr>
              <w:t>是否按</w:t>
            </w:r>
            <w:r>
              <w:rPr>
                <w:rFonts w:hint="eastAsia" w:ascii="宋体" w:hAnsi="宋体"/>
                <w:sz w:val="24"/>
                <w:szCs w:val="24"/>
                <w:lang w:eastAsia="zh-CN"/>
              </w:rPr>
              <w:t>磋商文件</w:t>
            </w:r>
            <w:r>
              <w:rPr>
                <w:rFonts w:hint="eastAsia" w:ascii="宋体" w:hAnsi="宋体"/>
                <w:sz w:val="24"/>
                <w:szCs w:val="24"/>
              </w:rPr>
              <w:t>要求签字或盖章；</w:t>
            </w:r>
          </w:p>
        </w:tc>
        <w:tc>
          <w:tcPr>
            <w:tcW w:w="806" w:type="dxa"/>
            <w:vAlign w:val="center"/>
          </w:tcPr>
          <w:p w14:paraId="46F6B93D">
            <w:pPr>
              <w:spacing w:line="440" w:lineRule="exact"/>
              <w:rPr>
                <w:rFonts w:hint="eastAsia" w:asciiTheme="minorEastAsia" w:hAnsiTheme="minorEastAsia" w:eastAsiaTheme="minorEastAsia" w:cstheme="minorEastAsia"/>
                <w:sz w:val="24"/>
                <w:szCs w:val="24"/>
              </w:rPr>
            </w:pPr>
          </w:p>
        </w:tc>
        <w:tc>
          <w:tcPr>
            <w:tcW w:w="806" w:type="dxa"/>
            <w:vAlign w:val="center"/>
          </w:tcPr>
          <w:p w14:paraId="435A36EC">
            <w:pPr>
              <w:spacing w:line="440" w:lineRule="exact"/>
              <w:rPr>
                <w:rFonts w:hint="eastAsia" w:asciiTheme="minorEastAsia" w:hAnsiTheme="minorEastAsia" w:eastAsiaTheme="minorEastAsia" w:cstheme="minorEastAsia"/>
                <w:sz w:val="24"/>
                <w:szCs w:val="24"/>
              </w:rPr>
            </w:pPr>
          </w:p>
        </w:tc>
        <w:tc>
          <w:tcPr>
            <w:tcW w:w="806" w:type="dxa"/>
            <w:vAlign w:val="center"/>
          </w:tcPr>
          <w:p w14:paraId="7CE4CE5D">
            <w:pPr>
              <w:spacing w:line="440" w:lineRule="exact"/>
              <w:rPr>
                <w:rFonts w:hint="eastAsia" w:asciiTheme="minorEastAsia" w:hAnsiTheme="minorEastAsia" w:eastAsiaTheme="minorEastAsia" w:cstheme="minorEastAsia"/>
                <w:sz w:val="24"/>
                <w:szCs w:val="24"/>
              </w:rPr>
            </w:pPr>
          </w:p>
        </w:tc>
        <w:tc>
          <w:tcPr>
            <w:tcW w:w="807" w:type="dxa"/>
            <w:vAlign w:val="center"/>
          </w:tcPr>
          <w:p w14:paraId="1A9DDD82">
            <w:pPr>
              <w:spacing w:line="440" w:lineRule="exact"/>
              <w:rPr>
                <w:rFonts w:hint="eastAsia" w:asciiTheme="minorEastAsia" w:hAnsiTheme="minorEastAsia" w:eastAsiaTheme="minorEastAsia" w:cstheme="minorEastAsia"/>
                <w:sz w:val="24"/>
                <w:szCs w:val="24"/>
              </w:rPr>
            </w:pPr>
          </w:p>
        </w:tc>
      </w:tr>
      <w:tr w14:paraId="67EB3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28" w:type="dxa"/>
            <w:vMerge w:val="continue"/>
            <w:vAlign w:val="center"/>
          </w:tcPr>
          <w:p w14:paraId="3875294C">
            <w:pPr>
              <w:spacing w:line="440" w:lineRule="exact"/>
              <w:jc w:val="center"/>
              <w:rPr>
                <w:rFonts w:hint="eastAsia" w:asciiTheme="minorEastAsia" w:hAnsiTheme="minorEastAsia" w:eastAsiaTheme="minorEastAsia" w:cstheme="minorEastAsia"/>
                <w:sz w:val="24"/>
                <w:szCs w:val="24"/>
              </w:rPr>
            </w:pPr>
          </w:p>
        </w:tc>
        <w:tc>
          <w:tcPr>
            <w:tcW w:w="545" w:type="dxa"/>
            <w:vAlign w:val="center"/>
          </w:tcPr>
          <w:p w14:paraId="52A8CE2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4163" w:type="dxa"/>
            <w:vAlign w:val="center"/>
          </w:tcPr>
          <w:p w14:paraId="22417876">
            <w:pPr>
              <w:rPr>
                <w:rFonts w:hint="eastAsia" w:asciiTheme="minorEastAsia" w:hAnsiTheme="minorEastAsia" w:eastAsiaTheme="minorEastAsia" w:cstheme="minorEastAsia"/>
                <w:szCs w:val="21"/>
              </w:rPr>
            </w:pPr>
            <w:r>
              <w:rPr>
                <w:rFonts w:hint="eastAsia" w:ascii="宋体" w:hAnsi="宋体"/>
                <w:sz w:val="24"/>
                <w:szCs w:val="24"/>
              </w:rPr>
              <w:t>投标保证金的缴纳主体是否与供应商一致、提供投标担保符合</w:t>
            </w:r>
            <w:r>
              <w:rPr>
                <w:rFonts w:hint="eastAsia" w:ascii="宋体" w:hAnsi="宋体"/>
                <w:sz w:val="24"/>
                <w:szCs w:val="24"/>
                <w:lang w:eastAsia="zh-CN"/>
              </w:rPr>
              <w:t>磋商文件</w:t>
            </w:r>
            <w:r>
              <w:rPr>
                <w:rFonts w:hint="eastAsia" w:ascii="宋体" w:hAnsi="宋体"/>
                <w:sz w:val="24"/>
                <w:szCs w:val="24"/>
              </w:rPr>
              <w:t>要求；</w:t>
            </w:r>
          </w:p>
        </w:tc>
        <w:tc>
          <w:tcPr>
            <w:tcW w:w="806" w:type="dxa"/>
            <w:vAlign w:val="center"/>
          </w:tcPr>
          <w:p w14:paraId="49FDE8BA">
            <w:pPr>
              <w:spacing w:line="440" w:lineRule="exact"/>
              <w:rPr>
                <w:rFonts w:hint="eastAsia" w:asciiTheme="minorEastAsia" w:hAnsiTheme="minorEastAsia" w:eastAsiaTheme="minorEastAsia" w:cstheme="minorEastAsia"/>
                <w:sz w:val="24"/>
                <w:szCs w:val="24"/>
              </w:rPr>
            </w:pPr>
          </w:p>
        </w:tc>
        <w:tc>
          <w:tcPr>
            <w:tcW w:w="806" w:type="dxa"/>
            <w:vAlign w:val="center"/>
          </w:tcPr>
          <w:p w14:paraId="7F966A0D">
            <w:pPr>
              <w:spacing w:line="440" w:lineRule="exact"/>
              <w:rPr>
                <w:rFonts w:hint="eastAsia" w:asciiTheme="minorEastAsia" w:hAnsiTheme="minorEastAsia" w:eastAsiaTheme="minorEastAsia" w:cstheme="minorEastAsia"/>
                <w:sz w:val="24"/>
                <w:szCs w:val="24"/>
              </w:rPr>
            </w:pPr>
          </w:p>
        </w:tc>
        <w:tc>
          <w:tcPr>
            <w:tcW w:w="806" w:type="dxa"/>
            <w:vAlign w:val="center"/>
          </w:tcPr>
          <w:p w14:paraId="7860E7B6">
            <w:pPr>
              <w:spacing w:line="440" w:lineRule="exact"/>
              <w:rPr>
                <w:rFonts w:hint="eastAsia" w:asciiTheme="minorEastAsia" w:hAnsiTheme="minorEastAsia" w:eastAsiaTheme="minorEastAsia" w:cstheme="minorEastAsia"/>
                <w:sz w:val="24"/>
                <w:szCs w:val="24"/>
              </w:rPr>
            </w:pPr>
          </w:p>
        </w:tc>
        <w:tc>
          <w:tcPr>
            <w:tcW w:w="807" w:type="dxa"/>
            <w:vAlign w:val="center"/>
          </w:tcPr>
          <w:p w14:paraId="77B1991A">
            <w:pPr>
              <w:spacing w:line="440" w:lineRule="exact"/>
              <w:rPr>
                <w:rFonts w:hint="eastAsia" w:asciiTheme="minorEastAsia" w:hAnsiTheme="minorEastAsia" w:eastAsiaTheme="minorEastAsia" w:cstheme="minorEastAsia"/>
                <w:sz w:val="24"/>
                <w:szCs w:val="24"/>
              </w:rPr>
            </w:pPr>
          </w:p>
        </w:tc>
      </w:tr>
      <w:tr w14:paraId="474D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928" w:type="dxa"/>
            <w:vMerge w:val="continue"/>
            <w:vAlign w:val="center"/>
          </w:tcPr>
          <w:p w14:paraId="261470C0">
            <w:pPr>
              <w:spacing w:line="440" w:lineRule="exact"/>
              <w:jc w:val="center"/>
              <w:rPr>
                <w:rFonts w:hint="eastAsia" w:asciiTheme="minorEastAsia" w:hAnsiTheme="minorEastAsia" w:eastAsiaTheme="minorEastAsia" w:cstheme="minorEastAsia"/>
                <w:sz w:val="24"/>
                <w:szCs w:val="24"/>
              </w:rPr>
            </w:pPr>
          </w:p>
        </w:tc>
        <w:tc>
          <w:tcPr>
            <w:tcW w:w="545" w:type="dxa"/>
            <w:vAlign w:val="center"/>
          </w:tcPr>
          <w:p w14:paraId="7D52EC7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4163" w:type="dxa"/>
            <w:vAlign w:val="center"/>
          </w:tcPr>
          <w:p w14:paraId="6265D897">
            <w:pPr>
              <w:rPr>
                <w:rFonts w:hint="eastAsia" w:asciiTheme="minorEastAsia" w:hAnsiTheme="minorEastAsia" w:eastAsiaTheme="minorEastAsia" w:cstheme="minorEastAsia"/>
                <w:szCs w:val="21"/>
              </w:rPr>
            </w:pPr>
            <w:r>
              <w:rPr>
                <w:rFonts w:hint="eastAsia" w:ascii="宋体" w:hAnsi="宋体"/>
                <w:sz w:val="24"/>
                <w:szCs w:val="24"/>
                <w:lang w:eastAsia="zh-CN"/>
              </w:rPr>
              <w:t>响应文件</w:t>
            </w:r>
            <w:r>
              <w:rPr>
                <w:rFonts w:hint="eastAsia" w:ascii="宋体" w:hAnsi="宋体"/>
                <w:sz w:val="24"/>
                <w:szCs w:val="24"/>
              </w:rPr>
              <w:t>的</w:t>
            </w:r>
            <w:r>
              <w:rPr>
                <w:rFonts w:hint="eastAsia" w:ascii="宋体" w:hAnsi="宋体"/>
                <w:sz w:val="24"/>
                <w:szCs w:val="24"/>
                <w:lang w:eastAsia="zh-CN"/>
              </w:rPr>
              <w:t>服务期限</w:t>
            </w:r>
            <w:r>
              <w:rPr>
                <w:rFonts w:hint="eastAsia" w:ascii="宋体" w:hAnsi="宋体"/>
                <w:sz w:val="24"/>
                <w:szCs w:val="24"/>
              </w:rPr>
              <w:t>是否满足</w:t>
            </w:r>
            <w:r>
              <w:rPr>
                <w:rFonts w:hint="eastAsia" w:ascii="宋体" w:hAnsi="宋体"/>
                <w:sz w:val="24"/>
                <w:szCs w:val="24"/>
                <w:lang w:eastAsia="zh-CN"/>
              </w:rPr>
              <w:t>磋商文件</w:t>
            </w:r>
            <w:r>
              <w:rPr>
                <w:rFonts w:hint="eastAsia" w:ascii="宋体" w:hAnsi="宋体"/>
                <w:sz w:val="24"/>
                <w:szCs w:val="24"/>
              </w:rPr>
              <w:t>规定期限；</w:t>
            </w:r>
          </w:p>
        </w:tc>
        <w:tc>
          <w:tcPr>
            <w:tcW w:w="806" w:type="dxa"/>
            <w:vAlign w:val="center"/>
          </w:tcPr>
          <w:p w14:paraId="6BC092E0">
            <w:pPr>
              <w:spacing w:line="440" w:lineRule="exact"/>
              <w:rPr>
                <w:rFonts w:hint="eastAsia" w:asciiTheme="minorEastAsia" w:hAnsiTheme="minorEastAsia" w:eastAsiaTheme="minorEastAsia" w:cstheme="minorEastAsia"/>
                <w:sz w:val="24"/>
                <w:szCs w:val="24"/>
              </w:rPr>
            </w:pPr>
          </w:p>
        </w:tc>
        <w:tc>
          <w:tcPr>
            <w:tcW w:w="806" w:type="dxa"/>
            <w:vAlign w:val="center"/>
          </w:tcPr>
          <w:p w14:paraId="7EAC7125">
            <w:pPr>
              <w:spacing w:line="440" w:lineRule="exact"/>
              <w:rPr>
                <w:rFonts w:hint="eastAsia" w:asciiTheme="minorEastAsia" w:hAnsiTheme="minorEastAsia" w:eastAsiaTheme="minorEastAsia" w:cstheme="minorEastAsia"/>
                <w:sz w:val="24"/>
                <w:szCs w:val="24"/>
              </w:rPr>
            </w:pPr>
          </w:p>
        </w:tc>
        <w:tc>
          <w:tcPr>
            <w:tcW w:w="806" w:type="dxa"/>
            <w:vAlign w:val="center"/>
          </w:tcPr>
          <w:p w14:paraId="17DAE813">
            <w:pPr>
              <w:spacing w:line="440" w:lineRule="exact"/>
              <w:rPr>
                <w:rFonts w:hint="eastAsia" w:asciiTheme="minorEastAsia" w:hAnsiTheme="minorEastAsia" w:eastAsiaTheme="minorEastAsia" w:cstheme="minorEastAsia"/>
                <w:sz w:val="24"/>
                <w:szCs w:val="24"/>
              </w:rPr>
            </w:pPr>
          </w:p>
        </w:tc>
        <w:tc>
          <w:tcPr>
            <w:tcW w:w="807" w:type="dxa"/>
            <w:vAlign w:val="center"/>
          </w:tcPr>
          <w:p w14:paraId="44D5FF64">
            <w:pPr>
              <w:spacing w:line="440" w:lineRule="exact"/>
              <w:rPr>
                <w:rFonts w:hint="eastAsia" w:asciiTheme="minorEastAsia" w:hAnsiTheme="minorEastAsia" w:eastAsiaTheme="minorEastAsia" w:cstheme="minorEastAsia"/>
                <w:sz w:val="24"/>
                <w:szCs w:val="24"/>
              </w:rPr>
            </w:pPr>
          </w:p>
        </w:tc>
      </w:tr>
      <w:tr w14:paraId="79E0C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928" w:type="dxa"/>
            <w:vMerge w:val="continue"/>
            <w:vAlign w:val="center"/>
          </w:tcPr>
          <w:p w14:paraId="204B06B2">
            <w:pPr>
              <w:spacing w:line="440" w:lineRule="exact"/>
              <w:jc w:val="center"/>
              <w:rPr>
                <w:rFonts w:hint="eastAsia" w:asciiTheme="minorEastAsia" w:hAnsiTheme="minorEastAsia" w:eastAsiaTheme="minorEastAsia" w:cstheme="minorEastAsia"/>
                <w:sz w:val="24"/>
                <w:szCs w:val="24"/>
              </w:rPr>
            </w:pPr>
          </w:p>
        </w:tc>
        <w:tc>
          <w:tcPr>
            <w:tcW w:w="545" w:type="dxa"/>
            <w:vAlign w:val="center"/>
          </w:tcPr>
          <w:p w14:paraId="0BCC47E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4163" w:type="dxa"/>
            <w:vAlign w:val="center"/>
          </w:tcPr>
          <w:p w14:paraId="1D6FC7C6">
            <w:pPr>
              <w:rPr>
                <w:rFonts w:hint="eastAsia" w:asciiTheme="minorEastAsia" w:hAnsiTheme="minorEastAsia" w:eastAsiaTheme="minorEastAsia" w:cstheme="minorEastAsia"/>
                <w:szCs w:val="21"/>
              </w:rPr>
            </w:pPr>
            <w:r>
              <w:rPr>
                <w:rFonts w:hint="eastAsia" w:ascii="宋体" w:hAnsi="宋体"/>
                <w:sz w:val="24"/>
                <w:szCs w:val="24"/>
              </w:rPr>
              <w:t>投标有效期是否满足</w:t>
            </w:r>
            <w:r>
              <w:rPr>
                <w:rFonts w:hint="eastAsia" w:ascii="宋体" w:hAnsi="宋体"/>
                <w:sz w:val="24"/>
                <w:szCs w:val="24"/>
                <w:lang w:eastAsia="zh-CN"/>
              </w:rPr>
              <w:t>磋商文件</w:t>
            </w:r>
            <w:r>
              <w:rPr>
                <w:rFonts w:hint="eastAsia" w:ascii="宋体" w:hAnsi="宋体"/>
                <w:sz w:val="24"/>
                <w:szCs w:val="24"/>
              </w:rPr>
              <w:t>要求的；</w:t>
            </w:r>
          </w:p>
        </w:tc>
        <w:tc>
          <w:tcPr>
            <w:tcW w:w="806" w:type="dxa"/>
            <w:vAlign w:val="center"/>
          </w:tcPr>
          <w:p w14:paraId="0151098A">
            <w:pPr>
              <w:spacing w:line="440" w:lineRule="exact"/>
              <w:rPr>
                <w:rFonts w:hint="eastAsia" w:asciiTheme="minorEastAsia" w:hAnsiTheme="minorEastAsia" w:eastAsiaTheme="minorEastAsia" w:cstheme="minorEastAsia"/>
                <w:sz w:val="24"/>
                <w:szCs w:val="24"/>
              </w:rPr>
            </w:pPr>
          </w:p>
        </w:tc>
        <w:tc>
          <w:tcPr>
            <w:tcW w:w="806" w:type="dxa"/>
            <w:vAlign w:val="center"/>
          </w:tcPr>
          <w:p w14:paraId="0E63D993">
            <w:pPr>
              <w:spacing w:line="440" w:lineRule="exact"/>
              <w:rPr>
                <w:rFonts w:hint="eastAsia" w:asciiTheme="minorEastAsia" w:hAnsiTheme="minorEastAsia" w:eastAsiaTheme="minorEastAsia" w:cstheme="minorEastAsia"/>
                <w:sz w:val="24"/>
                <w:szCs w:val="24"/>
              </w:rPr>
            </w:pPr>
          </w:p>
        </w:tc>
        <w:tc>
          <w:tcPr>
            <w:tcW w:w="806" w:type="dxa"/>
            <w:vAlign w:val="center"/>
          </w:tcPr>
          <w:p w14:paraId="7FD8606C">
            <w:pPr>
              <w:spacing w:line="440" w:lineRule="exact"/>
              <w:rPr>
                <w:rFonts w:hint="eastAsia" w:asciiTheme="minorEastAsia" w:hAnsiTheme="minorEastAsia" w:eastAsiaTheme="minorEastAsia" w:cstheme="minorEastAsia"/>
                <w:sz w:val="24"/>
                <w:szCs w:val="24"/>
              </w:rPr>
            </w:pPr>
          </w:p>
        </w:tc>
        <w:tc>
          <w:tcPr>
            <w:tcW w:w="807" w:type="dxa"/>
            <w:vAlign w:val="center"/>
          </w:tcPr>
          <w:p w14:paraId="5A84079C">
            <w:pPr>
              <w:spacing w:line="440" w:lineRule="exact"/>
              <w:rPr>
                <w:rFonts w:hint="eastAsia" w:asciiTheme="minorEastAsia" w:hAnsiTheme="minorEastAsia" w:eastAsiaTheme="minorEastAsia" w:cstheme="minorEastAsia"/>
                <w:sz w:val="24"/>
                <w:szCs w:val="24"/>
              </w:rPr>
            </w:pPr>
          </w:p>
        </w:tc>
      </w:tr>
      <w:tr w14:paraId="11867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928" w:type="dxa"/>
            <w:vMerge w:val="continue"/>
            <w:vAlign w:val="center"/>
          </w:tcPr>
          <w:p w14:paraId="17C1C2B9">
            <w:pPr>
              <w:spacing w:line="440" w:lineRule="exact"/>
              <w:jc w:val="center"/>
              <w:rPr>
                <w:rFonts w:hint="eastAsia" w:asciiTheme="minorEastAsia" w:hAnsiTheme="minorEastAsia" w:eastAsiaTheme="minorEastAsia" w:cstheme="minorEastAsia"/>
                <w:sz w:val="24"/>
                <w:szCs w:val="24"/>
              </w:rPr>
            </w:pPr>
          </w:p>
        </w:tc>
        <w:tc>
          <w:tcPr>
            <w:tcW w:w="545" w:type="dxa"/>
            <w:vAlign w:val="center"/>
          </w:tcPr>
          <w:p w14:paraId="311BBE2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4163" w:type="dxa"/>
            <w:vAlign w:val="center"/>
          </w:tcPr>
          <w:p w14:paraId="562063E3">
            <w:pPr>
              <w:rPr>
                <w:rFonts w:hint="eastAsia" w:asciiTheme="minorEastAsia" w:hAnsiTheme="minorEastAsia" w:eastAsiaTheme="minorEastAsia" w:cstheme="minorEastAsia"/>
                <w:szCs w:val="21"/>
              </w:rPr>
            </w:pPr>
            <w:r>
              <w:rPr>
                <w:rFonts w:hint="eastAsia" w:ascii="宋体" w:hAnsi="宋体"/>
                <w:sz w:val="24"/>
                <w:szCs w:val="24"/>
                <w:lang w:eastAsia="zh-CN"/>
              </w:rPr>
              <w:t>响应文件</w:t>
            </w:r>
            <w:r>
              <w:rPr>
                <w:rFonts w:hint="eastAsia" w:ascii="宋体" w:hAnsi="宋体"/>
                <w:sz w:val="24"/>
                <w:szCs w:val="24"/>
              </w:rPr>
              <w:t>是否附有采购人不能接受的条件；</w:t>
            </w:r>
          </w:p>
        </w:tc>
        <w:tc>
          <w:tcPr>
            <w:tcW w:w="806" w:type="dxa"/>
            <w:vAlign w:val="center"/>
          </w:tcPr>
          <w:p w14:paraId="618E1925">
            <w:pPr>
              <w:spacing w:line="440" w:lineRule="exact"/>
              <w:rPr>
                <w:rFonts w:hint="eastAsia" w:asciiTheme="minorEastAsia" w:hAnsiTheme="minorEastAsia" w:eastAsiaTheme="minorEastAsia" w:cstheme="minorEastAsia"/>
                <w:sz w:val="24"/>
                <w:szCs w:val="24"/>
              </w:rPr>
            </w:pPr>
          </w:p>
        </w:tc>
        <w:tc>
          <w:tcPr>
            <w:tcW w:w="806" w:type="dxa"/>
            <w:vAlign w:val="center"/>
          </w:tcPr>
          <w:p w14:paraId="22C1B1DB">
            <w:pPr>
              <w:spacing w:line="440" w:lineRule="exact"/>
              <w:rPr>
                <w:rFonts w:hint="eastAsia" w:asciiTheme="minorEastAsia" w:hAnsiTheme="minorEastAsia" w:eastAsiaTheme="minorEastAsia" w:cstheme="minorEastAsia"/>
                <w:sz w:val="24"/>
                <w:szCs w:val="24"/>
              </w:rPr>
            </w:pPr>
          </w:p>
        </w:tc>
        <w:tc>
          <w:tcPr>
            <w:tcW w:w="806" w:type="dxa"/>
            <w:vAlign w:val="center"/>
          </w:tcPr>
          <w:p w14:paraId="62376BE3">
            <w:pPr>
              <w:spacing w:line="440" w:lineRule="exact"/>
              <w:rPr>
                <w:rFonts w:hint="eastAsia" w:asciiTheme="minorEastAsia" w:hAnsiTheme="minorEastAsia" w:eastAsiaTheme="minorEastAsia" w:cstheme="minorEastAsia"/>
                <w:sz w:val="24"/>
                <w:szCs w:val="24"/>
              </w:rPr>
            </w:pPr>
          </w:p>
        </w:tc>
        <w:tc>
          <w:tcPr>
            <w:tcW w:w="807" w:type="dxa"/>
            <w:vAlign w:val="center"/>
          </w:tcPr>
          <w:p w14:paraId="4B2DCDD2">
            <w:pPr>
              <w:spacing w:line="440" w:lineRule="exact"/>
              <w:rPr>
                <w:rFonts w:hint="eastAsia" w:asciiTheme="minorEastAsia" w:hAnsiTheme="minorEastAsia" w:eastAsiaTheme="minorEastAsia" w:cstheme="minorEastAsia"/>
                <w:sz w:val="24"/>
                <w:szCs w:val="24"/>
              </w:rPr>
            </w:pPr>
          </w:p>
        </w:tc>
      </w:tr>
      <w:tr w14:paraId="4F83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28" w:type="dxa"/>
            <w:vMerge w:val="continue"/>
            <w:vAlign w:val="center"/>
          </w:tcPr>
          <w:p w14:paraId="54732D3F">
            <w:pPr>
              <w:spacing w:line="440" w:lineRule="exact"/>
              <w:jc w:val="center"/>
              <w:rPr>
                <w:rFonts w:hint="eastAsia" w:asciiTheme="minorEastAsia" w:hAnsiTheme="minorEastAsia" w:eastAsiaTheme="minorEastAsia" w:cstheme="minorEastAsia"/>
                <w:sz w:val="24"/>
                <w:szCs w:val="24"/>
              </w:rPr>
            </w:pPr>
          </w:p>
        </w:tc>
        <w:tc>
          <w:tcPr>
            <w:tcW w:w="545" w:type="dxa"/>
            <w:vAlign w:val="center"/>
          </w:tcPr>
          <w:p w14:paraId="40EDFCB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4163" w:type="dxa"/>
            <w:vAlign w:val="center"/>
          </w:tcPr>
          <w:p w14:paraId="45ABEBA3">
            <w:pPr>
              <w:rPr>
                <w:rFonts w:hint="eastAsia" w:asciiTheme="minorEastAsia" w:hAnsiTheme="minorEastAsia" w:eastAsiaTheme="minorEastAsia" w:cstheme="minorEastAsia"/>
                <w:szCs w:val="21"/>
              </w:rPr>
            </w:pPr>
            <w:r>
              <w:rPr>
                <w:rFonts w:hint="eastAsia" w:ascii="宋体" w:hAnsi="宋体"/>
                <w:sz w:val="24"/>
                <w:szCs w:val="24"/>
              </w:rPr>
              <w:t>是否满足</w:t>
            </w:r>
            <w:r>
              <w:rPr>
                <w:rFonts w:hint="eastAsia" w:ascii="宋体" w:hAnsi="宋体"/>
                <w:sz w:val="24"/>
                <w:szCs w:val="24"/>
                <w:lang w:eastAsia="zh-CN"/>
              </w:rPr>
              <w:t>磋商文件</w:t>
            </w:r>
            <w:r>
              <w:rPr>
                <w:rFonts w:hint="eastAsia" w:ascii="宋体" w:hAnsi="宋体"/>
                <w:sz w:val="24"/>
                <w:szCs w:val="24"/>
              </w:rPr>
              <w:t>实质性要求的其他情形。</w:t>
            </w:r>
          </w:p>
        </w:tc>
        <w:tc>
          <w:tcPr>
            <w:tcW w:w="806" w:type="dxa"/>
            <w:vAlign w:val="center"/>
          </w:tcPr>
          <w:p w14:paraId="1573E93A">
            <w:pPr>
              <w:spacing w:line="440" w:lineRule="exact"/>
              <w:rPr>
                <w:rFonts w:hint="eastAsia" w:asciiTheme="minorEastAsia" w:hAnsiTheme="minorEastAsia" w:eastAsiaTheme="minorEastAsia" w:cstheme="minorEastAsia"/>
                <w:sz w:val="24"/>
                <w:szCs w:val="24"/>
              </w:rPr>
            </w:pPr>
          </w:p>
        </w:tc>
        <w:tc>
          <w:tcPr>
            <w:tcW w:w="806" w:type="dxa"/>
            <w:vAlign w:val="center"/>
          </w:tcPr>
          <w:p w14:paraId="73466898">
            <w:pPr>
              <w:spacing w:line="440" w:lineRule="exact"/>
              <w:rPr>
                <w:rFonts w:hint="eastAsia" w:asciiTheme="minorEastAsia" w:hAnsiTheme="minorEastAsia" w:eastAsiaTheme="minorEastAsia" w:cstheme="minorEastAsia"/>
                <w:sz w:val="24"/>
                <w:szCs w:val="24"/>
              </w:rPr>
            </w:pPr>
          </w:p>
        </w:tc>
        <w:tc>
          <w:tcPr>
            <w:tcW w:w="806" w:type="dxa"/>
            <w:vAlign w:val="center"/>
          </w:tcPr>
          <w:p w14:paraId="76E4795A">
            <w:pPr>
              <w:spacing w:line="440" w:lineRule="exact"/>
              <w:rPr>
                <w:rFonts w:hint="eastAsia" w:asciiTheme="minorEastAsia" w:hAnsiTheme="minorEastAsia" w:eastAsiaTheme="minorEastAsia" w:cstheme="minorEastAsia"/>
                <w:sz w:val="24"/>
                <w:szCs w:val="24"/>
              </w:rPr>
            </w:pPr>
          </w:p>
        </w:tc>
        <w:tc>
          <w:tcPr>
            <w:tcW w:w="807" w:type="dxa"/>
            <w:vAlign w:val="center"/>
          </w:tcPr>
          <w:p w14:paraId="55259234">
            <w:pPr>
              <w:spacing w:line="440" w:lineRule="exact"/>
              <w:rPr>
                <w:rFonts w:hint="eastAsia" w:asciiTheme="minorEastAsia" w:hAnsiTheme="minorEastAsia" w:eastAsiaTheme="minorEastAsia" w:cstheme="minorEastAsia"/>
                <w:sz w:val="24"/>
                <w:szCs w:val="24"/>
              </w:rPr>
            </w:pPr>
          </w:p>
        </w:tc>
      </w:tr>
      <w:tr w14:paraId="7510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8861" w:type="dxa"/>
            <w:gridSpan w:val="7"/>
            <w:vAlign w:val="center"/>
          </w:tcPr>
          <w:p w14:paraId="5776B407">
            <w:pPr>
              <w:spacing w:line="44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结论：是否通过初步评审</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rPr>
              <w:t>初步评审合格后方可进入详细评审阶段</w:t>
            </w:r>
            <w:r>
              <w:rPr>
                <w:rFonts w:hint="eastAsia" w:asciiTheme="minorEastAsia" w:hAnsiTheme="minorEastAsia" w:eastAsiaTheme="minorEastAsia" w:cstheme="minorEastAsia"/>
                <w:b/>
                <w:sz w:val="24"/>
                <w:szCs w:val="24"/>
              </w:rPr>
              <w:t>）</w:t>
            </w:r>
          </w:p>
        </w:tc>
      </w:tr>
      <w:tr w14:paraId="38DDB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8861" w:type="dxa"/>
            <w:gridSpan w:val="7"/>
            <w:vAlign w:val="center"/>
          </w:tcPr>
          <w:p w14:paraId="4B1A87F1">
            <w:pPr>
              <w:spacing w:line="44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备注：如果磋商响应文件中有一项未通过上述审查标准，磋商小组将认定整个磋商响应文件不响应竞磋文件而予以投标无效，并且不允许供应商通过修改或撤销其不符合要求的差异或保留，使之成为具有响应性的投标。通过审核的以“√”标记；未通过的以“×”标记，并予以说明。</w:t>
            </w:r>
          </w:p>
        </w:tc>
      </w:tr>
    </w:tbl>
    <w:p w14:paraId="59059C57">
      <w:pPr>
        <w:pStyle w:val="96"/>
        <w:numPr>
          <w:ilvl w:val="0"/>
          <w:numId w:val="5"/>
        </w:numPr>
        <w:spacing w:line="44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sz w:val="24"/>
          <w:szCs w:val="24"/>
        </w:rPr>
        <w:br w:type="page"/>
      </w:r>
      <w:bookmarkStart w:id="22" w:name="_Hlk521877884"/>
      <w:r>
        <w:rPr>
          <w:rFonts w:hint="eastAsia" w:asciiTheme="minorEastAsia" w:hAnsiTheme="minorEastAsia" w:eastAsiaTheme="minorEastAsia" w:cstheme="minorEastAsia"/>
          <w:b/>
          <w:color w:val="auto"/>
          <w:sz w:val="24"/>
          <w:szCs w:val="24"/>
          <w:highlight w:val="none"/>
        </w:rPr>
        <w:t>详细评审</w:t>
      </w:r>
      <w:bookmarkEnd w:id="22"/>
    </w:p>
    <w:tbl>
      <w:tblPr>
        <w:tblStyle w:val="29"/>
        <w:tblW w:w="852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246"/>
        <w:gridCol w:w="1445"/>
        <w:gridCol w:w="5096"/>
        <w:gridCol w:w="733"/>
      </w:tblGrid>
      <w:tr w14:paraId="3B48847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1246" w:type="dxa"/>
            <w:vAlign w:val="center"/>
          </w:tcPr>
          <w:p w14:paraId="09C6699A">
            <w:pPr>
              <w:pStyle w:val="108"/>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评标项目</w:t>
            </w:r>
          </w:p>
        </w:tc>
        <w:tc>
          <w:tcPr>
            <w:tcW w:w="1445" w:type="dxa"/>
            <w:vAlign w:val="center"/>
          </w:tcPr>
          <w:p w14:paraId="77E7215F">
            <w:pPr>
              <w:pStyle w:val="108"/>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评标分项</w:t>
            </w:r>
          </w:p>
        </w:tc>
        <w:tc>
          <w:tcPr>
            <w:tcW w:w="5096" w:type="dxa"/>
            <w:vAlign w:val="center"/>
          </w:tcPr>
          <w:p w14:paraId="5915BD98">
            <w:pPr>
              <w:pStyle w:val="108"/>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评标分项</w:t>
            </w:r>
          </w:p>
        </w:tc>
        <w:tc>
          <w:tcPr>
            <w:tcW w:w="733" w:type="dxa"/>
            <w:vAlign w:val="center"/>
          </w:tcPr>
          <w:p w14:paraId="2D7C77A1">
            <w:pPr>
              <w:pStyle w:val="108"/>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分值</w:t>
            </w:r>
          </w:p>
        </w:tc>
      </w:tr>
      <w:tr w14:paraId="17EA33E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40" w:hRule="atLeast"/>
          <w:jc w:val="center"/>
        </w:trPr>
        <w:tc>
          <w:tcPr>
            <w:tcW w:w="1246" w:type="dxa"/>
            <w:vAlign w:val="center"/>
          </w:tcPr>
          <w:p w14:paraId="234B4D39">
            <w:pPr>
              <w:pStyle w:val="108"/>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价格部分（</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分）</w:t>
            </w:r>
          </w:p>
        </w:tc>
        <w:tc>
          <w:tcPr>
            <w:tcW w:w="1445" w:type="dxa"/>
            <w:vAlign w:val="center"/>
          </w:tcPr>
          <w:p w14:paraId="0235CF4A">
            <w:pPr>
              <w:pStyle w:val="108"/>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投标报价</w:t>
            </w:r>
          </w:p>
        </w:tc>
        <w:tc>
          <w:tcPr>
            <w:tcW w:w="5096" w:type="dxa"/>
            <w:vAlign w:val="center"/>
          </w:tcPr>
          <w:p w14:paraId="1636A274">
            <w:pPr>
              <w:keepNext w:val="0"/>
              <w:keepLines w:val="0"/>
              <w:widowControl/>
              <w:suppressLineNumbers w:val="0"/>
              <w:spacing w:line="360" w:lineRule="auto"/>
              <w:ind w:firstLine="480" w:firstLineChars="200"/>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价格分采用低价优先法计算，即满足本磋商文件要求且最后报价最低的供应商的价格为磋商基准价，其价格分为满分，其它供应商的价格分统一按照下列公式计算：磋商报价得分=(磋商基准价/最后磋商报价)</w:t>
            </w:r>
          </w:p>
          <w:p w14:paraId="36025291">
            <w:pPr>
              <w:keepNext w:val="0"/>
              <w:keepLines w:val="0"/>
              <w:widowControl/>
              <w:suppressLineNumbers w:val="0"/>
              <w:spacing w:line="360" w:lineRule="auto"/>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×价格分分值(精确到小数点后两位)。</w:t>
            </w:r>
            <w:r>
              <w:rPr>
                <w:rFonts w:hint="default" w:ascii="宋体" w:hAnsi="宋体" w:eastAsia="宋体" w:cs="宋体"/>
                <w:snapToGrid w:val="0"/>
                <w:color w:val="auto"/>
                <w:kern w:val="0"/>
                <w:sz w:val="24"/>
                <w:szCs w:val="24"/>
                <w:highlight w:val="none"/>
                <w:lang w:val="en-US" w:eastAsia="zh-CN" w:bidi="ar-SA"/>
              </w:rPr>
              <w:t>超过了采购项目预算或最高限价的，为无效响应。</w:t>
            </w:r>
          </w:p>
          <w:p w14:paraId="221A2F05">
            <w:pPr>
              <w:pStyle w:val="108"/>
              <w:keepNext w:val="0"/>
              <w:keepLines w:val="0"/>
              <w:pageBreakBefore w:val="0"/>
              <w:kinsoku/>
              <w:wordWrap/>
              <w:overflowPunct/>
              <w:topLinePunct w:val="0"/>
              <w:autoSpaceDE/>
              <w:autoSpaceDN/>
              <w:bidi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在评审过程中，评审小组发现投标供应商的报价明显低于其他投标报价，使得其投标报价可能低于其个别成本的，应当要求该投标供应商做出书面说明并提供相关证明材料。投标供应商不能合理说明或者不能提供相关证明材料的，评审小组认定该投标供应商以低于成本报价竞标，其投标将被否决。</w:t>
            </w:r>
          </w:p>
        </w:tc>
        <w:tc>
          <w:tcPr>
            <w:tcW w:w="733" w:type="dxa"/>
            <w:vAlign w:val="center"/>
          </w:tcPr>
          <w:p w14:paraId="219457F8">
            <w:pPr>
              <w:pStyle w:val="108"/>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r>
      <w:tr w14:paraId="5B13A25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246" w:type="dxa"/>
            <w:vMerge w:val="restart"/>
            <w:vAlign w:val="center"/>
          </w:tcPr>
          <w:p w14:paraId="468DB746">
            <w:pPr>
              <w:pStyle w:val="108"/>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商务部分（</w:t>
            </w:r>
            <w:r>
              <w:rPr>
                <w:rFonts w:hint="eastAsia" w:ascii="宋体" w:hAnsi="宋体" w:cs="宋体"/>
                <w:color w:val="auto"/>
                <w:sz w:val="24"/>
                <w:szCs w:val="24"/>
                <w:highlight w:val="none"/>
                <w:lang w:val="en-US" w:eastAsia="zh-CN"/>
              </w:rPr>
              <w:t>32</w:t>
            </w:r>
            <w:r>
              <w:rPr>
                <w:rFonts w:hint="eastAsia" w:ascii="宋体" w:hAnsi="宋体" w:cs="宋体"/>
                <w:color w:val="auto"/>
                <w:sz w:val="24"/>
                <w:szCs w:val="24"/>
                <w:highlight w:val="none"/>
              </w:rPr>
              <w:t>分）</w:t>
            </w:r>
          </w:p>
        </w:tc>
        <w:tc>
          <w:tcPr>
            <w:tcW w:w="1445" w:type="dxa"/>
            <w:vAlign w:val="center"/>
          </w:tcPr>
          <w:p w14:paraId="5305545B">
            <w:pPr>
              <w:pStyle w:val="108"/>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类似项目业绩</w:t>
            </w:r>
          </w:p>
        </w:tc>
        <w:tc>
          <w:tcPr>
            <w:tcW w:w="5096" w:type="dxa"/>
            <w:vAlign w:val="center"/>
          </w:tcPr>
          <w:p w14:paraId="29803683">
            <w:pPr>
              <w:pStyle w:val="108"/>
              <w:keepNext w:val="0"/>
              <w:keepLines w:val="0"/>
              <w:pageBreakBefore w:val="0"/>
              <w:kinsoku/>
              <w:wordWrap/>
              <w:overflowPunct/>
              <w:topLinePunct w:val="0"/>
              <w:autoSpaceDE/>
              <w:autoSpaceDN/>
              <w:bidi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提供近三年（202</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月至今）已完成类似项目业绩，以供应商业绩为准，业绩证明材料为：合同或中标通知书复印件，每提供1项有效业绩得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分，本项最多得</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分；未提供业绩证明材料</w:t>
            </w:r>
            <w:r>
              <w:rPr>
                <w:rFonts w:hint="eastAsia" w:ascii="宋体" w:hAnsi="宋体" w:cs="宋体"/>
                <w:color w:val="auto"/>
                <w:sz w:val="24"/>
                <w:szCs w:val="24"/>
                <w:highlight w:val="none"/>
                <w:lang w:eastAsia="zh-CN"/>
              </w:rPr>
              <w:t>或</w:t>
            </w:r>
            <w:r>
              <w:rPr>
                <w:rFonts w:hint="eastAsia" w:ascii="宋体" w:hAnsi="宋体" w:cs="宋体"/>
                <w:color w:val="auto"/>
                <w:sz w:val="24"/>
                <w:szCs w:val="24"/>
                <w:highlight w:val="none"/>
              </w:rPr>
              <w:t>经评标委员会认定为无效业绩的，本项不得分。</w:t>
            </w:r>
          </w:p>
        </w:tc>
        <w:tc>
          <w:tcPr>
            <w:tcW w:w="733" w:type="dxa"/>
            <w:vAlign w:val="center"/>
          </w:tcPr>
          <w:p w14:paraId="54EB6995">
            <w:pPr>
              <w:pStyle w:val="108"/>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r>
      <w:tr w14:paraId="03F8397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246" w:type="dxa"/>
            <w:vMerge w:val="continue"/>
            <w:vAlign w:val="center"/>
          </w:tcPr>
          <w:p w14:paraId="4A605D1E">
            <w:pPr>
              <w:pStyle w:val="108"/>
              <w:spacing w:line="360" w:lineRule="auto"/>
              <w:rPr>
                <w:rFonts w:hint="eastAsia" w:ascii="宋体" w:hAnsi="宋体" w:cs="宋体"/>
                <w:color w:val="auto"/>
                <w:sz w:val="24"/>
                <w:szCs w:val="24"/>
                <w:highlight w:val="none"/>
              </w:rPr>
            </w:pPr>
          </w:p>
        </w:tc>
        <w:tc>
          <w:tcPr>
            <w:tcW w:w="1445" w:type="dxa"/>
            <w:shd w:val="clear" w:color="auto" w:fill="auto"/>
            <w:vAlign w:val="center"/>
          </w:tcPr>
          <w:p w14:paraId="36AA3BAC">
            <w:pPr>
              <w:numPr>
                <w:ilvl w:val="0"/>
                <w:numId w:val="0"/>
              </w:numPr>
              <w:tabs>
                <w:tab w:val="left" w:pos="2880"/>
              </w:tabs>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项目负责人类似业绩</w:t>
            </w:r>
          </w:p>
        </w:tc>
        <w:tc>
          <w:tcPr>
            <w:tcW w:w="5096" w:type="dxa"/>
            <w:shd w:val="clear" w:color="auto" w:fill="auto"/>
            <w:vAlign w:val="center"/>
          </w:tcPr>
          <w:p w14:paraId="33FF96D1">
            <w:pPr>
              <w:keepNext w:val="0"/>
              <w:keepLines w:val="0"/>
              <w:pageBreakBefore w:val="0"/>
              <w:widowControl w:val="0"/>
              <w:numPr>
                <w:ilvl w:val="0"/>
                <w:numId w:val="0"/>
              </w:numPr>
              <w:tabs>
                <w:tab w:val="left" w:pos="288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提供近</w:t>
            </w:r>
            <w:r>
              <w:rPr>
                <w:rFonts w:hint="eastAsia" w:ascii="宋体" w:hAnsi="宋体" w:cs="宋体"/>
                <w:color w:val="auto"/>
                <w:kern w:val="2"/>
                <w:sz w:val="24"/>
                <w:szCs w:val="24"/>
                <w:highlight w:val="none"/>
                <w:lang w:val="en-US" w:eastAsia="zh-CN" w:bidi="ar-SA"/>
              </w:rPr>
              <w:t>三</w:t>
            </w:r>
            <w:r>
              <w:rPr>
                <w:rFonts w:hint="eastAsia" w:ascii="宋体" w:hAnsi="宋体" w:eastAsia="宋体" w:cs="宋体"/>
                <w:color w:val="auto"/>
                <w:kern w:val="2"/>
                <w:sz w:val="24"/>
                <w:szCs w:val="24"/>
                <w:highlight w:val="none"/>
                <w:lang w:val="en-US" w:eastAsia="zh-CN" w:bidi="ar-SA"/>
              </w:rPr>
              <w:t>年（202</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月至今）项目负责人已完成类似项目业绩，以项目负责人业绩为准，业绩证明材料为：合同或中标通知书复印件，每提供1项有效业绩得</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分，本项最多得</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分；未提供业绩证明材料或是经评标委员会认定为无效业绩的，本项不得分。</w:t>
            </w:r>
          </w:p>
        </w:tc>
        <w:tc>
          <w:tcPr>
            <w:tcW w:w="733" w:type="dxa"/>
            <w:shd w:val="clear" w:color="auto" w:fill="auto"/>
            <w:vAlign w:val="center"/>
          </w:tcPr>
          <w:p w14:paraId="181B8122">
            <w:pPr>
              <w:numPr>
                <w:ilvl w:val="0"/>
                <w:numId w:val="0"/>
              </w:numPr>
              <w:tabs>
                <w:tab w:val="left" w:pos="2880"/>
              </w:tabs>
              <w:spacing w:line="360" w:lineRule="auto"/>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p>
        </w:tc>
      </w:tr>
      <w:tr w14:paraId="0E3879C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246" w:type="dxa"/>
            <w:vMerge w:val="continue"/>
            <w:vAlign w:val="center"/>
          </w:tcPr>
          <w:p w14:paraId="688711A1">
            <w:pPr>
              <w:pStyle w:val="108"/>
              <w:spacing w:line="360" w:lineRule="auto"/>
              <w:rPr>
                <w:rFonts w:hint="eastAsia" w:ascii="宋体" w:hAnsi="宋体" w:cs="宋体"/>
                <w:color w:val="auto"/>
                <w:sz w:val="24"/>
                <w:szCs w:val="24"/>
                <w:highlight w:val="none"/>
              </w:rPr>
            </w:pPr>
          </w:p>
        </w:tc>
        <w:tc>
          <w:tcPr>
            <w:tcW w:w="1445" w:type="dxa"/>
            <w:vAlign w:val="center"/>
          </w:tcPr>
          <w:p w14:paraId="5F3C7DEC">
            <w:pPr>
              <w:pStyle w:val="108"/>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维保团队配备</w:t>
            </w:r>
          </w:p>
        </w:tc>
        <w:tc>
          <w:tcPr>
            <w:tcW w:w="5096" w:type="dxa"/>
            <w:vAlign w:val="center"/>
          </w:tcPr>
          <w:p w14:paraId="5C953843">
            <w:pPr>
              <w:pStyle w:val="108"/>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（1）拟派维保</w:t>
            </w:r>
            <w:r>
              <w:rPr>
                <w:rFonts w:hint="eastAsia" w:ascii="宋体" w:hAnsi="宋体" w:cs="宋体"/>
                <w:color w:val="auto"/>
                <w:sz w:val="24"/>
                <w:szCs w:val="24"/>
                <w:highlight w:val="none"/>
                <w:lang w:val="en-US" w:eastAsia="zh-CN"/>
              </w:rPr>
              <w:t>人员</w:t>
            </w:r>
            <w:r>
              <w:rPr>
                <w:rFonts w:hint="eastAsia" w:ascii="宋体" w:hAnsi="宋体" w:cs="宋体"/>
                <w:color w:val="auto"/>
                <w:sz w:val="24"/>
                <w:szCs w:val="24"/>
                <w:highlight w:val="none"/>
              </w:rPr>
              <w:t>每提供1</w:t>
            </w:r>
            <w:r>
              <w:rPr>
                <w:rFonts w:hint="eastAsia" w:ascii="宋体" w:hAnsi="宋体" w:cs="宋体"/>
                <w:color w:val="auto"/>
                <w:sz w:val="24"/>
                <w:szCs w:val="24"/>
                <w:highlight w:val="none"/>
                <w:lang w:val="en-US" w:eastAsia="zh-CN"/>
              </w:rPr>
              <w:t>人具有</w:t>
            </w:r>
            <w:r>
              <w:rPr>
                <w:rFonts w:hint="eastAsia" w:ascii="宋体" w:hAnsi="宋体" w:eastAsia="宋体" w:cs="宋体"/>
                <w:color w:val="auto"/>
                <w:sz w:val="24"/>
                <w:szCs w:val="24"/>
                <w:highlight w:val="none"/>
                <w:lang w:val="en-US" w:eastAsia="zh-CN"/>
              </w:rPr>
              <w:t>一级注册消防工程师职业资格证书的</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分，本项最多得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w:t>
            </w:r>
            <w:r>
              <w:rPr>
                <w:rFonts w:hint="eastAsia" w:ascii="宋体" w:hAnsi="宋体" w:eastAsia="宋体" w:cs="宋体"/>
                <w:color w:val="auto"/>
                <w:sz w:val="24"/>
                <w:szCs w:val="24"/>
                <w:highlight w:val="none"/>
                <w:lang w:val="en-US" w:eastAsia="zh-CN"/>
              </w:rPr>
              <w:t>；</w:t>
            </w:r>
          </w:p>
          <w:p w14:paraId="2385C953">
            <w:pPr>
              <w:pStyle w:val="108"/>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（2）其他拟派维保、检测技术员具有中级（四级）消防设施操作员</w:t>
            </w:r>
            <w:r>
              <w:rPr>
                <w:rFonts w:hint="eastAsia" w:ascii="宋体" w:hAnsi="宋体" w:cs="宋体"/>
                <w:color w:val="auto"/>
                <w:sz w:val="24"/>
                <w:szCs w:val="24"/>
                <w:highlight w:val="none"/>
              </w:rPr>
              <w:t>每提供1</w:t>
            </w:r>
            <w:r>
              <w:rPr>
                <w:rFonts w:hint="eastAsia" w:ascii="宋体" w:hAnsi="宋体" w:cs="宋体"/>
                <w:color w:val="auto"/>
                <w:sz w:val="24"/>
                <w:szCs w:val="24"/>
                <w:highlight w:val="none"/>
                <w:lang w:val="en-US" w:eastAsia="zh-CN"/>
              </w:rPr>
              <w:t>人得1分</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本项最多得8</w:t>
            </w:r>
            <w:r>
              <w:rPr>
                <w:rFonts w:hint="eastAsia" w:ascii="宋体" w:hAnsi="宋体" w:eastAsia="宋体" w:cs="宋体"/>
                <w:color w:val="auto"/>
                <w:sz w:val="24"/>
                <w:szCs w:val="24"/>
                <w:highlight w:val="none"/>
                <w:lang w:val="en-US" w:eastAsia="zh-CN"/>
              </w:rPr>
              <w:t>分。</w:t>
            </w:r>
          </w:p>
          <w:p w14:paraId="3C9B2A09">
            <w:pPr>
              <w:pStyle w:val="108"/>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（须提供</w:t>
            </w:r>
            <w:r>
              <w:rPr>
                <w:rFonts w:hint="eastAsia" w:ascii="宋体" w:hAnsi="宋体" w:eastAsia="宋体" w:cs="宋体"/>
                <w:color w:val="auto"/>
                <w:sz w:val="24"/>
                <w:szCs w:val="24"/>
                <w:highlight w:val="none"/>
                <w:lang w:val="en-US" w:eastAsia="zh-CN"/>
              </w:rPr>
              <w:t>资格证书、近3个月内任意1个月社保缴纳证明</w:t>
            </w:r>
            <w:r>
              <w:rPr>
                <w:rFonts w:hint="eastAsia" w:ascii="宋体" w:hAnsi="宋体" w:cs="宋体"/>
                <w:color w:val="auto"/>
                <w:sz w:val="24"/>
                <w:szCs w:val="24"/>
                <w:highlight w:val="none"/>
                <w:lang w:val="en-US" w:eastAsia="zh-CN"/>
              </w:rPr>
              <w:t>（退休返聘人员提供劳动合同）</w:t>
            </w:r>
            <w:r>
              <w:rPr>
                <w:rFonts w:hint="eastAsia" w:ascii="宋体" w:hAnsi="宋体" w:eastAsia="宋体" w:cs="宋体"/>
                <w:color w:val="auto"/>
                <w:sz w:val="24"/>
                <w:szCs w:val="24"/>
                <w:highlight w:val="none"/>
                <w:lang w:val="en-US" w:eastAsia="zh-CN"/>
              </w:rPr>
              <w:t>，消防设施维修保养人员资格证应是国家正式证书，不能用社会消防机构出具的培训结业证书代替，不完整、不清楚、不准确</w:t>
            </w:r>
            <w:r>
              <w:rPr>
                <w:rFonts w:hint="eastAsia" w:ascii="宋体" w:hAnsi="宋体" w:eastAsia="宋体" w:cs="宋体"/>
                <w:color w:val="auto"/>
                <w:sz w:val="24"/>
                <w:szCs w:val="24"/>
                <w:highlight w:val="none"/>
              </w:rPr>
              <w:t>不得分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eastAsia="zh-CN"/>
              </w:rPr>
              <w:t>）</w:t>
            </w:r>
          </w:p>
        </w:tc>
        <w:tc>
          <w:tcPr>
            <w:tcW w:w="733" w:type="dxa"/>
            <w:vAlign w:val="center"/>
          </w:tcPr>
          <w:p w14:paraId="0262DF04">
            <w:pPr>
              <w:pStyle w:val="108"/>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r>
      <w:tr w14:paraId="57BDF17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246" w:type="dxa"/>
            <w:vMerge w:val="continue"/>
            <w:vAlign w:val="center"/>
          </w:tcPr>
          <w:p w14:paraId="2231A0DB">
            <w:pPr>
              <w:pStyle w:val="108"/>
              <w:spacing w:line="360" w:lineRule="auto"/>
              <w:rPr>
                <w:rFonts w:hint="eastAsia" w:ascii="宋体" w:hAnsi="宋体" w:cs="宋体"/>
                <w:color w:val="auto"/>
                <w:sz w:val="24"/>
                <w:szCs w:val="24"/>
                <w:highlight w:val="none"/>
              </w:rPr>
            </w:pPr>
          </w:p>
        </w:tc>
        <w:tc>
          <w:tcPr>
            <w:tcW w:w="1445" w:type="dxa"/>
            <w:shd w:val="clear" w:color="auto" w:fill="auto"/>
            <w:vAlign w:val="center"/>
          </w:tcPr>
          <w:p w14:paraId="4A6472AA">
            <w:pPr>
              <w:pStyle w:val="108"/>
              <w:spacing w:line="360" w:lineRule="auto"/>
              <w:rPr>
                <w:rFonts w:hint="eastAsia" w:ascii="宋体" w:hAnsi="宋体" w:eastAsia="宋体" w:cs="宋体"/>
                <w:snapToGrid w:val="0"/>
                <w:color w:val="auto"/>
                <w:sz w:val="24"/>
                <w:szCs w:val="24"/>
                <w:highlight w:val="none"/>
                <w:lang w:val="en-US" w:eastAsia="zh-CN" w:bidi="ar-SA"/>
              </w:rPr>
            </w:pPr>
            <w:r>
              <w:rPr>
                <w:rFonts w:hint="eastAsia" w:ascii="宋体" w:hAnsi="宋体" w:cs="宋体"/>
                <w:color w:val="auto"/>
                <w:sz w:val="24"/>
                <w:szCs w:val="24"/>
                <w:highlight w:val="none"/>
                <w:lang w:val="en-US" w:eastAsia="zh-CN"/>
              </w:rPr>
              <w:t>信用评价</w:t>
            </w:r>
          </w:p>
        </w:tc>
        <w:tc>
          <w:tcPr>
            <w:tcW w:w="5096" w:type="dxa"/>
            <w:shd w:val="clear" w:color="auto" w:fill="auto"/>
            <w:vAlign w:val="center"/>
          </w:tcPr>
          <w:p w14:paraId="63B8E1A4">
            <w:pPr>
              <w:pStyle w:val="108"/>
              <w:keepNext w:val="0"/>
              <w:keepLines w:val="0"/>
              <w:pageBreakBefore w:val="0"/>
              <w:kinsoku/>
              <w:wordWrap/>
              <w:overflowPunct/>
              <w:topLinePunct w:val="0"/>
              <w:autoSpaceDE/>
              <w:autoSpaceDN/>
              <w:bidi w:val="0"/>
              <w:spacing w:line="360" w:lineRule="auto"/>
              <w:jc w:val="left"/>
              <w:rPr>
                <w:rFonts w:hint="eastAsia" w:ascii="宋体" w:hAnsi="宋体" w:eastAsia="宋体" w:cs="宋体"/>
                <w:snapToGrid w:val="0"/>
                <w:color w:val="auto"/>
                <w:sz w:val="24"/>
                <w:szCs w:val="24"/>
                <w:highlight w:val="none"/>
                <w:lang w:val="en-US" w:eastAsia="zh-CN" w:bidi="ar-SA"/>
              </w:rPr>
            </w:pPr>
            <w:r>
              <w:rPr>
                <w:rFonts w:hint="eastAsia" w:ascii="宋体" w:hAnsi="宋体" w:cs="宋体"/>
                <w:color w:val="auto"/>
                <w:sz w:val="24"/>
                <w:szCs w:val="24"/>
                <w:highlight w:val="none"/>
                <w:lang w:val="en-US" w:eastAsia="zh-CN"/>
              </w:rPr>
              <w:t>供应商在</w:t>
            </w:r>
            <w:r>
              <w:rPr>
                <w:rFonts w:hint="eastAsia" w:ascii="宋体" w:hAnsi="宋体" w:eastAsia="宋体" w:cs="宋体"/>
                <w:color w:val="auto"/>
                <w:sz w:val="24"/>
                <w:szCs w:val="24"/>
                <w:highlight w:val="none"/>
              </w:rPr>
              <w:t>小蜜蜂消防服务平台</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获得</w:t>
            </w:r>
            <w:r>
              <w:rPr>
                <w:rFonts w:hint="eastAsia" w:ascii="宋体" w:hAnsi="宋体" w:eastAsia="宋体" w:cs="宋体"/>
                <w:color w:val="auto"/>
                <w:sz w:val="24"/>
                <w:szCs w:val="24"/>
                <w:highlight w:val="none"/>
              </w:rPr>
              <w:t>AA级信用</w:t>
            </w:r>
            <w:r>
              <w:rPr>
                <w:rFonts w:hint="eastAsia" w:ascii="宋体" w:hAnsi="宋体" w:cs="宋体"/>
                <w:color w:val="auto"/>
                <w:sz w:val="24"/>
                <w:szCs w:val="24"/>
                <w:highlight w:val="none"/>
                <w:lang w:val="en-US" w:eastAsia="zh-CN"/>
              </w:rPr>
              <w:t>等级的，得5分。</w:t>
            </w:r>
          </w:p>
        </w:tc>
        <w:tc>
          <w:tcPr>
            <w:tcW w:w="733" w:type="dxa"/>
            <w:vAlign w:val="center"/>
          </w:tcPr>
          <w:p w14:paraId="01EB2276">
            <w:pPr>
              <w:pStyle w:val="108"/>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14:paraId="0D6BED8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246" w:type="dxa"/>
            <w:vMerge w:val="restart"/>
            <w:vAlign w:val="center"/>
          </w:tcPr>
          <w:p w14:paraId="2BC3D822">
            <w:pPr>
              <w:pStyle w:val="108"/>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技术部分（</w:t>
            </w:r>
            <w:r>
              <w:rPr>
                <w:rFonts w:hint="eastAsia" w:ascii="宋体" w:hAnsi="宋体" w:cs="宋体"/>
                <w:color w:val="auto"/>
                <w:sz w:val="24"/>
                <w:szCs w:val="24"/>
                <w:highlight w:val="none"/>
                <w:lang w:val="en-US" w:eastAsia="zh-CN"/>
              </w:rPr>
              <w:t>53</w:t>
            </w:r>
            <w:r>
              <w:rPr>
                <w:rFonts w:hint="eastAsia" w:ascii="宋体" w:hAnsi="宋体" w:cs="宋体"/>
                <w:color w:val="auto"/>
                <w:sz w:val="24"/>
                <w:szCs w:val="24"/>
                <w:highlight w:val="none"/>
              </w:rPr>
              <w:t>分）</w:t>
            </w:r>
          </w:p>
        </w:tc>
        <w:tc>
          <w:tcPr>
            <w:tcW w:w="1445" w:type="dxa"/>
            <w:vAlign w:val="center"/>
          </w:tcPr>
          <w:p w14:paraId="1AC52FDA">
            <w:pPr>
              <w:pStyle w:val="108"/>
              <w:spacing w:line="360" w:lineRule="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服务方案</w:t>
            </w:r>
          </w:p>
        </w:tc>
        <w:tc>
          <w:tcPr>
            <w:tcW w:w="5096" w:type="dxa"/>
            <w:vAlign w:val="center"/>
          </w:tcPr>
          <w:p w14:paraId="7FF6C1CD">
            <w:pPr>
              <w:pStyle w:val="108"/>
              <w:keepNext w:val="0"/>
              <w:keepLines w:val="0"/>
              <w:pageBreakBefore w:val="0"/>
              <w:kinsoku/>
              <w:wordWrap/>
              <w:overflowPunct/>
              <w:topLinePunct w:val="0"/>
              <w:autoSpaceDE/>
              <w:autoSpaceDN/>
              <w:bidi w:val="0"/>
              <w:spacing w:line="360" w:lineRule="auto"/>
              <w:ind w:right="-160" w:rightChars="-76"/>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供应商需针对本项目提供详细的项目实施方案，内容包括</w:t>
            </w:r>
            <w:r>
              <w:rPr>
                <w:rFonts w:hint="eastAsia" w:ascii="宋体" w:hAnsi="宋体" w:cs="宋体"/>
                <w:color w:val="auto"/>
                <w:sz w:val="24"/>
                <w:szCs w:val="24"/>
                <w:highlight w:val="none"/>
                <w:lang w:val="en-US" w:eastAsia="zh-CN"/>
              </w:rPr>
              <w:t>以下5个方面内容</w:t>
            </w:r>
            <w:r>
              <w:rPr>
                <w:rFonts w:hint="default" w:ascii="宋体" w:hAnsi="宋体" w:eastAsia="宋体" w:cs="宋体"/>
                <w:color w:val="auto"/>
                <w:sz w:val="24"/>
                <w:szCs w:val="24"/>
                <w:highlight w:val="none"/>
                <w:lang w:val="en-US" w:eastAsia="zh-CN"/>
              </w:rPr>
              <w:t>：</w:t>
            </w:r>
          </w:p>
          <w:p w14:paraId="174A242B">
            <w:pPr>
              <w:pStyle w:val="108"/>
              <w:keepNext w:val="0"/>
              <w:keepLines w:val="0"/>
              <w:pageBreakBefore w:val="0"/>
              <w:kinsoku/>
              <w:wordWrap/>
              <w:overflowPunct/>
              <w:topLinePunct w:val="0"/>
              <w:autoSpaceDE/>
              <w:autoSpaceDN/>
              <w:bidi w:val="0"/>
              <w:spacing w:line="360" w:lineRule="auto"/>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①日常巡视保养和维修方案；</w:t>
            </w:r>
          </w:p>
          <w:p w14:paraId="02EBC660">
            <w:pPr>
              <w:pStyle w:val="108"/>
              <w:keepNext w:val="0"/>
              <w:keepLines w:val="0"/>
              <w:pageBreakBefore w:val="0"/>
              <w:kinsoku/>
              <w:wordWrap/>
              <w:overflowPunct/>
              <w:topLinePunct w:val="0"/>
              <w:autoSpaceDE/>
              <w:autoSpaceDN/>
              <w:bidi w:val="0"/>
              <w:spacing w:line="360" w:lineRule="auto"/>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②设备的运行、养护、维修和管理方案；</w:t>
            </w:r>
          </w:p>
          <w:p w14:paraId="13B0965F">
            <w:pPr>
              <w:pStyle w:val="108"/>
              <w:keepNext w:val="0"/>
              <w:keepLines w:val="0"/>
              <w:pageBreakBefore w:val="0"/>
              <w:kinsoku/>
              <w:wordWrap/>
              <w:overflowPunct/>
              <w:topLinePunct w:val="0"/>
              <w:autoSpaceDE/>
              <w:autoSpaceDN/>
              <w:bidi w:val="0"/>
              <w:spacing w:line="360" w:lineRule="auto"/>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③详细的进度安排；</w:t>
            </w:r>
          </w:p>
          <w:p w14:paraId="0AA28939">
            <w:pPr>
              <w:pStyle w:val="108"/>
              <w:keepNext w:val="0"/>
              <w:keepLines w:val="0"/>
              <w:pageBreakBefore w:val="0"/>
              <w:kinsoku/>
              <w:wordWrap/>
              <w:overflowPunct/>
              <w:topLinePunct w:val="0"/>
              <w:autoSpaceDE/>
              <w:autoSpaceDN/>
              <w:bidi w:val="0"/>
              <w:spacing w:line="360" w:lineRule="auto"/>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④质量管理制度及检查制度；</w:t>
            </w:r>
          </w:p>
          <w:p w14:paraId="5FCA2505">
            <w:pPr>
              <w:pStyle w:val="108"/>
              <w:keepNext w:val="0"/>
              <w:keepLines w:val="0"/>
              <w:pageBreakBefore w:val="0"/>
              <w:kinsoku/>
              <w:wordWrap/>
              <w:overflowPunct/>
              <w:topLinePunct w:val="0"/>
              <w:autoSpaceDE/>
              <w:autoSpaceDN/>
              <w:bidi w:val="0"/>
              <w:spacing w:line="360" w:lineRule="auto"/>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⑤及时的评价以及迅速的反馈等内容。</w:t>
            </w:r>
          </w:p>
          <w:p w14:paraId="6B334A74">
            <w:pPr>
              <w:pStyle w:val="108"/>
              <w:keepNext w:val="0"/>
              <w:keepLines w:val="0"/>
              <w:pageBreakBefore w:val="0"/>
              <w:kinsoku/>
              <w:wordWrap/>
              <w:overflowPunct/>
              <w:topLinePunct w:val="0"/>
              <w:autoSpaceDE/>
              <w:autoSpaceDN/>
              <w:bidi w:val="0"/>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5个方面</w:t>
            </w:r>
            <w:r>
              <w:rPr>
                <w:rFonts w:hint="default" w:ascii="宋体" w:hAnsi="宋体" w:eastAsia="宋体" w:cs="宋体"/>
                <w:color w:val="auto"/>
                <w:sz w:val="24"/>
                <w:szCs w:val="24"/>
                <w:highlight w:val="none"/>
                <w:lang w:val="en-US" w:eastAsia="zh-CN"/>
              </w:rPr>
              <w:t>缺少一项扣4分；</w:t>
            </w:r>
          </w:p>
          <w:p w14:paraId="479A1B2A">
            <w:pPr>
              <w:pStyle w:val="108"/>
              <w:keepNext w:val="0"/>
              <w:keepLines w:val="0"/>
              <w:pageBreakBefore w:val="0"/>
              <w:kinsoku/>
              <w:wordWrap/>
              <w:overflowPunct/>
              <w:topLinePunct w:val="0"/>
              <w:autoSpaceDE/>
              <w:autoSpaceDN/>
              <w:bidi w:val="0"/>
              <w:spacing w:line="360" w:lineRule="auto"/>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每项内容需结合本项目实际，要有具体步骤、方法、工具、人员、责任分工、参数范围等细节支撑，有具体工作流程的还需要有流程图，不完善扣2分；</w:t>
            </w:r>
          </w:p>
          <w:p w14:paraId="26BE6793">
            <w:pPr>
              <w:pStyle w:val="108"/>
              <w:keepNext w:val="0"/>
              <w:keepLines w:val="0"/>
              <w:pageBreakBefore w:val="0"/>
              <w:kinsoku/>
              <w:wordWrap/>
              <w:overflowPunct/>
              <w:topLinePunct w:val="0"/>
              <w:autoSpaceDE/>
              <w:autoSpaceDN/>
              <w:bidi w:val="0"/>
              <w:spacing w:line="360" w:lineRule="auto"/>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内容存在缺陷扣</w:t>
            </w:r>
            <w:r>
              <w:rPr>
                <w:rFonts w:hint="eastAsia" w:ascii="宋体" w:hAnsi="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分；缺陷是指①存在不适用项目实际情况的情形②项目实施地点区域错误③内容遗漏及不符合采购需求等。</w:t>
            </w:r>
          </w:p>
          <w:p w14:paraId="6DAC4E9E">
            <w:pPr>
              <w:pStyle w:val="108"/>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满分20分。</w:t>
            </w:r>
          </w:p>
        </w:tc>
        <w:tc>
          <w:tcPr>
            <w:tcW w:w="733" w:type="dxa"/>
            <w:vAlign w:val="center"/>
          </w:tcPr>
          <w:p w14:paraId="1D1F4ABA">
            <w:pPr>
              <w:pStyle w:val="108"/>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r>
      <w:tr w14:paraId="0EFDBFF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32" w:hRule="atLeast"/>
          <w:jc w:val="center"/>
        </w:trPr>
        <w:tc>
          <w:tcPr>
            <w:tcW w:w="1246" w:type="dxa"/>
            <w:vMerge w:val="continue"/>
            <w:vAlign w:val="center"/>
          </w:tcPr>
          <w:p w14:paraId="505C307B">
            <w:pPr>
              <w:pStyle w:val="108"/>
              <w:spacing w:line="360" w:lineRule="auto"/>
              <w:rPr>
                <w:rFonts w:hint="eastAsia" w:ascii="宋体" w:hAnsi="宋体" w:cs="宋体"/>
                <w:color w:val="auto"/>
                <w:sz w:val="24"/>
                <w:szCs w:val="24"/>
                <w:highlight w:val="none"/>
              </w:rPr>
            </w:pPr>
          </w:p>
        </w:tc>
        <w:tc>
          <w:tcPr>
            <w:tcW w:w="1445" w:type="dxa"/>
            <w:vAlign w:val="center"/>
          </w:tcPr>
          <w:p w14:paraId="1ADC29A6">
            <w:pPr>
              <w:pStyle w:val="108"/>
              <w:spacing w:line="360" w:lineRule="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定期预防性检查方案</w:t>
            </w:r>
          </w:p>
        </w:tc>
        <w:tc>
          <w:tcPr>
            <w:tcW w:w="5096" w:type="dxa"/>
            <w:vAlign w:val="center"/>
          </w:tcPr>
          <w:p w14:paraId="3DA96474">
            <w:pPr>
              <w:pStyle w:val="108"/>
              <w:keepNext w:val="0"/>
              <w:keepLines w:val="0"/>
              <w:pageBreakBefore w:val="0"/>
              <w:kinsoku/>
              <w:wordWrap/>
              <w:overflowPunct/>
              <w:topLinePunct w:val="0"/>
              <w:autoSpaceDE/>
              <w:autoSpaceDN/>
              <w:bidi w:val="0"/>
              <w:spacing w:line="360" w:lineRule="auto"/>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供应商需针对本项目提供详细的</w:t>
            </w:r>
            <w:r>
              <w:rPr>
                <w:rFonts w:hint="eastAsia" w:ascii="宋体" w:hAnsi="宋体" w:eastAsia="宋体" w:cs="宋体"/>
                <w:color w:val="auto"/>
                <w:sz w:val="24"/>
                <w:szCs w:val="24"/>
                <w:highlight w:val="none"/>
                <w:lang w:val="en-US" w:eastAsia="zh-CN"/>
              </w:rPr>
              <w:t>定期预防性检查方案</w:t>
            </w:r>
            <w:r>
              <w:rPr>
                <w:rFonts w:hint="default" w:ascii="宋体" w:hAnsi="宋体" w:eastAsia="宋体" w:cs="宋体"/>
                <w:color w:val="auto"/>
                <w:sz w:val="24"/>
                <w:szCs w:val="24"/>
                <w:highlight w:val="none"/>
                <w:lang w:val="en-US" w:eastAsia="zh-CN"/>
              </w:rPr>
              <w:t>，内容包括</w:t>
            </w:r>
            <w:r>
              <w:rPr>
                <w:rFonts w:hint="eastAsia" w:ascii="宋体" w:hAnsi="宋体" w:cs="宋体"/>
                <w:color w:val="auto"/>
                <w:sz w:val="24"/>
                <w:szCs w:val="24"/>
                <w:highlight w:val="none"/>
                <w:lang w:val="en-US" w:eastAsia="zh-CN"/>
              </w:rPr>
              <w:t>以下5个方面内容</w:t>
            </w:r>
            <w:r>
              <w:rPr>
                <w:rFonts w:hint="default" w:ascii="宋体" w:hAnsi="宋体" w:eastAsia="宋体" w:cs="宋体"/>
                <w:color w:val="auto"/>
                <w:sz w:val="24"/>
                <w:szCs w:val="24"/>
                <w:highlight w:val="none"/>
                <w:lang w:val="en-US" w:eastAsia="zh-CN"/>
              </w:rPr>
              <w:t>：</w:t>
            </w:r>
          </w:p>
          <w:p w14:paraId="3BAA5FBA">
            <w:pPr>
              <w:pStyle w:val="108"/>
              <w:keepNext w:val="0"/>
              <w:keepLines w:val="0"/>
              <w:pageBreakBefore w:val="0"/>
              <w:kinsoku/>
              <w:wordWrap/>
              <w:overflowPunct/>
              <w:topLinePunct w:val="0"/>
              <w:autoSpaceDE/>
              <w:autoSpaceDN/>
              <w:bidi w:val="0"/>
              <w:spacing w:line="360" w:lineRule="auto"/>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①日常巡视</w:t>
            </w:r>
            <w:r>
              <w:rPr>
                <w:rFonts w:hint="eastAsia" w:ascii="宋体" w:hAnsi="宋体" w:cs="宋体"/>
                <w:color w:val="auto"/>
                <w:sz w:val="24"/>
                <w:szCs w:val="24"/>
                <w:highlight w:val="none"/>
                <w:lang w:val="en-US" w:eastAsia="zh-CN"/>
              </w:rPr>
              <w:t>隐患</w:t>
            </w:r>
            <w:r>
              <w:rPr>
                <w:rFonts w:hint="default" w:ascii="宋体" w:hAnsi="宋体" w:eastAsia="宋体" w:cs="宋体"/>
                <w:color w:val="auto"/>
                <w:sz w:val="24"/>
                <w:szCs w:val="24"/>
                <w:highlight w:val="none"/>
                <w:lang w:val="en-US" w:eastAsia="zh-CN"/>
              </w:rPr>
              <w:t>方案；</w:t>
            </w:r>
          </w:p>
          <w:p w14:paraId="4C97C6B3">
            <w:pPr>
              <w:pStyle w:val="108"/>
              <w:keepNext w:val="0"/>
              <w:keepLines w:val="0"/>
              <w:pageBreakBefore w:val="0"/>
              <w:kinsoku/>
              <w:wordWrap/>
              <w:overflowPunct/>
              <w:topLinePunct w:val="0"/>
              <w:autoSpaceDE/>
              <w:autoSpaceDN/>
              <w:bidi w:val="0"/>
              <w:spacing w:line="360" w:lineRule="auto"/>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②设备的运行养护、</w:t>
            </w:r>
            <w:r>
              <w:rPr>
                <w:rFonts w:hint="eastAsia" w:ascii="宋体" w:hAnsi="宋体" w:cs="宋体"/>
                <w:color w:val="auto"/>
                <w:sz w:val="24"/>
                <w:szCs w:val="24"/>
                <w:highlight w:val="none"/>
                <w:lang w:val="en-US" w:eastAsia="zh-CN"/>
              </w:rPr>
              <w:t>隐患</w:t>
            </w:r>
            <w:r>
              <w:rPr>
                <w:rFonts w:hint="default" w:ascii="宋体" w:hAnsi="宋体" w:eastAsia="宋体" w:cs="宋体"/>
                <w:color w:val="auto"/>
                <w:sz w:val="24"/>
                <w:szCs w:val="24"/>
                <w:highlight w:val="none"/>
                <w:lang w:val="en-US" w:eastAsia="zh-CN"/>
              </w:rPr>
              <w:t>方案；</w:t>
            </w:r>
          </w:p>
          <w:p w14:paraId="3491FB43">
            <w:pPr>
              <w:pStyle w:val="108"/>
              <w:keepNext w:val="0"/>
              <w:keepLines w:val="0"/>
              <w:pageBreakBefore w:val="0"/>
              <w:kinsoku/>
              <w:wordWrap/>
              <w:overflowPunct/>
              <w:topLinePunct w:val="0"/>
              <w:autoSpaceDE/>
              <w:autoSpaceDN/>
              <w:bidi w:val="0"/>
              <w:spacing w:line="360" w:lineRule="auto"/>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③</w:t>
            </w:r>
            <w:r>
              <w:rPr>
                <w:rFonts w:hint="eastAsia" w:ascii="宋体" w:hAnsi="宋体" w:cs="宋体"/>
                <w:color w:val="auto"/>
                <w:sz w:val="24"/>
                <w:szCs w:val="24"/>
                <w:highlight w:val="none"/>
                <w:lang w:val="en-US" w:eastAsia="zh-CN"/>
              </w:rPr>
              <w:t>排查隐患的进度工作方案表</w:t>
            </w:r>
          </w:p>
          <w:p w14:paraId="27A8F36E">
            <w:pPr>
              <w:pStyle w:val="108"/>
              <w:keepNext w:val="0"/>
              <w:keepLines w:val="0"/>
              <w:pageBreakBefore w:val="0"/>
              <w:kinsoku/>
              <w:wordWrap/>
              <w:overflowPunct/>
              <w:topLinePunct w:val="0"/>
              <w:autoSpaceDE/>
              <w:autoSpaceDN/>
              <w:bidi w:val="0"/>
              <w:spacing w:line="360" w:lineRule="auto"/>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④</w:t>
            </w:r>
            <w:r>
              <w:rPr>
                <w:rFonts w:hint="eastAsia" w:ascii="宋体" w:hAnsi="宋体" w:cs="宋体"/>
                <w:color w:val="auto"/>
                <w:sz w:val="24"/>
                <w:szCs w:val="24"/>
                <w:highlight w:val="none"/>
                <w:lang w:val="en-US" w:eastAsia="zh-CN"/>
              </w:rPr>
              <w:t>预防隐患管理</w:t>
            </w:r>
            <w:r>
              <w:rPr>
                <w:rFonts w:hint="default" w:ascii="宋体" w:hAnsi="宋体" w:eastAsia="宋体" w:cs="宋体"/>
                <w:color w:val="auto"/>
                <w:sz w:val="24"/>
                <w:szCs w:val="24"/>
                <w:highlight w:val="none"/>
                <w:lang w:val="en-US" w:eastAsia="zh-CN"/>
              </w:rPr>
              <w:t>制度；</w:t>
            </w:r>
          </w:p>
          <w:p w14:paraId="2F928A9C">
            <w:pPr>
              <w:pStyle w:val="108"/>
              <w:keepNext w:val="0"/>
              <w:keepLines w:val="0"/>
              <w:pageBreakBefore w:val="0"/>
              <w:kinsoku/>
              <w:wordWrap/>
              <w:overflowPunct/>
              <w:topLinePunct w:val="0"/>
              <w:autoSpaceDE/>
              <w:autoSpaceDN/>
              <w:bidi w:val="0"/>
              <w:spacing w:line="360" w:lineRule="auto"/>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⑤</w:t>
            </w:r>
            <w:r>
              <w:rPr>
                <w:rFonts w:hint="eastAsia" w:ascii="宋体" w:hAnsi="宋体" w:cs="宋体"/>
                <w:color w:val="auto"/>
                <w:sz w:val="24"/>
                <w:szCs w:val="24"/>
                <w:highlight w:val="none"/>
                <w:lang w:val="en-US" w:eastAsia="zh-CN"/>
              </w:rPr>
              <w:t>排查隐患问题并及时处理登记表</w:t>
            </w:r>
            <w:r>
              <w:rPr>
                <w:rFonts w:hint="default" w:ascii="宋体" w:hAnsi="宋体" w:eastAsia="宋体" w:cs="宋体"/>
                <w:color w:val="auto"/>
                <w:sz w:val="24"/>
                <w:szCs w:val="24"/>
                <w:highlight w:val="none"/>
                <w:lang w:val="en-US" w:eastAsia="zh-CN"/>
              </w:rPr>
              <w:t>。</w:t>
            </w:r>
          </w:p>
          <w:p w14:paraId="6CD15096">
            <w:pPr>
              <w:pStyle w:val="108"/>
              <w:keepNext w:val="0"/>
              <w:keepLines w:val="0"/>
              <w:pageBreakBefore w:val="0"/>
              <w:kinsoku/>
              <w:wordWrap/>
              <w:overflowPunct/>
              <w:topLinePunct w:val="0"/>
              <w:autoSpaceDE/>
              <w:autoSpaceDN/>
              <w:bidi w:val="0"/>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5个方面</w:t>
            </w:r>
            <w:r>
              <w:rPr>
                <w:rFonts w:hint="default" w:ascii="宋体" w:hAnsi="宋体" w:eastAsia="宋体" w:cs="宋体"/>
                <w:color w:val="auto"/>
                <w:sz w:val="24"/>
                <w:szCs w:val="24"/>
                <w:highlight w:val="none"/>
                <w:lang w:val="en-US" w:eastAsia="zh-CN"/>
              </w:rPr>
              <w:t>缺少一项扣</w:t>
            </w:r>
            <w:r>
              <w:rPr>
                <w:rFonts w:hint="eastAsia" w:ascii="宋体" w:hAnsi="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分；</w:t>
            </w:r>
          </w:p>
          <w:p w14:paraId="58F7F647">
            <w:pPr>
              <w:pStyle w:val="108"/>
              <w:keepNext w:val="0"/>
              <w:keepLines w:val="0"/>
              <w:pageBreakBefore w:val="0"/>
              <w:kinsoku/>
              <w:wordWrap/>
              <w:overflowPunct/>
              <w:topLinePunct w:val="0"/>
              <w:autoSpaceDE/>
              <w:autoSpaceDN/>
              <w:bidi w:val="0"/>
              <w:spacing w:line="360" w:lineRule="auto"/>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每项内容需结合本项目实际，要有具体步骤、方法、工具、人员、责任分工、参数范围等细节支撑，有具体工作流程的还需要有流程图，不完善扣1分；</w:t>
            </w:r>
          </w:p>
          <w:p w14:paraId="3ECBCABC">
            <w:pPr>
              <w:pStyle w:val="108"/>
              <w:keepNext w:val="0"/>
              <w:keepLines w:val="0"/>
              <w:pageBreakBefore w:val="0"/>
              <w:kinsoku/>
              <w:wordWrap/>
              <w:overflowPunct/>
              <w:topLinePunct w:val="0"/>
              <w:autoSpaceDE/>
              <w:autoSpaceDN/>
              <w:bidi w:val="0"/>
              <w:spacing w:line="360" w:lineRule="auto"/>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内容存在缺陷扣</w:t>
            </w:r>
            <w:r>
              <w:rPr>
                <w:rFonts w:hint="eastAsia" w:ascii="宋体" w:hAnsi="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分；缺陷是指①存在不适用项目实际情况的情形②项目实施地点区域错误③内容遗漏及不符合采购需求等。</w:t>
            </w:r>
          </w:p>
          <w:p w14:paraId="7BB9A3D4">
            <w:pPr>
              <w:pStyle w:val="108"/>
              <w:keepNext w:val="0"/>
              <w:keepLines w:val="0"/>
              <w:pageBreakBefore w:val="0"/>
              <w:kinsoku/>
              <w:wordWrap/>
              <w:overflowPunct/>
              <w:topLinePunct w:val="0"/>
              <w:autoSpaceDE/>
              <w:autoSpaceDN/>
              <w:bidi w:val="0"/>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满分10分。</w:t>
            </w:r>
          </w:p>
        </w:tc>
        <w:tc>
          <w:tcPr>
            <w:tcW w:w="733" w:type="dxa"/>
            <w:vAlign w:val="center"/>
          </w:tcPr>
          <w:p w14:paraId="7F005148">
            <w:pPr>
              <w:pStyle w:val="108"/>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r>
      <w:tr w14:paraId="13FDDA4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32" w:hRule="atLeast"/>
          <w:jc w:val="center"/>
        </w:trPr>
        <w:tc>
          <w:tcPr>
            <w:tcW w:w="1246" w:type="dxa"/>
            <w:vMerge w:val="continue"/>
            <w:vAlign w:val="center"/>
          </w:tcPr>
          <w:p w14:paraId="14677385">
            <w:pPr>
              <w:pStyle w:val="108"/>
              <w:spacing w:line="360" w:lineRule="auto"/>
              <w:rPr>
                <w:rFonts w:hint="eastAsia" w:ascii="宋体" w:hAnsi="宋体" w:cs="宋体"/>
                <w:color w:val="auto"/>
                <w:sz w:val="24"/>
                <w:szCs w:val="24"/>
                <w:highlight w:val="none"/>
              </w:rPr>
            </w:pPr>
          </w:p>
        </w:tc>
        <w:tc>
          <w:tcPr>
            <w:tcW w:w="1445" w:type="dxa"/>
            <w:vAlign w:val="center"/>
          </w:tcPr>
          <w:p w14:paraId="3C71E499">
            <w:pPr>
              <w:pStyle w:val="108"/>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项目安全管理方案</w:t>
            </w:r>
          </w:p>
        </w:tc>
        <w:tc>
          <w:tcPr>
            <w:tcW w:w="5096" w:type="dxa"/>
            <w:vAlign w:val="center"/>
          </w:tcPr>
          <w:p w14:paraId="4D7BCA20">
            <w:pPr>
              <w:pStyle w:val="108"/>
              <w:keepNext w:val="0"/>
              <w:keepLines w:val="0"/>
              <w:pageBreakBefore w:val="0"/>
              <w:kinsoku/>
              <w:wordWrap/>
              <w:overflowPunct/>
              <w:topLinePunct w:val="0"/>
              <w:autoSpaceDE/>
              <w:autoSpaceDN/>
              <w:bidi w:val="0"/>
              <w:spacing w:line="360" w:lineRule="auto"/>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供应商需针对本项目提供详细的</w:t>
            </w:r>
            <w:r>
              <w:rPr>
                <w:rFonts w:hint="eastAsia" w:ascii="宋体" w:hAnsi="宋体" w:cs="宋体"/>
                <w:color w:val="auto"/>
                <w:sz w:val="24"/>
                <w:szCs w:val="24"/>
                <w:highlight w:val="none"/>
                <w:lang w:val="en-US" w:eastAsia="zh-CN"/>
              </w:rPr>
              <w:t>项目安全管理方案</w:t>
            </w:r>
            <w:r>
              <w:rPr>
                <w:rFonts w:hint="default" w:ascii="宋体" w:hAnsi="宋体" w:eastAsia="宋体" w:cs="宋体"/>
                <w:color w:val="auto"/>
                <w:sz w:val="24"/>
                <w:szCs w:val="24"/>
                <w:highlight w:val="none"/>
                <w:lang w:val="en-US" w:eastAsia="zh-CN"/>
              </w:rPr>
              <w:t>，内容包括</w:t>
            </w:r>
            <w:r>
              <w:rPr>
                <w:rFonts w:hint="eastAsia" w:ascii="宋体" w:hAnsi="宋体" w:cs="宋体"/>
                <w:color w:val="auto"/>
                <w:sz w:val="24"/>
                <w:szCs w:val="24"/>
                <w:highlight w:val="none"/>
                <w:lang w:val="en-US" w:eastAsia="zh-CN"/>
              </w:rPr>
              <w:t>以下5个方面内容</w:t>
            </w:r>
            <w:r>
              <w:rPr>
                <w:rFonts w:hint="default" w:ascii="宋体" w:hAnsi="宋体" w:eastAsia="宋体" w:cs="宋体"/>
                <w:color w:val="auto"/>
                <w:sz w:val="24"/>
                <w:szCs w:val="24"/>
                <w:highlight w:val="none"/>
                <w:lang w:val="en-US" w:eastAsia="zh-CN"/>
              </w:rPr>
              <w:t>：</w:t>
            </w:r>
          </w:p>
          <w:p w14:paraId="5FA3D67F">
            <w:pPr>
              <w:pStyle w:val="108"/>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①罗列出消防测试中可能会造成人身伤害风险项目</w:t>
            </w:r>
            <w:r>
              <w:rPr>
                <w:rFonts w:hint="eastAsia" w:ascii="宋体" w:hAnsi="宋体" w:cs="宋体"/>
                <w:color w:val="auto"/>
                <w:sz w:val="24"/>
                <w:szCs w:val="24"/>
                <w:highlight w:val="none"/>
                <w:lang w:val="en-US" w:eastAsia="zh-CN"/>
              </w:rPr>
              <w:t>；</w:t>
            </w:r>
          </w:p>
          <w:p w14:paraId="51DAFA0E">
            <w:pPr>
              <w:pStyle w:val="108"/>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②服务现场安全保障方案</w:t>
            </w:r>
            <w:r>
              <w:rPr>
                <w:rFonts w:hint="eastAsia" w:ascii="宋体" w:hAnsi="宋体" w:cs="宋体"/>
                <w:color w:val="auto"/>
                <w:sz w:val="24"/>
                <w:szCs w:val="24"/>
                <w:highlight w:val="none"/>
                <w:lang w:val="en-US" w:eastAsia="zh-CN"/>
              </w:rPr>
              <w:t>；</w:t>
            </w:r>
          </w:p>
          <w:p w14:paraId="1C95BE29">
            <w:pPr>
              <w:pStyle w:val="108"/>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③建立服务项目安全责任人、执行人并明确消防安全岗位职责</w:t>
            </w:r>
            <w:r>
              <w:rPr>
                <w:rFonts w:hint="eastAsia" w:ascii="宋体" w:hAnsi="宋体" w:cs="宋体"/>
                <w:color w:val="auto"/>
                <w:sz w:val="24"/>
                <w:szCs w:val="24"/>
                <w:highlight w:val="none"/>
                <w:lang w:val="en-US" w:eastAsia="zh-CN"/>
              </w:rPr>
              <w:t>；</w:t>
            </w:r>
          </w:p>
          <w:p w14:paraId="260A8166">
            <w:pPr>
              <w:pStyle w:val="108"/>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④企业对消防服务安全设备的投入，例如安全帽、劳保鞋、高空作业设备等以及培训使用方法</w:t>
            </w:r>
            <w:r>
              <w:rPr>
                <w:rFonts w:hint="eastAsia" w:ascii="宋体" w:hAnsi="宋体" w:cs="宋体"/>
                <w:color w:val="auto"/>
                <w:sz w:val="24"/>
                <w:szCs w:val="24"/>
                <w:highlight w:val="none"/>
                <w:lang w:val="en-US" w:eastAsia="zh-CN"/>
              </w:rPr>
              <w:t>；</w:t>
            </w:r>
          </w:p>
          <w:p w14:paraId="54370EDB">
            <w:pPr>
              <w:pStyle w:val="108"/>
              <w:keepNext w:val="0"/>
              <w:keepLines w:val="0"/>
              <w:pageBreakBefore w:val="0"/>
              <w:kinsoku/>
              <w:wordWrap/>
              <w:overflowPunct/>
              <w:topLinePunct w:val="0"/>
              <w:autoSpaceDE/>
              <w:autoSpaceDN/>
              <w:bidi w:val="0"/>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⑤维保检测维修服务安全承诺书</w:t>
            </w:r>
            <w:r>
              <w:rPr>
                <w:rFonts w:hint="eastAsia" w:ascii="宋体" w:hAnsi="宋体" w:cs="宋体"/>
                <w:color w:val="auto"/>
                <w:sz w:val="24"/>
                <w:szCs w:val="24"/>
                <w:highlight w:val="none"/>
                <w:lang w:val="en-US" w:eastAsia="zh-CN"/>
              </w:rPr>
              <w:t>5个方面</w:t>
            </w:r>
            <w:r>
              <w:rPr>
                <w:rFonts w:hint="default" w:ascii="宋体" w:hAnsi="宋体" w:eastAsia="宋体" w:cs="宋体"/>
                <w:color w:val="auto"/>
                <w:sz w:val="24"/>
                <w:szCs w:val="24"/>
                <w:highlight w:val="none"/>
                <w:lang w:val="en-US" w:eastAsia="zh-CN"/>
              </w:rPr>
              <w:t>缺少一项扣</w:t>
            </w:r>
            <w:r>
              <w:rPr>
                <w:rFonts w:hint="eastAsia" w:ascii="宋体" w:hAnsi="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分；</w:t>
            </w:r>
          </w:p>
          <w:p w14:paraId="4C126E0C">
            <w:pPr>
              <w:pStyle w:val="108"/>
              <w:keepNext w:val="0"/>
              <w:keepLines w:val="0"/>
              <w:pageBreakBefore w:val="0"/>
              <w:kinsoku/>
              <w:wordWrap/>
              <w:overflowPunct/>
              <w:topLinePunct w:val="0"/>
              <w:autoSpaceDE/>
              <w:autoSpaceDN/>
              <w:bidi w:val="0"/>
              <w:spacing w:line="360" w:lineRule="auto"/>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每项内容需结合本项目实际，要有具体步骤、方法、工具、人员、责任分工、参数范围等细节支撑，有具体工作流程的还需要有流程图，不完善扣0.5分；</w:t>
            </w:r>
          </w:p>
          <w:p w14:paraId="57B355DD">
            <w:pPr>
              <w:pStyle w:val="108"/>
              <w:keepNext w:val="0"/>
              <w:keepLines w:val="0"/>
              <w:pageBreakBefore w:val="0"/>
              <w:kinsoku/>
              <w:wordWrap/>
              <w:overflowPunct/>
              <w:topLinePunct w:val="0"/>
              <w:autoSpaceDE/>
              <w:autoSpaceDN/>
              <w:bidi w:val="0"/>
              <w:spacing w:line="360" w:lineRule="auto"/>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内容存在缺陷扣</w:t>
            </w:r>
            <w:r>
              <w:rPr>
                <w:rFonts w:hint="eastAsia" w:ascii="宋体" w:hAnsi="宋体" w:cs="宋体"/>
                <w:color w:val="auto"/>
                <w:sz w:val="24"/>
                <w:szCs w:val="24"/>
                <w:highlight w:val="none"/>
                <w:lang w:val="en-US" w:eastAsia="zh-CN"/>
              </w:rPr>
              <w:t>0.5</w:t>
            </w:r>
            <w:r>
              <w:rPr>
                <w:rFonts w:hint="default" w:ascii="宋体" w:hAnsi="宋体" w:eastAsia="宋体" w:cs="宋体"/>
                <w:color w:val="auto"/>
                <w:sz w:val="24"/>
                <w:szCs w:val="24"/>
                <w:highlight w:val="none"/>
                <w:lang w:val="en-US" w:eastAsia="zh-CN"/>
              </w:rPr>
              <w:t>分；缺陷是指①存在不适用项目实际情况的情形②项目实施地点区域错误③内容遗漏及不符合采购需求等。</w:t>
            </w:r>
          </w:p>
          <w:p w14:paraId="294BFB6C">
            <w:pPr>
              <w:pStyle w:val="108"/>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满分5分。</w:t>
            </w:r>
          </w:p>
        </w:tc>
        <w:tc>
          <w:tcPr>
            <w:tcW w:w="733" w:type="dxa"/>
            <w:vAlign w:val="center"/>
          </w:tcPr>
          <w:p w14:paraId="2353822D">
            <w:pPr>
              <w:pStyle w:val="108"/>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14:paraId="339DDCD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0" w:hRule="atLeast"/>
          <w:jc w:val="center"/>
        </w:trPr>
        <w:tc>
          <w:tcPr>
            <w:tcW w:w="1246" w:type="dxa"/>
            <w:vMerge w:val="continue"/>
            <w:vAlign w:val="center"/>
          </w:tcPr>
          <w:p w14:paraId="28C9E4A6">
            <w:pPr>
              <w:pStyle w:val="108"/>
              <w:spacing w:line="360" w:lineRule="auto"/>
              <w:rPr>
                <w:rFonts w:hint="eastAsia" w:ascii="宋体" w:hAnsi="宋体" w:cs="宋体"/>
                <w:color w:val="auto"/>
                <w:sz w:val="24"/>
                <w:szCs w:val="24"/>
                <w:highlight w:val="none"/>
              </w:rPr>
            </w:pPr>
          </w:p>
        </w:tc>
        <w:tc>
          <w:tcPr>
            <w:tcW w:w="1445" w:type="dxa"/>
            <w:vAlign w:val="center"/>
          </w:tcPr>
          <w:p w14:paraId="50D48CC6">
            <w:pPr>
              <w:pStyle w:val="10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pacing w:val="0"/>
                <w:position w:val="0"/>
                <w:sz w:val="24"/>
                <w:szCs w:val="24"/>
                <w:highlight w:val="none"/>
                <w:lang w:val="en-US" w:eastAsia="zh-CN"/>
              </w:rPr>
              <w:t>应急预案</w:t>
            </w:r>
          </w:p>
        </w:tc>
        <w:tc>
          <w:tcPr>
            <w:tcW w:w="5096" w:type="dxa"/>
            <w:vAlign w:val="center"/>
          </w:tcPr>
          <w:p w14:paraId="687CE871">
            <w:pPr>
              <w:pStyle w:val="108"/>
              <w:keepNext w:val="0"/>
              <w:keepLines w:val="0"/>
              <w:pageBreakBefore w:val="0"/>
              <w:kinsoku/>
              <w:wordWrap/>
              <w:overflowPunct/>
              <w:topLinePunct w:val="0"/>
              <w:autoSpaceDE/>
              <w:autoSpaceDN/>
              <w:bidi w:val="0"/>
              <w:spacing w:line="360" w:lineRule="auto"/>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供应商需针对本项目提供详细的</w:t>
            </w:r>
            <w:r>
              <w:rPr>
                <w:rFonts w:hint="eastAsia" w:ascii="宋体" w:hAnsi="宋体" w:eastAsia="宋体" w:cs="宋体"/>
                <w:color w:val="auto"/>
                <w:sz w:val="24"/>
                <w:szCs w:val="24"/>
                <w:highlight w:val="none"/>
                <w:lang w:val="en-US" w:eastAsia="zh-CN"/>
              </w:rPr>
              <w:t>应急预案，</w:t>
            </w:r>
            <w:r>
              <w:rPr>
                <w:rFonts w:hint="default" w:ascii="宋体" w:hAnsi="宋体" w:eastAsia="宋体" w:cs="宋体"/>
                <w:color w:val="auto"/>
                <w:sz w:val="24"/>
                <w:szCs w:val="24"/>
                <w:highlight w:val="none"/>
                <w:lang w:val="en-US" w:eastAsia="zh-CN"/>
              </w:rPr>
              <w:t>内容包括</w:t>
            </w:r>
            <w:r>
              <w:rPr>
                <w:rFonts w:hint="eastAsia" w:ascii="宋体" w:hAnsi="宋体" w:cs="宋体"/>
                <w:color w:val="auto"/>
                <w:sz w:val="24"/>
                <w:szCs w:val="24"/>
                <w:highlight w:val="none"/>
                <w:lang w:val="en-US" w:eastAsia="zh-CN"/>
              </w:rPr>
              <w:t>以下9个方面内容</w:t>
            </w:r>
            <w:r>
              <w:rPr>
                <w:rFonts w:hint="default" w:ascii="宋体" w:hAnsi="宋体" w:eastAsia="宋体" w:cs="宋体"/>
                <w:color w:val="auto"/>
                <w:sz w:val="24"/>
                <w:szCs w:val="24"/>
                <w:highlight w:val="none"/>
                <w:lang w:val="en-US" w:eastAsia="zh-CN"/>
              </w:rPr>
              <w:t>：</w:t>
            </w:r>
          </w:p>
          <w:p w14:paraId="3B8F4233">
            <w:pPr>
              <w:pStyle w:val="108"/>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①消防防范</w:t>
            </w:r>
            <w:r>
              <w:rPr>
                <w:rFonts w:hint="eastAsia" w:ascii="宋体" w:hAnsi="宋体" w:cs="宋体"/>
                <w:color w:val="auto"/>
                <w:sz w:val="24"/>
                <w:szCs w:val="24"/>
                <w:highlight w:val="none"/>
                <w:lang w:val="en-US" w:eastAsia="zh-CN"/>
              </w:rPr>
              <w:t>；</w:t>
            </w:r>
          </w:p>
          <w:p w14:paraId="55547C1E">
            <w:pPr>
              <w:pStyle w:val="108"/>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②火警处置</w:t>
            </w:r>
            <w:r>
              <w:rPr>
                <w:rFonts w:hint="eastAsia" w:ascii="宋体" w:hAnsi="宋体" w:cs="宋体"/>
                <w:color w:val="auto"/>
                <w:sz w:val="24"/>
                <w:szCs w:val="24"/>
                <w:highlight w:val="none"/>
                <w:lang w:val="en-US" w:eastAsia="zh-CN"/>
              </w:rPr>
              <w:t>；</w:t>
            </w:r>
          </w:p>
          <w:p w14:paraId="3C0884A1">
            <w:pPr>
              <w:pStyle w:val="108"/>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③其他突发性事件的组织机构和应急预案</w:t>
            </w:r>
            <w:r>
              <w:rPr>
                <w:rFonts w:hint="eastAsia" w:ascii="宋体" w:hAnsi="宋体" w:cs="宋体"/>
                <w:color w:val="auto"/>
                <w:sz w:val="24"/>
                <w:szCs w:val="24"/>
                <w:highlight w:val="none"/>
                <w:lang w:val="en-US" w:eastAsia="zh-CN"/>
              </w:rPr>
              <w:t>；</w:t>
            </w:r>
          </w:p>
          <w:p w14:paraId="3E60FE67">
            <w:pPr>
              <w:pStyle w:val="108"/>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④突发事件处理程序</w:t>
            </w:r>
            <w:r>
              <w:rPr>
                <w:rFonts w:hint="eastAsia" w:ascii="宋体" w:hAnsi="宋体" w:cs="宋体"/>
                <w:color w:val="auto"/>
                <w:sz w:val="24"/>
                <w:szCs w:val="24"/>
                <w:highlight w:val="none"/>
                <w:lang w:val="en-US" w:eastAsia="zh-CN"/>
              </w:rPr>
              <w:t>；</w:t>
            </w:r>
          </w:p>
          <w:p w14:paraId="56F78D0F">
            <w:pPr>
              <w:pStyle w:val="108"/>
              <w:keepNext w:val="0"/>
              <w:keepLines w:val="0"/>
              <w:pageBreakBefore w:val="0"/>
              <w:kinsoku/>
              <w:wordWrap/>
              <w:overflowPunct/>
              <w:topLinePunct w:val="0"/>
              <w:autoSpaceDE/>
              <w:autoSpaceDN/>
              <w:bidi w:val="0"/>
              <w:spacing w:line="360" w:lineRule="auto"/>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⑤机械伤人；</w:t>
            </w:r>
          </w:p>
          <w:p w14:paraId="46AC941D">
            <w:pPr>
              <w:pStyle w:val="108"/>
              <w:keepNext w:val="0"/>
              <w:keepLines w:val="0"/>
              <w:pageBreakBefore w:val="0"/>
              <w:kinsoku/>
              <w:wordWrap/>
              <w:overflowPunct/>
              <w:topLinePunct w:val="0"/>
              <w:autoSpaceDE/>
              <w:autoSpaceDN/>
              <w:bidi w:val="0"/>
              <w:spacing w:line="360" w:lineRule="auto"/>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⑥高空作业；</w:t>
            </w:r>
          </w:p>
          <w:p w14:paraId="33587FF4">
            <w:pPr>
              <w:pStyle w:val="108"/>
              <w:keepNext w:val="0"/>
              <w:keepLines w:val="0"/>
              <w:pageBreakBefore w:val="0"/>
              <w:kinsoku/>
              <w:wordWrap/>
              <w:overflowPunct/>
              <w:topLinePunct w:val="0"/>
              <w:autoSpaceDE/>
              <w:autoSpaceDN/>
              <w:bidi w:val="0"/>
              <w:spacing w:line="360" w:lineRule="auto"/>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⑦受限空间；</w:t>
            </w:r>
          </w:p>
          <w:p w14:paraId="4BB211C8">
            <w:pPr>
              <w:pStyle w:val="108"/>
              <w:keepNext w:val="0"/>
              <w:keepLines w:val="0"/>
              <w:pageBreakBefore w:val="0"/>
              <w:kinsoku/>
              <w:wordWrap/>
              <w:overflowPunct/>
              <w:topLinePunct w:val="0"/>
              <w:autoSpaceDE/>
              <w:autoSpaceDN/>
              <w:bidi w:val="0"/>
              <w:spacing w:line="360" w:lineRule="auto"/>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⑧触电；</w:t>
            </w:r>
          </w:p>
          <w:p w14:paraId="5330A4BF">
            <w:pPr>
              <w:pStyle w:val="108"/>
              <w:keepNext w:val="0"/>
              <w:keepLines w:val="0"/>
              <w:pageBreakBefore w:val="0"/>
              <w:kinsoku/>
              <w:wordWrap/>
              <w:overflowPunct/>
              <w:topLinePunct w:val="0"/>
              <w:autoSpaceDE/>
              <w:autoSpaceDN/>
              <w:bidi w:val="0"/>
              <w:spacing w:line="360" w:lineRule="auto"/>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⑨极端天气伤害；</w:t>
            </w:r>
          </w:p>
          <w:p w14:paraId="27EFB895">
            <w:pPr>
              <w:pStyle w:val="108"/>
              <w:keepNext w:val="0"/>
              <w:keepLines w:val="0"/>
              <w:pageBreakBefore w:val="0"/>
              <w:kinsoku/>
              <w:wordWrap/>
              <w:overflowPunct/>
              <w:topLinePunct w:val="0"/>
              <w:autoSpaceDE/>
              <w:autoSpaceDN/>
              <w:bidi w:val="0"/>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9个方面</w:t>
            </w:r>
            <w:r>
              <w:rPr>
                <w:rFonts w:hint="default" w:ascii="宋体" w:hAnsi="宋体" w:eastAsia="宋体" w:cs="宋体"/>
                <w:color w:val="auto"/>
                <w:sz w:val="24"/>
                <w:szCs w:val="24"/>
                <w:highlight w:val="none"/>
                <w:lang w:val="en-US" w:eastAsia="zh-CN"/>
              </w:rPr>
              <w:t>缺少一项扣</w:t>
            </w:r>
            <w:r>
              <w:rPr>
                <w:rFonts w:hint="eastAsia" w:ascii="宋体" w:hAnsi="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分；</w:t>
            </w:r>
          </w:p>
          <w:p w14:paraId="5AFE8298">
            <w:pPr>
              <w:pStyle w:val="108"/>
              <w:keepNext w:val="0"/>
              <w:keepLines w:val="0"/>
              <w:pageBreakBefore w:val="0"/>
              <w:kinsoku/>
              <w:wordWrap/>
              <w:overflowPunct/>
              <w:topLinePunct w:val="0"/>
              <w:autoSpaceDE/>
              <w:autoSpaceDN/>
              <w:bidi w:val="0"/>
              <w:spacing w:line="360" w:lineRule="auto"/>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每项内容需结合本项目实际，要有具体步骤、方法、工具、人员、责任分工、参数范围等细节支撑，有具体工作流程的还需要有流程图，不完善扣0.5分；</w:t>
            </w:r>
          </w:p>
          <w:p w14:paraId="03E00A9B">
            <w:pPr>
              <w:pStyle w:val="108"/>
              <w:keepNext w:val="0"/>
              <w:keepLines w:val="0"/>
              <w:pageBreakBefore w:val="0"/>
              <w:kinsoku/>
              <w:wordWrap/>
              <w:overflowPunct/>
              <w:topLinePunct w:val="0"/>
              <w:autoSpaceDE/>
              <w:autoSpaceDN/>
              <w:bidi w:val="0"/>
              <w:spacing w:line="360" w:lineRule="auto"/>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内容存在缺陷扣</w:t>
            </w:r>
            <w:r>
              <w:rPr>
                <w:rFonts w:hint="eastAsia" w:ascii="宋体" w:hAnsi="宋体" w:cs="宋体"/>
                <w:color w:val="auto"/>
                <w:sz w:val="24"/>
                <w:szCs w:val="24"/>
                <w:highlight w:val="none"/>
                <w:lang w:val="en-US" w:eastAsia="zh-CN"/>
              </w:rPr>
              <w:t>0.5</w:t>
            </w:r>
            <w:r>
              <w:rPr>
                <w:rFonts w:hint="default" w:ascii="宋体" w:hAnsi="宋体" w:eastAsia="宋体" w:cs="宋体"/>
                <w:color w:val="auto"/>
                <w:sz w:val="24"/>
                <w:szCs w:val="24"/>
                <w:highlight w:val="none"/>
                <w:lang w:val="en-US" w:eastAsia="zh-CN"/>
              </w:rPr>
              <w:t>分；缺陷是指①存在不适用项目实际情况的情形②项目实施地点区域错误③内容遗漏及不符合采购需求等。</w:t>
            </w:r>
          </w:p>
          <w:p w14:paraId="0E874D2D">
            <w:pPr>
              <w:pStyle w:val="108"/>
              <w:keepNext w:val="0"/>
              <w:keepLines w:val="0"/>
              <w:pageBreakBefore w:val="0"/>
              <w:kinsoku/>
              <w:wordWrap/>
              <w:overflowPunct/>
              <w:topLinePunct w:val="0"/>
              <w:autoSpaceDE/>
              <w:autoSpaceDN/>
              <w:bidi w:val="0"/>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满分9分。</w:t>
            </w:r>
          </w:p>
        </w:tc>
        <w:tc>
          <w:tcPr>
            <w:tcW w:w="733" w:type="dxa"/>
            <w:vAlign w:val="center"/>
          </w:tcPr>
          <w:p w14:paraId="18ABCDA7">
            <w:pPr>
              <w:pStyle w:val="108"/>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r>
      <w:tr w14:paraId="58BFB9A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32" w:hRule="atLeast"/>
          <w:jc w:val="center"/>
        </w:trPr>
        <w:tc>
          <w:tcPr>
            <w:tcW w:w="1246" w:type="dxa"/>
            <w:vMerge w:val="continue"/>
            <w:vAlign w:val="center"/>
          </w:tcPr>
          <w:p w14:paraId="437ED140">
            <w:pPr>
              <w:pStyle w:val="108"/>
              <w:spacing w:line="360" w:lineRule="auto"/>
              <w:rPr>
                <w:rFonts w:hint="eastAsia" w:ascii="宋体" w:hAnsi="宋体" w:cs="宋体"/>
                <w:color w:val="auto"/>
                <w:sz w:val="24"/>
                <w:szCs w:val="24"/>
                <w:highlight w:val="none"/>
              </w:rPr>
            </w:pPr>
          </w:p>
        </w:tc>
        <w:tc>
          <w:tcPr>
            <w:tcW w:w="1445" w:type="dxa"/>
            <w:vAlign w:val="center"/>
          </w:tcPr>
          <w:p w14:paraId="5F81989A">
            <w:pPr>
              <w:pStyle w:val="108"/>
              <w:spacing w:line="360" w:lineRule="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优惠条件</w:t>
            </w:r>
          </w:p>
        </w:tc>
        <w:tc>
          <w:tcPr>
            <w:tcW w:w="5096" w:type="dxa"/>
            <w:vAlign w:val="center"/>
          </w:tcPr>
          <w:p w14:paraId="0C01D094">
            <w:pPr>
              <w:pStyle w:val="108"/>
              <w:keepNext w:val="0"/>
              <w:keepLines w:val="0"/>
              <w:pageBreakBefore w:val="0"/>
              <w:kinsoku/>
              <w:wordWrap/>
              <w:overflowPunct/>
              <w:topLinePunct w:val="0"/>
              <w:autoSpaceDE/>
              <w:autoSpaceDN/>
              <w:bidi w:val="0"/>
              <w:spacing w:line="360" w:lineRule="auto"/>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提供实质性优惠条件的得5分；</w:t>
            </w:r>
          </w:p>
          <w:p w14:paraId="29976479">
            <w:pPr>
              <w:pStyle w:val="108"/>
              <w:keepNext w:val="0"/>
              <w:keepLines w:val="0"/>
              <w:pageBreakBefore w:val="0"/>
              <w:kinsoku/>
              <w:wordWrap/>
              <w:overflowPunct/>
              <w:topLinePunct w:val="0"/>
              <w:autoSpaceDE/>
              <w:autoSpaceDN/>
              <w:bidi w:val="0"/>
              <w:spacing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实质性优惠条件：当采购方消防设施发生突发故障或损坏时，承诺在一定金额范围内，免费提供维修服务和更换损坏设备。</w:t>
            </w:r>
          </w:p>
        </w:tc>
        <w:tc>
          <w:tcPr>
            <w:tcW w:w="733" w:type="dxa"/>
            <w:vAlign w:val="center"/>
          </w:tcPr>
          <w:p w14:paraId="42F600A4">
            <w:pPr>
              <w:pStyle w:val="108"/>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14:paraId="202330F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32" w:hRule="atLeast"/>
          <w:jc w:val="center"/>
        </w:trPr>
        <w:tc>
          <w:tcPr>
            <w:tcW w:w="1246" w:type="dxa"/>
            <w:vMerge w:val="continue"/>
            <w:vAlign w:val="center"/>
          </w:tcPr>
          <w:p w14:paraId="0A1575B8">
            <w:pPr>
              <w:pStyle w:val="108"/>
              <w:spacing w:line="360" w:lineRule="auto"/>
              <w:rPr>
                <w:rFonts w:hint="eastAsia" w:ascii="宋体" w:hAnsi="宋体" w:cs="宋体"/>
                <w:color w:val="auto"/>
                <w:sz w:val="24"/>
                <w:szCs w:val="24"/>
                <w:highlight w:val="none"/>
              </w:rPr>
            </w:pPr>
          </w:p>
        </w:tc>
        <w:tc>
          <w:tcPr>
            <w:tcW w:w="1445" w:type="dxa"/>
            <w:vAlign w:val="center"/>
          </w:tcPr>
          <w:p w14:paraId="70FE19AD">
            <w:pPr>
              <w:pStyle w:val="108"/>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培训方案</w:t>
            </w:r>
          </w:p>
        </w:tc>
        <w:tc>
          <w:tcPr>
            <w:tcW w:w="5096" w:type="dxa"/>
            <w:vAlign w:val="center"/>
          </w:tcPr>
          <w:p w14:paraId="47201FB9">
            <w:pPr>
              <w:pStyle w:val="108"/>
              <w:keepNext w:val="0"/>
              <w:keepLines w:val="0"/>
              <w:pageBreakBefore w:val="0"/>
              <w:kinsoku/>
              <w:wordWrap/>
              <w:overflowPunct/>
              <w:topLinePunct w:val="0"/>
              <w:autoSpaceDE/>
              <w:autoSpaceDN/>
              <w:bidi w:val="0"/>
              <w:spacing w:line="360" w:lineRule="auto"/>
              <w:jc w:val="left"/>
              <w:rPr>
                <w:rFonts w:hint="eastAsia" w:ascii="宋体" w:hAnsi="宋体" w:cs="宋体"/>
                <w:color w:val="auto"/>
                <w:sz w:val="24"/>
                <w:szCs w:val="24"/>
                <w:highlight w:val="none"/>
                <w:lang w:val="en-US" w:eastAsia="zh-CN"/>
              </w:rPr>
            </w:pPr>
            <w:bookmarkStart w:id="173" w:name="_GoBack"/>
            <w:r>
              <w:rPr>
                <w:rFonts w:hint="default" w:ascii="宋体" w:hAnsi="宋体" w:eastAsia="宋体" w:cs="宋体"/>
                <w:color w:val="auto"/>
                <w:sz w:val="24"/>
                <w:szCs w:val="24"/>
                <w:highlight w:val="none"/>
                <w:lang w:val="en-US" w:eastAsia="zh-CN"/>
              </w:rPr>
              <w:t>供应商需针对本项目提供详细的</w:t>
            </w:r>
            <w:r>
              <w:rPr>
                <w:rFonts w:hint="eastAsia" w:ascii="宋体" w:hAnsi="宋体" w:eastAsia="宋体" w:cs="宋体"/>
                <w:color w:val="auto"/>
                <w:sz w:val="24"/>
                <w:szCs w:val="24"/>
                <w:highlight w:val="none"/>
                <w:lang w:val="en-US" w:eastAsia="zh-CN"/>
              </w:rPr>
              <w:t>培训方案，</w:t>
            </w:r>
            <w:r>
              <w:rPr>
                <w:rFonts w:hint="default" w:ascii="宋体" w:hAnsi="宋体" w:eastAsia="宋体" w:cs="宋体"/>
                <w:color w:val="auto"/>
                <w:sz w:val="24"/>
                <w:szCs w:val="24"/>
                <w:highlight w:val="none"/>
                <w:lang w:val="en-US" w:eastAsia="zh-CN"/>
              </w:rPr>
              <w:t>内容包括</w:t>
            </w:r>
            <w:r>
              <w:rPr>
                <w:rFonts w:hint="eastAsia" w:ascii="宋体" w:hAnsi="宋体" w:cs="宋体"/>
                <w:color w:val="auto"/>
                <w:sz w:val="24"/>
                <w:szCs w:val="24"/>
                <w:highlight w:val="none"/>
                <w:lang w:val="en-US" w:eastAsia="zh-CN"/>
              </w:rPr>
              <w:t>以下4个方面内容</w:t>
            </w:r>
            <w:r>
              <w:rPr>
                <w:rFonts w:hint="default" w:ascii="宋体" w:hAnsi="宋体" w:eastAsia="宋体" w:cs="宋体"/>
                <w:color w:val="auto"/>
                <w:sz w:val="24"/>
                <w:szCs w:val="24"/>
                <w:highlight w:val="none"/>
                <w:lang w:val="en-US" w:eastAsia="zh-CN"/>
              </w:rPr>
              <w:t>：</w:t>
            </w:r>
          </w:p>
          <w:p w14:paraId="498ECAF5">
            <w:pPr>
              <w:pStyle w:val="108"/>
              <w:keepNext w:val="0"/>
              <w:keepLines w:val="0"/>
              <w:pageBreakBefore w:val="0"/>
              <w:kinsoku/>
              <w:wordWrap/>
              <w:overflowPunct/>
              <w:topLinePunct w:val="0"/>
              <w:autoSpaceDE/>
              <w:autoSpaceDN/>
              <w:bidi w:val="0"/>
              <w:spacing w:line="360" w:lineRule="auto"/>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①灭火培训</w:t>
            </w:r>
          </w:p>
          <w:p w14:paraId="6B4025F2">
            <w:pPr>
              <w:pStyle w:val="108"/>
              <w:keepNext w:val="0"/>
              <w:keepLines w:val="0"/>
              <w:pageBreakBefore w:val="0"/>
              <w:kinsoku/>
              <w:wordWrap/>
              <w:overflowPunct/>
              <w:topLinePunct w:val="0"/>
              <w:autoSpaceDE/>
              <w:autoSpaceDN/>
              <w:bidi w:val="0"/>
              <w:spacing w:line="360" w:lineRule="auto"/>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②消防电消防水培训</w:t>
            </w:r>
          </w:p>
          <w:p w14:paraId="6103D50B">
            <w:pPr>
              <w:pStyle w:val="108"/>
              <w:keepNext w:val="0"/>
              <w:keepLines w:val="0"/>
              <w:pageBreakBefore w:val="0"/>
              <w:kinsoku/>
              <w:wordWrap/>
              <w:overflowPunct/>
              <w:topLinePunct w:val="0"/>
              <w:autoSpaceDE/>
              <w:autoSpaceDN/>
              <w:bidi w:val="0"/>
              <w:spacing w:line="360" w:lineRule="auto"/>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③消防设施基础培训</w:t>
            </w:r>
          </w:p>
          <w:p w14:paraId="11242969">
            <w:pPr>
              <w:pStyle w:val="108"/>
              <w:keepNext w:val="0"/>
              <w:keepLines w:val="0"/>
              <w:pageBreakBefore w:val="0"/>
              <w:kinsoku/>
              <w:wordWrap/>
              <w:overflowPunct/>
              <w:topLinePunct w:val="0"/>
              <w:autoSpaceDE/>
              <w:autoSpaceDN/>
              <w:bidi w:val="0"/>
              <w:spacing w:line="360" w:lineRule="auto"/>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④消防自救方法培训</w:t>
            </w:r>
          </w:p>
          <w:p w14:paraId="0B01204B">
            <w:pPr>
              <w:pStyle w:val="108"/>
              <w:keepNext w:val="0"/>
              <w:keepLines w:val="0"/>
              <w:pageBreakBefore w:val="0"/>
              <w:kinsoku/>
              <w:wordWrap/>
              <w:overflowPunct/>
              <w:topLinePunct w:val="0"/>
              <w:autoSpaceDE/>
              <w:autoSpaceDN/>
              <w:bidi w:val="0"/>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4个方面</w:t>
            </w:r>
            <w:r>
              <w:rPr>
                <w:rFonts w:hint="default" w:ascii="宋体" w:hAnsi="宋体" w:eastAsia="宋体" w:cs="宋体"/>
                <w:color w:val="auto"/>
                <w:sz w:val="24"/>
                <w:szCs w:val="24"/>
                <w:highlight w:val="none"/>
                <w:lang w:val="en-US" w:eastAsia="zh-CN"/>
              </w:rPr>
              <w:t>缺少一项扣</w:t>
            </w:r>
            <w:r>
              <w:rPr>
                <w:rFonts w:hint="eastAsia" w:ascii="宋体" w:hAnsi="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分；</w:t>
            </w:r>
          </w:p>
          <w:p w14:paraId="36B5A4B5">
            <w:pPr>
              <w:pStyle w:val="108"/>
              <w:keepNext w:val="0"/>
              <w:keepLines w:val="0"/>
              <w:pageBreakBefore w:val="0"/>
              <w:kinsoku/>
              <w:wordWrap/>
              <w:overflowPunct/>
              <w:topLinePunct w:val="0"/>
              <w:autoSpaceDE/>
              <w:autoSpaceDN/>
              <w:bidi w:val="0"/>
              <w:spacing w:line="360" w:lineRule="auto"/>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每项内容需结合本项目实际，要有具体步骤、方法、工具、人员、责任分工、参数范围等细节支撑，有具体工作流程的还需要有流程图，不完善扣0.5分；</w:t>
            </w:r>
          </w:p>
          <w:p w14:paraId="5C95B3F0">
            <w:pPr>
              <w:pStyle w:val="108"/>
              <w:keepNext w:val="0"/>
              <w:keepLines w:val="0"/>
              <w:pageBreakBefore w:val="0"/>
              <w:kinsoku/>
              <w:wordWrap/>
              <w:overflowPunct/>
              <w:topLinePunct w:val="0"/>
              <w:autoSpaceDE/>
              <w:autoSpaceDN/>
              <w:bidi w:val="0"/>
              <w:spacing w:line="360" w:lineRule="auto"/>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内容存在缺陷扣</w:t>
            </w:r>
            <w:r>
              <w:rPr>
                <w:rFonts w:hint="eastAsia" w:ascii="宋体" w:hAnsi="宋体" w:cs="宋体"/>
                <w:color w:val="auto"/>
                <w:sz w:val="24"/>
                <w:szCs w:val="24"/>
                <w:highlight w:val="none"/>
                <w:lang w:val="en-US" w:eastAsia="zh-CN"/>
              </w:rPr>
              <w:t>0.5</w:t>
            </w:r>
            <w:r>
              <w:rPr>
                <w:rFonts w:hint="default" w:ascii="宋体" w:hAnsi="宋体" w:eastAsia="宋体" w:cs="宋体"/>
                <w:color w:val="auto"/>
                <w:sz w:val="24"/>
                <w:szCs w:val="24"/>
                <w:highlight w:val="none"/>
                <w:lang w:val="en-US" w:eastAsia="zh-CN"/>
              </w:rPr>
              <w:t>分；缺陷是指①存在不适用项目实际情况的情形②项目实施地点区域错误③内容遗漏及不符合采购需求等。</w:t>
            </w:r>
          </w:p>
          <w:p w14:paraId="05904903">
            <w:pPr>
              <w:pStyle w:val="108"/>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满分4分。</w:t>
            </w:r>
            <w:bookmarkEnd w:id="173"/>
          </w:p>
        </w:tc>
        <w:tc>
          <w:tcPr>
            <w:tcW w:w="733" w:type="dxa"/>
            <w:vAlign w:val="center"/>
          </w:tcPr>
          <w:p w14:paraId="7765FDFE">
            <w:pPr>
              <w:pStyle w:val="108"/>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r>
    </w:tbl>
    <w:p w14:paraId="0464B871">
      <w:pPr>
        <w:pStyle w:val="96"/>
        <w:spacing w:line="440" w:lineRule="exact"/>
        <w:rPr>
          <w:rFonts w:hint="eastAsia" w:asciiTheme="minorEastAsia" w:hAnsiTheme="minorEastAsia" w:eastAsiaTheme="minorEastAsia" w:cstheme="minorEastAsia"/>
          <w:sz w:val="24"/>
          <w:szCs w:val="24"/>
        </w:rPr>
      </w:pPr>
    </w:p>
    <w:p w14:paraId="1324AECE">
      <w:pPr>
        <w:pStyle w:val="96"/>
        <w:spacing w:line="440" w:lineRule="exact"/>
        <w:rPr>
          <w:rFonts w:hint="eastAsia" w:asciiTheme="minorEastAsia" w:hAnsiTheme="minorEastAsia" w:eastAsiaTheme="minorEastAsia" w:cstheme="minorEastAsia"/>
          <w:sz w:val="24"/>
          <w:szCs w:val="24"/>
        </w:rPr>
      </w:pPr>
    </w:p>
    <w:p w14:paraId="76CD6525">
      <w:pPr>
        <w:pStyle w:val="96"/>
        <w:spacing w:line="440" w:lineRule="exact"/>
        <w:rPr>
          <w:rFonts w:hint="eastAsia" w:asciiTheme="minorEastAsia" w:hAnsiTheme="minorEastAsia" w:eastAsiaTheme="minorEastAsia" w:cstheme="minorEastAsia"/>
          <w:sz w:val="24"/>
          <w:szCs w:val="24"/>
        </w:rPr>
      </w:pPr>
    </w:p>
    <w:p w14:paraId="077CE514">
      <w:pPr>
        <w:pStyle w:val="96"/>
        <w:spacing w:line="440" w:lineRule="exact"/>
        <w:rPr>
          <w:rFonts w:hint="eastAsia" w:asciiTheme="minorEastAsia" w:hAnsiTheme="minorEastAsia" w:eastAsiaTheme="minorEastAsia" w:cstheme="minorEastAsia"/>
          <w:sz w:val="24"/>
          <w:szCs w:val="24"/>
        </w:rPr>
      </w:pPr>
    </w:p>
    <w:p w14:paraId="63DFAB00">
      <w:pPr>
        <w:pStyle w:val="96"/>
        <w:spacing w:line="440" w:lineRule="exact"/>
        <w:rPr>
          <w:rFonts w:hint="eastAsia" w:asciiTheme="minorEastAsia" w:hAnsiTheme="minorEastAsia" w:eastAsiaTheme="minorEastAsia" w:cstheme="minorEastAsia"/>
          <w:sz w:val="24"/>
          <w:szCs w:val="24"/>
        </w:rPr>
      </w:pPr>
    </w:p>
    <w:p w14:paraId="00774220">
      <w:pPr>
        <w:pStyle w:val="96"/>
        <w:spacing w:line="440" w:lineRule="exact"/>
        <w:rPr>
          <w:rFonts w:hint="eastAsia" w:asciiTheme="minorEastAsia" w:hAnsiTheme="minorEastAsia" w:eastAsiaTheme="minorEastAsia" w:cstheme="minorEastAsia"/>
          <w:sz w:val="24"/>
          <w:szCs w:val="24"/>
        </w:rPr>
      </w:pPr>
    </w:p>
    <w:p w14:paraId="1843B967">
      <w:pPr>
        <w:pStyle w:val="96"/>
        <w:spacing w:line="440" w:lineRule="exact"/>
        <w:rPr>
          <w:rFonts w:hint="eastAsia" w:asciiTheme="minorEastAsia" w:hAnsiTheme="minorEastAsia" w:eastAsiaTheme="minorEastAsia" w:cstheme="minorEastAsia"/>
          <w:sz w:val="24"/>
          <w:szCs w:val="24"/>
        </w:rPr>
      </w:pPr>
    </w:p>
    <w:p w14:paraId="4DC762DE">
      <w:pPr>
        <w:pStyle w:val="96"/>
        <w:spacing w:line="440" w:lineRule="exact"/>
        <w:rPr>
          <w:rFonts w:hint="eastAsia" w:asciiTheme="minorEastAsia" w:hAnsiTheme="minorEastAsia" w:eastAsiaTheme="minorEastAsia" w:cstheme="minorEastAsia"/>
          <w:sz w:val="24"/>
          <w:szCs w:val="24"/>
        </w:rPr>
      </w:pPr>
    </w:p>
    <w:tbl>
      <w:tblPr>
        <w:tblStyle w:val="29"/>
        <w:tblpPr w:leftFromText="180" w:rightFromText="180" w:vertAnchor="text" w:horzAnchor="page" w:tblpX="1844" w:tblpY="440"/>
        <w:tblOverlap w:val="never"/>
        <w:tblW w:w="84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5"/>
      </w:tblGrid>
      <w:tr w14:paraId="1DC7A5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8475" w:type="dxa"/>
            <w:tcBorders>
              <w:top w:val="single" w:color="auto" w:sz="4" w:space="0"/>
              <w:bottom w:val="single" w:color="auto" w:sz="4" w:space="0"/>
            </w:tcBorders>
            <w:vAlign w:val="center"/>
          </w:tcPr>
          <w:p w14:paraId="28E9B823">
            <w:pPr>
              <w:snapToGrid w:val="0"/>
              <w:spacing w:line="440" w:lineRule="exact"/>
              <w:ind w:firstLine="360" w:firstLineChars="150"/>
              <w:rPr>
                <w:rFonts w:hint="eastAsia" w:asciiTheme="minorEastAsia" w:hAnsiTheme="minorEastAsia" w:eastAsiaTheme="minorEastAsia" w:cstheme="minorEastAsia"/>
                <w:sz w:val="24"/>
                <w:szCs w:val="24"/>
              </w:rPr>
            </w:pPr>
            <w:bookmarkStart w:id="23" w:name="_Toc32023"/>
            <w:r>
              <w:rPr>
                <w:rFonts w:hint="eastAsia" w:asciiTheme="minorEastAsia" w:hAnsiTheme="minorEastAsia" w:eastAsiaTheme="minorEastAsia" w:cstheme="minorEastAsia"/>
                <w:sz w:val="24"/>
                <w:szCs w:val="24"/>
              </w:rPr>
              <w:t>根据中华人民共和国财政部、中华人民共和国工业和信息化部《政府采购促进中小企业发展暂行办法》（财库[2011]181号）文件的规定，</w:t>
            </w:r>
            <w:r>
              <w:rPr>
                <w:rFonts w:hint="eastAsia" w:asciiTheme="minorEastAsia" w:hAnsiTheme="minorEastAsia" w:eastAsiaTheme="minorEastAsia" w:cstheme="minorEastAsia"/>
                <w:bCs/>
                <w:sz w:val="24"/>
                <w:szCs w:val="24"/>
              </w:rPr>
              <w:t>属于中小企业</w:t>
            </w:r>
            <w:r>
              <w:rPr>
                <w:rFonts w:hint="eastAsia" w:asciiTheme="minorEastAsia" w:hAnsiTheme="minorEastAsia" w:eastAsiaTheme="minorEastAsia" w:cstheme="minorEastAsia"/>
                <w:sz w:val="24"/>
                <w:szCs w:val="24"/>
              </w:rPr>
              <w:t>评审优惠内容及幅度如下：</w:t>
            </w:r>
          </w:p>
          <w:p w14:paraId="6D3E51AF">
            <w:pPr>
              <w:snapToGrid w:val="0"/>
              <w:spacing w:line="440" w:lineRule="exact"/>
              <w:ind w:firstLine="241"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（一）</w:t>
            </w:r>
            <w:r>
              <w:rPr>
                <w:rFonts w:hint="eastAsia" w:asciiTheme="minorEastAsia" w:hAnsiTheme="minorEastAsia" w:eastAsiaTheme="minorEastAsia" w:cstheme="minorEastAsia"/>
                <w:sz w:val="24"/>
                <w:szCs w:val="24"/>
              </w:rPr>
              <w:t>中小企业（含中型、小型、微型企业）应当</w:t>
            </w:r>
            <w:r>
              <w:rPr>
                <w:rFonts w:hint="eastAsia" w:asciiTheme="minorEastAsia" w:hAnsiTheme="minorEastAsia" w:eastAsiaTheme="minorEastAsia" w:cstheme="minorEastAsia"/>
                <w:b/>
                <w:sz w:val="24"/>
                <w:szCs w:val="24"/>
              </w:rPr>
              <w:t>同时符合</w:t>
            </w:r>
            <w:r>
              <w:rPr>
                <w:rFonts w:hint="eastAsia" w:asciiTheme="minorEastAsia" w:hAnsiTheme="minorEastAsia" w:eastAsiaTheme="minorEastAsia" w:cstheme="minorEastAsia"/>
                <w:sz w:val="24"/>
                <w:szCs w:val="24"/>
              </w:rPr>
              <w:t>以下条件：</w:t>
            </w:r>
          </w:p>
          <w:p w14:paraId="02DDE074">
            <w:pPr>
              <w:pStyle w:val="102"/>
              <w:spacing w:line="440" w:lineRule="exact"/>
              <w:ind w:left="846" w:leftChars="40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①符合中小企业划分标准（按《关于印发中小企业划型标准规定的通知》（工信部联企业〔2011〕300号）执行）；</w:t>
            </w:r>
          </w:p>
          <w:p w14:paraId="7CCA3A79">
            <w:pPr>
              <w:pStyle w:val="102"/>
              <w:spacing w:line="440" w:lineRule="exact"/>
              <w:ind w:left="846" w:leftChars="40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②提供本企业制造的货物、承担的项目或者服务，或者提供其他中小企业制造的货物。本项所称货物不包括使用大型企业注册商标的货物；</w:t>
            </w:r>
          </w:p>
          <w:p w14:paraId="08AFC7FA">
            <w:pPr>
              <w:pStyle w:val="102"/>
              <w:spacing w:line="440" w:lineRule="exact"/>
              <w:ind w:left="846" w:leftChars="403"/>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③小型、微型企业提供中型企业制造的货物的，视同为中型企业。</w:t>
            </w:r>
          </w:p>
        </w:tc>
      </w:tr>
    </w:tbl>
    <w:p w14:paraId="1AB0547F">
      <w:pPr>
        <w:snapToGrid w:val="0"/>
        <w:spacing w:line="500" w:lineRule="exact"/>
        <w:ind w:firstLine="200"/>
        <w:jc w:val="center"/>
        <w:outlineLvl w:val="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八、成交及合同签订</w:t>
      </w:r>
      <w:bookmarkEnd w:id="23"/>
    </w:p>
    <w:p w14:paraId="264AF821">
      <w:pPr>
        <w:snapToGrid w:val="0"/>
        <w:spacing w:line="50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（三十二）成交供应商</w:t>
      </w:r>
    </w:p>
    <w:p w14:paraId="16F80CEC">
      <w:pPr>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32.1 根据磋商小组对各供应商满足竞争性磋商文件实质性响应（所谓实质性响应，是指文件应与竞争性磋商文件的所有实质性条款、条件和要求相符，无显著差异或保留（由磋商小组确定）；经磋商确定最终采购需求和提交最后报价的供应商中由磋商小组采用综合评分法对提交最后报价的供应商的磋商响应文件和最后报价进行综合评分，并以综合评分由高到低选取三名成交候选人推荐给采购人（评分相同时，按最后报价由低到高的顺序推荐；评审得分和最后报价相同的，按照技术指标优劣顺序推荐）。</w:t>
      </w:r>
    </w:p>
    <w:p w14:paraId="0380E9D2">
      <w:pPr>
        <w:snapToGrid w:val="0"/>
        <w:spacing w:line="50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（三十三）资格条件</w:t>
      </w:r>
    </w:p>
    <w:p w14:paraId="1183B8A2">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33.1 采购人将在签订合同前对成交候选供应商是否能圆满地履行合同进行审查。审查包括成交候选供应商磋商响应文件中提供的所有资格证明材料原件，成交候选供应商磋商响应文件及补充承诺中涉及的其他相关资料原件，以及对本项目实施可能存在风险的其他因素。</w:t>
      </w:r>
    </w:p>
    <w:p w14:paraId="27BBCBA7">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33.2 采购人若发现成交候选供应商在竞标过程中提供虚假证明文件，故意隐瞒公司不良信誉和财务状况，以及存在可能对合同圆满履行造成风险的其他因素等，则按规定取消其成交资格，监管部门依法进行处理。</w:t>
      </w:r>
    </w:p>
    <w:p w14:paraId="55C87A00">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33.3 如果成交候选供应商被确认为不具备执行合同的能力，采购人将考虑按同样的程序审查下一个成交候选供应商。</w:t>
      </w:r>
    </w:p>
    <w:p w14:paraId="227FE655">
      <w:pPr>
        <w:snapToGrid w:val="0"/>
        <w:spacing w:line="50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（三十四）成交通知书</w:t>
      </w:r>
    </w:p>
    <w:p w14:paraId="0440E4CF">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34.1 成交结果在原磋商公告发布媒体上发布后，公示期1个工作日，采购人将同时向成交供应商发出成交通知书。</w:t>
      </w:r>
    </w:p>
    <w:p w14:paraId="352D8C83">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34.2 成交人应及时到政府采购人领取成交通知书，成交通知书是签订合同的依据和组成部分。</w:t>
      </w:r>
    </w:p>
    <w:p w14:paraId="05A87F43">
      <w:pPr>
        <w:snapToGrid w:val="0"/>
        <w:spacing w:line="50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（三十五）签订合同</w:t>
      </w:r>
    </w:p>
    <w:p w14:paraId="4FEEE318">
      <w:pPr>
        <w:snapToGrid w:val="0"/>
        <w:spacing w:line="500" w:lineRule="exact"/>
        <w:ind w:firstLine="480"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35.1 成交供应商应在规定的时间、地点与采购人签订合同，竞争性磋商文件、成交人的磋商响应文件、分次报价及服务承诺文件以及评标过程中有关澄清文件均作为合同附件，</w:t>
      </w:r>
      <w:r>
        <w:rPr>
          <w:rFonts w:hint="eastAsia" w:asciiTheme="minorEastAsia" w:hAnsiTheme="minorEastAsia" w:eastAsiaTheme="minorEastAsia" w:cstheme="minorEastAsia"/>
          <w:bCs/>
          <w:sz w:val="24"/>
          <w:szCs w:val="24"/>
        </w:rPr>
        <w:t>合同经采购人、成交供应商双方审核盖章后实施。</w:t>
      </w:r>
    </w:p>
    <w:p w14:paraId="3E74859F">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35.2 成交供应商无正当理由未在规定时间内与采购人签订合同的或未按磋商文件要求提交履约担保的，采购人有权建议取消其成交资格，并报请监管部门将对其依法处理。</w:t>
      </w:r>
    </w:p>
    <w:p w14:paraId="0800D448">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（三十六）政府采购代理服务费和履约保证金</w:t>
      </w:r>
    </w:p>
    <w:p w14:paraId="2826B070">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36.1成交供应商应向政府采购代理机构缴纳代理服务费，</w:t>
      </w:r>
      <w:r>
        <w:rPr>
          <w:rFonts w:hint="eastAsia" w:asciiTheme="minorEastAsia" w:hAnsiTheme="minorEastAsia" w:eastAsiaTheme="minorEastAsia" w:cstheme="minorEastAsia"/>
          <w:bCs/>
          <w:sz w:val="24"/>
          <w:szCs w:val="24"/>
        </w:rPr>
        <w:t>政府采购代理服务费按</w:t>
      </w:r>
      <w:r>
        <w:rPr>
          <w:rFonts w:hint="eastAsia" w:asciiTheme="minorEastAsia" w:hAnsiTheme="minorEastAsia" w:eastAsiaTheme="minorEastAsia" w:cstheme="minorEastAsia"/>
          <w:sz w:val="24"/>
          <w:szCs w:val="24"/>
        </w:rPr>
        <w:t>国家发改委计价格[2002]1980号文、</w:t>
      </w:r>
      <w:r>
        <w:rPr>
          <w:rFonts w:hint="eastAsia" w:asciiTheme="minorEastAsia" w:hAnsiTheme="minorEastAsia" w:eastAsiaTheme="minorEastAsia" w:cstheme="minorEastAsia"/>
          <w:sz w:val="24"/>
        </w:rPr>
        <w:t>发改办价格[2003]857号文计取。</w:t>
      </w:r>
    </w:p>
    <w:p w14:paraId="5EFC5270">
      <w:pPr>
        <w:snapToGrid w:val="0"/>
        <w:spacing w:line="500" w:lineRule="exact"/>
        <w:ind w:left="359" w:leftChars="17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36.2 成交供应商需在签订合同时需按磋商文件要求向采购人提交履约担保。</w:t>
      </w:r>
    </w:p>
    <w:p w14:paraId="673351FF">
      <w:pPr>
        <w:snapToGrid w:val="0"/>
        <w:spacing w:line="500" w:lineRule="exact"/>
        <w:ind w:firstLine="200"/>
        <w:jc w:val="center"/>
        <w:outlineLvl w:val="1"/>
        <w:rPr>
          <w:rFonts w:hint="eastAsia" w:asciiTheme="minorEastAsia" w:hAnsiTheme="minorEastAsia" w:eastAsiaTheme="minorEastAsia" w:cstheme="minorEastAsia"/>
          <w:b/>
          <w:sz w:val="24"/>
          <w:szCs w:val="24"/>
        </w:rPr>
      </w:pPr>
      <w:bookmarkStart w:id="24" w:name="_Toc6848"/>
      <w:r>
        <w:rPr>
          <w:rFonts w:hint="eastAsia" w:asciiTheme="minorEastAsia" w:hAnsiTheme="minorEastAsia" w:eastAsiaTheme="minorEastAsia" w:cstheme="minorEastAsia"/>
          <w:b/>
          <w:sz w:val="24"/>
          <w:szCs w:val="24"/>
        </w:rPr>
        <w:t>九、验收及付款</w:t>
      </w:r>
      <w:bookmarkEnd w:id="24"/>
    </w:p>
    <w:p w14:paraId="61B64CB7">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（三十七）验收</w:t>
      </w:r>
    </w:p>
    <w:p w14:paraId="00E88864">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37.1 采购单位组建验收小组，验收小组由采购单位三人以上组成，按</w:t>
      </w:r>
      <w:r>
        <w:rPr>
          <w:rFonts w:hint="eastAsia" w:asciiTheme="minorEastAsia" w:hAnsiTheme="minorEastAsia" w:eastAsiaTheme="minorEastAsia" w:cstheme="minorEastAsia"/>
          <w:bCs/>
          <w:sz w:val="24"/>
          <w:szCs w:val="24"/>
        </w:rPr>
        <w:t>采购合同约定的时间组织验收。</w:t>
      </w:r>
    </w:p>
    <w:p w14:paraId="6286259A">
      <w:pPr>
        <w:snapToGrid w:val="0"/>
        <w:spacing w:line="50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（三十八）项目办结及付款</w:t>
      </w:r>
    </w:p>
    <w:p w14:paraId="6C647DFF">
      <w:pPr>
        <w:snapToGrid w:val="0"/>
        <w:spacing w:line="500" w:lineRule="exact"/>
        <w:ind w:firstLine="480"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38.1 采购人凭项目合同、验收报告和提供采购人要求的发票原件后，在合同约定的时间内办理采购款支付手续。</w:t>
      </w:r>
    </w:p>
    <w:p w14:paraId="5E977214">
      <w:pPr>
        <w:snapToGrid w:val="0"/>
        <w:spacing w:line="500" w:lineRule="exact"/>
        <w:ind w:firstLine="200"/>
        <w:jc w:val="center"/>
        <w:outlineLvl w:val="1"/>
        <w:rPr>
          <w:rFonts w:hint="eastAsia" w:asciiTheme="minorEastAsia" w:hAnsiTheme="minorEastAsia" w:eastAsiaTheme="minorEastAsia" w:cstheme="minorEastAsia"/>
          <w:b/>
          <w:sz w:val="24"/>
          <w:szCs w:val="24"/>
        </w:rPr>
      </w:pPr>
      <w:bookmarkStart w:id="25" w:name="_Toc17033"/>
      <w:r>
        <w:rPr>
          <w:rFonts w:hint="eastAsia" w:asciiTheme="minorEastAsia" w:hAnsiTheme="minorEastAsia" w:eastAsiaTheme="minorEastAsia" w:cstheme="minorEastAsia"/>
          <w:b/>
          <w:sz w:val="24"/>
          <w:szCs w:val="24"/>
        </w:rPr>
        <w:t>十、质疑与投诉</w:t>
      </w:r>
      <w:bookmarkEnd w:id="25"/>
    </w:p>
    <w:p w14:paraId="24839974">
      <w:pPr>
        <w:snapToGrid w:val="0"/>
        <w:spacing w:line="500" w:lineRule="exact"/>
        <w:ind w:firstLine="472" w:firstLineChars="196"/>
        <w:outlineLvl w:val="0"/>
        <w:rPr>
          <w:rFonts w:hint="eastAsia" w:asciiTheme="minorEastAsia" w:hAnsiTheme="minorEastAsia" w:eastAsiaTheme="minorEastAsia" w:cstheme="minorEastAsia"/>
          <w:b/>
          <w:bCs/>
          <w:sz w:val="24"/>
          <w:szCs w:val="24"/>
        </w:rPr>
      </w:pPr>
      <w:bookmarkStart w:id="26" w:name="_Toc8717"/>
      <w:bookmarkStart w:id="27" w:name="_Toc19410"/>
      <w:r>
        <w:rPr>
          <w:rFonts w:hint="eastAsia" w:asciiTheme="minorEastAsia" w:hAnsiTheme="minorEastAsia" w:eastAsiaTheme="minorEastAsia" w:cstheme="minorEastAsia"/>
          <w:b/>
          <w:bCs/>
          <w:sz w:val="24"/>
          <w:szCs w:val="24"/>
        </w:rPr>
        <w:t>（三十九）质疑与投诉</w:t>
      </w:r>
      <w:bookmarkEnd w:id="26"/>
      <w:bookmarkEnd w:id="27"/>
    </w:p>
    <w:p w14:paraId="740CE50A">
      <w:pPr>
        <w:snapToGrid w:val="0"/>
        <w:spacing w:line="500" w:lineRule="exact"/>
        <w:ind w:firstLine="482" w:firstLineChars="200"/>
        <w:outlineLvl w:val="0"/>
        <w:rPr>
          <w:rFonts w:hint="eastAsia" w:asciiTheme="minorEastAsia" w:hAnsiTheme="minorEastAsia" w:eastAsiaTheme="minorEastAsia" w:cstheme="minorEastAsia"/>
          <w:sz w:val="24"/>
          <w:szCs w:val="24"/>
        </w:rPr>
      </w:pPr>
      <w:bookmarkStart w:id="28" w:name="_Toc30957"/>
      <w:bookmarkStart w:id="29" w:name="_Toc25914"/>
      <w:r>
        <w:rPr>
          <w:rFonts w:hint="eastAsia" w:asciiTheme="minorEastAsia" w:hAnsiTheme="minorEastAsia" w:eastAsiaTheme="minorEastAsia" w:cstheme="minorEastAsia"/>
          <w:b/>
          <w:bCs/>
          <w:sz w:val="24"/>
          <w:szCs w:val="24"/>
        </w:rPr>
        <w:t>39.1 质疑的提出</w:t>
      </w:r>
      <w:bookmarkEnd w:id="28"/>
      <w:bookmarkEnd w:id="29"/>
    </w:p>
    <w:p w14:paraId="43EC894E">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1）供应商认为竞磋文件、招标过程和中标、成交结果使自己的权益受到损害的，可以在知道或者应知其权益受到损害之日起七个工作日内，以书面形式向采购人提出质疑。</w:t>
      </w:r>
    </w:p>
    <w:p w14:paraId="5DF2AC79">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2）质疑函的必备内容</w:t>
      </w:r>
    </w:p>
    <w:p w14:paraId="05769F1D">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①供应商提交的质疑函必须注明单位名称、详细地址、可供查询的单位和法定代表人的电话号码；</w:t>
      </w:r>
    </w:p>
    <w:p w14:paraId="39F3B723">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②所参加项目的具体质疑事项及事实依据；</w:t>
      </w:r>
    </w:p>
    <w:p w14:paraId="075AA7B9">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③提起质疑的日期；</w:t>
      </w:r>
    </w:p>
    <w:p w14:paraId="758877E1">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④质疑函须加盖单位公章和法定代表人签章。</w:t>
      </w:r>
    </w:p>
    <w:p w14:paraId="68CB2B55">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⑤委托代理人递交质疑函的，还须提交委托质疑事项的委托授权书（附法定代表人和被授权人身份证正反面），加盖单位公章和法定代表人签章和被授权人签字，并出示被授权人身份证。</w:t>
      </w:r>
    </w:p>
    <w:p w14:paraId="5C83389C">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3）质疑应符合下列条件：</w:t>
      </w:r>
    </w:p>
    <w:p w14:paraId="0402732E">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①质疑人是参与所质疑项目的招标活动供应商；</w:t>
      </w:r>
    </w:p>
    <w:p w14:paraId="27B0224B">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②质疑函内容符合相关的规定；</w:t>
      </w:r>
    </w:p>
    <w:p w14:paraId="64EC06E5">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③在规定的有效期限内提起质疑；</w:t>
      </w:r>
    </w:p>
    <w:p w14:paraId="4D3BC774">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④招投标监管部门规定的其他条件。</w:t>
      </w:r>
    </w:p>
    <w:p w14:paraId="562C639C">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4）采购人在收到供应商的书面质疑后七个工作日内作出答复，并以书面形式通知质疑供应商和其他有关供应商，但答复的内容不涉及商业秘密。</w:t>
      </w:r>
    </w:p>
    <w:p w14:paraId="7683560C">
      <w:pPr>
        <w:snapToGri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提出质疑的供应商对答复不满意的，可以在答复期满后十五个工作日内向同级政府招标监督管理部门投诉。政府招标监督管理部门应当在收到投诉三十个工作日内，对投诉事项作出处理决定，并以书面形式通知投诉人和与投诉事项相关的当事人。</w:t>
      </w:r>
    </w:p>
    <w:p w14:paraId="27400AF6">
      <w:pPr>
        <w:snapToGrid w:val="0"/>
        <w:spacing w:line="500" w:lineRule="exact"/>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附表一</w:t>
      </w:r>
    </w:p>
    <w:p w14:paraId="1CBFA416">
      <w:pPr>
        <w:snapToGrid w:val="0"/>
        <w:spacing w:line="44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质 疑 书</w:t>
      </w:r>
    </w:p>
    <w:p w14:paraId="40761175">
      <w:pPr>
        <w:snapToGrid w:val="0"/>
        <w:spacing w:line="4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(政府采购代理机构名称)：</w:t>
      </w:r>
    </w:p>
    <w:p w14:paraId="5AE6D97C">
      <w:pPr>
        <w:snapToGrid w:val="0"/>
        <w:spacing w:line="4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依据《中华人民共和国政府采购法》第五十二条规定，认为</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项目的采购活动中有</w:t>
      </w:r>
      <w:r>
        <w:rPr>
          <w:rFonts w:hint="eastAsia" w:asciiTheme="minorEastAsia" w:hAnsiTheme="minorEastAsia" w:eastAsiaTheme="minorEastAsia" w:cstheme="minorEastAsia"/>
          <w:bCs/>
          <w:sz w:val="24"/>
          <w:szCs w:val="24"/>
          <w:lang w:eastAsia="zh-CN"/>
        </w:rPr>
        <w:t>几项</w:t>
      </w:r>
      <w:r>
        <w:rPr>
          <w:rFonts w:hint="eastAsia" w:asciiTheme="minorEastAsia" w:hAnsiTheme="minorEastAsia" w:eastAsiaTheme="minorEastAsia" w:cstheme="minorEastAsia"/>
          <w:bCs/>
          <w:sz w:val="24"/>
          <w:szCs w:val="24"/>
        </w:rPr>
        <w:t>内容损害了我公司的权益，现以书面原件形式提出质疑。并根据《中华人民共和国政府采购法实施条例》第五十五条规定，提出以下请求和提供必要的证明材料。质疑的事实和理由：</w:t>
      </w:r>
    </w:p>
    <w:p w14:paraId="34130F1B">
      <w:pPr>
        <w:snapToGrid w:val="0"/>
        <w:spacing w:line="4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w:t>
      </w:r>
      <w:r>
        <w:rPr>
          <w:rFonts w:hint="eastAsia" w:asciiTheme="minorEastAsia" w:hAnsiTheme="minorEastAsia" w:eastAsiaTheme="minorEastAsia" w:cstheme="minorEastAsia"/>
          <w:bCs/>
          <w:sz w:val="24"/>
          <w:szCs w:val="24"/>
          <w:u w:val="single"/>
        </w:rPr>
        <w:t xml:space="preserve">  (事宜经过)            </w:t>
      </w:r>
      <w:r>
        <w:rPr>
          <w:rFonts w:hint="eastAsia" w:asciiTheme="minorEastAsia" w:hAnsiTheme="minorEastAsia" w:eastAsiaTheme="minorEastAsia" w:cstheme="minorEastAsia"/>
          <w:bCs/>
          <w:sz w:val="24"/>
          <w:szCs w:val="24"/>
        </w:rPr>
        <w:t>；2、</w:t>
      </w:r>
      <w:r>
        <w:rPr>
          <w:rFonts w:hint="eastAsia" w:asciiTheme="minorEastAsia" w:hAnsiTheme="minorEastAsia" w:eastAsiaTheme="minorEastAsia" w:cstheme="minorEastAsia"/>
          <w:bCs/>
          <w:sz w:val="24"/>
          <w:szCs w:val="24"/>
          <w:u w:val="single"/>
        </w:rPr>
        <w:t xml:space="preserve">  (事宜经过)            </w:t>
      </w:r>
      <w:r>
        <w:rPr>
          <w:rFonts w:hint="eastAsia" w:asciiTheme="minorEastAsia" w:hAnsiTheme="minorEastAsia" w:eastAsiaTheme="minorEastAsia" w:cstheme="minorEastAsia"/>
          <w:bCs/>
          <w:sz w:val="24"/>
          <w:szCs w:val="24"/>
        </w:rPr>
        <w:t>；……</w:t>
      </w:r>
    </w:p>
    <w:p w14:paraId="6F3C475E">
      <w:pPr>
        <w:snapToGrid w:val="0"/>
        <w:spacing w:line="4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我们认为，以上几项，违背了政府采购法规的有关规定，其中第1项</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违背《</w:t>
      </w:r>
      <w:r>
        <w:rPr>
          <w:rFonts w:hint="eastAsia" w:asciiTheme="minorEastAsia" w:hAnsiTheme="minorEastAsia" w:eastAsiaTheme="minorEastAsia" w:cstheme="minorEastAsia"/>
          <w:bCs/>
          <w:sz w:val="24"/>
          <w:szCs w:val="24"/>
          <w:u w:val="single"/>
        </w:rPr>
        <w:t xml:space="preserve">           法</w:t>
      </w:r>
      <w:r>
        <w:rPr>
          <w:rFonts w:hint="eastAsia" w:asciiTheme="minorEastAsia" w:hAnsiTheme="minorEastAsia" w:eastAsiaTheme="minorEastAsia" w:cstheme="minorEastAsia"/>
          <w:bCs/>
          <w:sz w:val="24"/>
          <w:szCs w:val="24"/>
        </w:rPr>
        <w:t>》第</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条的“</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”规定，第2项</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违背《</w:t>
      </w:r>
      <w:r>
        <w:rPr>
          <w:rFonts w:hint="eastAsia" w:asciiTheme="minorEastAsia" w:hAnsiTheme="minorEastAsia" w:eastAsiaTheme="minorEastAsia" w:cstheme="minorEastAsia"/>
          <w:bCs/>
          <w:sz w:val="24"/>
          <w:szCs w:val="24"/>
          <w:u w:val="single"/>
        </w:rPr>
        <w:t xml:space="preserve">              法</w:t>
      </w:r>
      <w:r>
        <w:rPr>
          <w:rFonts w:hint="eastAsia" w:asciiTheme="minorEastAsia" w:hAnsiTheme="minorEastAsia" w:eastAsiaTheme="minorEastAsia" w:cstheme="minorEastAsia"/>
          <w:bCs/>
          <w:sz w:val="24"/>
          <w:szCs w:val="24"/>
        </w:rPr>
        <w:t>》第</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条的规定，请予审查纠正为盼。</w:t>
      </w:r>
    </w:p>
    <w:p w14:paraId="6E41619E">
      <w:pPr>
        <w:snapToGrid w:val="0"/>
        <w:spacing w:line="4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质疑人(全称并加</w:t>
      </w:r>
      <w:r>
        <w:rPr>
          <w:rFonts w:hint="eastAsia" w:asciiTheme="minorEastAsia" w:hAnsiTheme="minorEastAsia" w:eastAsiaTheme="minorEastAsia" w:cstheme="minorEastAsia"/>
          <w:bCs/>
          <w:sz w:val="24"/>
          <w:szCs w:val="24"/>
          <w:u w:val="single"/>
        </w:rPr>
        <w:t>盖</w:t>
      </w:r>
      <w:r>
        <w:rPr>
          <w:rFonts w:hint="eastAsia" w:asciiTheme="minorEastAsia" w:hAnsiTheme="minorEastAsia" w:eastAsiaTheme="minorEastAsia" w:cstheme="minorEastAsia"/>
          <w:bCs/>
          <w:sz w:val="24"/>
          <w:szCs w:val="24"/>
        </w:rPr>
        <w:t>公章)：</w:t>
      </w:r>
      <w:r>
        <w:rPr>
          <w:rFonts w:hint="eastAsia" w:asciiTheme="minorEastAsia" w:hAnsiTheme="minorEastAsia" w:eastAsiaTheme="minorEastAsia" w:cstheme="minorEastAsia"/>
          <w:bCs/>
          <w:sz w:val="24"/>
          <w:szCs w:val="24"/>
          <w:u w:val="single"/>
        </w:rPr>
        <w:t xml:space="preserve">          </w:t>
      </w:r>
    </w:p>
    <w:p w14:paraId="34660805">
      <w:pPr>
        <w:snapToGrid w:val="0"/>
        <w:spacing w:line="4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法定代表人签字：</w:t>
      </w:r>
      <w:r>
        <w:rPr>
          <w:rFonts w:hint="eastAsia" w:asciiTheme="minorEastAsia" w:hAnsiTheme="minorEastAsia" w:eastAsiaTheme="minorEastAsia" w:cstheme="minorEastAsia"/>
          <w:bCs/>
          <w:sz w:val="24"/>
          <w:szCs w:val="24"/>
          <w:u w:val="single"/>
        </w:rPr>
        <w:t xml:space="preserve">          </w:t>
      </w:r>
    </w:p>
    <w:p w14:paraId="28BF5822">
      <w:pPr>
        <w:snapToGrid w:val="0"/>
        <w:spacing w:line="4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委托人签字：</w:t>
      </w:r>
      <w:r>
        <w:rPr>
          <w:rFonts w:hint="eastAsia" w:asciiTheme="minorEastAsia" w:hAnsiTheme="minorEastAsia" w:eastAsiaTheme="minorEastAsia" w:cstheme="minorEastAsia"/>
          <w:bCs/>
          <w:sz w:val="24"/>
          <w:szCs w:val="24"/>
          <w:u w:val="single"/>
        </w:rPr>
        <w:t xml:space="preserve">          </w:t>
      </w:r>
    </w:p>
    <w:p w14:paraId="0D5DFC47">
      <w:pPr>
        <w:snapToGrid w:val="0"/>
        <w:spacing w:line="440" w:lineRule="exact"/>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 xml:space="preserve">                             地址：</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联系电话：</w:t>
      </w:r>
      <w:r>
        <w:rPr>
          <w:rFonts w:hint="eastAsia" w:asciiTheme="minorEastAsia" w:hAnsiTheme="minorEastAsia" w:eastAsiaTheme="minorEastAsia" w:cstheme="minorEastAsia"/>
          <w:bCs/>
          <w:sz w:val="24"/>
          <w:szCs w:val="24"/>
          <w:u w:val="single"/>
        </w:rPr>
        <w:t xml:space="preserve">     </w:t>
      </w:r>
    </w:p>
    <w:p w14:paraId="78FD612C">
      <w:pPr>
        <w:snapToGrid w:val="0"/>
        <w:spacing w:line="440" w:lineRule="exact"/>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 xml:space="preserve">                             邮编：</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传真：</w:t>
      </w:r>
      <w:r>
        <w:rPr>
          <w:rFonts w:hint="eastAsia" w:asciiTheme="minorEastAsia" w:hAnsiTheme="minorEastAsia" w:eastAsiaTheme="minorEastAsia" w:cstheme="minorEastAsia"/>
          <w:bCs/>
          <w:sz w:val="24"/>
          <w:szCs w:val="24"/>
          <w:u w:val="single"/>
        </w:rPr>
        <w:t xml:space="preserve">         </w:t>
      </w:r>
    </w:p>
    <w:p w14:paraId="7440F74C">
      <w:pPr>
        <w:snapToGrid w:val="0"/>
        <w:spacing w:line="440" w:lineRule="exact"/>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 xml:space="preserve">                             日期：</w:t>
      </w:r>
      <w:r>
        <w:rPr>
          <w:rFonts w:hint="eastAsia" w:asciiTheme="minorEastAsia" w:hAnsiTheme="minorEastAsia" w:eastAsiaTheme="minorEastAsia" w:cstheme="minorEastAsia"/>
          <w:bCs/>
          <w:sz w:val="24"/>
          <w:szCs w:val="24"/>
          <w:u w:val="single"/>
        </w:rPr>
        <w:t xml:space="preserve">                     </w:t>
      </w:r>
    </w:p>
    <w:p w14:paraId="5AD36E1D">
      <w:pPr>
        <w:snapToGrid w:val="0"/>
        <w:spacing w:line="4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注：质疑人提供的资料应包括但不限于以下内容：</w:t>
      </w:r>
    </w:p>
    <w:p w14:paraId="140BBCB3">
      <w:pPr>
        <w:snapToGrid w:val="0"/>
        <w:spacing w:line="44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1、加盖供应商单位公章法定代表人授权书；</w:t>
      </w:r>
    </w:p>
    <w:p w14:paraId="15D6C0C7">
      <w:pPr>
        <w:snapToGrid w:val="0"/>
        <w:spacing w:line="44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2、明确的请求和供应商单位加盖公章证明材料。</w:t>
      </w:r>
    </w:p>
    <w:p w14:paraId="4707E46E">
      <w:pPr>
        <w:snapToGrid w:val="0"/>
        <w:spacing w:line="44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r>
        <w:rPr>
          <w:rFonts w:hint="eastAsia" w:asciiTheme="minorEastAsia" w:hAnsiTheme="minorEastAsia" w:eastAsiaTheme="minorEastAsia" w:cstheme="minorEastAsia"/>
          <w:b/>
          <w:sz w:val="24"/>
          <w:szCs w:val="24"/>
        </w:rPr>
        <w:t>附表二</w:t>
      </w:r>
    </w:p>
    <w:p w14:paraId="2F8CFAF1">
      <w:pPr>
        <w:snapToGrid w:val="0"/>
        <w:spacing w:line="440" w:lineRule="exact"/>
        <w:ind w:firstLine="482" w:firstLineChars="200"/>
        <w:jc w:val="center"/>
        <w:outlineLvl w:val="0"/>
        <w:rPr>
          <w:rFonts w:hint="eastAsia" w:asciiTheme="minorEastAsia" w:hAnsiTheme="minorEastAsia" w:eastAsiaTheme="minorEastAsia" w:cstheme="minorEastAsia"/>
          <w:sz w:val="24"/>
          <w:szCs w:val="24"/>
        </w:rPr>
      </w:pPr>
      <w:bookmarkStart w:id="30" w:name="_Toc16258"/>
      <w:bookmarkStart w:id="31" w:name="_Toc5031"/>
      <w:r>
        <w:rPr>
          <w:rFonts w:hint="eastAsia" w:asciiTheme="minorEastAsia" w:hAnsiTheme="minorEastAsia" w:eastAsiaTheme="minorEastAsia" w:cstheme="minorEastAsia"/>
          <w:b/>
          <w:bCs/>
          <w:sz w:val="24"/>
          <w:szCs w:val="24"/>
        </w:rPr>
        <w:t>质疑内容</w:t>
      </w:r>
      <w:bookmarkEnd w:id="30"/>
      <w:bookmarkEnd w:id="31"/>
    </w:p>
    <w:tbl>
      <w:tblPr>
        <w:tblStyle w:val="29"/>
        <w:tblW w:w="8647" w:type="dxa"/>
        <w:jc w:val="center"/>
        <w:tblLayout w:type="fixed"/>
        <w:tblCellMar>
          <w:top w:w="0" w:type="dxa"/>
          <w:left w:w="0" w:type="dxa"/>
          <w:bottom w:w="0" w:type="dxa"/>
          <w:right w:w="0" w:type="dxa"/>
        </w:tblCellMar>
      </w:tblPr>
      <w:tblGrid>
        <w:gridCol w:w="936"/>
        <w:gridCol w:w="905"/>
        <w:gridCol w:w="6806"/>
      </w:tblGrid>
      <w:tr w14:paraId="2150D85B">
        <w:tblPrEx>
          <w:tblCellMar>
            <w:top w:w="0" w:type="dxa"/>
            <w:left w:w="0" w:type="dxa"/>
            <w:bottom w:w="0" w:type="dxa"/>
            <w:right w:w="0" w:type="dxa"/>
          </w:tblCellMar>
        </w:tblPrEx>
        <w:trPr>
          <w:trHeight w:val="567" w:hRule="atLeast"/>
          <w:jc w:val="center"/>
        </w:trPr>
        <w:tc>
          <w:tcPr>
            <w:tcW w:w="1841"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FECFECF">
            <w:pPr>
              <w:snapToGrid w:val="0"/>
              <w:spacing w:line="440" w:lineRule="exact"/>
              <w:ind w:firstLine="480" w:firstLineChars="200"/>
              <w:outlineLvl w:val="0"/>
              <w:rPr>
                <w:rFonts w:hint="eastAsia" w:asciiTheme="minorEastAsia" w:hAnsiTheme="minorEastAsia" w:eastAsiaTheme="minorEastAsia" w:cstheme="minorEastAsia"/>
                <w:sz w:val="24"/>
                <w:szCs w:val="24"/>
              </w:rPr>
            </w:pPr>
            <w:bookmarkStart w:id="32" w:name="_Toc2338"/>
            <w:bookmarkStart w:id="33" w:name="_Toc21078"/>
            <w:r>
              <w:rPr>
                <w:rFonts w:hint="eastAsia" w:asciiTheme="minorEastAsia" w:hAnsiTheme="minorEastAsia" w:eastAsiaTheme="minorEastAsia" w:cstheme="minorEastAsia"/>
                <w:sz w:val="24"/>
                <w:szCs w:val="24"/>
              </w:rPr>
              <w:t>项目名称</w:t>
            </w:r>
            <w:bookmarkEnd w:id="32"/>
            <w:bookmarkEnd w:id="33"/>
          </w:p>
        </w:tc>
        <w:tc>
          <w:tcPr>
            <w:tcW w:w="68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E4547DF">
            <w:pPr>
              <w:snapToGrid w:val="0"/>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14:paraId="632322EA">
        <w:tblPrEx>
          <w:tblCellMar>
            <w:top w:w="0" w:type="dxa"/>
            <w:left w:w="0" w:type="dxa"/>
            <w:bottom w:w="0" w:type="dxa"/>
            <w:right w:w="0" w:type="dxa"/>
          </w:tblCellMar>
        </w:tblPrEx>
        <w:trPr>
          <w:trHeight w:val="567" w:hRule="atLeast"/>
          <w:jc w:val="center"/>
        </w:trPr>
        <w:tc>
          <w:tcPr>
            <w:tcW w:w="184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DEC2494">
            <w:pPr>
              <w:snapToGrid w:val="0"/>
              <w:spacing w:line="440" w:lineRule="exact"/>
              <w:ind w:firstLine="480" w:firstLineChars="200"/>
              <w:outlineLvl w:val="0"/>
              <w:rPr>
                <w:rFonts w:hint="eastAsia" w:asciiTheme="minorEastAsia" w:hAnsiTheme="minorEastAsia" w:eastAsiaTheme="minorEastAsia" w:cstheme="minorEastAsia"/>
                <w:sz w:val="24"/>
                <w:szCs w:val="24"/>
              </w:rPr>
            </w:pPr>
            <w:bookmarkStart w:id="34" w:name="_Toc5211"/>
            <w:bookmarkStart w:id="35" w:name="_Toc19856"/>
            <w:r>
              <w:rPr>
                <w:rFonts w:hint="eastAsia" w:asciiTheme="minorEastAsia" w:hAnsiTheme="minorEastAsia" w:eastAsiaTheme="minorEastAsia" w:cstheme="minorEastAsia"/>
                <w:sz w:val="24"/>
                <w:szCs w:val="24"/>
              </w:rPr>
              <w:t>采购项目编号</w:t>
            </w:r>
            <w:bookmarkEnd w:id="34"/>
            <w:bookmarkEnd w:id="35"/>
          </w:p>
        </w:tc>
        <w:tc>
          <w:tcPr>
            <w:tcW w:w="6806" w:type="dxa"/>
            <w:tcBorders>
              <w:top w:val="nil"/>
              <w:left w:val="nil"/>
              <w:bottom w:val="single" w:color="auto" w:sz="8" w:space="0"/>
              <w:right w:val="single" w:color="auto" w:sz="8" w:space="0"/>
            </w:tcBorders>
            <w:tcMar>
              <w:top w:w="0" w:type="dxa"/>
              <w:left w:w="108" w:type="dxa"/>
              <w:bottom w:w="0" w:type="dxa"/>
              <w:right w:w="108" w:type="dxa"/>
            </w:tcMar>
            <w:vAlign w:val="center"/>
          </w:tcPr>
          <w:p w14:paraId="7269D729">
            <w:pPr>
              <w:snapToGrid w:val="0"/>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14:paraId="2C256B82">
        <w:tblPrEx>
          <w:tblCellMar>
            <w:top w:w="0" w:type="dxa"/>
            <w:left w:w="0" w:type="dxa"/>
            <w:bottom w:w="0" w:type="dxa"/>
            <w:right w:w="0" w:type="dxa"/>
          </w:tblCellMar>
        </w:tblPrEx>
        <w:trPr>
          <w:cantSplit/>
          <w:trHeight w:val="3879" w:hRule="atLeast"/>
          <w:jc w:val="center"/>
        </w:trPr>
        <w:tc>
          <w:tcPr>
            <w:tcW w:w="9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E580DEC">
            <w:pPr>
              <w:snapToGrid w:val="0"/>
              <w:spacing w:line="440" w:lineRule="exact"/>
              <w:ind w:firstLine="480" w:firstLineChars="200"/>
              <w:outlineLvl w:val="0"/>
              <w:rPr>
                <w:rFonts w:hint="eastAsia" w:asciiTheme="minorEastAsia" w:hAnsiTheme="minorEastAsia" w:eastAsiaTheme="minorEastAsia" w:cstheme="minorEastAsia"/>
                <w:sz w:val="24"/>
                <w:szCs w:val="24"/>
              </w:rPr>
            </w:pPr>
            <w:bookmarkStart w:id="36" w:name="_Toc19055"/>
            <w:bookmarkStart w:id="37" w:name="_Toc9705"/>
            <w:r>
              <w:rPr>
                <w:rFonts w:hint="eastAsia" w:asciiTheme="minorEastAsia" w:hAnsiTheme="minorEastAsia" w:eastAsiaTheme="minorEastAsia" w:cstheme="minorEastAsia"/>
                <w:sz w:val="24"/>
                <w:szCs w:val="24"/>
              </w:rPr>
              <w:t>具体的质疑事项及事实依据</w:t>
            </w:r>
            <w:bookmarkEnd w:id="36"/>
            <w:bookmarkEnd w:id="37"/>
          </w:p>
        </w:tc>
        <w:tc>
          <w:tcPr>
            <w:tcW w:w="7711" w:type="dxa"/>
            <w:gridSpan w:val="2"/>
            <w:tcBorders>
              <w:top w:val="nil"/>
              <w:left w:val="nil"/>
              <w:bottom w:val="single" w:color="auto" w:sz="8" w:space="0"/>
              <w:right w:val="single" w:color="auto" w:sz="8" w:space="0"/>
            </w:tcBorders>
            <w:tcMar>
              <w:top w:w="0" w:type="dxa"/>
              <w:left w:w="108" w:type="dxa"/>
              <w:bottom w:w="0" w:type="dxa"/>
              <w:right w:w="108" w:type="dxa"/>
            </w:tcMar>
          </w:tcPr>
          <w:p w14:paraId="107EC7E2">
            <w:pPr>
              <w:snapToGrid w:val="0"/>
              <w:spacing w:line="276" w:lineRule="auto"/>
              <w:ind w:firstLine="482" w:firstLineChars="200"/>
              <w:outlineLvl w:val="0"/>
              <w:rPr>
                <w:rFonts w:hint="eastAsia" w:asciiTheme="minorEastAsia" w:hAnsiTheme="minorEastAsia" w:eastAsiaTheme="minorEastAsia" w:cstheme="minorEastAsia"/>
                <w:sz w:val="24"/>
                <w:szCs w:val="24"/>
              </w:rPr>
            </w:pPr>
            <w:bookmarkStart w:id="38" w:name="_Toc11039"/>
            <w:bookmarkStart w:id="39" w:name="_Toc13573"/>
            <w:r>
              <w:rPr>
                <w:rFonts w:hint="eastAsia" w:asciiTheme="minorEastAsia" w:hAnsiTheme="minorEastAsia" w:eastAsiaTheme="minorEastAsia" w:cstheme="minorEastAsia"/>
                <w:b/>
                <w:bCs/>
                <w:sz w:val="24"/>
                <w:szCs w:val="24"/>
              </w:rPr>
              <w:t>一、质疑事项1：</w:t>
            </w:r>
            <w:bookmarkEnd w:id="38"/>
            <w:bookmarkEnd w:id="39"/>
          </w:p>
          <w:p w14:paraId="4D696860">
            <w:pPr>
              <w:snapToGrid w:val="0"/>
              <w:spacing w:line="276" w:lineRule="auto"/>
              <w:ind w:firstLine="480" w:firstLineChars="200"/>
              <w:outlineLvl w:val="0"/>
              <w:rPr>
                <w:rFonts w:hint="eastAsia" w:asciiTheme="minorEastAsia" w:hAnsiTheme="minorEastAsia" w:eastAsiaTheme="minorEastAsia" w:cstheme="minorEastAsia"/>
                <w:sz w:val="24"/>
                <w:szCs w:val="24"/>
              </w:rPr>
            </w:pPr>
            <w:bookmarkStart w:id="40" w:name="_Toc23129"/>
            <w:bookmarkStart w:id="41" w:name="_Toc25614"/>
            <w:r>
              <w:rPr>
                <w:rFonts w:hint="eastAsia" w:asciiTheme="minorEastAsia" w:hAnsiTheme="minorEastAsia" w:eastAsiaTheme="minorEastAsia" w:cstheme="minorEastAsia"/>
                <w:sz w:val="24"/>
                <w:szCs w:val="24"/>
              </w:rPr>
              <w:t>主要内容：</w:t>
            </w:r>
            <w:bookmarkEnd w:id="40"/>
            <w:bookmarkEnd w:id="41"/>
          </w:p>
          <w:p w14:paraId="2E01425D">
            <w:pPr>
              <w:snapToGrid w:val="0"/>
              <w:spacing w:line="276" w:lineRule="auto"/>
              <w:ind w:firstLine="480" w:firstLineChars="200"/>
              <w:outlineLvl w:val="0"/>
              <w:rPr>
                <w:rFonts w:hint="eastAsia" w:asciiTheme="minorEastAsia" w:hAnsiTheme="minorEastAsia" w:eastAsiaTheme="minorEastAsia" w:cstheme="minorEastAsia"/>
                <w:sz w:val="24"/>
                <w:szCs w:val="24"/>
              </w:rPr>
            </w:pPr>
            <w:bookmarkStart w:id="42" w:name="_Toc2762"/>
            <w:bookmarkStart w:id="43" w:name="_Toc4921"/>
            <w:r>
              <w:rPr>
                <w:rFonts w:hint="eastAsia" w:asciiTheme="minorEastAsia" w:hAnsiTheme="minorEastAsia" w:eastAsiaTheme="minorEastAsia" w:cstheme="minorEastAsia"/>
                <w:sz w:val="24"/>
                <w:szCs w:val="24"/>
              </w:rPr>
              <w:t>事实依据：</w:t>
            </w:r>
            <w:bookmarkEnd w:id="42"/>
            <w:bookmarkEnd w:id="43"/>
          </w:p>
          <w:p w14:paraId="1465D814">
            <w:pPr>
              <w:snapToGrid w:val="0"/>
              <w:spacing w:line="276" w:lineRule="auto"/>
              <w:ind w:firstLine="480" w:firstLineChars="200"/>
              <w:outlineLvl w:val="0"/>
              <w:rPr>
                <w:rFonts w:hint="eastAsia" w:asciiTheme="minorEastAsia" w:hAnsiTheme="minorEastAsia" w:eastAsiaTheme="minorEastAsia" w:cstheme="minorEastAsia"/>
                <w:sz w:val="24"/>
                <w:szCs w:val="24"/>
              </w:rPr>
            </w:pPr>
            <w:bookmarkStart w:id="44" w:name="_Toc24639"/>
            <w:bookmarkStart w:id="45" w:name="_Toc9636"/>
            <w:r>
              <w:rPr>
                <w:rFonts w:hint="eastAsia" w:asciiTheme="minorEastAsia" w:hAnsiTheme="minorEastAsia" w:eastAsiaTheme="minorEastAsia" w:cstheme="minorEastAsia"/>
                <w:sz w:val="24"/>
                <w:szCs w:val="24"/>
              </w:rPr>
              <w:t>适应法规条款：</w:t>
            </w:r>
            <w:bookmarkEnd w:id="44"/>
            <w:bookmarkEnd w:id="45"/>
          </w:p>
          <w:p w14:paraId="79FB4510">
            <w:pPr>
              <w:snapToGrid w:val="0"/>
              <w:spacing w:line="276" w:lineRule="auto"/>
              <w:ind w:firstLine="480" w:firstLineChars="200"/>
              <w:outlineLvl w:val="0"/>
              <w:rPr>
                <w:rFonts w:hint="eastAsia" w:asciiTheme="minorEastAsia" w:hAnsiTheme="minorEastAsia" w:eastAsiaTheme="minorEastAsia" w:cstheme="minorEastAsia"/>
                <w:sz w:val="24"/>
                <w:szCs w:val="24"/>
              </w:rPr>
            </w:pPr>
            <w:bookmarkStart w:id="46" w:name="_Toc4949"/>
            <w:bookmarkStart w:id="47" w:name="_Toc17715"/>
            <w:r>
              <w:rPr>
                <w:rFonts w:hint="eastAsia" w:asciiTheme="minorEastAsia" w:hAnsiTheme="minorEastAsia" w:eastAsiaTheme="minorEastAsia" w:cstheme="minorEastAsia"/>
                <w:sz w:val="24"/>
                <w:szCs w:val="24"/>
              </w:rPr>
              <w:t>佐证材料：</w:t>
            </w:r>
            <w:bookmarkEnd w:id="46"/>
            <w:bookmarkEnd w:id="47"/>
          </w:p>
          <w:p w14:paraId="772A66E3">
            <w:pPr>
              <w:snapToGrid w:val="0"/>
              <w:spacing w:line="276" w:lineRule="auto"/>
              <w:ind w:firstLine="482" w:firstLineChars="200"/>
              <w:outlineLvl w:val="0"/>
              <w:rPr>
                <w:rFonts w:hint="eastAsia" w:asciiTheme="minorEastAsia" w:hAnsiTheme="minorEastAsia" w:eastAsiaTheme="minorEastAsia" w:cstheme="minorEastAsia"/>
                <w:sz w:val="24"/>
                <w:szCs w:val="24"/>
              </w:rPr>
            </w:pPr>
            <w:bookmarkStart w:id="48" w:name="_Toc28263"/>
            <w:bookmarkStart w:id="49" w:name="_Toc30791"/>
            <w:r>
              <w:rPr>
                <w:rFonts w:hint="eastAsia" w:asciiTheme="minorEastAsia" w:hAnsiTheme="minorEastAsia" w:eastAsiaTheme="minorEastAsia" w:cstheme="minorEastAsia"/>
                <w:b/>
                <w:bCs/>
                <w:sz w:val="24"/>
                <w:szCs w:val="24"/>
              </w:rPr>
              <w:t>二、质疑事项2：</w:t>
            </w:r>
            <w:bookmarkEnd w:id="48"/>
            <w:bookmarkEnd w:id="49"/>
          </w:p>
          <w:p w14:paraId="7B9CCC9E">
            <w:pPr>
              <w:snapToGrid w:val="0"/>
              <w:spacing w:line="276" w:lineRule="auto"/>
              <w:ind w:firstLine="480" w:firstLineChars="200"/>
              <w:outlineLvl w:val="0"/>
              <w:rPr>
                <w:rFonts w:hint="eastAsia" w:asciiTheme="minorEastAsia" w:hAnsiTheme="minorEastAsia" w:eastAsiaTheme="minorEastAsia" w:cstheme="minorEastAsia"/>
                <w:sz w:val="24"/>
                <w:szCs w:val="24"/>
              </w:rPr>
            </w:pPr>
            <w:bookmarkStart w:id="50" w:name="_Toc10041"/>
            <w:bookmarkStart w:id="51" w:name="_Toc5157"/>
            <w:r>
              <w:rPr>
                <w:rFonts w:hint="eastAsia" w:asciiTheme="minorEastAsia" w:hAnsiTheme="minorEastAsia" w:eastAsiaTheme="minorEastAsia" w:cstheme="minorEastAsia"/>
                <w:sz w:val="24"/>
                <w:szCs w:val="24"/>
              </w:rPr>
              <w:t>主要内容：</w:t>
            </w:r>
            <w:bookmarkEnd w:id="50"/>
            <w:bookmarkEnd w:id="51"/>
          </w:p>
          <w:p w14:paraId="5DFF34DB">
            <w:pPr>
              <w:snapToGrid w:val="0"/>
              <w:spacing w:line="276" w:lineRule="auto"/>
              <w:ind w:firstLine="480" w:firstLineChars="200"/>
              <w:outlineLvl w:val="0"/>
              <w:rPr>
                <w:rFonts w:hint="eastAsia" w:asciiTheme="minorEastAsia" w:hAnsiTheme="minorEastAsia" w:eastAsiaTheme="minorEastAsia" w:cstheme="minorEastAsia"/>
                <w:sz w:val="24"/>
                <w:szCs w:val="24"/>
              </w:rPr>
            </w:pPr>
            <w:bookmarkStart w:id="52" w:name="_Toc576"/>
            <w:bookmarkStart w:id="53" w:name="_Toc2440"/>
            <w:r>
              <w:rPr>
                <w:rFonts w:hint="eastAsia" w:asciiTheme="minorEastAsia" w:hAnsiTheme="minorEastAsia" w:eastAsiaTheme="minorEastAsia" w:cstheme="minorEastAsia"/>
                <w:sz w:val="24"/>
                <w:szCs w:val="24"/>
              </w:rPr>
              <w:t>事实依据：</w:t>
            </w:r>
            <w:bookmarkEnd w:id="52"/>
            <w:bookmarkEnd w:id="53"/>
          </w:p>
          <w:p w14:paraId="56650BE2">
            <w:pPr>
              <w:snapToGrid w:val="0"/>
              <w:spacing w:line="276" w:lineRule="auto"/>
              <w:ind w:firstLine="480" w:firstLineChars="200"/>
              <w:outlineLvl w:val="0"/>
              <w:rPr>
                <w:rFonts w:hint="eastAsia" w:asciiTheme="minorEastAsia" w:hAnsiTheme="minorEastAsia" w:eastAsiaTheme="minorEastAsia" w:cstheme="minorEastAsia"/>
                <w:sz w:val="24"/>
                <w:szCs w:val="24"/>
              </w:rPr>
            </w:pPr>
            <w:bookmarkStart w:id="54" w:name="_Toc32283"/>
            <w:bookmarkStart w:id="55" w:name="_Toc19804"/>
            <w:r>
              <w:rPr>
                <w:rFonts w:hint="eastAsia" w:asciiTheme="minorEastAsia" w:hAnsiTheme="minorEastAsia" w:eastAsiaTheme="minorEastAsia" w:cstheme="minorEastAsia"/>
                <w:sz w:val="24"/>
                <w:szCs w:val="24"/>
              </w:rPr>
              <w:t>适应法规条款：</w:t>
            </w:r>
            <w:bookmarkEnd w:id="54"/>
            <w:bookmarkEnd w:id="55"/>
          </w:p>
          <w:p w14:paraId="48CC9D8D">
            <w:pPr>
              <w:snapToGrid w:val="0"/>
              <w:spacing w:line="276" w:lineRule="auto"/>
              <w:ind w:firstLine="480" w:firstLineChars="200"/>
              <w:outlineLvl w:val="0"/>
              <w:rPr>
                <w:rFonts w:hint="eastAsia" w:asciiTheme="minorEastAsia" w:hAnsiTheme="minorEastAsia" w:eastAsiaTheme="minorEastAsia" w:cstheme="minorEastAsia"/>
                <w:sz w:val="24"/>
                <w:szCs w:val="24"/>
              </w:rPr>
            </w:pPr>
            <w:bookmarkStart w:id="56" w:name="_Toc21267"/>
            <w:bookmarkStart w:id="57" w:name="_Toc20847"/>
            <w:r>
              <w:rPr>
                <w:rFonts w:hint="eastAsia" w:asciiTheme="minorEastAsia" w:hAnsiTheme="minorEastAsia" w:eastAsiaTheme="minorEastAsia" w:cstheme="minorEastAsia"/>
                <w:sz w:val="24"/>
                <w:szCs w:val="24"/>
              </w:rPr>
              <w:t>佐证材料： </w:t>
            </w:r>
            <w:bookmarkEnd w:id="56"/>
            <w:bookmarkEnd w:id="57"/>
          </w:p>
          <w:p w14:paraId="7C005F5F">
            <w:pPr>
              <w:snapToGrid w:val="0"/>
              <w:spacing w:line="276" w:lineRule="auto"/>
              <w:ind w:firstLine="482" w:firstLineChars="200"/>
              <w:outlineLvl w:val="0"/>
              <w:rPr>
                <w:rFonts w:hint="eastAsia" w:asciiTheme="minorEastAsia" w:hAnsiTheme="minorEastAsia" w:eastAsiaTheme="minorEastAsia" w:cstheme="minorEastAsia"/>
                <w:sz w:val="24"/>
                <w:szCs w:val="24"/>
              </w:rPr>
            </w:pPr>
            <w:bookmarkStart w:id="58" w:name="_Toc25584"/>
            <w:bookmarkStart w:id="59" w:name="_Toc27781"/>
            <w:r>
              <w:rPr>
                <w:rFonts w:hint="eastAsia" w:asciiTheme="minorEastAsia" w:hAnsiTheme="minorEastAsia" w:eastAsiaTheme="minorEastAsia" w:cstheme="minorEastAsia"/>
                <w:b/>
                <w:bCs/>
                <w:sz w:val="24"/>
                <w:szCs w:val="24"/>
              </w:rPr>
              <w:t>三、同上</w:t>
            </w:r>
            <w:bookmarkEnd w:id="58"/>
            <w:bookmarkEnd w:id="59"/>
          </w:p>
        </w:tc>
      </w:tr>
    </w:tbl>
    <w:p w14:paraId="05836D66">
      <w:pPr>
        <w:snapToGrid w:val="0"/>
        <w:spacing w:line="440" w:lineRule="exact"/>
        <w:ind w:firstLine="482" w:firstLineChars="200"/>
        <w:outlineLvl w:val="0"/>
        <w:rPr>
          <w:rFonts w:hint="eastAsia" w:asciiTheme="minorEastAsia" w:hAnsiTheme="minorEastAsia" w:eastAsiaTheme="minorEastAsia" w:cstheme="minorEastAsia"/>
          <w:b/>
          <w:bCs/>
          <w:sz w:val="24"/>
          <w:szCs w:val="24"/>
        </w:rPr>
      </w:pPr>
      <w:bookmarkStart w:id="60" w:name="_Toc9069"/>
      <w:bookmarkStart w:id="61" w:name="_Toc1484"/>
      <w:r>
        <w:rPr>
          <w:rFonts w:hint="eastAsia" w:asciiTheme="minorEastAsia" w:hAnsiTheme="minorEastAsia" w:eastAsiaTheme="minorEastAsia" w:cstheme="minorEastAsia"/>
          <w:b/>
          <w:bCs/>
          <w:sz w:val="24"/>
          <w:szCs w:val="24"/>
        </w:rPr>
        <w:t>质疑人（盖公章）：</w:t>
      </w:r>
      <w:bookmarkEnd w:id="60"/>
      <w:bookmarkEnd w:id="61"/>
    </w:p>
    <w:p w14:paraId="468F8109">
      <w:pPr>
        <w:snapToGrid w:val="0"/>
        <w:spacing w:line="440" w:lineRule="exact"/>
        <w:ind w:firstLine="482" w:firstLineChars="200"/>
        <w:outlineLvl w:val="0"/>
        <w:rPr>
          <w:rFonts w:hint="eastAsia" w:asciiTheme="minorEastAsia" w:hAnsiTheme="minorEastAsia" w:eastAsiaTheme="minorEastAsia" w:cstheme="minorEastAsia"/>
          <w:b/>
          <w:bCs/>
          <w:sz w:val="24"/>
          <w:szCs w:val="24"/>
        </w:rPr>
      </w:pPr>
      <w:bookmarkStart w:id="62" w:name="_Toc18025"/>
      <w:bookmarkStart w:id="63" w:name="_Toc15635"/>
      <w:r>
        <w:rPr>
          <w:rFonts w:hint="eastAsia" w:asciiTheme="minorEastAsia" w:hAnsiTheme="minorEastAsia" w:eastAsiaTheme="minorEastAsia" w:cstheme="minorEastAsia"/>
          <w:b/>
          <w:bCs/>
          <w:sz w:val="24"/>
          <w:szCs w:val="24"/>
        </w:rPr>
        <w:t>法定</w:t>
      </w:r>
      <w:r>
        <w:rPr>
          <w:rFonts w:hint="eastAsia" w:asciiTheme="minorEastAsia" w:hAnsiTheme="minorEastAsia" w:eastAsiaTheme="minorEastAsia" w:cstheme="minorEastAsia"/>
          <w:b/>
          <w:bCs/>
          <w:sz w:val="24"/>
          <w:szCs w:val="24"/>
          <w:lang w:eastAsia="zh-CN"/>
        </w:rPr>
        <w:t>代表</w:t>
      </w:r>
      <w:r>
        <w:rPr>
          <w:rFonts w:hint="eastAsia" w:asciiTheme="minorEastAsia" w:hAnsiTheme="minorEastAsia" w:eastAsiaTheme="minorEastAsia" w:cstheme="minorEastAsia"/>
          <w:b/>
          <w:bCs/>
          <w:sz w:val="24"/>
          <w:szCs w:val="24"/>
        </w:rPr>
        <w:t>人（签字、盖章）：</w:t>
      </w:r>
      <w:bookmarkEnd w:id="62"/>
      <w:bookmarkEnd w:id="63"/>
    </w:p>
    <w:p w14:paraId="4EF1C10C">
      <w:pPr>
        <w:snapToGrid w:val="0"/>
        <w:spacing w:line="440" w:lineRule="exact"/>
        <w:ind w:firstLine="482" w:firstLineChars="200"/>
        <w:outlineLvl w:val="0"/>
        <w:rPr>
          <w:rFonts w:hint="eastAsia" w:asciiTheme="minorEastAsia" w:hAnsiTheme="minorEastAsia" w:eastAsiaTheme="minorEastAsia" w:cstheme="minorEastAsia"/>
          <w:b/>
          <w:bCs/>
          <w:sz w:val="24"/>
          <w:szCs w:val="24"/>
        </w:rPr>
      </w:pPr>
      <w:bookmarkStart w:id="64" w:name="_Toc12827"/>
      <w:bookmarkStart w:id="65" w:name="_Toc9674"/>
      <w:r>
        <w:rPr>
          <w:rFonts w:hint="eastAsia" w:asciiTheme="minorEastAsia" w:hAnsiTheme="minorEastAsia" w:eastAsiaTheme="minorEastAsia" w:cstheme="minorEastAsia"/>
          <w:b/>
          <w:bCs/>
          <w:sz w:val="24"/>
          <w:szCs w:val="24"/>
        </w:rPr>
        <w:t>授权代理人（签字）：</w:t>
      </w:r>
      <w:bookmarkEnd w:id="64"/>
      <w:bookmarkEnd w:id="65"/>
    </w:p>
    <w:p w14:paraId="5527D3DA">
      <w:pPr>
        <w:snapToGrid w:val="0"/>
        <w:spacing w:line="440" w:lineRule="exact"/>
        <w:ind w:firstLine="482" w:firstLineChars="200"/>
        <w:outlineLvl w:val="0"/>
        <w:rPr>
          <w:rFonts w:hint="eastAsia" w:asciiTheme="minorEastAsia" w:hAnsiTheme="minorEastAsia" w:eastAsiaTheme="minorEastAsia" w:cstheme="minorEastAsia"/>
          <w:b/>
          <w:bCs/>
          <w:sz w:val="24"/>
          <w:szCs w:val="24"/>
        </w:rPr>
      </w:pPr>
      <w:bookmarkStart w:id="66" w:name="_Toc21978"/>
      <w:bookmarkStart w:id="67" w:name="_Toc10390"/>
      <w:r>
        <w:rPr>
          <w:rFonts w:hint="eastAsia" w:asciiTheme="minorEastAsia" w:hAnsiTheme="minorEastAsia" w:eastAsiaTheme="minorEastAsia" w:cstheme="minorEastAsia"/>
          <w:b/>
          <w:bCs/>
          <w:sz w:val="24"/>
          <w:szCs w:val="24"/>
        </w:rPr>
        <w:t>日期：年  月 日</w:t>
      </w:r>
      <w:bookmarkEnd w:id="66"/>
      <w:bookmarkEnd w:id="67"/>
    </w:p>
    <w:p w14:paraId="5E76EA10">
      <w:pPr>
        <w:snapToGrid w:val="0"/>
        <w:spacing w:line="440" w:lineRule="exact"/>
        <w:ind w:firstLine="482" w:firstLineChars="200"/>
        <w:outlineLvl w:val="0"/>
        <w:rPr>
          <w:rFonts w:hint="eastAsia" w:asciiTheme="minorEastAsia" w:hAnsiTheme="minorEastAsia" w:eastAsiaTheme="minorEastAsia" w:cstheme="minorEastAsia"/>
          <w:sz w:val="24"/>
          <w:szCs w:val="24"/>
        </w:rPr>
      </w:pPr>
      <w:bookmarkStart w:id="68" w:name="_Toc10187"/>
      <w:bookmarkStart w:id="69" w:name="_Toc3990"/>
      <w:r>
        <w:rPr>
          <w:rFonts w:hint="eastAsia" w:asciiTheme="minorEastAsia" w:hAnsiTheme="minorEastAsia" w:eastAsiaTheme="minorEastAsia" w:cstheme="minorEastAsia"/>
          <w:b/>
          <w:bCs/>
          <w:sz w:val="24"/>
          <w:szCs w:val="24"/>
        </w:rPr>
        <w:t>备注：</w:t>
      </w:r>
      <w:bookmarkEnd w:id="68"/>
      <w:bookmarkEnd w:id="69"/>
    </w:p>
    <w:p w14:paraId="68A7AEDE">
      <w:pPr>
        <w:snapToGrid w:val="0"/>
        <w:spacing w:line="440" w:lineRule="exact"/>
        <w:ind w:firstLine="480" w:firstLineChars="200"/>
        <w:outlineLvl w:val="0"/>
        <w:rPr>
          <w:rFonts w:hint="eastAsia" w:asciiTheme="minorEastAsia" w:hAnsiTheme="minorEastAsia" w:eastAsiaTheme="minorEastAsia" w:cstheme="minorEastAsia"/>
          <w:sz w:val="24"/>
          <w:szCs w:val="24"/>
        </w:rPr>
      </w:pPr>
      <w:bookmarkStart w:id="70" w:name="_Toc21980"/>
      <w:bookmarkStart w:id="71" w:name="_Toc26970"/>
      <w:r>
        <w:rPr>
          <w:rFonts w:hint="eastAsia" w:asciiTheme="minorEastAsia" w:hAnsiTheme="minorEastAsia" w:eastAsiaTheme="minorEastAsia" w:cstheme="minorEastAsia"/>
          <w:sz w:val="24"/>
          <w:szCs w:val="24"/>
        </w:rPr>
        <w:t>1、质疑人的法定代表人办理质疑事务的，在提交质疑函（无需填写授权委托人）的同时，还应提交加盖质疑人公章的营业执照（事业单位法人证书）副本复印件和法定代表人的身份证复印件。并出具身份证原件用于核对。</w:t>
      </w:r>
      <w:bookmarkEnd w:id="70"/>
      <w:bookmarkEnd w:id="71"/>
    </w:p>
    <w:p w14:paraId="6E765331">
      <w:pPr>
        <w:snapToGrid w:val="0"/>
        <w:spacing w:line="440" w:lineRule="exact"/>
        <w:ind w:firstLine="480" w:firstLineChars="200"/>
        <w:outlineLvl w:val="0"/>
        <w:rPr>
          <w:rFonts w:hint="eastAsia" w:asciiTheme="minorEastAsia" w:hAnsiTheme="minorEastAsia" w:eastAsiaTheme="minorEastAsia" w:cstheme="minorEastAsia"/>
          <w:sz w:val="24"/>
          <w:szCs w:val="24"/>
        </w:rPr>
      </w:pPr>
      <w:bookmarkStart w:id="72" w:name="_Toc29931"/>
      <w:bookmarkStart w:id="73" w:name="_Toc29109"/>
      <w:r>
        <w:rPr>
          <w:rFonts w:hint="eastAsia" w:asciiTheme="minorEastAsia" w:hAnsiTheme="minorEastAsia" w:eastAsiaTheme="minorEastAsia" w:cstheme="minorEastAsia"/>
          <w:sz w:val="24"/>
          <w:szCs w:val="24"/>
        </w:rPr>
        <w:t>2、授权本项目授权代理人办理质疑事务的，除提交质疑书、加盖质疑人公章的营业执照（事业单位法人证书）副本复印件和法定代表人的身份证复印件外，还应当提交由质疑人出具的明确载明授权委托的具体权限和事项的法定代表人授权委托书以及授权委托人的身份证复印件。</w:t>
      </w:r>
      <w:bookmarkEnd w:id="72"/>
      <w:bookmarkEnd w:id="73"/>
    </w:p>
    <w:p w14:paraId="40C9F720">
      <w:pPr>
        <w:snapToGrid w:val="0"/>
        <w:spacing w:line="440" w:lineRule="exact"/>
        <w:ind w:firstLine="480" w:firstLineChars="200"/>
        <w:outlineLvl w:val="0"/>
        <w:rPr>
          <w:rFonts w:hint="eastAsia" w:asciiTheme="minorEastAsia" w:hAnsiTheme="minorEastAsia" w:eastAsiaTheme="minorEastAsia" w:cstheme="minorEastAsia"/>
          <w:sz w:val="24"/>
          <w:szCs w:val="24"/>
        </w:rPr>
      </w:pPr>
      <w:bookmarkStart w:id="74" w:name="_Toc22526"/>
      <w:bookmarkStart w:id="75" w:name="_Toc22283"/>
      <w:r>
        <w:rPr>
          <w:rFonts w:hint="eastAsia" w:asciiTheme="minorEastAsia" w:hAnsiTheme="minorEastAsia" w:eastAsiaTheme="minorEastAsia" w:cstheme="minorEastAsia"/>
          <w:sz w:val="24"/>
          <w:szCs w:val="24"/>
        </w:rPr>
        <w:t>3、“具体的质疑事项及事实依据”一栏填写不下时，质疑人可另附页（A4），但附纸要求加盖质疑人公章。</w:t>
      </w:r>
      <w:bookmarkEnd w:id="74"/>
      <w:bookmarkEnd w:id="75"/>
    </w:p>
    <w:p w14:paraId="43554C68">
      <w:pPr>
        <w:snapToGrid w:val="0"/>
        <w:spacing w:line="440" w:lineRule="exact"/>
        <w:ind w:firstLine="480" w:firstLineChars="200"/>
        <w:outlineLvl w:val="0"/>
        <w:rPr>
          <w:rFonts w:hint="eastAsia" w:asciiTheme="minorEastAsia" w:hAnsiTheme="minorEastAsia" w:eastAsiaTheme="minorEastAsia" w:cstheme="minorEastAsia"/>
          <w:sz w:val="24"/>
          <w:szCs w:val="24"/>
        </w:rPr>
      </w:pPr>
      <w:bookmarkStart w:id="76" w:name="_Toc29680"/>
      <w:bookmarkStart w:id="77" w:name="_Toc13249"/>
      <w:r>
        <w:rPr>
          <w:rFonts w:hint="eastAsia" w:asciiTheme="minorEastAsia" w:hAnsiTheme="minorEastAsia" w:eastAsiaTheme="minorEastAsia" w:cstheme="minorEastAsia"/>
          <w:sz w:val="24"/>
          <w:szCs w:val="24"/>
        </w:rPr>
        <w:t>4、与质疑事项有关的材料应与质疑函合并装订。</w:t>
      </w:r>
      <w:bookmarkEnd w:id="76"/>
      <w:bookmarkEnd w:id="77"/>
    </w:p>
    <w:p w14:paraId="1DADA978">
      <w:pPr>
        <w:snapToGrid w:val="0"/>
        <w:spacing w:line="440" w:lineRule="exact"/>
        <w:ind w:firstLine="480"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b/>
          <w:bCs/>
          <w:sz w:val="24"/>
          <w:szCs w:val="24"/>
        </w:rPr>
        <w:t>质疑函一式三份。</w:t>
      </w:r>
    </w:p>
    <w:p w14:paraId="29E0E0D7">
      <w:pPr>
        <w:pStyle w:val="6"/>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sz w:val="24"/>
          <w:szCs w:val="24"/>
        </w:rPr>
        <w:br w:type="page"/>
      </w:r>
      <w:bookmarkStart w:id="78" w:name="_Toc4069"/>
      <w:bookmarkStart w:id="79" w:name="_Toc3729"/>
      <w:r>
        <w:rPr>
          <w:rFonts w:hint="eastAsia" w:asciiTheme="minorEastAsia" w:hAnsiTheme="minorEastAsia" w:eastAsiaTheme="minorEastAsia" w:cstheme="minorEastAsia"/>
          <w:sz w:val="28"/>
          <w:szCs w:val="28"/>
        </w:rPr>
        <w:t>第三部分 采购合同</w:t>
      </w:r>
    </w:p>
    <w:bookmarkEnd w:id="78"/>
    <w:bookmarkEnd w:id="79"/>
    <w:p w14:paraId="768BB757">
      <w:pPr>
        <w:pStyle w:val="4"/>
        <w:jc w:val="center"/>
        <w:rPr>
          <w:rFonts w:hint="eastAsia" w:ascii="宋体" w:hAnsi="宋体" w:cs="宋体"/>
          <w:b/>
          <w:bCs/>
          <w:spacing w:val="-20"/>
          <w:kern w:val="44"/>
          <w:sz w:val="48"/>
          <w:szCs w:val="48"/>
        </w:rPr>
      </w:pPr>
      <w:bookmarkStart w:id="80" w:name="_Toc3995"/>
    </w:p>
    <w:bookmarkEnd w:id="80"/>
    <w:p w14:paraId="75C32321">
      <w:pPr>
        <w:spacing w:line="360" w:lineRule="auto"/>
        <w:ind w:firstLine="482" w:firstLineChars="200"/>
        <w:jc w:val="center"/>
        <w:rPr>
          <w:rFonts w:hint="eastAsia" w:ascii="宋体" w:hAnsi="宋体" w:cs="宋体"/>
          <w:b/>
          <w:bCs/>
          <w:sz w:val="24"/>
        </w:rPr>
      </w:pPr>
      <w:r>
        <w:rPr>
          <w:rFonts w:hint="eastAsia" w:ascii="宋体" w:hAnsi="宋体" w:cs="宋体"/>
          <w:b/>
          <w:bCs/>
          <w:sz w:val="24"/>
          <w:szCs w:val="24"/>
        </w:rPr>
        <w:t>合同以甲乙双方实际签订为准</w:t>
      </w:r>
    </w:p>
    <w:p w14:paraId="3F3BA752">
      <w:pPr>
        <w:pStyle w:val="12"/>
        <w:rPr>
          <w:rFonts w:hint="eastAsia" w:asciiTheme="minorEastAsia" w:hAnsiTheme="minorEastAsia" w:eastAsiaTheme="minorEastAsia" w:cstheme="minorEastAsia"/>
          <w:color w:val="auto"/>
          <w:kern w:val="0"/>
          <w:sz w:val="24"/>
          <w:lang w:val="zh-CN"/>
        </w:rPr>
      </w:pPr>
    </w:p>
    <w:p w14:paraId="3CF5C503">
      <w:pPr>
        <w:numPr>
          <w:ilvl w:val="0"/>
          <w:numId w:val="6"/>
        </w:numPr>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kern w:val="0"/>
          <w:sz w:val="24"/>
          <w:lang w:val="zh-CN"/>
        </w:rPr>
        <w:br w:type="page"/>
      </w:r>
      <w:bookmarkStart w:id="81" w:name="_Toc28365"/>
      <w:bookmarkStart w:id="82" w:name="_Toc9739"/>
      <w:r>
        <w:rPr>
          <w:rFonts w:hint="eastAsia" w:asciiTheme="minorEastAsia" w:hAnsiTheme="minorEastAsia" w:eastAsiaTheme="minorEastAsia" w:cstheme="minorEastAsia"/>
          <w:b/>
          <w:sz w:val="32"/>
          <w:szCs w:val="32"/>
        </w:rPr>
        <w:t>采购需求</w:t>
      </w:r>
      <w:bookmarkEnd w:id="81"/>
      <w:bookmarkEnd w:id="82"/>
    </w:p>
    <w:p w14:paraId="3B11BAE7">
      <w:pPr>
        <w:pStyle w:val="2"/>
        <w:spacing w:line="360" w:lineRule="auto"/>
        <w:rPr>
          <w:rFonts w:hint="eastAsia" w:ascii="宋体" w:hAnsi="宋体" w:eastAsia="宋体" w:cs="宋体"/>
          <w:color w:val="auto"/>
          <w:sz w:val="24"/>
          <w:szCs w:val="24"/>
          <w:highlight w:val="none"/>
          <w:lang w:val="en-US" w:eastAsia="zh-CN"/>
        </w:rPr>
      </w:pPr>
      <w:bookmarkStart w:id="83" w:name="_Toc20810"/>
      <w:bookmarkStart w:id="84" w:name="_Toc18940"/>
    </w:p>
    <w:p w14:paraId="33AAECB9">
      <w:pPr>
        <w:pStyle w:val="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消防维修保养，是消防系统发挥正常功能的前提保障。维修保养中心应依照国家《火灾自动报警系统施工及验收规范》、《自动喷水灭火系统施工及验收规范》、《建筑自动消防设施及消防控制室规范化管理标准》等规定，结合学校的实际和相关要求，消防维修保养工作内容如下:</w:t>
      </w:r>
    </w:p>
    <w:p w14:paraId="4E787358">
      <w:pPr>
        <w:pStyle w:val="2"/>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一、维修保养消防设施设备范围</w:t>
      </w:r>
    </w:p>
    <w:tbl>
      <w:tblPr>
        <w:tblStyle w:val="30"/>
        <w:tblW w:w="8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4580"/>
        <w:gridCol w:w="3408"/>
      </w:tblGrid>
      <w:tr w14:paraId="2535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14:paraId="200DF6C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2"/>
                <w:sz w:val="24"/>
                <w:szCs w:val="24"/>
                <w:vertAlign w:val="baseline"/>
                <w:lang w:val="en-US" w:eastAsia="zh-CN"/>
              </w:rPr>
            </w:pPr>
            <w:r>
              <w:rPr>
                <w:rFonts w:hint="eastAsia" w:asciiTheme="minorEastAsia" w:hAnsiTheme="minorEastAsia" w:eastAsiaTheme="minorEastAsia" w:cstheme="minorEastAsia"/>
                <w:color w:val="000000"/>
                <w:kern w:val="2"/>
                <w:sz w:val="24"/>
                <w:szCs w:val="24"/>
                <w:vertAlign w:val="baseline"/>
                <w:lang w:val="en-US" w:eastAsia="zh-CN"/>
              </w:rPr>
              <w:t>序号</w:t>
            </w:r>
          </w:p>
        </w:tc>
        <w:tc>
          <w:tcPr>
            <w:tcW w:w="4580" w:type="dxa"/>
            <w:vAlign w:val="center"/>
          </w:tcPr>
          <w:p w14:paraId="3C8E30F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2"/>
                <w:sz w:val="24"/>
                <w:szCs w:val="24"/>
                <w:vertAlign w:val="baseline"/>
                <w:lang w:val="en-US" w:eastAsia="zh-CN"/>
              </w:rPr>
            </w:pPr>
            <w:r>
              <w:rPr>
                <w:rFonts w:hint="eastAsia" w:asciiTheme="minorEastAsia" w:hAnsiTheme="minorEastAsia" w:eastAsiaTheme="minorEastAsia" w:cstheme="minorEastAsia"/>
                <w:color w:val="000000"/>
                <w:kern w:val="2"/>
                <w:sz w:val="24"/>
                <w:szCs w:val="24"/>
                <w:vertAlign w:val="baseline"/>
                <w:lang w:val="en-US" w:eastAsia="zh-CN"/>
              </w:rPr>
              <w:t>服务内容</w:t>
            </w:r>
          </w:p>
        </w:tc>
        <w:tc>
          <w:tcPr>
            <w:tcW w:w="3408" w:type="dxa"/>
            <w:vAlign w:val="center"/>
          </w:tcPr>
          <w:p w14:paraId="23C4C34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2"/>
                <w:sz w:val="24"/>
                <w:szCs w:val="24"/>
                <w:vertAlign w:val="baseline"/>
                <w:lang w:val="en-US" w:eastAsia="zh-CN"/>
              </w:rPr>
            </w:pPr>
            <w:r>
              <w:rPr>
                <w:rFonts w:hint="eastAsia" w:asciiTheme="minorEastAsia" w:hAnsiTheme="minorEastAsia" w:eastAsiaTheme="minorEastAsia" w:cstheme="minorEastAsia"/>
                <w:color w:val="000000"/>
                <w:kern w:val="2"/>
                <w:sz w:val="24"/>
                <w:szCs w:val="24"/>
                <w:vertAlign w:val="baseline"/>
                <w:lang w:val="en-US" w:eastAsia="zh-CN"/>
              </w:rPr>
              <w:t>数量</w:t>
            </w:r>
          </w:p>
        </w:tc>
      </w:tr>
      <w:tr w14:paraId="6685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14:paraId="03A2D0D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2"/>
                <w:sz w:val="24"/>
                <w:szCs w:val="24"/>
                <w:vertAlign w:val="baseline"/>
                <w:lang w:val="en-US" w:eastAsia="zh-CN"/>
              </w:rPr>
            </w:pPr>
            <w:r>
              <w:rPr>
                <w:rFonts w:hint="eastAsia" w:asciiTheme="minorEastAsia" w:hAnsiTheme="minorEastAsia" w:eastAsiaTheme="minorEastAsia" w:cstheme="minorEastAsia"/>
                <w:color w:val="000000"/>
                <w:kern w:val="2"/>
                <w:sz w:val="24"/>
                <w:szCs w:val="24"/>
                <w:vertAlign w:val="baseline"/>
                <w:lang w:val="en-US" w:eastAsia="zh-CN"/>
              </w:rPr>
              <w:t>1</w:t>
            </w:r>
          </w:p>
        </w:tc>
        <w:tc>
          <w:tcPr>
            <w:tcW w:w="4580" w:type="dxa"/>
            <w:vAlign w:val="center"/>
          </w:tcPr>
          <w:p w14:paraId="6DBAE8B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color w:val="000000"/>
                <w:kern w:val="2"/>
                <w:sz w:val="24"/>
                <w:szCs w:val="24"/>
                <w:highlight w:val="none"/>
                <w:vertAlign w:val="baseline"/>
                <w:lang w:val="en-US" w:eastAsia="zh-CN"/>
              </w:rPr>
            </w:pPr>
            <w:r>
              <w:rPr>
                <w:rFonts w:hint="eastAsia" w:asciiTheme="minorEastAsia" w:hAnsiTheme="minorEastAsia" w:eastAsiaTheme="minorEastAsia" w:cstheme="minorEastAsia"/>
                <w:color w:val="000000"/>
                <w:kern w:val="2"/>
                <w:sz w:val="24"/>
                <w:szCs w:val="24"/>
                <w:highlight w:val="none"/>
                <w:vertAlign w:val="baseline"/>
                <w:lang w:val="en-US" w:eastAsia="zh-CN"/>
              </w:rPr>
              <w:t>维保+年检+易耗品维修更换（易耗品是指应急疏散标识灯、应急照明灯、消火栓玻璃）</w:t>
            </w:r>
          </w:p>
        </w:tc>
        <w:tc>
          <w:tcPr>
            <w:tcW w:w="3408" w:type="dxa"/>
            <w:vAlign w:val="center"/>
          </w:tcPr>
          <w:p w14:paraId="78D928E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2"/>
                <w:sz w:val="24"/>
                <w:szCs w:val="24"/>
                <w:vertAlign w:val="baseline"/>
                <w:lang w:val="en-US" w:eastAsia="zh-CN"/>
              </w:rPr>
            </w:pPr>
            <w:r>
              <w:rPr>
                <w:rFonts w:hint="eastAsia" w:asciiTheme="minorEastAsia" w:hAnsiTheme="minorEastAsia" w:eastAsiaTheme="minorEastAsia" w:cstheme="minorEastAsia"/>
                <w:kern w:val="2"/>
                <w:sz w:val="24"/>
                <w:szCs w:val="24"/>
                <w:lang w:val="en-US" w:eastAsia="zh-CN"/>
              </w:rPr>
              <w:t>55.79万㎡</w:t>
            </w:r>
          </w:p>
        </w:tc>
      </w:tr>
      <w:tr w14:paraId="1BED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14:paraId="4C1479B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2"/>
                <w:sz w:val="24"/>
                <w:szCs w:val="24"/>
                <w:vertAlign w:val="baseline"/>
                <w:lang w:val="en-US" w:eastAsia="zh-CN"/>
              </w:rPr>
            </w:pPr>
            <w:r>
              <w:rPr>
                <w:rFonts w:hint="eastAsia" w:asciiTheme="minorEastAsia" w:hAnsiTheme="minorEastAsia" w:eastAsiaTheme="minorEastAsia" w:cstheme="minorEastAsia"/>
                <w:color w:val="000000"/>
                <w:kern w:val="2"/>
                <w:sz w:val="24"/>
                <w:szCs w:val="24"/>
                <w:vertAlign w:val="baseline"/>
                <w:lang w:val="en-US" w:eastAsia="zh-CN"/>
              </w:rPr>
              <w:t>2</w:t>
            </w:r>
          </w:p>
        </w:tc>
        <w:tc>
          <w:tcPr>
            <w:tcW w:w="4580" w:type="dxa"/>
            <w:vAlign w:val="center"/>
          </w:tcPr>
          <w:p w14:paraId="7352C0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color w:val="000000"/>
                <w:kern w:val="2"/>
                <w:sz w:val="24"/>
                <w:szCs w:val="24"/>
                <w:highlight w:val="none"/>
                <w:vertAlign w:val="baseline"/>
                <w:lang w:val="en-US" w:eastAsia="zh-CN"/>
              </w:rPr>
            </w:pPr>
            <w:r>
              <w:rPr>
                <w:rFonts w:hint="eastAsia" w:asciiTheme="minorEastAsia" w:hAnsiTheme="minorEastAsia" w:eastAsiaTheme="minorEastAsia" w:cstheme="minorEastAsia"/>
                <w:color w:val="000000"/>
                <w:kern w:val="2"/>
                <w:sz w:val="24"/>
                <w:szCs w:val="24"/>
                <w:highlight w:val="none"/>
                <w:lang w:val="en-US" w:eastAsia="zh-CN"/>
              </w:rPr>
              <w:t>灭火器年检（灭火器具体指手提式、推车式干粉灭火器和二氧化碳灭火器，不包括机房、配电室的气体灭火装置）</w:t>
            </w:r>
          </w:p>
        </w:tc>
        <w:tc>
          <w:tcPr>
            <w:tcW w:w="3408" w:type="dxa"/>
            <w:vAlign w:val="center"/>
          </w:tcPr>
          <w:p w14:paraId="55B2828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2"/>
                <w:sz w:val="24"/>
                <w:szCs w:val="24"/>
                <w:vertAlign w:val="baseline"/>
                <w:lang w:val="en-US" w:eastAsia="zh-CN"/>
              </w:rPr>
            </w:pPr>
            <w:r>
              <w:rPr>
                <w:rFonts w:hint="eastAsia" w:asciiTheme="minorEastAsia" w:hAnsiTheme="minorEastAsia" w:eastAsiaTheme="minorEastAsia" w:cstheme="minorEastAsia"/>
                <w:color w:val="000000"/>
                <w:kern w:val="2"/>
                <w:sz w:val="24"/>
                <w:szCs w:val="24"/>
                <w:vertAlign w:val="baseline"/>
                <w:lang w:val="en-US" w:eastAsia="zh-CN"/>
              </w:rPr>
              <w:t>4900具</w:t>
            </w:r>
          </w:p>
        </w:tc>
      </w:tr>
      <w:tr w14:paraId="1ABD9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14:paraId="41C054D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2"/>
                <w:sz w:val="24"/>
                <w:szCs w:val="24"/>
                <w:vertAlign w:val="baseline"/>
                <w:lang w:val="en-US" w:eastAsia="zh-CN"/>
              </w:rPr>
            </w:pPr>
            <w:r>
              <w:rPr>
                <w:rFonts w:hint="eastAsia" w:asciiTheme="minorEastAsia" w:hAnsiTheme="minorEastAsia" w:eastAsiaTheme="minorEastAsia" w:cstheme="minorEastAsia"/>
                <w:color w:val="000000"/>
                <w:kern w:val="2"/>
                <w:sz w:val="24"/>
                <w:szCs w:val="24"/>
                <w:vertAlign w:val="baseline"/>
                <w:lang w:val="en-US" w:eastAsia="zh-CN"/>
              </w:rPr>
              <w:t>3</w:t>
            </w:r>
          </w:p>
        </w:tc>
        <w:tc>
          <w:tcPr>
            <w:tcW w:w="4580" w:type="dxa"/>
            <w:vAlign w:val="center"/>
          </w:tcPr>
          <w:p w14:paraId="6F136B2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rPr>
              <w:t>消防控制室值守</w:t>
            </w:r>
          </w:p>
        </w:tc>
        <w:tc>
          <w:tcPr>
            <w:tcW w:w="3408" w:type="dxa"/>
            <w:vAlign w:val="center"/>
          </w:tcPr>
          <w:p w14:paraId="6D1E11B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000000"/>
                <w:kern w:val="2"/>
                <w:sz w:val="24"/>
                <w:szCs w:val="24"/>
                <w:vertAlign w:val="baseline"/>
                <w:lang w:val="en-US" w:eastAsia="zh-CN"/>
              </w:rPr>
            </w:pPr>
            <w:r>
              <w:rPr>
                <w:rFonts w:hint="eastAsia" w:asciiTheme="minorEastAsia" w:hAnsiTheme="minorEastAsia" w:eastAsiaTheme="minorEastAsia" w:cstheme="minorEastAsia"/>
                <w:color w:val="000000"/>
                <w:kern w:val="2"/>
                <w:sz w:val="24"/>
                <w:szCs w:val="24"/>
                <w:vertAlign w:val="baseline"/>
                <w:lang w:val="en-US" w:eastAsia="zh-CN"/>
              </w:rPr>
              <w:t>12个岗位</w:t>
            </w:r>
          </w:p>
        </w:tc>
      </w:tr>
      <w:tr w14:paraId="3150B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1" w:type="dxa"/>
            <w:gridSpan w:val="3"/>
            <w:vAlign w:val="center"/>
          </w:tcPr>
          <w:p w14:paraId="1B2BE13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000000"/>
                <w:kern w:val="2"/>
                <w:sz w:val="24"/>
                <w:szCs w:val="24"/>
                <w:vertAlign w:val="baseline"/>
                <w:lang w:val="en-US" w:eastAsia="zh-CN"/>
              </w:rPr>
            </w:pPr>
            <w:r>
              <w:rPr>
                <w:rFonts w:hint="eastAsia" w:asciiTheme="minorEastAsia" w:hAnsiTheme="minorEastAsia" w:eastAsiaTheme="minorEastAsia" w:cstheme="minorEastAsia"/>
                <w:kern w:val="2"/>
                <w:sz w:val="24"/>
                <w:szCs w:val="24"/>
                <w:lang w:val="en-US" w:eastAsia="zh-CN" w:bidi="ar-SA"/>
              </w:rPr>
              <w:t>注：东、西校区须纳入消防年检、</w:t>
            </w:r>
            <w:r>
              <w:rPr>
                <w:rFonts w:hint="eastAsia" w:asciiTheme="minorEastAsia" w:hAnsiTheme="minorEastAsia" w:eastAsiaTheme="minorEastAsia" w:cstheme="minorEastAsia"/>
                <w:kern w:val="2"/>
                <w:sz w:val="24"/>
                <w:szCs w:val="24"/>
                <w:lang w:val="en-US" w:eastAsia="zh-CN"/>
              </w:rPr>
              <w:t>维保的建筑面积共计55.79万平方米；须年检的灭火器共计4900余具；3个消防控制室须6人24小时值守，至少需要12个岗位进行倒班。</w:t>
            </w:r>
          </w:p>
        </w:tc>
      </w:tr>
    </w:tbl>
    <w:p w14:paraId="28623D64">
      <w:pPr>
        <w:pStyle w:val="2"/>
        <w:spacing w:line="360" w:lineRule="auto"/>
        <w:rPr>
          <w:rFonts w:hint="eastAsia" w:ascii="宋体" w:hAnsi="宋体" w:eastAsia="宋体" w:cs="宋体"/>
          <w:color w:val="auto"/>
          <w:sz w:val="24"/>
          <w:szCs w:val="24"/>
          <w:highlight w:val="none"/>
          <w:lang w:val="en-US" w:eastAsia="zh-CN"/>
        </w:rPr>
      </w:pPr>
    </w:p>
    <w:p w14:paraId="73C5FD48">
      <w:pPr>
        <w:pStyle w:val="2"/>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二、服务内容</w:t>
      </w:r>
    </w:p>
    <w:p w14:paraId="55B90CD6">
      <w:pPr>
        <w:pStyle w:val="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（一）维护保养服务内容</w:t>
      </w:r>
    </w:p>
    <w:p w14:paraId="5E72F717">
      <w:pPr>
        <w:pStyle w:val="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乙方按照《DB 65/T 4069-2017建筑消防设施维护及保养技术规程》及甲方建筑消防设施的实际情况，向甲方提供《维护方案》，《维护方案》须由乙方盖章确认并经甲方审核确认。本着“质量第一、用户至上”的服务宗旨，严格按照甲、乙双方确定的《维护方案》进行消防系统的维修服务，具体为：</w:t>
      </w:r>
    </w:p>
    <w:p w14:paraId="29B061EE">
      <w:pPr>
        <w:pStyle w:val="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委托消防工程范围内系统的定期测试和检修。</w:t>
      </w:r>
    </w:p>
    <w:p w14:paraId="1D0F32D9">
      <w:pPr>
        <w:pStyle w:val="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委托消防工程范围内系统故障以及隐患的处理、排除。</w:t>
      </w:r>
    </w:p>
    <w:p w14:paraId="25CDFA7D">
      <w:pPr>
        <w:pStyle w:val="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 委托消防工程范围内系统故障以及易损件的维护、修理。</w:t>
      </w:r>
    </w:p>
    <w:p w14:paraId="50DF20D4">
      <w:pPr>
        <w:pStyle w:val="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根据相关规定要求出具月检报告。</w:t>
      </w:r>
    </w:p>
    <w:p w14:paraId="2A9C05AC">
      <w:pPr>
        <w:pStyle w:val="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 其他维护保养服务（以服务合同为准）。</w:t>
      </w:r>
    </w:p>
    <w:p w14:paraId="06BB673D">
      <w:pPr>
        <w:pStyle w:val="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（二）灭火器年检充装服务内容</w:t>
      </w:r>
    </w:p>
    <w:p w14:paraId="64FB1A99">
      <w:pPr>
        <w:pStyle w:val="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提供东、西校区灭火器（共计4900余具）年检充装服务，在灭火器年检到期前对4900余具灭火器分批进行换粉充装，充装完毕后每月定期对所有灭火器压力是否充足，筒体是否锈蚀、变形等情况进行检查，对出现问题的灭火器及时进行维修。</w:t>
      </w:r>
    </w:p>
    <w:p w14:paraId="5CD4CBFD">
      <w:pPr>
        <w:pStyle w:val="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（三）东、西校区2个消防控制室24小时值班值守</w:t>
      </w:r>
    </w:p>
    <w:p w14:paraId="6F84B061">
      <w:pPr>
        <w:pStyle w:val="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甲方东、西校区3个消防控制室均严格落实24小时值班制度，单个控制室每班人员不少于2人，3个控制室每班在岗不少于6人。乙方应至少派遣12人完成甲方消防控制室值班值守服务，且值班人员均应通过消防行业特有工种职业技能鉴定，持有初级技能以上等级的职业资格证书；值班人员必须严格落实日常巡视、检查、记录等制度，在日常巡查中发现的问题隐患能整改的要立即整改，一旦发现问题不能自行排除时，应及时通知乙方维保人员到校处理。</w:t>
      </w:r>
    </w:p>
    <w:p w14:paraId="615A13AE">
      <w:pPr>
        <w:pStyle w:val="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（四）年度检测服务内容</w:t>
      </w:r>
    </w:p>
    <w:p w14:paraId="366C979F">
      <w:pPr>
        <w:pStyle w:val="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乙方按照《DB 65/T 3253—2020建筑消防设施质量检测评定规程》对甲方建筑消防设施的系统功能、运行状态、安装施工质量、设备质量数量（包括消防产品是否具有符合法定市场准入规则的证明文件）等是否符合国家消防标准规范进行全面检测，并对甲方消防控制室职守人员持证上岗和操控消防设施能力进行测评。乙方根据相关消防检测规程，本着客观、公正、科学的原则进行检测，检测完毕应当如实出具符合消防部门要求的年度检测报告，作为甲方改进消防系统的依据。</w:t>
      </w:r>
    </w:p>
    <w:p w14:paraId="764BB763">
      <w:pPr>
        <w:pStyle w:val="2"/>
        <w:rPr>
          <w:rFonts w:hint="eastAsia" w:ascii="宋体" w:hAnsi="宋体" w:eastAsia="宋体" w:cs="宋体"/>
          <w:color w:val="auto"/>
          <w:highlight w:val="none"/>
          <w:lang w:val="en-US" w:eastAsia="zh-CN"/>
        </w:rPr>
      </w:pPr>
    </w:p>
    <w:p w14:paraId="391CD537">
      <w:pPr>
        <w:pStyle w:val="12"/>
        <w:ind w:left="0" w:leftChars="0" w:firstLine="0" w:firstLineChars="0"/>
        <w:rPr>
          <w:rFonts w:hint="eastAsia" w:asciiTheme="minorEastAsia" w:hAnsiTheme="minorEastAsia" w:eastAsiaTheme="minorEastAsia" w:cstheme="minorEastAsia"/>
          <w:sz w:val="24"/>
          <w:szCs w:val="24"/>
          <w:highlight w:val="none"/>
          <w:lang w:val="en-US" w:eastAsia="zh-CN"/>
        </w:rPr>
      </w:pPr>
    </w:p>
    <w:p w14:paraId="09DE291E">
      <w:pPr>
        <w:rPr>
          <w:rFonts w:hint="eastAsia"/>
          <w:b/>
          <w:bCs/>
          <w:sz w:val="28"/>
          <w:szCs w:val="36"/>
          <w:lang w:val="en-US" w:eastAsia="zh-CN"/>
        </w:rPr>
      </w:pPr>
      <w:r>
        <w:rPr>
          <w:rFonts w:hint="eastAsia"/>
          <w:b/>
          <w:bCs/>
          <w:sz w:val="28"/>
          <w:szCs w:val="36"/>
          <w:lang w:val="en-US" w:eastAsia="zh-CN"/>
        </w:rPr>
        <w:br w:type="page"/>
      </w:r>
    </w:p>
    <w:p w14:paraId="72E89A9A">
      <w:pPr>
        <w:ind w:firstLine="560"/>
        <w:rPr>
          <w:rFonts w:hint="eastAsia" w:asciiTheme="minorEastAsia" w:hAnsiTheme="minorEastAsia" w:eastAsiaTheme="minorEastAsia" w:cstheme="minorEastAsia"/>
          <w:sz w:val="24"/>
          <w:szCs w:val="24"/>
        </w:rPr>
      </w:pPr>
    </w:p>
    <w:p w14:paraId="5265BC42">
      <w:pPr>
        <w:spacing w:line="440" w:lineRule="exact"/>
        <w:jc w:val="center"/>
        <w:outlineLvl w:val="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第五部分  磋商响应文件格式</w:t>
      </w:r>
      <w:bookmarkEnd w:id="83"/>
      <w:bookmarkEnd w:id="84"/>
    </w:p>
    <w:p w14:paraId="4EFEFAD4">
      <w:pPr>
        <w:spacing w:line="500" w:lineRule="exact"/>
        <w:jc w:val="center"/>
        <w:rPr>
          <w:rFonts w:hint="eastAsia" w:asciiTheme="minorEastAsia" w:hAnsiTheme="minorEastAsia" w:eastAsiaTheme="minorEastAsia" w:cstheme="minorEastAsia"/>
          <w:b/>
          <w:bCs/>
          <w:sz w:val="24"/>
          <w:szCs w:val="24"/>
        </w:rPr>
      </w:pPr>
    </w:p>
    <w:p w14:paraId="226C606B">
      <w:pPr>
        <w:widowControl/>
        <w:jc w:val="left"/>
        <w:rPr>
          <w:rFonts w:hint="eastAsia" w:asciiTheme="minorEastAsia" w:hAnsiTheme="minorEastAsia" w:eastAsiaTheme="minorEastAsia" w:cstheme="minorEastAsia"/>
          <w:b/>
          <w:bCs/>
          <w:sz w:val="18"/>
          <w:szCs w:val="18"/>
        </w:rPr>
      </w:pPr>
    </w:p>
    <w:p w14:paraId="178E4B35">
      <w:pPr>
        <w:spacing w:line="500" w:lineRule="exact"/>
        <w:ind w:right="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（封面示例）</w:t>
      </w:r>
    </w:p>
    <w:p w14:paraId="7F0A5EAF">
      <w:pPr>
        <w:spacing w:line="360" w:lineRule="exact"/>
        <w:rPr>
          <w:rFonts w:hint="eastAsia" w:asciiTheme="minorEastAsia" w:hAnsiTheme="minorEastAsia" w:eastAsiaTheme="minorEastAsia" w:cstheme="minorEastAsia"/>
          <w:sz w:val="24"/>
          <w:szCs w:val="24"/>
          <w:u w:val="single"/>
        </w:rPr>
      </w:pPr>
    </w:p>
    <w:p w14:paraId="79721886">
      <w:pPr>
        <w:spacing w:line="360" w:lineRule="exact"/>
        <w:jc w:val="center"/>
        <w:rPr>
          <w:rFonts w:hint="eastAsia" w:asciiTheme="minorEastAsia" w:hAnsiTheme="minorEastAsia" w:eastAsiaTheme="minorEastAsia" w:cstheme="minorEastAsia"/>
          <w:b/>
          <w:bCs/>
          <w:sz w:val="24"/>
          <w:szCs w:val="24"/>
        </w:rPr>
      </w:pPr>
    </w:p>
    <w:p w14:paraId="1F0069FB">
      <w:pPr>
        <w:spacing w:line="500" w:lineRule="exact"/>
        <w:jc w:val="center"/>
        <w:rPr>
          <w:rFonts w:hint="eastAsia" w:asciiTheme="minorEastAsia" w:hAnsiTheme="minorEastAsia" w:eastAsiaTheme="minorEastAsia" w:cstheme="minorEastAsia"/>
          <w:b/>
          <w:bCs/>
          <w:sz w:val="24"/>
          <w:szCs w:val="24"/>
        </w:rPr>
      </w:pPr>
    </w:p>
    <w:p w14:paraId="0221EAA8">
      <w:pPr>
        <w:spacing w:line="500" w:lineRule="exact"/>
        <w:jc w:val="center"/>
        <w:outlineLvl w:val="0"/>
        <w:rPr>
          <w:rFonts w:hint="eastAsia" w:asciiTheme="minorEastAsia" w:hAnsiTheme="minorEastAsia" w:eastAsiaTheme="minorEastAsia" w:cstheme="minorEastAsia"/>
          <w:b/>
          <w:bCs/>
          <w:sz w:val="24"/>
          <w:szCs w:val="24"/>
        </w:rPr>
      </w:pPr>
      <w:bookmarkStart w:id="85" w:name="_Toc29521"/>
      <w:bookmarkStart w:id="86" w:name="_Toc32311"/>
      <w:r>
        <w:rPr>
          <w:rFonts w:hint="eastAsia" w:asciiTheme="minorEastAsia" w:hAnsiTheme="minorEastAsia" w:eastAsiaTheme="minorEastAsia" w:cstheme="minorEastAsia"/>
          <w:b/>
          <w:bCs/>
          <w:sz w:val="24"/>
          <w:szCs w:val="24"/>
        </w:rPr>
        <w:t>磋商响应文件</w:t>
      </w:r>
      <w:bookmarkEnd w:id="85"/>
      <w:bookmarkEnd w:id="86"/>
    </w:p>
    <w:p w14:paraId="03B31B87">
      <w:pPr>
        <w:spacing w:line="500" w:lineRule="exact"/>
        <w:rPr>
          <w:rFonts w:hint="eastAsia" w:asciiTheme="minorEastAsia" w:hAnsiTheme="minorEastAsia" w:eastAsiaTheme="minorEastAsia" w:cstheme="minorEastAsia"/>
          <w:sz w:val="24"/>
          <w:szCs w:val="24"/>
        </w:rPr>
      </w:pPr>
    </w:p>
    <w:p w14:paraId="0C569B91">
      <w:pPr>
        <w:spacing w:line="500" w:lineRule="exact"/>
        <w:rPr>
          <w:rFonts w:hint="eastAsia" w:asciiTheme="minorEastAsia" w:hAnsiTheme="minorEastAsia" w:eastAsiaTheme="minorEastAsia" w:cstheme="minorEastAsia"/>
          <w:sz w:val="24"/>
          <w:szCs w:val="24"/>
        </w:rPr>
      </w:pPr>
    </w:p>
    <w:p w14:paraId="75E68C2B">
      <w:pPr>
        <w:spacing w:line="500" w:lineRule="exact"/>
        <w:rPr>
          <w:rFonts w:hint="eastAsia" w:asciiTheme="minorEastAsia" w:hAnsiTheme="minorEastAsia" w:eastAsiaTheme="minorEastAsia" w:cstheme="minorEastAsia"/>
          <w:sz w:val="24"/>
          <w:szCs w:val="24"/>
        </w:rPr>
      </w:pPr>
    </w:p>
    <w:p w14:paraId="5D8C0AA5">
      <w:pPr>
        <w:spacing w:line="500" w:lineRule="exact"/>
        <w:rPr>
          <w:rFonts w:hint="eastAsia" w:asciiTheme="minorEastAsia" w:hAnsiTheme="minorEastAsia" w:eastAsiaTheme="minorEastAsia" w:cstheme="minorEastAsia"/>
          <w:sz w:val="24"/>
          <w:szCs w:val="24"/>
        </w:rPr>
      </w:pPr>
    </w:p>
    <w:p w14:paraId="27D00053">
      <w:pPr>
        <w:spacing w:line="500" w:lineRule="exact"/>
        <w:rPr>
          <w:rFonts w:hint="eastAsia" w:asciiTheme="minorEastAsia" w:hAnsiTheme="minorEastAsia" w:eastAsiaTheme="minorEastAsia" w:cstheme="minorEastAsia"/>
          <w:sz w:val="24"/>
          <w:szCs w:val="24"/>
        </w:rPr>
      </w:pPr>
    </w:p>
    <w:p w14:paraId="3C5BAE1E">
      <w:pPr>
        <w:spacing w:line="500" w:lineRule="exact"/>
        <w:rPr>
          <w:rFonts w:hint="eastAsia" w:asciiTheme="minorEastAsia" w:hAnsiTheme="minorEastAsia" w:eastAsiaTheme="minorEastAsia" w:cstheme="minorEastAsia"/>
          <w:sz w:val="24"/>
          <w:szCs w:val="24"/>
        </w:rPr>
      </w:pPr>
    </w:p>
    <w:p w14:paraId="449272AE">
      <w:pPr>
        <w:spacing w:line="5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w:t>
      </w:r>
    </w:p>
    <w:p w14:paraId="631AE742">
      <w:pPr>
        <w:spacing w:line="500" w:lineRule="exact"/>
        <w:ind w:firstLine="240" w:firstLineChars="1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项目名称：</w:t>
      </w:r>
    </w:p>
    <w:p w14:paraId="241FE72C">
      <w:pPr>
        <w:spacing w:line="500" w:lineRule="exact"/>
        <w:ind w:firstLine="240" w:firstLineChars="1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采购项目编号：</w:t>
      </w:r>
    </w:p>
    <w:p w14:paraId="0BAB6C26">
      <w:pPr>
        <w:spacing w:line="500" w:lineRule="exact"/>
        <w:ind w:firstLine="240" w:firstLineChars="1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供应商（盖公章）：</w:t>
      </w:r>
    </w:p>
    <w:p w14:paraId="51E1926B">
      <w:pPr>
        <w:spacing w:line="500" w:lineRule="exact"/>
        <w:ind w:firstLine="240" w:firstLineChars="1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法定代表人（签字或盖章）：</w:t>
      </w:r>
    </w:p>
    <w:p w14:paraId="1003400D">
      <w:pPr>
        <w:spacing w:line="500" w:lineRule="exact"/>
        <w:ind w:firstLine="240" w:firstLineChars="1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地址：</w:t>
      </w:r>
    </w:p>
    <w:p w14:paraId="7C8260FC">
      <w:pPr>
        <w:spacing w:line="500" w:lineRule="exact"/>
        <w:ind w:firstLine="240" w:firstLineChars="1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联系人：</w:t>
      </w:r>
    </w:p>
    <w:p w14:paraId="224F9C43">
      <w:pPr>
        <w:spacing w:line="500" w:lineRule="exact"/>
        <w:ind w:firstLine="240" w:firstLineChars="1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联系电话：</w:t>
      </w:r>
    </w:p>
    <w:p w14:paraId="5BF5264D">
      <w:pPr>
        <w:spacing w:line="500" w:lineRule="exact"/>
        <w:ind w:firstLine="240" w:firstLineChars="100"/>
        <w:jc w:val="center"/>
        <w:rPr>
          <w:rFonts w:hint="eastAsia" w:asciiTheme="minorEastAsia" w:hAnsiTheme="minorEastAsia" w:eastAsiaTheme="minorEastAsia" w:cstheme="minorEastAsia"/>
          <w:sz w:val="24"/>
          <w:lang w:val="zh-CN"/>
        </w:rPr>
      </w:pPr>
    </w:p>
    <w:p w14:paraId="010CECE0">
      <w:pPr>
        <w:spacing w:line="500" w:lineRule="exact"/>
        <w:ind w:firstLine="240" w:firstLineChars="100"/>
        <w:jc w:val="center"/>
        <w:outlineLvl w:val="0"/>
        <w:rPr>
          <w:rFonts w:hint="eastAsia" w:asciiTheme="minorEastAsia" w:hAnsiTheme="minorEastAsia" w:eastAsiaTheme="minorEastAsia" w:cstheme="minorEastAsia"/>
          <w:b/>
          <w:sz w:val="24"/>
          <w:szCs w:val="24"/>
        </w:rPr>
      </w:pPr>
      <w:bookmarkStart w:id="87" w:name="_Toc8292"/>
      <w:bookmarkStart w:id="88" w:name="_Toc71"/>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b/>
          <w:sz w:val="24"/>
          <w:szCs w:val="24"/>
        </w:rPr>
        <w:t>目  录</w:t>
      </w:r>
      <w:bookmarkEnd w:id="87"/>
      <w:bookmarkEnd w:id="88"/>
    </w:p>
    <w:p w14:paraId="55AC45CB">
      <w:pPr>
        <w:spacing w:line="500" w:lineRule="exact"/>
        <w:ind w:firstLine="482" w:firstLineChars="20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
          <w:bCs/>
          <w:kern w:val="0"/>
          <w:sz w:val="24"/>
          <w:szCs w:val="24"/>
        </w:rPr>
        <w:t>主要包括</w:t>
      </w:r>
      <w:r>
        <w:rPr>
          <w:rFonts w:hint="eastAsia" w:asciiTheme="minorEastAsia" w:hAnsiTheme="minorEastAsia" w:eastAsiaTheme="minorEastAsia" w:cstheme="minorEastAsia"/>
          <w:b/>
          <w:sz w:val="24"/>
          <w:szCs w:val="24"/>
        </w:rPr>
        <w:t>但不限于以下内容：</w:t>
      </w:r>
    </w:p>
    <w:p w14:paraId="13CDCE73">
      <w:pPr>
        <w:spacing w:line="500" w:lineRule="exact"/>
        <w:ind w:firstLine="480" w:firstLineChars="200"/>
        <w:outlineLvl w:val="0"/>
        <w:rPr>
          <w:rFonts w:hint="eastAsia" w:asciiTheme="minorEastAsia" w:hAnsiTheme="minorEastAsia" w:eastAsiaTheme="minorEastAsia" w:cstheme="minorEastAsia"/>
          <w:bCs/>
          <w:kern w:val="0"/>
          <w:sz w:val="24"/>
          <w:szCs w:val="24"/>
        </w:rPr>
      </w:pPr>
      <w:bookmarkStart w:id="89" w:name="_Toc27828"/>
      <w:bookmarkStart w:id="90" w:name="_Toc24618"/>
      <w:r>
        <w:rPr>
          <w:rFonts w:hint="eastAsia" w:asciiTheme="minorEastAsia" w:hAnsiTheme="minorEastAsia" w:eastAsiaTheme="minorEastAsia" w:cstheme="minorEastAsia"/>
          <w:bCs/>
          <w:kern w:val="0"/>
          <w:sz w:val="24"/>
          <w:szCs w:val="24"/>
        </w:rPr>
        <w:t>1、磋商响应书</w:t>
      </w:r>
      <w:bookmarkEnd w:id="89"/>
      <w:bookmarkEnd w:id="90"/>
    </w:p>
    <w:p w14:paraId="3E6EB44A">
      <w:pPr>
        <w:spacing w:line="500" w:lineRule="exact"/>
        <w:ind w:firstLine="480" w:firstLineChars="200"/>
        <w:outlineLvl w:val="0"/>
        <w:rPr>
          <w:rFonts w:hint="eastAsia" w:asciiTheme="minorEastAsia" w:hAnsiTheme="minorEastAsia" w:eastAsiaTheme="minorEastAsia" w:cstheme="minorEastAsia"/>
          <w:bCs/>
          <w:kern w:val="0"/>
          <w:sz w:val="24"/>
          <w:szCs w:val="24"/>
          <w:lang w:eastAsia="zh-CN"/>
        </w:rPr>
      </w:pPr>
      <w:bookmarkStart w:id="91" w:name="_Toc8945"/>
      <w:bookmarkStart w:id="92" w:name="_Toc2661"/>
      <w:r>
        <w:rPr>
          <w:rFonts w:hint="eastAsia" w:asciiTheme="minorEastAsia" w:hAnsiTheme="minorEastAsia" w:eastAsiaTheme="minorEastAsia" w:cstheme="minorEastAsia"/>
          <w:bCs/>
          <w:kern w:val="0"/>
          <w:sz w:val="24"/>
          <w:szCs w:val="24"/>
        </w:rPr>
        <w:t>2、</w:t>
      </w:r>
      <w:bookmarkEnd w:id="91"/>
      <w:bookmarkEnd w:id="92"/>
      <w:r>
        <w:rPr>
          <w:rFonts w:hint="eastAsia" w:asciiTheme="minorEastAsia" w:hAnsiTheme="minorEastAsia" w:eastAsiaTheme="minorEastAsia" w:cstheme="minorEastAsia"/>
          <w:bCs/>
          <w:kern w:val="0"/>
          <w:sz w:val="24"/>
          <w:szCs w:val="24"/>
          <w:lang w:eastAsia="zh-CN"/>
        </w:rPr>
        <w:t>报价一览表</w:t>
      </w:r>
    </w:p>
    <w:p w14:paraId="7C6B6BA8">
      <w:pPr>
        <w:spacing w:line="500" w:lineRule="exact"/>
        <w:ind w:firstLine="480" w:firstLineChars="200"/>
        <w:outlineLvl w:val="0"/>
        <w:rPr>
          <w:rFonts w:hint="eastAsia" w:asciiTheme="minorEastAsia" w:hAnsiTheme="minorEastAsia" w:eastAsiaTheme="minorEastAsia" w:cstheme="minorEastAsia"/>
          <w:sz w:val="24"/>
          <w:szCs w:val="24"/>
        </w:rPr>
      </w:pPr>
      <w:bookmarkStart w:id="93" w:name="_Toc18800"/>
      <w:bookmarkStart w:id="94" w:name="_Toc18773"/>
      <w:r>
        <w:rPr>
          <w:rFonts w:hint="eastAsia" w:asciiTheme="minorEastAsia" w:hAnsiTheme="minorEastAsia" w:eastAsiaTheme="minorEastAsia" w:cstheme="minorEastAsia"/>
          <w:sz w:val="24"/>
          <w:szCs w:val="24"/>
        </w:rPr>
        <w:t>3、供应商基本情况表</w:t>
      </w:r>
      <w:bookmarkEnd w:id="93"/>
      <w:bookmarkEnd w:id="94"/>
    </w:p>
    <w:p w14:paraId="56F7BED5">
      <w:pPr>
        <w:spacing w:line="500" w:lineRule="exact"/>
        <w:ind w:firstLine="480" w:firstLineChars="200"/>
        <w:outlineLvl w:val="0"/>
        <w:rPr>
          <w:rFonts w:hint="eastAsia" w:asciiTheme="minorEastAsia" w:hAnsiTheme="minorEastAsia" w:eastAsiaTheme="minorEastAsia" w:cstheme="minorEastAsia"/>
          <w:kern w:val="0"/>
          <w:sz w:val="24"/>
          <w:szCs w:val="24"/>
        </w:rPr>
      </w:pPr>
      <w:bookmarkStart w:id="95" w:name="_Toc13394"/>
      <w:bookmarkStart w:id="96" w:name="_Toc23190"/>
      <w:r>
        <w:rPr>
          <w:rFonts w:hint="eastAsia" w:asciiTheme="minorEastAsia" w:hAnsiTheme="minorEastAsia" w:eastAsiaTheme="minorEastAsia" w:cstheme="minorEastAsia"/>
          <w:bCs/>
          <w:kern w:val="0"/>
          <w:sz w:val="24"/>
          <w:szCs w:val="24"/>
        </w:rPr>
        <w:t>4、</w:t>
      </w:r>
      <w:r>
        <w:rPr>
          <w:rFonts w:hint="eastAsia" w:asciiTheme="minorEastAsia" w:hAnsiTheme="minorEastAsia" w:eastAsiaTheme="minorEastAsia" w:cstheme="minorEastAsia"/>
          <w:kern w:val="0"/>
          <w:sz w:val="24"/>
          <w:szCs w:val="24"/>
        </w:rPr>
        <w:t>法定代表人身份证明书</w:t>
      </w:r>
      <w:bookmarkEnd w:id="95"/>
      <w:bookmarkEnd w:id="96"/>
    </w:p>
    <w:p w14:paraId="23C687A3">
      <w:pPr>
        <w:autoSpaceDE w:val="0"/>
        <w:autoSpaceDN w:val="0"/>
        <w:adjustRightInd w:val="0"/>
        <w:spacing w:line="500" w:lineRule="exact"/>
        <w:ind w:firstLine="480" w:firstLineChars="200"/>
        <w:jc w:val="left"/>
        <w:outlineLvl w:val="0"/>
        <w:rPr>
          <w:rFonts w:hint="eastAsia" w:asciiTheme="minorEastAsia" w:hAnsiTheme="minorEastAsia" w:eastAsiaTheme="minorEastAsia" w:cstheme="minorEastAsia"/>
          <w:bCs/>
          <w:sz w:val="24"/>
          <w:szCs w:val="24"/>
        </w:rPr>
      </w:pPr>
      <w:bookmarkStart w:id="97" w:name="_Toc2591"/>
      <w:bookmarkStart w:id="98" w:name="_Toc19693"/>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bCs/>
          <w:sz w:val="24"/>
          <w:szCs w:val="24"/>
        </w:rPr>
        <w:t>法定代表人授权委托书</w:t>
      </w:r>
      <w:bookmarkEnd w:id="97"/>
      <w:bookmarkEnd w:id="98"/>
    </w:p>
    <w:p w14:paraId="23DE23A0">
      <w:pPr>
        <w:autoSpaceDE w:val="0"/>
        <w:autoSpaceDN w:val="0"/>
        <w:adjustRightInd w:val="0"/>
        <w:spacing w:line="500" w:lineRule="exact"/>
        <w:ind w:firstLine="480" w:firstLineChars="200"/>
        <w:jc w:val="left"/>
        <w:outlineLvl w:val="0"/>
        <w:rPr>
          <w:rFonts w:hint="eastAsia" w:asciiTheme="minorEastAsia" w:hAnsiTheme="minorEastAsia" w:eastAsiaTheme="minorEastAsia" w:cstheme="minorEastAsia"/>
          <w:sz w:val="24"/>
          <w:szCs w:val="24"/>
        </w:rPr>
      </w:pPr>
      <w:bookmarkStart w:id="99" w:name="_Toc12629"/>
      <w:bookmarkStart w:id="100" w:name="_Toc32389"/>
      <w:r>
        <w:rPr>
          <w:rFonts w:hint="eastAsia" w:asciiTheme="minorEastAsia" w:hAnsiTheme="minorEastAsia" w:eastAsiaTheme="minorEastAsia" w:cstheme="minorEastAsia"/>
          <w:sz w:val="24"/>
          <w:szCs w:val="24"/>
        </w:rPr>
        <w:t>6、</w:t>
      </w:r>
      <w:bookmarkEnd w:id="99"/>
      <w:bookmarkEnd w:id="100"/>
      <w:r>
        <w:rPr>
          <w:rFonts w:hint="eastAsia" w:asciiTheme="minorEastAsia" w:hAnsiTheme="minorEastAsia" w:eastAsiaTheme="minorEastAsia" w:cstheme="minorEastAsia"/>
          <w:sz w:val="24"/>
          <w:szCs w:val="24"/>
        </w:rPr>
        <w:t>关于《中华人民共和国政府采购法》第二十二条的承诺书</w:t>
      </w:r>
    </w:p>
    <w:p w14:paraId="30207FC2">
      <w:pPr>
        <w:autoSpaceDE w:val="0"/>
        <w:autoSpaceDN w:val="0"/>
        <w:adjustRightInd w:val="0"/>
        <w:spacing w:line="500" w:lineRule="exact"/>
        <w:ind w:firstLine="480" w:firstLineChars="200"/>
        <w:jc w:val="left"/>
        <w:outlineLvl w:val="0"/>
        <w:rPr>
          <w:rFonts w:hint="eastAsia" w:asciiTheme="minorEastAsia" w:hAnsiTheme="minorEastAsia" w:eastAsiaTheme="minorEastAsia" w:cstheme="minorEastAsia"/>
          <w:bCs/>
          <w:sz w:val="24"/>
          <w:szCs w:val="24"/>
        </w:rPr>
      </w:pPr>
      <w:bookmarkStart w:id="101" w:name="_Toc21633"/>
      <w:bookmarkStart w:id="102" w:name="_Toc2207"/>
      <w:r>
        <w:rPr>
          <w:rFonts w:hint="eastAsia" w:asciiTheme="minorEastAsia" w:hAnsiTheme="minorEastAsia" w:eastAsiaTheme="minorEastAsia" w:cstheme="minorEastAsia"/>
          <w:bCs/>
          <w:sz w:val="24"/>
          <w:szCs w:val="24"/>
        </w:rPr>
        <w:t>7、廉洁投标承诺书</w:t>
      </w:r>
    </w:p>
    <w:p w14:paraId="7CEA0390">
      <w:pPr>
        <w:autoSpaceDE w:val="0"/>
        <w:autoSpaceDN w:val="0"/>
        <w:adjustRightInd w:val="0"/>
        <w:spacing w:line="500" w:lineRule="exact"/>
        <w:ind w:firstLine="480" w:firstLineChars="200"/>
        <w:jc w:val="left"/>
        <w:outlineLvl w:val="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8、供应商的资格声明</w:t>
      </w:r>
      <w:bookmarkEnd w:id="101"/>
      <w:bookmarkEnd w:id="102"/>
    </w:p>
    <w:p w14:paraId="2AA1322E">
      <w:pPr>
        <w:autoSpaceDE w:val="0"/>
        <w:autoSpaceDN w:val="0"/>
        <w:adjustRightInd w:val="0"/>
        <w:spacing w:line="500" w:lineRule="exact"/>
        <w:ind w:firstLine="480" w:firstLineChars="200"/>
        <w:jc w:val="left"/>
        <w:outlineLvl w:val="0"/>
        <w:rPr>
          <w:rFonts w:hint="eastAsia" w:asciiTheme="minorEastAsia" w:hAnsiTheme="minorEastAsia" w:eastAsiaTheme="minorEastAsia" w:cstheme="minorEastAsia"/>
          <w:sz w:val="24"/>
          <w:szCs w:val="24"/>
        </w:rPr>
      </w:pPr>
      <w:bookmarkStart w:id="103" w:name="_Toc15488"/>
      <w:bookmarkStart w:id="104" w:name="_Toc1140"/>
      <w:r>
        <w:rPr>
          <w:rFonts w:hint="eastAsia" w:asciiTheme="minorEastAsia" w:hAnsiTheme="minorEastAsia" w:eastAsiaTheme="minorEastAsia" w:cstheme="minorEastAsia"/>
          <w:sz w:val="24"/>
          <w:szCs w:val="24"/>
        </w:rPr>
        <w:t>9、</w:t>
      </w:r>
      <w:bookmarkEnd w:id="103"/>
      <w:bookmarkEnd w:id="104"/>
      <w:r>
        <w:rPr>
          <w:rFonts w:hint="eastAsia" w:asciiTheme="minorEastAsia" w:hAnsiTheme="minorEastAsia" w:eastAsiaTheme="minorEastAsia" w:cstheme="minorEastAsia"/>
          <w:sz w:val="24"/>
          <w:szCs w:val="24"/>
        </w:rPr>
        <w:t>供应商需提供的资料</w:t>
      </w:r>
    </w:p>
    <w:p w14:paraId="24FF9F30">
      <w:pPr>
        <w:autoSpaceDE w:val="0"/>
        <w:autoSpaceDN w:val="0"/>
        <w:adjustRightInd w:val="0"/>
        <w:spacing w:line="500" w:lineRule="exact"/>
        <w:ind w:firstLine="480" w:firstLineChars="200"/>
        <w:jc w:val="left"/>
        <w:outlineLvl w:val="0"/>
        <w:rPr>
          <w:rFonts w:hint="eastAsia" w:asciiTheme="minorEastAsia" w:hAnsiTheme="minorEastAsia" w:eastAsiaTheme="minorEastAsia" w:cstheme="minorEastAsia"/>
          <w:sz w:val="24"/>
          <w:szCs w:val="24"/>
        </w:rPr>
      </w:pPr>
      <w:bookmarkStart w:id="105" w:name="_Toc25487"/>
      <w:bookmarkStart w:id="106" w:name="_Toc17981"/>
      <w:r>
        <w:rPr>
          <w:rFonts w:hint="eastAsia" w:asciiTheme="minorEastAsia" w:hAnsiTheme="minorEastAsia" w:eastAsiaTheme="minorEastAsia" w:cstheme="minorEastAsia"/>
          <w:sz w:val="24"/>
          <w:szCs w:val="24"/>
        </w:rPr>
        <w:t>10、</w:t>
      </w:r>
      <w:bookmarkEnd w:id="105"/>
      <w:bookmarkEnd w:id="106"/>
      <w:r>
        <w:rPr>
          <w:rFonts w:hint="eastAsia" w:asciiTheme="minorEastAsia" w:hAnsiTheme="minorEastAsia" w:eastAsiaTheme="minorEastAsia" w:cstheme="minorEastAsia"/>
          <w:sz w:val="24"/>
          <w:szCs w:val="24"/>
        </w:rPr>
        <w:t>采购需求响应偏离表</w:t>
      </w:r>
    </w:p>
    <w:p w14:paraId="047B7D38">
      <w:pPr>
        <w:autoSpaceDE w:val="0"/>
        <w:autoSpaceDN w:val="0"/>
        <w:adjustRightInd w:val="0"/>
        <w:spacing w:line="500" w:lineRule="exact"/>
        <w:ind w:firstLine="480" w:firstLineChars="200"/>
        <w:jc w:val="left"/>
        <w:outlineLvl w:val="0"/>
        <w:rPr>
          <w:rFonts w:hint="eastAsia" w:asciiTheme="minorEastAsia" w:hAnsiTheme="minorEastAsia" w:eastAsiaTheme="minorEastAsia" w:cstheme="minorEastAsia"/>
          <w:sz w:val="24"/>
          <w:szCs w:val="24"/>
        </w:rPr>
      </w:pPr>
      <w:bookmarkStart w:id="107" w:name="_Toc19480"/>
      <w:bookmarkStart w:id="108" w:name="_Toc9913"/>
      <w:r>
        <w:rPr>
          <w:rFonts w:hint="eastAsia" w:asciiTheme="minorEastAsia" w:hAnsiTheme="minorEastAsia" w:eastAsiaTheme="minorEastAsia" w:cstheme="minorEastAsia"/>
          <w:sz w:val="24"/>
          <w:szCs w:val="24"/>
        </w:rPr>
        <w:t>11、</w:t>
      </w:r>
      <w:bookmarkEnd w:id="107"/>
      <w:bookmarkEnd w:id="108"/>
      <w:r>
        <w:rPr>
          <w:rFonts w:hint="eastAsia" w:asciiTheme="minorEastAsia" w:hAnsiTheme="minorEastAsia" w:eastAsiaTheme="minorEastAsia" w:cstheme="minorEastAsia"/>
          <w:sz w:val="24"/>
          <w:szCs w:val="24"/>
        </w:rPr>
        <w:t>供应商类似项目业绩表</w:t>
      </w:r>
    </w:p>
    <w:p w14:paraId="31AB0166">
      <w:pPr>
        <w:autoSpaceDE w:val="0"/>
        <w:autoSpaceDN w:val="0"/>
        <w:adjustRightInd w:val="0"/>
        <w:spacing w:line="500" w:lineRule="exact"/>
        <w:ind w:firstLine="480" w:firstLineChars="200"/>
        <w:jc w:val="left"/>
        <w:outlineLvl w:val="0"/>
        <w:rPr>
          <w:rFonts w:hint="eastAsia" w:asciiTheme="minorEastAsia" w:hAnsiTheme="minorEastAsia" w:eastAsiaTheme="minorEastAsia" w:cstheme="minorEastAsia"/>
          <w:sz w:val="24"/>
        </w:rPr>
      </w:pPr>
      <w:bookmarkStart w:id="109" w:name="_Toc25608"/>
      <w:bookmarkStart w:id="110" w:name="_Toc23127"/>
      <w:r>
        <w:rPr>
          <w:rFonts w:hint="eastAsia" w:asciiTheme="minorEastAsia" w:hAnsiTheme="minorEastAsia" w:eastAsiaTheme="minorEastAsia" w:cstheme="minorEastAsia"/>
          <w:sz w:val="24"/>
        </w:rPr>
        <w:t>12、中小微企业声明函</w:t>
      </w:r>
      <w:bookmarkEnd w:id="109"/>
      <w:bookmarkEnd w:id="110"/>
    </w:p>
    <w:p w14:paraId="5ADD3DDE">
      <w:pPr>
        <w:autoSpaceDE w:val="0"/>
        <w:autoSpaceDN w:val="0"/>
        <w:adjustRightInd w:val="0"/>
        <w:spacing w:line="500" w:lineRule="exact"/>
        <w:ind w:firstLine="480" w:firstLineChars="200"/>
        <w:jc w:val="left"/>
        <w:outlineLvl w:val="0"/>
        <w:rPr>
          <w:rFonts w:hint="eastAsia" w:asciiTheme="minorEastAsia" w:hAnsiTheme="minorEastAsia" w:eastAsiaTheme="minorEastAsia" w:cstheme="minorEastAsia"/>
          <w:sz w:val="24"/>
          <w:szCs w:val="24"/>
        </w:rPr>
      </w:pPr>
      <w:bookmarkStart w:id="111" w:name="_Toc18263"/>
      <w:bookmarkStart w:id="112" w:name="_Toc28393"/>
      <w:r>
        <w:rPr>
          <w:rFonts w:hint="eastAsia" w:asciiTheme="minorEastAsia" w:hAnsiTheme="minorEastAsia" w:eastAsiaTheme="minorEastAsia" w:cstheme="minorEastAsia"/>
          <w:sz w:val="24"/>
          <w:szCs w:val="24"/>
        </w:rPr>
        <w:t>13、评审中所需资料</w:t>
      </w:r>
      <w:bookmarkEnd w:id="111"/>
      <w:bookmarkEnd w:id="112"/>
    </w:p>
    <w:p w14:paraId="799B61D4">
      <w:pPr>
        <w:autoSpaceDE w:val="0"/>
        <w:autoSpaceDN w:val="0"/>
        <w:adjustRightInd w:val="0"/>
        <w:spacing w:line="500" w:lineRule="exact"/>
        <w:ind w:firstLine="480" w:firstLineChars="200"/>
        <w:jc w:val="left"/>
        <w:outlineLvl w:val="0"/>
        <w:rPr>
          <w:rFonts w:hint="eastAsia" w:asciiTheme="minorEastAsia" w:hAnsiTheme="minorEastAsia" w:eastAsiaTheme="minorEastAsia" w:cstheme="minorEastAsia"/>
          <w:sz w:val="24"/>
          <w:szCs w:val="24"/>
        </w:rPr>
      </w:pPr>
      <w:bookmarkStart w:id="113" w:name="_Toc13562"/>
      <w:bookmarkStart w:id="114" w:name="_Toc9318"/>
      <w:r>
        <w:rPr>
          <w:rFonts w:hint="eastAsia" w:asciiTheme="minorEastAsia" w:hAnsiTheme="minorEastAsia" w:eastAsiaTheme="minorEastAsia" w:cstheme="minorEastAsia"/>
          <w:sz w:val="24"/>
          <w:szCs w:val="24"/>
        </w:rPr>
        <w:t>14、供应商认为有必要提供的其他资料</w:t>
      </w:r>
      <w:bookmarkEnd w:id="113"/>
      <w:bookmarkEnd w:id="114"/>
    </w:p>
    <w:p w14:paraId="1FA5344D">
      <w:pPr>
        <w:spacing w:line="500" w:lineRule="exact"/>
        <w:ind w:firstLine="472" w:firstLineChars="196"/>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sz w:val="24"/>
          <w:szCs w:val="24"/>
        </w:rPr>
        <w:t>（注：供应商须按招标要求提供，磋商响应文件应当使用磋商文件所提</w:t>
      </w:r>
      <w:r>
        <w:rPr>
          <w:rFonts w:hint="eastAsia" w:asciiTheme="minorEastAsia" w:hAnsiTheme="minorEastAsia" w:eastAsiaTheme="minorEastAsia" w:cstheme="minorEastAsia"/>
          <w:b/>
          <w:sz w:val="24"/>
          <w:szCs w:val="24"/>
          <w:lang w:eastAsia="zh-CN"/>
        </w:rPr>
        <w:t>供的</w:t>
      </w:r>
      <w:r>
        <w:rPr>
          <w:rFonts w:hint="eastAsia" w:asciiTheme="minorEastAsia" w:hAnsiTheme="minorEastAsia" w:eastAsiaTheme="minorEastAsia" w:cstheme="minorEastAsia"/>
          <w:b/>
          <w:sz w:val="24"/>
          <w:szCs w:val="24"/>
        </w:rPr>
        <w:t>磋商响应文件格式（表格可按照同样格式扩展）。未提供格式的，需要时由供应商用文字或者表格、图片等其它形式提供）</w:t>
      </w:r>
      <w:r>
        <w:rPr>
          <w:rFonts w:hint="eastAsia" w:asciiTheme="minorEastAsia" w:hAnsiTheme="minorEastAsia" w:eastAsiaTheme="minorEastAsia" w:cstheme="minorEastAsia"/>
          <w:b/>
          <w:sz w:val="24"/>
          <w:szCs w:val="24"/>
          <w:lang w:eastAsia="zh-CN"/>
        </w:rPr>
        <w:t>。</w:t>
      </w:r>
    </w:p>
    <w:p w14:paraId="7FCD76E8">
      <w:pPr>
        <w:widowControl/>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18"/>
          <w:szCs w:val="18"/>
        </w:rPr>
        <w:br w:type="page"/>
      </w:r>
    </w:p>
    <w:p w14:paraId="4FD5912B">
      <w:pPr>
        <w:spacing w:line="360" w:lineRule="exact"/>
        <w:outlineLvl w:val="0"/>
        <w:rPr>
          <w:rFonts w:hint="eastAsia" w:asciiTheme="minorEastAsia" w:hAnsiTheme="minorEastAsia" w:eastAsiaTheme="minorEastAsia" w:cstheme="minorEastAsia"/>
          <w:b/>
          <w:sz w:val="24"/>
          <w:szCs w:val="24"/>
        </w:rPr>
      </w:pPr>
      <w:bookmarkStart w:id="115" w:name="_Toc31865"/>
      <w:bookmarkStart w:id="116" w:name="_Toc9753"/>
      <w:r>
        <w:rPr>
          <w:rFonts w:hint="eastAsia" w:asciiTheme="minorEastAsia" w:hAnsiTheme="minorEastAsia" w:eastAsiaTheme="minorEastAsia" w:cstheme="minorEastAsia"/>
          <w:b/>
          <w:sz w:val="24"/>
          <w:szCs w:val="24"/>
        </w:rPr>
        <w:t>附件1</w:t>
      </w:r>
      <w:bookmarkEnd w:id="115"/>
      <w:bookmarkEnd w:id="116"/>
    </w:p>
    <w:p w14:paraId="6C0DB2FE">
      <w:pPr>
        <w:spacing w:line="500" w:lineRule="exact"/>
        <w:ind w:right="42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磋商响应书</w:t>
      </w:r>
    </w:p>
    <w:p w14:paraId="53BBC349">
      <w:pPr>
        <w:spacing w:line="440" w:lineRule="exact"/>
        <w:ind w:right="42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采购人名称</w:t>
      </w:r>
      <w:r>
        <w:rPr>
          <w:rFonts w:hint="eastAsia" w:asciiTheme="minorEastAsia" w:hAnsiTheme="minorEastAsia" w:eastAsiaTheme="minorEastAsia" w:cstheme="minorEastAsia"/>
          <w:sz w:val="24"/>
          <w:szCs w:val="24"/>
        </w:rPr>
        <w:t>）：</w:t>
      </w:r>
    </w:p>
    <w:p w14:paraId="2F6DA312">
      <w:pPr>
        <w:spacing w:line="440" w:lineRule="exact"/>
        <w:ind w:left="1" w:firstLine="489" w:firstLineChars="2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我方收到并研究了贵方</w:t>
      </w:r>
      <w:r>
        <w:rPr>
          <w:rFonts w:hint="eastAsia" w:asciiTheme="minorEastAsia" w:hAnsiTheme="minorEastAsia" w:eastAsiaTheme="minorEastAsia" w:cstheme="minorEastAsia"/>
          <w:sz w:val="24"/>
          <w:szCs w:val="24"/>
          <w:u w:val="single"/>
        </w:rPr>
        <w:t xml:space="preserve">   （项目名称、采购项目编号）</w:t>
      </w:r>
      <w:r>
        <w:rPr>
          <w:rFonts w:hint="eastAsia" w:asciiTheme="minorEastAsia" w:hAnsiTheme="minorEastAsia" w:eastAsiaTheme="minorEastAsia" w:cstheme="minorEastAsia"/>
          <w:sz w:val="24"/>
          <w:szCs w:val="24"/>
        </w:rPr>
        <w:t>项目的磋商文件，愿意按照磋商文件规定的内容承担该项目的投标任务，严格执行我方所承诺的责任和义务。为此，我方郑重声明以下诸点，并负法律责任。</w:t>
      </w:r>
    </w:p>
    <w:p w14:paraId="586FA32F">
      <w:pPr>
        <w:spacing w:line="440" w:lineRule="exact"/>
        <w:ind w:left="1" w:firstLine="489" w:firstLineChars="2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1、我方提交磋商响应文件，我方愿按《中华人民共和国政府采购法》及其他有关法律、法规的规定，自觉履行自己的全部责任。</w:t>
      </w:r>
    </w:p>
    <w:p w14:paraId="2ED28A16">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2、我方同意在磋商有效期内遵守本磋商响应文件，在此期限期满前的任何时间，本磋商响应文件一直对我们具有约束力；</w:t>
      </w:r>
    </w:p>
    <w:p w14:paraId="05DF3056">
      <w:pPr>
        <w:spacing w:line="440" w:lineRule="exact"/>
        <w:ind w:right="42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3、如果我方磋商响应文件被接受，我方将按照磋商文件的规定，我方保证将按招标要求和磋商响应文件中的承诺按期、按质、按量交付使用方；</w:t>
      </w:r>
    </w:p>
    <w:p w14:paraId="0160CFE7">
      <w:pPr>
        <w:spacing w:line="440" w:lineRule="exact"/>
        <w:ind w:right="42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4、如果我方中标，我方将在磋商文件规定的时间内签订委托合同并按招标要求提供履约担保。如果我方违约，除磋商保证金不予退还外，贵方有权终止我方中标并选择其它成交供应商。</w:t>
      </w:r>
    </w:p>
    <w:p w14:paraId="14944363">
      <w:pPr>
        <w:spacing w:line="440" w:lineRule="exact"/>
        <w:ind w:right="42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5、如果我方中标，我方将在磋商文件规定的时间内签订合同。如果我方违约，借故拒签合同或拖延签订的，则采购人将废除授标，磋商保证金不予退还，给采购人造成的损失</w:t>
      </w:r>
      <w:r>
        <w:rPr>
          <w:rFonts w:hint="eastAsia" w:asciiTheme="minorEastAsia" w:hAnsiTheme="minorEastAsia" w:eastAsiaTheme="minorEastAsia" w:cstheme="minorEastAsia"/>
          <w:sz w:val="24"/>
          <w:szCs w:val="24"/>
          <w:lang w:eastAsia="zh-CN"/>
        </w:rPr>
        <w:t>超过</w:t>
      </w:r>
      <w:r>
        <w:rPr>
          <w:rFonts w:hint="eastAsia" w:asciiTheme="minorEastAsia" w:hAnsiTheme="minorEastAsia" w:eastAsiaTheme="minorEastAsia" w:cstheme="minorEastAsia"/>
          <w:sz w:val="24"/>
          <w:szCs w:val="24"/>
        </w:rPr>
        <w:t>保证金保数额的，还应当对超过部分予以赔偿，同时依法承担相应法律责任，采购人可另行选择成交供应商。</w:t>
      </w:r>
    </w:p>
    <w:p w14:paraId="41F6478B">
      <w:pPr>
        <w:spacing w:line="440" w:lineRule="exact"/>
        <w:ind w:right="42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6、一旦我方中标，我方愿意按招标要求承担政府采购代理服务费。</w:t>
      </w:r>
    </w:p>
    <w:p w14:paraId="78653108">
      <w:pPr>
        <w:spacing w:line="440" w:lineRule="exact"/>
        <w:ind w:right="42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7、贵方的中标通知书和本磋商响应文件将构成约束双方的合同。</w:t>
      </w:r>
    </w:p>
    <w:p w14:paraId="52146732">
      <w:pPr>
        <w:spacing w:line="440" w:lineRule="exact"/>
        <w:ind w:right="42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8、如果我方未中标，贵方没有必要对我方做出任何解释和说明，我方将充分尊重和理解贵方的选择。</w:t>
      </w:r>
    </w:p>
    <w:p w14:paraId="549B02A6">
      <w:pPr>
        <w:spacing w:line="440" w:lineRule="exact"/>
        <w:ind w:right="420"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9、我方的磋商响应文件自提交磋商响应文件截止之日起有效期</w:t>
      </w:r>
      <w:r>
        <w:rPr>
          <w:rFonts w:hint="eastAsia" w:asciiTheme="minorEastAsia" w:hAnsiTheme="minorEastAsia" w:eastAsiaTheme="minorEastAsia" w:cstheme="minorEastAsia"/>
          <w:sz w:val="24"/>
          <w:szCs w:val="24"/>
          <w:u w:val="single"/>
        </w:rPr>
        <w:t xml:space="preserve"> 90  </w:t>
      </w:r>
      <w:r>
        <w:rPr>
          <w:rFonts w:hint="eastAsia" w:asciiTheme="minorEastAsia" w:hAnsiTheme="minorEastAsia" w:eastAsiaTheme="minorEastAsia" w:cstheme="minorEastAsia"/>
          <w:sz w:val="24"/>
          <w:szCs w:val="24"/>
        </w:rPr>
        <w:t>天。</w:t>
      </w:r>
    </w:p>
    <w:p w14:paraId="2DE160DD">
      <w:pPr>
        <w:spacing w:line="440" w:lineRule="exact"/>
        <w:ind w:right="420" w:firstLine="480"/>
        <w:jc w:val="left"/>
        <w:rPr>
          <w:rFonts w:hint="eastAsia" w:asciiTheme="minorEastAsia" w:hAnsiTheme="minorEastAsia" w:eastAsiaTheme="minorEastAsia" w:cstheme="minorEastAsia"/>
          <w:sz w:val="24"/>
          <w:szCs w:val="24"/>
        </w:rPr>
      </w:pPr>
    </w:p>
    <w:p w14:paraId="2A799F2B">
      <w:pPr>
        <w:pStyle w:val="101"/>
        <w:snapToGrid w:val="0"/>
        <w:spacing w:line="44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供应商（盖公章）：</w:t>
      </w:r>
    </w:p>
    <w:p w14:paraId="1C540A24">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法定代表人（签字或盖章）：</w:t>
      </w:r>
    </w:p>
    <w:p w14:paraId="3B894318">
      <w:pPr>
        <w:adjustRightInd w:val="0"/>
        <w:snapToGrid w:val="0"/>
        <w:spacing w:line="440" w:lineRule="exact"/>
        <w:ind w:righ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14:paraId="28BC3635">
      <w:pPr>
        <w:spacing w:line="360" w:lineRule="exact"/>
        <w:ind w:right="420"/>
        <w:jc w:val="left"/>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br w:type="page"/>
      </w:r>
      <w:bookmarkStart w:id="117" w:name="_Toc18033"/>
      <w:bookmarkStart w:id="118" w:name="_Toc10540"/>
      <w:r>
        <w:rPr>
          <w:rFonts w:hint="eastAsia" w:asciiTheme="minorEastAsia" w:hAnsiTheme="minorEastAsia" w:eastAsiaTheme="minorEastAsia" w:cstheme="minorEastAsia"/>
          <w:b/>
          <w:sz w:val="24"/>
          <w:szCs w:val="24"/>
        </w:rPr>
        <w:t>附件</w:t>
      </w:r>
      <w:bookmarkEnd w:id="117"/>
      <w:bookmarkEnd w:id="118"/>
      <w:r>
        <w:rPr>
          <w:rFonts w:hint="eastAsia" w:asciiTheme="minorEastAsia" w:hAnsiTheme="minorEastAsia" w:eastAsiaTheme="minorEastAsia" w:cstheme="minorEastAsia"/>
          <w:b/>
          <w:sz w:val="24"/>
          <w:szCs w:val="24"/>
        </w:rPr>
        <w:t>2-1</w:t>
      </w:r>
    </w:p>
    <w:p w14:paraId="1095D9F1">
      <w:pPr>
        <w:spacing w:line="500" w:lineRule="exact"/>
        <w:ind w:right="420"/>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报价一览表</w:t>
      </w:r>
    </w:p>
    <w:tbl>
      <w:tblPr>
        <w:tblStyle w:val="29"/>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701"/>
        <w:gridCol w:w="2542"/>
        <w:gridCol w:w="1236"/>
        <w:gridCol w:w="1724"/>
      </w:tblGrid>
      <w:tr w14:paraId="6B3A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55" w:type="dxa"/>
            <w:vAlign w:val="center"/>
          </w:tcPr>
          <w:p w14:paraId="4F979205">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701" w:type="dxa"/>
            <w:vAlign w:val="center"/>
          </w:tcPr>
          <w:p w14:paraId="52BBAB33">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2542" w:type="dxa"/>
            <w:vAlign w:val="center"/>
          </w:tcPr>
          <w:p w14:paraId="1C360C20">
            <w:pPr>
              <w:spacing w:line="500" w:lineRule="exact"/>
              <w:rPr>
                <w:rFonts w:hint="eastAsia" w:asciiTheme="minorEastAsia" w:hAnsiTheme="minorEastAsia" w:eastAsiaTheme="minorEastAsia" w:cstheme="minorEastAsia"/>
                <w:sz w:val="24"/>
                <w:szCs w:val="24"/>
              </w:rPr>
            </w:pPr>
          </w:p>
        </w:tc>
        <w:tc>
          <w:tcPr>
            <w:tcW w:w="1236" w:type="dxa"/>
            <w:vAlign w:val="center"/>
          </w:tcPr>
          <w:p w14:paraId="3E8F0956">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p>
        </w:tc>
        <w:tc>
          <w:tcPr>
            <w:tcW w:w="1724" w:type="dxa"/>
            <w:vAlign w:val="center"/>
          </w:tcPr>
          <w:p w14:paraId="4756FD54">
            <w:pPr>
              <w:spacing w:line="500" w:lineRule="exact"/>
              <w:rPr>
                <w:rFonts w:hint="eastAsia" w:asciiTheme="minorEastAsia" w:hAnsiTheme="minorEastAsia" w:eastAsiaTheme="minorEastAsia" w:cstheme="minorEastAsia"/>
                <w:sz w:val="24"/>
                <w:szCs w:val="24"/>
              </w:rPr>
            </w:pPr>
          </w:p>
        </w:tc>
      </w:tr>
      <w:tr w14:paraId="1C297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55" w:type="dxa"/>
            <w:vAlign w:val="center"/>
          </w:tcPr>
          <w:p w14:paraId="417CB757">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701" w:type="dxa"/>
            <w:vAlign w:val="center"/>
          </w:tcPr>
          <w:p w14:paraId="07BBD479">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w:t>
            </w:r>
            <w:r>
              <w:rPr>
                <w:rFonts w:hint="eastAsia" w:asciiTheme="minorEastAsia" w:hAnsiTheme="minorEastAsia" w:eastAsiaTheme="minorEastAsia" w:cstheme="minorEastAsia"/>
                <w:sz w:val="24"/>
                <w:szCs w:val="24"/>
                <w:lang w:val="en-US" w:eastAsia="zh-CN"/>
              </w:rPr>
              <w:t>总</w:t>
            </w:r>
            <w:r>
              <w:rPr>
                <w:rFonts w:hint="eastAsia" w:asciiTheme="minorEastAsia" w:hAnsiTheme="minorEastAsia" w:eastAsiaTheme="minorEastAsia" w:cstheme="minorEastAsia"/>
                <w:sz w:val="24"/>
                <w:szCs w:val="24"/>
              </w:rPr>
              <w:t>报价</w:t>
            </w:r>
          </w:p>
        </w:tc>
        <w:tc>
          <w:tcPr>
            <w:tcW w:w="5502" w:type="dxa"/>
            <w:gridSpan w:val="3"/>
            <w:vAlign w:val="center"/>
          </w:tcPr>
          <w:p w14:paraId="55A70F4D">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w:t>
            </w:r>
          </w:p>
          <w:p w14:paraId="13DF9EE6">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大写：</w:t>
            </w:r>
            <w:r>
              <w:rPr>
                <w:rFonts w:hint="eastAsia" w:asciiTheme="minorEastAsia" w:hAnsiTheme="minorEastAsia" w:eastAsiaTheme="minorEastAsia" w:cstheme="minorEastAsia"/>
                <w:sz w:val="24"/>
                <w:szCs w:val="24"/>
                <w:u w:val="single"/>
              </w:rPr>
              <w:t xml:space="preserve">  </w:t>
            </w:r>
          </w:p>
        </w:tc>
      </w:tr>
      <w:tr w14:paraId="76515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55" w:type="dxa"/>
            <w:shd w:val="clear" w:color="auto" w:fill="auto"/>
            <w:vAlign w:val="center"/>
          </w:tcPr>
          <w:p w14:paraId="235D3452">
            <w:pPr>
              <w:spacing w:line="5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w:t>
            </w:r>
          </w:p>
        </w:tc>
        <w:tc>
          <w:tcPr>
            <w:tcW w:w="1701" w:type="dxa"/>
            <w:vAlign w:val="center"/>
          </w:tcPr>
          <w:p w14:paraId="2793FACA">
            <w:pPr>
              <w:spacing w:line="5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服务期限</w:t>
            </w:r>
          </w:p>
        </w:tc>
        <w:tc>
          <w:tcPr>
            <w:tcW w:w="5502" w:type="dxa"/>
            <w:gridSpan w:val="3"/>
            <w:vAlign w:val="center"/>
          </w:tcPr>
          <w:p w14:paraId="284416E1">
            <w:pPr>
              <w:spacing w:line="500" w:lineRule="exact"/>
              <w:jc w:val="left"/>
              <w:rPr>
                <w:rFonts w:hint="eastAsia" w:asciiTheme="minorEastAsia" w:hAnsiTheme="minorEastAsia" w:eastAsiaTheme="minorEastAsia" w:cstheme="minorEastAsia"/>
                <w:sz w:val="24"/>
                <w:szCs w:val="24"/>
              </w:rPr>
            </w:pPr>
          </w:p>
        </w:tc>
      </w:tr>
      <w:tr w14:paraId="5A724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55" w:type="dxa"/>
            <w:shd w:val="clear" w:color="auto" w:fill="auto"/>
            <w:vAlign w:val="center"/>
          </w:tcPr>
          <w:p w14:paraId="6B0B91A1">
            <w:pPr>
              <w:spacing w:line="5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3</w:t>
            </w:r>
          </w:p>
        </w:tc>
        <w:tc>
          <w:tcPr>
            <w:tcW w:w="1701" w:type="dxa"/>
            <w:vAlign w:val="center"/>
          </w:tcPr>
          <w:p w14:paraId="784D821F">
            <w:pPr>
              <w:spacing w:line="50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服务地点</w:t>
            </w:r>
          </w:p>
        </w:tc>
        <w:tc>
          <w:tcPr>
            <w:tcW w:w="5502" w:type="dxa"/>
            <w:gridSpan w:val="3"/>
            <w:vAlign w:val="center"/>
          </w:tcPr>
          <w:p w14:paraId="6D950EE9">
            <w:pPr>
              <w:spacing w:line="500" w:lineRule="exact"/>
              <w:jc w:val="left"/>
              <w:rPr>
                <w:rFonts w:hint="eastAsia" w:asciiTheme="minorEastAsia" w:hAnsiTheme="minorEastAsia" w:eastAsiaTheme="minorEastAsia" w:cstheme="minorEastAsia"/>
                <w:sz w:val="24"/>
                <w:szCs w:val="24"/>
              </w:rPr>
            </w:pPr>
          </w:p>
        </w:tc>
      </w:tr>
      <w:tr w14:paraId="01D4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55" w:type="dxa"/>
            <w:vAlign w:val="center"/>
          </w:tcPr>
          <w:p w14:paraId="35A82853">
            <w:pPr>
              <w:spacing w:line="50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1701" w:type="dxa"/>
            <w:vAlign w:val="center"/>
          </w:tcPr>
          <w:p w14:paraId="454EF103">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磋商有效期</w:t>
            </w:r>
          </w:p>
        </w:tc>
        <w:tc>
          <w:tcPr>
            <w:tcW w:w="5502" w:type="dxa"/>
            <w:gridSpan w:val="3"/>
            <w:vAlign w:val="center"/>
          </w:tcPr>
          <w:p w14:paraId="63628871">
            <w:pPr>
              <w:spacing w:line="5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磋商响应文件截止之日起90天</w:t>
            </w:r>
          </w:p>
        </w:tc>
      </w:tr>
      <w:tr w14:paraId="78D4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3056" w:type="dxa"/>
            <w:gridSpan w:val="2"/>
            <w:vAlign w:val="center"/>
          </w:tcPr>
          <w:p w14:paraId="704D8332">
            <w:pPr>
              <w:pStyle w:val="19"/>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c>
          <w:tcPr>
            <w:tcW w:w="5502" w:type="dxa"/>
            <w:gridSpan w:val="3"/>
            <w:vAlign w:val="center"/>
          </w:tcPr>
          <w:p w14:paraId="5B0F3746">
            <w:pPr>
              <w:pStyle w:val="19"/>
              <w:spacing w:line="360" w:lineRule="auto"/>
              <w:jc w:val="center"/>
              <w:rPr>
                <w:rFonts w:hint="eastAsia" w:asciiTheme="minorEastAsia" w:hAnsiTheme="minorEastAsia" w:eastAsiaTheme="minorEastAsia" w:cstheme="minorEastAsia"/>
                <w:sz w:val="24"/>
                <w:szCs w:val="24"/>
              </w:rPr>
            </w:pPr>
          </w:p>
        </w:tc>
      </w:tr>
    </w:tbl>
    <w:p w14:paraId="5A2CEF14">
      <w:pPr>
        <w:tabs>
          <w:tab w:val="left" w:pos="3780"/>
        </w:tabs>
        <w:spacing w:line="500" w:lineRule="exact"/>
        <w:ind w:firstLine="480" w:firstLineChars="200"/>
        <w:rPr>
          <w:rFonts w:hint="eastAsia" w:asciiTheme="minorEastAsia" w:hAnsiTheme="minorEastAsia" w:eastAsiaTheme="minorEastAsia" w:cstheme="minorEastAsia"/>
          <w:sz w:val="24"/>
          <w:szCs w:val="24"/>
        </w:rPr>
      </w:pPr>
    </w:p>
    <w:p w14:paraId="4B0EF4C0">
      <w:pPr>
        <w:tabs>
          <w:tab w:val="left" w:pos="3780"/>
        </w:tabs>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供应商（盖公章）：</w:t>
      </w:r>
    </w:p>
    <w:p w14:paraId="54A175FC">
      <w:pPr>
        <w:tabs>
          <w:tab w:val="left" w:pos="3780"/>
        </w:tabs>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法定代表人（签字或盖章）：</w:t>
      </w:r>
    </w:p>
    <w:p w14:paraId="48B06A9A">
      <w:pPr>
        <w:tabs>
          <w:tab w:val="left" w:pos="3780"/>
        </w:tabs>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14:paraId="3A9869B4">
      <w:pPr>
        <w:tabs>
          <w:tab w:val="left" w:pos="3780"/>
        </w:tabs>
        <w:spacing w:line="500" w:lineRule="exact"/>
        <w:ind w:firstLine="5400" w:firstLineChars="2250"/>
        <w:rPr>
          <w:rFonts w:hint="eastAsia" w:asciiTheme="minorEastAsia" w:hAnsiTheme="minorEastAsia" w:eastAsiaTheme="minorEastAsia" w:cstheme="minorEastAsia"/>
          <w:sz w:val="24"/>
          <w:szCs w:val="24"/>
        </w:rPr>
      </w:pPr>
    </w:p>
    <w:p w14:paraId="4E48D340">
      <w:pPr>
        <w:spacing w:line="500" w:lineRule="exact"/>
        <w:ind w:firstLine="489" w:firstLineChars="204"/>
        <w:outlineLvl w:val="0"/>
        <w:rPr>
          <w:rFonts w:hint="eastAsia" w:asciiTheme="minorEastAsia" w:hAnsiTheme="minorEastAsia" w:eastAsiaTheme="minorEastAsia" w:cstheme="minorEastAsia"/>
          <w:sz w:val="24"/>
          <w:szCs w:val="24"/>
        </w:rPr>
      </w:pPr>
      <w:bookmarkStart w:id="119" w:name="_Toc4411"/>
      <w:bookmarkStart w:id="120" w:name="_Toc15420"/>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服务期限</w:t>
      </w:r>
      <w:r>
        <w:rPr>
          <w:rFonts w:hint="eastAsia" w:asciiTheme="minorEastAsia" w:hAnsiTheme="minorEastAsia" w:eastAsiaTheme="minorEastAsia" w:cstheme="minorEastAsia"/>
          <w:sz w:val="24"/>
          <w:szCs w:val="24"/>
        </w:rPr>
        <w:t>”指合同生效之日起，多少天内完成合同规定的全部工作内容；</w:t>
      </w:r>
      <w:bookmarkEnd w:id="119"/>
      <w:bookmarkEnd w:id="120"/>
    </w:p>
    <w:p w14:paraId="161D81BC">
      <w:pPr>
        <w:spacing w:line="500" w:lineRule="exact"/>
        <w:ind w:firstLine="489" w:firstLineChars="2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2、供应商如果需要对竞标报价或其它内容加以说明，可在备注中填写。</w:t>
      </w:r>
    </w:p>
    <w:p w14:paraId="49B9BDC5">
      <w:pPr>
        <w:adjustRightInd w:val="0"/>
        <w:snapToGrid w:val="0"/>
        <w:spacing w:line="500" w:lineRule="exact"/>
        <w:ind w:right="480"/>
        <w:rPr>
          <w:rFonts w:hint="eastAsia" w:asciiTheme="minorEastAsia" w:hAnsiTheme="minorEastAsia" w:eastAsiaTheme="minorEastAsia" w:cstheme="minorEastAsia"/>
          <w:sz w:val="24"/>
          <w:szCs w:val="24"/>
        </w:rPr>
      </w:pPr>
    </w:p>
    <w:p w14:paraId="47BA556B">
      <w:pPr>
        <w:pageBreakBefore/>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附件2-2</w:t>
      </w:r>
    </w:p>
    <w:p w14:paraId="63262656">
      <w:pPr>
        <w:spacing w:line="500" w:lineRule="exact"/>
        <w:ind w:right="42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报价明细表</w:t>
      </w:r>
    </w:p>
    <w:p w14:paraId="07B7B744">
      <w:pPr>
        <w:tabs>
          <w:tab w:val="left" w:pos="5100"/>
        </w:tabs>
        <w:spacing w:line="440" w:lineRule="exact"/>
        <w:ind w:firstLine="352" w:firstLineChars="147"/>
        <w:rPr>
          <w:rFonts w:hint="eastAsia" w:asciiTheme="minorEastAsia" w:hAnsiTheme="minorEastAsia" w:eastAsiaTheme="minorEastAsia" w:cstheme="minorEastAsia"/>
          <w:bCs/>
        </w:rPr>
      </w:pPr>
      <w:r>
        <w:rPr>
          <w:rFonts w:hint="eastAsia" w:asciiTheme="minorEastAsia" w:hAnsiTheme="minorEastAsia" w:eastAsiaTheme="minorEastAsia" w:cstheme="minorEastAsia"/>
          <w:bCs/>
          <w:sz w:val="24"/>
          <w:szCs w:val="24"/>
        </w:rPr>
        <w:t xml:space="preserve">项目名称：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Cs/>
          <w:sz w:val="24"/>
          <w:szCs w:val="24"/>
        </w:rPr>
        <w:t xml:space="preserve"> 项目编号：</w:t>
      </w:r>
    </w:p>
    <w:tbl>
      <w:tblPr>
        <w:tblStyle w:val="29"/>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680"/>
        <w:gridCol w:w="3531"/>
        <w:gridCol w:w="1299"/>
        <w:gridCol w:w="1602"/>
      </w:tblGrid>
      <w:tr w14:paraId="7C05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45" w:type="dxa"/>
            <w:noWrap w:val="0"/>
            <w:vAlign w:val="center"/>
          </w:tcPr>
          <w:p w14:paraId="7869D6AC">
            <w:pPr>
              <w:pStyle w:val="19"/>
              <w:pageBreakBefore w:val="0"/>
              <w:shd w:val="clear" w:color="auto" w:fill="auto"/>
              <w:kinsoku/>
              <w:wordWrap/>
              <w:overflowPunct/>
              <w:topLinePunct w:val="0"/>
              <w:bidi w:val="0"/>
              <w:spacing w:line="500" w:lineRule="exact"/>
              <w:ind w:left="0" w:leftChars="0" w:right="0" w:right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680" w:type="dxa"/>
            <w:noWrap w:val="0"/>
            <w:vAlign w:val="center"/>
          </w:tcPr>
          <w:p w14:paraId="1D6FBC75">
            <w:pPr>
              <w:pStyle w:val="19"/>
              <w:pageBreakBefore w:val="0"/>
              <w:shd w:val="clear" w:color="auto" w:fill="auto"/>
              <w:kinsoku/>
              <w:wordWrap/>
              <w:overflowPunct/>
              <w:topLinePunct w:val="0"/>
              <w:bidi w:val="0"/>
              <w:spacing w:line="500" w:lineRule="exact"/>
              <w:ind w:left="0" w:leftChars="0" w:right="0" w:right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项目</w:t>
            </w:r>
          </w:p>
        </w:tc>
        <w:tc>
          <w:tcPr>
            <w:tcW w:w="3531" w:type="dxa"/>
            <w:noWrap w:val="0"/>
            <w:vAlign w:val="center"/>
          </w:tcPr>
          <w:p w14:paraId="4700D9F1">
            <w:pPr>
              <w:pStyle w:val="19"/>
              <w:pageBreakBefore w:val="0"/>
              <w:shd w:val="clear" w:color="auto" w:fill="auto"/>
              <w:kinsoku/>
              <w:wordWrap/>
              <w:overflowPunct/>
              <w:topLinePunct w:val="0"/>
              <w:bidi w:val="0"/>
              <w:spacing w:line="500" w:lineRule="exact"/>
              <w:ind w:left="0" w:leftChars="0" w:right="0" w:right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服务内容</w:t>
            </w:r>
          </w:p>
        </w:tc>
        <w:tc>
          <w:tcPr>
            <w:tcW w:w="1299" w:type="dxa"/>
            <w:noWrap w:val="0"/>
            <w:vAlign w:val="center"/>
          </w:tcPr>
          <w:p w14:paraId="249792DB">
            <w:pPr>
              <w:pStyle w:val="19"/>
              <w:pageBreakBefore w:val="0"/>
              <w:shd w:val="clear" w:color="auto" w:fill="auto"/>
              <w:kinsoku/>
              <w:wordWrap/>
              <w:overflowPunct/>
              <w:topLinePunct w:val="0"/>
              <w:bidi w:val="0"/>
              <w:spacing w:line="500" w:lineRule="exact"/>
              <w:ind w:left="0" w:leftChars="0" w:right="0" w:right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1602" w:type="dxa"/>
            <w:noWrap w:val="0"/>
            <w:vAlign w:val="center"/>
          </w:tcPr>
          <w:p w14:paraId="19853708">
            <w:pPr>
              <w:pStyle w:val="19"/>
              <w:pageBreakBefore w:val="0"/>
              <w:shd w:val="clear" w:color="auto" w:fill="auto"/>
              <w:kinsoku/>
              <w:wordWrap/>
              <w:overflowPunct/>
              <w:topLinePunct w:val="0"/>
              <w:bidi w:val="0"/>
              <w:spacing w:line="500" w:lineRule="exact"/>
              <w:ind w:left="0" w:leftChars="0" w:right="0" w:right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合计（元）</w:t>
            </w:r>
          </w:p>
        </w:tc>
      </w:tr>
      <w:tr w14:paraId="041F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45" w:type="dxa"/>
            <w:noWrap w:val="0"/>
            <w:vAlign w:val="center"/>
          </w:tcPr>
          <w:p w14:paraId="4BFA6795">
            <w:pPr>
              <w:pageBreakBefore w:val="0"/>
              <w:shd w:val="clear" w:color="auto" w:fill="auto"/>
              <w:kinsoku/>
              <w:wordWrap/>
              <w:overflowPunct/>
              <w:topLinePunct w:val="0"/>
              <w:bidi w:val="0"/>
              <w:snapToGrid w:val="0"/>
              <w:spacing w:line="50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80" w:type="dxa"/>
            <w:noWrap w:val="0"/>
            <w:vAlign w:val="center"/>
          </w:tcPr>
          <w:p w14:paraId="1FEC28C4">
            <w:pPr>
              <w:pStyle w:val="19"/>
              <w:pageBreakBefore w:val="0"/>
              <w:shd w:val="clear" w:color="auto" w:fill="auto"/>
              <w:kinsoku/>
              <w:wordWrap/>
              <w:overflowPunct/>
              <w:topLinePunct w:val="0"/>
              <w:bidi w:val="0"/>
              <w:spacing w:line="500" w:lineRule="exact"/>
              <w:ind w:left="0" w:leftChars="0" w:right="0" w:rightChars="0"/>
              <w:jc w:val="center"/>
              <w:rPr>
                <w:rFonts w:hint="eastAsia" w:ascii="宋体" w:hAnsi="宋体" w:eastAsia="宋体" w:cs="宋体"/>
                <w:color w:val="auto"/>
                <w:kern w:val="0"/>
                <w:sz w:val="24"/>
                <w:szCs w:val="24"/>
                <w:highlight w:val="none"/>
                <w:lang w:val="en-US" w:eastAsia="zh-CN"/>
              </w:rPr>
            </w:pPr>
          </w:p>
        </w:tc>
        <w:tc>
          <w:tcPr>
            <w:tcW w:w="3531" w:type="dxa"/>
            <w:noWrap w:val="0"/>
            <w:vAlign w:val="center"/>
          </w:tcPr>
          <w:p w14:paraId="05050A99">
            <w:pPr>
              <w:pStyle w:val="19"/>
              <w:pageBreakBefore w:val="0"/>
              <w:shd w:val="clear" w:color="auto" w:fill="auto"/>
              <w:kinsoku/>
              <w:wordWrap/>
              <w:overflowPunct/>
              <w:topLinePunct w:val="0"/>
              <w:bidi w:val="0"/>
              <w:spacing w:line="500" w:lineRule="exact"/>
              <w:ind w:left="0" w:leftChars="0" w:right="0" w:rightChars="0"/>
              <w:jc w:val="center"/>
              <w:rPr>
                <w:rFonts w:hint="eastAsia" w:ascii="宋体" w:hAnsi="宋体" w:eastAsia="宋体" w:cs="宋体"/>
                <w:color w:val="auto"/>
                <w:kern w:val="0"/>
                <w:sz w:val="24"/>
                <w:szCs w:val="24"/>
                <w:highlight w:val="none"/>
              </w:rPr>
            </w:pPr>
          </w:p>
        </w:tc>
        <w:tc>
          <w:tcPr>
            <w:tcW w:w="1299" w:type="dxa"/>
            <w:noWrap w:val="0"/>
            <w:vAlign w:val="center"/>
          </w:tcPr>
          <w:p w14:paraId="6DC8CD23">
            <w:pPr>
              <w:pStyle w:val="19"/>
              <w:pageBreakBefore w:val="0"/>
              <w:shd w:val="clear" w:color="auto" w:fill="auto"/>
              <w:kinsoku/>
              <w:wordWrap/>
              <w:overflowPunct/>
              <w:topLinePunct w:val="0"/>
              <w:bidi w:val="0"/>
              <w:spacing w:line="500" w:lineRule="exact"/>
              <w:ind w:left="0" w:leftChars="0" w:right="0" w:rightChars="0"/>
              <w:jc w:val="center"/>
              <w:rPr>
                <w:rFonts w:hint="eastAsia" w:ascii="宋体" w:hAnsi="宋体" w:eastAsia="宋体" w:cs="宋体"/>
                <w:color w:val="auto"/>
                <w:kern w:val="0"/>
                <w:sz w:val="24"/>
                <w:szCs w:val="24"/>
                <w:highlight w:val="none"/>
              </w:rPr>
            </w:pPr>
          </w:p>
        </w:tc>
        <w:tc>
          <w:tcPr>
            <w:tcW w:w="1602" w:type="dxa"/>
            <w:noWrap w:val="0"/>
            <w:vAlign w:val="center"/>
          </w:tcPr>
          <w:p w14:paraId="314C1B57">
            <w:pPr>
              <w:pStyle w:val="19"/>
              <w:pageBreakBefore w:val="0"/>
              <w:shd w:val="clear" w:color="auto" w:fill="auto"/>
              <w:kinsoku/>
              <w:wordWrap/>
              <w:overflowPunct/>
              <w:topLinePunct w:val="0"/>
              <w:bidi w:val="0"/>
              <w:spacing w:line="500" w:lineRule="exact"/>
              <w:ind w:left="0" w:leftChars="0" w:right="0" w:rightChars="0"/>
              <w:jc w:val="center"/>
              <w:rPr>
                <w:rFonts w:hint="eastAsia" w:ascii="宋体" w:hAnsi="宋体" w:eastAsia="宋体" w:cs="宋体"/>
                <w:color w:val="auto"/>
                <w:kern w:val="0"/>
                <w:sz w:val="24"/>
                <w:szCs w:val="24"/>
                <w:highlight w:val="none"/>
              </w:rPr>
            </w:pPr>
          </w:p>
        </w:tc>
      </w:tr>
      <w:tr w14:paraId="291E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45" w:type="dxa"/>
            <w:noWrap w:val="0"/>
            <w:vAlign w:val="center"/>
          </w:tcPr>
          <w:p w14:paraId="144B4E78">
            <w:pPr>
              <w:pageBreakBefore w:val="0"/>
              <w:shd w:val="clear" w:color="auto" w:fill="auto"/>
              <w:kinsoku/>
              <w:wordWrap/>
              <w:overflowPunct/>
              <w:topLinePunct w:val="0"/>
              <w:bidi w:val="0"/>
              <w:snapToGrid w:val="0"/>
              <w:spacing w:line="50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80" w:type="dxa"/>
            <w:noWrap w:val="0"/>
            <w:vAlign w:val="center"/>
          </w:tcPr>
          <w:p w14:paraId="25ECF974">
            <w:pPr>
              <w:pStyle w:val="19"/>
              <w:pageBreakBefore w:val="0"/>
              <w:shd w:val="clear" w:color="auto" w:fill="auto"/>
              <w:kinsoku/>
              <w:wordWrap/>
              <w:overflowPunct/>
              <w:topLinePunct w:val="0"/>
              <w:bidi w:val="0"/>
              <w:spacing w:line="500" w:lineRule="exact"/>
              <w:ind w:left="0" w:leftChars="0" w:right="0" w:rightChars="0"/>
              <w:jc w:val="center"/>
              <w:rPr>
                <w:rFonts w:hint="eastAsia" w:ascii="宋体" w:hAnsi="宋体" w:eastAsia="宋体" w:cs="宋体"/>
                <w:color w:val="auto"/>
                <w:kern w:val="0"/>
                <w:sz w:val="24"/>
                <w:szCs w:val="24"/>
                <w:highlight w:val="none"/>
                <w:lang w:val="en-US" w:eastAsia="zh-CN"/>
              </w:rPr>
            </w:pPr>
          </w:p>
        </w:tc>
        <w:tc>
          <w:tcPr>
            <w:tcW w:w="3531" w:type="dxa"/>
            <w:noWrap w:val="0"/>
            <w:vAlign w:val="center"/>
          </w:tcPr>
          <w:p w14:paraId="2AAF3509">
            <w:pPr>
              <w:pStyle w:val="19"/>
              <w:pageBreakBefore w:val="0"/>
              <w:shd w:val="clear" w:color="auto" w:fill="auto"/>
              <w:kinsoku/>
              <w:wordWrap/>
              <w:overflowPunct/>
              <w:topLinePunct w:val="0"/>
              <w:bidi w:val="0"/>
              <w:spacing w:line="500" w:lineRule="exact"/>
              <w:ind w:left="0" w:leftChars="0" w:right="0" w:rightChars="0"/>
              <w:jc w:val="center"/>
              <w:rPr>
                <w:rFonts w:hint="eastAsia" w:ascii="宋体" w:hAnsi="宋体" w:eastAsia="宋体" w:cs="宋体"/>
                <w:color w:val="auto"/>
                <w:kern w:val="0"/>
                <w:sz w:val="24"/>
                <w:szCs w:val="24"/>
                <w:highlight w:val="none"/>
              </w:rPr>
            </w:pPr>
          </w:p>
        </w:tc>
        <w:tc>
          <w:tcPr>
            <w:tcW w:w="1299" w:type="dxa"/>
            <w:noWrap w:val="0"/>
            <w:vAlign w:val="center"/>
          </w:tcPr>
          <w:p w14:paraId="0287D0C5">
            <w:pPr>
              <w:pStyle w:val="19"/>
              <w:pageBreakBefore w:val="0"/>
              <w:shd w:val="clear" w:color="auto" w:fill="auto"/>
              <w:kinsoku/>
              <w:wordWrap/>
              <w:overflowPunct/>
              <w:topLinePunct w:val="0"/>
              <w:bidi w:val="0"/>
              <w:spacing w:line="500" w:lineRule="exact"/>
              <w:ind w:left="0" w:leftChars="0" w:right="0" w:rightChars="0"/>
              <w:jc w:val="center"/>
              <w:rPr>
                <w:rFonts w:hint="eastAsia" w:ascii="宋体" w:hAnsi="宋体" w:eastAsia="宋体" w:cs="宋体"/>
                <w:color w:val="auto"/>
                <w:kern w:val="0"/>
                <w:sz w:val="24"/>
                <w:szCs w:val="24"/>
                <w:highlight w:val="none"/>
              </w:rPr>
            </w:pPr>
          </w:p>
        </w:tc>
        <w:tc>
          <w:tcPr>
            <w:tcW w:w="1602" w:type="dxa"/>
            <w:noWrap w:val="0"/>
            <w:vAlign w:val="center"/>
          </w:tcPr>
          <w:p w14:paraId="531D1201">
            <w:pPr>
              <w:pStyle w:val="19"/>
              <w:pageBreakBefore w:val="0"/>
              <w:shd w:val="clear" w:color="auto" w:fill="auto"/>
              <w:kinsoku/>
              <w:wordWrap/>
              <w:overflowPunct/>
              <w:topLinePunct w:val="0"/>
              <w:bidi w:val="0"/>
              <w:spacing w:line="500" w:lineRule="exact"/>
              <w:ind w:left="0" w:leftChars="0" w:right="0" w:rightChars="0"/>
              <w:jc w:val="center"/>
              <w:rPr>
                <w:rFonts w:hint="eastAsia" w:ascii="宋体" w:hAnsi="宋体" w:eastAsia="宋体" w:cs="宋体"/>
                <w:color w:val="auto"/>
                <w:kern w:val="0"/>
                <w:sz w:val="24"/>
                <w:szCs w:val="24"/>
                <w:highlight w:val="none"/>
              </w:rPr>
            </w:pPr>
          </w:p>
        </w:tc>
      </w:tr>
      <w:tr w14:paraId="08E1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5" w:type="dxa"/>
            <w:noWrap w:val="0"/>
            <w:vAlign w:val="center"/>
          </w:tcPr>
          <w:p w14:paraId="0A09AE3D">
            <w:pPr>
              <w:pageBreakBefore w:val="0"/>
              <w:shd w:val="clear" w:color="auto" w:fill="auto"/>
              <w:kinsoku/>
              <w:wordWrap/>
              <w:overflowPunct/>
              <w:topLinePunct w:val="0"/>
              <w:bidi w:val="0"/>
              <w:snapToGrid w:val="0"/>
              <w:spacing w:line="50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80" w:type="dxa"/>
            <w:noWrap w:val="0"/>
            <w:vAlign w:val="center"/>
          </w:tcPr>
          <w:p w14:paraId="38814087">
            <w:pPr>
              <w:pStyle w:val="19"/>
              <w:pageBreakBefore w:val="0"/>
              <w:shd w:val="clear" w:color="auto" w:fill="auto"/>
              <w:kinsoku/>
              <w:wordWrap/>
              <w:overflowPunct/>
              <w:topLinePunct w:val="0"/>
              <w:bidi w:val="0"/>
              <w:spacing w:line="500" w:lineRule="exact"/>
              <w:ind w:left="0" w:leftChars="0" w:right="0" w:rightChars="0"/>
              <w:jc w:val="center"/>
              <w:rPr>
                <w:rFonts w:hint="eastAsia" w:ascii="宋体" w:hAnsi="宋体" w:eastAsia="宋体" w:cs="宋体"/>
                <w:color w:val="auto"/>
                <w:kern w:val="0"/>
                <w:sz w:val="24"/>
                <w:szCs w:val="24"/>
                <w:highlight w:val="none"/>
                <w:lang w:val="en-US" w:eastAsia="zh-CN"/>
              </w:rPr>
            </w:pPr>
          </w:p>
        </w:tc>
        <w:tc>
          <w:tcPr>
            <w:tcW w:w="3531" w:type="dxa"/>
            <w:noWrap w:val="0"/>
            <w:vAlign w:val="center"/>
          </w:tcPr>
          <w:p w14:paraId="1EE77513">
            <w:pPr>
              <w:pStyle w:val="19"/>
              <w:pageBreakBefore w:val="0"/>
              <w:shd w:val="clear" w:color="auto" w:fill="auto"/>
              <w:kinsoku/>
              <w:wordWrap/>
              <w:overflowPunct/>
              <w:topLinePunct w:val="0"/>
              <w:bidi w:val="0"/>
              <w:spacing w:line="500" w:lineRule="exact"/>
              <w:ind w:left="0" w:leftChars="0" w:right="0" w:rightChars="0"/>
              <w:jc w:val="center"/>
              <w:rPr>
                <w:rFonts w:hint="eastAsia" w:ascii="宋体" w:hAnsi="宋体" w:eastAsia="宋体" w:cs="宋体"/>
                <w:color w:val="auto"/>
                <w:kern w:val="0"/>
                <w:sz w:val="24"/>
                <w:szCs w:val="24"/>
                <w:highlight w:val="none"/>
              </w:rPr>
            </w:pPr>
          </w:p>
        </w:tc>
        <w:tc>
          <w:tcPr>
            <w:tcW w:w="1299" w:type="dxa"/>
            <w:noWrap w:val="0"/>
            <w:vAlign w:val="center"/>
          </w:tcPr>
          <w:p w14:paraId="56A95444">
            <w:pPr>
              <w:pStyle w:val="19"/>
              <w:pageBreakBefore w:val="0"/>
              <w:shd w:val="clear" w:color="auto" w:fill="auto"/>
              <w:kinsoku/>
              <w:wordWrap/>
              <w:overflowPunct/>
              <w:topLinePunct w:val="0"/>
              <w:bidi w:val="0"/>
              <w:spacing w:line="500" w:lineRule="exact"/>
              <w:ind w:left="0" w:leftChars="0" w:right="0" w:rightChars="0"/>
              <w:jc w:val="center"/>
              <w:rPr>
                <w:rFonts w:hint="eastAsia" w:ascii="宋体" w:hAnsi="宋体" w:eastAsia="宋体" w:cs="宋体"/>
                <w:color w:val="auto"/>
                <w:kern w:val="0"/>
                <w:sz w:val="24"/>
                <w:szCs w:val="24"/>
                <w:highlight w:val="none"/>
              </w:rPr>
            </w:pPr>
          </w:p>
        </w:tc>
        <w:tc>
          <w:tcPr>
            <w:tcW w:w="1602" w:type="dxa"/>
            <w:noWrap w:val="0"/>
            <w:vAlign w:val="center"/>
          </w:tcPr>
          <w:p w14:paraId="16EBDF85">
            <w:pPr>
              <w:pStyle w:val="19"/>
              <w:pageBreakBefore w:val="0"/>
              <w:shd w:val="clear" w:color="auto" w:fill="auto"/>
              <w:kinsoku/>
              <w:wordWrap/>
              <w:overflowPunct/>
              <w:topLinePunct w:val="0"/>
              <w:bidi w:val="0"/>
              <w:spacing w:line="500" w:lineRule="exact"/>
              <w:ind w:left="0" w:leftChars="0" w:right="0" w:rightChars="0"/>
              <w:jc w:val="center"/>
              <w:rPr>
                <w:rFonts w:hint="eastAsia" w:ascii="宋体" w:hAnsi="宋体" w:eastAsia="宋体" w:cs="宋体"/>
                <w:color w:val="auto"/>
                <w:kern w:val="0"/>
                <w:sz w:val="24"/>
                <w:szCs w:val="24"/>
                <w:highlight w:val="none"/>
              </w:rPr>
            </w:pPr>
          </w:p>
        </w:tc>
      </w:tr>
      <w:tr w14:paraId="3C244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5" w:type="dxa"/>
            <w:gridSpan w:val="4"/>
            <w:noWrap w:val="0"/>
            <w:vAlign w:val="center"/>
          </w:tcPr>
          <w:p w14:paraId="5D8F8F37">
            <w:pPr>
              <w:pStyle w:val="19"/>
              <w:pageBreakBefore w:val="0"/>
              <w:shd w:val="clear" w:color="auto" w:fill="auto"/>
              <w:kinsoku/>
              <w:wordWrap/>
              <w:overflowPunct/>
              <w:topLinePunct w:val="0"/>
              <w:bidi w:val="0"/>
              <w:spacing w:line="500" w:lineRule="exact"/>
              <w:ind w:left="0" w:leftChars="0" w:right="0" w:rightChars="0" w:firstLine="361" w:firstLineChars="150"/>
              <w:jc w:val="center"/>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总    价(元)</w:t>
            </w:r>
          </w:p>
        </w:tc>
        <w:tc>
          <w:tcPr>
            <w:tcW w:w="1602" w:type="dxa"/>
            <w:noWrap w:val="0"/>
            <w:vAlign w:val="center"/>
          </w:tcPr>
          <w:p w14:paraId="388F1323">
            <w:pPr>
              <w:pStyle w:val="19"/>
              <w:pageBreakBefore w:val="0"/>
              <w:shd w:val="clear" w:color="auto" w:fill="auto"/>
              <w:kinsoku/>
              <w:wordWrap/>
              <w:overflowPunct/>
              <w:topLinePunct w:val="0"/>
              <w:bidi w:val="0"/>
              <w:spacing w:line="500" w:lineRule="exact"/>
              <w:ind w:left="0" w:leftChars="0" w:right="0" w:rightChars="0" w:firstLine="360" w:firstLineChars="150"/>
              <w:jc w:val="center"/>
              <w:rPr>
                <w:rFonts w:hint="eastAsia" w:ascii="宋体" w:hAnsi="宋体" w:eastAsia="宋体" w:cs="宋体"/>
                <w:color w:val="auto"/>
                <w:kern w:val="0"/>
                <w:sz w:val="24"/>
                <w:szCs w:val="24"/>
                <w:highlight w:val="none"/>
              </w:rPr>
            </w:pPr>
          </w:p>
        </w:tc>
      </w:tr>
    </w:tbl>
    <w:p w14:paraId="27882AA8">
      <w:pPr>
        <w:spacing w:line="460" w:lineRule="atLeast"/>
        <w:rPr>
          <w:rFonts w:hint="eastAsia" w:asciiTheme="minorEastAsia" w:hAnsiTheme="minorEastAsia" w:eastAsiaTheme="minorEastAsia" w:cstheme="minorEastAsia"/>
          <w:b/>
          <w:sz w:val="24"/>
          <w:szCs w:val="24"/>
        </w:rPr>
      </w:pPr>
    </w:p>
    <w:p w14:paraId="6BDE2E26">
      <w:pPr>
        <w:spacing w:line="44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供应商（盖公章）：</w:t>
      </w:r>
    </w:p>
    <w:p w14:paraId="733D1348">
      <w:pPr>
        <w:spacing w:line="44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法定代表人（签字或盖章）：</w:t>
      </w:r>
    </w:p>
    <w:p w14:paraId="37277F33">
      <w:pPr>
        <w:spacing w:line="44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日期： 年  月  日</w:t>
      </w:r>
    </w:p>
    <w:p w14:paraId="77A4CC6A">
      <w:pPr>
        <w:spacing w:line="440" w:lineRule="exact"/>
        <w:rPr>
          <w:rFonts w:hint="eastAsia" w:asciiTheme="minorEastAsia" w:hAnsiTheme="minorEastAsia" w:eastAsiaTheme="minorEastAsia" w:cstheme="minorEastAsia"/>
          <w:b/>
          <w:sz w:val="24"/>
          <w:szCs w:val="24"/>
        </w:rPr>
      </w:pPr>
    </w:p>
    <w:p w14:paraId="06D97546">
      <w:pPr>
        <w:spacing w:line="360" w:lineRule="exact"/>
        <w:ind w:right="420"/>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1、投标人填报价格合计应与投标函载明价格一致，若不一致，以投标函载明价格为准；单价金额计算的金额与总价不一致时，以单价金额为准修正总价，但单价金额小数点有明显错误的除外。</w:t>
      </w:r>
    </w:p>
    <w:p w14:paraId="4124D05B">
      <w:pPr>
        <w:spacing w:line="360" w:lineRule="exact"/>
        <w:ind w:right="420"/>
        <w:jc w:val="left"/>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2、投标价格应包括投标人履行本项目合同（如果中标）所必须的所有成本费用和中标人应承担的一切税费，包括但不仅限于必要资料、办公、设备、交通、运输、调试、试验、保险、检测、检验报告、人员、差旅、税费、设备使用费、测试工具费以及售后服务费用全过程的管理费用等一切费用。未列和没有填写的项目费用，采购人将视为已包括在投标价格中。</w:t>
      </w:r>
      <w:r>
        <w:rPr>
          <w:rFonts w:hint="eastAsia" w:asciiTheme="minorEastAsia" w:hAnsiTheme="minorEastAsia" w:eastAsiaTheme="minorEastAsia" w:cstheme="minorEastAsia"/>
          <w:sz w:val="24"/>
          <w:szCs w:val="24"/>
        </w:rPr>
        <w:br w:type="page"/>
      </w:r>
      <w:bookmarkStart w:id="121" w:name="_Toc18469"/>
      <w:bookmarkStart w:id="122" w:name="_Toc9578"/>
      <w:r>
        <w:rPr>
          <w:rFonts w:hint="eastAsia" w:asciiTheme="minorEastAsia" w:hAnsiTheme="minorEastAsia" w:eastAsiaTheme="minorEastAsia" w:cstheme="minorEastAsia"/>
          <w:b/>
          <w:sz w:val="24"/>
          <w:szCs w:val="24"/>
        </w:rPr>
        <w:t>附件</w:t>
      </w:r>
      <w:bookmarkEnd w:id="121"/>
      <w:bookmarkEnd w:id="122"/>
      <w:r>
        <w:rPr>
          <w:rFonts w:hint="eastAsia" w:asciiTheme="minorEastAsia" w:hAnsiTheme="minorEastAsia" w:eastAsiaTheme="minorEastAsia" w:cstheme="minorEastAsia"/>
          <w:b/>
          <w:sz w:val="24"/>
          <w:szCs w:val="24"/>
        </w:rPr>
        <w:t>3</w:t>
      </w:r>
    </w:p>
    <w:p w14:paraId="624F5A24">
      <w:pPr>
        <w:spacing w:line="50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4"/>
          <w:szCs w:val="24"/>
        </w:rPr>
        <w:t>供应商基本情况表</w:t>
      </w:r>
    </w:p>
    <w:tbl>
      <w:tblPr>
        <w:tblStyle w:val="29"/>
        <w:tblpPr w:leftFromText="180" w:rightFromText="180" w:vertAnchor="text" w:horzAnchor="page" w:tblpX="1572" w:tblpY="310"/>
        <w:tblOverlap w:val="never"/>
        <w:tblW w:w="8623" w:type="dxa"/>
        <w:tblInd w:w="0" w:type="dxa"/>
        <w:tblLayout w:type="fixed"/>
        <w:tblCellMar>
          <w:top w:w="0" w:type="dxa"/>
          <w:left w:w="0" w:type="dxa"/>
          <w:bottom w:w="0" w:type="dxa"/>
          <w:right w:w="0" w:type="dxa"/>
        </w:tblCellMar>
      </w:tblPr>
      <w:tblGrid>
        <w:gridCol w:w="1091"/>
        <w:gridCol w:w="967"/>
        <w:gridCol w:w="756"/>
        <w:gridCol w:w="738"/>
        <w:gridCol w:w="707"/>
        <w:gridCol w:w="263"/>
        <w:gridCol w:w="525"/>
        <w:gridCol w:w="788"/>
        <w:gridCol w:w="919"/>
        <w:gridCol w:w="81"/>
        <w:gridCol w:w="1788"/>
      </w:tblGrid>
      <w:tr w14:paraId="6B5D19D1">
        <w:tblPrEx>
          <w:tblCellMar>
            <w:top w:w="0" w:type="dxa"/>
            <w:left w:w="0" w:type="dxa"/>
            <w:bottom w:w="0" w:type="dxa"/>
            <w:right w:w="0" w:type="dxa"/>
          </w:tblCellMar>
        </w:tblPrEx>
        <w:trPr>
          <w:trHeight w:val="431" w:hRule="atLeast"/>
        </w:trPr>
        <w:tc>
          <w:tcPr>
            <w:tcW w:w="109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0B1FF35">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单位名称</w:t>
            </w:r>
          </w:p>
        </w:tc>
        <w:tc>
          <w:tcPr>
            <w:tcW w:w="7532" w:type="dxa"/>
            <w:gridSpan w:val="10"/>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82C204E">
            <w:pPr>
              <w:snapToGrid w:val="0"/>
              <w:spacing w:line="400" w:lineRule="exact"/>
              <w:rPr>
                <w:rFonts w:hint="eastAsia" w:asciiTheme="minorEastAsia" w:hAnsiTheme="minorEastAsia" w:eastAsiaTheme="minorEastAsia" w:cstheme="minorEastAsia"/>
                <w:sz w:val="24"/>
              </w:rPr>
            </w:pPr>
          </w:p>
        </w:tc>
      </w:tr>
      <w:tr w14:paraId="1CB14960">
        <w:tblPrEx>
          <w:tblCellMar>
            <w:top w:w="0" w:type="dxa"/>
            <w:left w:w="0" w:type="dxa"/>
            <w:bottom w:w="0" w:type="dxa"/>
            <w:right w:w="0" w:type="dxa"/>
          </w:tblCellMar>
        </w:tblPrEx>
        <w:trPr>
          <w:trHeight w:val="431" w:hRule="atLeast"/>
        </w:trPr>
        <w:tc>
          <w:tcPr>
            <w:tcW w:w="109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4B02C85">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详细地址</w:t>
            </w:r>
          </w:p>
        </w:tc>
        <w:tc>
          <w:tcPr>
            <w:tcW w:w="7532" w:type="dxa"/>
            <w:gridSpan w:val="10"/>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FE6DC42">
            <w:pPr>
              <w:snapToGrid w:val="0"/>
              <w:spacing w:line="400" w:lineRule="exact"/>
              <w:rPr>
                <w:rFonts w:hint="eastAsia" w:asciiTheme="minorEastAsia" w:hAnsiTheme="minorEastAsia" w:eastAsiaTheme="minorEastAsia" w:cstheme="minorEastAsia"/>
                <w:sz w:val="24"/>
              </w:rPr>
            </w:pPr>
          </w:p>
        </w:tc>
      </w:tr>
      <w:tr w14:paraId="60E252FD">
        <w:tblPrEx>
          <w:tblCellMar>
            <w:top w:w="0" w:type="dxa"/>
            <w:left w:w="0" w:type="dxa"/>
            <w:bottom w:w="0" w:type="dxa"/>
            <w:right w:w="0" w:type="dxa"/>
          </w:tblCellMar>
        </w:tblPrEx>
        <w:trPr>
          <w:trHeight w:val="431" w:hRule="atLeast"/>
        </w:trPr>
        <w:tc>
          <w:tcPr>
            <w:tcW w:w="109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05D57D1">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主管部门</w:t>
            </w:r>
          </w:p>
        </w:tc>
        <w:tc>
          <w:tcPr>
            <w:tcW w:w="1723"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CCA7684">
            <w:pPr>
              <w:snapToGrid w:val="0"/>
              <w:spacing w:line="400" w:lineRule="exact"/>
              <w:rPr>
                <w:rFonts w:hint="eastAsia" w:asciiTheme="minorEastAsia" w:hAnsiTheme="minorEastAsia" w:eastAsiaTheme="minorEastAsia" w:cstheme="minorEastAsia"/>
                <w:sz w:val="24"/>
              </w:rPr>
            </w:pPr>
          </w:p>
        </w:tc>
        <w:tc>
          <w:tcPr>
            <w:tcW w:w="1445"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CAAF1A6">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法人代表</w:t>
            </w:r>
          </w:p>
        </w:tc>
        <w:tc>
          <w:tcPr>
            <w:tcW w:w="1576"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724C700">
            <w:pPr>
              <w:snapToGrid w:val="0"/>
              <w:spacing w:line="400" w:lineRule="exact"/>
              <w:rPr>
                <w:rFonts w:hint="eastAsia" w:asciiTheme="minorEastAsia" w:hAnsiTheme="minorEastAsia" w:eastAsiaTheme="minorEastAsia" w:cstheme="minorEastAsia"/>
                <w:sz w:val="24"/>
              </w:rPr>
            </w:pPr>
          </w:p>
        </w:tc>
        <w:tc>
          <w:tcPr>
            <w:tcW w:w="919"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4334AA3">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职务</w:t>
            </w:r>
          </w:p>
        </w:tc>
        <w:tc>
          <w:tcPr>
            <w:tcW w:w="1869"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FC5751A">
            <w:pPr>
              <w:snapToGrid w:val="0"/>
              <w:spacing w:line="400" w:lineRule="exact"/>
              <w:rPr>
                <w:rFonts w:hint="eastAsia" w:asciiTheme="minorEastAsia" w:hAnsiTheme="minorEastAsia" w:eastAsiaTheme="minorEastAsia" w:cstheme="minorEastAsia"/>
                <w:sz w:val="24"/>
              </w:rPr>
            </w:pPr>
          </w:p>
        </w:tc>
      </w:tr>
      <w:tr w14:paraId="66866EA2">
        <w:tblPrEx>
          <w:tblCellMar>
            <w:top w:w="0" w:type="dxa"/>
            <w:left w:w="0" w:type="dxa"/>
            <w:bottom w:w="0" w:type="dxa"/>
            <w:right w:w="0" w:type="dxa"/>
          </w:tblCellMar>
        </w:tblPrEx>
        <w:trPr>
          <w:trHeight w:val="431" w:hRule="atLeast"/>
        </w:trPr>
        <w:tc>
          <w:tcPr>
            <w:tcW w:w="109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1194FCF">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经济类型</w:t>
            </w:r>
          </w:p>
        </w:tc>
        <w:tc>
          <w:tcPr>
            <w:tcW w:w="1723"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FC584E5">
            <w:pPr>
              <w:snapToGrid w:val="0"/>
              <w:spacing w:line="400" w:lineRule="exact"/>
              <w:rPr>
                <w:rFonts w:hint="eastAsia" w:asciiTheme="minorEastAsia" w:hAnsiTheme="minorEastAsia" w:eastAsiaTheme="minorEastAsia" w:cstheme="minorEastAsia"/>
                <w:sz w:val="24"/>
              </w:rPr>
            </w:pPr>
          </w:p>
        </w:tc>
        <w:tc>
          <w:tcPr>
            <w:tcW w:w="1445"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0CD9904">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授权代表</w:t>
            </w:r>
          </w:p>
        </w:tc>
        <w:tc>
          <w:tcPr>
            <w:tcW w:w="1576"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B963B95">
            <w:pPr>
              <w:snapToGrid w:val="0"/>
              <w:spacing w:line="400" w:lineRule="exact"/>
              <w:rPr>
                <w:rFonts w:hint="eastAsia" w:asciiTheme="minorEastAsia" w:hAnsiTheme="minorEastAsia" w:eastAsiaTheme="minorEastAsia" w:cstheme="minorEastAsia"/>
                <w:sz w:val="24"/>
              </w:rPr>
            </w:pPr>
          </w:p>
        </w:tc>
        <w:tc>
          <w:tcPr>
            <w:tcW w:w="919"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2ABA34F">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职务</w:t>
            </w:r>
          </w:p>
        </w:tc>
        <w:tc>
          <w:tcPr>
            <w:tcW w:w="1869"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A0988CC">
            <w:pPr>
              <w:snapToGrid w:val="0"/>
              <w:spacing w:line="400" w:lineRule="exact"/>
              <w:rPr>
                <w:rFonts w:hint="eastAsia" w:asciiTheme="minorEastAsia" w:hAnsiTheme="minorEastAsia" w:eastAsiaTheme="minorEastAsia" w:cstheme="minorEastAsia"/>
                <w:sz w:val="24"/>
              </w:rPr>
            </w:pPr>
          </w:p>
        </w:tc>
      </w:tr>
      <w:tr w14:paraId="390C1737">
        <w:tblPrEx>
          <w:tblCellMar>
            <w:top w:w="0" w:type="dxa"/>
            <w:left w:w="0" w:type="dxa"/>
            <w:bottom w:w="0" w:type="dxa"/>
            <w:right w:w="0" w:type="dxa"/>
          </w:tblCellMar>
        </w:tblPrEx>
        <w:trPr>
          <w:trHeight w:val="431" w:hRule="atLeast"/>
        </w:trPr>
        <w:tc>
          <w:tcPr>
            <w:tcW w:w="109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4060F97">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邮政编码</w:t>
            </w:r>
          </w:p>
        </w:tc>
        <w:tc>
          <w:tcPr>
            <w:tcW w:w="1723"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A395D00">
            <w:pPr>
              <w:snapToGrid w:val="0"/>
              <w:spacing w:line="400" w:lineRule="exact"/>
              <w:rPr>
                <w:rFonts w:hint="eastAsia" w:asciiTheme="minorEastAsia" w:hAnsiTheme="minorEastAsia" w:eastAsiaTheme="minorEastAsia" w:cstheme="minorEastAsia"/>
                <w:sz w:val="24"/>
              </w:rPr>
            </w:pPr>
          </w:p>
        </w:tc>
        <w:tc>
          <w:tcPr>
            <w:tcW w:w="1445"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4EE2BD4">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    话</w:t>
            </w:r>
          </w:p>
        </w:tc>
        <w:tc>
          <w:tcPr>
            <w:tcW w:w="1576"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638E340">
            <w:pPr>
              <w:snapToGrid w:val="0"/>
              <w:spacing w:line="400" w:lineRule="exact"/>
              <w:rPr>
                <w:rFonts w:hint="eastAsia" w:asciiTheme="minorEastAsia" w:hAnsiTheme="minorEastAsia" w:eastAsiaTheme="minorEastAsia" w:cstheme="minorEastAsia"/>
                <w:sz w:val="24"/>
              </w:rPr>
            </w:pPr>
          </w:p>
        </w:tc>
        <w:tc>
          <w:tcPr>
            <w:tcW w:w="919"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B1A6997">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传真</w:t>
            </w:r>
          </w:p>
        </w:tc>
        <w:tc>
          <w:tcPr>
            <w:tcW w:w="1869"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360D91B">
            <w:pPr>
              <w:snapToGrid w:val="0"/>
              <w:spacing w:line="400" w:lineRule="exact"/>
              <w:rPr>
                <w:rFonts w:hint="eastAsia" w:asciiTheme="minorEastAsia" w:hAnsiTheme="minorEastAsia" w:eastAsiaTheme="minorEastAsia" w:cstheme="minorEastAsia"/>
                <w:sz w:val="24"/>
              </w:rPr>
            </w:pPr>
          </w:p>
        </w:tc>
      </w:tr>
      <w:tr w14:paraId="39310337">
        <w:tblPrEx>
          <w:tblCellMar>
            <w:top w:w="0" w:type="dxa"/>
            <w:left w:w="0" w:type="dxa"/>
            <w:bottom w:w="0" w:type="dxa"/>
            <w:right w:w="0" w:type="dxa"/>
          </w:tblCellMar>
        </w:tblPrEx>
        <w:trPr>
          <w:trHeight w:val="1402" w:hRule="atLeast"/>
        </w:trPr>
        <w:tc>
          <w:tcPr>
            <w:tcW w:w="109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D3AE2A9">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w:t>
            </w:r>
          </w:p>
          <w:p w14:paraId="43624EA8">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简历</w:t>
            </w:r>
          </w:p>
          <w:p w14:paraId="24F9BD5B">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及机构</w:t>
            </w:r>
          </w:p>
        </w:tc>
        <w:tc>
          <w:tcPr>
            <w:tcW w:w="7532" w:type="dxa"/>
            <w:gridSpan w:val="10"/>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7E6EE02">
            <w:pPr>
              <w:snapToGrid w:val="0"/>
              <w:spacing w:line="400" w:lineRule="exact"/>
              <w:rPr>
                <w:rFonts w:hint="eastAsia" w:asciiTheme="minorEastAsia" w:hAnsiTheme="minorEastAsia" w:eastAsiaTheme="minorEastAsia" w:cstheme="minorEastAsia"/>
                <w:sz w:val="24"/>
              </w:rPr>
            </w:pPr>
          </w:p>
        </w:tc>
      </w:tr>
      <w:tr w14:paraId="54854BCA">
        <w:tblPrEx>
          <w:tblCellMar>
            <w:top w:w="0" w:type="dxa"/>
            <w:left w:w="0" w:type="dxa"/>
            <w:bottom w:w="0" w:type="dxa"/>
            <w:right w:w="0" w:type="dxa"/>
          </w:tblCellMar>
        </w:tblPrEx>
        <w:trPr>
          <w:trHeight w:val="1161" w:hRule="atLeast"/>
        </w:trPr>
        <w:tc>
          <w:tcPr>
            <w:tcW w:w="1091"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991BEE2">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w:t>
            </w:r>
          </w:p>
          <w:p w14:paraId="544AFBA5">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优势</w:t>
            </w:r>
          </w:p>
          <w:p w14:paraId="14943BF5">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及特长</w:t>
            </w:r>
          </w:p>
        </w:tc>
        <w:tc>
          <w:tcPr>
            <w:tcW w:w="7532" w:type="dxa"/>
            <w:gridSpan w:val="10"/>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2174399">
            <w:pPr>
              <w:snapToGrid w:val="0"/>
              <w:spacing w:line="400" w:lineRule="exact"/>
              <w:rPr>
                <w:rFonts w:hint="eastAsia" w:asciiTheme="minorEastAsia" w:hAnsiTheme="minorEastAsia" w:eastAsiaTheme="minorEastAsia" w:cstheme="minorEastAsia"/>
                <w:sz w:val="24"/>
              </w:rPr>
            </w:pPr>
          </w:p>
        </w:tc>
      </w:tr>
      <w:tr w14:paraId="71DDB61F">
        <w:tblPrEx>
          <w:tblCellMar>
            <w:top w:w="0" w:type="dxa"/>
            <w:left w:w="0" w:type="dxa"/>
            <w:bottom w:w="0" w:type="dxa"/>
            <w:right w:w="0" w:type="dxa"/>
          </w:tblCellMar>
        </w:tblPrEx>
        <w:trPr>
          <w:trHeight w:val="431" w:hRule="atLeast"/>
        </w:trPr>
        <w:tc>
          <w:tcPr>
            <w:tcW w:w="1091" w:type="dxa"/>
            <w:vMerge w:val="restart"/>
            <w:tcBorders>
              <w:top w:val="single" w:color="000000" w:sz="6" w:space="0"/>
              <w:left w:val="single" w:color="000000" w:sz="6" w:space="0"/>
              <w:bottom w:val="single" w:color="000000" w:sz="4" w:space="0"/>
              <w:right w:val="single" w:color="000000" w:sz="6" w:space="0"/>
            </w:tcBorders>
            <w:noWrap/>
            <w:tcMar>
              <w:top w:w="0" w:type="dxa"/>
              <w:left w:w="28" w:type="dxa"/>
              <w:bottom w:w="0" w:type="dxa"/>
              <w:right w:w="28" w:type="dxa"/>
            </w:tcMar>
            <w:vAlign w:val="center"/>
          </w:tcPr>
          <w:p w14:paraId="1FB22151">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w:t>
            </w:r>
          </w:p>
          <w:p w14:paraId="0D1612BA">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位</w:t>
            </w:r>
          </w:p>
          <w:p w14:paraId="123442EE">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概</w:t>
            </w:r>
          </w:p>
          <w:p w14:paraId="4E8E7F46">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况</w:t>
            </w:r>
          </w:p>
        </w:tc>
        <w:tc>
          <w:tcPr>
            <w:tcW w:w="967" w:type="dxa"/>
            <w:vMerge w:val="restart"/>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1AE5BF8">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职工</w:t>
            </w:r>
          </w:p>
          <w:p w14:paraId="5BD447D9">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总数</w:t>
            </w:r>
          </w:p>
        </w:tc>
        <w:tc>
          <w:tcPr>
            <w:tcW w:w="2464" w:type="dxa"/>
            <w:gridSpan w:val="4"/>
            <w:vMerge w:val="restart"/>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C228069">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人</w:t>
            </w:r>
          </w:p>
        </w:tc>
        <w:tc>
          <w:tcPr>
            <w:tcW w:w="4101" w:type="dxa"/>
            <w:gridSpan w:val="5"/>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FAFC12C">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生产工人</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人</w:t>
            </w:r>
          </w:p>
        </w:tc>
      </w:tr>
      <w:tr w14:paraId="5BE5247C">
        <w:tblPrEx>
          <w:tblCellMar>
            <w:top w:w="0" w:type="dxa"/>
            <w:left w:w="0" w:type="dxa"/>
            <w:bottom w:w="0" w:type="dxa"/>
            <w:right w:w="0" w:type="dxa"/>
          </w:tblCellMar>
        </w:tblPrEx>
        <w:trPr>
          <w:trHeight w:val="431" w:hRule="atLeast"/>
        </w:trPr>
        <w:tc>
          <w:tcPr>
            <w:tcW w:w="1091" w:type="dxa"/>
            <w:vMerge w:val="continue"/>
            <w:tcBorders>
              <w:top w:val="single" w:color="000000" w:sz="6" w:space="0"/>
              <w:left w:val="single" w:color="000000" w:sz="6" w:space="0"/>
              <w:bottom w:val="single" w:color="000000" w:sz="4" w:space="0"/>
              <w:right w:val="single" w:color="000000" w:sz="6" w:space="0"/>
            </w:tcBorders>
            <w:noWrap/>
            <w:tcMar>
              <w:top w:w="0" w:type="dxa"/>
              <w:left w:w="28" w:type="dxa"/>
              <w:bottom w:w="0" w:type="dxa"/>
              <w:right w:w="28" w:type="dxa"/>
            </w:tcMar>
            <w:vAlign w:val="center"/>
          </w:tcPr>
          <w:p w14:paraId="4D2400C8">
            <w:pPr>
              <w:snapToGrid w:val="0"/>
              <w:spacing w:line="400" w:lineRule="exact"/>
              <w:jc w:val="center"/>
              <w:rPr>
                <w:rFonts w:hint="eastAsia" w:asciiTheme="minorEastAsia" w:hAnsiTheme="minorEastAsia" w:eastAsiaTheme="minorEastAsia" w:cstheme="minorEastAsia"/>
                <w:sz w:val="24"/>
              </w:rPr>
            </w:pPr>
          </w:p>
        </w:tc>
        <w:tc>
          <w:tcPr>
            <w:tcW w:w="967" w:type="dxa"/>
            <w:vMerge w:val="continue"/>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A0F3362">
            <w:pPr>
              <w:snapToGrid w:val="0"/>
              <w:spacing w:line="400" w:lineRule="exact"/>
              <w:jc w:val="center"/>
              <w:rPr>
                <w:rFonts w:hint="eastAsia" w:asciiTheme="minorEastAsia" w:hAnsiTheme="minorEastAsia" w:eastAsiaTheme="minorEastAsia" w:cstheme="minorEastAsia"/>
                <w:sz w:val="24"/>
              </w:rPr>
            </w:pPr>
          </w:p>
        </w:tc>
        <w:tc>
          <w:tcPr>
            <w:tcW w:w="2464" w:type="dxa"/>
            <w:gridSpan w:val="4"/>
            <w:vMerge w:val="continue"/>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0FFAE32">
            <w:pPr>
              <w:snapToGrid w:val="0"/>
              <w:spacing w:line="400" w:lineRule="exact"/>
              <w:jc w:val="center"/>
              <w:rPr>
                <w:rFonts w:hint="eastAsia" w:asciiTheme="minorEastAsia" w:hAnsiTheme="minorEastAsia" w:eastAsiaTheme="minorEastAsia" w:cstheme="minorEastAsia"/>
                <w:sz w:val="24"/>
              </w:rPr>
            </w:pPr>
          </w:p>
        </w:tc>
        <w:tc>
          <w:tcPr>
            <w:tcW w:w="4101" w:type="dxa"/>
            <w:gridSpan w:val="5"/>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01839D5">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工程技术人员</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人</w:t>
            </w:r>
          </w:p>
        </w:tc>
      </w:tr>
      <w:tr w14:paraId="7D8DBB33">
        <w:tblPrEx>
          <w:tblCellMar>
            <w:top w:w="0" w:type="dxa"/>
            <w:left w:w="0" w:type="dxa"/>
            <w:bottom w:w="0" w:type="dxa"/>
            <w:right w:w="0" w:type="dxa"/>
          </w:tblCellMar>
        </w:tblPrEx>
        <w:trPr>
          <w:trHeight w:val="431" w:hRule="atLeast"/>
        </w:trPr>
        <w:tc>
          <w:tcPr>
            <w:tcW w:w="1091" w:type="dxa"/>
            <w:vMerge w:val="continue"/>
            <w:tcBorders>
              <w:top w:val="single" w:color="000000" w:sz="6" w:space="0"/>
              <w:left w:val="single" w:color="000000" w:sz="6" w:space="0"/>
              <w:bottom w:val="single" w:color="000000" w:sz="4" w:space="0"/>
              <w:right w:val="single" w:color="000000" w:sz="6" w:space="0"/>
            </w:tcBorders>
            <w:noWrap/>
            <w:tcMar>
              <w:top w:w="0" w:type="dxa"/>
              <w:left w:w="28" w:type="dxa"/>
              <w:bottom w:w="0" w:type="dxa"/>
              <w:right w:w="28" w:type="dxa"/>
            </w:tcMar>
            <w:vAlign w:val="center"/>
          </w:tcPr>
          <w:p w14:paraId="3C3C51D9">
            <w:pPr>
              <w:snapToGrid w:val="0"/>
              <w:spacing w:line="400" w:lineRule="exact"/>
              <w:jc w:val="center"/>
              <w:rPr>
                <w:rFonts w:hint="eastAsia" w:asciiTheme="minorEastAsia" w:hAnsiTheme="minorEastAsia" w:eastAsiaTheme="minorEastAsia" w:cstheme="minorEastAsia"/>
                <w:sz w:val="24"/>
              </w:rPr>
            </w:pPr>
          </w:p>
        </w:tc>
        <w:tc>
          <w:tcPr>
            <w:tcW w:w="967" w:type="dxa"/>
            <w:vMerge w:val="restart"/>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0978469">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流动</w:t>
            </w:r>
          </w:p>
          <w:p w14:paraId="75827BFF">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资金</w:t>
            </w:r>
          </w:p>
        </w:tc>
        <w:tc>
          <w:tcPr>
            <w:tcW w:w="2464" w:type="dxa"/>
            <w:gridSpan w:val="4"/>
            <w:vMerge w:val="restart"/>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631A93B">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万元</w:t>
            </w:r>
          </w:p>
        </w:tc>
        <w:tc>
          <w:tcPr>
            <w:tcW w:w="525" w:type="dxa"/>
            <w:vMerge w:val="restart"/>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8C9FD68">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资</w:t>
            </w:r>
          </w:p>
          <w:p w14:paraId="5E46C277">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金</w:t>
            </w:r>
          </w:p>
          <w:p w14:paraId="40BFC987">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来</w:t>
            </w:r>
          </w:p>
          <w:p w14:paraId="7DBCB5C1">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源</w:t>
            </w:r>
          </w:p>
        </w:tc>
        <w:tc>
          <w:tcPr>
            <w:tcW w:w="1788"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8321468">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自有资金</w:t>
            </w:r>
          </w:p>
        </w:tc>
        <w:tc>
          <w:tcPr>
            <w:tcW w:w="178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921F380">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万元</w:t>
            </w:r>
          </w:p>
        </w:tc>
      </w:tr>
      <w:tr w14:paraId="6BBAB92F">
        <w:tblPrEx>
          <w:tblCellMar>
            <w:top w:w="0" w:type="dxa"/>
            <w:left w:w="0" w:type="dxa"/>
            <w:bottom w:w="0" w:type="dxa"/>
            <w:right w:w="0" w:type="dxa"/>
          </w:tblCellMar>
        </w:tblPrEx>
        <w:trPr>
          <w:trHeight w:val="431" w:hRule="atLeast"/>
        </w:trPr>
        <w:tc>
          <w:tcPr>
            <w:tcW w:w="1091" w:type="dxa"/>
            <w:vMerge w:val="continue"/>
            <w:tcBorders>
              <w:top w:val="single" w:color="000000" w:sz="6" w:space="0"/>
              <w:left w:val="single" w:color="000000" w:sz="6" w:space="0"/>
              <w:bottom w:val="single" w:color="000000" w:sz="4" w:space="0"/>
              <w:right w:val="single" w:color="000000" w:sz="6" w:space="0"/>
            </w:tcBorders>
            <w:noWrap/>
            <w:tcMar>
              <w:top w:w="0" w:type="dxa"/>
              <w:left w:w="28" w:type="dxa"/>
              <w:bottom w:w="0" w:type="dxa"/>
              <w:right w:w="28" w:type="dxa"/>
            </w:tcMar>
            <w:vAlign w:val="center"/>
          </w:tcPr>
          <w:p w14:paraId="4F489A4A">
            <w:pPr>
              <w:snapToGrid w:val="0"/>
              <w:spacing w:line="400" w:lineRule="exact"/>
              <w:jc w:val="center"/>
              <w:rPr>
                <w:rFonts w:hint="eastAsia" w:asciiTheme="minorEastAsia" w:hAnsiTheme="minorEastAsia" w:eastAsiaTheme="minorEastAsia" w:cstheme="minorEastAsia"/>
                <w:sz w:val="24"/>
              </w:rPr>
            </w:pPr>
          </w:p>
        </w:tc>
        <w:tc>
          <w:tcPr>
            <w:tcW w:w="967" w:type="dxa"/>
            <w:vMerge w:val="continue"/>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AA24364">
            <w:pPr>
              <w:snapToGrid w:val="0"/>
              <w:spacing w:line="400" w:lineRule="exact"/>
              <w:jc w:val="center"/>
              <w:rPr>
                <w:rFonts w:hint="eastAsia" w:asciiTheme="minorEastAsia" w:hAnsiTheme="minorEastAsia" w:eastAsiaTheme="minorEastAsia" w:cstheme="minorEastAsia"/>
                <w:sz w:val="24"/>
              </w:rPr>
            </w:pPr>
          </w:p>
        </w:tc>
        <w:tc>
          <w:tcPr>
            <w:tcW w:w="2464" w:type="dxa"/>
            <w:gridSpan w:val="4"/>
            <w:vMerge w:val="continue"/>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2461800">
            <w:pPr>
              <w:snapToGrid w:val="0"/>
              <w:spacing w:line="400" w:lineRule="exact"/>
              <w:jc w:val="center"/>
              <w:rPr>
                <w:rFonts w:hint="eastAsia" w:asciiTheme="minorEastAsia" w:hAnsiTheme="minorEastAsia" w:eastAsiaTheme="minorEastAsia" w:cstheme="minorEastAsia"/>
                <w:sz w:val="24"/>
              </w:rPr>
            </w:pPr>
          </w:p>
        </w:tc>
        <w:tc>
          <w:tcPr>
            <w:tcW w:w="525" w:type="dxa"/>
            <w:vMerge w:val="continue"/>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75DD1EB">
            <w:pPr>
              <w:snapToGrid w:val="0"/>
              <w:spacing w:line="400" w:lineRule="exact"/>
              <w:jc w:val="center"/>
              <w:rPr>
                <w:rFonts w:hint="eastAsia" w:asciiTheme="minorEastAsia" w:hAnsiTheme="minorEastAsia" w:eastAsiaTheme="minorEastAsia" w:cstheme="minorEastAsia"/>
                <w:sz w:val="24"/>
              </w:rPr>
            </w:pPr>
          </w:p>
        </w:tc>
        <w:tc>
          <w:tcPr>
            <w:tcW w:w="1788"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ECD5032">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银行贷款</w:t>
            </w:r>
          </w:p>
        </w:tc>
        <w:tc>
          <w:tcPr>
            <w:tcW w:w="178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A20D94B">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万元</w:t>
            </w:r>
          </w:p>
        </w:tc>
      </w:tr>
      <w:tr w14:paraId="0D979704">
        <w:tblPrEx>
          <w:tblCellMar>
            <w:top w:w="0" w:type="dxa"/>
            <w:left w:w="0" w:type="dxa"/>
            <w:bottom w:w="0" w:type="dxa"/>
            <w:right w:w="0" w:type="dxa"/>
          </w:tblCellMar>
        </w:tblPrEx>
        <w:trPr>
          <w:trHeight w:val="751" w:hRule="atLeast"/>
        </w:trPr>
        <w:tc>
          <w:tcPr>
            <w:tcW w:w="1091" w:type="dxa"/>
            <w:vMerge w:val="continue"/>
            <w:tcBorders>
              <w:top w:val="single" w:color="000000" w:sz="6" w:space="0"/>
              <w:left w:val="single" w:color="000000" w:sz="6" w:space="0"/>
              <w:bottom w:val="single" w:color="000000" w:sz="4" w:space="0"/>
              <w:right w:val="single" w:color="000000" w:sz="6" w:space="0"/>
            </w:tcBorders>
            <w:noWrap/>
            <w:tcMar>
              <w:top w:w="0" w:type="dxa"/>
              <w:left w:w="28" w:type="dxa"/>
              <w:bottom w:w="0" w:type="dxa"/>
              <w:right w:w="28" w:type="dxa"/>
            </w:tcMar>
            <w:vAlign w:val="center"/>
          </w:tcPr>
          <w:p w14:paraId="233B1901">
            <w:pPr>
              <w:snapToGrid w:val="0"/>
              <w:spacing w:line="400" w:lineRule="exact"/>
              <w:jc w:val="center"/>
              <w:rPr>
                <w:rFonts w:hint="eastAsia" w:asciiTheme="minorEastAsia" w:hAnsiTheme="minorEastAsia" w:eastAsiaTheme="minorEastAsia" w:cstheme="minorEastAsia"/>
                <w:sz w:val="24"/>
              </w:rPr>
            </w:pPr>
          </w:p>
        </w:tc>
        <w:tc>
          <w:tcPr>
            <w:tcW w:w="967" w:type="dxa"/>
            <w:vMerge w:val="restart"/>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C375C00">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固定</w:t>
            </w:r>
          </w:p>
          <w:p w14:paraId="3C08FD8A">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资产</w:t>
            </w:r>
          </w:p>
        </w:tc>
        <w:tc>
          <w:tcPr>
            <w:tcW w:w="2464" w:type="dxa"/>
            <w:gridSpan w:val="4"/>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0C149D8">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原值万元</w:t>
            </w:r>
          </w:p>
        </w:tc>
        <w:tc>
          <w:tcPr>
            <w:tcW w:w="525" w:type="dxa"/>
            <w:vMerge w:val="restart"/>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F0320FD">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资</w:t>
            </w:r>
          </w:p>
          <w:p w14:paraId="4CD3A5F7">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金</w:t>
            </w:r>
          </w:p>
          <w:p w14:paraId="05033EB4">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性</w:t>
            </w:r>
          </w:p>
          <w:p w14:paraId="2C88BF18">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质</w:t>
            </w:r>
          </w:p>
        </w:tc>
        <w:tc>
          <w:tcPr>
            <w:tcW w:w="1788"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10B3C3E">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生产性</w:t>
            </w:r>
          </w:p>
        </w:tc>
        <w:tc>
          <w:tcPr>
            <w:tcW w:w="178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CD63252">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万元</w:t>
            </w:r>
          </w:p>
        </w:tc>
      </w:tr>
      <w:tr w14:paraId="0092C7DD">
        <w:tblPrEx>
          <w:tblCellMar>
            <w:top w:w="0" w:type="dxa"/>
            <w:left w:w="0" w:type="dxa"/>
            <w:bottom w:w="0" w:type="dxa"/>
            <w:right w:w="0" w:type="dxa"/>
          </w:tblCellMar>
        </w:tblPrEx>
        <w:trPr>
          <w:trHeight w:val="945" w:hRule="atLeast"/>
        </w:trPr>
        <w:tc>
          <w:tcPr>
            <w:tcW w:w="1091" w:type="dxa"/>
            <w:vMerge w:val="continue"/>
            <w:tcBorders>
              <w:top w:val="single" w:color="000000" w:sz="6" w:space="0"/>
              <w:left w:val="single" w:color="000000" w:sz="6" w:space="0"/>
              <w:bottom w:val="single" w:color="000000" w:sz="4" w:space="0"/>
              <w:right w:val="single" w:color="000000" w:sz="6" w:space="0"/>
            </w:tcBorders>
            <w:noWrap/>
            <w:tcMar>
              <w:top w:w="0" w:type="dxa"/>
              <w:left w:w="28" w:type="dxa"/>
              <w:bottom w:w="0" w:type="dxa"/>
              <w:right w:w="28" w:type="dxa"/>
            </w:tcMar>
            <w:vAlign w:val="center"/>
          </w:tcPr>
          <w:p w14:paraId="2F7E764A">
            <w:pPr>
              <w:snapToGrid w:val="0"/>
              <w:spacing w:line="400" w:lineRule="exact"/>
              <w:jc w:val="center"/>
              <w:rPr>
                <w:rFonts w:hint="eastAsia" w:asciiTheme="minorEastAsia" w:hAnsiTheme="minorEastAsia" w:eastAsiaTheme="minorEastAsia" w:cstheme="minorEastAsia"/>
                <w:sz w:val="24"/>
              </w:rPr>
            </w:pPr>
          </w:p>
        </w:tc>
        <w:tc>
          <w:tcPr>
            <w:tcW w:w="967" w:type="dxa"/>
            <w:vMerge w:val="continue"/>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2FFB33D">
            <w:pPr>
              <w:snapToGrid w:val="0"/>
              <w:spacing w:line="400" w:lineRule="exact"/>
              <w:jc w:val="center"/>
              <w:rPr>
                <w:rFonts w:hint="eastAsia" w:asciiTheme="minorEastAsia" w:hAnsiTheme="minorEastAsia" w:eastAsiaTheme="minorEastAsia" w:cstheme="minorEastAsia"/>
                <w:sz w:val="24"/>
              </w:rPr>
            </w:pPr>
          </w:p>
        </w:tc>
        <w:tc>
          <w:tcPr>
            <w:tcW w:w="2464" w:type="dxa"/>
            <w:gridSpan w:val="4"/>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53A15C8">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净值万元</w:t>
            </w:r>
          </w:p>
        </w:tc>
        <w:tc>
          <w:tcPr>
            <w:tcW w:w="525" w:type="dxa"/>
            <w:vMerge w:val="continue"/>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3035052">
            <w:pPr>
              <w:snapToGrid w:val="0"/>
              <w:spacing w:line="400" w:lineRule="exact"/>
              <w:jc w:val="center"/>
              <w:rPr>
                <w:rFonts w:hint="eastAsia" w:asciiTheme="minorEastAsia" w:hAnsiTheme="minorEastAsia" w:eastAsiaTheme="minorEastAsia" w:cstheme="minorEastAsia"/>
                <w:sz w:val="24"/>
              </w:rPr>
            </w:pPr>
          </w:p>
        </w:tc>
        <w:tc>
          <w:tcPr>
            <w:tcW w:w="1788"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1863B09">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非生产性</w:t>
            </w:r>
          </w:p>
        </w:tc>
        <w:tc>
          <w:tcPr>
            <w:tcW w:w="178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865721F">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万元</w:t>
            </w:r>
          </w:p>
        </w:tc>
      </w:tr>
      <w:tr w14:paraId="17EF8D9B">
        <w:tblPrEx>
          <w:tblCellMar>
            <w:top w:w="0" w:type="dxa"/>
            <w:left w:w="0" w:type="dxa"/>
            <w:bottom w:w="0" w:type="dxa"/>
            <w:right w:w="0" w:type="dxa"/>
          </w:tblCellMar>
        </w:tblPrEx>
        <w:trPr>
          <w:trHeight w:val="431" w:hRule="atLeast"/>
        </w:trPr>
        <w:tc>
          <w:tcPr>
            <w:tcW w:w="1091" w:type="dxa"/>
            <w:vMerge w:val="restart"/>
            <w:tcBorders>
              <w:top w:val="single" w:color="000000" w:sz="4"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0F56596">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企业</w:t>
            </w:r>
          </w:p>
          <w:p w14:paraId="7B892EA3">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财务</w:t>
            </w:r>
          </w:p>
          <w:p w14:paraId="24F106B5">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状况</w:t>
            </w:r>
          </w:p>
          <w:p w14:paraId="28198A98">
            <w:pPr>
              <w:snapToGrid w:val="0"/>
              <w:spacing w:line="400" w:lineRule="exact"/>
              <w:jc w:val="center"/>
              <w:rPr>
                <w:rFonts w:hint="eastAsia" w:asciiTheme="minorEastAsia" w:hAnsiTheme="minorEastAsia" w:eastAsiaTheme="minorEastAsia" w:cstheme="minorEastAsia"/>
                <w:sz w:val="24"/>
              </w:rPr>
            </w:pPr>
          </w:p>
        </w:tc>
        <w:tc>
          <w:tcPr>
            <w:tcW w:w="967"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A5DCB89">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年度</w:t>
            </w:r>
          </w:p>
        </w:tc>
        <w:tc>
          <w:tcPr>
            <w:tcW w:w="1494"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D8BD4A5">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收入总额</w:t>
            </w:r>
          </w:p>
        </w:tc>
        <w:tc>
          <w:tcPr>
            <w:tcW w:w="1495"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78D7694">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利润总额</w:t>
            </w:r>
          </w:p>
        </w:tc>
        <w:tc>
          <w:tcPr>
            <w:tcW w:w="1788"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715BCA7">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税后利润</w:t>
            </w:r>
          </w:p>
        </w:tc>
        <w:tc>
          <w:tcPr>
            <w:tcW w:w="178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4A5ED19">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负债总额</w:t>
            </w:r>
          </w:p>
        </w:tc>
      </w:tr>
      <w:tr w14:paraId="21C134EA">
        <w:tblPrEx>
          <w:tblCellMar>
            <w:top w:w="0" w:type="dxa"/>
            <w:left w:w="0" w:type="dxa"/>
            <w:bottom w:w="0" w:type="dxa"/>
            <w:right w:w="0" w:type="dxa"/>
          </w:tblCellMar>
        </w:tblPrEx>
        <w:trPr>
          <w:trHeight w:val="431" w:hRule="atLeast"/>
        </w:trPr>
        <w:tc>
          <w:tcPr>
            <w:tcW w:w="1091" w:type="dxa"/>
            <w:vMerge w:val="continue"/>
            <w:tcBorders>
              <w:top w:val="single" w:color="000000" w:sz="4"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679A4DC5">
            <w:pPr>
              <w:snapToGrid w:val="0"/>
              <w:spacing w:line="400" w:lineRule="exact"/>
              <w:jc w:val="center"/>
              <w:rPr>
                <w:rFonts w:hint="eastAsia" w:asciiTheme="minorEastAsia" w:hAnsiTheme="minorEastAsia" w:eastAsiaTheme="minorEastAsia" w:cstheme="minorEastAsia"/>
                <w:sz w:val="24"/>
              </w:rPr>
            </w:pPr>
          </w:p>
        </w:tc>
        <w:tc>
          <w:tcPr>
            <w:tcW w:w="967"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DC5DAC1">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年</w:t>
            </w:r>
          </w:p>
        </w:tc>
        <w:tc>
          <w:tcPr>
            <w:tcW w:w="1494"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12ECEA7">
            <w:pPr>
              <w:snapToGrid w:val="0"/>
              <w:spacing w:line="400" w:lineRule="exact"/>
              <w:rPr>
                <w:rFonts w:hint="eastAsia" w:asciiTheme="minorEastAsia" w:hAnsiTheme="minorEastAsia" w:eastAsiaTheme="minorEastAsia" w:cstheme="minorEastAsia"/>
                <w:sz w:val="24"/>
              </w:rPr>
            </w:pPr>
          </w:p>
        </w:tc>
        <w:tc>
          <w:tcPr>
            <w:tcW w:w="1495"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4E812CBD">
            <w:pPr>
              <w:snapToGrid w:val="0"/>
              <w:spacing w:line="400" w:lineRule="exact"/>
              <w:rPr>
                <w:rFonts w:hint="eastAsia" w:asciiTheme="minorEastAsia" w:hAnsiTheme="minorEastAsia" w:eastAsiaTheme="minorEastAsia" w:cstheme="minorEastAsia"/>
                <w:sz w:val="24"/>
              </w:rPr>
            </w:pPr>
          </w:p>
        </w:tc>
        <w:tc>
          <w:tcPr>
            <w:tcW w:w="1788"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28C9DA2">
            <w:pPr>
              <w:snapToGrid w:val="0"/>
              <w:spacing w:line="400" w:lineRule="exact"/>
              <w:rPr>
                <w:rFonts w:hint="eastAsia" w:asciiTheme="minorEastAsia" w:hAnsiTheme="minorEastAsia" w:eastAsiaTheme="minorEastAsia" w:cstheme="minorEastAsia"/>
                <w:sz w:val="24"/>
              </w:rPr>
            </w:pPr>
          </w:p>
        </w:tc>
        <w:tc>
          <w:tcPr>
            <w:tcW w:w="178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936F4A1">
            <w:pPr>
              <w:snapToGrid w:val="0"/>
              <w:spacing w:line="400" w:lineRule="exact"/>
              <w:rPr>
                <w:rFonts w:hint="eastAsia" w:asciiTheme="minorEastAsia" w:hAnsiTheme="minorEastAsia" w:eastAsiaTheme="minorEastAsia" w:cstheme="minorEastAsia"/>
                <w:sz w:val="24"/>
              </w:rPr>
            </w:pPr>
          </w:p>
        </w:tc>
      </w:tr>
      <w:tr w14:paraId="691E52EE">
        <w:tblPrEx>
          <w:tblCellMar>
            <w:top w:w="0" w:type="dxa"/>
            <w:left w:w="0" w:type="dxa"/>
            <w:bottom w:w="0" w:type="dxa"/>
            <w:right w:w="0" w:type="dxa"/>
          </w:tblCellMar>
        </w:tblPrEx>
        <w:trPr>
          <w:trHeight w:val="431" w:hRule="atLeast"/>
        </w:trPr>
        <w:tc>
          <w:tcPr>
            <w:tcW w:w="1091" w:type="dxa"/>
            <w:vMerge w:val="continue"/>
            <w:tcBorders>
              <w:top w:val="single" w:color="000000" w:sz="4"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128FC59">
            <w:pPr>
              <w:snapToGrid w:val="0"/>
              <w:spacing w:line="400" w:lineRule="exact"/>
              <w:jc w:val="center"/>
              <w:rPr>
                <w:rFonts w:hint="eastAsia" w:asciiTheme="minorEastAsia" w:hAnsiTheme="minorEastAsia" w:eastAsiaTheme="minorEastAsia" w:cstheme="minorEastAsia"/>
                <w:sz w:val="24"/>
              </w:rPr>
            </w:pPr>
          </w:p>
        </w:tc>
        <w:tc>
          <w:tcPr>
            <w:tcW w:w="967"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6C9E71D">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年</w:t>
            </w:r>
          </w:p>
        </w:tc>
        <w:tc>
          <w:tcPr>
            <w:tcW w:w="1494"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55106E8E">
            <w:pPr>
              <w:snapToGrid w:val="0"/>
              <w:spacing w:line="400" w:lineRule="exact"/>
              <w:rPr>
                <w:rFonts w:hint="eastAsia" w:asciiTheme="minorEastAsia" w:hAnsiTheme="minorEastAsia" w:eastAsiaTheme="minorEastAsia" w:cstheme="minorEastAsia"/>
                <w:sz w:val="24"/>
              </w:rPr>
            </w:pPr>
          </w:p>
        </w:tc>
        <w:tc>
          <w:tcPr>
            <w:tcW w:w="1495"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545910C">
            <w:pPr>
              <w:snapToGrid w:val="0"/>
              <w:spacing w:line="400" w:lineRule="exact"/>
              <w:rPr>
                <w:rFonts w:hint="eastAsia" w:asciiTheme="minorEastAsia" w:hAnsiTheme="minorEastAsia" w:eastAsiaTheme="minorEastAsia" w:cstheme="minorEastAsia"/>
                <w:sz w:val="24"/>
              </w:rPr>
            </w:pPr>
          </w:p>
        </w:tc>
        <w:tc>
          <w:tcPr>
            <w:tcW w:w="1788"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3B89A7F">
            <w:pPr>
              <w:snapToGrid w:val="0"/>
              <w:spacing w:line="400" w:lineRule="exact"/>
              <w:rPr>
                <w:rFonts w:hint="eastAsia" w:asciiTheme="minorEastAsia" w:hAnsiTheme="minorEastAsia" w:eastAsiaTheme="minorEastAsia" w:cstheme="minorEastAsia"/>
                <w:sz w:val="24"/>
              </w:rPr>
            </w:pPr>
          </w:p>
        </w:tc>
        <w:tc>
          <w:tcPr>
            <w:tcW w:w="178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6C39495">
            <w:pPr>
              <w:snapToGrid w:val="0"/>
              <w:spacing w:line="400" w:lineRule="exact"/>
              <w:rPr>
                <w:rFonts w:hint="eastAsia" w:asciiTheme="minorEastAsia" w:hAnsiTheme="minorEastAsia" w:eastAsiaTheme="minorEastAsia" w:cstheme="minorEastAsia"/>
                <w:sz w:val="24"/>
              </w:rPr>
            </w:pPr>
          </w:p>
        </w:tc>
      </w:tr>
      <w:tr w14:paraId="5C9179EF">
        <w:tblPrEx>
          <w:tblCellMar>
            <w:top w:w="0" w:type="dxa"/>
            <w:left w:w="0" w:type="dxa"/>
            <w:bottom w:w="0" w:type="dxa"/>
            <w:right w:w="0" w:type="dxa"/>
          </w:tblCellMar>
        </w:tblPrEx>
        <w:trPr>
          <w:trHeight w:val="431" w:hRule="atLeast"/>
        </w:trPr>
        <w:tc>
          <w:tcPr>
            <w:tcW w:w="1091" w:type="dxa"/>
            <w:vMerge w:val="continue"/>
            <w:tcBorders>
              <w:top w:val="single" w:color="000000" w:sz="4"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854DE57">
            <w:pPr>
              <w:snapToGrid w:val="0"/>
              <w:spacing w:line="400" w:lineRule="exact"/>
              <w:jc w:val="center"/>
              <w:rPr>
                <w:rFonts w:hint="eastAsia" w:asciiTheme="minorEastAsia" w:hAnsiTheme="minorEastAsia" w:eastAsiaTheme="minorEastAsia" w:cstheme="minorEastAsia"/>
                <w:sz w:val="24"/>
              </w:rPr>
            </w:pPr>
          </w:p>
        </w:tc>
        <w:tc>
          <w:tcPr>
            <w:tcW w:w="967"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2ABD6202">
            <w:pPr>
              <w:snapToGrid w:val="0"/>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年</w:t>
            </w:r>
          </w:p>
        </w:tc>
        <w:tc>
          <w:tcPr>
            <w:tcW w:w="1494" w:type="dxa"/>
            <w:gridSpan w:val="2"/>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0B0D4884">
            <w:pPr>
              <w:snapToGrid w:val="0"/>
              <w:spacing w:line="400" w:lineRule="exact"/>
              <w:rPr>
                <w:rFonts w:hint="eastAsia" w:asciiTheme="minorEastAsia" w:hAnsiTheme="minorEastAsia" w:eastAsiaTheme="minorEastAsia" w:cstheme="minorEastAsia"/>
                <w:sz w:val="24"/>
              </w:rPr>
            </w:pPr>
          </w:p>
        </w:tc>
        <w:tc>
          <w:tcPr>
            <w:tcW w:w="1495"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365222A5">
            <w:pPr>
              <w:snapToGrid w:val="0"/>
              <w:spacing w:line="400" w:lineRule="exact"/>
              <w:rPr>
                <w:rFonts w:hint="eastAsia" w:asciiTheme="minorEastAsia" w:hAnsiTheme="minorEastAsia" w:eastAsiaTheme="minorEastAsia" w:cstheme="minorEastAsia"/>
                <w:sz w:val="24"/>
              </w:rPr>
            </w:pPr>
          </w:p>
        </w:tc>
        <w:tc>
          <w:tcPr>
            <w:tcW w:w="1788" w:type="dxa"/>
            <w:gridSpan w:val="3"/>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1D0A8D31">
            <w:pPr>
              <w:snapToGrid w:val="0"/>
              <w:spacing w:line="400" w:lineRule="exact"/>
              <w:rPr>
                <w:rFonts w:hint="eastAsia" w:asciiTheme="minorEastAsia" w:hAnsiTheme="minorEastAsia" w:eastAsiaTheme="minorEastAsia" w:cstheme="minorEastAsia"/>
                <w:sz w:val="24"/>
              </w:rPr>
            </w:pPr>
          </w:p>
        </w:tc>
        <w:tc>
          <w:tcPr>
            <w:tcW w:w="1788" w:type="dxa"/>
            <w:tcBorders>
              <w:top w:val="single" w:color="000000" w:sz="6" w:space="0"/>
              <w:left w:val="single" w:color="000000" w:sz="6" w:space="0"/>
              <w:bottom w:val="single" w:color="000000" w:sz="6" w:space="0"/>
              <w:right w:val="single" w:color="000000" w:sz="6" w:space="0"/>
            </w:tcBorders>
            <w:noWrap/>
            <w:tcMar>
              <w:top w:w="0" w:type="dxa"/>
              <w:left w:w="28" w:type="dxa"/>
              <w:bottom w:w="0" w:type="dxa"/>
              <w:right w:w="28" w:type="dxa"/>
            </w:tcMar>
            <w:vAlign w:val="center"/>
          </w:tcPr>
          <w:p w14:paraId="72FC80D8">
            <w:pPr>
              <w:snapToGrid w:val="0"/>
              <w:spacing w:line="400" w:lineRule="exact"/>
              <w:rPr>
                <w:rFonts w:hint="eastAsia" w:asciiTheme="minorEastAsia" w:hAnsiTheme="minorEastAsia" w:eastAsiaTheme="minorEastAsia" w:cstheme="minorEastAsia"/>
                <w:sz w:val="24"/>
              </w:rPr>
            </w:pPr>
          </w:p>
        </w:tc>
      </w:tr>
    </w:tbl>
    <w:p w14:paraId="2CE0C3C2">
      <w:pPr>
        <w:spacing w:line="500" w:lineRule="exact"/>
        <w:ind w:firstLine="960" w:firstLineChars="400"/>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rPr>
        <w:t>供应商</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公章</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 xml:space="preserve">                                  日期</w:t>
      </w:r>
      <w:r>
        <w:rPr>
          <w:rFonts w:hint="eastAsia" w:asciiTheme="minorEastAsia" w:hAnsiTheme="minorEastAsia" w:eastAsiaTheme="minorEastAsia" w:cstheme="minorEastAsia"/>
          <w:sz w:val="24"/>
          <w:lang w:eastAsia="zh-CN"/>
        </w:rPr>
        <w:t>：</w:t>
      </w:r>
    </w:p>
    <w:p w14:paraId="07DE99B3">
      <w:pPr>
        <w:spacing w:line="500" w:lineRule="exact"/>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bookmarkStart w:id="123" w:name="_Toc9379"/>
      <w:bookmarkStart w:id="124" w:name="_Toc14127"/>
      <w:r>
        <w:rPr>
          <w:rFonts w:hint="eastAsia" w:asciiTheme="minorEastAsia" w:hAnsiTheme="minorEastAsia" w:eastAsiaTheme="minorEastAsia" w:cstheme="minorEastAsia"/>
          <w:b/>
          <w:bCs/>
          <w:sz w:val="24"/>
          <w:szCs w:val="24"/>
        </w:rPr>
        <w:t>附件</w:t>
      </w:r>
      <w:bookmarkEnd w:id="123"/>
      <w:bookmarkEnd w:id="124"/>
      <w:r>
        <w:rPr>
          <w:rFonts w:hint="eastAsia" w:asciiTheme="minorEastAsia" w:hAnsiTheme="minorEastAsia" w:eastAsiaTheme="minorEastAsia" w:cstheme="minorEastAsia"/>
          <w:b/>
          <w:bCs/>
          <w:sz w:val="24"/>
          <w:szCs w:val="24"/>
        </w:rPr>
        <w:t>4</w:t>
      </w:r>
    </w:p>
    <w:p w14:paraId="4669F480">
      <w:pPr>
        <w:spacing w:line="50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法定代表人身份证明书</w:t>
      </w:r>
    </w:p>
    <w:p w14:paraId="0F5C46FF">
      <w:pPr>
        <w:spacing w:line="500" w:lineRule="exact"/>
        <w:rPr>
          <w:rFonts w:hint="eastAsia" w:asciiTheme="minorEastAsia" w:hAnsiTheme="minorEastAsia" w:eastAsiaTheme="minorEastAsia" w:cstheme="minorEastAsia"/>
          <w:sz w:val="24"/>
          <w:szCs w:val="24"/>
        </w:rPr>
      </w:pPr>
    </w:p>
    <w:p w14:paraId="13C6C3CB">
      <w:pPr>
        <w:spacing w:line="5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单位名称：</w:t>
      </w:r>
    </w:p>
    <w:p w14:paraId="76053B15">
      <w:pPr>
        <w:spacing w:line="5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所属行业：</w:t>
      </w:r>
    </w:p>
    <w:p w14:paraId="210C6B39">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p w14:paraId="232E6A60">
      <w:pPr>
        <w:spacing w:line="5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营业期限：</w:t>
      </w:r>
    </w:p>
    <w:p w14:paraId="3C8F96C3">
      <w:pPr>
        <w:spacing w:line="5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成立时间：</w:t>
      </w:r>
    </w:p>
    <w:p w14:paraId="2A9FDA9D">
      <w:pPr>
        <w:spacing w:line="5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经营范围：</w:t>
      </w:r>
    </w:p>
    <w:p w14:paraId="67121DD1">
      <w:pPr>
        <w:spacing w:line="500" w:lineRule="exact"/>
        <w:rPr>
          <w:rFonts w:hint="eastAsia" w:asciiTheme="minorEastAsia" w:hAnsiTheme="minorEastAsia" w:eastAsiaTheme="minorEastAsia" w:cstheme="minorEastAsia"/>
          <w:sz w:val="24"/>
          <w:szCs w:val="24"/>
        </w:rPr>
      </w:pPr>
    </w:p>
    <w:p w14:paraId="7E3DB003">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    性别：   年龄：     职务：</w:t>
      </w:r>
    </w:p>
    <w:p w14:paraId="47479B63">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w:t>
      </w:r>
      <w:r>
        <w:rPr>
          <w:rFonts w:hint="eastAsia" w:asciiTheme="minorEastAsia" w:hAnsiTheme="minorEastAsia" w:eastAsiaTheme="minorEastAsia" w:cstheme="minorEastAsia"/>
          <w:sz w:val="24"/>
          <w:szCs w:val="24"/>
          <w:u w:val="single"/>
        </w:rPr>
        <w:t xml:space="preserve">                     （供应商）</w:t>
      </w:r>
      <w:r>
        <w:rPr>
          <w:rFonts w:hint="eastAsia" w:asciiTheme="minorEastAsia" w:hAnsiTheme="minorEastAsia" w:eastAsiaTheme="minorEastAsia" w:cstheme="minorEastAsia"/>
          <w:sz w:val="24"/>
          <w:szCs w:val="24"/>
        </w:rPr>
        <w:t>的法定代表人。</w:t>
      </w:r>
    </w:p>
    <w:p w14:paraId="01418E37">
      <w:pPr>
        <w:spacing w:line="500" w:lineRule="exact"/>
        <w:rPr>
          <w:rFonts w:hint="eastAsia" w:asciiTheme="minorEastAsia" w:hAnsiTheme="minorEastAsia" w:eastAsiaTheme="minorEastAsia" w:cstheme="minorEastAsia"/>
          <w:sz w:val="24"/>
          <w:szCs w:val="24"/>
        </w:rPr>
      </w:pPr>
    </w:p>
    <w:p w14:paraId="61FDB7B2">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162560</wp:posOffset>
                </wp:positionV>
                <wp:extent cx="2971800" cy="1895475"/>
                <wp:effectExtent l="4445" t="4445" r="14605" b="508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0564FC76"/>
                          <w:p w14:paraId="0CA64FBF"/>
                          <w:p w14:paraId="253B2C67"/>
                          <w:p w14:paraId="7331B069"/>
                          <w:p w14:paraId="4E517DD8">
                            <w:pPr>
                              <w:jc w:val="center"/>
                              <w:rPr>
                                <w:rFonts w:hint="eastAsia" w:ascii="仿宋" w:hAnsi="仿宋" w:eastAsia="仿宋"/>
                                <w:sz w:val="36"/>
                                <w:szCs w:val="36"/>
                              </w:rPr>
                            </w:pPr>
                            <w:r>
                              <w:rPr>
                                <w:rFonts w:hint="eastAsia" w:ascii="仿宋" w:hAnsi="仿宋" w:eastAsia="仿宋"/>
                                <w:sz w:val="36"/>
                                <w:szCs w:val="36"/>
                              </w:rPr>
                              <w:t>法定代表人身份证复印件</w:t>
                            </w:r>
                          </w:p>
                          <w:p w14:paraId="0E5A2592">
                            <w:pPr>
                              <w:jc w:val="center"/>
                              <w:rPr>
                                <w:rFonts w:hint="eastAsia" w:ascii="仿宋" w:hAnsi="仿宋" w:eastAsia="仿宋"/>
                                <w:sz w:val="36"/>
                                <w:szCs w:val="36"/>
                              </w:rPr>
                            </w:pPr>
                            <w:r>
                              <w:rPr>
                                <w:rFonts w:hint="eastAsia" w:ascii="仿宋" w:hAnsi="仿宋" w:eastAsia="仿宋"/>
                                <w:sz w:val="36"/>
                                <w:szCs w:val="36"/>
                              </w:rPr>
                              <w:t>（正面）</w:t>
                            </w:r>
                          </w:p>
                          <w:p w14:paraId="0ADD27AA"/>
                          <w:p w14:paraId="2B6F1664"/>
                          <w:p w14:paraId="24461300"/>
                          <w:p w14:paraId="2E966C3B"/>
                          <w:p w14:paraId="028487E2"/>
                          <w:p w14:paraId="0A70778D"/>
                          <w:p w14:paraId="5DB48720">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pt;margin-top:12.8pt;height:149.25pt;width:234pt;z-index:251661312;mso-width-relative:page;mso-height-relative:page;" fillcolor="#FFFFFF" filled="t" stroked="t" coordsize="21600,21600" o:gfxdata="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EW26XaAAAACQEAAA8AAAAAAAAA&#10;AQAgAAAAIgAAAGRycy9kb3ducmV2LnhtbFBLAQIUABQAAAAIAIdO4kA5Vx4/SAIAAJYEAAAOAAAA&#10;AAAAAAEAIAAAACkBAABkcnMvZTJvRG9jLnhtbFBLBQYAAAAABgAGAFkBAADjBQAAAAA=&#10;">
                <v:fill on="t" focussize="0,0"/>
                <v:stroke color="#000000" miterlimit="2" joinstyle="miter"/>
                <v:imagedata o:title=""/>
                <o:lock v:ext="edit" aspectratio="f"/>
                <v:textbox>
                  <w:txbxContent>
                    <w:p w14:paraId="0564FC76"/>
                    <w:p w14:paraId="0CA64FBF"/>
                    <w:p w14:paraId="253B2C67"/>
                    <w:p w14:paraId="7331B069"/>
                    <w:p w14:paraId="4E517DD8">
                      <w:pPr>
                        <w:jc w:val="center"/>
                        <w:rPr>
                          <w:rFonts w:hint="eastAsia" w:ascii="仿宋" w:hAnsi="仿宋" w:eastAsia="仿宋"/>
                          <w:sz w:val="36"/>
                          <w:szCs w:val="36"/>
                        </w:rPr>
                      </w:pPr>
                      <w:r>
                        <w:rPr>
                          <w:rFonts w:hint="eastAsia" w:ascii="仿宋" w:hAnsi="仿宋" w:eastAsia="仿宋"/>
                          <w:sz w:val="36"/>
                          <w:szCs w:val="36"/>
                        </w:rPr>
                        <w:t>法定代表人身份证复印件</w:t>
                      </w:r>
                    </w:p>
                    <w:p w14:paraId="0E5A2592">
                      <w:pPr>
                        <w:jc w:val="center"/>
                        <w:rPr>
                          <w:rFonts w:hint="eastAsia" w:ascii="仿宋" w:hAnsi="仿宋" w:eastAsia="仿宋"/>
                          <w:sz w:val="36"/>
                          <w:szCs w:val="36"/>
                        </w:rPr>
                      </w:pPr>
                      <w:r>
                        <w:rPr>
                          <w:rFonts w:hint="eastAsia" w:ascii="仿宋" w:hAnsi="仿宋" w:eastAsia="仿宋"/>
                          <w:sz w:val="36"/>
                          <w:szCs w:val="36"/>
                        </w:rPr>
                        <w:t>（正面）</w:t>
                      </w:r>
                    </w:p>
                    <w:p w14:paraId="0ADD27AA"/>
                    <w:p w14:paraId="2B6F1664"/>
                    <w:p w14:paraId="24461300"/>
                    <w:p w14:paraId="2E966C3B"/>
                    <w:p w14:paraId="028487E2"/>
                    <w:p w14:paraId="0A70778D"/>
                    <w:p w14:paraId="5DB48720">
                      <w:pPr>
                        <w:rPr>
                          <w:sz w:val="32"/>
                          <w:szCs w:val="32"/>
                        </w:rPr>
                      </w:pPr>
                    </w:p>
                  </w:txbxContent>
                </v:textbox>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3162300</wp:posOffset>
                </wp:positionH>
                <wp:positionV relativeFrom="paragraph">
                  <wp:posOffset>162560</wp:posOffset>
                </wp:positionV>
                <wp:extent cx="2971800" cy="1895475"/>
                <wp:effectExtent l="4445" t="4445" r="14605" b="508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3A5514C6"/>
                          <w:p w14:paraId="175C4297"/>
                          <w:p w14:paraId="130C98A2"/>
                          <w:p w14:paraId="22560A80"/>
                          <w:p w14:paraId="2CC7E6F6">
                            <w:pPr>
                              <w:jc w:val="center"/>
                              <w:rPr>
                                <w:rFonts w:hint="eastAsia" w:ascii="仿宋" w:hAnsi="仿宋" w:eastAsia="仿宋"/>
                                <w:sz w:val="36"/>
                                <w:szCs w:val="36"/>
                              </w:rPr>
                            </w:pPr>
                            <w:r>
                              <w:rPr>
                                <w:rFonts w:hint="eastAsia" w:ascii="仿宋" w:hAnsi="仿宋" w:eastAsia="仿宋"/>
                                <w:sz w:val="36"/>
                                <w:szCs w:val="36"/>
                              </w:rPr>
                              <w:t>法定代表人身份证复印件</w:t>
                            </w:r>
                          </w:p>
                          <w:p w14:paraId="456EA636">
                            <w:pPr>
                              <w:jc w:val="center"/>
                              <w:rPr>
                                <w:rFonts w:hint="eastAsia" w:ascii="仿宋" w:hAnsi="仿宋" w:eastAsia="仿宋"/>
                                <w:sz w:val="36"/>
                                <w:szCs w:val="36"/>
                              </w:rPr>
                            </w:pPr>
                            <w:r>
                              <w:rPr>
                                <w:rFonts w:hint="eastAsia" w:ascii="仿宋" w:hAnsi="仿宋" w:eastAsia="仿宋"/>
                                <w:sz w:val="36"/>
                                <w:szCs w:val="36"/>
                              </w:rPr>
                              <w:t>（背面）</w:t>
                            </w:r>
                          </w:p>
                          <w:p w14:paraId="01033F5D"/>
                          <w:p w14:paraId="68D0CB78"/>
                          <w:p w14:paraId="1BAF8FD2"/>
                          <w:p w14:paraId="274101BA"/>
                          <w:p w14:paraId="090DAEB6"/>
                          <w:p w14:paraId="3242D796"/>
                          <w:p w14:paraId="2D9ACCB6">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9pt;margin-top:12.8pt;height:149.25pt;width:234pt;z-index:251662336;mso-width-relative:page;mso-height-relative:page;" fillcolor="#FFFFFF" filled="t" stroked="t" coordsize="21600,21600" o:gfxdata="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Yk8BW2wAAAAoBAAAPAAAAAAAA&#10;AAEAIAAAACIAAABkcnMvZG93bnJldi54bWxQSwECFAAUAAAACACHTuJAZm60KkgCAACWBAAADgAA&#10;AAAAAAABACAAAAAqAQAAZHJzL2Uyb0RvYy54bWxQSwUGAAAAAAYABgBZAQAA5AUAAAAA&#10;">
                <v:fill on="t" focussize="0,0"/>
                <v:stroke color="#000000" miterlimit="2" joinstyle="miter"/>
                <v:imagedata o:title=""/>
                <o:lock v:ext="edit" aspectratio="f"/>
                <v:textbox>
                  <w:txbxContent>
                    <w:p w14:paraId="3A5514C6"/>
                    <w:p w14:paraId="175C4297"/>
                    <w:p w14:paraId="130C98A2"/>
                    <w:p w14:paraId="22560A80"/>
                    <w:p w14:paraId="2CC7E6F6">
                      <w:pPr>
                        <w:jc w:val="center"/>
                        <w:rPr>
                          <w:rFonts w:hint="eastAsia" w:ascii="仿宋" w:hAnsi="仿宋" w:eastAsia="仿宋"/>
                          <w:sz w:val="36"/>
                          <w:szCs w:val="36"/>
                        </w:rPr>
                      </w:pPr>
                      <w:r>
                        <w:rPr>
                          <w:rFonts w:hint="eastAsia" w:ascii="仿宋" w:hAnsi="仿宋" w:eastAsia="仿宋"/>
                          <w:sz w:val="36"/>
                          <w:szCs w:val="36"/>
                        </w:rPr>
                        <w:t>法定代表人身份证复印件</w:t>
                      </w:r>
                    </w:p>
                    <w:p w14:paraId="456EA636">
                      <w:pPr>
                        <w:jc w:val="center"/>
                        <w:rPr>
                          <w:rFonts w:hint="eastAsia" w:ascii="仿宋" w:hAnsi="仿宋" w:eastAsia="仿宋"/>
                          <w:sz w:val="36"/>
                          <w:szCs w:val="36"/>
                        </w:rPr>
                      </w:pPr>
                      <w:r>
                        <w:rPr>
                          <w:rFonts w:hint="eastAsia" w:ascii="仿宋" w:hAnsi="仿宋" w:eastAsia="仿宋"/>
                          <w:sz w:val="36"/>
                          <w:szCs w:val="36"/>
                        </w:rPr>
                        <w:t>（背面）</w:t>
                      </w:r>
                    </w:p>
                    <w:p w14:paraId="01033F5D"/>
                    <w:p w14:paraId="68D0CB78"/>
                    <w:p w14:paraId="1BAF8FD2"/>
                    <w:p w14:paraId="274101BA"/>
                    <w:p w14:paraId="090DAEB6"/>
                    <w:p w14:paraId="3242D796"/>
                    <w:p w14:paraId="2D9ACCB6">
                      <w:pPr>
                        <w:rPr>
                          <w:sz w:val="32"/>
                          <w:szCs w:val="32"/>
                        </w:rPr>
                      </w:pPr>
                    </w:p>
                  </w:txbxContent>
                </v:textbox>
              </v:shape>
            </w:pict>
          </mc:Fallback>
        </mc:AlternateContent>
      </w:r>
    </w:p>
    <w:p w14:paraId="7F91925E">
      <w:pPr>
        <w:spacing w:line="360" w:lineRule="exact"/>
        <w:rPr>
          <w:rFonts w:hint="eastAsia" w:asciiTheme="minorEastAsia" w:hAnsiTheme="minorEastAsia" w:eastAsiaTheme="minorEastAsia" w:cstheme="minorEastAsia"/>
          <w:sz w:val="24"/>
          <w:szCs w:val="24"/>
        </w:rPr>
      </w:pPr>
    </w:p>
    <w:p w14:paraId="5FAD16F5">
      <w:pPr>
        <w:spacing w:line="360" w:lineRule="exact"/>
        <w:rPr>
          <w:rFonts w:hint="eastAsia" w:asciiTheme="minorEastAsia" w:hAnsiTheme="minorEastAsia" w:eastAsiaTheme="minorEastAsia" w:cstheme="minorEastAsia"/>
          <w:sz w:val="24"/>
          <w:szCs w:val="24"/>
        </w:rPr>
      </w:pPr>
    </w:p>
    <w:p w14:paraId="39B7F05B">
      <w:pPr>
        <w:spacing w:line="360" w:lineRule="exact"/>
        <w:rPr>
          <w:rFonts w:hint="eastAsia" w:asciiTheme="minorEastAsia" w:hAnsiTheme="minorEastAsia" w:eastAsiaTheme="minorEastAsia" w:cstheme="minorEastAsia"/>
          <w:sz w:val="24"/>
          <w:szCs w:val="24"/>
        </w:rPr>
      </w:pPr>
    </w:p>
    <w:p w14:paraId="34428E7D">
      <w:pPr>
        <w:spacing w:line="360" w:lineRule="exact"/>
        <w:rPr>
          <w:rFonts w:hint="eastAsia" w:asciiTheme="minorEastAsia" w:hAnsiTheme="minorEastAsia" w:eastAsiaTheme="minorEastAsia" w:cstheme="minorEastAsia"/>
          <w:sz w:val="24"/>
          <w:szCs w:val="24"/>
        </w:rPr>
      </w:pPr>
    </w:p>
    <w:p w14:paraId="191A7E94">
      <w:pPr>
        <w:spacing w:line="360" w:lineRule="exact"/>
        <w:rPr>
          <w:rFonts w:hint="eastAsia" w:asciiTheme="minorEastAsia" w:hAnsiTheme="minorEastAsia" w:eastAsiaTheme="minorEastAsia" w:cstheme="minorEastAsia"/>
          <w:sz w:val="24"/>
          <w:szCs w:val="24"/>
        </w:rPr>
      </w:pPr>
    </w:p>
    <w:p w14:paraId="058F1216">
      <w:pPr>
        <w:spacing w:line="360" w:lineRule="exact"/>
        <w:rPr>
          <w:rFonts w:hint="eastAsia" w:asciiTheme="minorEastAsia" w:hAnsiTheme="minorEastAsia" w:eastAsiaTheme="minorEastAsia" w:cstheme="minorEastAsia"/>
          <w:sz w:val="24"/>
          <w:szCs w:val="24"/>
        </w:rPr>
      </w:pPr>
    </w:p>
    <w:p w14:paraId="5E5ED5EB">
      <w:pPr>
        <w:spacing w:line="360" w:lineRule="exact"/>
        <w:rPr>
          <w:rFonts w:hint="eastAsia" w:asciiTheme="minorEastAsia" w:hAnsiTheme="minorEastAsia" w:eastAsiaTheme="minorEastAsia" w:cstheme="minorEastAsia"/>
          <w:sz w:val="24"/>
          <w:szCs w:val="24"/>
        </w:rPr>
      </w:pPr>
    </w:p>
    <w:p w14:paraId="082D38AB">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特此证明。</w:t>
      </w:r>
    </w:p>
    <w:p w14:paraId="41D57462">
      <w:pPr>
        <w:spacing w:line="500" w:lineRule="exact"/>
        <w:rPr>
          <w:rFonts w:hint="eastAsia" w:asciiTheme="minorEastAsia" w:hAnsiTheme="minorEastAsia" w:eastAsiaTheme="minorEastAsia" w:cstheme="minorEastAsia"/>
          <w:sz w:val="24"/>
          <w:szCs w:val="24"/>
        </w:rPr>
      </w:pPr>
    </w:p>
    <w:p w14:paraId="0C2C1740">
      <w:pPr>
        <w:spacing w:line="500" w:lineRule="exact"/>
        <w:rPr>
          <w:rFonts w:hint="eastAsia" w:asciiTheme="minorEastAsia" w:hAnsiTheme="minorEastAsia" w:eastAsiaTheme="minorEastAsia" w:cstheme="minorEastAsia"/>
          <w:sz w:val="24"/>
          <w:szCs w:val="24"/>
        </w:rPr>
      </w:pPr>
    </w:p>
    <w:p w14:paraId="244CED27">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供应商（盖公章）：</w:t>
      </w:r>
    </w:p>
    <w:p w14:paraId="362F2DD4">
      <w:pPr>
        <w:spacing w:line="5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法定代表人（签字或盖章）：</w:t>
      </w:r>
    </w:p>
    <w:p w14:paraId="1A135082">
      <w:pPr>
        <w:tabs>
          <w:tab w:val="left" w:pos="3780"/>
        </w:tabs>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14:paraId="510E7FCB">
      <w:pPr>
        <w:spacing w:line="500" w:lineRule="exact"/>
        <w:rPr>
          <w:rFonts w:hint="eastAsia" w:asciiTheme="minorEastAsia" w:hAnsiTheme="minorEastAsia" w:eastAsiaTheme="minorEastAsia" w:cstheme="minorEastAsia"/>
          <w:b/>
          <w:bCs/>
          <w:sz w:val="24"/>
          <w:szCs w:val="24"/>
        </w:rPr>
      </w:pPr>
    </w:p>
    <w:p w14:paraId="08A69114">
      <w:pPr>
        <w:spacing w:line="500" w:lineRule="exact"/>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bookmarkStart w:id="125" w:name="_Toc29145"/>
      <w:bookmarkStart w:id="126" w:name="_Toc15715"/>
      <w:r>
        <w:rPr>
          <w:rFonts w:hint="eastAsia" w:asciiTheme="minorEastAsia" w:hAnsiTheme="minorEastAsia" w:eastAsiaTheme="minorEastAsia" w:cstheme="minorEastAsia"/>
          <w:b/>
          <w:bCs/>
          <w:sz w:val="24"/>
          <w:szCs w:val="24"/>
        </w:rPr>
        <w:t>附件</w:t>
      </w:r>
      <w:bookmarkEnd w:id="125"/>
      <w:bookmarkEnd w:id="126"/>
      <w:r>
        <w:rPr>
          <w:rFonts w:hint="eastAsia" w:asciiTheme="minorEastAsia" w:hAnsiTheme="minorEastAsia" w:eastAsiaTheme="minorEastAsia" w:cstheme="minorEastAsia"/>
          <w:b/>
          <w:bCs/>
          <w:sz w:val="24"/>
          <w:szCs w:val="24"/>
        </w:rPr>
        <w:t>5</w:t>
      </w:r>
    </w:p>
    <w:p w14:paraId="74EE27C7">
      <w:pPr>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法定代表人授权委托书</w:t>
      </w:r>
    </w:p>
    <w:p w14:paraId="517E7783">
      <w:pPr>
        <w:spacing w:line="500" w:lineRule="exact"/>
        <w:jc w:val="center"/>
        <w:rPr>
          <w:rFonts w:hint="eastAsia" w:asciiTheme="minorEastAsia" w:hAnsiTheme="minorEastAsia" w:eastAsiaTheme="minorEastAsia" w:cstheme="minorEastAsia"/>
          <w:b/>
          <w:bCs/>
          <w:sz w:val="24"/>
          <w:szCs w:val="24"/>
        </w:rPr>
      </w:pPr>
    </w:p>
    <w:p w14:paraId="272FC74F">
      <w:pPr>
        <w:spacing w:line="500" w:lineRule="exact"/>
        <w:ind w:firstLine="453" w:firstLineChars="189"/>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本授权委托书声明：我系</w:t>
      </w:r>
      <w:r>
        <w:rPr>
          <w:rFonts w:hint="eastAsia" w:asciiTheme="minorEastAsia" w:hAnsiTheme="minorEastAsia" w:eastAsiaTheme="minorEastAsia" w:cstheme="minorEastAsia"/>
          <w:bCs/>
          <w:sz w:val="24"/>
          <w:szCs w:val="24"/>
          <w:u w:val="single"/>
        </w:rPr>
        <w:t xml:space="preserve">                             （供应商）</w:t>
      </w:r>
      <w:r>
        <w:rPr>
          <w:rFonts w:hint="eastAsia" w:asciiTheme="minorEastAsia" w:hAnsiTheme="minorEastAsia" w:eastAsiaTheme="minorEastAsia" w:cstheme="minorEastAsia"/>
          <w:bCs/>
          <w:sz w:val="24"/>
          <w:szCs w:val="24"/>
        </w:rPr>
        <w:t>的法定代表人，现授权委托</w:t>
      </w:r>
      <w:r>
        <w:rPr>
          <w:rFonts w:hint="eastAsia" w:asciiTheme="minorEastAsia" w:hAnsiTheme="minorEastAsia" w:eastAsiaTheme="minorEastAsia" w:cstheme="minorEastAsia"/>
          <w:bCs/>
          <w:sz w:val="24"/>
          <w:szCs w:val="24"/>
          <w:u w:val="single"/>
        </w:rPr>
        <w:t xml:space="preserve">           （供应商）</w:t>
      </w:r>
      <w:r>
        <w:rPr>
          <w:rFonts w:hint="eastAsia" w:asciiTheme="minorEastAsia" w:hAnsiTheme="minorEastAsia" w:eastAsiaTheme="minorEastAsia" w:cstheme="minorEastAsia"/>
          <w:bCs/>
          <w:sz w:val="24"/>
          <w:szCs w:val="24"/>
        </w:rPr>
        <w:t>的</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为我的代理人，以</w:t>
      </w:r>
      <w:r>
        <w:rPr>
          <w:rFonts w:hint="eastAsia" w:asciiTheme="minorEastAsia" w:hAnsiTheme="minorEastAsia" w:eastAsiaTheme="minorEastAsia" w:cstheme="minorEastAsia"/>
          <w:bCs/>
          <w:sz w:val="24"/>
          <w:szCs w:val="24"/>
          <w:u w:val="single"/>
        </w:rPr>
        <w:t>（供应商）</w:t>
      </w:r>
      <w:r>
        <w:rPr>
          <w:rFonts w:hint="eastAsia" w:asciiTheme="minorEastAsia" w:hAnsiTheme="minorEastAsia" w:eastAsiaTheme="minorEastAsia" w:cstheme="minorEastAsia"/>
          <w:bCs/>
          <w:sz w:val="24"/>
          <w:szCs w:val="24"/>
        </w:rPr>
        <w:t>的名义参加</w:t>
      </w:r>
      <w:r>
        <w:rPr>
          <w:rFonts w:hint="eastAsia" w:asciiTheme="minorEastAsia" w:hAnsiTheme="minorEastAsia" w:eastAsiaTheme="minorEastAsia" w:cstheme="minorEastAsia"/>
          <w:bCs/>
          <w:sz w:val="24"/>
          <w:szCs w:val="24"/>
          <w:u w:val="single"/>
        </w:rPr>
        <w:t>（项目名称和采购项目编号）</w:t>
      </w:r>
      <w:r>
        <w:rPr>
          <w:rFonts w:hint="eastAsia" w:asciiTheme="minorEastAsia" w:hAnsiTheme="minorEastAsia" w:eastAsiaTheme="minorEastAsia" w:cstheme="minorEastAsia"/>
          <w:bCs/>
          <w:sz w:val="24"/>
          <w:szCs w:val="24"/>
        </w:rPr>
        <w:t>招标项目的投标活动。代理人在参加整个招标投标活动所签署的一切文件和处理与之相关的一切</w:t>
      </w:r>
      <w:r>
        <w:rPr>
          <w:rFonts w:hint="eastAsia" w:asciiTheme="minorEastAsia" w:hAnsiTheme="minorEastAsia" w:eastAsiaTheme="minorEastAsia" w:cstheme="minorEastAsia"/>
          <w:bCs/>
          <w:sz w:val="24"/>
          <w:szCs w:val="24"/>
          <w:lang w:eastAsia="zh-CN"/>
        </w:rPr>
        <w:t>事务</w:t>
      </w:r>
      <w:r>
        <w:rPr>
          <w:rFonts w:hint="eastAsia" w:asciiTheme="minorEastAsia" w:hAnsiTheme="minorEastAsia" w:eastAsiaTheme="minorEastAsia" w:cstheme="minorEastAsia"/>
          <w:bCs/>
          <w:sz w:val="24"/>
          <w:szCs w:val="24"/>
        </w:rPr>
        <w:t>，我均予承认。</w:t>
      </w:r>
    </w:p>
    <w:p w14:paraId="5C8BD3C9">
      <w:pPr>
        <w:spacing w:line="500" w:lineRule="exact"/>
        <w:ind w:firstLine="480" w:firstLineChars="200"/>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代理人：   性别：  年龄：</w:t>
      </w:r>
    </w:p>
    <w:p w14:paraId="4BA0AD00">
      <w:pPr>
        <w:spacing w:line="500" w:lineRule="exact"/>
        <w:ind w:firstLine="453" w:firstLineChars="189"/>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 xml:space="preserve">部  门：  </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职务：</w:t>
      </w:r>
    </w:p>
    <w:p w14:paraId="051A237C">
      <w:pPr>
        <w:spacing w:line="36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mc:AlternateContent>
          <mc:Choice Requires="wps">
            <w:drawing>
              <wp:anchor distT="0" distB="0" distL="114300" distR="114300" simplePos="0" relativeHeight="251659264" behindDoc="0" locked="0" layoutInCell="1" allowOverlap="1">
                <wp:simplePos x="0" y="0"/>
                <wp:positionH relativeFrom="column">
                  <wp:posOffset>-92710</wp:posOffset>
                </wp:positionH>
                <wp:positionV relativeFrom="paragraph">
                  <wp:posOffset>122555</wp:posOffset>
                </wp:positionV>
                <wp:extent cx="2971800" cy="1895475"/>
                <wp:effectExtent l="4445" t="4445" r="1460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1385A784"/>
                          <w:p w14:paraId="372E1C61"/>
                          <w:p w14:paraId="77C9D548"/>
                          <w:p w14:paraId="3BF08EF8"/>
                          <w:p w14:paraId="70971154">
                            <w:pPr>
                              <w:jc w:val="center"/>
                              <w:rPr>
                                <w:rFonts w:hint="eastAsia" w:ascii="仿宋" w:hAnsi="仿宋" w:eastAsia="仿宋"/>
                                <w:sz w:val="36"/>
                                <w:szCs w:val="36"/>
                              </w:rPr>
                            </w:pPr>
                            <w:r>
                              <w:rPr>
                                <w:rFonts w:hint="eastAsia" w:ascii="仿宋" w:hAnsi="仿宋" w:eastAsia="仿宋"/>
                                <w:sz w:val="36"/>
                                <w:szCs w:val="36"/>
                              </w:rPr>
                              <w:t>代理人身份证复印件</w:t>
                            </w:r>
                          </w:p>
                          <w:p w14:paraId="67F381B5">
                            <w:pPr>
                              <w:jc w:val="center"/>
                              <w:rPr>
                                <w:rFonts w:hint="eastAsia" w:ascii="仿宋" w:hAnsi="仿宋" w:eastAsia="仿宋"/>
                                <w:sz w:val="36"/>
                                <w:szCs w:val="36"/>
                              </w:rPr>
                            </w:pPr>
                            <w:r>
                              <w:rPr>
                                <w:rFonts w:hint="eastAsia" w:ascii="仿宋" w:hAnsi="仿宋" w:eastAsia="仿宋"/>
                                <w:sz w:val="36"/>
                                <w:szCs w:val="36"/>
                              </w:rPr>
                              <w:t>（正面）</w:t>
                            </w:r>
                          </w:p>
                          <w:p w14:paraId="66793962"/>
                          <w:p w14:paraId="56E6B4C2"/>
                          <w:p w14:paraId="4C00F19F"/>
                          <w:p w14:paraId="16B4BB79"/>
                          <w:p w14:paraId="5EA1B711"/>
                          <w:p w14:paraId="60497648"/>
                          <w:p w14:paraId="4CAC7A90">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9.65pt;height:149.25pt;width:234pt;z-index:251659264;mso-width-relative:page;mso-height-relative:page;" fillcolor="#FFFFFF" filled="t" stroked="t" coordsize="21600,21600" o:gfxdata="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Go3Mx2wAAAAoBAAAPAAAAAAAA&#10;AAEAIAAAACIAAABkcnMvZG93bnJldi54bWxQSwECFAAUAAAACACHTuJA+WSsp0gCAACWBAAADgAA&#10;AAAAAAABACAAAAAqAQAAZHJzL2Uyb0RvYy54bWxQSwUGAAAAAAYABgBZAQAA5AUAAAAA&#10;">
                <v:fill on="t" focussize="0,0"/>
                <v:stroke color="#000000" miterlimit="2" joinstyle="miter"/>
                <v:imagedata o:title=""/>
                <o:lock v:ext="edit" aspectratio="f"/>
                <v:textbox>
                  <w:txbxContent>
                    <w:p w14:paraId="1385A784"/>
                    <w:p w14:paraId="372E1C61"/>
                    <w:p w14:paraId="77C9D548"/>
                    <w:p w14:paraId="3BF08EF8"/>
                    <w:p w14:paraId="70971154">
                      <w:pPr>
                        <w:jc w:val="center"/>
                        <w:rPr>
                          <w:rFonts w:hint="eastAsia" w:ascii="仿宋" w:hAnsi="仿宋" w:eastAsia="仿宋"/>
                          <w:sz w:val="36"/>
                          <w:szCs w:val="36"/>
                        </w:rPr>
                      </w:pPr>
                      <w:r>
                        <w:rPr>
                          <w:rFonts w:hint="eastAsia" w:ascii="仿宋" w:hAnsi="仿宋" w:eastAsia="仿宋"/>
                          <w:sz w:val="36"/>
                          <w:szCs w:val="36"/>
                        </w:rPr>
                        <w:t>代理人身份证复印件</w:t>
                      </w:r>
                    </w:p>
                    <w:p w14:paraId="67F381B5">
                      <w:pPr>
                        <w:jc w:val="center"/>
                        <w:rPr>
                          <w:rFonts w:hint="eastAsia" w:ascii="仿宋" w:hAnsi="仿宋" w:eastAsia="仿宋"/>
                          <w:sz w:val="36"/>
                          <w:szCs w:val="36"/>
                        </w:rPr>
                      </w:pPr>
                      <w:r>
                        <w:rPr>
                          <w:rFonts w:hint="eastAsia" w:ascii="仿宋" w:hAnsi="仿宋" w:eastAsia="仿宋"/>
                          <w:sz w:val="36"/>
                          <w:szCs w:val="36"/>
                        </w:rPr>
                        <w:t>（正面）</w:t>
                      </w:r>
                    </w:p>
                    <w:p w14:paraId="66793962"/>
                    <w:p w14:paraId="56E6B4C2"/>
                    <w:p w14:paraId="4C00F19F"/>
                    <w:p w14:paraId="16B4BB79"/>
                    <w:p w14:paraId="5EA1B711"/>
                    <w:p w14:paraId="60497648"/>
                    <w:p w14:paraId="4CAC7A90">
                      <w:pPr>
                        <w:rPr>
                          <w:sz w:val="32"/>
                          <w:szCs w:val="32"/>
                        </w:rPr>
                      </w:pPr>
                    </w:p>
                  </w:txbxContent>
                </v:textbox>
              </v:shape>
            </w:pict>
          </mc:Fallback>
        </mc:AlternateContent>
      </w:r>
      <w:r>
        <w:rPr>
          <w:rFonts w:hint="eastAsia" w:asciiTheme="minorEastAsia" w:hAnsiTheme="minorEastAsia" w:eastAsiaTheme="minorEastAsia" w:cstheme="minorEastAsia"/>
          <w:bCs/>
          <w:sz w:val="24"/>
          <w:szCs w:val="24"/>
        </w:rPr>
        <mc:AlternateContent>
          <mc:Choice Requires="wps">
            <w:drawing>
              <wp:anchor distT="0" distB="0" distL="114300" distR="114300" simplePos="0" relativeHeight="251660288" behindDoc="0" locked="0" layoutInCell="1" allowOverlap="1">
                <wp:simplePos x="0" y="0"/>
                <wp:positionH relativeFrom="column">
                  <wp:posOffset>3107690</wp:posOffset>
                </wp:positionH>
                <wp:positionV relativeFrom="paragraph">
                  <wp:posOffset>122555</wp:posOffset>
                </wp:positionV>
                <wp:extent cx="2971800" cy="1895475"/>
                <wp:effectExtent l="4445" t="4445" r="1460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6C0B0253"/>
                          <w:p w14:paraId="3A1CA13E"/>
                          <w:p w14:paraId="499D3490"/>
                          <w:p w14:paraId="2816A342"/>
                          <w:p w14:paraId="124F687C">
                            <w:pPr>
                              <w:jc w:val="center"/>
                              <w:rPr>
                                <w:rFonts w:hint="eastAsia" w:ascii="仿宋" w:hAnsi="仿宋" w:eastAsia="仿宋"/>
                                <w:sz w:val="36"/>
                                <w:szCs w:val="36"/>
                              </w:rPr>
                            </w:pPr>
                            <w:r>
                              <w:rPr>
                                <w:rFonts w:hint="eastAsia" w:ascii="仿宋" w:hAnsi="仿宋" w:eastAsia="仿宋"/>
                                <w:sz w:val="36"/>
                                <w:szCs w:val="36"/>
                              </w:rPr>
                              <w:t>代理人身份证复印件</w:t>
                            </w:r>
                          </w:p>
                          <w:p w14:paraId="08BE66E9">
                            <w:pPr>
                              <w:jc w:val="center"/>
                              <w:rPr>
                                <w:rFonts w:hint="eastAsia" w:ascii="仿宋" w:hAnsi="仿宋" w:eastAsia="仿宋"/>
                                <w:sz w:val="36"/>
                                <w:szCs w:val="36"/>
                              </w:rPr>
                            </w:pPr>
                            <w:r>
                              <w:rPr>
                                <w:rFonts w:hint="eastAsia" w:ascii="仿宋" w:hAnsi="仿宋" w:eastAsia="仿宋"/>
                                <w:sz w:val="36"/>
                                <w:szCs w:val="36"/>
                              </w:rPr>
                              <w:t>（背面）</w:t>
                            </w:r>
                          </w:p>
                          <w:p w14:paraId="499D93D3"/>
                          <w:p w14:paraId="0FB112EA"/>
                          <w:p w14:paraId="6F29B050"/>
                          <w:p w14:paraId="68DEB9BD"/>
                          <w:p w14:paraId="2B5ECCBE"/>
                          <w:p w14:paraId="2D165F9C"/>
                          <w:p w14:paraId="5D5BA371">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9.65pt;height:149.25pt;width:234pt;z-index:251660288;mso-width-relative:page;mso-height-relative:page;" fillcolor="#FFFFFF" filled="t" stroked="t" coordsize="21600,21600" o:gfxdata="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nqNdZ2wAAAAoBAAAPAAAAAAAA&#10;AAEAIAAAACIAAABkcnMvZG93bnJldi54bWxQSwECFAAUAAAACACHTuJAGX3160gCAACWBAAADgAA&#10;AAAAAAABACAAAAAqAQAAZHJzL2Uyb0RvYy54bWxQSwUGAAAAAAYABgBZAQAA5AUAAAAA&#10;">
                <v:fill on="t" focussize="0,0"/>
                <v:stroke color="#000000" miterlimit="2" joinstyle="miter"/>
                <v:imagedata o:title=""/>
                <o:lock v:ext="edit" aspectratio="f"/>
                <v:textbox>
                  <w:txbxContent>
                    <w:p w14:paraId="6C0B0253"/>
                    <w:p w14:paraId="3A1CA13E"/>
                    <w:p w14:paraId="499D3490"/>
                    <w:p w14:paraId="2816A342"/>
                    <w:p w14:paraId="124F687C">
                      <w:pPr>
                        <w:jc w:val="center"/>
                        <w:rPr>
                          <w:rFonts w:hint="eastAsia" w:ascii="仿宋" w:hAnsi="仿宋" w:eastAsia="仿宋"/>
                          <w:sz w:val="36"/>
                          <w:szCs w:val="36"/>
                        </w:rPr>
                      </w:pPr>
                      <w:r>
                        <w:rPr>
                          <w:rFonts w:hint="eastAsia" w:ascii="仿宋" w:hAnsi="仿宋" w:eastAsia="仿宋"/>
                          <w:sz w:val="36"/>
                          <w:szCs w:val="36"/>
                        </w:rPr>
                        <w:t>代理人身份证复印件</w:t>
                      </w:r>
                    </w:p>
                    <w:p w14:paraId="08BE66E9">
                      <w:pPr>
                        <w:jc w:val="center"/>
                        <w:rPr>
                          <w:rFonts w:hint="eastAsia" w:ascii="仿宋" w:hAnsi="仿宋" w:eastAsia="仿宋"/>
                          <w:sz w:val="36"/>
                          <w:szCs w:val="36"/>
                        </w:rPr>
                      </w:pPr>
                      <w:r>
                        <w:rPr>
                          <w:rFonts w:hint="eastAsia" w:ascii="仿宋" w:hAnsi="仿宋" w:eastAsia="仿宋"/>
                          <w:sz w:val="36"/>
                          <w:szCs w:val="36"/>
                        </w:rPr>
                        <w:t>（背面）</w:t>
                      </w:r>
                    </w:p>
                    <w:p w14:paraId="499D93D3"/>
                    <w:p w14:paraId="0FB112EA"/>
                    <w:p w14:paraId="6F29B050"/>
                    <w:p w14:paraId="68DEB9BD"/>
                    <w:p w14:paraId="2B5ECCBE"/>
                    <w:p w14:paraId="2D165F9C"/>
                    <w:p w14:paraId="5D5BA371">
                      <w:pPr>
                        <w:rPr>
                          <w:sz w:val="32"/>
                          <w:szCs w:val="32"/>
                        </w:rPr>
                      </w:pPr>
                    </w:p>
                  </w:txbxContent>
                </v:textbox>
              </v:shape>
            </w:pict>
          </mc:Fallback>
        </mc:AlternateContent>
      </w:r>
    </w:p>
    <w:p w14:paraId="362C806B">
      <w:pPr>
        <w:spacing w:line="360" w:lineRule="exact"/>
        <w:rPr>
          <w:rFonts w:hint="eastAsia" w:asciiTheme="minorEastAsia" w:hAnsiTheme="minorEastAsia" w:eastAsiaTheme="minorEastAsia" w:cstheme="minorEastAsia"/>
          <w:bCs/>
          <w:sz w:val="24"/>
          <w:szCs w:val="24"/>
        </w:rPr>
      </w:pPr>
    </w:p>
    <w:p w14:paraId="3B35CC87">
      <w:pPr>
        <w:spacing w:line="360" w:lineRule="exact"/>
        <w:rPr>
          <w:rFonts w:hint="eastAsia" w:asciiTheme="minorEastAsia" w:hAnsiTheme="minorEastAsia" w:eastAsiaTheme="minorEastAsia" w:cstheme="minorEastAsia"/>
          <w:bCs/>
          <w:sz w:val="24"/>
          <w:szCs w:val="24"/>
        </w:rPr>
      </w:pPr>
    </w:p>
    <w:p w14:paraId="391989EF">
      <w:pPr>
        <w:spacing w:line="360" w:lineRule="exact"/>
        <w:rPr>
          <w:rFonts w:hint="eastAsia" w:asciiTheme="minorEastAsia" w:hAnsiTheme="minorEastAsia" w:eastAsiaTheme="minorEastAsia" w:cstheme="minorEastAsia"/>
          <w:bCs/>
          <w:sz w:val="24"/>
          <w:szCs w:val="24"/>
        </w:rPr>
      </w:pPr>
    </w:p>
    <w:p w14:paraId="2B5115BA">
      <w:pPr>
        <w:spacing w:line="360" w:lineRule="exact"/>
        <w:rPr>
          <w:rFonts w:hint="eastAsia" w:asciiTheme="minorEastAsia" w:hAnsiTheme="minorEastAsia" w:eastAsiaTheme="minorEastAsia" w:cstheme="minorEastAsia"/>
          <w:bCs/>
          <w:sz w:val="24"/>
          <w:szCs w:val="24"/>
        </w:rPr>
      </w:pPr>
    </w:p>
    <w:p w14:paraId="08D8E5DB">
      <w:pPr>
        <w:spacing w:line="360" w:lineRule="exact"/>
        <w:rPr>
          <w:rFonts w:hint="eastAsia" w:asciiTheme="minorEastAsia" w:hAnsiTheme="minorEastAsia" w:eastAsiaTheme="minorEastAsia" w:cstheme="minorEastAsia"/>
          <w:bCs/>
          <w:sz w:val="24"/>
          <w:szCs w:val="24"/>
        </w:rPr>
      </w:pPr>
    </w:p>
    <w:p w14:paraId="0388ABA0">
      <w:pPr>
        <w:spacing w:line="360" w:lineRule="exact"/>
        <w:rPr>
          <w:rFonts w:hint="eastAsia" w:asciiTheme="minorEastAsia" w:hAnsiTheme="minorEastAsia" w:eastAsiaTheme="minorEastAsia" w:cstheme="minorEastAsia"/>
          <w:bCs/>
          <w:sz w:val="24"/>
          <w:szCs w:val="24"/>
        </w:rPr>
      </w:pPr>
    </w:p>
    <w:p w14:paraId="6E71BBA0">
      <w:pPr>
        <w:pStyle w:val="101"/>
        <w:snapToGrid w:val="0"/>
        <w:spacing w:line="360" w:lineRule="exact"/>
        <w:rPr>
          <w:rFonts w:hint="eastAsia" w:asciiTheme="minorEastAsia" w:hAnsiTheme="minorEastAsia" w:eastAsiaTheme="minorEastAsia" w:cstheme="minorEastAsia"/>
          <w:color w:val="auto"/>
          <w:sz w:val="24"/>
        </w:rPr>
      </w:pPr>
    </w:p>
    <w:p w14:paraId="2A2FA339">
      <w:pPr>
        <w:pStyle w:val="101"/>
        <w:snapToGrid w:val="0"/>
        <w:spacing w:line="360" w:lineRule="exact"/>
        <w:rPr>
          <w:rFonts w:hint="eastAsia" w:asciiTheme="minorEastAsia" w:hAnsiTheme="minorEastAsia" w:eastAsiaTheme="minorEastAsia" w:cstheme="minorEastAsia"/>
          <w:color w:val="auto"/>
          <w:sz w:val="24"/>
        </w:rPr>
      </w:pPr>
    </w:p>
    <w:p w14:paraId="7B191D56">
      <w:pPr>
        <w:pStyle w:val="101"/>
        <w:snapToGrid w:val="0"/>
        <w:spacing w:line="500" w:lineRule="exact"/>
        <w:rPr>
          <w:rFonts w:hint="eastAsia" w:asciiTheme="minorEastAsia" w:hAnsiTheme="minorEastAsia" w:eastAsiaTheme="minorEastAsia" w:cstheme="minorEastAsia"/>
          <w:color w:val="auto"/>
          <w:sz w:val="24"/>
        </w:rPr>
      </w:pPr>
    </w:p>
    <w:p w14:paraId="1C2CE6CE">
      <w:pPr>
        <w:pStyle w:val="101"/>
        <w:snapToGrid w:val="0"/>
        <w:spacing w:line="50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供应商（盖公章）：</w:t>
      </w:r>
    </w:p>
    <w:p w14:paraId="1582A3E7">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法定代表人（签字或盖章）：</w:t>
      </w:r>
    </w:p>
    <w:p w14:paraId="14783707">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被授权代理人（签字或盖章）：</w:t>
      </w:r>
    </w:p>
    <w:p w14:paraId="245BF1A5">
      <w:pPr>
        <w:adjustRightInd w:val="0"/>
        <w:snapToGrid w:val="0"/>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14:paraId="6734B4ED">
      <w:pPr>
        <w:widowControl/>
        <w:jc w:val="left"/>
        <w:rPr>
          <w:rFonts w:hint="eastAsia" w:asciiTheme="minorEastAsia" w:hAnsiTheme="minorEastAsia" w:eastAsiaTheme="minorEastAsia" w:cstheme="minorEastAsia"/>
          <w:sz w:val="24"/>
          <w:szCs w:val="24"/>
        </w:rPr>
      </w:pPr>
    </w:p>
    <w:p w14:paraId="1C902C00">
      <w:pPr>
        <w:widowControl/>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bookmarkStart w:id="127" w:name="_Toc11414"/>
      <w:bookmarkStart w:id="128" w:name="_Toc14769"/>
      <w:r>
        <w:rPr>
          <w:rFonts w:hint="eastAsia" w:asciiTheme="minorEastAsia" w:hAnsiTheme="minorEastAsia" w:eastAsiaTheme="minorEastAsia" w:cstheme="minorEastAsia"/>
          <w:b/>
          <w:bCs/>
          <w:sz w:val="24"/>
          <w:szCs w:val="24"/>
        </w:rPr>
        <w:t>附件</w:t>
      </w:r>
      <w:bookmarkEnd w:id="127"/>
      <w:bookmarkEnd w:id="128"/>
      <w:r>
        <w:rPr>
          <w:rFonts w:hint="eastAsia" w:asciiTheme="minorEastAsia" w:hAnsiTheme="minorEastAsia" w:eastAsiaTheme="minorEastAsia" w:cstheme="minorEastAsia"/>
          <w:b/>
          <w:bCs/>
          <w:sz w:val="24"/>
          <w:szCs w:val="24"/>
        </w:rPr>
        <w:t>6</w:t>
      </w:r>
    </w:p>
    <w:p w14:paraId="7A054E2E">
      <w:pPr>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关于《中华人民共和国政府采购法》第二十二条的承诺书</w:t>
      </w:r>
    </w:p>
    <w:p w14:paraId="3A7433B1">
      <w:pPr>
        <w:spacing w:line="500" w:lineRule="exact"/>
        <w:ind w:firstLine="453" w:firstLineChars="189"/>
        <w:rPr>
          <w:rFonts w:hint="eastAsia" w:asciiTheme="minorEastAsia" w:hAnsiTheme="minorEastAsia" w:eastAsiaTheme="minorEastAsia" w:cstheme="minorEastAsia"/>
          <w:bCs/>
          <w:sz w:val="24"/>
          <w:szCs w:val="24"/>
        </w:rPr>
      </w:pPr>
    </w:p>
    <w:p w14:paraId="1209108C">
      <w:pPr>
        <w:spacing w:line="500" w:lineRule="exact"/>
        <w:ind w:firstLine="453" w:firstLineChars="18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致：</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（采购人）</w:t>
      </w:r>
    </w:p>
    <w:p w14:paraId="263E00D8">
      <w:pPr>
        <w:spacing w:line="500" w:lineRule="exact"/>
        <w:ind w:firstLine="453" w:firstLineChars="18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我公司</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参加贵方组织的</w:t>
      </w:r>
      <w:r>
        <w:rPr>
          <w:rFonts w:hint="eastAsia" w:asciiTheme="minorEastAsia" w:hAnsiTheme="minorEastAsia" w:eastAsiaTheme="minorEastAsia" w:cstheme="minorEastAsia"/>
          <w:bCs/>
          <w:sz w:val="24"/>
          <w:szCs w:val="24"/>
          <w:u w:val="single"/>
        </w:rPr>
        <w:t>项目名称：      （项目编号：       ）</w:t>
      </w:r>
      <w:r>
        <w:rPr>
          <w:rFonts w:hint="eastAsia" w:asciiTheme="minorEastAsia" w:hAnsiTheme="minorEastAsia" w:eastAsiaTheme="minorEastAsia" w:cstheme="minorEastAsia"/>
          <w:bCs/>
          <w:sz w:val="24"/>
          <w:szCs w:val="24"/>
        </w:rPr>
        <w:t>的投标活动，为便于贵方公正、择优的确定中标人，我方就本次投标有关事项声明如下：</w:t>
      </w:r>
    </w:p>
    <w:p w14:paraId="3F6C5575">
      <w:pPr>
        <w:spacing w:line="500" w:lineRule="exact"/>
        <w:ind w:firstLine="453" w:firstLineChars="18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（1）具有独立承担民事责任的能力；</w:t>
      </w:r>
    </w:p>
    <w:p w14:paraId="432A9820">
      <w:pPr>
        <w:spacing w:line="500" w:lineRule="exact"/>
        <w:ind w:firstLine="453" w:firstLineChars="18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（2）具有良好的商业信誉和健全的财务会计制度；</w:t>
      </w:r>
    </w:p>
    <w:p w14:paraId="24B4EE2A">
      <w:pPr>
        <w:spacing w:line="500" w:lineRule="exact"/>
        <w:ind w:firstLine="453" w:firstLineChars="18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（3）具有履行合同所必需的设备和专业技术能力；</w:t>
      </w:r>
    </w:p>
    <w:p w14:paraId="0904AB20">
      <w:pPr>
        <w:spacing w:line="500" w:lineRule="exact"/>
        <w:ind w:firstLine="453" w:firstLineChars="18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（4）有依法缴纳税收和社会保障资金的良好记录；</w:t>
      </w:r>
    </w:p>
    <w:p w14:paraId="4D40AAF4">
      <w:pPr>
        <w:spacing w:line="500" w:lineRule="exact"/>
        <w:ind w:firstLine="453" w:firstLineChars="18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（5）参加政府采购活动前三年内，在经营活动中没有重大违法记录；</w:t>
      </w:r>
    </w:p>
    <w:p w14:paraId="44E34BE7">
      <w:pPr>
        <w:spacing w:line="500" w:lineRule="exact"/>
        <w:ind w:firstLine="453" w:firstLineChars="18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（6）法律、行政法规规定的其他条件。</w:t>
      </w:r>
    </w:p>
    <w:p w14:paraId="76FA769C">
      <w:pPr>
        <w:spacing w:line="500" w:lineRule="exact"/>
        <w:ind w:firstLine="453" w:firstLineChars="18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我公司已完全了解本磋商文件中规定的技术要求和商务条款。如违反以上承诺，本公司愿承担一切法律责任。</w:t>
      </w:r>
    </w:p>
    <w:p w14:paraId="27743DDB">
      <w:pPr>
        <w:spacing w:line="500" w:lineRule="exact"/>
        <w:ind w:firstLine="453" w:firstLineChars="18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特此承诺。</w:t>
      </w:r>
    </w:p>
    <w:p w14:paraId="6A3811A4">
      <w:pPr>
        <w:spacing w:line="500" w:lineRule="exact"/>
        <w:ind w:firstLine="3120" w:firstLineChars="1300"/>
        <w:jc w:val="left"/>
        <w:rPr>
          <w:rFonts w:hint="eastAsia" w:asciiTheme="minorEastAsia" w:hAnsiTheme="minorEastAsia" w:eastAsiaTheme="minorEastAsia" w:cstheme="minorEastAsia"/>
          <w:sz w:val="24"/>
          <w:szCs w:val="24"/>
        </w:rPr>
      </w:pPr>
    </w:p>
    <w:p w14:paraId="7BE32CEA">
      <w:pPr>
        <w:spacing w:line="480" w:lineRule="auto"/>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承诺人（公章）：</w:t>
      </w:r>
      <w:r>
        <w:rPr>
          <w:rFonts w:hint="eastAsia" w:asciiTheme="minorEastAsia" w:hAnsiTheme="minorEastAsia" w:eastAsiaTheme="minorEastAsia" w:cstheme="minorEastAsia"/>
          <w:sz w:val="24"/>
          <w:szCs w:val="24"/>
          <w:u w:val="single"/>
        </w:rPr>
        <w:t xml:space="preserve">     （供应商全称）  </w:t>
      </w:r>
    </w:p>
    <w:p w14:paraId="0C2F2668">
      <w:pPr>
        <w:spacing w:line="48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14:paraId="488521EB">
      <w:pPr>
        <w:spacing w:line="480" w:lineRule="auto"/>
        <w:jc w:val="left"/>
        <w:rPr>
          <w:rFonts w:hint="eastAsia" w:ascii="宋体" w:hAnsi="宋体" w:eastAsiaTheme="minorEastAsia"/>
          <w:bCs/>
          <w:sz w:val="24"/>
        </w:rPr>
      </w:pPr>
      <w:r>
        <w:rPr>
          <w:rFonts w:hint="eastAsia" w:asciiTheme="minorEastAsia" w:hAnsiTheme="minorEastAsia" w:eastAsiaTheme="minorEastAsia" w:cstheme="minorEastAsia"/>
          <w:sz w:val="24"/>
        </w:rPr>
        <w:br w:type="page"/>
      </w:r>
      <w:bookmarkStart w:id="129" w:name="_Toc30189"/>
      <w:bookmarkStart w:id="130" w:name="_Toc5047"/>
      <w:r>
        <w:rPr>
          <w:rFonts w:hint="eastAsia" w:asciiTheme="minorEastAsia" w:hAnsiTheme="minorEastAsia" w:eastAsiaTheme="minorEastAsia" w:cstheme="minorEastAsia"/>
          <w:bCs/>
          <w:sz w:val="24"/>
        </w:rPr>
        <w:t>附件</w:t>
      </w:r>
      <w:bookmarkEnd w:id="129"/>
      <w:bookmarkEnd w:id="130"/>
      <w:r>
        <w:rPr>
          <w:rFonts w:hint="eastAsia" w:asciiTheme="minorEastAsia" w:hAnsiTheme="minorEastAsia" w:eastAsiaTheme="minorEastAsia" w:cstheme="minorEastAsia"/>
          <w:bCs/>
          <w:sz w:val="24"/>
        </w:rPr>
        <w:t>7</w:t>
      </w:r>
    </w:p>
    <w:p w14:paraId="1CF5B45D">
      <w:pPr>
        <w:pStyle w:val="110"/>
        <w:widowControl w:val="0"/>
        <w:jc w:val="center"/>
        <w:outlineLvl w:val="2"/>
        <w:rPr>
          <w:rFonts w:hint="eastAsia" w:ascii="宋体" w:hAnsi="宋体" w:eastAsia="宋体" w:cs="宋体"/>
          <w:kern w:val="2"/>
        </w:rPr>
      </w:pPr>
      <w:r>
        <w:rPr>
          <w:rFonts w:hint="eastAsia" w:ascii="宋体" w:hAnsi="宋体" w:eastAsia="宋体"/>
          <w:bCs/>
          <w:kern w:val="2"/>
          <w:sz w:val="24"/>
        </w:rPr>
        <w:t>廉洁投标承诺书</w:t>
      </w:r>
    </w:p>
    <w:p w14:paraId="414D832D">
      <w:pPr>
        <w:spacing w:line="560" w:lineRule="exact"/>
        <w:rPr>
          <w:rFonts w:hint="eastAsia" w:ascii="宋体" w:hAnsi="宋体" w:cs="宋体"/>
          <w:sz w:val="24"/>
          <w:szCs w:val="24"/>
        </w:rPr>
      </w:pPr>
      <w:r>
        <w:rPr>
          <w:rFonts w:hint="eastAsia" w:ascii="宋体" w:hAnsi="宋体" w:cs="宋体"/>
          <w:sz w:val="24"/>
          <w:szCs w:val="24"/>
        </w:rPr>
        <w:t>致新疆科技学院：</w:t>
      </w:r>
    </w:p>
    <w:p w14:paraId="1A23A703">
      <w:pPr>
        <w:spacing w:line="560" w:lineRule="exact"/>
        <w:ind w:firstLine="480" w:firstLineChars="200"/>
        <w:rPr>
          <w:rFonts w:hint="eastAsia" w:ascii="宋体" w:hAnsi="宋体" w:cs="宋体"/>
          <w:sz w:val="24"/>
          <w:szCs w:val="24"/>
        </w:rPr>
      </w:pPr>
      <w:r>
        <w:rPr>
          <w:rFonts w:hint="eastAsia" w:ascii="宋体" w:hAnsi="宋体" w:cs="宋体"/>
          <w:sz w:val="24"/>
          <w:szCs w:val="24"/>
        </w:rPr>
        <w:t>根据《新疆科技学院关于对招投标实行廉洁承诺及合同备案管理制度的规定》，我单位在贵校</w:t>
      </w:r>
      <w:r>
        <w:rPr>
          <w:rFonts w:hint="eastAsia" w:ascii="宋体" w:hAnsi="宋体" w:cs="宋体"/>
          <w:sz w:val="24"/>
          <w:szCs w:val="24"/>
          <w:u w:val="single"/>
        </w:rPr>
        <w:t xml:space="preserve">                              </w:t>
      </w:r>
      <w:r>
        <w:rPr>
          <w:rFonts w:hint="eastAsia" w:ascii="宋体" w:hAnsi="宋体" w:cs="宋体"/>
          <w:sz w:val="24"/>
          <w:szCs w:val="24"/>
        </w:rPr>
        <w:t>项目投标过程中，郑重申明并承诺：</w:t>
      </w:r>
    </w:p>
    <w:p w14:paraId="2A404524">
      <w:pPr>
        <w:spacing w:line="560" w:lineRule="exact"/>
        <w:ind w:firstLine="480" w:firstLineChars="200"/>
        <w:rPr>
          <w:rFonts w:hint="eastAsia" w:ascii="宋体" w:hAnsi="宋体" w:cs="宋体"/>
          <w:sz w:val="24"/>
          <w:szCs w:val="24"/>
        </w:rPr>
      </w:pPr>
      <w:r>
        <w:rPr>
          <w:rFonts w:hint="eastAsia" w:ascii="宋体" w:hAnsi="宋体" w:cs="宋体"/>
          <w:sz w:val="24"/>
          <w:szCs w:val="24"/>
        </w:rPr>
        <w:t>严格遵守《</w:t>
      </w:r>
      <w:r>
        <w:rPr>
          <w:rFonts w:hint="eastAsia" w:ascii="宋体" w:hAnsi="宋体" w:cs="宋体"/>
          <w:sz w:val="24"/>
          <w:szCs w:val="24"/>
          <w:lang w:eastAsia="zh-CN"/>
        </w:rPr>
        <w:t>中华人民共和国招标投标法</w:t>
      </w:r>
      <w:r>
        <w:rPr>
          <w:rFonts w:hint="eastAsia" w:ascii="宋体" w:hAnsi="宋体" w:cs="宋体"/>
          <w:sz w:val="24"/>
          <w:szCs w:val="24"/>
        </w:rPr>
        <w:t>》及配套法规规章和《关于严格执行招标投标法规制度进一步规范招标投标主体行为的若干意见》等国家关于市场准入、招标投标、工程建设、施工安装、物资采购和市场活动等有关法律、法规和相关政策，以及廉政建设的各项规定，坚持公平公正、诚实守信原则进行投标。</w:t>
      </w:r>
    </w:p>
    <w:p w14:paraId="09F5DA94">
      <w:pPr>
        <w:spacing w:line="560" w:lineRule="exact"/>
        <w:ind w:firstLine="480" w:firstLineChars="200"/>
        <w:rPr>
          <w:rFonts w:hint="eastAsia" w:ascii="宋体" w:hAnsi="宋体" w:cs="宋体"/>
          <w:sz w:val="24"/>
          <w:szCs w:val="24"/>
        </w:rPr>
      </w:pPr>
      <w:r>
        <w:rPr>
          <w:rFonts w:hint="eastAsia" w:ascii="宋体" w:hAnsi="宋体" w:cs="宋体"/>
          <w:sz w:val="24"/>
          <w:szCs w:val="24"/>
        </w:rPr>
        <w:t>1. 严格遵守有关法律法规和行业标准规范，依法诚信参加投标，自觉维护公平竞争秩序。</w:t>
      </w:r>
    </w:p>
    <w:p w14:paraId="5F0E637C">
      <w:pPr>
        <w:spacing w:line="560" w:lineRule="exact"/>
        <w:ind w:firstLine="480" w:firstLineChars="200"/>
        <w:rPr>
          <w:rFonts w:hint="eastAsia" w:ascii="宋体" w:hAnsi="宋体" w:cs="宋体"/>
          <w:sz w:val="24"/>
          <w:szCs w:val="24"/>
        </w:rPr>
      </w:pPr>
      <w:r>
        <w:rPr>
          <w:rFonts w:hint="eastAsia" w:ascii="宋体" w:hAnsi="宋体" w:cs="宋体"/>
          <w:sz w:val="24"/>
          <w:szCs w:val="24"/>
        </w:rPr>
        <w:t>2. 不得通过受让、租借或者挂靠资质投标；不得伪造、变造资质、资格证书或者其他许可证件，提供虚假业绩、奖项、项目负责人等材料，或者以其他方式弄虚作假投标；不得与招标人、招标代理机构或其他投标人串通投标；不得与评标委员会成员私下接触，或向招标人、招标代理机构、交易平台运行服务机构、评标委员会成员、行政监督部门人员等行贿谋取中标；不得恶意提出异议、投诉或者举报，干扰正常招标投标活动。</w:t>
      </w:r>
    </w:p>
    <w:p w14:paraId="014119F3">
      <w:pPr>
        <w:spacing w:line="560" w:lineRule="exact"/>
        <w:ind w:firstLine="480" w:firstLineChars="200"/>
        <w:rPr>
          <w:rFonts w:hint="eastAsia" w:ascii="宋体" w:hAnsi="宋体" w:cs="宋体"/>
          <w:sz w:val="24"/>
          <w:szCs w:val="24"/>
        </w:rPr>
      </w:pPr>
      <w:r>
        <w:rPr>
          <w:rFonts w:hint="eastAsia" w:ascii="宋体" w:hAnsi="宋体" w:cs="宋体"/>
          <w:sz w:val="24"/>
          <w:szCs w:val="24"/>
        </w:rPr>
        <w:t>3. 中标人不得无正当理由不与招标人订立合同，在签订合同时向招标人提出附加条件，不按照</w:t>
      </w:r>
      <w:r>
        <w:rPr>
          <w:rFonts w:hint="eastAsia" w:ascii="宋体" w:hAnsi="宋体" w:cs="宋体"/>
          <w:sz w:val="24"/>
          <w:szCs w:val="24"/>
          <w:lang w:eastAsia="zh-CN"/>
        </w:rPr>
        <w:t>磋商文件</w:t>
      </w:r>
      <w:r>
        <w:rPr>
          <w:rFonts w:hint="eastAsia" w:ascii="宋体" w:hAnsi="宋体" w:cs="宋体"/>
          <w:sz w:val="24"/>
          <w:szCs w:val="24"/>
        </w:rPr>
        <w:t>要求提交履约保证金或履约保函，或者将中标项目转包、违法分包。</w:t>
      </w:r>
    </w:p>
    <w:p w14:paraId="7C1CACAA">
      <w:pPr>
        <w:spacing w:line="560" w:lineRule="exact"/>
        <w:ind w:firstLine="480" w:firstLineChars="200"/>
        <w:rPr>
          <w:rFonts w:hint="eastAsia" w:ascii="宋体" w:hAnsi="宋体" w:cs="宋体"/>
          <w:sz w:val="24"/>
          <w:szCs w:val="24"/>
        </w:rPr>
      </w:pPr>
      <w:r>
        <w:rPr>
          <w:rFonts w:hint="eastAsia" w:ascii="宋体" w:hAnsi="宋体" w:cs="宋体"/>
          <w:sz w:val="24"/>
          <w:szCs w:val="24"/>
        </w:rPr>
        <w:t>4. 对学校招标人发生违规违纪违法行为的，及时向学校纪检监察机构反映，同时积极配合支持有关部门履行职责（受理单位：中共新疆科技学院纪律检查委员会，举报电话：</w:t>
      </w:r>
      <w:r>
        <w:rPr>
          <w:rFonts w:hint="eastAsia" w:ascii="宋体" w:hAnsi="宋体" w:cs="宋体"/>
          <w:sz w:val="24"/>
          <w:szCs w:val="24"/>
          <w:lang w:eastAsia="zh-CN"/>
        </w:rPr>
        <w:t>0996-8612388</w:t>
      </w:r>
      <w:r>
        <w:rPr>
          <w:rFonts w:hint="eastAsia" w:ascii="宋体" w:hAnsi="宋体" w:cs="宋体"/>
          <w:sz w:val="24"/>
          <w:szCs w:val="24"/>
        </w:rPr>
        <w:t>）。</w:t>
      </w:r>
    </w:p>
    <w:p w14:paraId="1C5D1716">
      <w:pPr>
        <w:spacing w:line="560" w:lineRule="exact"/>
        <w:ind w:firstLine="480" w:firstLineChars="200"/>
        <w:rPr>
          <w:rFonts w:hint="eastAsia" w:ascii="宋体" w:hAnsi="宋体" w:cs="宋体"/>
          <w:sz w:val="24"/>
          <w:szCs w:val="24"/>
        </w:rPr>
      </w:pPr>
      <w:r>
        <w:rPr>
          <w:rFonts w:hint="eastAsia" w:ascii="宋体" w:hAnsi="宋体" w:cs="宋体"/>
          <w:sz w:val="24"/>
          <w:szCs w:val="24"/>
        </w:rPr>
        <w:t>5. 违反以上承诺，学校有权取消我单位投标资格或终止合同，由此引起的一切后果由我方承担。</w:t>
      </w:r>
    </w:p>
    <w:p w14:paraId="7622759A">
      <w:pPr>
        <w:spacing w:line="560" w:lineRule="exact"/>
        <w:ind w:firstLine="480" w:firstLineChars="200"/>
        <w:rPr>
          <w:rFonts w:hint="eastAsia" w:ascii="宋体" w:hAnsi="宋体" w:cs="宋体"/>
          <w:sz w:val="24"/>
          <w:szCs w:val="24"/>
        </w:rPr>
      </w:pPr>
    </w:p>
    <w:p w14:paraId="20EA9DC2">
      <w:pPr>
        <w:spacing w:line="560" w:lineRule="exact"/>
        <w:ind w:firstLine="3600" w:firstLineChars="1500"/>
        <w:rPr>
          <w:rFonts w:hint="eastAsia" w:ascii="宋体" w:hAnsi="宋体" w:cs="宋体"/>
          <w:sz w:val="24"/>
          <w:szCs w:val="24"/>
        </w:rPr>
      </w:pPr>
      <w:r>
        <w:rPr>
          <w:rFonts w:hint="eastAsia" w:ascii="宋体" w:hAnsi="宋体" w:cs="宋体"/>
          <w:sz w:val="24"/>
          <w:szCs w:val="24"/>
        </w:rPr>
        <w:t>投标单位（盖单位公章）：</w:t>
      </w:r>
      <w:r>
        <w:rPr>
          <w:rFonts w:hint="eastAsia" w:ascii="宋体" w:hAnsi="宋体" w:cs="宋体"/>
          <w:sz w:val="24"/>
          <w:szCs w:val="24"/>
          <w:u w:val="single"/>
        </w:rPr>
        <w:t xml:space="preserve">                 </w:t>
      </w:r>
    </w:p>
    <w:p w14:paraId="55F25C59">
      <w:pPr>
        <w:spacing w:line="560" w:lineRule="exact"/>
        <w:ind w:firstLine="3600" w:firstLineChars="1500"/>
        <w:rPr>
          <w:rFonts w:hint="eastAsia" w:ascii="宋体" w:hAnsi="宋体" w:cs="宋体"/>
          <w:sz w:val="24"/>
          <w:szCs w:val="24"/>
        </w:rPr>
      </w:pPr>
      <w:r>
        <w:rPr>
          <w:rFonts w:hint="eastAsia" w:ascii="宋体" w:hAnsi="宋体" w:cs="宋体"/>
          <w:sz w:val="24"/>
          <w:szCs w:val="24"/>
        </w:rPr>
        <w:t>法定代表人或授权代理人</w:t>
      </w:r>
    </w:p>
    <w:p w14:paraId="2740A545">
      <w:pPr>
        <w:spacing w:line="560" w:lineRule="exact"/>
        <w:ind w:firstLine="480" w:firstLineChars="200"/>
        <w:rPr>
          <w:rFonts w:hint="eastAsia" w:ascii="宋体" w:hAnsi="宋体" w:cs="宋体"/>
          <w:sz w:val="24"/>
          <w:szCs w:val="24"/>
          <w:u w:val="single"/>
        </w:rPr>
      </w:pPr>
      <w:r>
        <w:rPr>
          <w:rFonts w:hint="eastAsia" w:ascii="宋体" w:hAnsi="宋体" w:cs="宋体"/>
          <w:sz w:val="24"/>
          <w:szCs w:val="24"/>
        </w:rPr>
        <w:t xml:space="preserve">                         （签  字  或  印  章）：</w:t>
      </w:r>
      <w:r>
        <w:rPr>
          <w:rFonts w:hint="eastAsia" w:ascii="宋体" w:hAnsi="宋体" w:cs="宋体"/>
          <w:sz w:val="24"/>
          <w:szCs w:val="24"/>
          <w:u w:val="single"/>
        </w:rPr>
        <w:t xml:space="preserve">                 </w:t>
      </w:r>
    </w:p>
    <w:p w14:paraId="3BC819D3">
      <w:pPr>
        <w:widowControl/>
        <w:jc w:val="left"/>
        <w:outlineLvl w:val="0"/>
        <w:rPr>
          <w:rFonts w:hint="eastAsia" w:asciiTheme="minorEastAsia" w:hAnsiTheme="minorEastAsia" w:eastAsiaTheme="minorEastAsia" w:cstheme="minorEastAsia"/>
          <w:sz w:val="24"/>
          <w:szCs w:val="24"/>
        </w:rPr>
      </w:pPr>
      <w:r>
        <w:rPr>
          <w:rFonts w:hint="eastAsia" w:ascii="宋体" w:hAnsi="宋体" w:cs="宋体"/>
          <w:sz w:val="24"/>
          <w:szCs w:val="24"/>
        </w:rPr>
        <w:t xml:space="preserve">                                    时  间：</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19AF26D6">
      <w:pPr>
        <w:pStyle w:val="110"/>
        <w:pageBreakBefore/>
        <w:widowControl w:val="0"/>
        <w:outlineLvl w:val="2"/>
        <w:rPr>
          <w:rFonts w:hint="eastAsia" w:ascii="宋体" w:hAnsi="宋体"/>
          <w:bCs/>
          <w:sz w:val="24"/>
        </w:rPr>
      </w:pPr>
      <w:r>
        <w:rPr>
          <w:rFonts w:hint="eastAsia" w:ascii="宋体" w:hAnsi="宋体"/>
          <w:bCs/>
          <w:sz w:val="24"/>
        </w:rPr>
        <w:t>附件8</w:t>
      </w:r>
    </w:p>
    <w:p w14:paraId="50E5E919">
      <w:pPr>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供应商的资格声明</w:t>
      </w:r>
    </w:p>
    <w:p w14:paraId="10C64901">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（采购人）</w:t>
      </w:r>
      <w:r>
        <w:rPr>
          <w:rFonts w:hint="eastAsia" w:asciiTheme="minorEastAsia" w:hAnsiTheme="minorEastAsia" w:eastAsiaTheme="minorEastAsia" w:cstheme="minorEastAsia"/>
          <w:sz w:val="24"/>
          <w:szCs w:val="24"/>
        </w:rPr>
        <w:t>：</w:t>
      </w:r>
    </w:p>
    <w:p w14:paraId="629B511F">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关于贵方发出的采购文件，本供应商愿意参加投标，并证明资格文件中和所要求的说明是真实和准确无误的。</w:t>
      </w:r>
    </w:p>
    <w:p w14:paraId="5E0158E2">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本供应商对可能要求的进一步的资格资料表示理解和同意，并同意按贵方的要求提供任何有关资料。</w:t>
      </w:r>
    </w:p>
    <w:p w14:paraId="6750ACBA">
      <w:pPr>
        <w:spacing w:line="500" w:lineRule="exact"/>
        <w:rPr>
          <w:rFonts w:hint="eastAsia" w:asciiTheme="minorEastAsia" w:hAnsiTheme="minorEastAsia" w:eastAsiaTheme="minorEastAsia" w:cstheme="minorEastAsia"/>
          <w:sz w:val="24"/>
          <w:szCs w:val="24"/>
        </w:rPr>
      </w:pPr>
    </w:p>
    <w:p w14:paraId="58C84F81">
      <w:pPr>
        <w:spacing w:line="5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供应商（盖公章）：</w:t>
      </w:r>
    </w:p>
    <w:p w14:paraId="50CD930D">
      <w:pPr>
        <w:spacing w:line="5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法定代表人（签字或盖章）：</w:t>
      </w:r>
    </w:p>
    <w:p w14:paraId="6B8173BF">
      <w:pPr>
        <w:spacing w:line="5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14:paraId="0B237490">
      <w:pPr>
        <w:tabs>
          <w:tab w:val="left" w:pos="996"/>
        </w:tabs>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b/>
      </w:r>
    </w:p>
    <w:p w14:paraId="1116F9C2">
      <w:pPr>
        <w:spacing w:line="500" w:lineRule="exact"/>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Cs/>
          <w:sz w:val="24"/>
          <w:szCs w:val="24"/>
        </w:rPr>
        <w:br w:type="page"/>
      </w:r>
      <w:bookmarkStart w:id="131" w:name="_Toc10322"/>
      <w:bookmarkStart w:id="132" w:name="_Toc7637"/>
      <w:r>
        <w:rPr>
          <w:rFonts w:hint="eastAsia" w:asciiTheme="minorEastAsia" w:hAnsiTheme="minorEastAsia" w:eastAsiaTheme="minorEastAsia" w:cstheme="minorEastAsia"/>
          <w:b/>
          <w:bCs/>
          <w:sz w:val="24"/>
          <w:szCs w:val="24"/>
        </w:rPr>
        <w:t>附件</w:t>
      </w:r>
      <w:bookmarkEnd w:id="131"/>
      <w:bookmarkEnd w:id="132"/>
      <w:r>
        <w:rPr>
          <w:rFonts w:hint="eastAsia" w:asciiTheme="minorEastAsia" w:hAnsiTheme="minorEastAsia" w:eastAsiaTheme="minorEastAsia" w:cstheme="minorEastAsia"/>
          <w:b/>
          <w:bCs/>
          <w:sz w:val="24"/>
          <w:szCs w:val="24"/>
        </w:rPr>
        <w:t>9</w:t>
      </w:r>
    </w:p>
    <w:p w14:paraId="6FDCFC17">
      <w:pPr>
        <w:tabs>
          <w:tab w:val="left" w:pos="996"/>
        </w:tabs>
        <w:spacing w:line="500" w:lineRule="exact"/>
        <w:jc w:val="center"/>
        <w:rPr>
          <w:rFonts w:hint="eastAsia" w:asciiTheme="minorEastAsia" w:hAnsiTheme="minorEastAsia" w:eastAsiaTheme="minorEastAsia" w:cstheme="minorEastAsia"/>
          <w:b/>
          <w:sz w:val="24"/>
          <w:szCs w:val="24"/>
        </w:rPr>
      </w:pPr>
      <w:bookmarkStart w:id="133" w:name="_Hlk7871365"/>
      <w:r>
        <w:rPr>
          <w:rFonts w:hint="eastAsia" w:asciiTheme="minorEastAsia" w:hAnsiTheme="minorEastAsia" w:eastAsiaTheme="minorEastAsia" w:cstheme="minorEastAsia"/>
          <w:b/>
          <w:sz w:val="24"/>
          <w:szCs w:val="24"/>
        </w:rPr>
        <w:t>供应商需提供的资料</w:t>
      </w:r>
    </w:p>
    <w:bookmarkEnd w:id="133"/>
    <w:p w14:paraId="32DCFE6B">
      <w:pPr>
        <w:tabs>
          <w:tab w:val="left" w:pos="996"/>
        </w:tabs>
        <w:spacing w:line="500" w:lineRule="exact"/>
        <w:jc w:val="center"/>
        <w:rPr>
          <w:rFonts w:hint="eastAsia" w:asciiTheme="minorEastAsia" w:hAnsiTheme="minorEastAsia" w:eastAsiaTheme="minorEastAsia" w:cstheme="minorEastAsia"/>
          <w:b/>
          <w:sz w:val="24"/>
          <w:szCs w:val="24"/>
        </w:rPr>
      </w:pPr>
    </w:p>
    <w:p w14:paraId="1910A587">
      <w:pPr>
        <w:widowControl/>
        <w:spacing w:line="360" w:lineRule="auto"/>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提供以下证明资料（但不限于）：</w:t>
      </w:r>
    </w:p>
    <w:p w14:paraId="17393A13">
      <w:pPr>
        <w:pStyle w:val="92"/>
        <w:widowControl/>
        <w:numPr>
          <w:ilvl w:val="0"/>
          <w:numId w:val="7"/>
        </w:numPr>
        <w:spacing w:line="480" w:lineRule="auto"/>
        <w:ind w:firstLineChars="0"/>
        <w:rPr>
          <w:rFonts w:hint="eastAsia" w:asciiTheme="minorEastAsia" w:hAnsiTheme="minorEastAsia" w:eastAsiaTheme="minorEastAsia" w:cstheme="minorEastAsia"/>
          <w:color w:val="auto"/>
          <w:u w:val="none"/>
        </w:rPr>
      </w:pPr>
      <w:r>
        <w:rPr>
          <w:rFonts w:hint="eastAsia" w:asciiTheme="minorEastAsia" w:hAnsiTheme="minorEastAsia" w:eastAsiaTheme="minorEastAsia" w:cstheme="minorEastAsia"/>
          <w:color w:val="auto"/>
          <w:u w:val="none"/>
          <w:lang w:val="en-US" w:eastAsia="zh-CN"/>
        </w:rPr>
        <w:t>营业执照</w:t>
      </w:r>
      <w:r>
        <w:rPr>
          <w:rFonts w:hint="eastAsia" w:asciiTheme="minorEastAsia" w:hAnsiTheme="minorEastAsia" w:eastAsiaTheme="minorEastAsia" w:cstheme="minorEastAsia"/>
          <w:color w:val="auto"/>
          <w:u w:val="none"/>
        </w:rPr>
        <w:t>；</w:t>
      </w:r>
    </w:p>
    <w:p w14:paraId="2EA57DE4">
      <w:pPr>
        <w:pStyle w:val="92"/>
        <w:widowControl/>
        <w:numPr>
          <w:ilvl w:val="0"/>
          <w:numId w:val="7"/>
        </w:numPr>
        <w:spacing w:line="480" w:lineRule="auto"/>
        <w:ind w:firstLineChars="0"/>
        <w:rPr>
          <w:rFonts w:hint="eastAsia" w:asciiTheme="minorEastAsia" w:hAnsiTheme="minorEastAsia" w:eastAsiaTheme="minorEastAsia" w:cstheme="minorEastAsia"/>
          <w:color w:val="auto"/>
          <w:u w:val="none"/>
        </w:rPr>
      </w:pPr>
      <w:r>
        <w:rPr>
          <w:rFonts w:hint="eastAsia" w:asciiTheme="minorEastAsia" w:hAnsiTheme="minorEastAsia" w:eastAsiaTheme="minorEastAsia" w:cstheme="minorEastAsia"/>
          <w:color w:val="auto"/>
          <w:u w:val="none"/>
        </w:rPr>
        <w:t>信用信息查询截图；</w:t>
      </w:r>
    </w:p>
    <w:p w14:paraId="11DB3969">
      <w:pPr>
        <w:pStyle w:val="92"/>
        <w:widowControl/>
        <w:numPr>
          <w:ilvl w:val="0"/>
          <w:numId w:val="7"/>
        </w:numPr>
        <w:spacing w:line="480" w:lineRule="auto"/>
        <w:ind w:firstLineChars="0"/>
        <w:rPr>
          <w:rFonts w:hint="eastAsia" w:asciiTheme="minorEastAsia" w:hAnsiTheme="minorEastAsia" w:eastAsiaTheme="minorEastAsia" w:cstheme="minorEastAsia"/>
          <w:color w:val="auto"/>
          <w:u w:val="none"/>
        </w:rPr>
      </w:pPr>
      <w:r>
        <w:rPr>
          <w:rFonts w:hint="eastAsia" w:asciiTheme="minorEastAsia" w:hAnsiTheme="minorEastAsia" w:eastAsiaTheme="minorEastAsia" w:cstheme="minorEastAsia"/>
          <w:color w:val="auto"/>
          <w:u w:val="none"/>
        </w:rPr>
        <w:t>保证金缴纳凭证；</w:t>
      </w:r>
    </w:p>
    <w:p w14:paraId="1A3F8624">
      <w:pPr>
        <w:pStyle w:val="92"/>
        <w:widowControl/>
        <w:numPr>
          <w:ilvl w:val="0"/>
          <w:numId w:val="7"/>
        </w:numPr>
        <w:spacing w:line="480" w:lineRule="auto"/>
        <w:ind w:firstLineChars="0"/>
        <w:rPr>
          <w:rFonts w:hint="eastAsia" w:asciiTheme="minorEastAsia" w:hAnsiTheme="minorEastAsia" w:eastAsiaTheme="minorEastAsia" w:cstheme="minorEastAsia"/>
          <w:color w:val="auto"/>
          <w:u w:val="none"/>
        </w:rPr>
      </w:pPr>
      <w:r>
        <w:rPr>
          <w:rFonts w:hint="eastAsia" w:asciiTheme="minorEastAsia" w:hAnsiTheme="minorEastAsia" w:eastAsiaTheme="minorEastAsia" w:cstheme="minorEastAsia"/>
          <w:color w:val="auto"/>
          <w:u w:val="none"/>
        </w:rPr>
        <w:t>开户许可证或基本存款账户信息。</w:t>
      </w:r>
    </w:p>
    <w:p w14:paraId="148B7F5C">
      <w:pPr>
        <w:widowControl/>
        <w:jc w:val="left"/>
        <w:outlineLvl w:val="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Cs/>
          <w:sz w:val="24"/>
          <w:szCs w:val="24"/>
        </w:rPr>
        <w:br w:type="page"/>
      </w:r>
      <w:bookmarkStart w:id="134" w:name="_Toc15389"/>
      <w:bookmarkStart w:id="135" w:name="_Toc27361"/>
      <w:bookmarkStart w:id="136" w:name="_Toc520282777"/>
      <w:r>
        <w:rPr>
          <w:rFonts w:hint="eastAsia" w:asciiTheme="minorEastAsia" w:hAnsiTheme="minorEastAsia" w:eastAsiaTheme="minorEastAsia" w:cstheme="minorEastAsia"/>
          <w:b/>
          <w:bCs/>
          <w:sz w:val="24"/>
        </w:rPr>
        <w:t>附件1</w:t>
      </w:r>
      <w:bookmarkEnd w:id="134"/>
      <w:bookmarkEnd w:id="135"/>
      <w:r>
        <w:rPr>
          <w:rFonts w:hint="eastAsia" w:asciiTheme="minorEastAsia" w:hAnsiTheme="minorEastAsia" w:eastAsiaTheme="minorEastAsia" w:cstheme="minorEastAsia"/>
          <w:b/>
          <w:bCs/>
          <w:sz w:val="24"/>
        </w:rPr>
        <w:t>0</w:t>
      </w:r>
    </w:p>
    <w:bookmarkEnd w:id="136"/>
    <w:p w14:paraId="1EBCE99D">
      <w:pPr>
        <w:widowControl/>
        <w:jc w:val="center"/>
        <w:rPr>
          <w:rFonts w:hint="eastAsia"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采购需求响应偏离表</w:t>
      </w:r>
    </w:p>
    <w:p w14:paraId="6FED8F17">
      <w:pPr>
        <w:tabs>
          <w:tab w:val="left" w:pos="3226"/>
        </w:tabs>
        <w:autoSpaceDE w:val="0"/>
        <w:autoSpaceDN w:val="0"/>
        <w:adjustRightInd w:val="0"/>
        <w:spacing w:before="43"/>
        <w:ind w:right="420"/>
        <w:jc w:val="center"/>
        <w:rPr>
          <w:rFonts w:hint="eastAsia" w:asciiTheme="minorEastAsia" w:hAnsiTheme="minorEastAsia" w:eastAsiaTheme="minorEastAsia" w:cstheme="minorEastAsia"/>
          <w:b/>
          <w:bCs/>
          <w:kern w:val="0"/>
          <w:szCs w:val="21"/>
          <w:lang w:val="zh-CN"/>
        </w:rPr>
      </w:pPr>
    </w:p>
    <w:p w14:paraId="0053676F">
      <w:pPr>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                             项目编号：</w:t>
      </w:r>
    </w:p>
    <w:tbl>
      <w:tblPr>
        <w:tblStyle w:val="29"/>
        <w:tblW w:w="8413" w:type="dxa"/>
        <w:tblInd w:w="264" w:type="dxa"/>
        <w:tblLayout w:type="fixed"/>
        <w:tblCellMar>
          <w:top w:w="0" w:type="dxa"/>
          <w:left w:w="0" w:type="dxa"/>
          <w:bottom w:w="0" w:type="dxa"/>
          <w:right w:w="0" w:type="dxa"/>
        </w:tblCellMar>
      </w:tblPr>
      <w:tblGrid>
        <w:gridCol w:w="828"/>
        <w:gridCol w:w="1479"/>
        <w:gridCol w:w="2025"/>
        <w:gridCol w:w="1681"/>
        <w:gridCol w:w="1455"/>
        <w:gridCol w:w="945"/>
      </w:tblGrid>
      <w:tr w14:paraId="55827D32">
        <w:tblPrEx>
          <w:tblCellMar>
            <w:top w:w="0" w:type="dxa"/>
            <w:left w:w="0" w:type="dxa"/>
            <w:bottom w:w="0" w:type="dxa"/>
            <w:right w:w="0" w:type="dxa"/>
          </w:tblCellMar>
        </w:tblPrEx>
        <w:trPr>
          <w:trHeight w:val="520"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54AD6636">
            <w:pPr>
              <w:autoSpaceDE w:val="0"/>
              <w:autoSpaceDN w:val="0"/>
              <w:adjustRightInd w:val="0"/>
              <w:spacing w:before="28"/>
              <w:ind w:left="172"/>
              <w:jc w:val="center"/>
              <w:outlineLvl w:val="0"/>
              <w:rPr>
                <w:rFonts w:hint="eastAsia" w:asciiTheme="minorEastAsia" w:hAnsiTheme="minorEastAsia" w:eastAsiaTheme="minorEastAsia" w:cstheme="minorEastAsia"/>
                <w:kern w:val="0"/>
                <w:sz w:val="24"/>
                <w:lang w:val="zh-CN"/>
              </w:rPr>
            </w:pPr>
            <w:bookmarkStart w:id="137" w:name="_Toc13868"/>
            <w:bookmarkStart w:id="138" w:name="_Toc10090"/>
            <w:bookmarkStart w:id="139" w:name="_Toc520282779"/>
            <w:r>
              <w:rPr>
                <w:rFonts w:hint="eastAsia" w:asciiTheme="minorEastAsia" w:hAnsiTheme="minorEastAsia" w:eastAsiaTheme="minorEastAsia" w:cstheme="minorEastAsia"/>
                <w:kern w:val="0"/>
                <w:sz w:val="24"/>
                <w:lang w:val="zh-CN"/>
              </w:rPr>
              <w:t>序号</w:t>
            </w:r>
            <w:bookmarkEnd w:id="137"/>
            <w:bookmarkEnd w:id="138"/>
            <w:bookmarkEnd w:id="139"/>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0D2BFA01">
            <w:pPr>
              <w:autoSpaceDE w:val="0"/>
              <w:autoSpaceDN w:val="0"/>
              <w:adjustRightInd w:val="0"/>
              <w:spacing w:before="28"/>
              <w:ind w:left="148"/>
              <w:jc w:val="center"/>
              <w:outlineLvl w:val="0"/>
              <w:rPr>
                <w:rFonts w:hint="eastAsia" w:asciiTheme="minorEastAsia" w:hAnsiTheme="minorEastAsia" w:eastAsiaTheme="minorEastAsia" w:cstheme="minorEastAsia"/>
                <w:kern w:val="0"/>
                <w:sz w:val="24"/>
                <w:lang w:val="zh-CN"/>
              </w:rPr>
            </w:pPr>
            <w:bookmarkStart w:id="140" w:name="_Toc15647"/>
            <w:bookmarkStart w:id="141" w:name="_Toc16947"/>
            <w:r>
              <w:rPr>
                <w:rFonts w:hint="eastAsia" w:asciiTheme="minorEastAsia" w:hAnsiTheme="minorEastAsia" w:eastAsiaTheme="minorEastAsia" w:cstheme="minorEastAsia"/>
                <w:kern w:val="0"/>
                <w:sz w:val="24"/>
                <w:lang w:val="zh-CN"/>
              </w:rPr>
              <w:t>采购内容</w:t>
            </w:r>
            <w:bookmarkEnd w:id="140"/>
            <w:bookmarkEnd w:id="141"/>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242CDA33">
            <w:pPr>
              <w:autoSpaceDE w:val="0"/>
              <w:autoSpaceDN w:val="0"/>
              <w:adjustRightInd w:val="0"/>
              <w:spacing w:before="28"/>
              <w:jc w:val="center"/>
              <w:outlineLvl w:val="0"/>
              <w:rPr>
                <w:rFonts w:hint="eastAsia" w:asciiTheme="minorEastAsia" w:hAnsiTheme="minorEastAsia" w:eastAsiaTheme="minorEastAsia" w:cstheme="minorEastAsia"/>
                <w:kern w:val="0"/>
                <w:sz w:val="24"/>
                <w:lang w:val="zh-CN"/>
              </w:rPr>
            </w:pPr>
            <w:bookmarkStart w:id="142" w:name="_Toc21056"/>
            <w:bookmarkStart w:id="143" w:name="_Toc1205"/>
            <w:r>
              <w:rPr>
                <w:rFonts w:hint="eastAsia" w:asciiTheme="minorEastAsia" w:hAnsiTheme="minorEastAsia" w:eastAsiaTheme="minorEastAsia" w:cstheme="minorEastAsia"/>
                <w:kern w:val="0"/>
                <w:sz w:val="24"/>
                <w:lang w:val="zh-CN"/>
              </w:rPr>
              <w:t>采购需求要求</w:t>
            </w:r>
            <w:bookmarkEnd w:id="142"/>
            <w:bookmarkEnd w:id="143"/>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4E909158">
            <w:pPr>
              <w:autoSpaceDE w:val="0"/>
              <w:autoSpaceDN w:val="0"/>
              <w:adjustRightInd w:val="0"/>
              <w:spacing w:before="28"/>
              <w:ind w:left="148"/>
              <w:jc w:val="center"/>
              <w:outlineLvl w:val="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采购需求响应</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5D5D51D3">
            <w:pPr>
              <w:autoSpaceDE w:val="0"/>
              <w:autoSpaceDN w:val="0"/>
              <w:adjustRightInd w:val="0"/>
              <w:spacing w:before="28"/>
              <w:ind w:left="208"/>
              <w:jc w:val="center"/>
              <w:outlineLvl w:val="0"/>
              <w:rPr>
                <w:rFonts w:hint="eastAsia" w:asciiTheme="minorEastAsia" w:hAnsiTheme="minorEastAsia" w:eastAsiaTheme="minorEastAsia" w:cstheme="minorEastAsia"/>
                <w:kern w:val="0"/>
                <w:sz w:val="24"/>
              </w:rPr>
            </w:pPr>
            <w:bookmarkStart w:id="144" w:name="_Toc520282784"/>
            <w:bookmarkStart w:id="145" w:name="_Toc21247"/>
            <w:bookmarkStart w:id="146" w:name="_Toc25396"/>
            <w:r>
              <w:rPr>
                <w:rFonts w:hint="eastAsia" w:asciiTheme="minorEastAsia" w:hAnsiTheme="minorEastAsia" w:eastAsiaTheme="minorEastAsia" w:cstheme="minorEastAsia"/>
                <w:kern w:val="0"/>
                <w:sz w:val="24"/>
                <w:lang w:val="zh-CN"/>
              </w:rPr>
              <w:t>偏离</w:t>
            </w:r>
            <w:bookmarkEnd w:id="144"/>
            <w:r>
              <w:rPr>
                <w:rFonts w:hint="eastAsia" w:asciiTheme="minorEastAsia" w:hAnsiTheme="minorEastAsia" w:eastAsiaTheme="minorEastAsia" w:cstheme="minorEastAsia"/>
                <w:kern w:val="0"/>
                <w:sz w:val="24"/>
              </w:rPr>
              <w:t>/响应</w:t>
            </w:r>
            <w:bookmarkEnd w:id="145"/>
            <w:bookmarkEnd w:id="146"/>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581FFC7A">
            <w:pPr>
              <w:autoSpaceDE w:val="0"/>
              <w:autoSpaceDN w:val="0"/>
              <w:adjustRightInd w:val="0"/>
              <w:spacing w:before="28"/>
              <w:ind w:left="208"/>
              <w:jc w:val="center"/>
              <w:outlineLvl w:val="0"/>
              <w:rPr>
                <w:rFonts w:hint="eastAsia" w:asciiTheme="minorEastAsia" w:hAnsiTheme="minorEastAsia" w:eastAsiaTheme="minorEastAsia" w:cstheme="minorEastAsia"/>
                <w:kern w:val="0"/>
                <w:sz w:val="24"/>
                <w:lang w:val="zh-CN"/>
              </w:rPr>
            </w:pPr>
            <w:bookmarkStart w:id="147" w:name="_Toc29103"/>
            <w:bookmarkStart w:id="148" w:name="_Toc20595"/>
            <w:bookmarkStart w:id="149" w:name="_Toc520282785"/>
            <w:r>
              <w:rPr>
                <w:rFonts w:hint="eastAsia" w:asciiTheme="minorEastAsia" w:hAnsiTheme="minorEastAsia" w:eastAsiaTheme="minorEastAsia" w:cstheme="minorEastAsia"/>
                <w:kern w:val="0"/>
                <w:sz w:val="24"/>
                <w:lang w:val="zh-CN"/>
              </w:rPr>
              <w:t>说明</w:t>
            </w:r>
            <w:bookmarkEnd w:id="147"/>
            <w:bookmarkEnd w:id="148"/>
            <w:bookmarkEnd w:id="149"/>
          </w:p>
        </w:tc>
      </w:tr>
      <w:tr w14:paraId="59E6A4F7">
        <w:tblPrEx>
          <w:tblCellMar>
            <w:top w:w="0" w:type="dxa"/>
            <w:left w:w="0" w:type="dxa"/>
            <w:bottom w:w="0" w:type="dxa"/>
            <w:right w:w="0" w:type="dxa"/>
          </w:tblCellMar>
        </w:tblPrEx>
        <w:trPr>
          <w:trHeight w:val="521"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684774F2">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7762A3A3">
            <w:pPr>
              <w:autoSpaceDE w:val="0"/>
              <w:autoSpaceDN w:val="0"/>
              <w:adjustRightInd w:val="0"/>
              <w:jc w:val="left"/>
              <w:rPr>
                <w:rFonts w:hint="eastAsia" w:asciiTheme="minorEastAsia" w:hAnsiTheme="minorEastAsia" w:eastAsiaTheme="minorEastAsia" w:cstheme="minorEastAsia"/>
                <w:kern w:val="0"/>
                <w:sz w:val="24"/>
                <w:lang w:val="zh-CN"/>
              </w:rPr>
            </w:pPr>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70CC10A8">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6F5C71B4">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5FDDD351">
            <w:pPr>
              <w:autoSpaceDE w:val="0"/>
              <w:autoSpaceDN w:val="0"/>
              <w:adjustRightInd w:val="0"/>
              <w:jc w:val="left"/>
              <w:rPr>
                <w:rFonts w:hint="eastAsia" w:asciiTheme="minorEastAsia" w:hAnsiTheme="minorEastAsia" w:eastAsiaTheme="minorEastAsia" w:cstheme="minorEastAsia"/>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253858DA">
            <w:pPr>
              <w:autoSpaceDE w:val="0"/>
              <w:autoSpaceDN w:val="0"/>
              <w:adjustRightInd w:val="0"/>
              <w:jc w:val="left"/>
              <w:rPr>
                <w:rFonts w:hint="eastAsia" w:asciiTheme="minorEastAsia" w:hAnsiTheme="minorEastAsia" w:eastAsiaTheme="minorEastAsia" w:cstheme="minorEastAsia"/>
                <w:kern w:val="0"/>
                <w:sz w:val="24"/>
                <w:lang w:val="zh-CN"/>
              </w:rPr>
            </w:pPr>
          </w:p>
        </w:tc>
      </w:tr>
      <w:tr w14:paraId="5ED86D51">
        <w:tblPrEx>
          <w:tblCellMar>
            <w:top w:w="0" w:type="dxa"/>
            <w:left w:w="0" w:type="dxa"/>
            <w:bottom w:w="0" w:type="dxa"/>
            <w:right w:w="0" w:type="dxa"/>
          </w:tblCellMar>
        </w:tblPrEx>
        <w:trPr>
          <w:trHeight w:val="520"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53529B2F">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27766251">
            <w:pPr>
              <w:autoSpaceDE w:val="0"/>
              <w:autoSpaceDN w:val="0"/>
              <w:adjustRightInd w:val="0"/>
              <w:jc w:val="left"/>
              <w:rPr>
                <w:rFonts w:hint="eastAsia" w:asciiTheme="minorEastAsia" w:hAnsiTheme="minorEastAsia" w:eastAsiaTheme="minorEastAsia" w:cstheme="minorEastAsia"/>
                <w:kern w:val="0"/>
                <w:sz w:val="24"/>
                <w:lang w:val="zh-CN"/>
              </w:rPr>
            </w:pPr>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601CF674">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3CE1213B">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7F769BE6">
            <w:pPr>
              <w:autoSpaceDE w:val="0"/>
              <w:autoSpaceDN w:val="0"/>
              <w:adjustRightInd w:val="0"/>
              <w:jc w:val="left"/>
              <w:rPr>
                <w:rFonts w:hint="eastAsia" w:asciiTheme="minorEastAsia" w:hAnsiTheme="minorEastAsia" w:eastAsiaTheme="minorEastAsia" w:cstheme="minorEastAsia"/>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00CD9CDA">
            <w:pPr>
              <w:autoSpaceDE w:val="0"/>
              <w:autoSpaceDN w:val="0"/>
              <w:adjustRightInd w:val="0"/>
              <w:jc w:val="left"/>
              <w:rPr>
                <w:rFonts w:hint="eastAsia" w:asciiTheme="minorEastAsia" w:hAnsiTheme="minorEastAsia" w:eastAsiaTheme="minorEastAsia" w:cstheme="minorEastAsia"/>
                <w:kern w:val="0"/>
                <w:sz w:val="24"/>
                <w:lang w:val="zh-CN"/>
              </w:rPr>
            </w:pPr>
          </w:p>
        </w:tc>
      </w:tr>
      <w:tr w14:paraId="7499A880">
        <w:tblPrEx>
          <w:tblCellMar>
            <w:top w:w="0" w:type="dxa"/>
            <w:left w:w="0" w:type="dxa"/>
            <w:bottom w:w="0" w:type="dxa"/>
            <w:right w:w="0" w:type="dxa"/>
          </w:tblCellMar>
        </w:tblPrEx>
        <w:trPr>
          <w:trHeight w:val="521"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4ED3E8B2">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2B4B939C">
            <w:pPr>
              <w:autoSpaceDE w:val="0"/>
              <w:autoSpaceDN w:val="0"/>
              <w:adjustRightInd w:val="0"/>
              <w:jc w:val="left"/>
              <w:rPr>
                <w:rFonts w:hint="eastAsia" w:asciiTheme="minorEastAsia" w:hAnsiTheme="minorEastAsia" w:eastAsiaTheme="minorEastAsia" w:cstheme="minorEastAsia"/>
                <w:kern w:val="0"/>
                <w:sz w:val="24"/>
                <w:lang w:val="zh-CN"/>
              </w:rPr>
            </w:pPr>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65B3862C">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1FC8857D">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417931B7">
            <w:pPr>
              <w:autoSpaceDE w:val="0"/>
              <w:autoSpaceDN w:val="0"/>
              <w:adjustRightInd w:val="0"/>
              <w:jc w:val="left"/>
              <w:rPr>
                <w:rFonts w:hint="eastAsia" w:asciiTheme="minorEastAsia" w:hAnsiTheme="minorEastAsia" w:eastAsiaTheme="minorEastAsia" w:cstheme="minorEastAsia"/>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6D9AF8FE">
            <w:pPr>
              <w:autoSpaceDE w:val="0"/>
              <w:autoSpaceDN w:val="0"/>
              <w:adjustRightInd w:val="0"/>
              <w:jc w:val="left"/>
              <w:rPr>
                <w:rFonts w:hint="eastAsia" w:asciiTheme="minorEastAsia" w:hAnsiTheme="minorEastAsia" w:eastAsiaTheme="minorEastAsia" w:cstheme="minorEastAsia"/>
                <w:kern w:val="0"/>
                <w:sz w:val="24"/>
                <w:lang w:val="zh-CN"/>
              </w:rPr>
            </w:pPr>
          </w:p>
        </w:tc>
      </w:tr>
      <w:tr w14:paraId="7FCFC2DB">
        <w:tblPrEx>
          <w:tblCellMar>
            <w:top w:w="0" w:type="dxa"/>
            <w:left w:w="0" w:type="dxa"/>
            <w:bottom w:w="0" w:type="dxa"/>
            <w:right w:w="0" w:type="dxa"/>
          </w:tblCellMar>
        </w:tblPrEx>
        <w:trPr>
          <w:trHeight w:val="520"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0CD30666">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3165878C">
            <w:pPr>
              <w:autoSpaceDE w:val="0"/>
              <w:autoSpaceDN w:val="0"/>
              <w:adjustRightInd w:val="0"/>
              <w:jc w:val="left"/>
              <w:rPr>
                <w:rFonts w:hint="eastAsia" w:asciiTheme="minorEastAsia" w:hAnsiTheme="minorEastAsia" w:eastAsiaTheme="minorEastAsia" w:cstheme="minorEastAsia"/>
                <w:kern w:val="0"/>
                <w:sz w:val="24"/>
                <w:lang w:val="zh-CN"/>
              </w:rPr>
            </w:pPr>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0D44CE69">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1F9DAD63">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4DFB5794">
            <w:pPr>
              <w:autoSpaceDE w:val="0"/>
              <w:autoSpaceDN w:val="0"/>
              <w:adjustRightInd w:val="0"/>
              <w:jc w:val="left"/>
              <w:rPr>
                <w:rFonts w:hint="eastAsia" w:asciiTheme="minorEastAsia" w:hAnsiTheme="minorEastAsia" w:eastAsiaTheme="minorEastAsia" w:cstheme="minorEastAsia"/>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6DCFF4F0">
            <w:pPr>
              <w:autoSpaceDE w:val="0"/>
              <w:autoSpaceDN w:val="0"/>
              <w:adjustRightInd w:val="0"/>
              <w:jc w:val="left"/>
              <w:rPr>
                <w:rFonts w:hint="eastAsia" w:asciiTheme="minorEastAsia" w:hAnsiTheme="minorEastAsia" w:eastAsiaTheme="minorEastAsia" w:cstheme="minorEastAsia"/>
                <w:kern w:val="0"/>
                <w:sz w:val="24"/>
                <w:lang w:val="zh-CN"/>
              </w:rPr>
            </w:pPr>
          </w:p>
        </w:tc>
      </w:tr>
      <w:tr w14:paraId="429D5B8C">
        <w:tblPrEx>
          <w:tblCellMar>
            <w:top w:w="0" w:type="dxa"/>
            <w:left w:w="0" w:type="dxa"/>
            <w:bottom w:w="0" w:type="dxa"/>
            <w:right w:w="0" w:type="dxa"/>
          </w:tblCellMar>
        </w:tblPrEx>
        <w:trPr>
          <w:trHeight w:val="520"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09A0AA89">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4EA51F6E">
            <w:pPr>
              <w:autoSpaceDE w:val="0"/>
              <w:autoSpaceDN w:val="0"/>
              <w:adjustRightInd w:val="0"/>
              <w:jc w:val="left"/>
              <w:rPr>
                <w:rFonts w:hint="eastAsia" w:asciiTheme="minorEastAsia" w:hAnsiTheme="minorEastAsia" w:eastAsiaTheme="minorEastAsia" w:cstheme="minorEastAsia"/>
                <w:kern w:val="0"/>
                <w:sz w:val="24"/>
                <w:lang w:val="zh-CN"/>
              </w:rPr>
            </w:pPr>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33A610BA">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5920BE81">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184E54CB">
            <w:pPr>
              <w:autoSpaceDE w:val="0"/>
              <w:autoSpaceDN w:val="0"/>
              <w:adjustRightInd w:val="0"/>
              <w:jc w:val="left"/>
              <w:rPr>
                <w:rFonts w:hint="eastAsia" w:asciiTheme="minorEastAsia" w:hAnsiTheme="minorEastAsia" w:eastAsiaTheme="minorEastAsia" w:cstheme="minorEastAsia"/>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3376ABDF">
            <w:pPr>
              <w:autoSpaceDE w:val="0"/>
              <w:autoSpaceDN w:val="0"/>
              <w:adjustRightInd w:val="0"/>
              <w:jc w:val="left"/>
              <w:rPr>
                <w:rFonts w:hint="eastAsia" w:asciiTheme="minorEastAsia" w:hAnsiTheme="minorEastAsia" w:eastAsiaTheme="minorEastAsia" w:cstheme="minorEastAsia"/>
                <w:kern w:val="0"/>
                <w:sz w:val="24"/>
                <w:lang w:val="zh-CN"/>
              </w:rPr>
            </w:pPr>
          </w:p>
        </w:tc>
      </w:tr>
      <w:tr w14:paraId="60A086FF">
        <w:tblPrEx>
          <w:tblCellMar>
            <w:top w:w="0" w:type="dxa"/>
            <w:left w:w="0" w:type="dxa"/>
            <w:bottom w:w="0" w:type="dxa"/>
            <w:right w:w="0" w:type="dxa"/>
          </w:tblCellMar>
        </w:tblPrEx>
        <w:trPr>
          <w:trHeight w:val="521"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41DB088A">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3084BED1">
            <w:pPr>
              <w:autoSpaceDE w:val="0"/>
              <w:autoSpaceDN w:val="0"/>
              <w:adjustRightInd w:val="0"/>
              <w:jc w:val="left"/>
              <w:rPr>
                <w:rFonts w:hint="eastAsia" w:asciiTheme="minorEastAsia" w:hAnsiTheme="minorEastAsia" w:eastAsiaTheme="minorEastAsia" w:cstheme="minorEastAsia"/>
                <w:kern w:val="0"/>
                <w:sz w:val="24"/>
                <w:lang w:val="zh-CN"/>
              </w:rPr>
            </w:pPr>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50BDD5F9">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2D1FA263">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1F64EA24">
            <w:pPr>
              <w:autoSpaceDE w:val="0"/>
              <w:autoSpaceDN w:val="0"/>
              <w:adjustRightInd w:val="0"/>
              <w:jc w:val="left"/>
              <w:rPr>
                <w:rFonts w:hint="eastAsia" w:asciiTheme="minorEastAsia" w:hAnsiTheme="minorEastAsia" w:eastAsiaTheme="minorEastAsia" w:cstheme="minorEastAsia"/>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2D6AAC7D">
            <w:pPr>
              <w:autoSpaceDE w:val="0"/>
              <w:autoSpaceDN w:val="0"/>
              <w:adjustRightInd w:val="0"/>
              <w:jc w:val="left"/>
              <w:rPr>
                <w:rFonts w:hint="eastAsia" w:asciiTheme="minorEastAsia" w:hAnsiTheme="minorEastAsia" w:eastAsiaTheme="minorEastAsia" w:cstheme="minorEastAsia"/>
                <w:kern w:val="0"/>
                <w:sz w:val="24"/>
                <w:lang w:val="zh-CN"/>
              </w:rPr>
            </w:pPr>
          </w:p>
        </w:tc>
      </w:tr>
      <w:tr w14:paraId="01B5B117">
        <w:tblPrEx>
          <w:tblCellMar>
            <w:top w:w="0" w:type="dxa"/>
            <w:left w:w="0" w:type="dxa"/>
            <w:bottom w:w="0" w:type="dxa"/>
            <w:right w:w="0" w:type="dxa"/>
          </w:tblCellMar>
        </w:tblPrEx>
        <w:trPr>
          <w:trHeight w:val="521"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54776E8C">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76AC428E">
            <w:pPr>
              <w:autoSpaceDE w:val="0"/>
              <w:autoSpaceDN w:val="0"/>
              <w:adjustRightInd w:val="0"/>
              <w:jc w:val="left"/>
              <w:rPr>
                <w:rFonts w:hint="eastAsia" w:asciiTheme="minorEastAsia" w:hAnsiTheme="minorEastAsia" w:eastAsiaTheme="minorEastAsia" w:cstheme="minorEastAsia"/>
                <w:kern w:val="0"/>
                <w:sz w:val="24"/>
                <w:lang w:val="zh-CN"/>
              </w:rPr>
            </w:pPr>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55EB24E3">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2FFEC1B8">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2B425D2E">
            <w:pPr>
              <w:autoSpaceDE w:val="0"/>
              <w:autoSpaceDN w:val="0"/>
              <w:adjustRightInd w:val="0"/>
              <w:jc w:val="left"/>
              <w:rPr>
                <w:rFonts w:hint="eastAsia" w:asciiTheme="minorEastAsia" w:hAnsiTheme="minorEastAsia" w:eastAsiaTheme="minorEastAsia" w:cstheme="minorEastAsia"/>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5526B73A">
            <w:pPr>
              <w:autoSpaceDE w:val="0"/>
              <w:autoSpaceDN w:val="0"/>
              <w:adjustRightInd w:val="0"/>
              <w:jc w:val="left"/>
              <w:rPr>
                <w:rFonts w:hint="eastAsia" w:asciiTheme="minorEastAsia" w:hAnsiTheme="minorEastAsia" w:eastAsiaTheme="minorEastAsia" w:cstheme="minorEastAsia"/>
                <w:kern w:val="0"/>
                <w:sz w:val="24"/>
                <w:lang w:val="zh-CN"/>
              </w:rPr>
            </w:pPr>
          </w:p>
        </w:tc>
      </w:tr>
      <w:tr w14:paraId="51BBA88D">
        <w:tblPrEx>
          <w:tblCellMar>
            <w:top w:w="0" w:type="dxa"/>
            <w:left w:w="0" w:type="dxa"/>
            <w:bottom w:w="0" w:type="dxa"/>
            <w:right w:w="0" w:type="dxa"/>
          </w:tblCellMar>
        </w:tblPrEx>
        <w:trPr>
          <w:trHeight w:val="520"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23855579">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714582CF">
            <w:pPr>
              <w:autoSpaceDE w:val="0"/>
              <w:autoSpaceDN w:val="0"/>
              <w:adjustRightInd w:val="0"/>
              <w:jc w:val="left"/>
              <w:rPr>
                <w:rFonts w:hint="eastAsia" w:asciiTheme="minorEastAsia" w:hAnsiTheme="minorEastAsia" w:eastAsiaTheme="minorEastAsia" w:cstheme="minorEastAsia"/>
                <w:kern w:val="0"/>
                <w:sz w:val="24"/>
                <w:lang w:val="zh-CN"/>
              </w:rPr>
            </w:pPr>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14AC6726">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44F4FA5B">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7E22CA9D">
            <w:pPr>
              <w:autoSpaceDE w:val="0"/>
              <w:autoSpaceDN w:val="0"/>
              <w:adjustRightInd w:val="0"/>
              <w:jc w:val="left"/>
              <w:rPr>
                <w:rFonts w:hint="eastAsia" w:asciiTheme="minorEastAsia" w:hAnsiTheme="minorEastAsia" w:eastAsiaTheme="minorEastAsia" w:cstheme="minorEastAsia"/>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168EAA5F">
            <w:pPr>
              <w:autoSpaceDE w:val="0"/>
              <w:autoSpaceDN w:val="0"/>
              <w:adjustRightInd w:val="0"/>
              <w:jc w:val="left"/>
              <w:rPr>
                <w:rFonts w:hint="eastAsia" w:asciiTheme="minorEastAsia" w:hAnsiTheme="minorEastAsia" w:eastAsiaTheme="minorEastAsia" w:cstheme="minorEastAsia"/>
                <w:kern w:val="0"/>
                <w:sz w:val="24"/>
                <w:lang w:val="zh-CN"/>
              </w:rPr>
            </w:pPr>
          </w:p>
        </w:tc>
      </w:tr>
      <w:tr w14:paraId="61E48F0A">
        <w:tblPrEx>
          <w:tblCellMar>
            <w:top w:w="0" w:type="dxa"/>
            <w:left w:w="0" w:type="dxa"/>
            <w:bottom w:w="0" w:type="dxa"/>
            <w:right w:w="0" w:type="dxa"/>
          </w:tblCellMar>
        </w:tblPrEx>
        <w:trPr>
          <w:trHeight w:val="522"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424534AD">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5478AB4F">
            <w:pPr>
              <w:autoSpaceDE w:val="0"/>
              <w:autoSpaceDN w:val="0"/>
              <w:adjustRightInd w:val="0"/>
              <w:jc w:val="left"/>
              <w:rPr>
                <w:rFonts w:hint="eastAsia" w:asciiTheme="minorEastAsia" w:hAnsiTheme="minorEastAsia" w:eastAsiaTheme="minorEastAsia" w:cstheme="minorEastAsia"/>
                <w:kern w:val="0"/>
                <w:sz w:val="24"/>
                <w:lang w:val="zh-CN"/>
              </w:rPr>
            </w:pPr>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06BDADB9">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2462B650">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0107B736">
            <w:pPr>
              <w:autoSpaceDE w:val="0"/>
              <w:autoSpaceDN w:val="0"/>
              <w:adjustRightInd w:val="0"/>
              <w:jc w:val="left"/>
              <w:rPr>
                <w:rFonts w:hint="eastAsia" w:asciiTheme="minorEastAsia" w:hAnsiTheme="minorEastAsia" w:eastAsiaTheme="minorEastAsia" w:cstheme="minorEastAsia"/>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665AE8B7">
            <w:pPr>
              <w:autoSpaceDE w:val="0"/>
              <w:autoSpaceDN w:val="0"/>
              <w:adjustRightInd w:val="0"/>
              <w:jc w:val="left"/>
              <w:rPr>
                <w:rFonts w:hint="eastAsia" w:asciiTheme="minorEastAsia" w:hAnsiTheme="minorEastAsia" w:eastAsiaTheme="minorEastAsia" w:cstheme="minorEastAsia"/>
                <w:kern w:val="0"/>
                <w:sz w:val="24"/>
                <w:lang w:val="zh-CN"/>
              </w:rPr>
            </w:pPr>
          </w:p>
        </w:tc>
      </w:tr>
      <w:tr w14:paraId="46A28ADF">
        <w:tblPrEx>
          <w:tblCellMar>
            <w:top w:w="0" w:type="dxa"/>
            <w:left w:w="0" w:type="dxa"/>
            <w:bottom w:w="0" w:type="dxa"/>
            <w:right w:w="0" w:type="dxa"/>
          </w:tblCellMar>
        </w:tblPrEx>
        <w:trPr>
          <w:trHeight w:val="521" w:hRule="atLeast"/>
        </w:trPr>
        <w:tc>
          <w:tcPr>
            <w:tcW w:w="828" w:type="dxa"/>
            <w:tcBorders>
              <w:top w:val="single" w:color="000000" w:sz="2" w:space="0"/>
              <w:left w:val="single" w:color="000000" w:sz="2" w:space="0"/>
              <w:bottom w:val="single" w:color="000000" w:sz="2" w:space="0"/>
              <w:right w:val="single" w:color="000000" w:sz="2" w:space="0"/>
            </w:tcBorders>
            <w:shd w:val="clear" w:color="000000" w:fill="FFFFFF"/>
          </w:tcPr>
          <w:p w14:paraId="75743AA6">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79" w:type="dxa"/>
            <w:tcBorders>
              <w:top w:val="single" w:color="000000" w:sz="2" w:space="0"/>
              <w:left w:val="single" w:color="000000" w:sz="2" w:space="0"/>
              <w:bottom w:val="single" w:color="000000" w:sz="2" w:space="0"/>
              <w:right w:val="single" w:color="000000" w:sz="2" w:space="0"/>
            </w:tcBorders>
            <w:shd w:val="clear" w:color="000000" w:fill="FFFFFF"/>
          </w:tcPr>
          <w:p w14:paraId="4860C782">
            <w:pPr>
              <w:autoSpaceDE w:val="0"/>
              <w:autoSpaceDN w:val="0"/>
              <w:adjustRightInd w:val="0"/>
              <w:jc w:val="left"/>
              <w:rPr>
                <w:rFonts w:hint="eastAsia" w:asciiTheme="minorEastAsia" w:hAnsiTheme="minorEastAsia" w:eastAsiaTheme="minorEastAsia" w:cstheme="minorEastAsia"/>
                <w:kern w:val="0"/>
                <w:sz w:val="24"/>
                <w:lang w:val="zh-CN"/>
              </w:rPr>
            </w:pPr>
          </w:p>
        </w:tc>
        <w:tc>
          <w:tcPr>
            <w:tcW w:w="2025" w:type="dxa"/>
            <w:tcBorders>
              <w:top w:val="single" w:color="000000" w:sz="2" w:space="0"/>
              <w:left w:val="single" w:color="000000" w:sz="2" w:space="0"/>
              <w:bottom w:val="single" w:color="000000" w:sz="2" w:space="0"/>
              <w:right w:val="single" w:color="000000" w:sz="2" w:space="0"/>
            </w:tcBorders>
            <w:shd w:val="clear" w:color="000000" w:fill="FFFFFF"/>
          </w:tcPr>
          <w:p w14:paraId="58CD5C3F">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81" w:type="dxa"/>
            <w:tcBorders>
              <w:top w:val="single" w:color="000000" w:sz="2" w:space="0"/>
              <w:left w:val="single" w:color="000000" w:sz="2" w:space="0"/>
              <w:bottom w:val="single" w:color="000000" w:sz="2" w:space="0"/>
              <w:right w:val="single" w:color="000000" w:sz="2" w:space="0"/>
            </w:tcBorders>
            <w:shd w:val="clear" w:color="000000" w:fill="FFFFFF"/>
          </w:tcPr>
          <w:p w14:paraId="6C0DC598">
            <w:pPr>
              <w:autoSpaceDE w:val="0"/>
              <w:autoSpaceDN w:val="0"/>
              <w:adjustRightInd w:val="0"/>
              <w:jc w:val="left"/>
              <w:rPr>
                <w:rFonts w:hint="eastAsia" w:asciiTheme="minorEastAsia" w:hAnsiTheme="minorEastAsia" w:eastAsiaTheme="minorEastAsia" w:cstheme="minorEastAsia"/>
                <w:kern w:val="0"/>
                <w:sz w:val="24"/>
                <w:lang w:val="zh-CN"/>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Pr>
          <w:p w14:paraId="583BC916">
            <w:pPr>
              <w:autoSpaceDE w:val="0"/>
              <w:autoSpaceDN w:val="0"/>
              <w:adjustRightInd w:val="0"/>
              <w:jc w:val="left"/>
              <w:rPr>
                <w:rFonts w:hint="eastAsia" w:asciiTheme="minorEastAsia" w:hAnsiTheme="minorEastAsia" w:eastAsiaTheme="minorEastAsia" w:cstheme="minorEastAsia"/>
                <w:kern w:val="0"/>
                <w:sz w:val="24"/>
                <w:lang w:val="zh-CN"/>
              </w:rPr>
            </w:pPr>
          </w:p>
        </w:tc>
        <w:tc>
          <w:tcPr>
            <w:tcW w:w="945" w:type="dxa"/>
            <w:tcBorders>
              <w:top w:val="single" w:color="000000" w:sz="2" w:space="0"/>
              <w:left w:val="single" w:color="000000" w:sz="2" w:space="0"/>
              <w:bottom w:val="single" w:color="000000" w:sz="2" w:space="0"/>
              <w:right w:val="single" w:color="000000" w:sz="2" w:space="0"/>
            </w:tcBorders>
            <w:shd w:val="clear" w:color="000000" w:fill="FFFFFF"/>
          </w:tcPr>
          <w:p w14:paraId="4B9B68A6">
            <w:pPr>
              <w:autoSpaceDE w:val="0"/>
              <w:autoSpaceDN w:val="0"/>
              <w:adjustRightInd w:val="0"/>
              <w:jc w:val="left"/>
              <w:rPr>
                <w:rFonts w:hint="eastAsia" w:asciiTheme="minorEastAsia" w:hAnsiTheme="minorEastAsia" w:eastAsiaTheme="minorEastAsia" w:cstheme="minorEastAsia"/>
                <w:kern w:val="0"/>
                <w:sz w:val="24"/>
                <w:lang w:val="zh-CN"/>
              </w:rPr>
            </w:pPr>
          </w:p>
        </w:tc>
      </w:tr>
    </w:tbl>
    <w:p w14:paraId="075B85C4">
      <w:pPr>
        <w:tabs>
          <w:tab w:val="left" w:pos="996"/>
        </w:tabs>
        <w:spacing w:line="480" w:lineRule="auto"/>
        <w:ind w:firstLine="480" w:firstLineChars="200"/>
        <w:rPr>
          <w:rFonts w:hint="eastAsia" w:asciiTheme="minorEastAsia" w:hAnsiTheme="minorEastAsia" w:eastAsiaTheme="minorEastAsia" w:cstheme="minorEastAsia"/>
          <w:sz w:val="24"/>
        </w:rPr>
      </w:pPr>
    </w:p>
    <w:p w14:paraId="1DBFE81A">
      <w:pPr>
        <w:tabs>
          <w:tab w:val="left" w:pos="996"/>
        </w:tabs>
        <w:spacing w:line="48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供应商（盖公章）：</w:t>
      </w:r>
    </w:p>
    <w:p w14:paraId="6EAF528A">
      <w:pPr>
        <w:tabs>
          <w:tab w:val="left" w:pos="996"/>
        </w:tabs>
        <w:spacing w:line="48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法定代表人（签字或盖章）：</w:t>
      </w:r>
    </w:p>
    <w:p w14:paraId="7BA0060C">
      <w:pPr>
        <w:spacing w:line="360" w:lineRule="auto"/>
        <w:ind w:firstLine="480" w:firstLineChars="200"/>
        <w:jc w:val="left"/>
        <w:rPr>
          <w:rFonts w:hint="eastAsia" w:asciiTheme="minorEastAsia" w:hAnsiTheme="minorEastAsia" w:eastAsiaTheme="minorEastAsia" w:cstheme="minorEastAsia"/>
          <w:sz w:val="24"/>
          <w:szCs w:val="24"/>
        </w:rPr>
      </w:pPr>
    </w:p>
    <w:p w14:paraId="51C881E2">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备注：供应商采购需求响应有差异的，则在此表中列明实际响应的内容提要并加以说明，以便查对。无差异说明表示完全响应。</w:t>
      </w:r>
    </w:p>
    <w:p w14:paraId="594EF737">
      <w:pPr>
        <w:rPr>
          <w:rFonts w:hint="eastAsia" w:asciiTheme="minorEastAsia" w:hAnsiTheme="minorEastAsia" w:eastAsiaTheme="minorEastAsia" w:cstheme="minorEastAsia"/>
        </w:rPr>
      </w:pPr>
    </w:p>
    <w:p w14:paraId="48C584D1">
      <w:pPr>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rPr>
        <w:br w:type="page"/>
      </w:r>
      <w:bookmarkStart w:id="150" w:name="_Toc28526"/>
      <w:bookmarkStart w:id="151" w:name="_Toc23457"/>
      <w:r>
        <w:rPr>
          <w:rFonts w:hint="eastAsia" w:asciiTheme="minorEastAsia" w:hAnsiTheme="minorEastAsia" w:eastAsiaTheme="minorEastAsia" w:cstheme="minorEastAsia"/>
          <w:b/>
          <w:bCs/>
          <w:sz w:val="24"/>
        </w:rPr>
        <w:t>附件1</w:t>
      </w:r>
      <w:bookmarkEnd w:id="150"/>
      <w:bookmarkEnd w:id="151"/>
      <w:r>
        <w:rPr>
          <w:rFonts w:hint="eastAsia" w:asciiTheme="minorEastAsia" w:hAnsiTheme="minorEastAsia" w:eastAsiaTheme="minorEastAsia" w:cstheme="minorEastAsia"/>
          <w:b/>
          <w:bCs/>
          <w:sz w:val="24"/>
        </w:rPr>
        <w:t>1</w:t>
      </w:r>
    </w:p>
    <w:p w14:paraId="1FFF06C9">
      <w:pPr>
        <w:spacing w:line="500" w:lineRule="exact"/>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sz w:val="24"/>
        </w:rPr>
        <w:t>供应商类似项目业绩表</w:t>
      </w:r>
    </w:p>
    <w:tbl>
      <w:tblPr>
        <w:tblStyle w:val="29"/>
        <w:tblW w:w="8453" w:type="dxa"/>
        <w:tblInd w:w="103" w:type="dxa"/>
        <w:tblLayout w:type="fixed"/>
        <w:tblCellMar>
          <w:top w:w="0" w:type="dxa"/>
          <w:left w:w="108" w:type="dxa"/>
          <w:bottom w:w="0" w:type="dxa"/>
          <w:right w:w="108" w:type="dxa"/>
        </w:tblCellMar>
      </w:tblPr>
      <w:tblGrid>
        <w:gridCol w:w="570"/>
        <w:gridCol w:w="1613"/>
        <w:gridCol w:w="2265"/>
        <w:gridCol w:w="1395"/>
        <w:gridCol w:w="1230"/>
        <w:gridCol w:w="1380"/>
      </w:tblGrid>
      <w:tr w14:paraId="5F85DEC7">
        <w:tblPrEx>
          <w:tblCellMar>
            <w:top w:w="0" w:type="dxa"/>
            <w:left w:w="108" w:type="dxa"/>
            <w:bottom w:w="0" w:type="dxa"/>
            <w:right w:w="108" w:type="dxa"/>
          </w:tblCellMar>
        </w:tblPrEx>
        <w:trPr>
          <w:trHeight w:val="1355" w:hRule="atLeast"/>
        </w:trPr>
        <w:tc>
          <w:tcPr>
            <w:tcW w:w="57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07BB3D6">
            <w:pPr>
              <w:autoSpaceDE w:val="0"/>
              <w:autoSpaceDN w:val="0"/>
              <w:adjustRightInd w:val="0"/>
              <w:jc w:val="center"/>
              <w:outlineLvl w:val="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序号</w:t>
            </w:r>
          </w:p>
        </w:tc>
        <w:tc>
          <w:tcPr>
            <w:tcW w:w="161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39F8997">
            <w:pPr>
              <w:autoSpaceDE w:val="0"/>
              <w:autoSpaceDN w:val="0"/>
              <w:adjustRightInd w:val="0"/>
              <w:jc w:val="center"/>
              <w:outlineLvl w:val="0"/>
              <w:rPr>
                <w:rFonts w:hint="eastAsia" w:asciiTheme="minorEastAsia" w:hAnsiTheme="minorEastAsia" w:eastAsiaTheme="minorEastAsia" w:cstheme="minorEastAsia"/>
                <w:kern w:val="0"/>
                <w:sz w:val="24"/>
                <w:lang w:val="zh-CN"/>
              </w:rPr>
            </w:pPr>
            <w:bookmarkStart w:id="152" w:name="_Toc12085"/>
            <w:bookmarkStart w:id="153" w:name="_Toc18631"/>
            <w:r>
              <w:rPr>
                <w:rFonts w:hint="eastAsia" w:asciiTheme="minorEastAsia" w:hAnsiTheme="minorEastAsia" w:eastAsiaTheme="minorEastAsia" w:cstheme="minorEastAsia"/>
                <w:kern w:val="0"/>
                <w:sz w:val="24"/>
                <w:lang w:val="zh-CN"/>
              </w:rPr>
              <w:t>采购单位</w:t>
            </w:r>
            <w:bookmarkEnd w:id="152"/>
            <w:bookmarkEnd w:id="153"/>
          </w:p>
        </w:tc>
        <w:tc>
          <w:tcPr>
            <w:tcW w:w="226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EA66603">
            <w:pPr>
              <w:autoSpaceDE w:val="0"/>
              <w:autoSpaceDN w:val="0"/>
              <w:adjustRightInd w:val="0"/>
              <w:jc w:val="center"/>
              <w:outlineLvl w:val="0"/>
              <w:rPr>
                <w:rFonts w:hint="eastAsia" w:asciiTheme="minorEastAsia" w:hAnsiTheme="minorEastAsia" w:eastAsiaTheme="minorEastAsia" w:cstheme="minorEastAsia"/>
                <w:kern w:val="0"/>
                <w:sz w:val="24"/>
                <w:lang w:val="zh-CN"/>
              </w:rPr>
            </w:pPr>
            <w:bookmarkStart w:id="154" w:name="_Toc5614"/>
            <w:bookmarkStart w:id="155" w:name="_Toc6801"/>
            <w:bookmarkStart w:id="156" w:name="_Toc520282834"/>
            <w:r>
              <w:rPr>
                <w:rFonts w:hint="eastAsia" w:asciiTheme="minorEastAsia" w:hAnsiTheme="minorEastAsia" w:eastAsiaTheme="minorEastAsia" w:cstheme="minorEastAsia"/>
                <w:kern w:val="0"/>
                <w:sz w:val="24"/>
                <w:lang w:val="zh-CN"/>
              </w:rPr>
              <w:t>项目名称服务地点</w:t>
            </w:r>
            <w:bookmarkEnd w:id="154"/>
            <w:bookmarkEnd w:id="155"/>
            <w:bookmarkEnd w:id="156"/>
          </w:p>
        </w:tc>
        <w:tc>
          <w:tcPr>
            <w:tcW w:w="139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9A27550">
            <w:pPr>
              <w:autoSpaceDE w:val="0"/>
              <w:autoSpaceDN w:val="0"/>
              <w:adjustRightInd w:val="0"/>
              <w:jc w:val="center"/>
              <w:outlineLvl w:val="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合同签订时间</w:t>
            </w:r>
          </w:p>
        </w:tc>
        <w:tc>
          <w:tcPr>
            <w:tcW w:w="123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9B42EBB">
            <w:pPr>
              <w:autoSpaceDE w:val="0"/>
              <w:autoSpaceDN w:val="0"/>
              <w:adjustRightInd w:val="0"/>
              <w:jc w:val="center"/>
              <w:outlineLvl w:val="0"/>
              <w:rPr>
                <w:rFonts w:hint="eastAsia" w:asciiTheme="minorEastAsia" w:hAnsiTheme="minorEastAsia" w:eastAsiaTheme="minorEastAsia" w:cstheme="minorEastAsia"/>
                <w:kern w:val="0"/>
                <w:sz w:val="24"/>
                <w:lang w:val="zh-CN"/>
              </w:rPr>
            </w:pPr>
            <w:bookmarkStart w:id="157" w:name="_Toc31871"/>
            <w:bookmarkStart w:id="158" w:name="_Toc21856"/>
            <w:bookmarkStart w:id="159" w:name="_Toc520282837"/>
            <w:r>
              <w:rPr>
                <w:rFonts w:hint="eastAsia" w:asciiTheme="minorEastAsia" w:hAnsiTheme="minorEastAsia" w:eastAsiaTheme="minorEastAsia" w:cstheme="minorEastAsia"/>
                <w:kern w:val="0"/>
                <w:sz w:val="24"/>
                <w:lang w:val="zh-CN"/>
              </w:rPr>
              <w:t>合同</w:t>
            </w:r>
            <w:bookmarkEnd w:id="157"/>
            <w:bookmarkEnd w:id="158"/>
            <w:bookmarkEnd w:id="159"/>
            <w:r>
              <w:rPr>
                <w:rFonts w:hint="eastAsia" w:asciiTheme="minorEastAsia" w:hAnsiTheme="minorEastAsia" w:eastAsiaTheme="minorEastAsia" w:cstheme="minorEastAsia"/>
                <w:kern w:val="0"/>
                <w:sz w:val="24"/>
                <w:lang w:val="zh-CN"/>
              </w:rPr>
              <w:t>金额</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0695864">
            <w:pPr>
              <w:autoSpaceDE w:val="0"/>
              <w:autoSpaceDN w:val="0"/>
              <w:adjustRightInd w:val="0"/>
              <w:jc w:val="center"/>
              <w:outlineLvl w:val="0"/>
              <w:rPr>
                <w:rFonts w:hint="eastAsia" w:asciiTheme="minorEastAsia" w:hAnsiTheme="minorEastAsia" w:eastAsiaTheme="minorEastAsia" w:cstheme="minorEastAsia"/>
                <w:kern w:val="0"/>
                <w:sz w:val="24"/>
                <w:lang w:val="zh-CN"/>
              </w:rPr>
            </w:pPr>
            <w:bookmarkStart w:id="160" w:name="_Toc26176"/>
            <w:bookmarkStart w:id="161" w:name="_Toc3357"/>
            <w:bookmarkStart w:id="162" w:name="_Toc520282840"/>
            <w:r>
              <w:rPr>
                <w:rFonts w:hint="eastAsia" w:asciiTheme="minorEastAsia" w:hAnsiTheme="minorEastAsia" w:eastAsiaTheme="minorEastAsia" w:cstheme="minorEastAsia"/>
                <w:kern w:val="0"/>
                <w:sz w:val="24"/>
                <w:lang w:val="zh-CN"/>
              </w:rPr>
              <w:t>履约情况</w:t>
            </w:r>
            <w:bookmarkEnd w:id="160"/>
            <w:bookmarkEnd w:id="161"/>
            <w:bookmarkEnd w:id="162"/>
          </w:p>
        </w:tc>
      </w:tr>
      <w:tr w14:paraId="76732B6E">
        <w:tblPrEx>
          <w:tblCellMar>
            <w:top w:w="0" w:type="dxa"/>
            <w:left w:w="108" w:type="dxa"/>
            <w:bottom w:w="0" w:type="dxa"/>
            <w:right w:w="108" w:type="dxa"/>
          </w:tblCellMar>
        </w:tblPrEx>
        <w:trPr>
          <w:trHeight w:val="862" w:hRule="atLeast"/>
        </w:trPr>
        <w:tc>
          <w:tcPr>
            <w:tcW w:w="570" w:type="dxa"/>
            <w:tcBorders>
              <w:top w:val="single" w:color="000000" w:sz="4" w:space="0"/>
              <w:left w:val="single" w:color="000000" w:sz="4" w:space="0"/>
              <w:bottom w:val="single" w:color="000000" w:sz="4" w:space="0"/>
              <w:right w:val="single" w:color="000000" w:sz="4" w:space="0"/>
            </w:tcBorders>
            <w:shd w:val="clear" w:color="000000" w:fill="FFFFFF"/>
          </w:tcPr>
          <w:p w14:paraId="3253D38E">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13" w:type="dxa"/>
            <w:tcBorders>
              <w:top w:val="single" w:color="000000" w:sz="4" w:space="0"/>
              <w:left w:val="single" w:color="000000" w:sz="4" w:space="0"/>
              <w:bottom w:val="single" w:color="000000" w:sz="4" w:space="0"/>
              <w:right w:val="single" w:color="000000" w:sz="4" w:space="0"/>
            </w:tcBorders>
            <w:shd w:val="clear" w:color="000000" w:fill="FFFFFF"/>
          </w:tcPr>
          <w:p w14:paraId="015D4643">
            <w:pPr>
              <w:autoSpaceDE w:val="0"/>
              <w:autoSpaceDN w:val="0"/>
              <w:adjustRightInd w:val="0"/>
              <w:jc w:val="left"/>
              <w:rPr>
                <w:rFonts w:hint="eastAsia" w:asciiTheme="minorEastAsia" w:hAnsiTheme="minorEastAsia" w:eastAsiaTheme="minorEastAsia" w:cstheme="minorEastAsia"/>
                <w:kern w:val="0"/>
                <w:sz w:val="24"/>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6E489DFF">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3D43A778">
            <w:pPr>
              <w:autoSpaceDE w:val="0"/>
              <w:autoSpaceDN w:val="0"/>
              <w:adjustRightInd w:val="0"/>
              <w:jc w:val="left"/>
              <w:rPr>
                <w:rFonts w:hint="eastAsia" w:asciiTheme="minorEastAsia" w:hAnsiTheme="minorEastAsia" w:eastAsiaTheme="minorEastAsia" w:cstheme="minorEastAsia"/>
                <w:kern w:val="0"/>
                <w:sz w:val="24"/>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4CF51FF4">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208FE718">
            <w:pPr>
              <w:autoSpaceDE w:val="0"/>
              <w:autoSpaceDN w:val="0"/>
              <w:adjustRightInd w:val="0"/>
              <w:jc w:val="left"/>
              <w:rPr>
                <w:rFonts w:hint="eastAsia" w:asciiTheme="minorEastAsia" w:hAnsiTheme="minorEastAsia" w:eastAsiaTheme="minorEastAsia" w:cstheme="minorEastAsia"/>
                <w:kern w:val="0"/>
                <w:sz w:val="24"/>
                <w:lang w:val="zh-CN"/>
              </w:rPr>
            </w:pPr>
          </w:p>
        </w:tc>
      </w:tr>
      <w:tr w14:paraId="02BFC5E9">
        <w:tblPrEx>
          <w:tblCellMar>
            <w:top w:w="0" w:type="dxa"/>
            <w:left w:w="108" w:type="dxa"/>
            <w:bottom w:w="0" w:type="dxa"/>
            <w:right w:w="108" w:type="dxa"/>
          </w:tblCellMar>
        </w:tblPrEx>
        <w:trPr>
          <w:trHeight w:val="864" w:hRule="atLeast"/>
        </w:trPr>
        <w:tc>
          <w:tcPr>
            <w:tcW w:w="570" w:type="dxa"/>
            <w:tcBorders>
              <w:top w:val="single" w:color="000000" w:sz="4" w:space="0"/>
              <w:left w:val="single" w:color="000000" w:sz="4" w:space="0"/>
              <w:bottom w:val="single" w:color="000000" w:sz="4" w:space="0"/>
              <w:right w:val="single" w:color="000000" w:sz="4" w:space="0"/>
            </w:tcBorders>
            <w:shd w:val="clear" w:color="000000" w:fill="FFFFFF"/>
          </w:tcPr>
          <w:p w14:paraId="680930F1">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13" w:type="dxa"/>
            <w:tcBorders>
              <w:top w:val="single" w:color="000000" w:sz="4" w:space="0"/>
              <w:left w:val="single" w:color="000000" w:sz="4" w:space="0"/>
              <w:bottom w:val="single" w:color="000000" w:sz="4" w:space="0"/>
              <w:right w:val="single" w:color="000000" w:sz="4" w:space="0"/>
            </w:tcBorders>
            <w:shd w:val="clear" w:color="000000" w:fill="FFFFFF"/>
          </w:tcPr>
          <w:p w14:paraId="19968CA2">
            <w:pPr>
              <w:autoSpaceDE w:val="0"/>
              <w:autoSpaceDN w:val="0"/>
              <w:adjustRightInd w:val="0"/>
              <w:jc w:val="left"/>
              <w:rPr>
                <w:rFonts w:hint="eastAsia" w:asciiTheme="minorEastAsia" w:hAnsiTheme="minorEastAsia" w:eastAsiaTheme="minorEastAsia" w:cstheme="minorEastAsia"/>
                <w:kern w:val="0"/>
                <w:sz w:val="24"/>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3563EEA2">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52D88A71">
            <w:pPr>
              <w:autoSpaceDE w:val="0"/>
              <w:autoSpaceDN w:val="0"/>
              <w:adjustRightInd w:val="0"/>
              <w:jc w:val="left"/>
              <w:rPr>
                <w:rFonts w:hint="eastAsia" w:asciiTheme="minorEastAsia" w:hAnsiTheme="minorEastAsia" w:eastAsiaTheme="minorEastAsia" w:cstheme="minorEastAsia"/>
                <w:kern w:val="0"/>
                <w:sz w:val="24"/>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51186D5B">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53B257A7">
            <w:pPr>
              <w:autoSpaceDE w:val="0"/>
              <w:autoSpaceDN w:val="0"/>
              <w:adjustRightInd w:val="0"/>
              <w:jc w:val="left"/>
              <w:rPr>
                <w:rFonts w:hint="eastAsia" w:asciiTheme="minorEastAsia" w:hAnsiTheme="minorEastAsia" w:eastAsiaTheme="minorEastAsia" w:cstheme="minorEastAsia"/>
                <w:kern w:val="0"/>
                <w:sz w:val="24"/>
                <w:lang w:val="zh-CN"/>
              </w:rPr>
            </w:pPr>
          </w:p>
        </w:tc>
      </w:tr>
      <w:tr w14:paraId="082CF4E2">
        <w:tblPrEx>
          <w:tblCellMar>
            <w:top w:w="0" w:type="dxa"/>
            <w:left w:w="108" w:type="dxa"/>
            <w:bottom w:w="0" w:type="dxa"/>
            <w:right w:w="108" w:type="dxa"/>
          </w:tblCellMar>
        </w:tblPrEx>
        <w:trPr>
          <w:trHeight w:val="862" w:hRule="atLeast"/>
        </w:trPr>
        <w:tc>
          <w:tcPr>
            <w:tcW w:w="570" w:type="dxa"/>
            <w:tcBorders>
              <w:top w:val="single" w:color="000000" w:sz="4" w:space="0"/>
              <w:left w:val="single" w:color="000000" w:sz="4" w:space="0"/>
              <w:bottom w:val="single" w:color="000000" w:sz="4" w:space="0"/>
              <w:right w:val="single" w:color="000000" w:sz="4" w:space="0"/>
            </w:tcBorders>
            <w:shd w:val="clear" w:color="000000" w:fill="FFFFFF"/>
          </w:tcPr>
          <w:p w14:paraId="51A7598D">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13" w:type="dxa"/>
            <w:tcBorders>
              <w:top w:val="single" w:color="000000" w:sz="4" w:space="0"/>
              <w:left w:val="single" w:color="000000" w:sz="4" w:space="0"/>
              <w:bottom w:val="single" w:color="000000" w:sz="4" w:space="0"/>
              <w:right w:val="single" w:color="000000" w:sz="4" w:space="0"/>
            </w:tcBorders>
            <w:shd w:val="clear" w:color="000000" w:fill="FFFFFF"/>
          </w:tcPr>
          <w:p w14:paraId="1C126867">
            <w:pPr>
              <w:autoSpaceDE w:val="0"/>
              <w:autoSpaceDN w:val="0"/>
              <w:adjustRightInd w:val="0"/>
              <w:jc w:val="left"/>
              <w:rPr>
                <w:rFonts w:hint="eastAsia" w:asciiTheme="minorEastAsia" w:hAnsiTheme="minorEastAsia" w:eastAsiaTheme="minorEastAsia" w:cstheme="minorEastAsia"/>
                <w:kern w:val="0"/>
                <w:sz w:val="24"/>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4BED0CC0">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712917C6">
            <w:pPr>
              <w:autoSpaceDE w:val="0"/>
              <w:autoSpaceDN w:val="0"/>
              <w:adjustRightInd w:val="0"/>
              <w:jc w:val="left"/>
              <w:rPr>
                <w:rFonts w:hint="eastAsia" w:asciiTheme="minorEastAsia" w:hAnsiTheme="minorEastAsia" w:eastAsiaTheme="minorEastAsia" w:cstheme="minorEastAsia"/>
                <w:kern w:val="0"/>
                <w:sz w:val="24"/>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7085086D">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44F9787D">
            <w:pPr>
              <w:autoSpaceDE w:val="0"/>
              <w:autoSpaceDN w:val="0"/>
              <w:adjustRightInd w:val="0"/>
              <w:jc w:val="left"/>
              <w:rPr>
                <w:rFonts w:hint="eastAsia" w:asciiTheme="minorEastAsia" w:hAnsiTheme="minorEastAsia" w:eastAsiaTheme="minorEastAsia" w:cstheme="minorEastAsia"/>
                <w:kern w:val="0"/>
                <w:sz w:val="24"/>
                <w:lang w:val="zh-CN"/>
              </w:rPr>
            </w:pPr>
          </w:p>
        </w:tc>
      </w:tr>
      <w:tr w14:paraId="331CD1A0">
        <w:tblPrEx>
          <w:tblCellMar>
            <w:top w:w="0" w:type="dxa"/>
            <w:left w:w="108" w:type="dxa"/>
            <w:bottom w:w="0" w:type="dxa"/>
            <w:right w:w="108" w:type="dxa"/>
          </w:tblCellMar>
        </w:tblPrEx>
        <w:trPr>
          <w:trHeight w:val="862" w:hRule="atLeast"/>
        </w:trPr>
        <w:tc>
          <w:tcPr>
            <w:tcW w:w="570" w:type="dxa"/>
            <w:tcBorders>
              <w:top w:val="single" w:color="000000" w:sz="4" w:space="0"/>
              <w:left w:val="single" w:color="000000" w:sz="4" w:space="0"/>
              <w:bottom w:val="single" w:color="000000" w:sz="4" w:space="0"/>
              <w:right w:val="single" w:color="000000" w:sz="4" w:space="0"/>
            </w:tcBorders>
            <w:shd w:val="clear" w:color="000000" w:fill="FFFFFF"/>
          </w:tcPr>
          <w:p w14:paraId="6D380639">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13" w:type="dxa"/>
            <w:tcBorders>
              <w:top w:val="single" w:color="000000" w:sz="4" w:space="0"/>
              <w:left w:val="single" w:color="000000" w:sz="4" w:space="0"/>
              <w:bottom w:val="single" w:color="000000" w:sz="4" w:space="0"/>
              <w:right w:val="single" w:color="000000" w:sz="4" w:space="0"/>
            </w:tcBorders>
            <w:shd w:val="clear" w:color="000000" w:fill="FFFFFF"/>
          </w:tcPr>
          <w:p w14:paraId="05BCAD45">
            <w:pPr>
              <w:autoSpaceDE w:val="0"/>
              <w:autoSpaceDN w:val="0"/>
              <w:adjustRightInd w:val="0"/>
              <w:jc w:val="left"/>
              <w:rPr>
                <w:rFonts w:hint="eastAsia" w:asciiTheme="minorEastAsia" w:hAnsiTheme="minorEastAsia" w:eastAsiaTheme="minorEastAsia" w:cstheme="minorEastAsia"/>
                <w:kern w:val="0"/>
                <w:sz w:val="24"/>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0898D7E1">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0F38F5E6">
            <w:pPr>
              <w:autoSpaceDE w:val="0"/>
              <w:autoSpaceDN w:val="0"/>
              <w:adjustRightInd w:val="0"/>
              <w:jc w:val="left"/>
              <w:rPr>
                <w:rFonts w:hint="eastAsia" w:asciiTheme="minorEastAsia" w:hAnsiTheme="minorEastAsia" w:eastAsiaTheme="minorEastAsia" w:cstheme="minorEastAsia"/>
                <w:kern w:val="0"/>
                <w:sz w:val="24"/>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63D7069D">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4CCE144C">
            <w:pPr>
              <w:autoSpaceDE w:val="0"/>
              <w:autoSpaceDN w:val="0"/>
              <w:adjustRightInd w:val="0"/>
              <w:jc w:val="left"/>
              <w:rPr>
                <w:rFonts w:hint="eastAsia" w:asciiTheme="minorEastAsia" w:hAnsiTheme="minorEastAsia" w:eastAsiaTheme="minorEastAsia" w:cstheme="minorEastAsia"/>
                <w:kern w:val="0"/>
                <w:sz w:val="24"/>
                <w:lang w:val="zh-CN"/>
              </w:rPr>
            </w:pPr>
          </w:p>
        </w:tc>
      </w:tr>
      <w:tr w14:paraId="2AFABC5D">
        <w:tblPrEx>
          <w:tblCellMar>
            <w:top w:w="0" w:type="dxa"/>
            <w:left w:w="108" w:type="dxa"/>
            <w:bottom w:w="0" w:type="dxa"/>
            <w:right w:w="108" w:type="dxa"/>
          </w:tblCellMar>
        </w:tblPrEx>
        <w:trPr>
          <w:trHeight w:val="862" w:hRule="atLeast"/>
        </w:trPr>
        <w:tc>
          <w:tcPr>
            <w:tcW w:w="570" w:type="dxa"/>
            <w:tcBorders>
              <w:top w:val="single" w:color="000000" w:sz="4" w:space="0"/>
              <w:left w:val="single" w:color="000000" w:sz="4" w:space="0"/>
              <w:bottom w:val="single" w:color="000000" w:sz="4" w:space="0"/>
              <w:right w:val="single" w:color="000000" w:sz="4" w:space="0"/>
            </w:tcBorders>
            <w:shd w:val="clear" w:color="000000" w:fill="FFFFFF"/>
          </w:tcPr>
          <w:p w14:paraId="22E7E515">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13" w:type="dxa"/>
            <w:tcBorders>
              <w:top w:val="single" w:color="000000" w:sz="4" w:space="0"/>
              <w:left w:val="single" w:color="000000" w:sz="4" w:space="0"/>
              <w:bottom w:val="single" w:color="000000" w:sz="4" w:space="0"/>
              <w:right w:val="single" w:color="000000" w:sz="4" w:space="0"/>
            </w:tcBorders>
            <w:shd w:val="clear" w:color="000000" w:fill="FFFFFF"/>
          </w:tcPr>
          <w:p w14:paraId="60DB331F">
            <w:pPr>
              <w:autoSpaceDE w:val="0"/>
              <w:autoSpaceDN w:val="0"/>
              <w:adjustRightInd w:val="0"/>
              <w:jc w:val="left"/>
              <w:rPr>
                <w:rFonts w:hint="eastAsia" w:asciiTheme="minorEastAsia" w:hAnsiTheme="minorEastAsia" w:eastAsiaTheme="minorEastAsia" w:cstheme="minorEastAsia"/>
                <w:kern w:val="0"/>
                <w:sz w:val="24"/>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27649028">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7F552789">
            <w:pPr>
              <w:autoSpaceDE w:val="0"/>
              <w:autoSpaceDN w:val="0"/>
              <w:adjustRightInd w:val="0"/>
              <w:jc w:val="left"/>
              <w:rPr>
                <w:rFonts w:hint="eastAsia" w:asciiTheme="minorEastAsia" w:hAnsiTheme="minorEastAsia" w:eastAsiaTheme="minorEastAsia" w:cstheme="minorEastAsia"/>
                <w:kern w:val="0"/>
                <w:sz w:val="24"/>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0F6B948A">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2486E663">
            <w:pPr>
              <w:autoSpaceDE w:val="0"/>
              <w:autoSpaceDN w:val="0"/>
              <w:adjustRightInd w:val="0"/>
              <w:jc w:val="left"/>
              <w:rPr>
                <w:rFonts w:hint="eastAsia" w:asciiTheme="minorEastAsia" w:hAnsiTheme="minorEastAsia" w:eastAsiaTheme="minorEastAsia" w:cstheme="minorEastAsia"/>
                <w:kern w:val="0"/>
                <w:sz w:val="24"/>
                <w:lang w:val="zh-CN"/>
              </w:rPr>
            </w:pPr>
          </w:p>
        </w:tc>
      </w:tr>
      <w:tr w14:paraId="3926F712">
        <w:tblPrEx>
          <w:tblCellMar>
            <w:top w:w="0" w:type="dxa"/>
            <w:left w:w="108" w:type="dxa"/>
            <w:bottom w:w="0" w:type="dxa"/>
            <w:right w:w="108" w:type="dxa"/>
          </w:tblCellMar>
        </w:tblPrEx>
        <w:trPr>
          <w:trHeight w:val="862" w:hRule="atLeast"/>
        </w:trPr>
        <w:tc>
          <w:tcPr>
            <w:tcW w:w="570" w:type="dxa"/>
            <w:tcBorders>
              <w:top w:val="single" w:color="000000" w:sz="4" w:space="0"/>
              <w:left w:val="single" w:color="000000" w:sz="4" w:space="0"/>
              <w:bottom w:val="single" w:color="000000" w:sz="4" w:space="0"/>
              <w:right w:val="single" w:color="000000" w:sz="4" w:space="0"/>
            </w:tcBorders>
            <w:shd w:val="clear" w:color="000000" w:fill="FFFFFF"/>
          </w:tcPr>
          <w:p w14:paraId="745094BB">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13" w:type="dxa"/>
            <w:tcBorders>
              <w:top w:val="single" w:color="000000" w:sz="4" w:space="0"/>
              <w:left w:val="single" w:color="000000" w:sz="4" w:space="0"/>
              <w:bottom w:val="single" w:color="000000" w:sz="4" w:space="0"/>
              <w:right w:val="single" w:color="000000" w:sz="4" w:space="0"/>
            </w:tcBorders>
            <w:shd w:val="clear" w:color="000000" w:fill="FFFFFF"/>
          </w:tcPr>
          <w:p w14:paraId="20A6FEF4">
            <w:pPr>
              <w:autoSpaceDE w:val="0"/>
              <w:autoSpaceDN w:val="0"/>
              <w:adjustRightInd w:val="0"/>
              <w:jc w:val="left"/>
              <w:rPr>
                <w:rFonts w:hint="eastAsia" w:asciiTheme="minorEastAsia" w:hAnsiTheme="minorEastAsia" w:eastAsiaTheme="minorEastAsia" w:cstheme="minorEastAsia"/>
                <w:kern w:val="0"/>
                <w:sz w:val="24"/>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533AA75C">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1268247F">
            <w:pPr>
              <w:autoSpaceDE w:val="0"/>
              <w:autoSpaceDN w:val="0"/>
              <w:adjustRightInd w:val="0"/>
              <w:jc w:val="left"/>
              <w:rPr>
                <w:rFonts w:hint="eastAsia" w:asciiTheme="minorEastAsia" w:hAnsiTheme="minorEastAsia" w:eastAsiaTheme="minorEastAsia" w:cstheme="minorEastAsia"/>
                <w:kern w:val="0"/>
                <w:sz w:val="24"/>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394E390D">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07984E80">
            <w:pPr>
              <w:autoSpaceDE w:val="0"/>
              <w:autoSpaceDN w:val="0"/>
              <w:adjustRightInd w:val="0"/>
              <w:jc w:val="left"/>
              <w:rPr>
                <w:rFonts w:hint="eastAsia" w:asciiTheme="minorEastAsia" w:hAnsiTheme="minorEastAsia" w:eastAsiaTheme="minorEastAsia" w:cstheme="minorEastAsia"/>
                <w:kern w:val="0"/>
                <w:sz w:val="24"/>
                <w:lang w:val="zh-CN"/>
              </w:rPr>
            </w:pPr>
          </w:p>
        </w:tc>
      </w:tr>
      <w:tr w14:paraId="40BBABCC">
        <w:tblPrEx>
          <w:tblCellMar>
            <w:top w:w="0" w:type="dxa"/>
            <w:left w:w="108" w:type="dxa"/>
            <w:bottom w:w="0" w:type="dxa"/>
            <w:right w:w="108" w:type="dxa"/>
          </w:tblCellMar>
        </w:tblPrEx>
        <w:trPr>
          <w:trHeight w:val="862" w:hRule="atLeast"/>
        </w:trPr>
        <w:tc>
          <w:tcPr>
            <w:tcW w:w="570" w:type="dxa"/>
            <w:tcBorders>
              <w:top w:val="single" w:color="000000" w:sz="4" w:space="0"/>
              <w:left w:val="single" w:color="000000" w:sz="4" w:space="0"/>
              <w:bottom w:val="single" w:color="000000" w:sz="4" w:space="0"/>
              <w:right w:val="single" w:color="000000" w:sz="4" w:space="0"/>
            </w:tcBorders>
            <w:shd w:val="clear" w:color="000000" w:fill="FFFFFF"/>
          </w:tcPr>
          <w:p w14:paraId="58DE0473">
            <w:pPr>
              <w:autoSpaceDE w:val="0"/>
              <w:autoSpaceDN w:val="0"/>
              <w:adjustRightInd w:val="0"/>
              <w:jc w:val="left"/>
              <w:rPr>
                <w:rFonts w:hint="eastAsia" w:asciiTheme="minorEastAsia" w:hAnsiTheme="minorEastAsia" w:eastAsiaTheme="minorEastAsia" w:cstheme="minorEastAsia"/>
                <w:kern w:val="0"/>
                <w:sz w:val="24"/>
                <w:lang w:val="zh-CN"/>
              </w:rPr>
            </w:pPr>
          </w:p>
        </w:tc>
        <w:tc>
          <w:tcPr>
            <w:tcW w:w="1613" w:type="dxa"/>
            <w:tcBorders>
              <w:top w:val="single" w:color="000000" w:sz="4" w:space="0"/>
              <w:left w:val="single" w:color="000000" w:sz="4" w:space="0"/>
              <w:bottom w:val="single" w:color="000000" w:sz="4" w:space="0"/>
              <w:right w:val="single" w:color="000000" w:sz="4" w:space="0"/>
            </w:tcBorders>
            <w:shd w:val="clear" w:color="000000" w:fill="FFFFFF"/>
          </w:tcPr>
          <w:p w14:paraId="3F32F4D0">
            <w:pPr>
              <w:autoSpaceDE w:val="0"/>
              <w:autoSpaceDN w:val="0"/>
              <w:adjustRightInd w:val="0"/>
              <w:jc w:val="left"/>
              <w:rPr>
                <w:rFonts w:hint="eastAsia" w:asciiTheme="minorEastAsia" w:hAnsiTheme="minorEastAsia" w:eastAsiaTheme="minorEastAsia" w:cstheme="minorEastAsia"/>
                <w:kern w:val="0"/>
                <w:sz w:val="24"/>
                <w:lang w:val="zh-CN"/>
              </w:rPr>
            </w:pPr>
          </w:p>
        </w:tc>
        <w:tc>
          <w:tcPr>
            <w:tcW w:w="2265" w:type="dxa"/>
            <w:tcBorders>
              <w:top w:val="single" w:color="000000" w:sz="4" w:space="0"/>
              <w:left w:val="single" w:color="000000" w:sz="4" w:space="0"/>
              <w:bottom w:val="single" w:color="000000" w:sz="4" w:space="0"/>
              <w:right w:val="single" w:color="000000" w:sz="4" w:space="0"/>
            </w:tcBorders>
            <w:shd w:val="clear" w:color="000000" w:fill="FFFFFF"/>
          </w:tcPr>
          <w:p w14:paraId="7C3F8834">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95" w:type="dxa"/>
            <w:tcBorders>
              <w:top w:val="single" w:color="000000" w:sz="4" w:space="0"/>
              <w:left w:val="single" w:color="000000" w:sz="4" w:space="0"/>
              <w:bottom w:val="single" w:color="000000" w:sz="4" w:space="0"/>
              <w:right w:val="single" w:color="000000" w:sz="4" w:space="0"/>
            </w:tcBorders>
            <w:shd w:val="clear" w:color="000000" w:fill="FFFFFF"/>
          </w:tcPr>
          <w:p w14:paraId="4D62D0AD">
            <w:pPr>
              <w:autoSpaceDE w:val="0"/>
              <w:autoSpaceDN w:val="0"/>
              <w:adjustRightInd w:val="0"/>
              <w:jc w:val="left"/>
              <w:rPr>
                <w:rFonts w:hint="eastAsia" w:asciiTheme="minorEastAsia" w:hAnsiTheme="minorEastAsia" w:eastAsiaTheme="minorEastAsia" w:cstheme="minorEastAsia"/>
                <w:kern w:val="0"/>
                <w:sz w:val="24"/>
                <w:lang w:val="zh-CN"/>
              </w:rPr>
            </w:pPr>
          </w:p>
        </w:tc>
        <w:tc>
          <w:tcPr>
            <w:tcW w:w="1230" w:type="dxa"/>
            <w:tcBorders>
              <w:top w:val="single" w:color="000000" w:sz="4" w:space="0"/>
              <w:left w:val="single" w:color="000000" w:sz="4" w:space="0"/>
              <w:bottom w:val="single" w:color="000000" w:sz="4" w:space="0"/>
              <w:right w:val="single" w:color="000000" w:sz="4" w:space="0"/>
            </w:tcBorders>
            <w:shd w:val="clear" w:color="000000" w:fill="FFFFFF"/>
          </w:tcPr>
          <w:p w14:paraId="4D2DA2D8">
            <w:pPr>
              <w:autoSpaceDE w:val="0"/>
              <w:autoSpaceDN w:val="0"/>
              <w:adjustRightInd w:val="0"/>
              <w:jc w:val="left"/>
              <w:rPr>
                <w:rFonts w:hint="eastAsia" w:asciiTheme="minorEastAsia" w:hAnsiTheme="minorEastAsia" w:eastAsiaTheme="minorEastAsia" w:cstheme="minorEastAsia"/>
                <w:kern w:val="0"/>
                <w:sz w:val="24"/>
                <w:lang w:val="zh-CN"/>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Pr>
          <w:p w14:paraId="0BFACDA7">
            <w:pPr>
              <w:autoSpaceDE w:val="0"/>
              <w:autoSpaceDN w:val="0"/>
              <w:adjustRightInd w:val="0"/>
              <w:jc w:val="left"/>
              <w:rPr>
                <w:rFonts w:hint="eastAsia" w:asciiTheme="minorEastAsia" w:hAnsiTheme="minorEastAsia" w:eastAsiaTheme="minorEastAsia" w:cstheme="minorEastAsia"/>
                <w:kern w:val="0"/>
                <w:sz w:val="24"/>
                <w:lang w:val="zh-CN"/>
              </w:rPr>
            </w:pPr>
          </w:p>
        </w:tc>
      </w:tr>
    </w:tbl>
    <w:p w14:paraId="0F25C301">
      <w:pPr>
        <w:pStyle w:val="101"/>
        <w:snapToGrid w:val="0"/>
        <w:spacing w:line="500" w:lineRule="exact"/>
        <w:ind w:firstLine="480" w:firstLineChars="200"/>
        <w:rPr>
          <w:rFonts w:hint="eastAsia" w:asciiTheme="minorEastAsia" w:hAnsiTheme="minorEastAsia" w:eastAsiaTheme="minorEastAsia" w:cstheme="minorEastAsia"/>
          <w:color w:val="auto"/>
          <w:sz w:val="24"/>
        </w:rPr>
      </w:pPr>
    </w:p>
    <w:p w14:paraId="387705CB">
      <w:pPr>
        <w:pStyle w:val="101"/>
        <w:snapToGrid w:val="0"/>
        <w:spacing w:line="500" w:lineRule="exact"/>
        <w:ind w:firstLine="480" w:firstLineChars="200"/>
        <w:rPr>
          <w:rFonts w:hint="eastAsia" w:asciiTheme="minorEastAsia" w:hAnsiTheme="minorEastAsia" w:eastAsiaTheme="minorEastAsia" w:cstheme="minorEastAsia"/>
          <w:color w:val="auto"/>
          <w:sz w:val="24"/>
        </w:rPr>
      </w:pPr>
    </w:p>
    <w:p w14:paraId="499595A3">
      <w:pPr>
        <w:pStyle w:val="101"/>
        <w:snapToGrid w:val="0"/>
        <w:spacing w:line="5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供应商（盖公章）：</w:t>
      </w:r>
    </w:p>
    <w:p w14:paraId="240F95A7">
      <w:pPr>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法定代表人（签字或盖章）：</w:t>
      </w:r>
    </w:p>
    <w:p w14:paraId="72436093">
      <w:pPr>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日期：  年  月  日</w:t>
      </w:r>
    </w:p>
    <w:p w14:paraId="4EBCBFE4">
      <w:pPr>
        <w:widowControl/>
        <w:spacing w:line="360" w:lineRule="auto"/>
        <w:jc w:val="left"/>
        <w:outlineLvl w:val="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Cs/>
          <w:sz w:val="24"/>
        </w:rPr>
        <w:br w:type="page"/>
      </w:r>
      <w:bookmarkStart w:id="163" w:name="_Toc23479"/>
      <w:bookmarkStart w:id="164" w:name="_Toc19"/>
      <w:r>
        <w:rPr>
          <w:rFonts w:hint="eastAsia" w:asciiTheme="minorEastAsia" w:hAnsiTheme="minorEastAsia" w:eastAsiaTheme="minorEastAsia" w:cstheme="minorEastAsia"/>
          <w:b/>
          <w:bCs/>
          <w:sz w:val="24"/>
        </w:rPr>
        <w:t>附件</w:t>
      </w:r>
      <w:bookmarkEnd w:id="163"/>
      <w:bookmarkEnd w:id="164"/>
      <w:r>
        <w:rPr>
          <w:rFonts w:hint="eastAsia" w:asciiTheme="minorEastAsia" w:hAnsiTheme="minorEastAsia" w:eastAsiaTheme="minorEastAsia" w:cstheme="minorEastAsia"/>
          <w:b/>
          <w:bCs/>
          <w:sz w:val="24"/>
        </w:rPr>
        <w:t>12</w:t>
      </w:r>
    </w:p>
    <w:p w14:paraId="4BE975D8">
      <w:pPr>
        <w:pStyle w:val="7"/>
        <w:jc w:val="center"/>
        <w:rPr>
          <w:rFonts w:hint="eastAsia" w:asciiTheme="minorEastAsia" w:hAnsiTheme="minorEastAsia" w:eastAsiaTheme="minorEastAsia" w:cstheme="minorEastAsia"/>
          <w:sz w:val="24"/>
          <w:szCs w:val="24"/>
        </w:rPr>
      </w:pPr>
      <w:bookmarkStart w:id="165" w:name="_Toc13047"/>
      <w:r>
        <w:rPr>
          <w:rFonts w:hint="eastAsia" w:asciiTheme="minorEastAsia" w:hAnsiTheme="minorEastAsia" w:eastAsiaTheme="minorEastAsia" w:cstheme="minorEastAsia"/>
          <w:sz w:val="24"/>
          <w:szCs w:val="24"/>
        </w:rPr>
        <w:t>中小微企业声明函</w:t>
      </w:r>
      <w:bookmarkEnd w:id="165"/>
    </w:p>
    <w:p w14:paraId="22CAF57B">
      <w:pPr>
        <w:widowControl/>
        <w:spacing w:line="360" w:lineRule="auto"/>
        <w:ind w:firstLine="480" w:firstLineChars="20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中小企业声明函（服务）</w:t>
      </w:r>
    </w:p>
    <w:p w14:paraId="0B56B31E">
      <w:pPr>
        <w:widowControl/>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1F8F8C9">
      <w:pPr>
        <w:widowControl/>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u w:val="single"/>
        </w:rPr>
        <w:t>（标的名称）</w:t>
      </w:r>
      <w:r>
        <w:rPr>
          <w:rFonts w:hint="eastAsia" w:asciiTheme="minorEastAsia" w:hAnsiTheme="minorEastAsia" w:eastAsiaTheme="minorEastAsia" w:cstheme="minorEastAsia"/>
          <w:kern w:val="0"/>
          <w:sz w:val="24"/>
          <w:szCs w:val="24"/>
        </w:rPr>
        <w:t>，属于</w:t>
      </w:r>
      <w:r>
        <w:rPr>
          <w:rFonts w:hint="eastAsia" w:asciiTheme="minorEastAsia" w:hAnsiTheme="minorEastAsia" w:eastAsiaTheme="minorEastAsia" w:cstheme="minorEastAsia"/>
          <w:kern w:val="0"/>
          <w:sz w:val="24"/>
          <w:szCs w:val="24"/>
          <w:u w:val="single"/>
        </w:rPr>
        <w:t xml:space="preserve"> 其他未列明行业 </w:t>
      </w:r>
      <w:r>
        <w:rPr>
          <w:rFonts w:hint="eastAsia" w:asciiTheme="minorEastAsia" w:hAnsiTheme="minorEastAsia" w:eastAsiaTheme="minorEastAsia" w:cstheme="minorEastAsia"/>
          <w:kern w:val="0"/>
          <w:sz w:val="24"/>
          <w:szCs w:val="24"/>
        </w:rPr>
        <w:t>；承建（承接）企业为</w:t>
      </w:r>
      <w:r>
        <w:rPr>
          <w:rFonts w:hint="eastAsia" w:asciiTheme="minorEastAsia" w:hAnsiTheme="minorEastAsia" w:eastAsiaTheme="minorEastAsia" w:cstheme="minorEastAsia"/>
          <w:kern w:val="0"/>
          <w:sz w:val="24"/>
          <w:szCs w:val="24"/>
          <w:u w:val="single"/>
        </w:rPr>
        <w:t>（企业名称）</w:t>
      </w:r>
      <w:r>
        <w:rPr>
          <w:rFonts w:hint="eastAsia" w:asciiTheme="minorEastAsia" w:hAnsiTheme="minorEastAsia" w:eastAsiaTheme="minorEastAsia" w:cstheme="minorEastAsia"/>
          <w:kern w:val="0"/>
          <w:sz w:val="24"/>
          <w:szCs w:val="24"/>
        </w:rPr>
        <w:t>，从业人员</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人，营业收入为</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万元，资产总额为</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万元，属于</w:t>
      </w:r>
      <w:r>
        <w:rPr>
          <w:rFonts w:hint="eastAsia" w:asciiTheme="minorEastAsia" w:hAnsiTheme="minorEastAsia" w:eastAsiaTheme="minorEastAsia" w:cstheme="minorEastAsia"/>
          <w:kern w:val="0"/>
          <w:sz w:val="24"/>
          <w:szCs w:val="24"/>
          <w:u w:val="single"/>
        </w:rPr>
        <w:t>（中型企业、小型企业、微型企业）</w:t>
      </w:r>
      <w:r>
        <w:rPr>
          <w:rFonts w:hint="eastAsia" w:asciiTheme="minorEastAsia" w:hAnsiTheme="minorEastAsia" w:eastAsiaTheme="minorEastAsia" w:cstheme="minorEastAsia"/>
          <w:kern w:val="0"/>
          <w:sz w:val="24"/>
          <w:szCs w:val="24"/>
        </w:rPr>
        <w:t>；</w:t>
      </w:r>
    </w:p>
    <w:p w14:paraId="272B2794">
      <w:pPr>
        <w:widowControl/>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u w:val="single"/>
        </w:rPr>
        <w:t>（标的名称）</w:t>
      </w:r>
      <w:r>
        <w:rPr>
          <w:rFonts w:hint="eastAsia" w:asciiTheme="minorEastAsia" w:hAnsiTheme="minorEastAsia" w:eastAsiaTheme="minorEastAsia" w:cstheme="minorEastAsia"/>
          <w:kern w:val="0"/>
          <w:sz w:val="24"/>
          <w:szCs w:val="24"/>
        </w:rPr>
        <w:t>，属于</w:t>
      </w:r>
      <w:r>
        <w:rPr>
          <w:rFonts w:hint="eastAsia" w:asciiTheme="minorEastAsia" w:hAnsiTheme="minorEastAsia" w:eastAsiaTheme="minorEastAsia" w:cstheme="minorEastAsia"/>
          <w:kern w:val="0"/>
          <w:sz w:val="24"/>
          <w:szCs w:val="24"/>
          <w:u w:val="single"/>
        </w:rPr>
        <w:t xml:space="preserve"> 其他未列明行业 </w:t>
      </w:r>
      <w:r>
        <w:rPr>
          <w:rFonts w:hint="eastAsia" w:asciiTheme="minorEastAsia" w:hAnsiTheme="minorEastAsia" w:eastAsiaTheme="minorEastAsia" w:cstheme="minorEastAsia"/>
          <w:kern w:val="0"/>
          <w:sz w:val="24"/>
          <w:szCs w:val="24"/>
        </w:rPr>
        <w:t>；承建（承接）企业为</w:t>
      </w:r>
      <w:r>
        <w:rPr>
          <w:rFonts w:hint="eastAsia" w:asciiTheme="minorEastAsia" w:hAnsiTheme="minorEastAsia" w:eastAsiaTheme="minorEastAsia" w:cstheme="minorEastAsia"/>
          <w:kern w:val="0"/>
          <w:sz w:val="24"/>
          <w:szCs w:val="24"/>
          <w:u w:val="single"/>
        </w:rPr>
        <w:t>（企业名称）</w:t>
      </w:r>
      <w:r>
        <w:rPr>
          <w:rFonts w:hint="eastAsia" w:asciiTheme="minorEastAsia" w:hAnsiTheme="minorEastAsia" w:eastAsiaTheme="minorEastAsia" w:cstheme="minorEastAsia"/>
          <w:kern w:val="0"/>
          <w:sz w:val="24"/>
          <w:szCs w:val="24"/>
        </w:rPr>
        <w:t>，从业人员</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人，营业收入为</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万元，资产总额为</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万元，属于</w:t>
      </w:r>
      <w:r>
        <w:rPr>
          <w:rFonts w:hint="eastAsia" w:asciiTheme="minorEastAsia" w:hAnsiTheme="minorEastAsia" w:eastAsiaTheme="minorEastAsia" w:cstheme="minorEastAsia"/>
          <w:kern w:val="0"/>
          <w:sz w:val="24"/>
          <w:szCs w:val="24"/>
          <w:u w:val="single"/>
        </w:rPr>
        <w:t>（中型企业、小型企业、微型企业）</w:t>
      </w:r>
      <w:r>
        <w:rPr>
          <w:rFonts w:hint="eastAsia" w:asciiTheme="minorEastAsia" w:hAnsiTheme="minorEastAsia" w:eastAsiaTheme="minorEastAsia" w:cstheme="minorEastAsia"/>
          <w:kern w:val="0"/>
          <w:sz w:val="24"/>
          <w:szCs w:val="24"/>
        </w:rPr>
        <w:t>；</w:t>
      </w:r>
    </w:p>
    <w:p w14:paraId="5A14765D">
      <w:pPr>
        <w:widowControl/>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p w14:paraId="495D0AA0">
      <w:pPr>
        <w:widowControl/>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以上企业，不属于大企业的分支机构，不存在控股股东为大企业的情形，也不存在与大企业的负责人为同一人的情形。</w:t>
      </w:r>
    </w:p>
    <w:p w14:paraId="4CB6CC31">
      <w:pPr>
        <w:widowControl/>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本企业对上述声明内容的真实性负责。如有虚假，将依法承担相应责任。</w:t>
      </w:r>
    </w:p>
    <w:p w14:paraId="55EF8D80">
      <w:pPr>
        <w:widowControl/>
        <w:wordWrap w:val="0"/>
        <w:spacing w:line="360" w:lineRule="auto"/>
        <w:ind w:firstLine="480" w:firstLineChars="200"/>
        <w:jc w:val="right"/>
        <w:rPr>
          <w:rFonts w:hint="eastAsia" w:asciiTheme="minorEastAsia" w:hAnsiTheme="minorEastAsia" w:eastAsiaTheme="minorEastAsia" w:cstheme="minorEastAsia"/>
          <w:kern w:val="0"/>
          <w:sz w:val="24"/>
          <w:szCs w:val="24"/>
        </w:rPr>
      </w:pPr>
    </w:p>
    <w:p w14:paraId="481203BF">
      <w:pPr>
        <w:widowControl/>
        <w:wordWrap w:val="0"/>
        <w:spacing w:line="360" w:lineRule="auto"/>
        <w:ind w:firstLine="480" w:firstLineChars="200"/>
        <w:jc w:val="righ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供应商（盖章）：        </w:t>
      </w:r>
    </w:p>
    <w:p w14:paraId="33415E55">
      <w:pPr>
        <w:widowControl/>
        <w:wordWrap w:val="0"/>
        <w:spacing w:line="360" w:lineRule="auto"/>
        <w:ind w:right="480" w:firstLine="480" w:firstLineChars="20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日 期：         </w:t>
      </w:r>
    </w:p>
    <w:p w14:paraId="48171D7F">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p>
    <w:p w14:paraId="11D564F2">
      <w:pPr>
        <w:widowControl/>
        <w:jc w:val="left"/>
        <w:outlineLvl w:val="0"/>
        <w:rPr>
          <w:rFonts w:hint="eastAsia" w:asciiTheme="minorEastAsia" w:hAnsiTheme="minorEastAsia" w:eastAsiaTheme="minorEastAsia" w:cstheme="minorEastAsia"/>
          <w:b/>
          <w:bCs/>
          <w:sz w:val="24"/>
          <w:szCs w:val="24"/>
        </w:rPr>
      </w:pPr>
      <w:bookmarkStart w:id="166" w:name="_Toc19534"/>
      <w:bookmarkStart w:id="167" w:name="_Toc1114"/>
      <w:r>
        <w:rPr>
          <w:rFonts w:hint="eastAsia" w:asciiTheme="minorEastAsia" w:hAnsiTheme="minorEastAsia" w:eastAsiaTheme="minorEastAsia" w:cstheme="minorEastAsia"/>
          <w:b/>
          <w:bCs/>
          <w:sz w:val="24"/>
          <w:szCs w:val="24"/>
        </w:rPr>
        <w:t>附件</w:t>
      </w:r>
      <w:bookmarkEnd w:id="166"/>
      <w:bookmarkEnd w:id="167"/>
      <w:r>
        <w:rPr>
          <w:rFonts w:hint="eastAsia" w:asciiTheme="minorEastAsia" w:hAnsiTheme="minorEastAsia" w:eastAsiaTheme="minorEastAsia" w:cstheme="minorEastAsia"/>
          <w:b/>
          <w:bCs/>
          <w:sz w:val="24"/>
          <w:szCs w:val="24"/>
        </w:rPr>
        <w:t>13</w:t>
      </w:r>
    </w:p>
    <w:p w14:paraId="43C7414B">
      <w:pPr>
        <w:tabs>
          <w:tab w:val="left" w:pos="996"/>
        </w:tabs>
        <w:spacing w:line="500" w:lineRule="exact"/>
        <w:jc w:val="center"/>
        <w:rPr>
          <w:rFonts w:hint="eastAsia" w:asciiTheme="minorEastAsia" w:hAnsiTheme="minorEastAsia" w:eastAsiaTheme="minorEastAsia" w:cstheme="minorEastAsia"/>
          <w:b/>
          <w:sz w:val="24"/>
          <w:szCs w:val="24"/>
        </w:rPr>
      </w:pPr>
      <w:bookmarkStart w:id="168" w:name="_Hlk7871373"/>
      <w:r>
        <w:rPr>
          <w:rFonts w:hint="eastAsia" w:asciiTheme="minorEastAsia" w:hAnsiTheme="minorEastAsia" w:eastAsiaTheme="minorEastAsia" w:cstheme="minorEastAsia"/>
          <w:b/>
          <w:sz w:val="24"/>
          <w:szCs w:val="24"/>
        </w:rPr>
        <w:t>评审中所需资料</w:t>
      </w:r>
    </w:p>
    <w:bookmarkEnd w:id="168"/>
    <w:p w14:paraId="4EAE693C">
      <w:pPr>
        <w:tabs>
          <w:tab w:val="left" w:pos="996"/>
        </w:tabs>
        <w:spacing w:line="480" w:lineRule="auto"/>
        <w:jc w:val="center"/>
        <w:rPr>
          <w:rFonts w:hint="eastAsia" w:asciiTheme="minorEastAsia" w:hAnsiTheme="minorEastAsia" w:eastAsiaTheme="minorEastAsia" w:cstheme="minorEastAsia"/>
          <w:b/>
          <w:bCs/>
          <w:sz w:val="24"/>
          <w:szCs w:val="24"/>
        </w:rPr>
      </w:pPr>
    </w:p>
    <w:p w14:paraId="79ACC691">
      <w:pPr>
        <w:tabs>
          <w:tab w:val="left" w:pos="996"/>
        </w:tabs>
        <w:spacing w:line="48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由供应商自行编写，无具体格式。</w:t>
      </w:r>
    </w:p>
    <w:p w14:paraId="6E8C0C97">
      <w:pPr>
        <w:tabs>
          <w:tab w:val="left" w:pos="996"/>
        </w:tabs>
        <w:spacing w:line="500" w:lineRule="exact"/>
        <w:jc w:val="left"/>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br w:type="page"/>
      </w:r>
      <w:bookmarkStart w:id="169" w:name="_Toc1107"/>
      <w:bookmarkStart w:id="170" w:name="_Toc3583"/>
      <w:r>
        <w:rPr>
          <w:rFonts w:hint="eastAsia" w:asciiTheme="minorEastAsia" w:hAnsiTheme="minorEastAsia" w:eastAsiaTheme="minorEastAsia" w:cstheme="minorEastAsia"/>
          <w:b/>
          <w:bCs/>
          <w:sz w:val="24"/>
          <w:szCs w:val="24"/>
        </w:rPr>
        <w:t>附件</w:t>
      </w:r>
      <w:bookmarkEnd w:id="169"/>
      <w:bookmarkEnd w:id="170"/>
      <w:r>
        <w:rPr>
          <w:rFonts w:hint="eastAsia" w:asciiTheme="minorEastAsia" w:hAnsiTheme="minorEastAsia" w:eastAsiaTheme="minorEastAsia" w:cstheme="minorEastAsia"/>
          <w:b/>
          <w:bCs/>
          <w:sz w:val="24"/>
          <w:szCs w:val="24"/>
        </w:rPr>
        <w:t>14</w:t>
      </w:r>
    </w:p>
    <w:p w14:paraId="4D3D3C8A">
      <w:pPr>
        <w:widowControl/>
        <w:spacing w:line="360" w:lineRule="auto"/>
        <w:ind w:left="720"/>
        <w:jc w:val="center"/>
        <w:outlineLvl w:val="0"/>
        <w:rPr>
          <w:rFonts w:hint="eastAsia" w:asciiTheme="minorEastAsia" w:hAnsiTheme="minorEastAsia" w:eastAsiaTheme="minorEastAsia" w:cstheme="minorEastAsia"/>
        </w:rPr>
      </w:pPr>
      <w:bookmarkStart w:id="171" w:name="_Toc32680"/>
      <w:bookmarkStart w:id="172" w:name="_Toc14687"/>
      <w:r>
        <w:rPr>
          <w:rFonts w:hint="eastAsia" w:asciiTheme="minorEastAsia" w:hAnsiTheme="minorEastAsia" w:eastAsiaTheme="minorEastAsia" w:cstheme="minorEastAsia"/>
          <w:b/>
          <w:sz w:val="24"/>
          <w:szCs w:val="24"/>
        </w:rPr>
        <w:t>供应商认为有必要提供的其他资料</w:t>
      </w:r>
      <w:bookmarkEnd w:id="171"/>
      <w:bookmarkEnd w:id="172"/>
    </w:p>
    <w:p w14:paraId="45E9FB5E">
      <w:pPr>
        <w:widowControl/>
        <w:spacing w:line="360" w:lineRule="auto"/>
        <w:ind w:left="720"/>
        <w:jc w:val="center"/>
        <w:outlineLvl w:val="0"/>
        <w:rPr>
          <w:rFonts w:hint="eastAsia" w:asciiTheme="minorEastAsia" w:hAnsiTheme="minorEastAsia" w:eastAsiaTheme="minorEastAsia" w:cstheme="minorEastAsia"/>
        </w:rPr>
      </w:pPr>
    </w:p>
    <w:sectPr>
      <w:headerReference r:id="rId8" w:type="default"/>
      <w:footerReference r:id="rId9" w:type="default"/>
      <w:pgSz w:w="11911" w:h="16838"/>
      <w:pgMar w:top="1440" w:right="1633" w:bottom="1440" w:left="1633" w:header="0" w:footer="879"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9418E">
    <w:pPr>
      <w:autoSpaceDE w:val="0"/>
      <w:autoSpaceDN w:val="0"/>
      <w:spacing w:line="14" w:lineRule="auto"/>
      <w:jc w:val="left"/>
      <w:rPr>
        <w:rFonts w:hint="eastAsia" w:ascii="宋体" w:hAnsi="宋体" w:cs="宋体"/>
        <w:sz w:val="20"/>
        <w:szCs w:val="24"/>
        <w:lang w:val="zh-CN" w:bidi="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8CC34">
    <w:pPr>
      <w:pStyle w:val="23"/>
      <w:jc w:val="center"/>
    </w:pPr>
  </w:p>
  <w:p w14:paraId="7B8037A7">
    <w:pPr>
      <w:pStyle w:val="23"/>
      <w:ind w:right="360"/>
      <w:rPr>
        <w:rFonts w:ascii="宋体"/>
        <w:kern w:val="0"/>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D8001">
    <w:pPr>
      <w:pStyle w:val="2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CB02C09">
                          <w:pPr>
                            <w:pStyle w:val="23"/>
                            <w:jc w:val="center"/>
                          </w:pPr>
                          <w:r>
                            <w:fldChar w:fldCharType="begin"/>
                          </w:r>
                          <w:r>
                            <w:instrText xml:space="preserve"> PAGE   \* MERGEFORMAT </w:instrText>
                          </w:r>
                          <w:r>
                            <w:fldChar w:fldCharType="separate"/>
                          </w:r>
                          <w:r>
                            <w:rPr>
                              <w:lang w:val="zh-CN"/>
                            </w:rPr>
                            <w:t>-</w:t>
                          </w:r>
                          <w:r>
                            <w:t xml:space="preserve"> 29 -</w:t>
                          </w:r>
                          <w: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AUP3SJywEAAJcDAAAOAAAAAAAAAAEAIAAAACIBAABkcnMv&#10;ZTJvRG9jLnhtbFBLBQYAAAAABgAGAFkBAABfBQAAAAA=&#10;">
              <v:fill on="f" focussize="0,0"/>
              <v:stroke on="f" weight="1.25pt"/>
              <v:imagedata o:title=""/>
              <o:lock v:ext="edit" aspectratio="f"/>
              <v:textbox inset="0mm,0mm,0mm,0mm" style="mso-fit-shape-to-text:t;">
                <w:txbxContent>
                  <w:p w14:paraId="3CB02C09">
                    <w:pPr>
                      <w:pStyle w:val="23"/>
                      <w:jc w:val="center"/>
                    </w:pPr>
                    <w:r>
                      <w:fldChar w:fldCharType="begin"/>
                    </w:r>
                    <w:r>
                      <w:instrText xml:space="preserve"> PAGE   \* MERGEFORMAT </w:instrText>
                    </w:r>
                    <w:r>
                      <w:fldChar w:fldCharType="separate"/>
                    </w:r>
                    <w:r>
                      <w:rPr>
                        <w:lang w:val="zh-CN"/>
                      </w:rPr>
                      <w:t>-</w:t>
                    </w:r>
                    <w:r>
                      <w:t xml:space="preserve"> 29 -</w:t>
                    </w:r>
                    <w:r>
                      <w:fldChar w:fldCharType="end"/>
                    </w:r>
                  </w:p>
                </w:txbxContent>
              </v:textbox>
            </v:shape>
          </w:pict>
        </mc:Fallback>
      </mc:AlternateContent>
    </w:r>
  </w:p>
  <w:p w14:paraId="659B1B5E">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9A7BF">
    <w:pPr>
      <w:pStyle w:val="2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5EF7E5">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A5EF7E5">
                    <w:pPr>
                      <w:pStyle w:val="23"/>
                    </w:pPr>
                    <w:r>
                      <w:fldChar w:fldCharType="begin"/>
                    </w:r>
                    <w:r>
                      <w:instrText xml:space="preserve"> PAGE  \* MERGEFORMAT </w:instrText>
                    </w:r>
                    <w:r>
                      <w:fldChar w:fldCharType="separate"/>
                    </w:r>
                    <w:r>
                      <w:t>1</w:t>
                    </w:r>
                    <w:r>
                      <w:fldChar w:fldCharType="end"/>
                    </w:r>
                  </w:p>
                </w:txbxContent>
              </v:textbox>
            </v:shape>
          </w:pict>
        </mc:Fallback>
      </mc:AlternateContent>
    </w:r>
  </w:p>
  <w:p w14:paraId="23F2D2E4">
    <w:pPr>
      <w:pStyle w:val="23"/>
      <w:ind w:right="360"/>
      <w:rPr>
        <w:rFonts w:ascii="宋体"/>
        <w:kern w:val="0"/>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A4F06">
    <w:pPr>
      <w:pStyle w:val="24"/>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4D8C">
    <w:pPr>
      <w:pStyle w:val="24"/>
      <w:pBdr>
        <w:top w:val="none" w:color="auto" w:sz="0" w:space="1"/>
        <w:left w:val="none" w:color="auto" w:sz="0" w:space="4"/>
        <w:bottom w:val="none" w:color="auto" w:sz="0" w:space="1"/>
        <w:right w:val="none" w:color="auto" w:sz="0" w:space="4"/>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7272B">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CBCA4"/>
    <w:multiLevelType w:val="singleLevel"/>
    <w:tmpl w:val="E77CBCA4"/>
    <w:lvl w:ilvl="0" w:tentative="0">
      <w:start w:val="1"/>
      <w:numFmt w:val="decimal"/>
      <w:suff w:val="nothing"/>
      <w:lvlText w:val="（%1）"/>
      <w:lvlJc w:val="left"/>
    </w:lvl>
  </w:abstractNum>
  <w:abstractNum w:abstractNumId="1">
    <w:nsid w:val="EA1D55C2"/>
    <w:multiLevelType w:val="singleLevel"/>
    <w:tmpl w:val="EA1D55C2"/>
    <w:lvl w:ilvl="0" w:tentative="0">
      <w:start w:val="3"/>
      <w:numFmt w:val="decimal"/>
      <w:lvlText w:val="%1."/>
      <w:lvlJc w:val="left"/>
      <w:pPr>
        <w:tabs>
          <w:tab w:val="left" w:pos="312"/>
        </w:tabs>
      </w:pPr>
    </w:lvl>
  </w:abstractNum>
  <w:abstractNum w:abstractNumId="2">
    <w:nsid w:val="050E14F7"/>
    <w:multiLevelType w:val="singleLevel"/>
    <w:tmpl w:val="050E14F7"/>
    <w:lvl w:ilvl="0" w:tentative="0">
      <w:start w:val="1"/>
      <w:numFmt w:val="decimal"/>
      <w:suff w:val="nothing"/>
      <w:lvlText w:val="（%1）"/>
      <w:lvlJc w:val="left"/>
    </w:lvl>
  </w:abstractNum>
  <w:abstractNum w:abstractNumId="3">
    <w:nsid w:val="3F2E7D64"/>
    <w:multiLevelType w:val="singleLevel"/>
    <w:tmpl w:val="3F2E7D64"/>
    <w:lvl w:ilvl="0" w:tentative="0">
      <w:start w:val="5"/>
      <w:numFmt w:val="chineseCounting"/>
      <w:suff w:val="nothing"/>
      <w:lvlText w:val="%1、"/>
      <w:lvlJc w:val="left"/>
      <w:rPr>
        <w:rFonts w:hint="eastAsia"/>
      </w:rPr>
    </w:lvl>
  </w:abstractNum>
  <w:abstractNum w:abstractNumId="4">
    <w:nsid w:val="721853E8"/>
    <w:multiLevelType w:val="multilevel"/>
    <w:tmpl w:val="721853E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7494AA2"/>
    <w:multiLevelType w:val="singleLevel"/>
    <w:tmpl w:val="77494AA2"/>
    <w:lvl w:ilvl="0" w:tentative="0">
      <w:start w:val="2"/>
      <w:numFmt w:val="chineseCounting"/>
      <w:suff w:val="nothing"/>
      <w:lvlText w:val="%1、"/>
      <w:lvlJc w:val="left"/>
      <w:rPr>
        <w:rFonts w:hint="eastAsia"/>
      </w:rPr>
    </w:lvl>
  </w:abstractNum>
  <w:abstractNum w:abstractNumId="6">
    <w:nsid w:val="78F19E4C"/>
    <w:multiLevelType w:val="singleLevel"/>
    <w:tmpl w:val="78F19E4C"/>
    <w:lvl w:ilvl="0" w:tentative="0">
      <w:start w:val="4"/>
      <w:numFmt w:val="chineseCounting"/>
      <w:suff w:val="space"/>
      <w:lvlText w:val="第%1部分"/>
      <w:lvlJc w:val="left"/>
      <w:rPr>
        <w:rFonts w:hint="eastAsia"/>
      </w:rPr>
    </w:lvl>
  </w:abstractNum>
  <w:num w:numId="1">
    <w:abstractNumId w:val="1"/>
  </w:num>
  <w:num w:numId="2">
    <w:abstractNumId w:val="2"/>
  </w:num>
  <w:num w:numId="3">
    <w:abstractNumId w:val="3"/>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MGQ5YzMwMmQ3OTdmMzkwYjhlZGQ1NmQ3NGI1ZGIifQ=="/>
    <w:docVar w:name="KSO_WPS_MARK_KEY" w:val="fc030781-f9b1-4b1a-83ad-26491d6d2519"/>
  </w:docVars>
  <w:rsids>
    <w:rsidRoot w:val="0052434E"/>
    <w:rsid w:val="00003009"/>
    <w:rsid w:val="000035B7"/>
    <w:rsid w:val="00007C50"/>
    <w:rsid w:val="00007D80"/>
    <w:rsid w:val="00012482"/>
    <w:rsid w:val="0001627F"/>
    <w:rsid w:val="00016722"/>
    <w:rsid w:val="00016F5D"/>
    <w:rsid w:val="00017E90"/>
    <w:rsid w:val="00021971"/>
    <w:rsid w:val="000228F6"/>
    <w:rsid w:val="000231AE"/>
    <w:rsid w:val="00024546"/>
    <w:rsid w:val="00024EBC"/>
    <w:rsid w:val="000262B6"/>
    <w:rsid w:val="00027CF0"/>
    <w:rsid w:val="0003071A"/>
    <w:rsid w:val="00031579"/>
    <w:rsid w:val="000333DF"/>
    <w:rsid w:val="00033E52"/>
    <w:rsid w:val="00034063"/>
    <w:rsid w:val="000347F4"/>
    <w:rsid w:val="00036433"/>
    <w:rsid w:val="00041DB0"/>
    <w:rsid w:val="000433F2"/>
    <w:rsid w:val="00045EDD"/>
    <w:rsid w:val="00046AAD"/>
    <w:rsid w:val="00047338"/>
    <w:rsid w:val="0005137C"/>
    <w:rsid w:val="0005268E"/>
    <w:rsid w:val="00052742"/>
    <w:rsid w:val="00054917"/>
    <w:rsid w:val="000554DD"/>
    <w:rsid w:val="000565E6"/>
    <w:rsid w:val="000568ED"/>
    <w:rsid w:val="0006040F"/>
    <w:rsid w:val="00062214"/>
    <w:rsid w:val="00062604"/>
    <w:rsid w:val="00062713"/>
    <w:rsid w:val="00062A44"/>
    <w:rsid w:val="00065494"/>
    <w:rsid w:val="00070428"/>
    <w:rsid w:val="0007052D"/>
    <w:rsid w:val="0007065C"/>
    <w:rsid w:val="00071080"/>
    <w:rsid w:val="00071821"/>
    <w:rsid w:val="00071EE4"/>
    <w:rsid w:val="00076439"/>
    <w:rsid w:val="00076C3D"/>
    <w:rsid w:val="00077A10"/>
    <w:rsid w:val="00080449"/>
    <w:rsid w:val="00083FB2"/>
    <w:rsid w:val="000846A9"/>
    <w:rsid w:val="00084FFF"/>
    <w:rsid w:val="000869B2"/>
    <w:rsid w:val="00087B48"/>
    <w:rsid w:val="00090AD9"/>
    <w:rsid w:val="00090D5A"/>
    <w:rsid w:val="0009138C"/>
    <w:rsid w:val="000941D7"/>
    <w:rsid w:val="00094601"/>
    <w:rsid w:val="000969EC"/>
    <w:rsid w:val="000971CC"/>
    <w:rsid w:val="000976F6"/>
    <w:rsid w:val="000A19F3"/>
    <w:rsid w:val="000A3BB1"/>
    <w:rsid w:val="000B3627"/>
    <w:rsid w:val="000B401E"/>
    <w:rsid w:val="000B4A0A"/>
    <w:rsid w:val="000B5C38"/>
    <w:rsid w:val="000B7910"/>
    <w:rsid w:val="000C0CD7"/>
    <w:rsid w:val="000C44EA"/>
    <w:rsid w:val="000C474B"/>
    <w:rsid w:val="000C5572"/>
    <w:rsid w:val="000C5A15"/>
    <w:rsid w:val="000D0937"/>
    <w:rsid w:val="000D0AF7"/>
    <w:rsid w:val="000D1CCB"/>
    <w:rsid w:val="000D1E24"/>
    <w:rsid w:val="000D267D"/>
    <w:rsid w:val="000D45E6"/>
    <w:rsid w:val="000D4D6F"/>
    <w:rsid w:val="000D5374"/>
    <w:rsid w:val="000D5712"/>
    <w:rsid w:val="000D6577"/>
    <w:rsid w:val="000D6A82"/>
    <w:rsid w:val="000D6B87"/>
    <w:rsid w:val="000D7149"/>
    <w:rsid w:val="000E086E"/>
    <w:rsid w:val="000E25D1"/>
    <w:rsid w:val="000E53E6"/>
    <w:rsid w:val="000E572B"/>
    <w:rsid w:val="000E57C9"/>
    <w:rsid w:val="000E5F6F"/>
    <w:rsid w:val="000E6145"/>
    <w:rsid w:val="000F0F1E"/>
    <w:rsid w:val="000F2B60"/>
    <w:rsid w:val="000F3437"/>
    <w:rsid w:val="000F3C76"/>
    <w:rsid w:val="000F44D8"/>
    <w:rsid w:val="001011F2"/>
    <w:rsid w:val="00101335"/>
    <w:rsid w:val="0010171A"/>
    <w:rsid w:val="00103B1C"/>
    <w:rsid w:val="00103DD4"/>
    <w:rsid w:val="00104572"/>
    <w:rsid w:val="0010504D"/>
    <w:rsid w:val="001075B7"/>
    <w:rsid w:val="00107A1D"/>
    <w:rsid w:val="00110651"/>
    <w:rsid w:val="0011274C"/>
    <w:rsid w:val="00112BBC"/>
    <w:rsid w:val="001144B8"/>
    <w:rsid w:val="00122106"/>
    <w:rsid w:val="00122974"/>
    <w:rsid w:val="0012799C"/>
    <w:rsid w:val="001307D2"/>
    <w:rsid w:val="00130C90"/>
    <w:rsid w:val="00131CF6"/>
    <w:rsid w:val="00131E73"/>
    <w:rsid w:val="00131E74"/>
    <w:rsid w:val="0013440A"/>
    <w:rsid w:val="00134EA7"/>
    <w:rsid w:val="0013658B"/>
    <w:rsid w:val="0014073D"/>
    <w:rsid w:val="00141187"/>
    <w:rsid w:val="0014178E"/>
    <w:rsid w:val="0014240E"/>
    <w:rsid w:val="00143328"/>
    <w:rsid w:val="00144678"/>
    <w:rsid w:val="0014497C"/>
    <w:rsid w:val="00150271"/>
    <w:rsid w:val="00152C72"/>
    <w:rsid w:val="0015555A"/>
    <w:rsid w:val="00156ABD"/>
    <w:rsid w:val="00162A14"/>
    <w:rsid w:val="001639CC"/>
    <w:rsid w:val="00163AFA"/>
    <w:rsid w:val="001643F6"/>
    <w:rsid w:val="00166A22"/>
    <w:rsid w:val="001705BC"/>
    <w:rsid w:val="00170AC7"/>
    <w:rsid w:val="00170BB2"/>
    <w:rsid w:val="0017251E"/>
    <w:rsid w:val="001779DC"/>
    <w:rsid w:val="00177C33"/>
    <w:rsid w:val="001813BF"/>
    <w:rsid w:val="00183CC2"/>
    <w:rsid w:val="001857AE"/>
    <w:rsid w:val="001861A8"/>
    <w:rsid w:val="00187C65"/>
    <w:rsid w:val="00190057"/>
    <w:rsid w:val="00190291"/>
    <w:rsid w:val="001906E5"/>
    <w:rsid w:val="001914B2"/>
    <w:rsid w:val="0019206A"/>
    <w:rsid w:val="001929B8"/>
    <w:rsid w:val="0019383A"/>
    <w:rsid w:val="001A1285"/>
    <w:rsid w:val="001A3F72"/>
    <w:rsid w:val="001A4043"/>
    <w:rsid w:val="001A472E"/>
    <w:rsid w:val="001A560E"/>
    <w:rsid w:val="001A5C22"/>
    <w:rsid w:val="001A60AD"/>
    <w:rsid w:val="001A7E0C"/>
    <w:rsid w:val="001B15FB"/>
    <w:rsid w:val="001B1800"/>
    <w:rsid w:val="001B25F2"/>
    <w:rsid w:val="001B4732"/>
    <w:rsid w:val="001B4820"/>
    <w:rsid w:val="001B55C4"/>
    <w:rsid w:val="001C0793"/>
    <w:rsid w:val="001C1596"/>
    <w:rsid w:val="001C2485"/>
    <w:rsid w:val="001C532F"/>
    <w:rsid w:val="001C5E4C"/>
    <w:rsid w:val="001C6C49"/>
    <w:rsid w:val="001D0419"/>
    <w:rsid w:val="001D1558"/>
    <w:rsid w:val="001D1978"/>
    <w:rsid w:val="001D19C2"/>
    <w:rsid w:val="001D2948"/>
    <w:rsid w:val="001D3934"/>
    <w:rsid w:val="001D6810"/>
    <w:rsid w:val="001E04B0"/>
    <w:rsid w:val="001E06C1"/>
    <w:rsid w:val="001E0E0E"/>
    <w:rsid w:val="001E0E75"/>
    <w:rsid w:val="001E1340"/>
    <w:rsid w:val="001E1416"/>
    <w:rsid w:val="001E2DBF"/>
    <w:rsid w:val="001F1BDD"/>
    <w:rsid w:val="001F1DC1"/>
    <w:rsid w:val="001F2D2D"/>
    <w:rsid w:val="001F5C1D"/>
    <w:rsid w:val="002049BC"/>
    <w:rsid w:val="002061A3"/>
    <w:rsid w:val="00206A3E"/>
    <w:rsid w:val="002077D2"/>
    <w:rsid w:val="00210D8E"/>
    <w:rsid w:val="00210FF4"/>
    <w:rsid w:val="002114E8"/>
    <w:rsid w:val="00213A51"/>
    <w:rsid w:val="00213A59"/>
    <w:rsid w:val="00216E1D"/>
    <w:rsid w:val="00217597"/>
    <w:rsid w:val="0022328A"/>
    <w:rsid w:val="00230042"/>
    <w:rsid w:val="002302AE"/>
    <w:rsid w:val="0023135B"/>
    <w:rsid w:val="00233690"/>
    <w:rsid w:val="00235631"/>
    <w:rsid w:val="002360C4"/>
    <w:rsid w:val="00241B80"/>
    <w:rsid w:val="00247591"/>
    <w:rsid w:val="0025060A"/>
    <w:rsid w:val="002525FA"/>
    <w:rsid w:val="00252A60"/>
    <w:rsid w:val="00255BD3"/>
    <w:rsid w:val="00262068"/>
    <w:rsid w:val="002623BE"/>
    <w:rsid w:val="00263077"/>
    <w:rsid w:val="00263502"/>
    <w:rsid w:val="00263E5B"/>
    <w:rsid w:val="00264538"/>
    <w:rsid w:val="00266F2A"/>
    <w:rsid w:val="002673D1"/>
    <w:rsid w:val="002708C0"/>
    <w:rsid w:val="00270A26"/>
    <w:rsid w:val="00273428"/>
    <w:rsid w:val="00274716"/>
    <w:rsid w:val="00276744"/>
    <w:rsid w:val="002840D1"/>
    <w:rsid w:val="0028739E"/>
    <w:rsid w:val="0028792E"/>
    <w:rsid w:val="00287EFA"/>
    <w:rsid w:val="0029101F"/>
    <w:rsid w:val="002916C7"/>
    <w:rsid w:val="002919A5"/>
    <w:rsid w:val="00292233"/>
    <w:rsid w:val="002934E2"/>
    <w:rsid w:val="0029415F"/>
    <w:rsid w:val="002954D3"/>
    <w:rsid w:val="00295736"/>
    <w:rsid w:val="00296216"/>
    <w:rsid w:val="002963F7"/>
    <w:rsid w:val="002A22CB"/>
    <w:rsid w:val="002A2AAF"/>
    <w:rsid w:val="002A4254"/>
    <w:rsid w:val="002A4877"/>
    <w:rsid w:val="002A55E5"/>
    <w:rsid w:val="002A790A"/>
    <w:rsid w:val="002A7B9E"/>
    <w:rsid w:val="002B110A"/>
    <w:rsid w:val="002B1167"/>
    <w:rsid w:val="002B2612"/>
    <w:rsid w:val="002B2BBB"/>
    <w:rsid w:val="002B3339"/>
    <w:rsid w:val="002B4825"/>
    <w:rsid w:val="002B4BE1"/>
    <w:rsid w:val="002B51AF"/>
    <w:rsid w:val="002B5EBA"/>
    <w:rsid w:val="002C05EA"/>
    <w:rsid w:val="002C28A3"/>
    <w:rsid w:val="002C4E4B"/>
    <w:rsid w:val="002D09D3"/>
    <w:rsid w:val="002D7A3F"/>
    <w:rsid w:val="002E6248"/>
    <w:rsid w:val="002E65EC"/>
    <w:rsid w:val="002F05EF"/>
    <w:rsid w:val="002F0CB0"/>
    <w:rsid w:val="002F1B79"/>
    <w:rsid w:val="002F1F6C"/>
    <w:rsid w:val="002F1FC8"/>
    <w:rsid w:val="002F27E9"/>
    <w:rsid w:val="002F3922"/>
    <w:rsid w:val="002F3F67"/>
    <w:rsid w:val="002F5135"/>
    <w:rsid w:val="002F62ED"/>
    <w:rsid w:val="002F6354"/>
    <w:rsid w:val="002F6D34"/>
    <w:rsid w:val="002F73BE"/>
    <w:rsid w:val="00303010"/>
    <w:rsid w:val="003043FF"/>
    <w:rsid w:val="00305BB5"/>
    <w:rsid w:val="00305EEA"/>
    <w:rsid w:val="003060C9"/>
    <w:rsid w:val="003065F6"/>
    <w:rsid w:val="00306E89"/>
    <w:rsid w:val="0030772D"/>
    <w:rsid w:val="00314960"/>
    <w:rsid w:val="0031730B"/>
    <w:rsid w:val="003200CE"/>
    <w:rsid w:val="00320578"/>
    <w:rsid w:val="003248C3"/>
    <w:rsid w:val="003255FA"/>
    <w:rsid w:val="0032602F"/>
    <w:rsid w:val="00326E77"/>
    <w:rsid w:val="00327E23"/>
    <w:rsid w:val="00331C2B"/>
    <w:rsid w:val="00332C97"/>
    <w:rsid w:val="003351F7"/>
    <w:rsid w:val="00335710"/>
    <w:rsid w:val="0034194B"/>
    <w:rsid w:val="00341B23"/>
    <w:rsid w:val="00343DA6"/>
    <w:rsid w:val="003441F9"/>
    <w:rsid w:val="003538F9"/>
    <w:rsid w:val="00355ACC"/>
    <w:rsid w:val="003573E1"/>
    <w:rsid w:val="0035742B"/>
    <w:rsid w:val="003575D9"/>
    <w:rsid w:val="003661A5"/>
    <w:rsid w:val="00373087"/>
    <w:rsid w:val="0037311B"/>
    <w:rsid w:val="00374742"/>
    <w:rsid w:val="00374EBA"/>
    <w:rsid w:val="00375F76"/>
    <w:rsid w:val="00381527"/>
    <w:rsid w:val="003827E3"/>
    <w:rsid w:val="003842C1"/>
    <w:rsid w:val="003843D1"/>
    <w:rsid w:val="0038650B"/>
    <w:rsid w:val="003879E8"/>
    <w:rsid w:val="003912C0"/>
    <w:rsid w:val="003917B7"/>
    <w:rsid w:val="003924BA"/>
    <w:rsid w:val="003933C1"/>
    <w:rsid w:val="00393F65"/>
    <w:rsid w:val="003959A3"/>
    <w:rsid w:val="0039788F"/>
    <w:rsid w:val="003A0BAE"/>
    <w:rsid w:val="003A1F35"/>
    <w:rsid w:val="003A22B6"/>
    <w:rsid w:val="003A2E1B"/>
    <w:rsid w:val="003A3AE0"/>
    <w:rsid w:val="003A4DFE"/>
    <w:rsid w:val="003A65F7"/>
    <w:rsid w:val="003B36A2"/>
    <w:rsid w:val="003B4B15"/>
    <w:rsid w:val="003B4D13"/>
    <w:rsid w:val="003B583D"/>
    <w:rsid w:val="003B60E4"/>
    <w:rsid w:val="003B7017"/>
    <w:rsid w:val="003C056D"/>
    <w:rsid w:val="003C2A2E"/>
    <w:rsid w:val="003C2B81"/>
    <w:rsid w:val="003C371E"/>
    <w:rsid w:val="003C3950"/>
    <w:rsid w:val="003C715E"/>
    <w:rsid w:val="003D1E1C"/>
    <w:rsid w:val="003D3A56"/>
    <w:rsid w:val="003D3ADB"/>
    <w:rsid w:val="003D49BB"/>
    <w:rsid w:val="003D5A32"/>
    <w:rsid w:val="003D5CE7"/>
    <w:rsid w:val="003E14D2"/>
    <w:rsid w:val="003E23D5"/>
    <w:rsid w:val="003E2569"/>
    <w:rsid w:val="003E39D5"/>
    <w:rsid w:val="003E45FA"/>
    <w:rsid w:val="003E596B"/>
    <w:rsid w:val="003E6A83"/>
    <w:rsid w:val="003E6EA6"/>
    <w:rsid w:val="003F0F07"/>
    <w:rsid w:val="003F5C00"/>
    <w:rsid w:val="003F5EF5"/>
    <w:rsid w:val="003F64D1"/>
    <w:rsid w:val="003F6547"/>
    <w:rsid w:val="003F6D0D"/>
    <w:rsid w:val="003F7584"/>
    <w:rsid w:val="003F7A25"/>
    <w:rsid w:val="00400C7A"/>
    <w:rsid w:val="00401BBC"/>
    <w:rsid w:val="00402176"/>
    <w:rsid w:val="00404AB5"/>
    <w:rsid w:val="00410837"/>
    <w:rsid w:val="00410DC1"/>
    <w:rsid w:val="00412C12"/>
    <w:rsid w:val="004134C7"/>
    <w:rsid w:val="004136AC"/>
    <w:rsid w:val="00414176"/>
    <w:rsid w:val="00414AFB"/>
    <w:rsid w:val="004163E3"/>
    <w:rsid w:val="00416420"/>
    <w:rsid w:val="0041767A"/>
    <w:rsid w:val="00420AAF"/>
    <w:rsid w:val="004278A2"/>
    <w:rsid w:val="004279C4"/>
    <w:rsid w:val="00430D32"/>
    <w:rsid w:val="00431422"/>
    <w:rsid w:val="00431682"/>
    <w:rsid w:val="00432705"/>
    <w:rsid w:val="00433D63"/>
    <w:rsid w:val="004344AD"/>
    <w:rsid w:val="0043484F"/>
    <w:rsid w:val="0043605A"/>
    <w:rsid w:val="00436775"/>
    <w:rsid w:val="00437DD4"/>
    <w:rsid w:val="00441A92"/>
    <w:rsid w:val="00442E8D"/>
    <w:rsid w:val="00443AFA"/>
    <w:rsid w:val="00444923"/>
    <w:rsid w:val="00444CFC"/>
    <w:rsid w:val="00444F21"/>
    <w:rsid w:val="00446617"/>
    <w:rsid w:val="00447364"/>
    <w:rsid w:val="004536AD"/>
    <w:rsid w:val="00456AE0"/>
    <w:rsid w:val="0046225F"/>
    <w:rsid w:val="00464D61"/>
    <w:rsid w:val="00470AED"/>
    <w:rsid w:val="004735DD"/>
    <w:rsid w:val="004772C7"/>
    <w:rsid w:val="00477B31"/>
    <w:rsid w:val="00477D12"/>
    <w:rsid w:val="00480430"/>
    <w:rsid w:val="00484989"/>
    <w:rsid w:val="00486319"/>
    <w:rsid w:val="0048632C"/>
    <w:rsid w:val="00487431"/>
    <w:rsid w:val="00492B7A"/>
    <w:rsid w:val="00493270"/>
    <w:rsid w:val="00493F29"/>
    <w:rsid w:val="00497234"/>
    <w:rsid w:val="00497871"/>
    <w:rsid w:val="004A1B6E"/>
    <w:rsid w:val="004A1E0C"/>
    <w:rsid w:val="004A704C"/>
    <w:rsid w:val="004A7653"/>
    <w:rsid w:val="004A7BF9"/>
    <w:rsid w:val="004B0FFC"/>
    <w:rsid w:val="004B272F"/>
    <w:rsid w:val="004B5075"/>
    <w:rsid w:val="004B50B2"/>
    <w:rsid w:val="004B5597"/>
    <w:rsid w:val="004C0B3F"/>
    <w:rsid w:val="004C134A"/>
    <w:rsid w:val="004C3E8B"/>
    <w:rsid w:val="004C4FF6"/>
    <w:rsid w:val="004C6043"/>
    <w:rsid w:val="004C7C33"/>
    <w:rsid w:val="004D17DC"/>
    <w:rsid w:val="004D1E81"/>
    <w:rsid w:val="004D23F7"/>
    <w:rsid w:val="004D4D93"/>
    <w:rsid w:val="004D6173"/>
    <w:rsid w:val="004D62F2"/>
    <w:rsid w:val="004D66D2"/>
    <w:rsid w:val="004D6B5E"/>
    <w:rsid w:val="004D6EF6"/>
    <w:rsid w:val="004E1787"/>
    <w:rsid w:val="004E22AD"/>
    <w:rsid w:val="004E4CE5"/>
    <w:rsid w:val="004E57AE"/>
    <w:rsid w:val="004F01BB"/>
    <w:rsid w:val="004F04C2"/>
    <w:rsid w:val="004F17B9"/>
    <w:rsid w:val="004F24DC"/>
    <w:rsid w:val="004F5001"/>
    <w:rsid w:val="004F7154"/>
    <w:rsid w:val="0050209D"/>
    <w:rsid w:val="005072FD"/>
    <w:rsid w:val="005076E0"/>
    <w:rsid w:val="00507B91"/>
    <w:rsid w:val="0051041D"/>
    <w:rsid w:val="0051245D"/>
    <w:rsid w:val="0051497A"/>
    <w:rsid w:val="00515189"/>
    <w:rsid w:val="0051540B"/>
    <w:rsid w:val="00515E04"/>
    <w:rsid w:val="005211F6"/>
    <w:rsid w:val="0052153C"/>
    <w:rsid w:val="00522117"/>
    <w:rsid w:val="005222E4"/>
    <w:rsid w:val="00523C58"/>
    <w:rsid w:val="00524024"/>
    <w:rsid w:val="0052434E"/>
    <w:rsid w:val="00525567"/>
    <w:rsid w:val="00531388"/>
    <w:rsid w:val="00531F52"/>
    <w:rsid w:val="00532E37"/>
    <w:rsid w:val="00533E80"/>
    <w:rsid w:val="00533EE8"/>
    <w:rsid w:val="005354AF"/>
    <w:rsid w:val="00536436"/>
    <w:rsid w:val="005367D1"/>
    <w:rsid w:val="00536936"/>
    <w:rsid w:val="00540774"/>
    <w:rsid w:val="00540BF6"/>
    <w:rsid w:val="0055055A"/>
    <w:rsid w:val="00550F41"/>
    <w:rsid w:val="00551871"/>
    <w:rsid w:val="00551C00"/>
    <w:rsid w:val="005538F9"/>
    <w:rsid w:val="00555B5F"/>
    <w:rsid w:val="00555C67"/>
    <w:rsid w:val="0056064F"/>
    <w:rsid w:val="005610B7"/>
    <w:rsid w:val="00561DDF"/>
    <w:rsid w:val="00561E6C"/>
    <w:rsid w:val="0056583F"/>
    <w:rsid w:val="00565A53"/>
    <w:rsid w:val="00565C45"/>
    <w:rsid w:val="005662D1"/>
    <w:rsid w:val="00570DD3"/>
    <w:rsid w:val="00570E92"/>
    <w:rsid w:val="00571356"/>
    <w:rsid w:val="0057157D"/>
    <w:rsid w:val="005717E0"/>
    <w:rsid w:val="00572088"/>
    <w:rsid w:val="005743B2"/>
    <w:rsid w:val="0057598E"/>
    <w:rsid w:val="005759CD"/>
    <w:rsid w:val="00576727"/>
    <w:rsid w:val="005825D8"/>
    <w:rsid w:val="0058415F"/>
    <w:rsid w:val="005868AE"/>
    <w:rsid w:val="0058763A"/>
    <w:rsid w:val="00590E51"/>
    <w:rsid w:val="005915F0"/>
    <w:rsid w:val="0059398C"/>
    <w:rsid w:val="0059471D"/>
    <w:rsid w:val="00594CCD"/>
    <w:rsid w:val="00595DDF"/>
    <w:rsid w:val="005A1139"/>
    <w:rsid w:val="005A140C"/>
    <w:rsid w:val="005A1762"/>
    <w:rsid w:val="005A3611"/>
    <w:rsid w:val="005A491F"/>
    <w:rsid w:val="005A5FC5"/>
    <w:rsid w:val="005A706A"/>
    <w:rsid w:val="005A7295"/>
    <w:rsid w:val="005B3BD4"/>
    <w:rsid w:val="005B4152"/>
    <w:rsid w:val="005B61C0"/>
    <w:rsid w:val="005B6A02"/>
    <w:rsid w:val="005B7439"/>
    <w:rsid w:val="005B7E05"/>
    <w:rsid w:val="005C0719"/>
    <w:rsid w:val="005C7138"/>
    <w:rsid w:val="005C78B3"/>
    <w:rsid w:val="005D5CC9"/>
    <w:rsid w:val="005E05D6"/>
    <w:rsid w:val="005E07ED"/>
    <w:rsid w:val="005E0A53"/>
    <w:rsid w:val="005E3B92"/>
    <w:rsid w:val="005E701D"/>
    <w:rsid w:val="005F1340"/>
    <w:rsid w:val="005F5FB9"/>
    <w:rsid w:val="005F6CD4"/>
    <w:rsid w:val="006018F5"/>
    <w:rsid w:val="00601AE6"/>
    <w:rsid w:val="0060384C"/>
    <w:rsid w:val="00603C83"/>
    <w:rsid w:val="006051DF"/>
    <w:rsid w:val="006057EE"/>
    <w:rsid w:val="006072B1"/>
    <w:rsid w:val="00607B09"/>
    <w:rsid w:val="00612249"/>
    <w:rsid w:val="00612CD3"/>
    <w:rsid w:val="00613808"/>
    <w:rsid w:val="00615471"/>
    <w:rsid w:val="00621CCF"/>
    <w:rsid w:val="00622D73"/>
    <w:rsid w:val="00623A4C"/>
    <w:rsid w:val="00624765"/>
    <w:rsid w:val="006247D7"/>
    <w:rsid w:val="00627940"/>
    <w:rsid w:val="00627CD5"/>
    <w:rsid w:val="00627D34"/>
    <w:rsid w:val="00627FEE"/>
    <w:rsid w:val="00632FE6"/>
    <w:rsid w:val="006335A9"/>
    <w:rsid w:val="00635F4F"/>
    <w:rsid w:val="00636BA9"/>
    <w:rsid w:val="00637088"/>
    <w:rsid w:val="00637586"/>
    <w:rsid w:val="00637C40"/>
    <w:rsid w:val="00647FB5"/>
    <w:rsid w:val="00650967"/>
    <w:rsid w:val="006510DB"/>
    <w:rsid w:val="006526E6"/>
    <w:rsid w:val="00653A4C"/>
    <w:rsid w:val="00653CEB"/>
    <w:rsid w:val="00654443"/>
    <w:rsid w:val="00655072"/>
    <w:rsid w:val="006564AB"/>
    <w:rsid w:val="00657B24"/>
    <w:rsid w:val="00657F6B"/>
    <w:rsid w:val="00661999"/>
    <w:rsid w:val="00667300"/>
    <w:rsid w:val="006675C8"/>
    <w:rsid w:val="00670C86"/>
    <w:rsid w:val="00671993"/>
    <w:rsid w:val="00672850"/>
    <w:rsid w:val="00674620"/>
    <w:rsid w:val="00675D1C"/>
    <w:rsid w:val="00681A19"/>
    <w:rsid w:val="00683A34"/>
    <w:rsid w:val="00684001"/>
    <w:rsid w:val="00684E9A"/>
    <w:rsid w:val="00685E8A"/>
    <w:rsid w:val="00685FC5"/>
    <w:rsid w:val="00686CD6"/>
    <w:rsid w:val="00687CFD"/>
    <w:rsid w:val="00690DD1"/>
    <w:rsid w:val="00695C30"/>
    <w:rsid w:val="006963B3"/>
    <w:rsid w:val="006A0736"/>
    <w:rsid w:val="006A2836"/>
    <w:rsid w:val="006A2E56"/>
    <w:rsid w:val="006A3D54"/>
    <w:rsid w:val="006A5FF2"/>
    <w:rsid w:val="006A7B6C"/>
    <w:rsid w:val="006B16D9"/>
    <w:rsid w:val="006B2933"/>
    <w:rsid w:val="006B3E1F"/>
    <w:rsid w:val="006B638D"/>
    <w:rsid w:val="006C0F9D"/>
    <w:rsid w:val="006C10B1"/>
    <w:rsid w:val="006C26C2"/>
    <w:rsid w:val="006C3B84"/>
    <w:rsid w:val="006C5A90"/>
    <w:rsid w:val="006C5B75"/>
    <w:rsid w:val="006C7B05"/>
    <w:rsid w:val="006D2EBA"/>
    <w:rsid w:val="006D4D45"/>
    <w:rsid w:val="006E084B"/>
    <w:rsid w:val="006E12C0"/>
    <w:rsid w:val="006E1E2D"/>
    <w:rsid w:val="006E226E"/>
    <w:rsid w:val="006E2A7B"/>
    <w:rsid w:val="006E4C19"/>
    <w:rsid w:val="006E5E3C"/>
    <w:rsid w:val="006E6898"/>
    <w:rsid w:val="006F0AEF"/>
    <w:rsid w:val="006F3F59"/>
    <w:rsid w:val="006F4574"/>
    <w:rsid w:val="006F5CCF"/>
    <w:rsid w:val="006F6507"/>
    <w:rsid w:val="006F6994"/>
    <w:rsid w:val="006F7363"/>
    <w:rsid w:val="00702971"/>
    <w:rsid w:val="00705748"/>
    <w:rsid w:val="00706252"/>
    <w:rsid w:val="007100FD"/>
    <w:rsid w:val="00710D75"/>
    <w:rsid w:val="00711293"/>
    <w:rsid w:val="00712CC7"/>
    <w:rsid w:val="00715A28"/>
    <w:rsid w:val="00716137"/>
    <w:rsid w:val="007173EE"/>
    <w:rsid w:val="00717681"/>
    <w:rsid w:val="00717D5C"/>
    <w:rsid w:val="0072056A"/>
    <w:rsid w:val="00720BD1"/>
    <w:rsid w:val="00720CE3"/>
    <w:rsid w:val="00721DD6"/>
    <w:rsid w:val="00722046"/>
    <w:rsid w:val="00723403"/>
    <w:rsid w:val="00724B1E"/>
    <w:rsid w:val="007254F8"/>
    <w:rsid w:val="007301B4"/>
    <w:rsid w:val="00730915"/>
    <w:rsid w:val="007335B1"/>
    <w:rsid w:val="00734108"/>
    <w:rsid w:val="00735E65"/>
    <w:rsid w:val="00735EE9"/>
    <w:rsid w:val="00735F4C"/>
    <w:rsid w:val="00737615"/>
    <w:rsid w:val="00737B95"/>
    <w:rsid w:val="00741374"/>
    <w:rsid w:val="0074194E"/>
    <w:rsid w:val="00741ECC"/>
    <w:rsid w:val="00742E1E"/>
    <w:rsid w:val="007440E6"/>
    <w:rsid w:val="00745CF4"/>
    <w:rsid w:val="00745FBF"/>
    <w:rsid w:val="00746B9D"/>
    <w:rsid w:val="00746BDF"/>
    <w:rsid w:val="007517CB"/>
    <w:rsid w:val="00751A3F"/>
    <w:rsid w:val="00753208"/>
    <w:rsid w:val="00753403"/>
    <w:rsid w:val="0075576E"/>
    <w:rsid w:val="007574A6"/>
    <w:rsid w:val="00760022"/>
    <w:rsid w:val="007625F9"/>
    <w:rsid w:val="00763EEF"/>
    <w:rsid w:val="00765061"/>
    <w:rsid w:val="00766605"/>
    <w:rsid w:val="007677A5"/>
    <w:rsid w:val="0077132F"/>
    <w:rsid w:val="0077288F"/>
    <w:rsid w:val="00772FC7"/>
    <w:rsid w:val="00773CDB"/>
    <w:rsid w:val="00773E45"/>
    <w:rsid w:val="00773F17"/>
    <w:rsid w:val="007754DC"/>
    <w:rsid w:val="00780B11"/>
    <w:rsid w:val="00781435"/>
    <w:rsid w:val="00781DC6"/>
    <w:rsid w:val="00782DF2"/>
    <w:rsid w:val="007856E4"/>
    <w:rsid w:val="007918C5"/>
    <w:rsid w:val="00791FB9"/>
    <w:rsid w:val="00791FFF"/>
    <w:rsid w:val="0079375A"/>
    <w:rsid w:val="007937E6"/>
    <w:rsid w:val="007954DC"/>
    <w:rsid w:val="00797029"/>
    <w:rsid w:val="007A1B21"/>
    <w:rsid w:val="007A204C"/>
    <w:rsid w:val="007A2C25"/>
    <w:rsid w:val="007A2F67"/>
    <w:rsid w:val="007A4501"/>
    <w:rsid w:val="007A6586"/>
    <w:rsid w:val="007A7358"/>
    <w:rsid w:val="007B0607"/>
    <w:rsid w:val="007B0F8C"/>
    <w:rsid w:val="007B11DC"/>
    <w:rsid w:val="007B462E"/>
    <w:rsid w:val="007B4E82"/>
    <w:rsid w:val="007B518C"/>
    <w:rsid w:val="007B57DB"/>
    <w:rsid w:val="007B58AA"/>
    <w:rsid w:val="007B617C"/>
    <w:rsid w:val="007B62BF"/>
    <w:rsid w:val="007C47C6"/>
    <w:rsid w:val="007C5578"/>
    <w:rsid w:val="007D09C7"/>
    <w:rsid w:val="007D13E5"/>
    <w:rsid w:val="007D2AF8"/>
    <w:rsid w:val="007D7196"/>
    <w:rsid w:val="007D7A77"/>
    <w:rsid w:val="007E0DEE"/>
    <w:rsid w:val="007E101F"/>
    <w:rsid w:val="007E1824"/>
    <w:rsid w:val="007E2C5B"/>
    <w:rsid w:val="007E489E"/>
    <w:rsid w:val="007E48B0"/>
    <w:rsid w:val="007E574A"/>
    <w:rsid w:val="007E5DBC"/>
    <w:rsid w:val="007E6905"/>
    <w:rsid w:val="007F5F04"/>
    <w:rsid w:val="007F66B9"/>
    <w:rsid w:val="007F6DA7"/>
    <w:rsid w:val="008015F3"/>
    <w:rsid w:val="0080358F"/>
    <w:rsid w:val="00803E83"/>
    <w:rsid w:val="00804638"/>
    <w:rsid w:val="00806721"/>
    <w:rsid w:val="00806E96"/>
    <w:rsid w:val="008077D5"/>
    <w:rsid w:val="00807B06"/>
    <w:rsid w:val="00807FF1"/>
    <w:rsid w:val="008105AB"/>
    <w:rsid w:val="008106E9"/>
    <w:rsid w:val="00814A9B"/>
    <w:rsid w:val="00815F9F"/>
    <w:rsid w:val="008173BE"/>
    <w:rsid w:val="00826898"/>
    <w:rsid w:val="00826F82"/>
    <w:rsid w:val="00835ED2"/>
    <w:rsid w:val="00836628"/>
    <w:rsid w:val="00836954"/>
    <w:rsid w:val="00836CCC"/>
    <w:rsid w:val="00842148"/>
    <w:rsid w:val="00843B3C"/>
    <w:rsid w:val="00844AC1"/>
    <w:rsid w:val="00845944"/>
    <w:rsid w:val="00845B73"/>
    <w:rsid w:val="00845C12"/>
    <w:rsid w:val="00850FD7"/>
    <w:rsid w:val="0085121D"/>
    <w:rsid w:val="00851654"/>
    <w:rsid w:val="00852B90"/>
    <w:rsid w:val="008537C2"/>
    <w:rsid w:val="0085396F"/>
    <w:rsid w:val="00854228"/>
    <w:rsid w:val="00860BBD"/>
    <w:rsid w:val="00863498"/>
    <w:rsid w:val="00864BCD"/>
    <w:rsid w:val="008652FE"/>
    <w:rsid w:val="008657B2"/>
    <w:rsid w:val="008709FB"/>
    <w:rsid w:val="00870FB8"/>
    <w:rsid w:val="00871B50"/>
    <w:rsid w:val="0087396B"/>
    <w:rsid w:val="00874691"/>
    <w:rsid w:val="00880219"/>
    <w:rsid w:val="008813BA"/>
    <w:rsid w:val="00881E85"/>
    <w:rsid w:val="00882B86"/>
    <w:rsid w:val="00884463"/>
    <w:rsid w:val="008849B8"/>
    <w:rsid w:val="0088727B"/>
    <w:rsid w:val="00890C53"/>
    <w:rsid w:val="008917B1"/>
    <w:rsid w:val="008922A9"/>
    <w:rsid w:val="00892C76"/>
    <w:rsid w:val="00892F2D"/>
    <w:rsid w:val="00893D41"/>
    <w:rsid w:val="00895618"/>
    <w:rsid w:val="00896301"/>
    <w:rsid w:val="008969FE"/>
    <w:rsid w:val="008A05B8"/>
    <w:rsid w:val="008A0984"/>
    <w:rsid w:val="008A21C1"/>
    <w:rsid w:val="008A3744"/>
    <w:rsid w:val="008A37BD"/>
    <w:rsid w:val="008A4C54"/>
    <w:rsid w:val="008A531B"/>
    <w:rsid w:val="008A6CC7"/>
    <w:rsid w:val="008A7B11"/>
    <w:rsid w:val="008A7E5A"/>
    <w:rsid w:val="008B1B5C"/>
    <w:rsid w:val="008B3DA3"/>
    <w:rsid w:val="008B472D"/>
    <w:rsid w:val="008B5FDF"/>
    <w:rsid w:val="008C0D2A"/>
    <w:rsid w:val="008C284C"/>
    <w:rsid w:val="008C3D23"/>
    <w:rsid w:val="008C4BE5"/>
    <w:rsid w:val="008C4C2C"/>
    <w:rsid w:val="008C4F00"/>
    <w:rsid w:val="008C4F79"/>
    <w:rsid w:val="008C5D35"/>
    <w:rsid w:val="008C6024"/>
    <w:rsid w:val="008C6B08"/>
    <w:rsid w:val="008D08F0"/>
    <w:rsid w:val="008D0CA9"/>
    <w:rsid w:val="008D1202"/>
    <w:rsid w:val="008D35FE"/>
    <w:rsid w:val="008D4977"/>
    <w:rsid w:val="008D59F8"/>
    <w:rsid w:val="008E07FF"/>
    <w:rsid w:val="008E1AAA"/>
    <w:rsid w:val="008E2314"/>
    <w:rsid w:val="008E2741"/>
    <w:rsid w:val="008E64A4"/>
    <w:rsid w:val="008E6EEB"/>
    <w:rsid w:val="008E712E"/>
    <w:rsid w:val="008E779D"/>
    <w:rsid w:val="008F4977"/>
    <w:rsid w:val="008F4FB0"/>
    <w:rsid w:val="008F52ED"/>
    <w:rsid w:val="008F6EC3"/>
    <w:rsid w:val="009024EB"/>
    <w:rsid w:val="0090379B"/>
    <w:rsid w:val="009039A7"/>
    <w:rsid w:val="0090609E"/>
    <w:rsid w:val="00906B52"/>
    <w:rsid w:val="00910647"/>
    <w:rsid w:val="009118CB"/>
    <w:rsid w:val="00914CF1"/>
    <w:rsid w:val="0091540B"/>
    <w:rsid w:val="00916058"/>
    <w:rsid w:val="00916264"/>
    <w:rsid w:val="009168AF"/>
    <w:rsid w:val="00917058"/>
    <w:rsid w:val="00923968"/>
    <w:rsid w:val="00930F1D"/>
    <w:rsid w:val="009310F9"/>
    <w:rsid w:val="009312B6"/>
    <w:rsid w:val="00933A01"/>
    <w:rsid w:val="00935F1D"/>
    <w:rsid w:val="00936995"/>
    <w:rsid w:val="0093747E"/>
    <w:rsid w:val="009444A4"/>
    <w:rsid w:val="009444DE"/>
    <w:rsid w:val="009446B3"/>
    <w:rsid w:val="009453F8"/>
    <w:rsid w:val="009520E2"/>
    <w:rsid w:val="009522A4"/>
    <w:rsid w:val="009537E4"/>
    <w:rsid w:val="009546AA"/>
    <w:rsid w:val="00955413"/>
    <w:rsid w:val="009568A2"/>
    <w:rsid w:val="00956C50"/>
    <w:rsid w:val="00957F78"/>
    <w:rsid w:val="00962739"/>
    <w:rsid w:val="009640D0"/>
    <w:rsid w:val="00967CE7"/>
    <w:rsid w:val="00970BC0"/>
    <w:rsid w:val="00972747"/>
    <w:rsid w:val="0097385B"/>
    <w:rsid w:val="00974B7F"/>
    <w:rsid w:val="0098082A"/>
    <w:rsid w:val="00980A9B"/>
    <w:rsid w:val="009825BF"/>
    <w:rsid w:val="009830E4"/>
    <w:rsid w:val="00983874"/>
    <w:rsid w:val="009857E5"/>
    <w:rsid w:val="0098649C"/>
    <w:rsid w:val="00986E19"/>
    <w:rsid w:val="00987AEE"/>
    <w:rsid w:val="00990972"/>
    <w:rsid w:val="009924B4"/>
    <w:rsid w:val="0099643E"/>
    <w:rsid w:val="009A00DF"/>
    <w:rsid w:val="009A0E9B"/>
    <w:rsid w:val="009A1CD9"/>
    <w:rsid w:val="009A21E4"/>
    <w:rsid w:val="009A646F"/>
    <w:rsid w:val="009A6791"/>
    <w:rsid w:val="009B4AEF"/>
    <w:rsid w:val="009B6220"/>
    <w:rsid w:val="009B6C69"/>
    <w:rsid w:val="009B7F80"/>
    <w:rsid w:val="009C1446"/>
    <w:rsid w:val="009C3085"/>
    <w:rsid w:val="009C4242"/>
    <w:rsid w:val="009C5B62"/>
    <w:rsid w:val="009C6EE8"/>
    <w:rsid w:val="009D01B8"/>
    <w:rsid w:val="009D05FA"/>
    <w:rsid w:val="009D066C"/>
    <w:rsid w:val="009D1AA1"/>
    <w:rsid w:val="009D1DF6"/>
    <w:rsid w:val="009D1F0A"/>
    <w:rsid w:val="009D2BBC"/>
    <w:rsid w:val="009D2ED7"/>
    <w:rsid w:val="009D5306"/>
    <w:rsid w:val="009D68B1"/>
    <w:rsid w:val="009D7BC2"/>
    <w:rsid w:val="009E018B"/>
    <w:rsid w:val="009E28F4"/>
    <w:rsid w:val="009E2FC8"/>
    <w:rsid w:val="009E36BD"/>
    <w:rsid w:val="009E3BE5"/>
    <w:rsid w:val="009E3F58"/>
    <w:rsid w:val="009E502B"/>
    <w:rsid w:val="009E5799"/>
    <w:rsid w:val="009E592C"/>
    <w:rsid w:val="009F09CC"/>
    <w:rsid w:val="009F0CED"/>
    <w:rsid w:val="009F4258"/>
    <w:rsid w:val="009F4F79"/>
    <w:rsid w:val="009F7023"/>
    <w:rsid w:val="00A04E05"/>
    <w:rsid w:val="00A04FB0"/>
    <w:rsid w:val="00A06CB3"/>
    <w:rsid w:val="00A0776B"/>
    <w:rsid w:val="00A12B0B"/>
    <w:rsid w:val="00A13B73"/>
    <w:rsid w:val="00A167F8"/>
    <w:rsid w:val="00A21E38"/>
    <w:rsid w:val="00A226DB"/>
    <w:rsid w:val="00A24F95"/>
    <w:rsid w:val="00A252A4"/>
    <w:rsid w:val="00A26B50"/>
    <w:rsid w:val="00A27747"/>
    <w:rsid w:val="00A2785B"/>
    <w:rsid w:val="00A27BE8"/>
    <w:rsid w:val="00A30F24"/>
    <w:rsid w:val="00A31CD9"/>
    <w:rsid w:val="00A33E94"/>
    <w:rsid w:val="00A34C68"/>
    <w:rsid w:val="00A35FEE"/>
    <w:rsid w:val="00A36879"/>
    <w:rsid w:val="00A4041E"/>
    <w:rsid w:val="00A42DAF"/>
    <w:rsid w:val="00A44401"/>
    <w:rsid w:val="00A51C6F"/>
    <w:rsid w:val="00A52884"/>
    <w:rsid w:val="00A54D77"/>
    <w:rsid w:val="00A5569B"/>
    <w:rsid w:val="00A5577F"/>
    <w:rsid w:val="00A66F8F"/>
    <w:rsid w:val="00A7512A"/>
    <w:rsid w:val="00A7518A"/>
    <w:rsid w:val="00A75B44"/>
    <w:rsid w:val="00A815E8"/>
    <w:rsid w:val="00A841AD"/>
    <w:rsid w:val="00A851D8"/>
    <w:rsid w:val="00A90B9D"/>
    <w:rsid w:val="00A94174"/>
    <w:rsid w:val="00A9629E"/>
    <w:rsid w:val="00A97BC0"/>
    <w:rsid w:val="00AA0C69"/>
    <w:rsid w:val="00AA11D6"/>
    <w:rsid w:val="00AA1765"/>
    <w:rsid w:val="00AA3033"/>
    <w:rsid w:val="00AA31C2"/>
    <w:rsid w:val="00AA65E4"/>
    <w:rsid w:val="00AA7FB0"/>
    <w:rsid w:val="00AB0AF4"/>
    <w:rsid w:val="00AB0C58"/>
    <w:rsid w:val="00AB2A6D"/>
    <w:rsid w:val="00AB4896"/>
    <w:rsid w:val="00AB49CA"/>
    <w:rsid w:val="00AB5614"/>
    <w:rsid w:val="00AB62C5"/>
    <w:rsid w:val="00AC00C1"/>
    <w:rsid w:val="00AC0AAF"/>
    <w:rsid w:val="00AC0B40"/>
    <w:rsid w:val="00AC0D31"/>
    <w:rsid w:val="00AC0DBB"/>
    <w:rsid w:val="00AC1079"/>
    <w:rsid w:val="00AC17C7"/>
    <w:rsid w:val="00AC1F4B"/>
    <w:rsid w:val="00AC668A"/>
    <w:rsid w:val="00AC67BD"/>
    <w:rsid w:val="00AC6C28"/>
    <w:rsid w:val="00AC7650"/>
    <w:rsid w:val="00AD0853"/>
    <w:rsid w:val="00AD4FB1"/>
    <w:rsid w:val="00AD746B"/>
    <w:rsid w:val="00AD78AC"/>
    <w:rsid w:val="00AD7CA9"/>
    <w:rsid w:val="00AE10DB"/>
    <w:rsid w:val="00AE2079"/>
    <w:rsid w:val="00AF4F70"/>
    <w:rsid w:val="00AF5D2A"/>
    <w:rsid w:val="00AF5E35"/>
    <w:rsid w:val="00AF5FB5"/>
    <w:rsid w:val="00AF621E"/>
    <w:rsid w:val="00AF7899"/>
    <w:rsid w:val="00B00FEE"/>
    <w:rsid w:val="00B03646"/>
    <w:rsid w:val="00B04336"/>
    <w:rsid w:val="00B07D34"/>
    <w:rsid w:val="00B12089"/>
    <w:rsid w:val="00B144B7"/>
    <w:rsid w:val="00B15236"/>
    <w:rsid w:val="00B1660E"/>
    <w:rsid w:val="00B1672E"/>
    <w:rsid w:val="00B20141"/>
    <w:rsid w:val="00B20F53"/>
    <w:rsid w:val="00B27E78"/>
    <w:rsid w:val="00B307E4"/>
    <w:rsid w:val="00B31FB8"/>
    <w:rsid w:val="00B32FB5"/>
    <w:rsid w:val="00B33ACC"/>
    <w:rsid w:val="00B340D6"/>
    <w:rsid w:val="00B3443D"/>
    <w:rsid w:val="00B34971"/>
    <w:rsid w:val="00B37E88"/>
    <w:rsid w:val="00B410B4"/>
    <w:rsid w:val="00B42E9E"/>
    <w:rsid w:val="00B4321F"/>
    <w:rsid w:val="00B445EC"/>
    <w:rsid w:val="00B4722C"/>
    <w:rsid w:val="00B52F6A"/>
    <w:rsid w:val="00B55F07"/>
    <w:rsid w:val="00B56510"/>
    <w:rsid w:val="00B568C4"/>
    <w:rsid w:val="00B568D3"/>
    <w:rsid w:val="00B6112D"/>
    <w:rsid w:val="00B61A2E"/>
    <w:rsid w:val="00B62434"/>
    <w:rsid w:val="00B63365"/>
    <w:rsid w:val="00B645F7"/>
    <w:rsid w:val="00B64F6D"/>
    <w:rsid w:val="00B65239"/>
    <w:rsid w:val="00B6589B"/>
    <w:rsid w:val="00B65EA5"/>
    <w:rsid w:val="00B66361"/>
    <w:rsid w:val="00B66DD5"/>
    <w:rsid w:val="00B67064"/>
    <w:rsid w:val="00B67332"/>
    <w:rsid w:val="00B67A66"/>
    <w:rsid w:val="00B745A6"/>
    <w:rsid w:val="00B74C6A"/>
    <w:rsid w:val="00B802F0"/>
    <w:rsid w:val="00B856A5"/>
    <w:rsid w:val="00B85A93"/>
    <w:rsid w:val="00B864B9"/>
    <w:rsid w:val="00B90911"/>
    <w:rsid w:val="00B91250"/>
    <w:rsid w:val="00B91D42"/>
    <w:rsid w:val="00B91EB3"/>
    <w:rsid w:val="00B93FE5"/>
    <w:rsid w:val="00B95AD1"/>
    <w:rsid w:val="00B95BA6"/>
    <w:rsid w:val="00B95DDB"/>
    <w:rsid w:val="00B967A5"/>
    <w:rsid w:val="00B9731F"/>
    <w:rsid w:val="00B9738F"/>
    <w:rsid w:val="00B97F24"/>
    <w:rsid w:val="00BA08F4"/>
    <w:rsid w:val="00BA1FE6"/>
    <w:rsid w:val="00BA35C0"/>
    <w:rsid w:val="00BA4C19"/>
    <w:rsid w:val="00BA50C8"/>
    <w:rsid w:val="00BA54EC"/>
    <w:rsid w:val="00BA6DAE"/>
    <w:rsid w:val="00BA7084"/>
    <w:rsid w:val="00BB00EA"/>
    <w:rsid w:val="00BB1964"/>
    <w:rsid w:val="00BB784A"/>
    <w:rsid w:val="00BB7B4C"/>
    <w:rsid w:val="00BC0B18"/>
    <w:rsid w:val="00BC7031"/>
    <w:rsid w:val="00BD14FC"/>
    <w:rsid w:val="00BD51F8"/>
    <w:rsid w:val="00BD7510"/>
    <w:rsid w:val="00BD7D3A"/>
    <w:rsid w:val="00BD7DA7"/>
    <w:rsid w:val="00BF3054"/>
    <w:rsid w:val="00BF34A2"/>
    <w:rsid w:val="00BF4D39"/>
    <w:rsid w:val="00BF69F1"/>
    <w:rsid w:val="00C02F2A"/>
    <w:rsid w:val="00C03729"/>
    <w:rsid w:val="00C04856"/>
    <w:rsid w:val="00C05046"/>
    <w:rsid w:val="00C05E46"/>
    <w:rsid w:val="00C0655C"/>
    <w:rsid w:val="00C0751B"/>
    <w:rsid w:val="00C10350"/>
    <w:rsid w:val="00C10460"/>
    <w:rsid w:val="00C11E74"/>
    <w:rsid w:val="00C15EF3"/>
    <w:rsid w:val="00C174CF"/>
    <w:rsid w:val="00C20273"/>
    <w:rsid w:val="00C20772"/>
    <w:rsid w:val="00C214D0"/>
    <w:rsid w:val="00C24E67"/>
    <w:rsid w:val="00C30832"/>
    <w:rsid w:val="00C31326"/>
    <w:rsid w:val="00C33158"/>
    <w:rsid w:val="00C3415E"/>
    <w:rsid w:val="00C44BCD"/>
    <w:rsid w:val="00C47903"/>
    <w:rsid w:val="00C47B03"/>
    <w:rsid w:val="00C50D22"/>
    <w:rsid w:val="00C537BA"/>
    <w:rsid w:val="00C554CA"/>
    <w:rsid w:val="00C57681"/>
    <w:rsid w:val="00C6278A"/>
    <w:rsid w:val="00C6386D"/>
    <w:rsid w:val="00C64D0F"/>
    <w:rsid w:val="00C66EAC"/>
    <w:rsid w:val="00C72557"/>
    <w:rsid w:val="00C73AC9"/>
    <w:rsid w:val="00C73D65"/>
    <w:rsid w:val="00C75CAD"/>
    <w:rsid w:val="00C75EB5"/>
    <w:rsid w:val="00C76318"/>
    <w:rsid w:val="00C76A96"/>
    <w:rsid w:val="00C77B8F"/>
    <w:rsid w:val="00C80D71"/>
    <w:rsid w:val="00C81D76"/>
    <w:rsid w:val="00C82C5D"/>
    <w:rsid w:val="00C82DC1"/>
    <w:rsid w:val="00C8351D"/>
    <w:rsid w:val="00C839EA"/>
    <w:rsid w:val="00C83DB0"/>
    <w:rsid w:val="00C90EF8"/>
    <w:rsid w:val="00C92090"/>
    <w:rsid w:val="00C94424"/>
    <w:rsid w:val="00C94496"/>
    <w:rsid w:val="00C946F5"/>
    <w:rsid w:val="00C9659D"/>
    <w:rsid w:val="00C96DA9"/>
    <w:rsid w:val="00C972CB"/>
    <w:rsid w:val="00CA234C"/>
    <w:rsid w:val="00CA24E3"/>
    <w:rsid w:val="00CA265A"/>
    <w:rsid w:val="00CA6F93"/>
    <w:rsid w:val="00CB492A"/>
    <w:rsid w:val="00CB6897"/>
    <w:rsid w:val="00CB697D"/>
    <w:rsid w:val="00CB6C5C"/>
    <w:rsid w:val="00CB7F06"/>
    <w:rsid w:val="00CC4391"/>
    <w:rsid w:val="00CC4393"/>
    <w:rsid w:val="00CC439C"/>
    <w:rsid w:val="00CC4EF1"/>
    <w:rsid w:val="00CC7646"/>
    <w:rsid w:val="00CC7B65"/>
    <w:rsid w:val="00CD0350"/>
    <w:rsid w:val="00CD0A4A"/>
    <w:rsid w:val="00CD0C51"/>
    <w:rsid w:val="00CD1284"/>
    <w:rsid w:val="00CD151E"/>
    <w:rsid w:val="00CD3064"/>
    <w:rsid w:val="00CD6E93"/>
    <w:rsid w:val="00CD6F4F"/>
    <w:rsid w:val="00CD7808"/>
    <w:rsid w:val="00CE06C8"/>
    <w:rsid w:val="00CE13A5"/>
    <w:rsid w:val="00CE2C36"/>
    <w:rsid w:val="00CE37E5"/>
    <w:rsid w:val="00CE5F2D"/>
    <w:rsid w:val="00CE62F4"/>
    <w:rsid w:val="00CF07F5"/>
    <w:rsid w:val="00CF4A5B"/>
    <w:rsid w:val="00CF5245"/>
    <w:rsid w:val="00CF5D51"/>
    <w:rsid w:val="00CF6F68"/>
    <w:rsid w:val="00D01034"/>
    <w:rsid w:val="00D02399"/>
    <w:rsid w:val="00D02728"/>
    <w:rsid w:val="00D03293"/>
    <w:rsid w:val="00D03B3E"/>
    <w:rsid w:val="00D03BB2"/>
    <w:rsid w:val="00D03EA3"/>
    <w:rsid w:val="00D0442D"/>
    <w:rsid w:val="00D047C1"/>
    <w:rsid w:val="00D0754A"/>
    <w:rsid w:val="00D07AEC"/>
    <w:rsid w:val="00D10AC5"/>
    <w:rsid w:val="00D1364D"/>
    <w:rsid w:val="00D14347"/>
    <w:rsid w:val="00D15B14"/>
    <w:rsid w:val="00D15FBF"/>
    <w:rsid w:val="00D21AAA"/>
    <w:rsid w:val="00D21F86"/>
    <w:rsid w:val="00D24592"/>
    <w:rsid w:val="00D24A4E"/>
    <w:rsid w:val="00D253BF"/>
    <w:rsid w:val="00D2621F"/>
    <w:rsid w:val="00D27720"/>
    <w:rsid w:val="00D30D6E"/>
    <w:rsid w:val="00D344C1"/>
    <w:rsid w:val="00D36DB4"/>
    <w:rsid w:val="00D4014B"/>
    <w:rsid w:val="00D412E4"/>
    <w:rsid w:val="00D41702"/>
    <w:rsid w:val="00D41BB0"/>
    <w:rsid w:val="00D428C5"/>
    <w:rsid w:val="00D434CF"/>
    <w:rsid w:val="00D45DED"/>
    <w:rsid w:val="00D46B38"/>
    <w:rsid w:val="00D46B89"/>
    <w:rsid w:val="00D47571"/>
    <w:rsid w:val="00D5220D"/>
    <w:rsid w:val="00D54931"/>
    <w:rsid w:val="00D56024"/>
    <w:rsid w:val="00D627D4"/>
    <w:rsid w:val="00D63FC8"/>
    <w:rsid w:val="00D6433F"/>
    <w:rsid w:val="00D666F7"/>
    <w:rsid w:val="00D67CBC"/>
    <w:rsid w:val="00D709B0"/>
    <w:rsid w:val="00D72296"/>
    <w:rsid w:val="00D72857"/>
    <w:rsid w:val="00D74205"/>
    <w:rsid w:val="00D762F7"/>
    <w:rsid w:val="00D76D68"/>
    <w:rsid w:val="00D76DBB"/>
    <w:rsid w:val="00D77B29"/>
    <w:rsid w:val="00D803D9"/>
    <w:rsid w:val="00D809D8"/>
    <w:rsid w:val="00D8161B"/>
    <w:rsid w:val="00D87901"/>
    <w:rsid w:val="00D87A5D"/>
    <w:rsid w:val="00D91BA5"/>
    <w:rsid w:val="00D935C0"/>
    <w:rsid w:val="00D938B0"/>
    <w:rsid w:val="00D93F0B"/>
    <w:rsid w:val="00D94887"/>
    <w:rsid w:val="00D95090"/>
    <w:rsid w:val="00D97215"/>
    <w:rsid w:val="00DA09B2"/>
    <w:rsid w:val="00DA0D32"/>
    <w:rsid w:val="00DA24EC"/>
    <w:rsid w:val="00DA34FF"/>
    <w:rsid w:val="00DA4017"/>
    <w:rsid w:val="00DA706C"/>
    <w:rsid w:val="00DB018F"/>
    <w:rsid w:val="00DB23A1"/>
    <w:rsid w:val="00DB571F"/>
    <w:rsid w:val="00DB687B"/>
    <w:rsid w:val="00DC068E"/>
    <w:rsid w:val="00DC2DEF"/>
    <w:rsid w:val="00DC3EB8"/>
    <w:rsid w:val="00DC417A"/>
    <w:rsid w:val="00DC4B36"/>
    <w:rsid w:val="00DC615F"/>
    <w:rsid w:val="00DC6D08"/>
    <w:rsid w:val="00DC78A6"/>
    <w:rsid w:val="00DD1E05"/>
    <w:rsid w:val="00DD2E8E"/>
    <w:rsid w:val="00DD34BC"/>
    <w:rsid w:val="00DD3BAF"/>
    <w:rsid w:val="00DD4495"/>
    <w:rsid w:val="00DD4D57"/>
    <w:rsid w:val="00DD6921"/>
    <w:rsid w:val="00DE3C12"/>
    <w:rsid w:val="00DE637C"/>
    <w:rsid w:val="00DF0A06"/>
    <w:rsid w:val="00DF14D4"/>
    <w:rsid w:val="00DF26AA"/>
    <w:rsid w:val="00DF39D0"/>
    <w:rsid w:val="00DF5403"/>
    <w:rsid w:val="00E00BA4"/>
    <w:rsid w:val="00E01C83"/>
    <w:rsid w:val="00E026DE"/>
    <w:rsid w:val="00E03A83"/>
    <w:rsid w:val="00E11D4C"/>
    <w:rsid w:val="00E1344D"/>
    <w:rsid w:val="00E1373F"/>
    <w:rsid w:val="00E1380A"/>
    <w:rsid w:val="00E13DD9"/>
    <w:rsid w:val="00E178A2"/>
    <w:rsid w:val="00E2346E"/>
    <w:rsid w:val="00E24304"/>
    <w:rsid w:val="00E250A9"/>
    <w:rsid w:val="00E251E1"/>
    <w:rsid w:val="00E26695"/>
    <w:rsid w:val="00E26752"/>
    <w:rsid w:val="00E274E1"/>
    <w:rsid w:val="00E309C1"/>
    <w:rsid w:val="00E30FB2"/>
    <w:rsid w:val="00E31B5B"/>
    <w:rsid w:val="00E328A2"/>
    <w:rsid w:val="00E3466C"/>
    <w:rsid w:val="00E356BC"/>
    <w:rsid w:val="00E35EE6"/>
    <w:rsid w:val="00E402B2"/>
    <w:rsid w:val="00E419E1"/>
    <w:rsid w:val="00E41E82"/>
    <w:rsid w:val="00E455E2"/>
    <w:rsid w:val="00E472A1"/>
    <w:rsid w:val="00E50AC6"/>
    <w:rsid w:val="00E52048"/>
    <w:rsid w:val="00E5212B"/>
    <w:rsid w:val="00E53B0A"/>
    <w:rsid w:val="00E53C4D"/>
    <w:rsid w:val="00E55716"/>
    <w:rsid w:val="00E55E0D"/>
    <w:rsid w:val="00E57E3B"/>
    <w:rsid w:val="00E6000B"/>
    <w:rsid w:val="00E60D1A"/>
    <w:rsid w:val="00E60FF8"/>
    <w:rsid w:val="00E61BE4"/>
    <w:rsid w:val="00E62010"/>
    <w:rsid w:val="00E63054"/>
    <w:rsid w:val="00E635A6"/>
    <w:rsid w:val="00E66290"/>
    <w:rsid w:val="00E67479"/>
    <w:rsid w:val="00E71280"/>
    <w:rsid w:val="00E722F6"/>
    <w:rsid w:val="00E7387D"/>
    <w:rsid w:val="00E7625A"/>
    <w:rsid w:val="00E77467"/>
    <w:rsid w:val="00E8137A"/>
    <w:rsid w:val="00E81F71"/>
    <w:rsid w:val="00E82A1B"/>
    <w:rsid w:val="00E84E78"/>
    <w:rsid w:val="00E86150"/>
    <w:rsid w:val="00E9114B"/>
    <w:rsid w:val="00E9404C"/>
    <w:rsid w:val="00E9523D"/>
    <w:rsid w:val="00E965DB"/>
    <w:rsid w:val="00E97216"/>
    <w:rsid w:val="00E973BD"/>
    <w:rsid w:val="00EA07DD"/>
    <w:rsid w:val="00EA212D"/>
    <w:rsid w:val="00EA5171"/>
    <w:rsid w:val="00EB0140"/>
    <w:rsid w:val="00EB152B"/>
    <w:rsid w:val="00EB1897"/>
    <w:rsid w:val="00EB1EEB"/>
    <w:rsid w:val="00EB36DF"/>
    <w:rsid w:val="00EB4282"/>
    <w:rsid w:val="00EB651D"/>
    <w:rsid w:val="00EC269C"/>
    <w:rsid w:val="00EC595B"/>
    <w:rsid w:val="00EC63DB"/>
    <w:rsid w:val="00EC7076"/>
    <w:rsid w:val="00ED0766"/>
    <w:rsid w:val="00ED0B4F"/>
    <w:rsid w:val="00ED1BB1"/>
    <w:rsid w:val="00ED1DE9"/>
    <w:rsid w:val="00ED4A48"/>
    <w:rsid w:val="00ED69B0"/>
    <w:rsid w:val="00EE0820"/>
    <w:rsid w:val="00EE18D1"/>
    <w:rsid w:val="00EE4B26"/>
    <w:rsid w:val="00EE62C0"/>
    <w:rsid w:val="00EE6936"/>
    <w:rsid w:val="00EE7204"/>
    <w:rsid w:val="00EE73CB"/>
    <w:rsid w:val="00EE7965"/>
    <w:rsid w:val="00EF0377"/>
    <w:rsid w:val="00EF072D"/>
    <w:rsid w:val="00EF1531"/>
    <w:rsid w:val="00EF32E3"/>
    <w:rsid w:val="00EF3706"/>
    <w:rsid w:val="00EF382C"/>
    <w:rsid w:val="00EF405C"/>
    <w:rsid w:val="00EF4542"/>
    <w:rsid w:val="00F0164C"/>
    <w:rsid w:val="00F01788"/>
    <w:rsid w:val="00F04247"/>
    <w:rsid w:val="00F064DF"/>
    <w:rsid w:val="00F06BF3"/>
    <w:rsid w:val="00F06E16"/>
    <w:rsid w:val="00F10140"/>
    <w:rsid w:val="00F1117A"/>
    <w:rsid w:val="00F1263F"/>
    <w:rsid w:val="00F15F06"/>
    <w:rsid w:val="00F16DA2"/>
    <w:rsid w:val="00F16E01"/>
    <w:rsid w:val="00F23099"/>
    <w:rsid w:val="00F23210"/>
    <w:rsid w:val="00F23FB6"/>
    <w:rsid w:val="00F25F64"/>
    <w:rsid w:val="00F2776E"/>
    <w:rsid w:val="00F27EA0"/>
    <w:rsid w:val="00F30532"/>
    <w:rsid w:val="00F3175D"/>
    <w:rsid w:val="00F32805"/>
    <w:rsid w:val="00F32E88"/>
    <w:rsid w:val="00F34283"/>
    <w:rsid w:val="00F343FC"/>
    <w:rsid w:val="00F353E3"/>
    <w:rsid w:val="00F41F4B"/>
    <w:rsid w:val="00F47E37"/>
    <w:rsid w:val="00F50AFA"/>
    <w:rsid w:val="00F51BDD"/>
    <w:rsid w:val="00F53899"/>
    <w:rsid w:val="00F558E0"/>
    <w:rsid w:val="00F57C17"/>
    <w:rsid w:val="00F57EAB"/>
    <w:rsid w:val="00F603C2"/>
    <w:rsid w:val="00F60D8A"/>
    <w:rsid w:val="00F64157"/>
    <w:rsid w:val="00F6494A"/>
    <w:rsid w:val="00F654C8"/>
    <w:rsid w:val="00F67FD4"/>
    <w:rsid w:val="00F712B1"/>
    <w:rsid w:val="00F72941"/>
    <w:rsid w:val="00F72E77"/>
    <w:rsid w:val="00F72F06"/>
    <w:rsid w:val="00F73357"/>
    <w:rsid w:val="00F746F0"/>
    <w:rsid w:val="00F76A22"/>
    <w:rsid w:val="00F77C03"/>
    <w:rsid w:val="00F82824"/>
    <w:rsid w:val="00F86947"/>
    <w:rsid w:val="00F869B6"/>
    <w:rsid w:val="00F86AB1"/>
    <w:rsid w:val="00F86BAF"/>
    <w:rsid w:val="00F87B5C"/>
    <w:rsid w:val="00F87F97"/>
    <w:rsid w:val="00F928ED"/>
    <w:rsid w:val="00F9336F"/>
    <w:rsid w:val="00F96CA5"/>
    <w:rsid w:val="00F97622"/>
    <w:rsid w:val="00FA2608"/>
    <w:rsid w:val="00FA3B58"/>
    <w:rsid w:val="00FB2604"/>
    <w:rsid w:val="00FB3BD5"/>
    <w:rsid w:val="00FB7449"/>
    <w:rsid w:val="00FC30C1"/>
    <w:rsid w:val="00FC3599"/>
    <w:rsid w:val="00FC374C"/>
    <w:rsid w:val="00FD1650"/>
    <w:rsid w:val="00FD3E37"/>
    <w:rsid w:val="00FD6EEB"/>
    <w:rsid w:val="00FD777D"/>
    <w:rsid w:val="00FD795E"/>
    <w:rsid w:val="00FE54F0"/>
    <w:rsid w:val="00FF0430"/>
    <w:rsid w:val="00FF1372"/>
    <w:rsid w:val="00FF1D36"/>
    <w:rsid w:val="00FF3CCD"/>
    <w:rsid w:val="00FF46D7"/>
    <w:rsid w:val="01042CD0"/>
    <w:rsid w:val="01320192"/>
    <w:rsid w:val="013F2D38"/>
    <w:rsid w:val="01455A1A"/>
    <w:rsid w:val="01630AC4"/>
    <w:rsid w:val="01827EAC"/>
    <w:rsid w:val="019825BA"/>
    <w:rsid w:val="01BA1DA2"/>
    <w:rsid w:val="01E97B75"/>
    <w:rsid w:val="025C62E5"/>
    <w:rsid w:val="02E24E06"/>
    <w:rsid w:val="02E87117"/>
    <w:rsid w:val="03056021"/>
    <w:rsid w:val="03067D73"/>
    <w:rsid w:val="030E1EDE"/>
    <w:rsid w:val="03100B2F"/>
    <w:rsid w:val="03101B4C"/>
    <w:rsid w:val="0336564F"/>
    <w:rsid w:val="036315A8"/>
    <w:rsid w:val="03820B0D"/>
    <w:rsid w:val="03D278CE"/>
    <w:rsid w:val="04592C05"/>
    <w:rsid w:val="04737B63"/>
    <w:rsid w:val="04793A64"/>
    <w:rsid w:val="04AC6F11"/>
    <w:rsid w:val="04BA2023"/>
    <w:rsid w:val="04CF60EE"/>
    <w:rsid w:val="04EB3CD9"/>
    <w:rsid w:val="04F17A55"/>
    <w:rsid w:val="04F40D78"/>
    <w:rsid w:val="04F907FB"/>
    <w:rsid w:val="0508393B"/>
    <w:rsid w:val="05180377"/>
    <w:rsid w:val="0520350B"/>
    <w:rsid w:val="05211118"/>
    <w:rsid w:val="05212F78"/>
    <w:rsid w:val="05401243"/>
    <w:rsid w:val="0577117A"/>
    <w:rsid w:val="05A55DF4"/>
    <w:rsid w:val="05FB6CC1"/>
    <w:rsid w:val="060F76EE"/>
    <w:rsid w:val="06410F33"/>
    <w:rsid w:val="0674706B"/>
    <w:rsid w:val="068247C2"/>
    <w:rsid w:val="068B011B"/>
    <w:rsid w:val="06AE2120"/>
    <w:rsid w:val="06AE6838"/>
    <w:rsid w:val="06BB3444"/>
    <w:rsid w:val="06C6676B"/>
    <w:rsid w:val="06CD2CD1"/>
    <w:rsid w:val="06D05B1B"/>
    <w:rsid w:val="06E65C5D"/>
    <w:rsid w:val="06F77FBC"/>
    <w:rsid w:val="06FE6B53"/>
    <w:rsid w:val="072835A2"/>
    <w:rsid w:val="07296FFB"/>
    <w:rsid w:val="072D4AEF"/>
    <w:rsid w:val="073161DB"/>
    <w:rsid w:val="073B60D9"/>
    <w:rsid w:val="074840C5"/>
    <w:rsid w:val="07513801"/>
    <w:rsid w:val="075271C3"/>
    <w:rsid w:val="075714A4"/>
    <w:rsid w:val="077628B1"/>
    <w:rsid w:val="07AA3BE7"/>
    <w:rsid w:val="07BA1BA8"/>
    <w:rsid w:val="07D7113E"/>
    <w:rsid w:val="07E5131D"/>
    <w:rsid w:val="07E806E8"/>
    <w:rsid w:val="07FC4898"/>
    <w:rsid w:val="080569DD"/>
    <w:rsid w:val="081936D0"/>
    <w:rsid w:val="085B4073"/>
    <w:rsid w:val="08A378C7"/>
    <w:rsid w:val="08DD2784"/>
    <w:rsid w:val="08FD674C"/>
    <w:rsid w:val="08FE0F7A"/>
    <w:rsid w:val="0902174A"/>
    <w:rsid w:val="09042942"/>
    <w:rsid w:val="09342BCF"/>
    <w:rsid w:val="09630B57"/>
    <w:rsid w:val="09876AD2"/>
    <w:rsid w:val="099E5B23"/>
    <w:rsid w:val="09A713C7"/>
    <w:rsid w:val="09C0448D"/>
    <w:rsid w:val="09C93764"/>
    <w:rsid w:val="09D042BD"/>
    <w:rsid w:val="09F05C2F"/>
    <w:rsid w:val="0A126EFD"/>
    <w:rsid w:val="0A1F7E09"/>
    <w:rsid w:val="0A263A52"/>
    <w:rsid w:val="0A35793C"/>
    <w:rsid w:val="0A3F24BC"/>
    <w:rsid w:val="0A4056C9"/>
    <w:rsid w:val="0A465068"/>
    <w:rsid w:val="0A5215C6"/>
    <w:rsid w:val="0A5764C7"/>
    <w:rsid w:val="0A667254"/>
    <w:rsid w:val="0A79049A"/>
    <w:rsid w:val="0AC459AA"/>
    <w:rsid w:val="0AED5919"/>
    <w:rsid w:val="0AF54C2C"/>
    <w:rsid w:val="0B524831"/>
    <w:rsid w:val="0B8A6710"/>
    <w:rsid w:val="0B9238CE"/>
    <w:rsid w:val="0B9334F0"/>
    <w:rsid w:val="0BA355D1"/>
    <w:rsid w:val="0BAB3543"/>
    <w:rsid w:val="0BD77972"/>
    <w:rsid w:val="0BF46EB9"/>
    <w:rsid w:val="0C3027F0"/>
    <w:rsid w:val="0C3570D2"/>
    <w:rsid w:val="0C545B79"/>
    <w:rsid w:val="0C7408A6"/>
    <w:rsid w:val="0C8B76DA"/>
    <w:rsid w:val="0CA9620A"/>
    <w:rsid w:val="0CE9599F"/>
    <w:rsid w:val="0CF83047"/>
    <w:rsid w:val="0CF90A01"/>
    <w:rsid w:val="0D054058"/>
    <w:rsid w:val="0D0E0651"/>
    <w:rsid w:val="0D1F1FC4"/>
    <w:rsid w:val="0D2F7F94"/>
    <w:rsid w:val="0D582861"/>
    <w:rsid w:val="0D9228FB"/>
    <w:rsid w:val="0DB3457E"/>
    <w:rsid w:val="0DEE3448"/>
    <w:rsid w:val="0DF41445"/>
    <w:rsid w:val="0DF67E4E"/>
    <w:rsid w:val="0E4B14CA"/>
    <w:rsid w:val="0E5F54A7"/>
    <w:rsid w:val="0E6778B8"/>
    <w:rsid w:val="0E7543DC"/>
    <w:rsid w:val="0EB208AB"/>
    <w:rsid w:val="0EC136EA"/>
    <w:rsid w:val="0ECE3CF5"/>
    <w:rsid w:val="0F114F08"/>
    <w:rsid w:val="0F235864"/>
    <w:rsid w:val="0F2C1D70"/>
    <w:rsid w:val="0F554233"/>
    <w:rsid w:val="0F570A4B"/>
    <w:rsid w:val="0F6543D3"/>
    <w:rsid w:val="0F7B7146"/>
    <w:rsid w:val="0F7C719B"/>
    <w:rsid w:val="0F8852DA"/>
    <w:rsid w:val="0FE24D0D"/>
    <w:rsid w:val="0FE33AB7"/>
    <w:rsid w:val="0FED0F9E"/>
    <w:rsid w:val="0FF67A78"/>
    <w:rsid w:val="0FF97A38"/>
    <w:rsid w:val="10084C10"/>
    <w:rsid w:val="101D642E"/>
    <w:rsid w:val="10437189"/>
    <w:rsid w:val="10645478"/>
    <w:rsid w:val="107C485E"/>
    <w:rsid w:val="10923340"/>
    <w:rsid w:val="10AA0966"/>
    <w:rsid w:val="10B325BC"/>
    <w:rsid w:val="110343D2"/>
    <w:rsid w:val="1105643F"/>
    <w:rsid w:val="111F342F"/>
    <w:rsid w:val="112678F2"/>
    <w:rsid w:val="113302D5"/>
    <w:rsid w:val="11355638"/>
    <w:rsid w:val="1139145C"/>
    <w:rsid w:val="11423719"/>
    <w:rsid w:val="11484C6D"/>
    <w:rsid w:val="11560804"/>
    <w:rsid w:val="11634F6A"/>
    <w:rsid w:val="116E676E"/>
    <w:rsid w:val="1181341B"/>
    <w:rsid w:val="119800BE"/>
    <w:rsid w:val="11E41348"/>
    <w:rsid w:val="12376A7B"/>
    <w:rsid w:val="12644410"/>
    <w:rsid w:val="12773901"/>
    <w:rsid w:val="12BE0E11"/>
    <w:rsid w:val="13057820"/>
    <w:rsid w:val="130B5A0A"/>
    <w:rsid w:val="132E5836"/>
    <w:rsid w:val="1342060B"/>
    <w:rsid w:val="13476A19"/>
    <w:rsid w:val="135950FD"/>
    <w:rsid w:val="13870605"/>
    <w:rsid w:val="13C04EA4"/>
    <w:rsid w:val="13C22CA3"/>
    <w:rsid w:val="13C8146C"/>
    <w:rsid w:val="13DF588E"/>
    <w:rsid w:val="13E64E0D"/>
    <w:rsid w:val="13F83EAD"/>
    <w:rsid w:val="142245F5"/>
    <w:rsid w:val="14242F5B"/>
    <w:rsid w:val="143F2DBB"/>
    <w:rsid w:val="145E6E6F"/>
    <w:rsid w:val="145F13FD"/>
    <w:rsid w:val="14635DBD"/>
    <w:rsid w:val="14953F1B"/>
    <w:rsid w:val="14C228D4"/>
    <w:rsid w:val="14CF78D8"/>
    <w:rsid w:val="150119B8"/>
    <w:rsid w:val="1509601B"/>
    <w:rsid w:val="15396F94"/>
    <w:rsid w:val="15516D0A"/>
    <w:rsid w:val="1558270A"/>
    <w:rsid w:val="15786770"/>
    <w:rsid w:val="15786F27"/>
    <w:rsid w:val="157C0E6A"/>
    <w:rsid w:val="158128E0"/>
    <w:rsid w:val="15973EF0"/>
    <w:rsid w:val="159D3819"/>
    <w:rsid w:val="15C87DC2"/>
    <w:rsid w:val="15E2204B"/>
    <w:rsid w:val="1615044B"/>
    <w:rsid w:val="161729E0"/>
    <w:rsid w:val="16385EB8"/>
    <w:rsid w:val="163B5304"/>
    <w:rsid w:val="163D0EF1"/>
    <w:rsid w:val="16445CA6"/>
    <w:rsid w:val="164C5380"/>
    <w:rsid w:val="16605119"/>
    <w:rsid w:val="16870790"/>
    <w:rsid w:val="16BE560D"/>
    <w:rsid w:val="17045E63"/>
    <w:rsid w:val="1709212E"/>
    <w:rsid w:val="1745083A"/>
    <w:rsid w:val="174D7F3F"/>
    <w:rsid w:val="175F3859"/>
    <w:rsid w:val="17714B81"/>
    <w:rsid w:val="178652E9"/>
    <w:rsid w:val="17906280"/>
    <w:rsid w:val="179B5D3A"/>
    <w:rsid w:val="179E1661"/>
    <w:rsid w:val="17A37E03"/>
    <w:rsid w:val="17AF0188"/>
    <w:rsid w:val="17B26963"/>
    <w:rsid w:val="17C4644F"/>
    <w:rsid w:val="17CD58FA"/>
    <w:rsid w:val="17D11706"/>
    <w:rsid w:val="17D978CC"/>
    <w:rsid w:val="18117EBD"/>
    <w:rsid w:val="18157EF7"/>
    <w:rsid w:val="18307BF5"/>
    <w:rsid w:val="183B0682"/>
    <w:rsid w:val="185763F9"/>
    <w:rsid w:val="18853FB6"/>
    <w:rsid w:val="18AD32E9"/>
    <w:rsid w:val="18B525ED"/>
    <w:rsid w:val="18BD451D"/>
    <w:rsid w:val="18C26AAD"/>
    <w:rsid w:val="18E35173"/>
    <w:rsid w:val="18F8084E"/>
    <w:rsid w:val="194738B6"/>
    <w:rsid w:val="19694CBC"/>
    <w:rsid w:val="1975663B"/>
    <w:rsid w:val="19A643D8"/>
    <w:rsid w:val="19B71B3F"/>
    <w:rsid w:val="19C05FB5"/>
    <w:rsid w:val="19C641E2"/>
    <w:rsid w:val="19D13BB0"/>
    <w:rsid w:val="19F5712E"/>
    <w:rsid w:val="1A072550"/>
    <w:rsid w:val="1A0F1154"/>
    <w:rsid w:val="1A3838EE"/>
    <w:rsid w:val="1A515EDE"/>
    <w:rsid w:val="1A8D13C4"/>
    <w:rsid w:val="1AA74074"/>
    <w:rsid w:val="1AC70D0E"/>
    <w:rsid w:val="1AC96737"/>
    <w:rsid w:val="1ADB537B"/>
    <w:rsid w:val="1AFC01A8"/>
    <w:rsid w:val="1B646C7A"/>
    <w:rsid w:val="1B6E62FA"/>
    <w:rsid w:val="1BF60304"/>
    <w:rsid w:val="1BFC01FF"/>
    <w:rsid w:val="1C137F14"/>
    <w:rsid w:val="1C517AF9"/>
    <w:rsid w:val="1C58538F"/>
    <w:rsid w:val="1C636D5F"/>
    <w:rsid w:val="1C9710D7"/>
    <w:rsid w:val="1CB7015D"/>
    <w:rsid w:val="1CC7424C"/>
    <w:rsid w:val="1CCD5A66"/>
    <w:rsid w:val="1CF06E1F"/>
    <w:rsid w:val="1D152FDC"/>
    <w:rsid w:val="1D1B5442"/>
    <w:rsid w:val="1D3D1750"/>
    <w:rsid w:val="1D6B69BD"/>
    <w:rsid w:val="1D7D14A6"/>
    <w:rsid w:val="1D89487D"/>
    <w:rsid w:val="1D937180"/>
    <w:rsid w:val="1D9C5199"/>
    <w:rsid w:val="1DD94A3B"/>
    <w:rsid w:val="1DEC45D0"/>
    <w:rsid w:val="1E0A6315"/>
    <w:rsid w:val="1E5B441F"/>
    <w:rsid w:val="1E7947A7"/>
    <w:rsid w:val="1E7A4165"/>
    <w:rsid w:val="1E880AD9"/>
    <w:rsid w:val="1ECB1018"/>
    <w:rsid w:val="1ED65854"/>
    <w:rsid w:val="1EDD57B2"/>
    <w:rsid w:val="1EEC7AAC"/>
    <w:rsid w:val="1F116AC5"/>
    <w:rsid w:val="1F1B7934"/>
    <w:rsid w:val="1F2A4249"/>
    <w:rsid w:val="1F3D01F5"/>
    <w:rsid w:val="1F3F2759"/>
    <w:rsid w:val="1F792DE0"/>
    <w:rsid w:val="1F9F1555"/>
    <w:rsid w:val="1FAF786E"/>
    <w:rsid w:val="1FB63D2F"/>
    <w:rsid w:val="1FEB249F"/>
    <w:rsid w:val="1FF34D03"/>
    <w:rsid w:val="1FF92002"/>
    <w:rsid w:val="2010112C"/>
    <w:rsid w:val="204B25D7"/>
    <w:rsid w:val="2057531B"/>
    <w:rsid w:val="209004BA"/>
    <w:rsid w:val="20917663"/>
    <w:rsid w:val="209942B1"/>
    <w:rsid w:val="20A135B0"/>
    <w:rsid w:val="20AA0D3C"/>
    <w:rsid w:val="20AA749D"/>
    <w:rsid w:val="20C4762C"/>
    <w:rsid w:val="20CA6078"/>
    <w:rsid w:val="20DA79D4"/>
    <w:rsid w:val="20DF2E27"/>
    <w:rsid w:val="20DF57EE"/>
    <w:rsid w:val="20EA12F1"/>
    <w:rsid w:val="20ED615D"/>
    <w:rsid w:val="21054E07"/>
    <w:rsid w:val="210A1E0D"/>
    <w:rsid w:val="21103395"/>
    <w:rsid w:val="2131482D"/>
    <w:rsid w:val="215D1CBF"/>
    <w:rsid w:val="21860CCB"/>
    <w:rsid w:val="21AF6F62"/>
    <w:rsid w:val="21B93CA4"/>
    <w:rsid w:val="21C519A3"/>
    <w:rsid w:val="21D53CB4"/>
    <w:rsid w:val="21D544E9"/>
    <w:rsid w:val="21D95A57"/>
    <w:rsid w:val="21EF1A6B"/>
    <w:rsid w:val="22045C5E"/>
    <w:rsid w:val="22241935"/>
    <w:rsid w:val="22992119"/>
    <w:rsid w:val="22D621F6"/>
    <w:rsid w:val="22EC5646"/>
    <w:rsid w:val="22F058E6"/>
    <w:rsid w:val="22F62969"/>
    <w:rsid w:val="22F65DF4"/>
    <w:rsid w:val="22FF7411"/>
    <w:rsid w:val="232B6A60"/>
    <w:rsid w:val="235402FE"/>
    <w:rsid w:val="238002CA"/>
    <w:rsid w:val="23C86911"/>
    <w:rsid w:val="23D2079E"/>
    <w:rsid w:val="23E16791"/>
    <w:rsid w:val="23E304EF"/>
    <w:rsid w:val="24425D58"/>
    <w:rsid w:val="24B30097"/>
    <w:rsid w:val="24C0710A"/>
    <w:rsid w:val="2503642C"/>
    <w:rsid w:val="25094517"/>
    <w:rsid w:val="25182F61"/>
    <w:rsid w:val="252F2291"/>
    <w:rsid w:val="253E0C1C"/>
    <w:rsid w:val="25586BAB"/>
    <w:rsid w:val="256C324C"/>
    <w:rsid w:val="25942387"/>
    <w:rsid w:val="25AE1543"/>
    <w:rsid w:val="25B22D0B"/>
    <w:rsid w:val="25B325FB"/>
    <w:rsid w:val="25B54911"/>
    <w:rsid w:val="261575A3"/>
    <w:rsid w:val="262B46D7"/>
    <w:rsid w:val="263B530F"/>
    <w:rsid w:val="266009A6"/>
    <w:rsid w:val="2672121E"/>
    <w:rsid w:val="26784E0F"/>
    <w:rsid w:val="268631A3"/>
    <w:rsid w:val="269851FE"/>
    <w:rsid w:val="269E2CAC"/>
    <w:rsid w:val="26B35062"/>
    <w:rsid w:val="26B67756"/>
    <w:rsid w:val="26C73974"/>
    <w:rsid w:val="26DD555B"/>
    <w:rsid w:val="26EB5622"/>
    <w:rsid w:val="26EE1123"/>
    <w:rsid w:val="26FA15C1"/>
    <w:rsid w:val="2733531B"/>
    <w:rsid w:val="273949EE"/>
    <w:rsid w:val="27472D36"/>
    <w:rsid w:val="276945DF"/>
    <w:rsid w:val="27713073"/>
    <w:rsid w:val="278E149F"/>
    <w:rsid w:val="27A56F34"/>
    <w:rsid w:val="27AE5827"/>
    <w:rsid w:val="27B4784F"/>
    <w:rsid w:val="27FD40D4"/>
    <w:rsid w:val="280D5FA4"/>
    <w:rsid w:val="280F3EFA"/>
    <w:rsid w:val="280F7439"/>
    <w:rsid w:val="282262D7"/>
    <w:rsid w:val="28424472"/>
    <w:rsid w:val="28A24078"/>
    <w:rsid w:val="28BB266C"/>
    <w:rsid w:val="29327953"/>
    <w:rsid w:val="29383F1C"/>
    <w:rsid w:val="2944405C"/>
    <w:rsid w:val="29453A75"/>
    <w:rsid w:val="29837632"/>
    <w:rsid w:val="29924E43"/>
    <w:rsid w:val="29945D6C"/>
    <w:rsid w:val="29A678A9"/>
    <w:rsid w:val="29C31E84"/>
    <w:rsid w:val="29CF060F"/>
    <w:rsid w:val="29E465E0"/>
    <w:rsid w:val="29F010C4"/>
    <w:rsid w:val="29FE59B1"/>
    <w:rsid w:val="2A386A88"/>
    <w:rsid w:val="2A8D6343"/>
    <w:rsid w:val="2AD92053"/>
    <w:rsid w:val="2B107667"/>
    <w:rsid w:val="2B641FC3"/>
    <w:rsid w:val="2B796BA9"/>
    <w:rsid w:val="2B806430"/>
    <w:rsid w:val="2BCF2870"/>
    <w:rsid w:val="2BD94AAC"/>
    <w:rsid w:val="2BE8759F"/>
    <w:rsid w:val="2C076A9B"/>
    <w:rsid w:val="2C0E7417"/>
    <w:rsid w:val="2C0F4D50"/>
    <w:rsid w:val="2C37763E"/>
    <w:rsid w:val="2C424585"/>
    <w:rsid w:val="2C4327A8"/>
    <w:rsid w:val="2C7132EA"/>
    <w:rsid w:val="2C783AE0"/>
    <w:rsid w:val="2CAA2919"/>
    <w:rsid w:val="2CBF2B1B"/>
    <w:rsid w:val="2CC4602A"/>
    <w:rsid w:val="2CD8221A"/>
    <w:rsid w:val="2D06251D"/>
    <w:rsid w:val="2D113E56"/>
    <w:rsid w:val="2D1465EB"/>
    <w:rsid w:val="2D522EBC"/>
    <w:rsid w:val="2D5477E6"/>
    <w:rsid w:val="2D6214F2"/>
    <w:rsid w:val="2D8A4CE1"/>
    <w:rsid w:val="2D9507CF"/>
    <w:rsid w:val="2D9D410D"/>
    <w:rsid w:val="2DAF11E1"/>
    <w:rsid w:val="2DAF3E40"/>
    <w:rsid w:val="2DB6320A"/>
    <w:rsid w:val="2DB74C3B"/>
    <w:rsid w:val="2E007023"/>
    <w:rsid w:val="2E0759C7"/>
    <w:rsid w:val="2E0777D8"/>
    <w:rsid w:val="2E0931A4"/>
    <w:rsid w:val="2E236DC1"/>
    <w:rsid w:val="2E2C2010"/>
    <w:rsid w:val="2E392B2B"/>
    <w:rsid w:val="2EAE1C04"/>
    <w:rsid w:val="2EB6515C"/>
    <w:rsid w:val="2EC113FF"/>
    <w:rsid w:val="2ED038FB"/>
    <w:rsid w:val="2F0C7091"/>
    <w:rsid w:val="2F234AE5"/>
    <w:rsid w:val="2F317C76"/>
    <w:rsid w:val="2F6D6F42"/>
    <w:rsid w:val="2F726AA9"/>
    <w:rsid w:val="2F9E54D1"/>
    <w:rsid w:val="300D5345"/>
    <w:rsid w:val="30355329"/>
    <w:rsid w:val="303D0EEA"/>
    <w:rsid w:val="30562A56"/>
    <w:rsid w:val="307C5CD3"/>
    <w:rsid w:val="30884E32"/>
    <w:rsid w:val="30B20A2E"/>
    <w:rsid w:val="30D63EF7"/>
    <w:rsid w:val="30FC3B86"/>
    <w:rsid w:val="3166141B"/>
    <w:rsid w:val="316C4B74"/>
    <w:rsid w:val="31865B49"/>
    <w:rsid w:val="31900C1B"/>
    <w:rsid w:val="31A3127F"/>
    <w:rsid w:val="31CC50E2"/>
    <w:rsid w:val="31E80B39"/>
    <w:rsid w:val="321C016C"/>
    <w:rsid w:val="32354BFC"/>
    <w:rsid w:val="3247156C"/>
    <w:rsid w:val="326A1DB1"/>
    <w:rsid w:val="32930B88"/>
    <w:rsid w:val="32C24615"/>
    <w:rsid w:val="32C34468"/>
    <w:rsid w:val="32E13E1E"/>
    <w:rsid w:val="334933FE"/>
    <w:rsid w:val="3369018F"/>
    <w:rsid w:val="338468F5"/>
    <w:rsid w:val="33AA6BB6"/>
    <w:rsid w:val="33C54116"/>
    <w:rsid w:val="33D00119"/>
    <w:rsid w:val="34084704"/>
    <w:rsid w:val="34347E21"/>
    <w:rsid w:val="34624B7D"/>
    <w:rsid w:val="346831B7"/>
    <w:rsid w:val="34684D49"/>
    <w:rsid w:val="3492701B"/>
    <w:rsid w:val="34982C61"/>
    <w:rsid w:val="34BE52DE"/>
    <w:rsid w:val="34CC18CD"/>
    <w:rsid w:val="34D677AF"/>
    <w:rsid w:val="34E64694"/>
    <w:rsid w:val="35116F5F"/>
    <w:rsid w:val="351450C9"/>
    <w:rsid w:val="353330E4"/>
    <w:rsid w:val="35354844"/>
    <w:rsid w:val="35385C88"/>
    <w:rsid w:val="353F5BB5"/>
    <w:rsid w:val="35435512"/>
    <w:rsid w:val="35481451"/>
    <w:rsid w:val="35561E2B"/>
    <w:rsid w:val="355C4A1F"/>
    <w:rsid w:val="3578581E"/>
    <w:rsid w:val="35857419"/>
    <w:rsid w:val="35875CD7"/>
    <w:rsid w:val="35C8466C"/>
    <w:rsid w:val="35CE3D8F"/>
    <w:rsid w:val="3602502C"/>
    <w:rsid w:val="361A75B2"/>
    <w:rsid w:val="365B1779"/>
    <w:rsid w:val="36671A6C"/>
    <w:rsid w:val="36B97803"/>
    <w:rsid w:val="36C57C65"/>
    <w:rsid w:val="36D20E72"/>
    <w:rsid w:val="36F82FBB"/>
    <w:rsid w:val="36FA3427"/>
    <w:rsid w:val="372417BB"/>
    <w:rsid w:val="37445638"/>
    <w:rsid w:val="374F6512"/>
    <w:rsid w:val="378E0F6A"/>
    <w:rsid w:val="38085DBF"/>
    <w:rsid w:val="3823159E"/>
    <w:rsid w:val="38353D64"/>
    <w:rsid w:val="385E6DA2"/>
    <w:rsid w:val="38606463"/>
    <w:rsid w:val="387D1F11"/>
    <w:rsid w:val="38951DC5"/>
    <w:rsid w:val="38A35CA4"/>
    <w:rsid w:val="38D16010"/>
    <w:rsid w:val="38DD709E"/>
    <w:rsid w:val="38F232F9"/>
    <w:rsid w:val="39142BB0"/>
    <w:rsid w:val="39161A92"/>
    <w:rsid w:val="391A54FE"/>
    <w:rsid w:val="39370EED"/>
    <w:rsid w:val="398923C3"/>
    <w:rsid w:val="399C5460"/>
    <w:rsid w:val="39AC4745"/>
    <w:rsid w:val="39B07178"/>
    <w:rsid w:val="39EC5418"/>
    <w:rsid w:val="3A046DBF"/>
    <w:rsid w:val="3A3F664F"/>
    <w:rsid w:val="3A4C692C"/>
    <w:rsid w:val="3A501EA5"/>
    <w:rsid w:val="3A850737"/>
    <w:rsid w:val="3A9E4A8D"/>
    <w:rsid w:val="3ADF02DC"/>
    <w:rsid w:val="3AF5453F"/>
    <w:rsid w:val="3B0A24EB"/>
    <w:rsid w:val="3B213892"/>
    <w:rsid w:val="3B3617C1"/>
    <w:rsid w:val="3B725E88"/>
    <w:rsid w:val="3BD00FAF"/>
    <w:rsid w:val="3BD1253C"/>
    <w:rsid w:val="3BD94903"/>
    <w:rsid w:val="3BDC7979"/>
    <w:rsid w:val="3C0A464D"/>
    <w:rsid w:val="3C847300"/>
    <w:rsid w:val="3CA9251C"/>
    <w:rsid w:val="3CB75A2A"/>
    <w:rsid w:val="3CD425CC"/>
    <w:rsid w:val="3CD4307D"/>
    <w:rsid w:val="3CE753A4"/>
    <w:rsid w:val="3CF7689E"/>
    <w:rsid w:val="3D460CC9"/>
    <w:rsid w:val="3D6F0FE4"/>
    <w:rsid w:val="3D856884"/>
    <w:rsid w:val="3D9F16AD"/>
    <w:rsid w:val="3DED63EF"/>
    <w:rsid w:val="3E2B05F1"/>
    <w:rsid w:val="3E5C4C15"/>
    <w:rsid w:val="3E73181B"/>
    <w:rsid w:val="3E986124"/>
    <w:rsid w:val="3EA62F6B"/>
    <w:rsid w:val="3EAD270E"/>
    <w:rsid w:val="3EBA21A2"/>
    <w:rsid w:val="3EC83719"/>
    <w:rsid w:val="3EF07B2A"/>
    <w:rsid w:val="3EF16C24"/>
    <w:rsid w:val="3EF97023"/>
    <w:rsid w:val="3F0A7B4D"/>
    <w:rsid w:val="3F536E72"/>
    <w:rsid w:val="3F5A5DF8"/>
    <w:rsid w:val="3F682495"/>
    <w:rsid w:val="3F6F5A12"/>
    <w:rsid w:val="3F7D06A9"/>
    <w:rsid w:val="3F89775A"/>
    <w:rsid w:val="401D09AD"/>
    <w:rsid w:val="40211D12"/>
    <w:rsid w:val="403223B5"/>
    <w:rsid w:val="40383331"/>
    <w:rsid w:val="405E1A1A"/>
    <w:rsid w:val="408B20B7"/>
    <w:rsid w:val="409F500E"/>
    <w:rsid w:val="40D21025"/>
    <w:rsid w:val="40E35408"/>
    <w:rsid w:val="40E70C87"/>
    <w:rsid w:val="4116685A"/>
    <w:rsid w:val="4144132E"/>
    <w:rsid w:val="414560ED"/>
    <w:rsid w:val="4160303A"/>
    <w:rsid w:val="41730B93"/>
    <w:rsid w:val="417D77C6"/>
    <w:rsid w:val="417F6E03"/>
    <w:rsid w:val="41820512"/>
    <w:rsid w:val="41A802BD"/>
    <w:rsid w:val="41AC5406"/>
    <w:rsid w:val="41AF2D7B"/>
    <w:rsid w:val="41C21034"/>
    <w:rsid w:val="42162688"/>
    <w:rsid w:val="422D44CF"/>
    <w:rsid w:val="423650F9"/>
    <w:rsid w:val="426C5E38"/>
    <w:rsid w:val="42ED6214"/>
    <w:rsid w:val="43396CB1"/>
    <w:rsid w:val="433B3A4C"/>
    <w:rsid w:val="433D2460"/>
    <w:rsid w:val="439532EA"/>
    <w:rsid w:val="43CE363D"/>
    <w:rsid w:val="43F64B4C"/>
    <w:rsid w:val="44044389"/>
    <w:rsid w:val="440D1349"/>
    <w:rsid w:val="442235E1"/>
    <w:rsid w:val="44832484"/>
    <w:rsid w:val="449B0C56"/>
    <w:rsid w:val="44A077D5"/>
    <w:rsid w:val="44A142A6"/>
    <w:rsid w:val="44A733D3"/>
    <w:rsid w:val="44B40FFF"/>
    <w:rsid w:val="45124762"/>
    <w:rsid w:val="4516018B"/>
    <w:rsid w:val="452D7737"/>
    <w:rsid w:val="455064CB"/>
    <w:rsid w:val="455C6481"/>
    <w:rsid w:val="456552E9"/>
    <w:rsid w:val="45901428"/>
    <w:rsid w:val="459210DB"/>
    <w:rsid w:val="45FD05DD"/>
    <w:rsid w:val="4624677B"/>
    <w:rsid w:val="46285655"/>
    <w:rsid w:val="4637255B"/>
    <w:rsid w:val="464B1A18"/>
    <w:rsid w:val="464B225F"/>
    <w:rsid w:val="469063CF"/>
    <w:rsid w:val="46925930"/>
    <w:rsid w:val="46927983"/>
    <w:rsid w:val="46A136A7"/>
    <w:rsid w:val="46D0277B"/>
    <w:rsid w:val="46D30747"/>
    <w:rsid w:val="46E663B3"/>
    <w:rsid w:val="47004B35"/>
    <w:rsid w:val="47055811"/>
    <w:rsid w:val="470A51A1"/>
    <w:rsid w:val="47173550"/>
    <w:rsid w:val="47387046"/>
    <w:rsid w:val="47A2368C"/>
    <w:rsid w:val="47D149D8"/>
    <w:rsid w:val="48144862"/>
    <w:rsid w:val="481E7EA7"/>
    <w:rsid w:val="48267635"/>
    <w:rsid w:val="4842767D"/>
    <w:rsid w:val="484653A1"/>
    <w:rsid w:val="485A1120"/>
    <w:rsid w:val="485A64CD"/>
    <w:rsid w:val="48654A26"/>
    <w:rsid w:val="486D6CC0"/>
    <w:rsid w:val="488C2B7C"/>
    <w:rsid w:val="489A2240"/>
    <w:rsid w:val="48C75206"/>
    <w:rsid w:val="48D53CF6"/>
    <w:rsid w:val="491B78AA"/>
    <w:rsid w:val="491E6220"/>
    <w:rsid w:val="49303C2F"/>
    <w:rsid w:val="49B55A70"/>
    <w:rsid w:val="49F75D45"/>
    <w:rsid w:val="4A1F7279"/>
    <w:rsid w:val="4A1F72D7"/>
    <w:rsid w:val="4A245DBD"/>
    <w:rsid w:val="4A515805"/>
    <w:rsid w:val="4A847973"/>
    <w:rsid w:val="4AAE4EB2"/>
    <w:rsid w:val="4AAF7284"/>
    <w:rsid w:val="4AB91C3E"/>
    <w:rsid w:val="4ACD5285"/>
    <w:rsid w:val="4B2D3438"/>
    <w:rsid w:val="4B320EAF"/>
    <w:rsid w:val="4B341FB6"/>
    <w:rsid w:val="4B470DE1"/>
    <w:rsid w:val="4B530D48"/>
    <w:rsid w:val="4B610837"/>
    <w:rsid w:val="4B664419"/>
    <w:rsid w:val="4B7C065B"/>
    <w:rsid w:val="4B7C4154"/>
    <w:rsid w:val="4B926840"/>
    <w:rsid w:val="4B9B6198"/>
    <w:rsid w:val="4BAE749A"/>
    <w:rsid w:val="4BC92DAE"/>
    <w:rsid w:val="4BE35810"/>
    <w:rsid w:val="4BE966D4"/>
    <w:rsid w:val="4BFD7343"/>
    <w:rsid w:val="4C222CCE"/>
    <w:rsid w:val="4C2E0CBD"/>
    <w:rsid w:val="4C3E46B5"/>
    <w:rsid w:val="4C724691"/>
    <w:rsid w:val="4CB61EA0"/>
    <w:rsid w:val="4CC80993"/>
    <w:rsid w:val="4CF431C6"/>
    <w:rsid w:val="4CFF328B"/>
    <w:rsid w:val="4D084C07"/>
    <w:rsid w:val="4D265A75"/>
    <w:rsid w:val="4D2F0355"/>
    <w:rsid w:val="4D5324E4"/>
    <w:rsid w:val="4D583A38"/>
    <w:rsid w:val="4D6720AB"/>
    <w:rsid w:val="4D692FBF"/>
    <w:rsid w:val="4D763645"/>
    <w:rsid w:val="4D777B1C"/>
    <w:rsid w:val="4D872AA0"/>
    <w:rsid w:val="4D8A47C8"/>
    <w:rsid w:val="4DA95BDC"/>
    <w:rsid w:val="4DC87BBC"/>
    <w:rsid w:val="4DE34B29"/>
    <w:rsid w:val="4DEA4FBB"/>
    <w:rsid w:val="4DEE37AE"/>
    <w:rsid w:val="4DF50A6C"/>
    <w:rsid w:val="4DFD1705"/>
    <w:rsid w:val="4DFF6D01"/>
    <w:rsid w:val="4E0B34B3"/>
    <w:rsid w:val="4E481A1B"/>
    <w:rsid w:val="4E541588"/>
    <w:rsid w:val="4E661EA1"/>
    <w:rsid w:val="4E795448"/>
    <w:rsid w:val="4E9E400B"/>
    <w:rsid w:val="4EA2112B"/>
    <w:rsid w:val="4EAC6947"/>
    <w:rsid w:val="4ECD2961"/>
    <w:rsid w:val="4ED11092"/>
    <w:rsid w:val="4ED55503"/>
    <w:rsid w:val="4EE11DF1"/>
    <w:rsid w:val="4EF9123C"/>
    <w:rsid w:val="4F056F4F"/>
    <w:rsid w:val="4F184117"/>
    <w:rsid w:val="4F3664CA"/>
    <w:rsid w:val="4F716F60"/>
    <w:rsid w:val="4F7B132D"/>
    <w:rsid w:val="4F821E9C"/>
    <w:rsid w:val="4F887979"/>
    <w:rsid w:val="4FAC3F88"/>
    <w:rsid w:val="4FC84F74"/>
    <w:rsid w:val="4FCA67C9"/>
    <w:rsid w:val="4FD9061A"/>
    <w:rsid w:val="4FE75A4D"/>
    <w:rsid w:val="4FE803A1"/>
    <w:rsid w:val="4FFC28DD"/>
    <w:rsid w:val="502F02A9"/>
    <w:rsid w:val="502F5B9E"/>
    <w:rsid w:val="50503078"/>
    <w:rsid w:val="50574B72"/>
    <w:rsid w:val="508758F2"/>
    <w:rsid w:val="50947BE7"/>
    <w:rsid w:val="50C9678F"/>
    <w:rsid w:val="50CE44F4"/>
    <w:rsid w:val="50D14E5F"/>
    <w:rsid w:val="51071719"/>
    <w:rsid w:val="513011BE"/>
    <w:rsid w:val="513D6FDD"/>
    <w:rsid w:val="51407640"/>
    <w:rsid w:val="51584933"/>
    <w:rsid w:val="518708F8"/>
    <w:rsid w:val="51951744"/>
    <w:rsid w:val="519D4573"/>
    <w:rsid w:val="51A345F2"/>
    <w:rsid w:val="51A71019"/>
    <w:rsid w:val="51B20427"/>
    <w:rsid w:val="51C70BCC"/>
    <w:rsid w:val="51DB3750"/>
    <w:rsid w:val="51E71054"/>
    <w:rsid w:val="520E79D3"/>
    <w:rsid w:val="52441514"/>
    <w:rsid w:val="52504B06"/>
    <w:rsid w:val="525262EA"/>
    <w:rsid w:val="525562FA"/>
    <w:rsid w:val="52695E52"/>
    <w:rsid w:val="52714ABB"/>
    <w:rsid w:val="529677A7"/>
    <w:rsid w:val="52AB4F03"/>
    <w:rsid w:val="52B72723"/>
    <w:rsid w:val="52CA5B6F"/>
    <w:rsid w:val="52CF2A1F"/>
    <w:rsid w:val="52EF20F1"/>
    <w:rsid w:val="532403B5"/>
    <w:rsid w:val="534C0656"/>
    <w:rsid w:val="53560256"/>
    <w:rsid w:val="535B176B"/>
    <w:rsid w:val="535C725F"/>
    <w:rsid w:val="53AE6148"/>
    <w:rsid w:val="53B00426"/>
    <w:rsid w:val="53E23B76"/>
    <w:rsid w:val="540013E0"/>
    <w:rsid w:val="540D0FAB"/>
    <w:rsid w:val="544D6C9A"/>
    <w:rsid w:val="54536316"/>
    <w:rsid w:val="545D7919"/>
    <w:rsid w:val="54AE4AED"/>
    <w:rsid w:val="54EB7B69"/>
    <w:rsid w:val="5503044A"/>
    <w:rsid w:val="557607E4"/>
    <w:rsid w:val="55A63543"/>
    <w:rsid w:val="55E46B6D"/>
    <w:rsid w:val="56276421"/>
    <w:rsid w:val="56360FFF"/>
    <w:rsid w:val="56426A1F"/>
    <w:rsid w:val="566D5D78"/>
    <w:rsid w:val="567B6366"/>
    <w:rsid w:val="56D111FE"/>
    <w:rsid w:val="56D227CA"/>
    <w:rsid w:val="570A3D5B"/>
    <w:rsid w:val="5736037E"/>
    <w:rsid w:val="57640497"/>
    <w:rsid w:val="5764080A"/>
    <w:rsid w:val="577D1BEF"/>
    <w:rsid w:val="57C06EDF"/>
    <w:rsid w:val="57CB1ACF"/>
    <w:rsid w:val="57E17978"/>
    <w:rsid w:val="57F57929"/>
    <w:rsid w:val="58545DF3"/>
    <w:rsid w:val="58681720"/>
    <w:rsid w:val="5879602B"/>
    <w:rsid w:val="587C6DDF"/>
    <w:rsid w:val="588365F2"/>
    <w:rsid w:val="58885E59"/>
    <w:rsid w:val="58970592"/>
    <w:rsid w:val="58E9024A"/>
    <w:rsid w:val="58ED63B6"/>
    <w:rsid w:val="59350301"/>
    <w:rsid w:val="59473EA0"/>
    <w:rsid w:val="59997F35"/>
    <w:rsid w:val="599A54A5"/>
    <w:rsid w:val="59D0608F"/>
    <w:rsid w:val="59DA4DB4"/>
    <w:rsid w:val="59DE353D"/>
    <w:rsid w:val="59E051FD"/>
    <w:rsid w:val="59E304DF"/>
    <w:rsid w:val="5A0740B4"/>
    <w:rsid w:val="5A13349F"/>
    <w:rsid w:val="5A261BFE"/>
    <w:rsid w:val="5A344E03"/>
    <w:rsid w:val="5A507139"/>
    <w:rsid w:val="5A5117F5"/>
    <w:rsid w:val="5A652C24"/>
    <w:rsid w:val="5A772779"/>
    <w:rsid w:val="5A85429B"/>
    <w:rsid w:val="5A996061"/>
    <w:rsid w:val="5AB218E1"/>
    <w:rsid w:val="5AB6177A"/>
    <w:rsid w:val="5AFE0749"/>
    <w:rsid w:val="5B1A6935"/>
    <w:rsid w:val="5B1F728F"/>
    <w:rsid w:val="5B247EEE"/>
    <w:rsid w:val="5B661C01"/>
    <w:rsid w:val="5B8D37E2"/>
    <w:rsid w:val="5BD50EF5"/>
    <w:rsid w:val="5BD522B9"/>
    <w:rsid w:val="5C2F03CB"/>
    <w:rsid w:val="5C3B6DCB"/>
    <w:rsid w:val="5C593045"/>
    <w:rsid w:val="5C777F55"/>
    <w:rsid w:val="5CBA103A"/>
    <w:rsid w:val="5CC10BB9"/>
    <w:rsid w:val="5CCA7B84"/>
    <w:rsid w:val="5CEC6120"/>
    <w:rsid w:val="5D397733"/>
    <w:rsid w:val="5DD152D8"/>
    <w:rsid w:val="5DFC40C6"/>
    <w:rsid w:val="5E185135"/>
    <w:rsid w:val="5E1B5A4C"/>
    <w:rsid w:val="5E2C49D1"/>
    <w:rsid w:val="5E4248E8"/>
    <w:rsid w:val="5E5D7E29"/>
    <w:rsid w:val="5E624433"/>
    <w:rsid w:val="5E731DCF"/>
    <w:rsid w:val="5E9E664B"/>
    <w:rsid w:val="5E9F4437"/>
    <w:rsid w:val="5EA52FAF"/>
    <w:rsid w:val="5EB81262"/>
    <w:rsid w:val="5EC07C88"/>
    <w:rsid w:val="5EE032C9"/>
    <w:rsid w:val="5EF72EF0"/>
    <w:rsid w:val="5F2C1FFC"/>
    <w:rsid w:val="5F433839"/>
    <w:rsid w:val="5F482DEF"/>
    <w:rsid w:val="5F5F66F5"/>
    <w:rsid w:val="5F723064"/>
    <w:rsid w:val="5F940DD7"/>
    <w:rsid w:val="60102465"/>
    <w:rsid w:val="60692828"/>
    <w:rsid w:val="606D504D"/>
    <w:rsid w:val="60CE7502"/>
    <w:rsid w:val="60D64DFA"/>
    <w:rsid w:val="60E115FE"/>
    <w:rsid w:val="60E27A91"/>
    <w:rsid w:val="611A2A5C"/>
    <w:rsid w:val="611F2ACA"/>
    <w:rsid w:val="612E60D6"/>
    <w:rsid w:val="617259BC"/>
    <w:rsid w:val="617A0A8D"/>
    <w:rsid w:val="61BC4810"/>
    <w:rsid w:val="61D45D62"/>
    <w:rsid w:val="62154112"/>
    <w:rsid w:val="62262282"/>
    <w:rsid w:val="62294554"/>
    <w:rsid w:val="62776733"/>
    <w:rsid w:val="62835C66"/>
    <w:rsid w:val="629A2753"/>
    <w:rsid w:val="62B12F3F"/>
    <w:rsid w:val="62B666AF"/>
    <w:rsid w:val="62C3611C"/>
    <w:rsid w:val="62CD40B9"/>
    <w:rsid w:val="62E1441F"/>
    <w:rsid w:val="62E24221"/>
    <w:rsid w:val="62EE0740"/>
    <w:rsid w:val="6307759A"/>
    <w:rsid w:val="636E5863"/>
    <w:rsid w:val="637B7C12"/>
    <w:rsid w:val="637F761C"/>
    <w:rsid w:val="639C4A2B"/>
    <w:rsid w:val="63B85AD0"/>
    <w:rsid w:val="63C316CE"/>
    <w:rsid w:val="63C46CE9"/>
    <w:rsid w:val="63D548D0"/>
    <w:rsid w:val="63E82E6B"/>
    <w:rsid w:val="64021414"/>
    <w:rsid w:val="64243D8F"/>
    <w:rsid w:val="64287927"/>
    <w:rsid w:val="6441723E"/>
    <w:rsid w:val="645F4364"/>
    <w:rsid w:val="64740A1C"/>
    <w:rsid w:val="647C4B15"/>
    <w:rsid w:val="649422EF"/>
    <w:rsid w:val="64B52FFF"/>
    <w:rsid w:val="64B618B5"/>
    <w:rsid w:val="64BA69E7"/>
    <w:rsid w:val="64C147F8"/>
    <w:rsid w:val="64C80B16"/>
    <w:rsid w:val="64E37CC8"/>
    <w:rsid w:val="64F273DF"/>
    <w:rsid w:val="653F699B"/>
    <w:rsid w:val="65454C2D"/>
    <w:rsid w:val="654A5CBA"/>
    <w:rsid w:val="655776C7"/>
    <w:rsid w:val="655D5E4D"/>
    <w:rsid w:val="656D6B9F"/>
    <w:rsid w:val="65783894"/>
    <w:rsid w:val="65A01086"/>
    <w:rsid w:val="65AB7EF8"/>
    <w:rsid w:val="65B4114E"/>
    <w:rsid w:val="65F21255"/>
    <w:rsid w:val="660541EF"/>
    <w:rsid w:val="660E60C4"/>
    <w:rsid w:val="661E554F"/>
    <w:rsid w:val="66410434"/>
    <w:rsid w:val="66B943B4"/>
    <w:rsid w:val="66D9794E"/>
    <w:rsid w:val="66F05966"/>
    <w:rsid w:val="671432AB"/>
    <w:rsid w:val="671A5858"/>
    <w:rsid w:val="676505A0"/>
    <w:rsid w:val="67737FDF"/>
    <w:rsid w:val="6793278B"/>
    <w:rsid w:val="67CE1F0B"/>
    <w:rsid w:val="67FA0A31"/>
    <w:rsid w:val="68045A14"/>
    <w:rsid w:val="68311C00"/>
    <w:rsid w:val="686F14D5"/>
    <w:rsid w:val="687C47D5"/>
    <w:rsid w:val="68975742"/>
    <w:rsid w:val="68AE5E7A"/>
    <w:rsid w:val="68B615CB"/>
    <w:rsid w:val="68BB15E7"/>
    <w:rsid w:val="68C67448"/>
    <w:rsid w:val="68D01C17"/>
    <w:rsid w:val="68D9547F"/>
    <w:rsid w:val="68E45EBF"/>
    <w:rsid w:val="68E503C2"/>
    <w:rsid w:val="68EB3CEF"/>
    <w:rsid w:val="68F9626A"/>
    <w:rsid w:val="69210899"/>
    <w:rsid w:val="692A51E4"/>
    <w:rsid w:val="69344211"/>
    <w:rsid w:val="694035C3"/>
    <w:rsid w:val="6945547D"/>
    <w:rsid w:val="69537A82"/>
    <w:rsid w:val="69641165"/>
    <w:rsid w:val="6992472C"/>
    <w:rsid w:val="699441C6"/>
    <w:rsid w:val="69BF098B"/>
    <w:rsid w:val="69D63A7F"/>
    <w:rsid w:val="6A1A5AAB"/>
    <w:rsid w:val="6A270164"/>
    <w:rsid w:val="6A270421"/>
    <w:rsid w:val="6A640FBF"/>
    <w:rsid w:val="6A69177D"/>
    <w:rsid w:val="6AC6616F"/>
    <w:rsid w:val="6AE25466"/>
    <w:rsid w:val="6AEB454C"/>
    <w:rsid w:val="6AFA21EC"/>
    <w:rsid w:val="6B3E6BAC"/>
    <w:rsid w:val="6B4B77EA"/>
    <w:rsid w:val="6B4C408A"/>
    <w:rsid w:val="6B563166"/>
    <w:rsid w:val="6B6905F7"/>
    <w:rsid w:val="6B713F07"/>
    <w:rsid w:val="6B8C6632"/>
    <w:rsid w:val="6B942897"/>
    <w:rsid w:val="6BAB63AF"/>
    <w:rsid w:val="6BDA2C78"/>
    <w:rsid w:val="6BDB0AF9"/>
    <w:rsid w:val="6C034963"/>
    <w:rsid w:val="6C6B5EE2"/>
    <w:rsid w:val="6C6E7F90"/>
    <w:rsid w:val="6C7D5EE6"/>
    <w:rsid w:val="6C937657"/>
    <w:rsid w:val="6C984B66"/>
    <w:rsid w:val="6CE77C9E"/>
    <w:rsid w:val="6CFE7A1D"/>
    <w:rsid w:val="6CFF0F58"/>
    <w:rsid w:val="6D451D36"/>
    <w:rsid w:val="6D587FBF"/>
    <w:rsid w:val="6D6D156A"/>
    <w:rsid w:val="6D93085D"/>
    <w:rsid w:val="6DA45FF4"/>
    <w:rsid w:val="6DB77894"/>
    <w:rsid w:val="6DC6674B"/>
    <w:rsid w:val="6DD075CC"/>
    <w:rsid w:val="6E076D05"/>
    <w:rsid w:val="6E086A9F"/>
    <w:rsid w:val="6E313A74"/>
    <w:rsid w:val="6E7325FD"/>
    <w:rsid w:val="6E8A0B6A"/>
    <w:rsid w:val="6EB5741D"/>
    <w:rsid w:val="6ECC3FC3"/>
    <w:rsid w:val="6F08390E"/>
    <w:rsid w:val="6F3B697C"/>
    <w:rsid w:val="6F642157"/>
    <w:rsid w:val="6F6B0876"/>
    <w:rsid w:val="6F757064"/>
    <w:rsid w:val="6F92207A"/>
    <w:rsid w:val="6FA83099"/>
    <w:rsid w:val="6FD20C89"/>
    <w:rsid w:val="6FE00AC2"/>
    <w:rsid w:val="6FE31255"/>
    <w:rsid w:val="6FF00F65"/>
    <w:rsid w:val="7021222E"/>
    <w:rsid w:val="702256DD"/>
    <w:rsid w:val="70235DEC"/>
    <w:rsid w:val="70692F10"/>
    <w:rsid w:val="70855F6D"/>
    <w:rsid w:val="70981F36"/>
    <w:rsid w:val="70BD4694"/>
    <w:rsid w:val="70CA560E"/>
    <w:rsid w:val="70D722EC"/>
    <w:rsid w:val="70FA3B67"/>
    <w:rsid w:val="71287D99"/>
    <w:rsid w:val="713163AF"/>
    <w:rsid w:val="714A3DFD"/>
    <w:rsid w:val="71942E78"/>
    <w:rsid w:val="71967069"/>
    <w:rsid w:val="71B1395F"/>
    <w:rsid w:val="71B97219"/>
    <w:rsid w:val="71D47F47"/>
    <w:rsid w:val="720938A5"/>
    <w:rsid w:val="720C4CE2"/>
    <w:rsid w:val="7211192F"/>
    <w:rsid w:val="72117C71"/>
    <w:rsid w:val="72253F59"/>
    <w:rsid w:val="722B44FD"/>
    <w:rsid w:val="72303688"/>
    <w:rsid w:val="72356599"/>
    <w:rsid w:val="72407358"/>
    <w:rsid w:val="72591954"/>
    <w:rsid w:val="726F0D12"/>
    <w:rsid w:val="729369EF"/>
    <w:rsid w:val="72BA2638"/>
    <w:rsid w:val="72BE0C21"/>
    <w:rsid w:val="72CE627A"/>
    <w:rsid w:val="72DD0CA4"/>
    <w:rsid w:val="72F368F4"/>
    <w:rsid w:val="72F84F0E"/>
    <w:rsid w:val="731507DF"/>
    <w:rsid w:val="731D2645"/>
    <w:rsid w:val="734870D9"/>
    <w:rsid w:val="734E2F70"/>
    <w:rsid w:val="73902265"/>
    <w:rsid w:val="739D17BD"/>
    <w:rsid w:val="73A41CCF"/>
    <w:rsid w:val="73D30FAF"/>
    <w:rsid w:val="741323A7"/>
    <w:rsid w:val="741948EE"/>
    <w:rsid w:val="7430613C"/>
    <w:rsid w:val="74570EE3"/>
    <w:rsid w:val="746407BB"/>
    <w:rsid w:val="74852ABA"/>
    <w:rsid w:val="749F7AF2"/>
    <w:rsid w:val="74E15034"/>
    <w:rsid w:val="750135D4"/>
    <w:rsid w:val="750B0F29"/>
    <w:rsid w:val="75116419"/>
    <w:rsid w:val="7531137E"/>
    <w:rsid w:val="754F3080"/>
    <w:rsid w:val="75933D7A"/>
    <w:rsid w:val="75D90FA9"/>
    <w:rsid w:val="75E1085E"/>
    <w:rsid w:val="762607B0"/>
    <w:rsid w:val="765048D2"/>
    <w:rsid w:val="76586C21"/>
    <w:rsid w:val="765F1739"/>
    <w:rsid w:val="766F4280"/>
    <w:rsid w:val="766F490F"/>
    <w:rsid w:val="769B08D2"/>
    <w:rsid w:val="769E029C"/>
    <w:rsid w:val="76FE7385"/>
    <w:rsid w:val="77040121"/>
    <w:rsid w:val="77074FBA"/>
    <w:rsid w:val="77100549"/>
    <w:rsid w:val="771C38A3"/>
    <w:rsid w:val="7744766B"/>
    <w:rsid w:val="774747D0"/>
    <w:rsid w:val="77712E2E"/>
    <w:rsid w:val="77E751FE"/>
    <w:rsid w:val="780F7780"/>
    <w:rsid w:val="78170E12"/>
    <w:rsid w:val="784F3822"/>
    <w:rsid w:val="78575AD9"/>
    <w:rsid w:val="7865284E"/>
    <w:rsid w:val="786C6326"/>
    <w:rsid w:val="788058B3"/>
    <w:rsid w:val="78945A7E"/>
    <w:rsid w:val="78A764DE"/>
    <w:rsid w:val="78C36DE0"/>
    <w:rsid w:val="78EE4912"/>
    <w:rsid w:val="790A5F70"/>
    <w:rsid w:val="793119AE"/>
    <w:rsid w:val="793303EF"/>
    <w:rsid w:val="793766AD"/>
    <w:rsid w:val="79397558"/>
    <w:rsid w:val="795A4A47"/>
    <w:rsid w:val="796A40F0"/>
    <w:rsid w:val="797A595E"/>
    <w:rsid w:val="79810EBA"/>
    <w:rsid w:val="798A2F90"/>
    <w:rsid w:val="79DE4AC7"/>
    <w:rsid w:val="79F61D75"/>
    <w:rsid w:val="7A003E98"/>
    <w:rsid w:val="7A1267E6"/>
    <w:rsid w:val="7A2D3EA4"/>
    <w:rsid w:val="7A331B30"/>
    <w:rsid w:val="7A53292B"/>
    <w:rsid w:val="7A5A7FE5"/>
    <w:rsid w:val="7A5C7DEA"/>
    <w:rsid w:val="7A777AC1"/>
    <w:rsid w:val="7A7A53B1"/>
    <w:rsid w:val="7A8356F5"/>
    <w:rsid w:val="7A8E0023"/>
    <w:rsid w:val="7AAC46EE"/>
    <w:rsid w:val="7ACC3F7C"/>
    <w:rsid w:val="7AD02C89"/>
    <w:rsid w:val="7AD24541"/>
    <w:rsid w:val="7AE572F8"/>
    <w:rsid w:val="7B1D5654"/>
    <w:rsid w:val="7B2B7BA7"/>
    <w:rsid w:val="7B332E64"/>
    <w:rsid w:val="7B3665D4"/>
    <w:rsid w:val="7B5739B9"/>
    <w:rsid w:val="7B6C0926"/>
    <w:rsid w:val="7B8E24C7"/>
    <w:rsid w:val="7B9E0FB2"/>
    <w:rsid w:val="7BAC1017"/>
    <w:rsid w:val="7BAF2DE9"/>
    <w:rsid w:val="7BB919A3"/>
    <w:rsid w:val="7BD415F7"/>
    <w:rsid w:val="7C157862"/>
    <w:rsid w:val="7C2117FF"/>
    <w:rsid w:val="7C385132"/>
    <w:rsid w:val="7C4C6C93"/>
    <w:rsid w:val="7C8F4421"/>
    <w:rsid w:val="7D4848D3"/>
    <w:rsid w:val="7D65738C"/>
    <w:rsid w:val="7DAF0B47"/>
    <w:rsid w:val="7E2516BD"/>
    <w:rsid w:val="7E3A4559"/>
    <w:rsid w:val="7E6D1B39"/>
    <w:rsid w:val="7E852A49"/>
    <w:rsid w:val="7E8D50A4"/>
    <w:rsid w:val="7EE20267"/>
    <w:rsid w:val="7EFA6659"/>
    <w:rsid w:val="7F076DA4"/>
    <w:rsid w:val="7F2900ED"/>
    <w:rsid w:val="7F456CA1"/>
    <w:rsid w:val="7F645481"/>
    <w:rsid w:val="7FA32023"/>
    <w:rsid w:val="7FAC15C1"/>
    <w:rsid w:val="7FC96E84"/>
    <w:rsid w:val="7FE2284C"/>
    <w:rsid w:val="7FE802AB"/>
    <w:rsid w:val="7FFA1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
    <w:name w:val="heading 1"/>
    <w:basedOn w:val="1"/>
    <w:next w:val="1"/>
    <w:qFormat/>
    <w:uiPriority w:val="9"/>
    <w:pPr>
      <w:keepNext/>
      <w:keepLines/>
      <w:adjustRightInd w:val="0"/>
      <w:spacing w:line="460" w:lineRule="exact"/>
      <w:jc w:val="left"/>
      <w:textAlignment w:val="baseline"/>
      <w:outlineLvl w:val="0"/>
    </w:pPr>
    <w:rPr>
      <w:b/>
      <w:kern w:val="44"/>
      <w:sz w:val="32"/>
      <w:szCs w:val="20"/>
    </w:rPr>
  </w:style>
  <w:style w:type="paragraph" w:styleId="7">
    <w:name w:val="heading 2"/>
    <w:basedOn w:val="1"/>
    <w:next w:val="1"/>
    <w:link w:val="51"/>
    <w:qFormat/>
    <w:uiPriority w:val="0"/>
    <w:pPr>
      <w:tabs>
        <w:tab w:val="left" w:pos="540"/>
      </w:tabs>
      <w:adjustRightInd w:val="0"/>
      <w:snapToGrid w:val="0"/>
      <w:spacing w:line="360" w:lineRule="auto"/>
      <w:jc w:val="left"/>
      <w:outlineLvl w:val="1"/>
    </w:pPr>
    <w:rPr>
      <w:rFonts w:ascii="Arial" w:hAnsi="Arial"/>
      <w:b/>
      <w:sz w:val="28"/>
      <w:szCs w:val="20"/>
    </w:rPr>
  </w:style>
  <w:style w:type="paragraph" w:styleId="8">
    <w:name w:val="heading 3"/>
    <w:basedOn w:val="1"/>
    <w:next w:val="1"/>
    <w:link w:val="50"/>
    <w:qFormat/>
    <w:uiPriority w:val="0"/>
    <w:pPr>
      <w:tabs>
        <w:tab w:val="left" w:pos="540"/>
      </w:tabs>
      <w:adjustRightInd w:val="0"/>
      <w:snapToGrid w:val="0"/>
      <w:spacing w:line="360" w:lineRule="auto"/>
      <w:jc w:val="left"/>
      <w:outlineLvl w:val="2"/>
    </w:pPr>
    <w:rPr>
      <w:sz w:val="24"/>
      <w:szCs w:val="20"/>
    </w:rPr>
  </w:style>
  <w:style w:type="paragraph" w:styleId="9">
    <w:name w:val="heading 4"/>
    <w:basedOn w:val="8"/>
    <w:next w:val="1"/>
    <w:qFormat/>
    <w:uiPriority w:val="0"/>
    <w:pPr>
      <w:keepNext/>
      <w:keepLines/>
      <w:spacing w:before="200"/>
      <w:outlineLvl w:val="3"/>
    </w:pPr>
    <w:rPr>
      <w:rFonts w:ascii="Calibri" w:hAnsi="Calibri" w:eastAsia="MS Gothic"/>
      <w:i/>
      <w:iCs/>
      <w:color w:val="4F81BD"/>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kern w:val="0"/>
      <w:sz w:val="20"/>
      <w:szCs w:val="24"/>
    </w:rPr>
  </w:style>
  <w:style w:type="paragraph" w:styleId="3">
    <w:name w:val="Body Text Indent"/>
    <w:basedOn w:val="1"/>
    <w:next w:val="4"/>
    <w:qFormat/>
    <w:uiPriority w:val="0"/>
    <w:pPr>
      <w:spacing w:after="120"/>
      <w:ind w:left="420" w:leftChars="200"/>
    </w:pPr>
  </w:style>
  <w:style w:type="paragraph" w:styleId="4">
    <w:name w:val="Body Text"/>
    <w:basedOn w:val="1"/>
    <w:next w:val="5"/>
    <w:qFormat/>
    <w:uiPriority w:val="0"/>
    <w:pPr>
      <w:spacing w:after="120"/>
    </w:pPr>
  </w:style>
  <w:style w:type="paragraph" w:styleId="5">
    <w:name w:val="Body Text First Indent"/>
    <w:basedOn w:val="4"/>
    <w:qFormat/>
    <w:uiPriority w:val="0"/>
    <w:pPr>
      <w:ind w:firstLine="420" w:firstLineChars="100"/>
    </w:pPr>
  </w:style>
  <w:style w:type="paragraph" w:styleId="10">
    <w:name w:val="List 3"/>
    <w:basedOn w:val="1"/>
    <w:qFormat/>
    <w:uiPriority w:val="0"/>
    <w:pPr>
      <w:ind w:left="1260" w:hanging="420"/>
    </w:pPr>
    <w:rPr>
      <w:color w:val="000000"/>
      <w:kern w:val="1"/>
      <w:sz w:val="24"/>
      <w:szCs w:val="20"/>
    </w:rPr>
  </w:style>
  <w:style w:type="paragraph" w:styleId="11">
    <w:name w:val="toc 7"/>
    <w:basedOn w:val="1"/>
    <w:next w:val="1"/>
    <w:unhideWhenUsed/>
    <w:qFormat/>
    <w:uiPriority w:val="39"/>
    <w:pPr>
      <w:ind w:left="1050"/>
      <w:jc w:val="left"/>
    </w:pPr>
    <w:rPr>
      <w:rFonts w:cs="Calibri"/>
      <w:sz w:val="20"/>
      <w:szCs w:val="20"/>
    </w:rPr>
  </w:style>
  <w:style w:type="paragraph" w:styleId="12">
    <w:name w:val="Normal Indent"/>
    <w:basedOn w:val="1"/>
    <w:next w:val="1"/>
    <w:qFormat/>
    <w:uiPriority w:val="0"/>
    <w:pPr>
      <w:ind w:firstLine="420"/>
    </w:pPr>
    <w:rPr>
      <w:color w:val="000000"/>
      <w:kern w:val="1"/>
      <w:szCs w:val="20"/>
    </w:rPr>
  </w:style>
  <w:style w:type="paragraph" w:styleId="13">
    <w:name w:val="index 5"/>
    <w:basedOn w:val="1"/>
    <w:next w:val="1"/>
    <w:qFormat/>
    <w:uiPriority w:val="0"/>
    <w:pPr>
      <w:ind w:left="1680"/>
    </w:pPr>
  </w:style>
  <w:style w:type="paragraph" w:styleId="14">
    <w:name w:val="toa heading"/>
    <w:basedOn w:val="1"/>
    <w:next w:val="1"/>
    <w:qFormat/>
    <w:uiPriority w:val="0"/>
    <w:pPr>
      <w:spacing w:before="120"/>
    </w:pPr>
    <w:rPr>
      <w:rFonts w:ascii="Arial" w:hAnsi="Arial"/>
      <w:sz w:val="24"/>
      <w:szCs w:val="20"/>
    </w:rPr>
  </w:style>
  <w:style w:type="paragraph" w:styleId="15">
    <w:name w:val="annotation text"/>
    <w:basedOn w:val="1"/>
    <w:link w:val="52"/>
    <w:unhideWhenUsed/>
    <w:qFormat/>
    <w:uiPriority w:val="99"/>
    <w:pPr>
      <w:jc w:val="left"/>
    </w:pPr>
  </w:style>
  <w:style w:type="paragraph" w:styleId="16">
    <w:name w:val="index 6"/>
    <w:basedOn w:val="1"/>
    <w:next w:val="1"/>
    <w:unhideWhenUsed/>
    <w:qFormat/>
    <w:uiPriority w:val="99"/>
    <w:pPr>
      <w:ind w:firstLine="840"/>
    </w:pPr>
    <w:rPr>
      <w:rFonts w:cs="Arial"/>
    </w:rPr>
  </w:style>
  <w:style w:type="paragraph" w:styleId="17">
    <w:name w:val="Body Text 3"/>
    <w:basedOn w:val="1"/>
    <w:qFormat/>
    <w:uiPriority w:val="0"/>
    <w:pPr>
      <w:spacing w:after="120"/>
    </w:pPr>
    <w:rPr>
      <w:sz w:val="16"/>
      <w:szCs w:val="16"/>
    </w:rPr>
  </w:style>
  <w:style w:type="paragraph" w:styleId="18">
    <w:name w:val="Block Text"/>
    <w:basedOn w:val="1"/>
    <w:qFormat/>
    <w:uiPriority w:val="0"/>
    <w:pPr>
      <w:ind w:left="1440" w:leftChars="700" w:right="700" w:rightChars="700"/>
    </w:pPr>
    <w:rPr>
      <w:rFonts w:eastAsiaTheme="minorEastAsia" w:cstheme="minorBidi"/>
    </w:rPr>
  </w:style>
  <w:style w:type="paragraph" w:styleId="19">
    <w:name w:val="Plain Text"/>
    <w:basedOn w:val="1"/>
    <w:link w:val="53"/>
    <w:qFormat/>
    <w:uiPriority w:val="0"/>
    <w:rPr>
      <w:rFonts w:ascii="宋体" w:hAnsi="Courier New"/>
      <w:sz w:val="11"/>
      <w:szCs w:val="20"/>
    </w:rPr>
  </w:style>
  <w:style w:type="paragraph" w:styleId="20">
    <w:name w:val="Date"/>
    <w:basedOn w:val="1"/>
    <w:next w:val="1"/>
    <w:qFormat/>
    <w:uiPriority w:val="0"/>
    <w:pPr>
      <w:ind w:left="100" w:leftChars="2500"/>
    </w:pPr>
  </w:style>
  <w:style w:type="paragraph" w:styleId="21">
    <w:name w:val="Body Text Indent 2"/>
    <w:basedOn w:val="1"/>
    <w:link w:val="54"/>
    <w:qFormat/>
    <w:uiPriority w:val="0"/>
    <w:pPr>
      <w:spacing w:line="360" w:lineRule="auto"/>
      <w:ind w:left="179" w:leftChars="85" w:hanging="1"/>
    </w:pPr>
    <w:rPr>
      <w:b/>
      <w:sz w:val="24"/>
      <w:szCs w:val="20"/>
      <w:u w:val="single"/>
    </w:rPr>
  </w:style>
  <w:style w:type="paragraph" w:styleId="22">
    <w:name w:val="Balloon Text"/>
    <w:basedOn w:val="1"/>
    <w:link w:val="55"/>
    <w:unhideWhenUsed/>
    <w:qFormat/>
    <w:uiPriority w:val="99"/>
    <w:rPr>
      <w:sz w:val="18"/>
      <w:szCs w:val="18"/>
    </w:rPr>
  </w:style>
  <w:style w:type="paragraph" w:styleId="23">
    <w:name w:val="footer"/>
    <w:basedOn w:val="1"/>
    <w:link w:val="56"/>
    <w:unhideWhenUsed/>
    <w:qFormat/>
    <w:uiPriority w:val="99"/>
    <w:pPr>
      <w:tabs>
        <w:tab w:val="center" w:pos="4153"/>
        <w:tab w:val="right" w:pos="8306"/>
      </w:tabs>
      <w:snapToGrid w:val="0"/>
      <w:jc w:val="left"/>
    </w:pPr>
    <w:rPr>
      <w:sz w:val="18"/>
      <w:szCs w:val="18"/>
    </w:rPr>
  </w:style>
  <w:style w:type="paragraph" w:styleId="24">
    <w:name w:val="header"/>
    <w:basedOn w:val="1"/>
    <w:link w:val="57"/>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Body Text Indent 3"/>
    <w:basedOn w:val="1"/>
    <w:unhideWhenUsed/>
    <w:qFormat/>
    <w:uiPriority w:val="0"/>
    <w:pPr>
      <w:spacing w:after="120"/>
      <w:ind w:left="420" w:leftChars="200"/>
    </w:pPr>
    <w:rPr>
      <w:rFonts w:ascii="Calibri" w:hAnsi="Calibri"/>
      <w:kern w:val="0"/>
      <w:sz w:val="16"/>
      <w:szCs w:val="16"/>
    </w:rPr>
  </w:style>
  <w:style w:type="paragraph" w:styleId="2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7">
    <w:name w:val="Normal (Web)"/>
    <w:basedOn w:val="1"/>
    <w:qFormat/>
    <w:uiPriority w:val="0"/>
    <w:pPr>
      <w:widowControl/>
      <w:jc w:val="left"/>
    </w:pPr>
    <w:rPr>
      <w:rFonts w:ascii="宋体" w:hAnsi="宋体" w:cs="宋体"/>
      <w:kern w:val="0"/>
      <w:sz w:val="24"/>
      <w:szCs w:val="24"/>
    </w:rPr>
  </w:style>
  <w:style w:type="paragraph" w:styleId="28">
    <w:name w:val="annotation subject"/>
    <w:basedOn w:val="15"/>
    <w:next w:val="15"/>
    <w:link w:val="58"/>
    <w:unhideWhenUsed/>
    <w:qFormat/>
    <w:uiPriority w:val="99"/>
    <w:rPr>
      <w:b/>
      <w:bCs/>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rPr>
  </w:style>
  <w:style w:type="character" w:styleId="33">
    <w:name w:val="page number"/>
    <w:basedOn w:val="31"/>
    <w:qFormat/>
    <w:uiPriority w:val="0"/>
  </w:style>
  <w:style w:type="character" w:styleId="34">
    <w:name w:val="FollowedHyperlink"/>
    <w:unhideWhenUsed/>
    <w:qFormat/>
    <w:uiPriority w:val="99"/>
    <w:rPr>
      <w:color w:val="2D64B3"/>
      <w:u w:val="none"/>
    </w:rPr>
  </w:style>
  <w:style w:type="character" w:styleId="35">
    <w:name w:val="Emphasis"/>
    <w:qFormat/>
    <w:uiPriority w:val="0"/>
    <w:rPr>
      <w:color w:val="CC0000"/>
    </w:rPr>
  </w:style>
  <w:style w:type="character" w:styleId="36">
    <w:name w:val="HTML Definition"/>
    <w:unhideWhenUsed/>
    <w:qFormat/>
    <w:uiPriority w:val="99"/>
  </w:style>
  <w:style w:type="character" w:styleId="37">
    <w:name w:val="HTML Variable"/>
    <w:unhideWhenUsed/>
    <w:qFormat/>
    <w:uiPriority w:val="99"/>
  </w:style>
  <w:style w:type="character" w:styleId="38">
    <w:name w:val="Hyperlink"/>
    <w:qFormat/>
    <w:uiPriority w:val="0"/>
    <w:rPr>
      <w:color w:val="0000FF"/>
      <w:u w:val="single"/>
    </w:rPr>
  </w:style>
  <w:style w:type="character" w:styleId="39">
    <w:name w:val="HTML Code"/>
    <w:unhideWhenUsed/>
    <w:qFormat/>
    <w:uiPriority w:val="99"/>
    <w:rPr>
      <w:rFonts w:ascii="Arial" w:hAnsi="Arial" w:cs="Arial"/>
      <w:sz w:val="20"/>
    </w:rPr>
  </w:style>
  <w:style w:type="character" w:styleId="40">
    <w:name w:val="annotation reference"/>
    <w:unhideWhenUsed/>
    <w:qFormat/>
    <w:uiPriority w:val="0"/>
    <w:rPr>
      <w:sz w:val="21"/>
      <w:szCs w:val="21"/>
    </w:rPr>
  </w:style>
  <w:style w:type="character" w:styleId="41">
    <w:name w:val="HTML Cite"/>
    <w:unhideWhenUsed/>
    <w:qFormat/>
    <w:uiPriority w:val="99"/>
  </w:style>
  <w:style w:type="character" w:styleId="42">
    <w:name w:val="HTML Keyboard"/>
    <w:unhideWhenUsed/>
    <w:qFormat/>
    <w:uiPriority w:val="99"/>
    <w:rPr>
      <w:rFonts w:ascii="Arial" w:hAnsi="Arial" w:cs="Arial"/>
      <w:sz w:val="20"/>
    </w:rPr>
  </w:style>
  <w:style w:type="character" w:styleId="43">
    <w:name w:val="HTML Sample"/>
    <w:unhideWhenUsed/>
    <w:qFormat/>
    <w:uiPriority w:val="99"/>
    <w:rPr>
      <w:rFonts w:hint="eastAsia" w:ascii="Arial" w:hAnsi="Arial" w:cs="Arial"/>
    </w:rPr>
  </w:style>
  <w:style w:type="paragraph" w:customStyle="1" w:styleId="44">
    <w:name w:val="正文首行缩进 21"/>
    <w:basedOn w:val="45"/>
    <w:qFormat/>
    <w:uiPriority w:val="0"/>
    <w:pPr>
      <w:ind w:firstLine="420"/>
    </w:pPr>
  </w:style>
  <w:style w:type="paragraph" w:customStyle="1" w:styleId="45">
    <w:name w:val="正文文本缩进1"/>
    <w:basedOn w:val="1"/>
    <w:qFormat/>
    <w:uiPriority w:val="0"/>
    <w:pPr>
      <w:spacing w:line="500" w:lineRule="exact"/>
      <w:ind w:firstLine="880" w:firstLineChars="200"/>
    </w:pPr>
  </w:style>
  <w:style w:type="paragraph" w:customStyle="1" w:styleId="46">
    <w:name w:val="样式1"/>
    <w:basedOn w:val="1"/>
    <w:next w:val="47"/>
    <w:qFormat/>
    <w:uiPriority w:val="0"/>
    <w:pPr>
      <w:keepNext/>
      <w:keepLines/>
      <w:tabs>
        <w:tab w:val="left" w:pos="839"/>
      </w:tabs>
      <w:spacing w:before="100" w:beforeAutospacing="1" w:after="100" w:afterAutospacing="1" w:line="360" w:lineRule="auto"/>
      <w:ind w:left="839" w:hanging="419"/>
      <w:outlineLvl w:val="1"/>
    </w:pPr>
    <w:rPr>
      <w:rFonts w:ascii="Arial" w:hAnsi="Arial" w:eastAsia="黑体" w:cs="宋体"/>
      <w:b/>
      <w:sz w:val="32"/>
      <w:szCs w:val="20"/>
    </w:rPr>
  </w:style>
  <w:style w:type="paragraph" w:customStyle="1" w:styleId="47">
    <w:name w:val="样式2"/>
    <w:basedOn w:val="1"/>
    <w:qFormat/>
    <w:uiPriority w:val="0"/>
    <w:pPr>
      <w:adjustRightInd w:val="0"/>
      <w:spacing w:line="410" w:lineRule="atLeast"/>
      <w:textAlignment w:val="baseline"/>
    </w:pPr>
    <w:rPr>
      <w:kern w:val="0"/>
      <w:sz w:val="24"/>
      <w:szCs w:val="20"/>
    </w:rPr>
  </w:style>
  <w:style w:type="paragraph" w:customStyle="1" w:styleId="48">
    <w:name w:val="目录 81"/>
    <w:next w:val="1"/>
    <w:qFormat/>
    <w:uiPriority w:val="0"/>
    <w:pPr>
      <w:wordWrap w:val="0"/>
      <w:ind w:left="2975"/>
      <w:jc w:val="both"/>
    </w:pPr>
    <w:rPr>
      <w:rFonts w:ascii="Times New Roman" w:hAnsi="Times New Roman" w:eastAsia="宋体" w:cs="Times New Roman"/>
      <w:sz w:val="21"/>
      <w:szCs w:val="22"/>
      <w:lang w:val="en-US" w:eastAsia="zh-CN" w:bidi="ar-SA"/>
    </w:rPr>
  </w:style>
  <w:style w:type="paragraph" w:customStyle="1" w:styleId="4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50">
    <w:name w:val="标题 3 字符"/>
    <w:link w:val="8"/>
    <w:qFormat/>
    <w:uiPriority w:val="0"/>
    <w:rPr>
      <w:rFonts w:ascii="Times New Roman" w:hAnsi="Times New Roman"/>
      <w:b/>
      <w:kern w:val="2"/>
      <w:sz w:val="24"/>
    </w:rPr>
  </w:style>
  <w:style w:type="character" w:customStyle="1" w:styleId="51">
    <w:name w:val="标题 2 字符"/>
    <w:link w:val="7"/>
    <w:qFormat/>
    <w:uiPriority w:val="0"/>
    <w:rPr>
      <w:rFonts w:ascii="Arial" w:hAnsi="Arial"/>
      <w:b/>
      <w:kern w:val="2"/>
      <w:sz w:val="28"/>
    </w:rPr>
  </w:style>
  <w:style w:type="character" w:customStyle="1" w:styleId="52">
    <w:name w:val="批注文字 字符"/>
    <w:link w:val="15"/>
    <w:semiHidden/>
    <w:qFormat/>
    <w:uiPriority w:val="99"/>
    <w:rPr>
      <w:kern w:val="2"/>
      <w:sz w:val="21"/>
      <w:szCs w:val="22"/>
    </w:rPr>
  </w:style>
  <w:style w:type="character" w:customStyle="1" w:styleId="53">
    <w:name w:val="纯文本 字符"/>
    <w:link w:val="19"/>
    <w:qFormat/>
    <w:uiPriority w:val="0"/>
    <w:rPr>
      <w:rFonts w:ascii="宋体" w:hAnsi="Courier New"/>
      <w:kern w:val="2"/>
      <w:sz w:val="11"/>
    </w:rPr>
  </w:style>
  <w:style w:type="character" w:customStyle="1" w:styleId="54">
    <w:name w:val="正文文本缩进 2 字符"/>
    <w:link w:val="21"/>
    <w:qFormat/>
    <w:uiPriority w:val="0"/>
    <w:rPr>
      <w:rFonts w:ascii="Times New Roman" w:hAnsi="Times New Roman"/>
      <w:b/>
      <w:kern w:val="2"/>
      <w:sz w:val="24"/>
      <w:u w:val="single"/>
    </w:rPr>
  </w:style>
  <w:style w:type="character" w:customStyle="1" w:styleId="55">
    <w:name w:val="批注框文本 字符"/>
    <w:link w:val="22"/>
    <w:semiHidden/>
    <w:qFormat/>
    <w:uiPriority w:val="99"/>
    <w:rPr>
      <w:kern w:val="2"/>
      <w:sz w:val="18"/>
      <w:szCs w:val="18"/>
    </w:rPr>
  </w:style>
  <w:style w:type="character" w:customStyle="1" w:styleId="56">
    <w:name w:val="页脚 字符1"/>
    <w:link w:val="23"/>
    <w:qFormat/>
    <w:uiPriority w:val="99"/>
    <w:rPr>
      <w:kern w:val="2"/>
      <w:sz w:val="18"/>
      <w:szCs w:val="18"/>
    </w:rPr>
  </w:style>
  <w:style w:type="character" w:customStyle="1" w:styleId="57">
    <w:name w:val="页眉 字符"/>
    <w:link w:val="24"/>
    <w:qFormat/>
    <w:uiPriority w:val="99"/>
    <w:rPr>
      <w:kern w:val="2"/>
      <w:sz w:val="18"/>
      <w:szCs w:val="18"/>
    </w:rPr>
  </w:style>
  <w:style w:type="character" w:customStyle="1" w:styleId="58">
    <w:name w:val="批注主题 字符"/>
    <w:link w:val="28"/>
    <w:semiHidden/>
    <w:qFormat/>
    <w:uiPriority w:val="99"/>
    <w:rPr>
      <w:b/>
      <w:bCs/>
      <w:kern w:val="2"/>
      <w:sz w:val="21"/>
      <w:szCs w:val="22"/>
    </w:rPr>
  </w:style>
  <w:style w:type="character" w:customStyle="1" w:styleId="59">
    <w:name w:val="bds_more1"/>
    <w:basedOn w:val="31"/>
    <w:qFormat/>
    <w:uiPriority w:val="0"/>
  </w:style>
  <w:style w:type="character" w:customStyle="1" w:styleId="60">
    <w:name w:val="普通文字1 Char"/>
    <w:qFormat/>
    <w:uiPriority w:val="0"/>
    <w:rPr>
      <w:rFonts w:ascii="宋体" w:hAnsi="Courier New" w:eastAsia="宋体"/>
      <w:kern w:val="2"/>
      <w:sz w:val="21"/>
      <w:lang w:val="en-US" w:eastAsia="zh-CN" w:bidi="ar-SA"/>
    </w:rPr>
  </w:style>
  <w:style w:type="character" w:customStyle="1" w:styleId="61">
    <w:name w:val="legend"/>
    <w:qFormat/>
    <w:uiPriority w:val="0"/>
    <w:rPr>
      <w:rFonts w:ascii="Arial" w:hAnsi="Arial" w:cs="Arial"/>
      <w:b/>
      <w:color w:val="73B304"/>
      <w:sz w:val="16"/>
      <w:szCs w:val="16"/>
      <w:shd w:val="clear" w:color="auto" w:fill="FFFFFF"/>
    </w:rPr>
  </w:style>
  <w:style w:type="character" w:customStyle="1" w:styleId="62">
    <w:name w:val="release-day"/>
    <w:qFormat/>
    <w:uiPriority w:val="0"/>
    <w:rPr>
      <w:bdr w:val="single" w:color="BDEBB0" w:sz="4" w:space="0"/>
      <w:shd w:val="clear" w:color="auto" w:fill="F5FFF1"/>
    </w:rPr>
  </w:style>
  <w:style w:type="character" w:customStyle="1" w:styleId="63">
    <w:name w:val="未处理的提及1"/>
    <w:unhideWhenUsed/>
    <w:qFormat/>
    <w:uiPriority w:val="99"/>
    <w:rPr>
      <w:color w:val="605E5C"/>
      <w:shd w:val="clear" w:color="auto" w:fill="E1DFDD"/>
    </w:rPr>
  </w:style>
  <w:style w:type="character" w:customStyle="1" w:styleId="64">
    <w:name w:val="num"/>
    <w:qFormat/>
    <w:uiPriority w:val="0"/>
    <w:rPr>
      <w:b/>
      <w:color w:val="FF7800"/>
    </w:rPr>
  </w:style>
  <w:style w:type="character" w:customStyle="1" w:styleId="65">
    <w:name w:val="Header Char"/>
    <w:qFormat/>
    <w:locked/>
    <w:uiPriority w:val="0"/>
    <w:rPr>
      <w:rFonts w:eastAsia="宋体"/>
      <w:kern w:val="2"/>
      <w:sz w:val="18"/>
      <w:szCs w:val="18"/>
      <w:lang w:val="en-US" w:eastAsia="zh-CN" w:bidi="ar-SA"/>
    </w:rPr>
  </w:style>
  <w:style w:type="character" w:customStyle="1" w:styleId="66">
    <w:name w:val="bds_more2"/>
    <w:basedOn w:val="31"/>
    <w:qFormat/>
    <w:uiPriority w:val="0"/>
  </w:style>
  <w:style w:type="character" w:customStyle="1" w:styleId="67">
    <w:name w:val="正文文本 (2)"/>
    <w:qFormat/>
    <w:uiPriority w:val="0"/>
    <w:rPr>
      <w:rFonts w:ascii="宋体" w:hAnsi="宋体" w:eastAsia="宋体" w:cs="宋体"/>
      <w:color w:val="000000"/>
      <w:spacing w:val="0"/>
      <w:w w:val="100"/>
      <w:position w:val="0"/>
      <w:sz w:val="20"/>
      <w:szCs w:val="20"/>
      <w:u w:val="none"/>
      <w:lang w:val="zh-TW" w:eastAsia="zh-TW" w:bidi="zh-TW"/>
    </w:rPr>
  </w:style>
  <w:style w:type="character" w:customStyle="1" w:styleId="68">
    <w:name w:val="bds_nopic1"/>
    <w:basedOn w:val="31"/>
    <w:qFormat/>
    <w:uiPriority w:val="0"/>
  </w:style>
  <w:style w:type="character" w:customStyle="1" w:styleId="69">
    <w:name w:val="普通文字 Char Char2"/>
    <w:semiHidden/>
    <w:qFormat/>
    <w:uiPriority w:val="0"/>
    <w:rPr>
      <w:rFonts w:ascii="宋体" w:hAnsi="Courier New" w:eastAsia="宋体"/>
      <w:kern w:val="2"/>
      <w:sz w:val="21"/>
      <w:szCs w:val="21"/>
      <w:lang w:val="en-US" w:eastAsia="zh-CN" w:bidi="ar-SA"/>
    </w:rPr>
  </w:style>
  <w:style w:type="character" w:customStyle="1" w:styleId="70">
    <w:name w:val="页脚 字符"/>
    <w:qFormat/>
    <w:uiPriority w:val="99"/>
  </w:style>
  <w:style w:type="character" w:customStyle="1" w:styleId="71">
    <w:name w:val="15"/>
    <w:qFormat/>
    <w:uiPriority w:val="0"/>
    <w:rPr>
      <w:rFonts w:hint="eastAsia" w:ascii="仿宋_GB2312" w:eastAsia="仿宋_GB2312"/>
      <w:b/>
      <w:bCs/>
      <w:sz w:val="32"/>
      <w:szCs w:val="32"/>
    </w:rPr>
  </w:style>
  <w:style w:type="character" w:customStyle="1" w:styleId="72">
    <w:name w:val="txtcontent11"/>
    <w:qFormat/>
    <w:uiPriority w:val="0"/>
    <w:rPr>
      <w:rFonts w:hint="default" w:ascii="ˎ̥" w:hAnsi="ˎ̥"/>
      <w:color w:val="000000"/>
      <w:sz w:val="21"/>
      <w:szCs w:val="21"/>
    </w:rPr>
  </w:style>
  <w:style w:type="character" w:customStyle="1" w:styleId="73">
    <w:name w:val="纯文本 Char1"/>
    <w:semiHidden/>
    <w:qFormat/>
    <w:uiPriority w:val="99"/>
    <w:rPr>
      <w:rFonts w:ascii="宋体" w:hAnsi="Courier New" w:cs="Courier New"/>
      <w:kern w:val="2"/>
      <w:sz w:val="21"/>
      <w:szCs w:val="21"/>
    </w:rPr>
  </w:style>
  <w:style w:type="character" w:customStyle="1" w:styleId="74">
    <w:name w:val="正文缩进2格 Char Char"/>
    <w:link w:val="75"/>
    <w:qFormat/>
    <w:uiPriority w:val="0"/>
    <w:rPr>
      <w:rFonts w:ascii="仿宋_GB2312" w:hAnsi="宋体" w:eastAsia="仿宋_GB2312"/>
      <w:kern w:val="2"/>
      <w:sz w:val="31"/>
      <w:szCs w:val="28"/>
      <w:lang w:val="en-US" w:eastAsia="zh-CN" w:bidi="ar-SA"/>
    </w:rPr>
  </w:style>
  <w:style w:type="paragraph" w:customStyle="1" w:styleId="75">
    <w:name w:val="正文缩进2格"/>
    <w:basedOn w:val="1"/>
    <w:link w:val="74"/>
    <w:qFormat/>
    <w:uiPriority w:val="0"/>
    <w:pPr>
      <w:spacing w:line="600" w:lineRule="exact"/>
      <w:ind w:firstLine="639" w:firstLineChars="206"/>
    </w:pPr>
    <w:rPr>
      <w:rFonts w:ascii="仿宋_GB2312" w:hAnsi="宋体" w:eastAsia="仿宋_GB2312"/>
      <w:sz w:val="31"/>
      <w:szCs w:val="28"/>
    </w:rPr>
  </w:style>
  <w:style w:type="character" w:customStyle="1" w:styleId="76">
    <w:name w:val="Char Char10"/>
    <w:qFormat/>
    <w:uiPriority w:val="0"/>
    <w:rPr>
      <w:rFonts w:ascii="宋体" w:hAnsi="Courier New" w:eastAsia="宋体"/>
      <w:kern w:val="2"/>
      <w:sz w:val="21"/>
      <w:szCs w:val="24"/>
      <w:lang w:val="en-US" w:eastAsia="zh-CN" w:bidi="ar-SA"/>
    </w:rPr>
  </w:style>
  <w:style w:type="character" w:customStyle="1" w:styleId="77">
    <w:name w:val="NormalCharacter"/>
    <w:semiHidden/>
    <w:qFormat/>
    <w:uiPriority w:val="0"/>
  </w:style>
  <w:style w:type="character" w:customStyle="1" w:styleId="78">
    <w:name w:val="bds_nopic"/>
    <w:basedOn w:val="31"/>
    <w:qFormat/>
    <w:uiPriority w:val="0"/>
  </w:style>
  <w:style w:type="character" w:customStyle="1" w:styleId="79">
    <w:name w:val="bds_nopic2"/>
    <w:basedOn w:val="31"/>
    <w:qFormat/>
    <w:uiPriority w:val="0"/>
  </w:style>
  <w:style w:type="character" w:customStyle="1" w:styleId="80">
    <w:name w:val="bds_more"/>
    <w:qFormat/>
    <w:uiPriority w:val="0"/>
    <w:rPr>
      <w:rFonts w:hint="eastAsia" w:ascii="宋体" w:hAnsi="宋体" w:eastAsia="宋体" w:cs="宋体"/>
    </w:rPr>
  </w:style>
  <w:style w:type="paragraph" w:customStyle="1" w:styleId="81">
    <w:name w:val="p22"/>
    <w:basedOn w:val="1"/>
    <w:qFormat/>
    <w:uiPriority w:val="0"/>
    <w:pPr>
      <w:widowControl/>
    </w:pPr>
    <w:rPr>
      <w:kern w:val="0"/>
      <w:szCs w:val="21"/>
    </w:rPr>
  </w:style>
  <w:style w:type="paragraph" w:customStyle="1" w:styleId="82">
    <w:name w:val="样式 首行缩进:  2 字符"/>
    <w:basedOn w:val="1"/>
    <w:qFormat/>
    <w:uiPriority w:val="0"/>
    <w:pPr>
      <w:spacing w:after="160" w:line="400" w:lineRule="exact"/>
      <w:ind w:firstLine="200" w:firstLineChars="200"/>
    </w:pPr>
    <w:rPr>
      <w:rFonts w:ascii="Calibri" w:hAnsi="Calibri" w:cs="宋体"/>
      <w:sz w:val="24"/>
    </w:rPr>
  </w:style>
  <w:style w:type="paragraph" w:customStyle="1" w:styleId="83">
    <w:name w:val="列出段落1"/>
    <w:basedOn w:val="1"/>
    <w:qFormat/>
    <w:uiPriority w:val="34"/>
    <w:pPr>
      <w:ind w:firstLine="420" w:firstLineChars="200"/>
    </w:pPr>
    <w:rPr>
      <w:szCs w:val="24"/>
    </w:rPr>
  </w:style>
  <w:style w:type="paragraph" w:customStyle="1" w:styleId="84">
    <w:name w:val="样式 标题 3 + (中文) 黑体 小四 非加粗 段前: 7.8 磅 段后: 0 磅 行距: 固定值 20 磅"/>
    <w:basedOn w:val="8"/>
    <w:qFormat/>
    <w:uiPriority w:val="0"/>
    <w:pPr>
      <w:keepNext/>
      <w:keepLines/>
      <w:tabs>
        <w:tab w:val="clear" w:pos="540"/>
      </w:tabs>
      <w:adjustRightInd/>
      <w:snapToGrid/>
      <w:spacing w:line="400" w:lineRule="exact"/>
      <w:jc w:val="both"/>
    </w:pPr>
    <w:rPr>
      <w:rFonts w:eastAsia="黑体" w:cs="宋体"/>
    </w:rPr>
  </w:style>
  <w:style w:type="paragraph" w:customStyle="1" w:styleId="85">
    <w:name w:val="Table Paragraph"/>
    <w:basedOn w:val="1"/>
    <w:qFormat/>
    <w:uiPriority w:val="1"/>
    <w:rPr>
      <w:rFonts w:ascii="宋体" w:hAnsi="宋体" w:cs="宋体"/>
      <w:lang w:val="zh-CN" w:bidi="zh-CN"/>
    </w:rPr>
  </w:style>
  <w:style w:type="paragraph" w:customStyle="1" w:styleId="86">
    <w:name w:val="Default Text: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87">
    <w:name w:val="p0"/>
    <w:basedOn w:val="1"/>
    <w:qFormat/>
    <w:uiPriority w:val="0"/>
    <w:pPr>
      <w:widowControl/>
    </w:pPr>
    <w:rPr>
      <w:kern w:val="0"/>
      <w:szCs w:val="21"/>
    </w:rPr>
  </w:style>
  <w:style w:type="paragraph" w:customStyle="1" w:styleId="88">
    <w:name w:val="Char Char Char Char"/>
    <w:basedOn w:val="1"/>
    <w:qFormat/>
    <w:uiPriority w:val="0"/>
    <w:pPr>
      <w:widowControl/>
      <w:spacing w:after="160" w:line="240" w:lineRule="exact"/>
      <w:jc w:val="left"/>
    </w:pPr>
    <w:rPr>
      <w:rFonts w:ascii="Verdana" w:hAnsi="Verdana"/>
      <w:kern w:val="0"/>
      <w:szCs w:val="20"/>
    </w:rPr>
  </w:style>
  <w:style w:type="paragraph" w:customStyle="1" w:styleId="89">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1">
    <w:name w:val="Char Char Char"/>
    <w:basedOn w:val="1"/>
    <w:qFormat/>
    <w:uiPriority w:val="0"/>
    <w:rPr>
      <w:rFonts w:ascii="Tahoma" w:hAnsi="Tahoma"/>
      <w:sz w:val="24"/>
      <w:szCs w:val="20"/>
    </w:rPr>
  </w:style>
  <w:style w:type="paragraph" w:styleId="92">
    <w:name w:val="List Paragraph"/>
    <w:basedOn w:val="1"/>
    <w:qFormat/>
    <w:uiPriority w:val="99"/>
    <w:pPr>
      <w:ind w:firstLine="420" w:firstLineChars="200"/>
    </w:pPr>
    <w:rPr>
      <w:rFonts w:ascii="宋体" w:hAnsi="宋体" w:cs="宋体"/>
      <w:bCs/>
      <w:color w:val="000000"/>
      <w:kern w:val="0"/>
      <w:sz w:val="24"/>
      <w:u w:val="single"/>
    </w:rPr>
  </w:style>
  <w:style w:type="paragraph" w:customStyle="1" w:styleId="93">
    <w:name w:val="p21"/>
    <w:basedOn w:val="1"/>
    <w:qFormat/>
    <w:uiPriority w:val="0"/>
    <w:pPr>
      <w:widowControl/>
    </w:pPr>
    <w:rPr>
      <w:kern w:val="0"/>
      <w:szCs w:val="21"/>
    </w:rPr>
  </w:style>
  <w:style w:type="paragraph" w:customStyle="1" w:styleId="94">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95">
    <w:name w:val="保留正文"/>
    <w:basedOn w:val="4"/>
    <w:qFormat/>
    <w:uiPriority w:val="0"/>
    <w:pPr>
      <w:keepNext/>
      <w:spacing w:after="160"/>
    </w:pPr>
    <w:rPr>
      <w:szCs w:val="24"/>
    </w:rPr>
  </w:style>
  <w:style w:type="paragraph" w:customStyle="1" w:styleId="96">
    <w:name w:val="WPS Plain"/>
    <w:qFormat/>
    <w:uiPriority w:val="0"/>
    <w:rPr>
      <w:rFonts w:ascii="Times New Roman" w:hAnsi="Times New Roman" w:eastAsia="宋体" w:cs="Times New Roman"/>
      <w:sz w:val="21"/>
      <w:szCs w:val="22"/>
      <w:lang w:val="en-US" w:eastAsia="zh-CN" w:bidi="ar-SA"/>
    </w:rPr>
  </w:style>
  <w:style w:type="paragraph" w:customStyle="1" w:styleId="97">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8">
    <w:name w:val="正文 New New New New"/>
    <w:qFormat/>
    <w:uiPriority w:val="0"/>
    <w:pPr>
      <w:widowControl w:val="0"/>
      <w:jc w:val="both"/>
    </w:pPr>
    <w:rPr>
      <w:rFonts w:ascii="Times New Roman" w:hAnsi="Times New Roman" w:eastAsia="宋体" w:cs="黑体"/>
      <w:sz w:val="21"/>
      <w:szCs w:val="24"/>
      <w:lang w:val="en-US" w:eastAsia="zh-CN" w:bidi="ar-SA"/>
    </w:rPr>
  </w:style>
  <w:style w:type="paragraph" w:customStyle="1" w:styleId="99">
    <w:name w:val="WPSOffice手动目录 1"/>
    <w:qFormat/>
    <w:uiPriority w:val="0"/>
    <w:rPr>
      <w:rFonts w:ascii="Times New Roman" w:hAnsi="Times New Roman" w:eastAsia="宋体" w:cs="Times New Roman"/>
      <w:lang w:val="en-US" w:eastAsia="zh-CN" w:bidi="ar-SA"/>
    </w:rPr>
  </w:style>
  <w:style w:type="paragraph" w:customStyle="1" w:styleId="100">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缺省文本"/>
    <w:qFormat/>
    <w:uiPriority w:val="0"/>
    <w:pPr>
      <w:widowControl w:val="0"/>
      <w:autoSpaceDE w:val="0"/>
      <w:autoSpaceDN w:val="0"/>
      <w:adjustRightInd w:val="0"/>
    </w:pPr>
    <w:rPr>
      <w:rFonts w:ascii="Times New Roman" w:hAnsi="Times New Roman" w:eastAsia="宋体" w:cs="Times New Roman"/>
      <w:color w:val="000000"/>
      <w:sz w:val="21"/>
      <w:szCs w:val="24"/>
      <w:lang w:val="en-US" w:eastAsia="zh-CN" w:bidi="ar-SA"/>
    </w:rPr>
  </w:style>
  <w:style w:type="paragraph" w:customStyle="1" w:styleId="102">
    <w:name w:val="正文_29_3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Char"/>
    <w:basedOn w:val="1"/>
    <w:qFormat/>
    <w:uiPriority w:val="0"/>
    <w:pPr>
      <w:tabs>
        <w:tab w:val="left" w:pos="360"/>
      </w:tabs>
    </w:pPr>
    <w:rPr>
      <w:sz w:val="24"/>
      <w:szCs w:val="24"/>
    </w:rPr>
  </w:style>
  <w:style w:type="paragraph" w:customStyle="1" w:styleId="104">
    <w:name w:val="_Style 89"/>
    <w:basedOn w:val="1"/>
    <w:qFormat/>
    <w:uiPriority w:val="0"/>
    <w:pPr>
      <w:tabs>
        <w:tab w:val="left" w:pos="360"/>
      </w:tabs>
    </w:pPr>
    <w:rPr>
      <w:sz w:val="24"/>
      <w:szCs w:val="24"/>
    </w:rPr>
  </w:style>
  <w:style w:type="character" w:customStyle="1" w:styleId="105">
    <w:name w:val="font41"/>
    <w:qFormat/>
    <w:uiPriority w:val="0"/>
    <w:rPr>
      <w:rFonts w:hint="eastAsia" w:ascii="宋体" w:hAnsi="宋体" w:eastAsia="宋体" w:cs="宋体"/>
      <w:color w:val="000000"/>
      <w:sz w:val="32"/>
      <w:szCs w:val="32"/>
      <w:u w:val="none"/>
    </w:rPr>
  </w:style>
  <w:style w:type="character" w:customStyle="1" w:styleId="106">
    <w:name w:val="font31"/>
    <w:qFormat/>
    <w:uiPriority w:val="0"/>
    <w:rPr>
      <w:rFonts w:hint="default" w:ascii="Times New Roman" w:hAnsi="Times New Roman" w:cs="Times New Roman"/>
      <w:color w:val="000000"/>
      <w:sz w:val="32"/>
      <w:szCs w:val="32"/>
      <w:u w:val="none"/>
    </w:rPr>
  </w:style>
  <w:style w:type="table" w:customStyle="1" w:styleId="107">
    <w:name w:val="Table Normal"/>
    <w:unhideWhenUsed/>
    <w:qFormat/>
    <w:uiPriority w:val="0"/>
    <w:tblPr>
      <w:tblCellMar>
        <w:top w:w="0" w:type="dxa"/>
        <w:left w:w="0" w:type="dxa"/>
        <w:bottom w:w="0" w:type="dxa"/>
        <w:right w:w="0" w:type="dxa"/>
      </w:tblCellMar>
    </w:tblPr>
  </w:style>
  <w:style w:type="paragraph" w:customStyle="1" w:styleId="108">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paragraph" w:styleId="10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Normal_10"/>
    <w:qFormat/>
    <w:uiPriority w:val="0"/>
    <w:rPr>
      <w:rFonts w:ascii="黑体" w:hAnsi="黑体" w:eastAsia="黑体" w:cs="Times New Roman"/>
      <w:b/>
      <w:sz w:val="32"/>
      <w:szCs w:val="24"/>
      <w:lang w:val="en-US" w:eastAsia="zh-CN" w:bidi="ar-SA"/>
    </w:rPr>
  </w:style>
  <w:style w:type="paragraph" w:customStyle="1" w:styleId="11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12">
    <w:name w:val="Body text|1"/>
    <w:basedOn w:val="1"/>
    <w:qFormat/>
    <w:uiPriority w:val="0"/>
    <w:pPr>
      <w:spacing w:after="230" w:line="326" w:lineRule="auto"/>
    </w:pPr>
    <w:rPr>
      <w:rFonts w:ascii="宋体" w:hAnsi="宋体" w:cs="宋体"/>
      <w:sz w:val="19"/>
      <w:szCs w:val="19"/>
      <w:lang w:val="zh-TW" w:eastAsia="zh-TW" w:bidi="zh-TW"/>
    </w:rPr>
  </w:style>
  <w:style w:type="paragraph" w:customStyle="1" w:styleId="113">
    <w:name w:val="正文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14">
    <w:name w:val="采购正文"/>
    <w:qFormat/>
    <w:uiPriority w:val="0"/>
    <w:pPr>
      <w:snapToGrid w:val="0"/>
      <w:spacing w:line="560" w:lineRule="exact"/>
      <w:ind w:firstLine="480" w:firstLineChars="200"/>
    </w:pPr>
    <w:rPr>
      <w:rFonts w:ascii="仿宋" w:hAnsi="仿宋" w:eastAsia="仿宋" w:cs="Times New Roman"/>
      <w:kern w:val="2"/>
      <w:sz w:val="24"/>
      <w:szCs w:val="24"/>
      <w:lang w:val="en-US" w:eastAsia="zh-CN" w:bidi="ar-SA"/>
    </w:rPr>
  </w:style>
  <w:style w:type="character" w:customStyle="1" w:styleId="115">
    <w:name w:val="cf01"/>
    <w:qFormat/>
    <w:uiPriority w:val="0"/>
    <w:rPr>
      <w:rFonts w:hint="eastAsia" w:ascii="Microsoft YaHei UI" w:hAnsi="Microsoft YaHei UI" w:eastAsia="Microsoft YaHei UI"/>
      <w:b/>
      <w:bCs/>
      <w:sz w:val="18"/>
      <w:szCs w:val="18"/>
    </w:rPr>
  </w:style>
  <w:style w:type="paragraph" w:customStyle="1" w:styleId="116">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54</Pages>
  <Words>19479</Words>
  <Characters>20653</Characters>
  <Lines>285</Lines>
  <Paragraphs>80</Paragraphs>
  <TotalTime>9</TotalTime>
  <ScaleCrop>false</ScaleCrop>
  <LinksUpToDate>false</LinksUpToDate>
  <CharactersWithSpaces>21391</CharactersWithSpaces>
  <Application>WPS Office_12.1.0.21915_F1E327BC-269C-435d-A152-05C5408002CA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2024-11-04T07:08:00Z</dcterms:created>
  <dc:creator>陈晓东</dc:creator>
  <cp:lastModifiedBy>春風十里</cp:lastModifiedBy>
  <cp:lastPrinted>2021-06-10T03:08:00Z</cp:lastPrinted>
  <dcterms:modified xsi:type="dcterms:W3CDTF">2025-07-15T05:18:29Z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01DFBBCE9CE547EC93DD26A0043E7E76_13</vt:lpwstr>
  </property>
  <property fmtid="{D5CDD505-2E9C-101B-9397-08002B2CF9AE}" pid="4" name="KSOTemplateDocerSaveRecord">
    <vt:lpwstr>eyJoZGlkIjoiOGViNDM4ZGY0ZTIzMWM4NzVhMjRlMjFkZjhhN2RlYmEiLCJ1c2VySWQiOiIzNjExNTIzOTAifQ==</vt:lpwstr>
  </property>
</Properties>
</file>