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A64E3">
      <w:pPr>
        <w:pStyle w:val="41"/>
        <w:spacing w:line="400" w:lineRule="atLeast"/>
        <w:jc w:val="center"/>
        <w:rPr>
          <w:rFonts w:hAnsi="宋体"/>
          <w:b/>
          <w:color w:val="auto"/>
          <w:sz w:val="52"/>
          <w:highlight w:val="none"/>
        </w:rPr>
      </w:pPr>
    </w:p>
    <w:p w14:paraId="0ECF81AF">
      <w:pPr>
        <w:pStyle w:val="41"/>
        <w:spacing w:line="400" w:lineRule="atLeast"/>
        <w:jc w:val="center"/>
        <w:rPr>
          <w:rFonts w:hAnsi="宋体"/>
          <w:b/>
          <w:color w:val="auto"/>
          <w:sz w:val="52"/>
          <w:highlight w:val="none"/>
        </w:rPr>
      </w:pPr>
      <w:r>
        <w:rPr>
          <w:rFonts w:hint="eastAsia" w:hAnsi="宋体"/>
          <w:b/>
          <w:color w:val="auto"/>
          <w:sz w:val="52"/>
          <w:highlight w:val="none"/>
        </w:rPr>
        <w:t xml:space="preserve">                </w:t>
      </w:r>
      <w:r>
        <w:rPr>
          <w:rFonts w:hint="eastAsia" w:hAnsi="宋体"/>
          <w:b/>
          <w:color w:val="auto"/>
          <w:sz w:val="84"/>
          <w:highlight w:val="none"/>
        </w:rPr>
        <w:t xml:space="preserve">        </w:t>
      </w:r>
    </w:p>
    <w:p w14:paraId="090BD419">
      <w:pPr>
        <w:pStyle w:val="41"/>
        <w:spacing w:line="400" w:lineRule="atLeast"/>
        <w:jc w:val="center"/>
        <w:rPr>
          <w:rFonts w:hAnsi="宋体"/>
          <w:b/>
          <w:color w:val="auto"/>
          <w:sz w:val="84"/>
          <w:highlight w:val="none"/>
        </w:rPr>
      </w:pPr>
      <w:r>
        <w:rPr>
          <w:rFonts w:hint="eastAsia" w:hAnsi="宋体"/>
          <w:b/>
          <w:color w:val="auto"/>
          <w:sz w:val="84"/>
          <w:highlight w:val="none"/>
        </w:rPr>
        <w:t>磋  商  文  件</w:t>
      </w:r>
    </w:p>
    <w:p w14:paraId="3FB9821A">
      <w:pPr>
        <w:pStyle w:val="41"/>
        <w:spacing w:line="400" w:lineRule="atLeast"/>
        <w:jc w:val="center"/>
        <w:rPr>
          <w:rFonts w:hAnsi="宋体"/>
          <w:b/>
          <w:color w:val="auto"/>
          <w:sz w:val="52"/>
          <w:highlight w:val="none"/>
        </w:rPr>
      </w:pPr>
    </w:p>
    <w:p w14:paraId="394D84CC">
      <w:pPr>
        <w:pStyle w:val="41"/>
        <w:spacing w:line="400" w:lineRule="atLeast"/>
        <w:rPr>
          <w:rFonts w:hAnsi="宋体"/>
          <w:b/>
          <w:color w:val="auto"/>
          <w:sz w:val="52"/>
          <w:highlight w:val="none"/>
        </w:rPr>
      </w:pPr>
    </w:p>
    <w:p w14:paraId="54AD1CD9">
      <w:pPr>
        <w:pStyle w:val="41"/>
        <w:spacing w:line="400" w:lineRule="atLeast"/>
        <w:rPr>
          <w:rFonts w:hAnsi="宋体"/>
          <w:b/>
          <w:color w:val="auto"/>
          <w:sz w:val="52"/>
          <w:highlight w:val="none"/>
        </w:rPr>
      </w:pPr>
    </w:p>
    <w:p w14:paraId="11D0E38F">
      <w:pPr>
        <w:pStyle w:val="41"/>
        <w:spacing w:line="400" w:lineRule="atLeast"/>
        <w:ind w:firstLine="2168" w:firstLineChars="600"/>
        <w:rPr>
          <w:rFonts w:hAnsi="宋体"/>
          <w:b/>
          <w:color w:val="auto"/>
          <w:sz w:val="36"/>
          <w:highlight w:val="none"/>
        </w:rPr>
      </w:pPr>
      <w:r>
        <w:rPr>
          <w:rFonts w:hint="eastAsia" w:hAnsi="宋体"/>
          <w:b/>
          <w:color w:val="auto"/>
          <w:sz w:val="36"/>
          <w:highlight w:val="none"/>
        </w:rPr>
        <w:t xml:space="preserve">项目编号：0634-254XZ1QFO118a  </w:t>
      </w:r>
    </w:p>
    <w:p w14:paraId="7158C2BE">
      <w:pPr>
        <w:pStyle w:val="41"/>
        <w:spacing w:line="400" w:lineRule="atLeast"/>
        <w:ind w:left="3974" w:leftChars="1013" w:hanging="1847" w:hangingChars="511"/>
        <w:rPr>
          <w:rFonts w:hAnsi="宋体"/>
          <w:b/>
          <w:color w:val="auto"/>
          <w:sz w:val="36"/>
          <w:highlight w:val="none"/>
        </w:rPr>
      </w:pPr>
      <w:r>
        <w:rPr>
          <w:rFonts w:hint="eastAsia" w:hAnsi="宋体"/>
          <w:b/>
          <w:color w:val="auto"/>
          <w:sz w:val="36"/>
          <w:highlight w:val="none"/>
        </w:rPr>
        <w:t>项目名称：新疆维吾尔自治区建设职工教育培训中心商用密码安全性评估服务</w:t>
      </w:r>
    </w:p>
    <w:p w14:paraId="71BE80CA">
      <w:pPr>
        <w:pStyle w:val="41"/>
        <w:spacing w:line="400" w:lineRule="atLeast"/>
        <w:ind w:left="3974" w:leftChars="1013" w:hanging="1847" w:hangingChars="511"/>
        <w:rPr>
          <w:rFonts w:hAnsi="宋体"/>
          <w:b/>
          <w:color w:val="auto"/>
          <w:sz w:val="36"/>
          <w:highlight w:val="none"/>
        </w:rPr>
      </w:pPr>
      <w:r>
        <w:rPr>
          <w:rFonts w:hint="eastAsia" w:hAnsi="宋体"/>
          <w:b/>
          <w:color w:val="auto"/>
          <w:sz w:val="36"/>
          <w:highlight w:val="none"/>
        </w:rPr>
        <w:t>委托单位：新疆维吾尔自治区建设职工教育培训中心</w:t>
      </w:r>
    </w:p>
    <w:p w14:paraId="0551BF5C">
      <w:pPr>
        <w:pStyle w:val="41"/>
        <w:spacing w:line="400" w:lineRule="atLeast"/>
        <w:ind w:firstLine="2132" w:firstLineChars="590"/>
        <w:rPr>
          <w:rFonts w:hAnsi="宋体"/>
          <w:b/>
          <w:color w:val="auto"/>
          <w:sz w:val="36"/>
          <w:highlight w:val="none"/>
        </w:rPr>
      </w:pPr>
      <w:r>
        <w:rPr>
          <w:rFonts w:hint="eastAsia" w:hAnsi="宋体"/>
          <w:b/>
          <w:color w:val="auto"/>
          <w:sz w:val="36"/>
          <w:highlight w:val="none"/>
        </w:rPr>
        <w:t>采购代理：新疆招标有限公司</w:t>
      </w:r>
    </w:p>
    <w:p w14:paraId="1AD0EE27">
      <w:pPr>
        <w:pStyle w:val="41"/>
        <w:spacing w:line="400" w:lineRule="atLeast"/>
        <w:rPr>
          <w:rFonts w:hAnsi="宋体"/>
          <w:b/>
          <w:color w:val="auto"/>
          <w:sz w:val="52"/>
          <w:highlight w:val="none"/>
        </w:rPr>
      </w:pPr>
    </w:p>
    <w:p w14:paraId="741C8182">
      <w:pPr>
        <w:pStyle w:val="41"/>
        <w:spacing w:line="400" w:lineRule="atLeast"/>
        <w:rPr>
          <w:rFonts w:hAnsi="宋体"/>
          <w:b/>
          <w:color w:val="auto"/>
          <w:highlight w:val="none"/>
        </w:rPr>
      </w:pPr>
    </w:p>
    <w:tbl>
      <w:tblPr>
        <w:tblStyle w:val="11"/>
        <w:tblW w:w="0" w:type="auto"/>
        <w:tblInd w:w="-108"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4C2EBEEF">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2E06E02F">
            <w:pPr>
              <w:pStyle w:val="41"/>
              <w:spacing w:line="400" w:lineRule="atLeast"/>
              <w:rPr>
                <w:rFonts w:hAnsi="宋体"/>
                <w:b/>
                <w:color w:val="auto"/>
                <w:highlight w:val="none"/>
              </w:rPr>
            </w:pPr>
          </w:p>
        </w:tc>
      </w:tr>
    </w:tbl>
    <w:p w14:paraId="13F98F31">
      <w:pPr>
        <w:spacing w:line="400" w:lineRule="atLeast"/>
        <w:jc w:val="center"/>
        <w:rPr>
          <w:rFonts w:ascii="宋体" w:hAnsi="宋体"/>
          <w:b/>
          <w:color w:val="auto"/>
          <w:sz w:val="24"/>
          <w:highlight w:val="none"/>
        </w:rPr>
      </w:pPr>
      <w:r>
        <w:rPr>
          <w:rFonts w:hint="eastAsia" w:ascii="宋体" w:hAnsi="宋体"/>
          <w:b/>
          <w:color w:val="auto"/>
          <w:sz w:val="24"/>
          <w:highlight w:val="none"/>
        </w:rPr>
        <w:t>新疆招标有限公司编制</w:t>
      </w:r>
    </w:p>
    <w:p w14:paraId="02134485">
      <w:pPr>
        <w:spacing w:line="400" w:lineRule="atLeast"/>
        <w:jc w:val="center"/>
        <w:rPr>
          <w:rFonts w:ascii="宋体" w:hAnsi="宋体"/>
          <w:color w:val="auto"/>
          <w:highlight w:val="none"/>
        </w:rPr>
      </w:pPr>
      <w:r>
        <w:rPr>
          <w:rFonts w:hint="eastAsia" w:ascii="宋体" w:hAnsi="宋体"/>
          <w:color w:val="auto"/>
          <w:highlight w:val="none"/>
        </w:rPr>
        <w:br w:type="page"/>
      </w:r>
      <w:r>
        <w:rPr>
          <w:rFonts w:hint="eastAsia" w:ascii="宋体" w:hAnsi="宋体"/>
          <w:b/>
          <w:color w:val="auto"/>
          <w:sz w:val="36"/>
          <w:highlight w:val="none"/>
        </w:rPr>
        <w:t>目     录</w:t>
      </w:r>
    </w:p>
    <w:p w14:paraId="1E8F65BD">
      <w:pPr>
        <w:pStyle w:val="8"/>
        <w:tabs>
          <w:tab w:val="right" w:leader="dot" w:pos="9747"/>
        </w:tabs>
        <w:rPr>
          <w:color w:val="auto"/>
          <w:highlight w:val="none"/>
        </w:rPr>
      </w:pPr>
      <w:r>
        <w:rPr>
          <w:rFonts w:hint="eastAsia" w:ascii="宋体" w:hAnsi="宋体"/>
          <w:b/>
          <w:color w:val="auto"/>
          <w:sz w:val="24"/>
          <w:szCs w:val="24"/>
          <w:highlight w:val="none"/>
        </w:rPr>
        <w:fldChar w:fldCharType="begin"/>
      </w:r>
      <w:r>
        <w:rPr>
          <w:rFonts w:hint="eastAsia" w:ascii="宋体" w:hAnsi="宋体"/>
          <w:b/>
          <w:color w:val="auto"/>
          <w:sz w:val="24"/>
          <w:szCs w:val="24"/>
          <w:highlight w:val="none"/>
        </w:rPr>
        <w:instrText xml:space="preserve"> TOC \o "1-2" \h \z \u </w:instrText>
      </w:r>
      <w:r>
        <w:rPr>
          <w:rFonts w:hint="eastAsia" w:ascii="宋体" w:hAnsi="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"_Toc26501" </w:instrText>
      </w:r>
      <w:r>
        <w:rPr>
          <w:color w:val="auto"/>
          <w:highlight w:val="none"/>
        </w:rPr>
        <w:fldChar w:fldCharType="separate"/>
      </w:r>
      <w:r>
        <w:rPr>
          <w:rFonts w:hint="eastAsia" w:ascii="宋体" w:hAnsi="宋体"/>
          <w:color w:val="auto"/>
          <w:szCs w:val="32"/>
          <w:highlight w:val="none"/>
        </w:rPr>
        <w:t>第一部分 磋商公告</w:t>
      </w:r>
      <w:r>
        <w:rPr>
          <w:color w:val="auto"/>
          <w:highlight w:val="none"/>
        </w:rPr>
        <w:tab/>
      </w:r>
      <w:r>
        <w:rPr>
          <w:color w:val="auto"/>
          <w:highlight w:val="none"/>
        </w:rPr>
        <w:fldChar w:fldCharType="begin"/>
      </w:r>
      <w:r>
        <w:rPr>
          <w:color w:val="auto"/>
          <w:highlight w:val="none"/>
        </w:rPr>
        <w:instrText xml:space="preserve"> PAGEREF _Toc26501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64DEA4C7">
      <w:pPr>
        <w:pStyle w:val="9"/>
        <w:tabs>
          <w:tab w:val="right" w:leader="dot" w:pos="9747"/>
        </w:tabs>
        <w:rPr>
          <w:color w:val="auto"/>
          <w:highlight w:val="none"/>
        </w:rPr>
      </w:pPr>
      <w:r>
        <w:rPr>
          <w:color w:val="auto"/>
          <w:highlight w:val="none"/>
        </w:rPr>
        <w:fldChar w:fldCharType="begin"/>
      </w:r>
      <w:r>
        <w:rPr>
          <w:color w:val="auto"/>
          <w:highlight w:val="none"/>
        </w:rPr>
        <w:instrText xml:space="preserve"> HYPERLINK \l "_Toc22243" </w:instrText>
      </w:r>
      <w:r>
        <w:rPr>
          <w:color w:val="auto"/>
          <w:highlight w:val="none"/>
        </w:rPr>
        <w:fldChar w:fldCharType="separate"/>
      </w:r>
      <w:r>
        <w:rPr>
          <w:rFonts w:hint="eastAsia" w:ascii="宋体" w:hAnsi="宋体"/>
          <w:color w:val="auto"/>
          <w:szCs w:val="28"/>
          <w:highlight w:val="none"/>
        </w:rPr>
        <w:t>第二部分  供应商须知附表</w:t>
      </w:r>
      <w:r>
        <w:rPr>
          <w:color w:val="auto"/>
          <w:highlight w:val="none"/>
        </w:rPr>
        <w:tab/>
      </w:r>
      <w:r>
        <w:rPr>
          <w:color w:val="auto"/>
          <w:highlight w:val="none"/>
        </w:rPr>
        <w:fldChar w:fldCharType="begin"/>
      </w:r>
      <w:r>
        <w:rPr>
          <w:color w:val="auto"/>
          <w:highlight w:val="none"/>
        </w:rPr>
        <w:instrText xml:space="preserve"> PAGEREF _Toc22243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7E581FB">
      <w:pPr>
        <w:pStyle w:val="9"/>
        <w:tabs>
          <w:tab w:val="right" w:leader="dot" w:pos="9747"/>
        </w:tabs>
        <w:rPr>
          <w:color w:val="auto"/>
          <w:highlight w:val="none"/>
        </w:rPr>
      </w:pPr>
      <w:r>
        <w:rPr>
          <w:color w:val="auto"/>
          <w:highlight w:val="none"/>
        </w:rPr>
        <w:fldChar w:fldCharType="begin"/>
      </w:r>
      <w:r>
        <w:rPr>
          <w:color w:val="auto"/>
          <w:highlight w:val="none"/>
        </w:rPr>
        <w:instrText xml:space="preserve"> HYPERLINK \l "_Toc10731" </w:instrText>
      </w:r>
      <w:r>
        <w:rPr>
          <w:color w:val="auto"/>
          <w:highlight w:val="none"/>
        </w:rPr>
        <w:fldChar w:fldCharType="separate"/>
      </w:r>
      <w:r>
        <w:rPr>
          <w:rFonts w:hint="eastAsia" w:ascii="宋体" w:hAnsi="宋体"/>
          <w:color w:val="auto"/>
          <w:szCs w:val="28"/>
          <w:highlight w:val="none"/>
        </w:rPr>
        <w:t>A  说　明</w:t>
      </w:r>
      <w:r>
        <w:rPr>
          <w:color w:val="auto"/>
          <w:highlight w:val="none"/>
        </w:rPr>
        <w:tab/>
      </w:r>
      <w:r>
        <w:rPr>
          <w:color w:val="auto"/>
          <w:highlight w:val="none"/>
        </w:rPr>
        <w:fldChar w:fldCharType="begin"/>
      </w:r>
      <w:r>
        <w:rPr>
          <w:color w:val="auto"/>
          <w:highlight w:val="none"/>
        </w:rPr>
        <w:instrText xml:space="preserve"> PAGEREF _Toc10731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28161AD">
      <w:pPr>
        <w:pStyle w:val="9"/>
        <w:tabs>
          <w:tab w:val="right" w:leader="dot" w:pos="9747"/>
        </w:tabs>
        <w:rPr>
          <w:color w:val="auto"/>
          <w:highlight w:val="none"/>
        </w:rPr>
      </w:pPr>
      <w:r>
        <w:rPr>
          <w:color w:val="auto"/>
          <w:highlight w:val="none"/>
        </w:rPr>
        <w:fldChar w:fldCharType="begin"/>
      </w:r>
      <w:r>
        <w:rPr>
          <w:color w:val="auto"/>
          <w:highlight w:val="none"/>
        </w:rPr>
        <w:instrText xml:space="preserve"> HYPERLINK \l "_Toc22554" </w:instrText>
      </w:r>
      <w:r>
        <w:rPr>
          <w:color w:val="auto"/>
          <w:highlight w:val="none"/>
        </w:rPr>
        <w:fldChar w:fldCharType="separate"/>
      </w:r>
      <w:r>
        <w:rPr>
          <w:rFonts w:hint="eastAsia" w:ascii="宋体" w:hAnsi="宋体"/>
          <w:color w:val="auto"/>
          <w:szCs w:val="28"/>
          <w:highlight w:val="none"/>
        </w:rPr>
        <w:t>B  磋商文件</w:t>
      </w:r>
      <w:r>
        <w:rPr>
          <w:color w:val="auto"/>
          <w:highlight w:val="none"/>
        </w:rPr>
        <w:tab/>
      </w:r>
      <w:r>
        <w:rPr>
          <w:color w:val="auto"/>
          <w:highlight w:val="none"/>
        </w:rPr>
        <w:fldChar w:fldCharType="begin"/>
      </w:r>
      <w:r>
        <w:rPr>
          <w:color w:val="auto"/>
          <w:highlight w:val="none"/>
        </w:rPr>
        <w:instrText xml:space="preserve"> PAGEREF _Toc22554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2109D6D">
      <w:pPr>
        <w:pStyle w:val="9"/>
        <w:tabs>
          <w:tab w:val="right" w:leader="dot" w:pos="9747"/>
        </w:tabs>
        <w:rPr>
          <w:color w:val="auto"/>
          <w:highlight w:val="none"/>
        </w:rPr>
      </w:pPr>
      <w:r>
        <w:rPr>
          <w:color w:val="auto"/>
          <w:highlight w:val="none"/>
        </w:rPr>
        <w:fldChar w:fldCharType="begin"/>
      </w:r>
      <w:r>
        <w:rPr>
          <w:color w:val="auto"/>
          <w:highlight w:val="none"/>
        </w:rPr>
        <w:instrText xml:space="preserve"> HYPERLINK \l "_Toc30633" </w:instrText>
      </w:r>
      <w:r>
        <w:rPr>
          <w:color w:val="auto"/>
          <w:highlight w:val="none"/>
        </w:rPr>
        <w:fldChar w:fldCharType="separate"/>
      </w:r>
      <w:r>
        <w:rPr>
          <w:rFonts w:hint="eastAsia" w:ascii="宋体" w:hAnsi="宋体"/>
          <w:color w:val="auto"/>
          <w:szCs w:val="28"/>
          <w:highlight w:val="none"/>
        </w:rPr>
        <w:t>C  磋商响应文件的编写</w:t>
      </w:r>
      <w:r>
        <w:rPr>
          <w:color w:val="auto"/>
          <w:highlight w:val="none"/>
        </w:rPr>
        <w:tab/>
      </w:r>
      <w:r>
        <w:rPr>
          <w:color w:val="auto"/>
          <w:highlight w:val="none"/>
        </w:rPr>
        <w:fldChar w:fldCharType="begin"/>
      </w:r>
      <w:r>
        <w:rPr>
          <w:color w:val="auto"/>
          <w:highlight w:val="none"/>
        </w:rPr>
        <w:instrText xml:space="preserve"> PAGEREF _Toc30633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D05217F">
      <w:pPr>
        <w:pStyle w:val="9"/>
        <w:tabs>
          <w:tab w:val="right" w:leader="dot" w:pos="9747"/>
        </w:tabs>
        <w:rPr>
          <w:color w:val="auto"/>
          <w:highlight w:val="none"/>
        </w:rPr>
      </w:pPr>
      <w:r>
        <w:rPr>
          <w:color w:val="auto"/>
          <w:highlight w:val="none"/>
        </w:rPr>
        <w:fldChar w:fldCharType="begin"/>
      </w:r>
      <w:r>
        <w:rPr>
          <w:color w:val="auto"/>
          <w:highlight w:val="none"/>
        </w:rPr>
        <w:instrText xml:space="preserve"> HYPERLINK \l "_Toc31452" </w:instrText>
      </w:r>
      <w:r>
        <w:rPr>
          <w:color w:val="auto"/>
          <w:highlight w:val="none"/>
        </w:rPr>
        <w:fldChar w:fldCharType="separate"/>
      </w:r>
      <w:r>
        <w:rPr>
          <w:rFonts w:hint="eastAsia" w:ascii="宋体" w:hAnsi="宋体"/>
          <w:color w:val="auto"/>
          <w:szCs w:val="28"/>
          <w:highlight w:val="none"/>
        </w:rPr>
        <w:t>D  磋商响应文件的递交</w:t>
      </w:r>
      <w:r>
        <w:rPr>
          <w:color w:val="auto"/>
          <w:highlight w:val="none"/>
        </w:rPr>
        <w:tab/>
      </w:r>
      <w:r>
        <w:rPr>
          <w:color w:val="auto"/>
          <w:highlight w:val="none"/>
        </w:rPr>
        <w:fldChar w:fldCharType="begin"/>
      </w:r>
      <w:r>
        <w:rPr>
          <w:color w:val="auto"/>
          <w:highlight w:val="none"/>
        </w:rPr>
        <w:instrText xml:space="preserve"> PAGEREF _Toc31452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473A2E6">
      <w:pPr>
        <w:pStyle w:val="9"/>
        <w:tabs>
          <w:tab w:val="right" w:leader="dot" w:pos="9747"/>
        </w:tabs>
        <w:rPr>
          <w:color w:val="auto"/>
          <w:highlight w:val="none"/>
        </w:rPr>
      </w:pPr>
      <w:r>
        <w:rPr>
          <w:color w:val="auto"/>
          <w:highlight w:val="none"/>
        </w:rPr>
        <w:fldChar w:fldCharType="begin"/>
      </w:r>
      <w:r>
        <w:rPr>
          <w:color w:val="auto"/>
          <w:highlight w:val="none"/>
        </w:rPr>
        <w:instrText xml:space="preserve"> HYPERLINK \l "_Toc27408" </w:instrText>
      </w:r>
      <w:r>
        <w:rPr>
          <w:color w:val="auto"/>
          <w:highlight w:val="none"/>
        </w:rPr>
        <w:fldChar w:fldCharType="separate"/>
      </w:r>
      <w:r>
        <w:rPr>
          <w:rFonts w:hint="eastAsia" w:ascii="宋体" w:hAnsi="宋体"/>
          <w:color w:val="auto"/>
          <w:szCs w:val="28"/>
          <w:highlight w:val="none"/>
        </w:rPr>
        <w:t>E  磋商程序</w:t>
      </w:r>
      <w:r>
        <w:rPr>
          <w:color w:val="auto"/>
          <w:highlight w:val="none"/>
        </w:rPr>
        <w:tab/>
      </w:r>
      <w:r>
        <w:rPr>
          <w:color w:val="auto"/>
          <w:highlight w:val="none"/>
        </w:rPr>
        <w:fldChar w:fldCharType="begin"/>
      </w:r>
      <w:r>
        <w:rPr>
          <w:color w:val="auto"/>
          <w:highlight w:val="none"/>
        </w:rPr>
        <w:instrText xml:space="preserve"> PAGEREF _Toc27408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3020FDA">
      <w:pPr>
        <w:pStyle w:val="9"/>
        <w:tabs>
          <w:tab w:val="right" w:leader="dot" w:pos="9747"/>
        </w:tabs>
        <w:rPr>
          <w:color w:val="auto"/>
          <w:highlight w:val="none"/>
        </w:rPr>
      </w:pPr>
      <w:r>
        <w:rPr>
          <w:color w:val="auto"/>
          <w:highlight w:val="none"/>
        </w:rPr>
        <w:fldChar w:fldCharType="begin"/>
      </w:r>
      <w:r>
        <w:rPr>
          <w:color w:val="auto"/>
          <w:highlight w:val="none"/>
        </w:rPr>
        <w:instrText xml:space="preserve"> HYPERLINK \l "_Toc3773" </w:instrText>
      </w:r>
      <w:r>
        <w:rPr>
          <w:color w:val="auto"/>
          <w:highlight w:val="none"/>
        </w:rPr>
        <w:fldChar w:fldCharType="separate"/>
      </w:r>
      <w:r>
        <w:rPr>
          <w:rFonts w:hint="eastAsia" w:ascii="宋体" w:hAnsi="宋体"/>
          <w:color w:val="auto"/>
          <w:szCs w:val="28"/>
          <w:highlight w:val="none"/>
        </w:rPr>
        <w:t>F  授予合同</w:t>
      </w:r>
      <w:r>
        <w:rPr>
          <w:color w:val="auto"/>
          <w:highlight w:val="none"/>
        </w:rPr>
        <w:tab/>
      </w:r>
      <w:r>
        <w:rPr>
          <w:color w:val="auto"/>
          <w:highlight w:val="none"/>
        </w:rPr>
        <w:fldChar w:fldCharType="begin"/>
      </w:r>
      <w:r>
        <w:rPr>
          <w:color w:val="auto"/>
          <w:highlight w:val="none"/>
        </w:rPr>
        <w:instrText xml:space="preserve"> PAGEREF _Toc3773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230FD3C">
      <w:pPr>
        <w:pStyle w:val="9"/>
        <w:tabs>
          <w:tab w:val="right" w:leader="dot" w:pos="9747"/>
        </w:tabs>
        <w:rPr>
          <w:color w:val="auto"/>
          <w:highlight w:val="none"/>
        </w:rPr>
      </w:pPr>
      <w:r>
        <w:rPr>
          <w:color w:val="auto"/>
          <w:highlight w:val="none"/>
        </w:rPr>
        <w:fldChar w:fldCharType="begin"/>
      </w:r>
      <w:r>
        <w:rPr>
          <w:color w:val="auto"/>
          <w:highlight w:val="none"/>
        </w:rPr>
        <w:instrText xml:space="preserve"> HYPERLINK \l "_Toc25031" </w:instrText>
      </w:r>
      <w:r>
        <w:rPr>
          <w:color w:val="auto"/>
          <w:highlight w:val="none"/>
        </w:rPr>
        <w:fldChar w:fldCharType="separate"/>
      </w:r>
      <w:r>
        <w:rPr>
          <w:rFonts w:hint="eastAsia" w:ascii="宋体" w:hAnsi="宋体"/>
          <w:color w:val="auto"/>
          <w:szCs w:val="28"/>
          <w:highlight w:val="none"/>
        </w:rPr>
        <w:t>G  磋商失败条件</w:t>
      </w:r>
      <w:r>
        <w:rPr>
          <w:color w:val="auto"/>
          <w:highlight w:val="none"/>
        </w:rPr>
        <w:tab/>
      </w:r>
      <w:r>
        <w:rPr>
          <w:color w:val="auto"/>
          <w:highlight w:val="none"/>
        </w:rPr>
        <w:fldChar w:fldCharType="begin"/>
      </w:r>
      <w:r>
        <w:rPr>
          <w:color w:val="auto"/>
          <w:highlight w:val="none"/>
        </w:rPr>
        <w:instrText xml:space="preserve"> PAGEREF _Toc25031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24AC182">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"_Toc7588" </w:instrText>
      </w:r>
      <w:r>
        <w:rPr>
          <w:color w:val="auto"/>
          <w:highlight w:val="none"/>
        </w:rPr>
        <w:fldChar w:fldCharType="separate"/>
      </w:r>
      <w:r>
        <w:rPr>
          <w:rFonts w:hint="eastAsia" w:ascii="宋体" w:hAnsi="宋体"/>
          <w:color w:val="auto"/>
          <w:szCs w:val="32"/>
          <w:highlight w:val="none"/>
        </w:rPr>
        <w:t>第三部分  服务需求</w:t>
      </w:r>
      <w:r>
        <w:rPr>
          <w:color w:val="auto"/>
          <w:highlight w:val="none"/>
        </w:rPr>
        <w:tab/>
      </w:r>
      <w:r>
        <w:rPr>
          <w:color w:val="auto"/>
          <w:highlight w:val="none"/>
        </w:rPr>
        <w:fldChar w:fldCharType="begin"/>
      </w:r>
      <w:r>
        <w:rPr>
          <w:color w:val="auto"/>
          <w:highlight w:val="none"/>
        </w:rPr>
        <w:instrText xml:space="preserve"> PAGEREF _Toc7588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3B357908">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"_Toc15761" </w:instrText>
      </w:r>
      <w:r>
        <w:rPr>
          <w:color w:val="auto"/>
          <w:highlight w:val="none"/>
        </w:rPr>
        <w:fldChar w:fldCharType="separate"/>
      </w:r>
      <w:r>
        <w:rPr>
          <w:rFonts w:hint="eastAsia" w:ascii="宋体" w:hAnsi="宋体"/>
          <w:color w:val="auto"/>
          <w:szCs w:val="32"/>
          <w:highlight w:val="none"/>
        </w:rPr>
        <w:t>第四部分 合同</w:t>
      </w:r>
      <w:r>
        <w:rPr>
          <w:color w:val="auto"/>
          <w:highlight w:val="none"/>
        </w:rPr>
        <w:tab/>
      </w:r>
      <w:r>
        <w:rPr>
          <w:color w:val="auto"/>
          <w:highlight w:val="none"/>
        </w:rPr>
        <w:fldChar w:fldCharType="begin"/>
      </w:r>
      <w:r>
        <w:rPr>
          <w:color w:val="auto"/>
          <w:highlight w:val="none"/>
        </w:rPr>
        <w:instrText xml:space="preserve"> PAGEREF _Toc15761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5BBE1C9D">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"_Toc19441" </w:instrText>
      </w:r>
      <w:r>
        <w:rPr>
          <w:color w:val="auto"/>
          <w:highlight w:val="none"/>
        </w:rPr>
        <w:fldChar w:fldCharType="separate"/>
      </w:r>
      <w:r>
        <w:rPr>
          <w:rFonts w:hint="eastAsia" w:ascii="宋体" w:hAnsi="宋体"/>
          <w:color w:val="auto"/>
          <w:highlight w:val="none"/>
        </w:rPr>
        <w:t>1.1 合同组成部分</w:t>
      </w:r>
      <w:r>
        <w:rPr>
          <w:color w:val="auto"/>
          <w:highlight w:val="none"/>
        </w:rPr>
        <w:tab/>
      </w:r>
      <w:r>
        <w:rPr>
          <w:color w:val="auto"/>
          <w:highlight w:val="none"/>
        </w:rPr>
        <w:fldChar w:fldCharType="begin"/>
      </w:r>
      <w:r>
        <w:rPr>
          <w:color w:val="auto"/>
          <w:highlight w:val="none"/>
        </w:rPr>
        <w:instrText xml:space="preserve"> PAGEREF _Toc19441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44C2D5CC">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"_Toc23623" </w:instrText>
      </w:r>
      <w:r>
        <w:rPr>
          <w:color w:val="auto"/>
          <w:highlight w:val="none"/>
        </w:rPr>
        <w:fldChar w:fldCharType="separate"/>
      </w:r>
      <w:r>
        <w:rPr>
          <w:rFonts w:hint="eastAsia" w:ascii="宋体" w:hAnsi="宋体"/>
          <w:color w:val="auto"/>
          <w:highlight w:val="none"/>
        </w:rPr>
        <w:t>1.2 标的</w:t>
      </w:r>
      <w:r>
        <w:rPr>
          <w:color w:val="auto"/>
          <w:highlight w:val="none"/>
        </w:rPr>
        <w:tab/>
      </w:r>
      <w:r>
        <w:rPr>
          <w:color w:val="auto"/>
          <w:highlight w:val="none"/>
        </w:rPr>
        <w:fldChar w:fldCharType="begin"/>
      </w:r>
      <w:r>
        <w:rPr>
          <w:color w:val="auto"/>
          <w:highlight w:val="none"/>
        </w:rPr>
        <w:instrText xml:space="preserve"> PAGEREF _Toc23623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02A0AC54">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"_Toc10004" </w:instrText>
      </w:r>
      <w:r>
        <w:rPr>
          <w:color w:val="auto"/>
          <w:highlight w:val="none"/>
        </w:rPr>
        <w:fldChar w:fldCharType="separate"/>
      </w:r>
      <w:r>
        <w:rPr>
          <w:rFonts w:hint="eastAsia" w:ascii="宋体" w:hAnsi="宋体"/>
          <w:color w:val="auto"/>
          <w:highlight w:val="none"/>
        </w:rPr>
        <w:t>1.3 价款</w:t>
      </w:r>
      <w:r>
        <w:rPr>
          <w:color w:val="auto"/>
          <w:highlight w:val="none"/>
        </w:rPr>
        <w:tab/>
      </w:r>
      <w:r>
        <w:rPr>
          <w:color w:val="auto"/>
          <w:highlight w:val="none"/>
        </w:rPr>
        <w:fldChar w:fldCharType="begin"/>
      </w:r>
      <w:r>
        <w:rPr>
          <w:color w:val="auto"/>
          <w:highlight w:val="none"/>
        </w:rPr>
        <w:instrText xml:space="preserve"> PAGEREF _Toc10004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2A433D54">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"_Toc2226" </w:instrText>
      </w:r>
      <w:r>
        <w:rPr>
          <w:color w:val="auto"/>
          <w:highlight w:val="none"/>
        </w:rPr>
        <w:fldChar w:fldCharType="separate"/>
      </w:r>
      <w:r>
        <w:rPr>
          <w:rFonts w:hint="eastAsia" w:ascii="宋体" w:hAnsi="宋体"/>
          <w:color w:val="auto"/>
          <w:highlight w:val="none"/>
        </w:rPr>
        <w:t>1.4 付款方式和发票开具方式</w:t>
      </w:r>
      <w:r>
        <w:rPr>
          <w:color w:val="auto"/>
          <w:highlight w:val="none"/>
        </w:rPr>
        <w:tab/>
      </w:r>
      <w:r>
        <w:rPr>
          <w:color w:val="auto"/>
          <w:highlight w:val="none"/>
        </w:rPr>
        <w:fldChar w:fldCharType="begin"/>
      </w:r>
      <w:r>
        <w:rPr>
          <w:color w:val="auto"/>
          <w:highlight w:val="none"/>
        </w:rPr>
        <w:instrText xml:space="preserve"> PAGEREF _Toc2226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7CD347C5">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"_Toc15738" </w:instrText>
      </w:r>
      <w:r>
        <w:rPr>
          <w:color w:val="auto"/>
          <w:highlight w:val="none"/>
        </w:rPr>
        <w:fldChar w:fldCharType="separate"/>
      </w:r>
      <w:r>
        <w:rPr>
          <w:rFonts w:hint="eastAsia" w:ascii="宋体" w:hAnsi="宋体"/>
          <w:color w:val="auto"/>
          <w:highlight w:val="none"/>
        </w:rPr>
        <w:t>1.5 履行期限、地点和方式</w:t>
      </w:r>
      <w:r>
        <w:rPr>
          <w:color w:val="auto"/>
          <w:highlight w:val="none"/>
        </w:rPr>
        <w:tab/>
      </w:r>
      <w:r>
        <w:rPr>
          <w:color w:val="auto"/>
          <w:highlight w:val="none"/>
        </w:rPr>
        <w:fldChar w:fldCharType="begin"/>
      </w:r>
      <w:r>
        <w:rPr>
          <w:color w:val="auto"/>
          <w:highlight w:val="none"/>
        </w:rPr>
        <w:instrText xml:space="preserve"> PAGEREF _Toc15738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49A0BEC5">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"_Toc29481" </w:instrText>
      </w:r>
      <w:r>
        <w:rPr>
          <w:color w:val="auto"/>
          <w:highlight w:val="none"/>
        </w:rPr>
        <w:fldChar w:fldCharType="separate"/>
      </w:r>
      <w:r>
        <w:rPr>
          <w:rFonts w:hint="eastAsia" w:ascii="宋体" w:hAnsi="宋体"/>
          <w:color w:val="auto"/>
          <w:highlight w:val="none"/>
        </w:rPr>
        <w:t>1.6 违约责任</w:t>
      </w:r>
      <w:r>
        <w:rPr>
          <w:color w:val="auto"/>
          <w:highlight w:val="none"/>
        </w:rPr>
        <w:tab/>
      </w:r>
      <w:r>
        <w:rPr>
          <w:color w:val="auto"/>
          <w:highlight w:val="none"/>
        </w:rPr>
        <w:fldChar w:fldCharType="begin"/>
      </w:r>
      <w:r>
        <w:rPr>
          <w:color w:val="auto"/>
          <w:highlight w:val="none"/>
        </w:rPr>
        <w:instrText xml:space="preserve"> PAGEREF _Toc29481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FAD3315">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"_Toc29498" </w:instrText>
      </w:r>
      <w:r>
        <w:rPr>
          <w:color w:val="auto"/>
          <w:highlight w:val="none"/>
        </w:rPr>
        <w:fldChar w:fldCharType="separate"/>
      </w:r>
      <w:r>
        <w:rPr>
          <w:rFonts w:hint="eastAsia" w:ascii="宋体" w:hAnsi="宋体"/>
          <w:color w:val="auto"/>
          <w:highlight w:val="none"/>
        </w:rPr>
        <w:t>1.7 合同争议的解决</w:t>
      </w:r>
      <w:r>
        <w:rPr>
          <w:color w:val="auto"/>
          <w:highlight w:val="none"/>
        </w:rPr>
        <w:tab/>
      </w:r>
      <w:r>
        <w:rPr>
          <w:color w:val="auto"/>
          <w:highlight w:val="none"/>
        </w:rPr>
        <w:fldChar w:fldCharType="begin"/>
      </w:r>
      <w:r>
        <w:rPr>
          <w:color w:val="auto"/>
          <w:highlight w:val="none"/>
        </w:rPr>
        <w:instrText xml:space="preserve"> PAGEREF _Toc29498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1060C52">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"_Toc30746" </w:instrText>
      </w:r>
      <w:r>
        <w:rPr>
          <w:color w:val="auto"/>
          <w:highlight w:val="none"/>
        </w:rPr>
        <w:fldChar w:fldCharType="separate"/>
      </w:r>
      <w:r>
        <w:rPr>
          <w:rFonts w:hint="eastAsia" w:ascii="宋体" w:hAnsi="宋体"/>
          <w:color w:val="auto"/>
          <w:highlight w:val="none"/>
        </w:rPr>
        <w:t>1.8 合同生效</w:t>
      </w:r>
      <w:r>
        <w:rPr>
          <w:color w:val="auto"/>
          <w:highlight w:val="none"/>
        </w:rPr>
        <w:tab/>
      </w:r>
      <w:r>
        <w:rPr>
          <w:color w:val="auto"/>
          <w:highlight w:val="none"/>
        </w:rPr>
        <w:fldChar w:fldCharType="begin"/>
      </w:r>
      <w:r>
        <w:rPr>
          <w:color w:val="auto"/>
          <w:highlight w:val="none"/>
        </w:rPr>
        <w:instrText xml:space="preserve"> PAGEREF _Toc30746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05CE986">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"_Toc24818" </w:instrText>
      </w:r>
      <w:r>
        <w:rPr>
          <w:color w:val="auto"/>
          <w:highlight w:val="none"/>
        </w:rPr>
        <w:fldChar w:fldCharType="separate"/>
      </w:r>
      <w:r>
        <w:rPr>
          <w:rFonts w:hint="eastAsia" w:ascii="宋体" w:hAnsi="宋体"/>
          <w:color w:val="auto"/>
          <w:highlight w:val="none"/>
        </w:rPr>
        <w:t>2.1 定义</w:t>
      </w:r>
      <w:r>
        <w:rPr>
          <w:color w:val="auto"/>
          <w:highlight w:val="none"/>
        </w:rPr>
        <w:tab/>
      </w:r>
      <w:r>
        <w:rPr>
          <w:color w:val="auto"/>
          <w:highlight w:val="none"/>
        </w:rPr>
        <w:fldChar w:fldCharType="begin"/>
      </w:r>
      <w:r>
        <w:rPr>
          <w:color w:val="auto"/>
          <w:highlight w:val="none"/>
        </w:rPr>
        <w:instrText xml:space="preserve"> PAGEREF _Toc24818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84D0CA1">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"_Toc27628" </w:instrText>
      </w:r>
      <w:r>
        <w:rPr>
          <w:color w:val="auto"/>
          <w:highlight w:val="none"/>
        </w:rPr>
        <w:fldChar w:fldCharType="separate"/>
      </w:r>
      <w:r>
        <w:rPr>
          <w:rFonts w:hint="eastAsia" w:ascii="宋体" w:hAnsi="宋体"/>
          <w:color w:val="auto"/>
          <w:highlight w:val="none"/>
        </w:rPr>
        <w:t>2.2 技术规范</w:t>
      </w:r>
      <w:r>
        <w:rPr>
          <w:color w:val="auto"/>
          <w:highlight w:val="none"/>
        </w:rPr>
        <w:tab/>
      </w:r>
      <w:r>
        <w:rPr>
          <w:color w:val="auto"/>
          <w:highlight w:val="none"/>
        </w:rPr>
        <w:fldChar w:fldCharType="begin"/>
      </w:r>
      <w:r>
        <w:rPr>
          <w:color w:val="auto"/>
          <w:highlight w:val="none"/>
        </w:rPr>
        <w:instrText xml:space="preserve"> PAGEREF _Toc27628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63D2CFB2">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"_Toc13996" </w:instrText>
      </w:r>
      <w:r>
        <w:rPr>
          <w:color w:val="auto"/>
          <w:highlight w:val="none"/>
        </w:rPr>
        <w:fldChar w:fldCharType="separate"/>
      </w:r>
      <w:r>
        <w:rPr>
          <w:rFonts w:hint="eastAsia" w:ascii="宋体" w:hAnsi="宋体"/>
          <w:color w:val="auto"/>
          <w:highlight w:val="none"/>
        </w:rPr>
        <w:t>2.3 知识产权</w:t>
      </w:r>
      <w:r>
        <w:rPr>
          <w:color w:val="auto"/>
          <w:highlight w:val="none"/>
        </w:rPr>
        <w:tab/>
      </w:r>
      <w:r>
        <w:rPr>
          <w:color w:val="auto"/>
          <w:highlight w:val="none"/>
        </w:rPr>
        <w:fldChar w:fldCharType="begin"/>
      </w:r>
      <w:r>
        <w:rPr>
          <w:color w:val="auto"/>
          <w:highlight w:val="none"/>
        </w:rPr>
        <w:instrText xml:space="preserve"> PAGEREF _Toc13996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3CE333D9">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"_Toc7896" </w:instrText>
      </w:r>
      <w:r>
        <w:rPr>
          <w:color w:val="auto"/>
          <w:highlight w:val="none"/>
        </w:rPr>
        <w:fldChar w:fldCharType="separate"/>
      </w:r>
      <w:r>
        <w:rPr>
          <w:rFonts w:hint="eastAsia" w:ascii="宋体" w:hAnsi="宋体"/>
          <w:color w:val="auto"/>
          <w:highlight w:val="none"/>
        </w:rPr>
        <w:t>2.5 结算方式和付款条件</w:t>
      </w:r>
      <w:r>
        <w:rPr>
          <w:color w:val="auto"/>
          <w:highlight w:val="none"/>
        </w:rPr>
        <w:tab/>
      </w:r>
      <w:r>
        <w:rPr>
          <w:color w:val="auto"/>
          <w:highlight w:val="none"/>
        </w:rPr>
        <w:fldChar w:fldCharType="begin"/>
      </w:r>
      <w:r>
        <w:rPr>
          <w:color w:val="auto"/>
          <w:highlight w:val="none"/>
        </w:rPr>
        <w:instrText xml:space="preserve"> PAGEREF _Toc7896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74FA3264">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"_Toc10945" </w:instrText>
      </w:r>
      <w:r>
        <w:rPr>
          <w:color w:val="auto"/>
          <w:highlight w:val="none"/>
        </w:rPr>
        <w:fldChar w:fldCharType="separate"/>
      </w:r>
      <w:r>
        <w:rPr>
          <w:rFonts w:hint="eastAsia" w:ascii="宋体" w:hAnsi="宋体"/>
          <w:color w:val="auto"/>
          <w:highlight w:val="none"/>
        </w:rPr>
        <w:t>2.6 技术资料和保密义务</w:t>
      </w:r>
      <w:r>
        <w:rPr>
          <w:color w:val="auto"/>
          <w:highlight w:val="none"/>
        </w:rPr>
        <w:tab/>
      </w:r>
      <w:r>
        <w:rPr>
          <w:color w:val="auto"/>
          <w:highlight w:val="none"/>
        </w:rPr>
        <w:fldChar w:fldCharType="begin"/>
      </w:r>
      <w:r>
        <w:rPr>
          <w:color w:val="auto"/>
          <w:highlight w:val="none"/>
        </w:rPr>
        <w:instrText xml:space="preserve"> PAGEREF _Toc10945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5315EB38">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"_Toc8366" </w:instrText>
      </w:r>
      <w:r>
        <w:rPr>
          <w:color w:val="auto"/>
          <w:highlight w:val="none"/>
        </w:rPr>
        <w:fldChar w:fldCharType="separate"/>
      </w:r>
      <w:r>
        <w:rPr>
          <w:rFonts w:hint="eastAsia" w:ascii="宋体" w:hAnsi="宋体"/>
          <w:color w:val="auto"/>
          <w:highlight w:val="none"/>
        </w:rPr>
        <w:t>2.7 质量保证</w:t>
      </w:r>
      <w:r>
        <w:rPr>
          <w:color w:val="auto"/>
          <w:highlight w:val="none"/>
        </w:rPr>
        <w:tab/>
      </w:r>
      <w:r>
        <w:rPr>
          <w:color w:val="auto"/>
          <w:highlight w:val="none"/>
        </w:rPr>
        <w:fldChar w:fldCharType="begin"/>
      </w:r>
      <w:r>
        <w:rPr>
          <w:color w:val="auto"/>
          <w:highlight w:val="none"/>
        </w:rPr>
        <w:instrText xml:space="preserve"> PAGEREF _Toc8366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1B2C1123">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"_Toc32028" </w:instrText>
      </w:r>
      <w:r>
        <w:rPr>
          <w:color w:val="auto"/>
          <w:highlight w:val="none"/>
        </w:rPr>
        <w:fldChar w:fldCharType="separate"/>
      </w:r>
      <w:r>
        <w:rPr>
          <w:rFonts w:hint="eastAsia" w:ascii="宋体" w:hAnsi="宋体"/>
          <w:color w:val="auto"/>
          <w:highlight w:val="none"/>
        </w:rPr>
        <w:t>2.8 延迟履行</w:t>
      </w:r>
      <w:r>
        <w:rPr>
          <w:color w:val="auto"/>
          <w:highlight w:val="none"/>
        </w:rPr>
        <w:tab/>
      </w:r>
      <w:r>
        <w:rPr>
          <w:color w:val="auto"/>
          <w:highlight w:val="none"/>
        </w:rPr>
        <w:fldChar w:fldCharType="begin"/>
      </w:r>
      <w:r>
        <w:rPr>
          <w:color w:val="auto"/>
          <w:highlight w:val="none"/>
        </w:rPr>
        <w:instrText xml:space="preserve"> PAGEREF _Toc32028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78610EE3">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"_Toc19363" </w:instrText>
      </w:r>
      <w:r>
        <w:rPr>
          <w:color w:val="auto"/>
          <w:highlight w:val="none"/>
        </w:rPr>
        <w:fldChar w:fldCharType="separate"/>
      </w:r>
      <w:r>
        <w:rPr>
          <w:rFonts w:hint="eastAsia" w:ascii="宋体" w:hAnsi="宋体"/>
          <w:color w:val="auto"/>
          <w:highlight w:val="none"/>
        </w:rPr>
        <w:t>2.9 合同变更</w:t>
      </w:r>
      <w:r>
        <w:rPr>
          <w:color w:val="auto"/>
          <w:highlight w:val="none"/>
        </w:rPr>
        <w:tab/>
      </w:r>
      <w:r>
        <w:rPr>
          <w:color w:val="auto"/>
          <w:highlight w:val="none"/>
        </w:rPr>
        <w:fldChar w:fldCharType="begin"/>
      </w:r>
      <w:r>
        <w:rPr>
          <w:color w:val="auto"/>
          <w:highlight w:val="none"/>
        </w:rPr>
        <w:instrText xml:space="preserve"> PAGEREF _Toc19363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47D67757">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"_Toc6473" </w:instrText>
      </w:r>
      <w:r>
        <w:rPr>
          <w:color w:val="auto"/>
          <w:highlight w:val="none"/>
        </w:rPr>
        <w:fldChar w:fldCharType="separate"/>
      </w:r>
      <w:r>
        <w:rPr>
          <w:rFonts w:hint="eastAsia" w:ascii="宋体" w:hAnsi="宋体"/>
          <w:color w:val="auto"/>
          <w:highlight w:val="none"/>
        </w:rPr>
        <w:t>2.10 合同转让和分包</w:t>
      </w:r>
      <w:r>
        <w:rPr>
          <w:color w:val="auto"/>
          <w:highlight w:val="none"/>
        </w:rPr>
        <w:tab/>
      </w:r>
      <w:r>
        <w:rPr>
          <w:color w:val="auto"/>
          <w:highlight w:val="none"/>
        </w:rPr>
        <w:fldChar w:fldCharType="begin"/>
      </w:r>
      <w:r>
        <w:rPr>
          <w:color w:val="auto"/>
          <w:highlight w:val="none"/>
        </w:rPr>
        <w:instrText xml:space="preserve"> PAGEREF _Toc6473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44E88310">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"_Toc5780" </w:instrText>
      </w:r>
      <w:r>
        <w:rPr>
          <w:color w:val="auto"/>
          <w:highlight w:val="none"/>
        </w:rPr>
        <w:fldChar w:fldCharType="separate"/>
      </w:r>
      <w:r>
        <w:rPr>
          <w:rFonts w:hint="eastAsia" w:ascii="宋体" w:hAnsi="宋体"/>
          <w:color w:val="auto"/>
          <w:highlight w:val="none"/>
        </w:rPr>
        <w:t>2.11 不可抗力</w:t>
      </w:r>
      <w:r>
        <w:rPr>
          <w:color w:val="auto"/>
          <w:highlight w:val="none"/>
        </w:rPr>
        <w:tab/>
      </w:r>
      <w:r>
        <w:rPr>
          <w:color w:val="auto"/>
          <w:highlight w:val="none"/>
        </w:rPr>
        <w:fldChar w:fldCharType="begin"/>
      </w:r>
      <w:r>
        <w:rPr>
          <w:color w:val="auto"/>
          <w:highlight w:val="none"/>
        </w:rPr>
        <w:instrText xml:space="preserve"> PAGEREF _Toc5780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5A077082">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"_Toc30253" </w:instrText>
      </w:r>
      <w:r>
        <w:rPr>
          <w:color w:val="auto"/>
          <w:highlight w:val="none"/>
        </w:rPr>
        <w:fldChar w:fldCharType="separate"/>
      </w:r>
      <w:r>
        <w:rPr>
          <w:rFonts w:hint="eastAsia" w:ascii="宋体" w:hAnsi="宋体"/>
          <w:color w:val="auto"/>
          <w:highlight w:val="none"/>
        </w:rPr>
        <w:t>2.12 税费</w:t>
      </w:r>
      <w:r>
        <w:rPr>
          <w:color w:val="auto"/>
          <w:highlight w:val="none"/>
        </w:rPr>
        <w:tab/>
      </w:r>
      <w:r>
        <w:rPr>
          <w:color w:val="auto"/>
          <w:highlight w:val="none"/>
        </w:rPr>
        <w:fldChar w:fldCharType="begin"/>
      </w:r>
      <w:r>
        <w:rPr>
          <w:color w:val="auto"/>
          <w:highlight w:val="none"/>
        </w:rPr>
        <w:instrText xml:space="preserve"> PAGEREF _Toc30253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2D1D763F">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"_Toc29286" </w:instrText>
      </w:r>
      <w:r>
        <w:rPr>
          <w:color w:val="auto"/>
          <w:highlight w:val="none"/>
        </w:rPr>
        <w:fldChar w:fldCharType="separate"/>
      </w:r>
      <w:r>
        <w:rPr>
          <w:rFonts w:hint="eastAsia" w:ascii="宋体" w:hAnsi="宋体"/>
          <w:color w:val="auto"/>
          <w:highlight w:val="none"/>
        </w:rPr>
        <w:t>2.13 乙方破产</w:t>
      </w:r>
      <w:r>
        <w:rPr>
          <w:color w:val="auto"/>
          <w:highlight w:val="none"/>
        </w:rPr>
        <w:tab/>
      </w:r>
      <w:r>
        <w:rPr>
          <w:color w:val="auto"/>
          <w:highlight w:val="none"/>
        </w:rPr>
        <w:fldChar w:fldCharType="begin"/>
      </w:r>
      <w:r>
        <w:rPr>
          <w:color w:val="auto"/>
          <w:highlight w:val="none"/>
        </w:rPr>
        <w:instrText xml:space="preserve"> PAGEREF _Toc29286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D347A34">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"_Toc2145" </w:instrText>
      </w:r>
      <w:r>
        <w:rPr>
          <w:color w:val="auto"/>
          <w:highlight w:val="none"/>
        </w:rPr>
        <w:fldChar w:fldCharType="separate"/>
      </w:r>
      <w:r>
        <w:rPr>
          <w:rFonts w:hint="eastAsia" w:ascii="宋体" w:hAnsi="宋体"/>
          <w:color w:val="auto"/>
          <w:highlight w:val="none"/>
        </w:rPr>
        <w:t>2.14 合同中止、终止</w:t>
      </w:r>
      <w:r>
        <w:rPr>
          <w:color w:val="auto"/>
          <w:highlight w:val="none"/>
        </w:rPr>
        <w:tab/>
      </w:r>
      <w:r>
        <w:rPr>
          <w:color w:val="auto"/>
          <w:highlight w:val="none"/>
        </w:rPr>
        <w:fldChar w:fldCharType="begin"/>
      </w:r>
      <w:r>
        <w:rPr>
          <w:color w:val="auto"/>
          <w:highlight w:val="none"/>
        </w:rPr>
        <w:instrText xml:space="preserve"> PAGEREF _Toc2145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CB65B39">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"_Toc21356" </w:instrText>
      </w:r>
      <w:r>
        <w:rPr>
          <w:color w:val="auto"/>
          <w:highlight w:val="none"/>
        </w:rPr>
        <w:fldChar w:fldCharType="separate"/>
      </w:r>
      <w:r>
        <w:rPr>
          <w:rFonts w:hint="eastAsia" w:ascii="宋体" w:hAnsi="宋体"/>
          <w:color w:val="auto"/>
          <w:highlight w:val="none"/>
        </w:rPr>
        <w:t>2.15 检验和验收</w:t>
      </w:r>
      <w:r>
        <w:rPr>
          <w:color w:val="auto"/>
          <w:highlight w:val="none"/>
        </w:rPr>
        <w:tab/>
      </w:r>
      <w:r>
        <w:rPr>
          <w:color w:val="auto"/>
          <w:highlight w:val="none"/>
        </w:rPr>
        <w:fldChar w:fldCharType="begin"/>
      </w:r>
      <w:r>
        <w:rPr>
          <w:color w:val="auto"/>
          <w:highlight w:val="none"/>
        </w:rPr>
        <w:instrText xml:space="preserve"> PAGEREF _Toc21356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75B17950">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"_Toc1157" </w:instrText>
      </w:r>
      <w:r>
        <w:rPr>
          <w:color w:val="auto"/>
          <w:highlight w:val="none"/>
        </w:rPr>
        <w:fldChar w:fldCharType="separate"/>
      </w:r>
      <w:r>
        <w:rPr>
          <w:rFonts w:hint="eastAsia" w:ascii="宋体" w:hAnsi="宋体"/>
          <w:color w:val="auto"/>
          <w:highlight w:val="none"/>
        </w:rPr>
        <w:t>2.16 通知和送达</w:t>
      </w:r>
      <w:r>
        <w:rPr>
          <w:color w:val="auto"/>
          <w:highlight w:val="none"/>
        </w:rPr>
        <w:tab/>
      </w:r>
      <w:r>
        <w:rPr>
          <w:color w:val="auto"/>
          <w:highlight w:val="none"/>
        </w:rPr>
        <w:fldChar w:fldCharType="begin"/>
      </w:r>
      <w:r>
        <w:rPr>
          <w:color w:val="auto"/>
          <w:highlight w:val="none"/>
        </w:rPr>
        <w:instrText xml:space="preserve"> PAGEREF _Toc1157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586F8655">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"_Toc20220" </w:instrText>
      </w:r>
      <w:r>
        <w:rPr>
          <w:color w:val="auto"/>
          <w:highlight w:val="none"/>
        </w:rPr>
        <w:fldChar w:fldCharType="separate"/>
      </w:r>
      <w:r>
        <w:rPr>
          <w:rFonts w:hint="eastAsia" w:ascii="宋体" w:hAnsi="宋体"/>
          <w:color w:val="auto"/>
          <w:highlight w:val="none"/>
        </w:rPr>
        <w:t>2.17 合同使用的文字和适用的法律</w:t>
      </w:r>
      <w:r>
        <w:rPr>
          <w:color w:val="auto"/>
          <w:highlight w:val="none"/>
        </w:rPr>
        <w:tab/>
      </w:r>
      <w:r>
        <w:rPr>
          <w:color w:val="auto"/>
          <w:highlight w:val="none"/>
        </w:rPr>
        <w:fldChar w:fldCharType="begin"/>
      </w:r>
      <w:r>
        <w:rPr>
          <w:color w:val="auto"/>
          <w:highlight w:val="none"/>
        </w:rPr>
        <w:instrText xml:space="preserve"> PAGEREF _Toc20220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11734D67">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"_Toc22789" </w:instrText>
      </w:r>
      <w:r>
        <w:rPr>
          <w:color w:val="auto"/>
          <w:highlight w:val="none"/>
        </w:rPr>
        <w:fldChar w:fldCharType="separate"/>
      </w:r>
      <w:r>
        <w:rPr>
          <w:rFonts w:hint="eastAsia" w:ascii="宋体" w:hAnsi="宋体"/>
          <w:color w:val="auto"/>
          <w:highlight w:val="none"/>
        </w:rPr>
        <w:t>2.18 履约保证金</w:t>
      </w:r>
      <w:r>
        <w:rPr>
          <w:color w:val="auto"/>
          <w:highlight w:val="none"/>
        </w:rPr>
        <w:tab/>
      </w:r>
      <w:r>
        <w:rPr>
          <w:color w:val="auto"/>
          <w:highlight w:val="none"/>
        </w:rPr>
        <w:fldChar w:fldCharType="begin"/>
      </w:r>
      <w:r>
        <w:rPr>
          <w:color w:val="auto"/>
          <w:highlight w:val="none"/>
        </w:rPr>
        <w:instrText xml:space="preserve"> PAGEREF _Toc22789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2C8F7EE7">
      <w:pPr>
        <w:pStyle w:val="8"/>
        <w:tabs>
          <w:tab w:val="right" w:leader="dot" w:pos="9747"/>
        </w:tabs>
        <w:rPr>
          <w:color w:val="auto"/>
          <w:highlight w:val="none"/>
        </w:rPr>
      </w:pPr>
      <w:r>
        <w:rPr>
          <w:color w:val="auto"/>
          <w:highlight w:val="none"/>
        </w:rPr>
        <w:fldChar w:fldCharType="begin"/>
      </w:r>
      <w:r>
        <w:rPr>
          <w:color w:val="auto"/>
          <w:highlight w:val="none"/>
        </w:rPr>
        <w:instrText xml:space="preserve"> HYPERLINK \l "_Toc13969" </w:instrText>
      </w:r>
      <w:r>
        <w:rPr>
          <w:color w:val="auto"/>
          <w:highlight w:val="none"/>
        </w:rPr>
        <w:fldChar w:fldCharType="separate"/>
      </w:r>
      <w:r>
        <w:rPr>
          <w:rFonts w:hint="eastAsia" w:ascii="宋体" w:hAnsi="宋体"/>
          <w:color w:val="auto"/>
          <w:szCs w:val="32"/>
          <w:highlight w:val="none"/>
        </w:rPr>
        <w:t>第五部分 磋商响应文件</w:t>
      </w:r>
      <w:r>
        <w:rPr>
          <w:color w:val="auto"/>
          <w:highlight w:val="none"/>
        </w:rPr>
        <w:tab/>
      </w:r>
      <w:r>
        <w:rPr>
          <w:color w:val="auto"/>
          <w:highlight w:val="none"/>
        </w:rPr>
        <w:fldChar w:fldCharType="begin"/>
      </w:r>
      <w:r>
        <w:rPr>
          <w:color w:val="auto"/>
          <w:highlight w:val="none"/>
        </w:rPr>
        <w:instrText xml:space="preserve"> PAGEREF _Toc13969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22CB32CD">
      <w:pPr>
        <w:pStyle w:val="51"/>
        <w:tabs>
          <w:tab w:val="right" w:leader="dot" w:pos="8541"/>
        </w:tabs>
        <w:spacing w:line="400" w:lineRule="atLeast"/>
        <w:rPr>
          <w:rFonts w:ascii="宋体" w:hAnsi="宋体"/>
          <w:color w:val="auto"/>
          <w:szCs w:val="24"/>
          <w:highlight w:val="none"/>
        </w:rPr>
      </w:pPr>
      <w:r>
        <w:rPr>
          <w:rFonts w:hint="eastAsia" w:ascii="宋体" w:hAnsi="宋体"/>
          <w:color w:val="auto"/>
          <w:szCs w:val="24"/>
          <w:highlight w:val="none"/>
        </w:rPr>
        <w:fldChar w:fldCharType="end"/>
      </w:r>
    </w:p>
    <w:p w14:paraId="21687376">
      <w:pPr>
        <w:pStyle w:val="13"/>
        <w:numPr>
          <w:ilvl w:val="0"/>
          <w:numId w:val="0"/>
        </w:numPr>
        <w:spacing w:line="400" w:lineRule="atLeast"/>
        <w:jc w:val="center"/>
        <w:rPr>
          <w:rFonts w:ascii="宋体" w:hAnsi="宋体"/>
          <w:color w:val="auto"/>
          <w:sz w:val="32"/>
          <w:szCs w:val="32"/>
          <w:highlight w:val="none"/>
        </w:rPr>
        <w:sectPr>
          <w:headerReference r:id="rId4" w:type="first"/>
          <w:footerReference r:id="rId7" w:type="first"/>
          <w:headerReference r:id="rId3" w:type="default"/>
          <w:footerReference r:id="rId5" w:type="default"/>
          <w:footerReference r:id="rId6" w:type="even"/>
          <w:pgSz w:w="11907" w:h="16840"/>
          <w:pgMar w:top="1440" w:right="1080" w:bottom="1440" w:left="1080" w:header="851" w:footer="68" w:gutter="0"/>
          <w:pgNumType w:start="0"/>
          <w:cols w:space="720" w:num="1"/>
          <w:docGrid w:type="lines" w:linePitch="409" w:charSpace="0"/>
        </w:sectPr>
      </w:pPr>
    </w:p>
    <w:p w14:paraId="0700928C">
      <w:pPr>
        <w:pStyle w:val="13"/>
        <w:numPr>
          <w:ilvl w:val="0"/>
          <w:numId w:val="0"/>
        </w:numPr>
        <w:spacing w:line="400" w:lineRule="atLeast"/>
        <w:jc w:val="center"/>
        <w:rPr>
          <w:rFonts w:ascii="宋体" w:hAnsi="宋体"/>
          <w:color w:val="auto"/>
          <w:sz w:val="32"/>
          <w:szCs w:val="32"/>
          <w:highlight w:val="none"/>
        </w:rPr>
      </w:pPr>
      <w:bookmarkStart w:id="0" w:name="_Toc26501"/>
      <w:r>
        <w:rPr>
          <w:rFonts w:hint="eastAsia" w:ascii="宋体" w:hAnsi="宋体"/>
          <w:color w:val="auto"/>
          <w:sz w:val="32"/>
          <w:szCs w:val="32"/>
          <w:highlight w:val="none"/>
        </w:rPr>
        <w:t>第一部分 磋商公告</w:t>
      </w:r>
      <w:bookmarkEnd w:id="0"/>
    </w:p>
    <w:p w14:paraId="29B79D81">
      <w:pPr>
        <w:spacing w:line="460" w:lineRule="exact"/>
        <w:contextualSpacing/>
        <w:rPr>
          <w:rFonts w:ascii="宋体" w:hAnsi="宋体"/>
          <w:color w:val="auto"/>
          <w:sz w:val="24"/>
          <w:szCs w:val="24"/>
          <w:highlight w:val="none"/>
        </w:rPr>
      </w:pPr>
      <w:r>
        <w:rPr>
          <w:rFonts w:hint="eastAsia" w:ascii="宋体" w:hAnsi="宋体"/>
          <w:color w:val="auto"/>
          <w:sz w:val="24"/>
          <w:szCs w:val="24"/>
          <w:highlight w:val="none"/>
        </w:rPr>
        <w:t>项目名称：新疆维吾尔自治区建设职工教育培训中心商用密码安全性评估服务</w:t>
      </w:r>
    </w:p>
    <w:p w14:paraId="4B365E73">
      <w:pPr>
        <w:spacing w:line="460" w:lineRule="exact"/>
        <w:contextualSpacing/>
        <w:rPr>
          <w:rFonts w:ascii="宋体" w:hAnsi="宋体"/>
          <w:color w:val="auto"/>
          <w:sz w:val="24"/>
          <w:szCs w:val="24"/>
          <w:highlight w:val="none"/>
        </w:rPr>
      </w:pPr>
      <w:r>
        <w:rPr>
          <w:rFonts w:hint="eastAsia" w:ascii="宋体" w:hAnsi="宋体"/>
          <w:color w:val="auto"/>
          <w:sz w:val="24"/>
          <w:szCs w:val="24"/>
          <w:highlight w:val="none"/>
        </w:rPr>
        <w:t xml:space="preserve">项目编号：0634-254XZ1QFO118a  </w:t>
      </w:r>
    </w:p>
    <w:p w14:paraId="103A23F3">
      <w:pPr>
        <w:pStyle w:val="74"/>
        <w:spacing w:line="460" w:lineRule="exact"/>
        <w:ind w:left="240" w:hanging="240" w:hangingChars="100"/>
        <w:contextualSpacing/>
        <w:rPr>
          <w:rFonts w:ascii="宋体" w:hAnsi="宋体"/>
          <w:color w:val="auto"/>
          <w:sz w:val="24"/>
          <w:szCs w:val="24"/>
          <w:highlight w:val="none"/>
        </w:rPr>
      </w:pPr>
      <w:r>
        <w:rPr>
          <w:rFonts w:hint="eastAsia" w:ascii="宋体" w:hAnsi="宋体"/>
          <w:color w:val="auto"/>
          <w:sz w:val="24"/>
          <w:szCs w:val="24"/>
          <w:highlight w:val="none"/>
        </w:rPr>
        <w:t>1、新疆招标有限公司受新疆维吾尔自治区建设职工教育培训中心的委托，对新疆维吾尔自治区建设职工教育培训中心商用密码安全性评估服务组织竞争性磋商采购。兹邀请合格供应商前来磋商。</w:t>
      </w:r>
    </w:p>
    <w:p w14:paraId="36127BBC">
      <w:pPr>
        <w:pStyle w:val="74"/>
        <w:spacing w:line="460" w:lineRule="exact"/>
        <w:ind w:firstLine="240" w:firstLineChars="100"/>
        <w:contextualSpacing/>
        <w:rPr>
          <w:rFonts w:ascii="宋体" w:hAnsi="宋体"/>
          <w:color w:val="auto"/>
          <w:sz w:val="24"/>
          <w:szCs w:val="24"/>
          <w:highlight w:val="none"/>
        </w:rPr>
      </w:pPr>
      <w:r>
        <w:rPr>
          <w:rFonts w:hint="eastAsia" w:ascii="宋体" w:hAnsi="宋体"/>
          <w:color w:val="auto"/>
          <w:sz w:val="24"/>
          <w:szCs w:val="24"/>
          <w:highlight w:val="none"/>
        </w:rPr>
        <w:t>项目内容：</w:t>
      </w:r>
      <w:r>
        <w:rPr>
          <w:rFonts w:ascii="宋体" w:hAnsi="宋体" w:cs="宋体"/>
          <w:color w:val="auto"/>
          <w:sz w:val="24"/>
          <w:szCs w:val="24"/>
          <w:highlight w:val="none"/>
        </w:rPr>
        <w:t>根据信息系统的安全保护等级，依据《GB/T39786-2021信息安全技术信息系统密码应用基本要求》、《政务领域政务服务平台密码应用与安全性评估实施指南》的条款要求，逐一对信息系统密码应用进行检测</w:t>
      </w:r>
      <w:r>
        <w:rPr>
          <w:rFonts w:hint="eastAsia" w:ascii="宋体" w:hAnsi="宋体" w:cs="宋体"/>
          <w:color w:val="auto"/>
          <w:sz w:val="24"/>
          <w:szCs w:val="24"/>
          <w:highlight w:val="none"/>
        </w:rPr>
        <w:t>。</w:t>
      </w:r>
    </w:p>
    <w:p w14:paraId="0AE18C2C">
      <w:pPr>
        <w:pStyle w:val="74"/>
        <w:spacing w:line="460" w:lineRule="exact"/>
        <w:ind w:left="239" w:leftChars="114"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服务期：合同签订后 20个日历日内完成</w:t>
      </w:r>
    </w:p>
    <w:p w14:paraId="09C7B9D3">
      <w:pPr>
        <w:pStyle w:val="74"/>
        <w:spacing w:line="460" w:lineRule="exact"/>
        <w:ind w:firstLine="240" w:firstLineChars="100"/>
        <w:contextualSpacing/>
        <w:rPr>
          <w:rFonts w:ascii="宋体" w:hAnsi="宋体"/>
          <w:color w:val="auto"/>
          <w:sz w:val="24"/>
          <w:szCs w:val="24"/>
          <w:highlight w:val="none"/>
        </w:rPr>
      </w:pPr>
      <w:r>
        <w:rPr>
          <w:rFonts w:hint="eastAsia" w:ascii="宋体" w:hAnsi="宋体"/>
          <w:color w:val="auto"/>
          <w:sz w:val="24"/>
          <w:szCs w:val="24"/>
          <w:highlight w:val="none"/>
        </w:rPr>
        <w:t>预算金额：120000.00元</w:t>
      </w:r>
    </w:p>
    <w:p w14:paraId="281C757D">
      <w:pPr>
        <w:pStyle w:val="74"/>
        <w:spacing w:line="460" w:lineRule="exact"/>
        <w:ind w:firstLine="240" w:firstLineChars="100"/>
        <w:contextualSpacing/>
        <w:rPr>
          <w:rFonts w:ascii="宋体" w:hAnsi="宋体"/>
          <w:color w:val="auto"/>
          <w:sz w:val="24"/>
          <w:szCs w:val="24"/>
          <w:highlight w:val="none"/>
        </w:rPr>
      </w:pPr>
      <w:r>
        <w:rPr>
          <w:rFonts w:hint="eastAsia" w:ascii="宋体" w:hAnsi="宋体"/>
          <w:color w:val="auto"/>
          <w:sz w:val="24"/>
          <w:szCs w:val="24"/>
          <w:highlight w:val="none"/>
        </w:rPr>
        <w:t>最高限价：120000.00元</w:t>
      </w:r>
    </w:p>
    <w:p w14:paraId="275A238E">
      <w:pPr>
        <w:pStyle w:val="74"/>
        <w:spacing w:line="460" w:lineRule="exact"/>
        <w:ind w:firstLine="0" w:firstLineChars="0"/>
        <w:contextualSpacing/>
        <w:rPr>
          <w:rFonts w:ascii="宋体" w:hAnsi="宋体"/>
          <w:color w:val="auto"/>
          <w:sz w:val="24"/>
          <w:highlight w:val="none"/>
        </w:rPr>
      </w:pPr>
      <w:r>
        <w:rPr>
          <w:rFonts w:hint="eastAsia" w:ascii="宋体" w:hAnsi="宋体"/>
          <w:color w:val="auto"/>
          <w:sz w:val="24"/>
          <w:highlight w:val="none"/>
        </w:rPr>
        <w:t>2、项目已经主管部门审批。</w:t>
      </w:r>
    </w:p>
    <w:p w14:paraId="0C6A5AA6">
      <w:pPr>
        <w:pStyle w:val="74"/>
        <w:spacing w:line="460" w:lineRule="exact"/>
        <w:ind w:firstLine="0" w:firstLineChars="0"/>
        <w:contextualSpacing/>
        <w:rPr>
          <w:rFonts w:ascii="宋体" w:hAnsi="宋体"/>
          <w:color w:val="auto"/>
          <w:sz w:val="24"/>
          <w:highlight w:val="none"/>
        </w:rPr>
      </w:pPr>
      <w:r>
        <w:rPr>
          <w:rFonts w:hint="eastAsia" w:ascii="宋体" w:hAnsi="宋体"/>
          <w:color w:val="auto"/>
          <w:sz w:val="24"/>
          <w:highlight w:val="none"/>
        </w:rPr>
        <w:t>3、供应商的资格要求：</w:t>
      </w:r>
    </w:p>
    <w:p w14:paraId="608CAEDB">
      <w:pPr>
        <w:pStyle w:val="74"/>
        <w:spacing w:line="460" w:lineRule="exact"/>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3.1具有独立承担民事责任的能力；（提供有效的营业执照）</w:t>
      </w:r>
    </w:p>
    <w:p w14:paraId="437F92A8">
      <w:pPr>
        <w:pStyle w:val="74"/>
        <w:spacing w:line="460" w:lineRule="exact"/>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3.2具有良好的商业信誉和健全的财务会计制度；（</w:t>
      </w:r>
      <w:r>
        <w:rPr>
          <w:rFonts w:hint="eastAsia" w:ascii="宋体" w:hAnsi="宋体" w:cs="宋体"/>
          <w:color w:val="auto"/>
          <w:sz w:val="24"/>
          <w:szCs w:val="24"/>
          <w:highlight w:val="none"/>
        </w:rPr>
        <w:t>提供会计师事务所出具的近三年任意一年度财务审计报告，</w:t>
      </w:r>
      <w:r>
        <w:rPr>
          <w:rFonts w:hint="eastAsia" w:ascii="宋体" w:hAnsi="宋体" w:cs="宋体"/>
          <w:color w:val="auto"/>
          <w:sz w:val="24"/>
          <w:highlight w:val="none"/>
        </w:rPr>
        <w:t>新成立不足一年的提供成立之日起至今的财务报表</w:t>
      </w:r>
      <w:r>
        <w:rPr>
          <w:rFonts w:hint="eastAsia" w:ascii="宋体" w:hAnsi="宋体" w:cs="宋体"/>
          <w:color w:val="auto"/>
          <w:sz w:val="24"/>
          <w:szCs w:val="24"/>
          <w:highlight w:val="none"/>
        </w:rPr>
        <w:t>和基本开户银行出具的资信证明</w:t>
      </w:r>
      <w:r>
        <w:rPr>
          <w:rFonts w:hint="eastAsia" w:ascii="宋体" w:hAnsi="宋体"/>
          <w:color w:val="auto"/>
          <w:sz w:val="24"/>
          <w:szCs w:val="24"/>
          <w:highlight w:val="none"/>
        </w:rPr>
        <w:t>）；</w:t>
      </w:r>
    </w:p>
    <w:p w14:paraId="1FD77A26">
      <w:pPr>
        <w:pStyle w:val="74"/>
        <w:spacing w:line="460" w:lineRule="exact"/>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3.3具有履行合同所必需的设备和专业技术能力；（提供承诺函）</w:t>
      </w:r>
    </w:p>
    <w:p w14:paraId="4ADF726C">
      <w:pPr>
        <w:pStyle w:val="74"/>
        <w:spacing w:line="460" w:lineRule="exact"/>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3.4</w:t>
      </w:r>
      <w:r>
        <w:rPr>
          <w:rFonts w:hint="eastAsia" w:ascii="宋体" w:hAnsi="宋体"/>
          <w:color w:val="auto"/>
          <w:spacing w:val="8"/>
          <w:sz w:val="24"/>
          <w:szCs w:val="24"/>
          <w:highlight w:val="none"/>
        </w:rPr>
        <w:t>有依法缴纳税收和社会保障资金的良好记录；（提供近一年任意三个月缴税记录及社保缴纳证明，新成立公司提供成立之日起至今的缴税记录及社保缴纳证明）</w:t>
      </w:r>
      <w:r>
        <w:rPr>
          <w:rFonts w:hint="eastAsia" w:ascii="宋体" w:hAnsi="宋体"/>
          <w:color w:val="auto"/>
          <w:sz w:val="24"/>
          <w:szCs w:val="24"/>
          <w:highlight w:val="none"/>
        </w:rPr>
        <w:t>；</w:t>
      </w:r>
    </w:p>
    <w:p w14:paraId="406F9F96">
      <w:pPr>
        <w:pStyle w:val="74"/>
        <w:spacing w:line="460" w:lineRule="exact"/>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3.5符合国家有关法律法规的规定（提供承诺函）；</w:t>
      </w:r>
    </w:p>
    <w:p w14:paraId="3299F632">
      <w:pPr>
        <w:pStyle w:val="74"/>
        <w:spacing w:line="460" w:lineRule="exact"/>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3.6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提供承诺函）；</w:t>
      </w:r>
    </w:p>
    <w:p w14:paraId="0B8B4073">
      <w:pPr>
        <w:pStyle w:val="74"/>
        <w:spacing w:line="460" w:lineRule="exact"/>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3.7参加采购活动前三年内，在经营活动中没有重大违法记录。查询渠道“中国政府采购网”、“信用中国”，被列入失信被执行人、重大税收违法案件当事人名单、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79B61777">
      <w:pPr>
        <w:pStyle w:val="41"/>
        <w:ind w:left="209" w:hanging="208" w:hangingChars="87"/>
        <w:rPr>
          <w:rFonts w:hAnsi="宋体"/>
          <w:color w:val="auto"/>
          <w:sz w:val="24"/>
          <w:szCs w:val="24"/>
          <w:highlight w:val="none"/>
        </w:rPr>
      </w:pPr>
      <w:r>
        <w:rPr>
          <w:rFonts w:hint="eastAsia" w:hAnsi="宋体"/>
          <w:color w:val="auto"/>
          <w:sz w:val="24"/>
          <w:szCs w:val="24"/>
          <w:highlight w:val="none"/>
        </w:rPr>
        <w:t>3.8本项目不接受联合体。（提供承诺函）；</w:t>
      </w:r>
    </w:p>
    <w:p w14:paraId="324CEEC0">
      <w:pPr>
        <w:pStyle w:val="41"/>
        <w:ind w:left="209" w:hanging="208" w:hangingChars="87"/>
        <w:rPr>
          <w:rFonts w:hAnsi="宋体"/>
          <w:color w:val="auto"/>
          <w:sz w:val="24"/>
          <w:szCs w:val="24"/>
          <w:highlight w:val="none"/>
        </w:rPr>
      </w:pPr>
      <w:r>
        <w:rPr>
          <w:rFonts w:hint="eastAsia" w:hAnsi="宋体"/>
          <w:color w:val="auto"/>
          <w:sz w:val="24"/>
          <w:szCs w:val="24"/>
          <w:highlight w:val="none"/>
        </w:rPr>
        <w:t>3.9供应商须在国家密码管理局公告（第 49 号）《商用密码检测机构(商用密码应用安全性评估业务)目录》中；</w:t>
      </w:r>
    </w:p>
    <w:p w14:paraId="234B9F89">
      <w:pPr>
        <w:pStyle w:val="41"/>
        <w:ind w:left="209" w:hanging="208" w:hangingChars="87"/>
        <w:rPr>
          <w:rFonts w:hAnsi="宋体"/>
          <w:color w:val="auto"/>
          <w:sz w:val="24"/>
          <w:szCs w:val="24"/>
          <w:highlight w:val="none"/>
        </w:rPr>
      </w:pPr>
      <w:r>
        <w:rPr>
          <w:rFonts w:hint="eastAsia" w:hAnsi="宋体"/>
          <w:color w:val="auto"/>
          <w:sz w:val="24"/>
          <w:szCs w:val="24"/>
          <w:highlight w:val="none"/>
        </w:rPr>
        <w:t>3.10落实政府采购政策需满足的资格要求：本项目专门面向中小企业（须提供中小企业声明函）。</w:t>
      </w:r>
    </w:p>
    <w:p w14:paraId="30A88DA5">
      <w:pPr>
        <w:pStyle w:val="74"/>
        <w:spacing w:line="460" w:lineRule="exact"/>
        <w:ind w:firstLine="0" w:firstLineChars="0"/>
        <w:contextualSpacing/>
        <w:rPr>
          <w:rFonts w:ascii="宋体" w:hAnsi="宋体"/>
          <w:color w:val="auto"/>
          <w:sz w:val="24"/>
          <w:highlight w:val="none"/>
        </w:rPr>
      </w:pPr>
      <w:r>
        <w:rPr>
          <w:rFonts w:hint="eastAsia" w:ascii="宋体" w:hAnsi="宋体"/>
          <w:color w:val="auto"/>
          <w:sz w:val="24"/>
          <w:highlight w:val="none"/>
        </w:rPr>
        <w:t>4、获取磋商文件的时间期限、方式：</w:t>
      </w:r>
    </w:p>
    <w:p w14:paraId="3399264E">
      <w:pPr>
        <w:pStyle w:val="74"/>
        <w:spacing w:line="460" w:lineRule="exact"/>
        <w:ind w:firstLine="480"/>
        <w:contextualSpacing/>
        <w:rPr>
          <w:rFonts w:ascii="宋体" w:hAnsi="宋体"/>
          <w:color w:val="auto"/>
          <w:sz w:val="24"/>
          <w:highlight w:val="none"/>
        </w:rPr>
      </w:pPr>
      <w:r>
        <w:rPr>
          <w:rFonts w:hint="eastAsia" w:ascii="宋体" w:hAnsi="宋体"/>
          <w:color w:val="auto"/>
          <w:sz w:val="24"/>
          <w:highlight w:val="none"/>
        </w:rPr>
        <w:t>供应商可从2025年6月24日至2025年7月1日上午00：00时~14：00时，下午14：00时~23：59时（北京时间）前往“政采云平台（https://www.zcygov.cn/）”后进入“项目采购”应用，在获取采购文件菜单中选择项目，申请获取磋商文件。</w:t>
      </w:r>
    </w:p>
    <w:p w14:paraId="2F07C0A2">
      <w:pPr>
        <w:pStyle w:val="74"/>
        <w:spacing w:line="460" w:lineRule="exact"/>
        <w:ind w:firstLine="0" w:firstLineChars="0"/>
        <w:contextualSpacing/>
        <w:rPr>
          <w:rFonts w:ascii="宋体" w:hAnsi="宋体"/>
          <w:color w:val="auto"/>
          <w:sz w:val="24"/>
          <w:highlight w:val="none"/>
        </w:rPr>
      </w:pPr>
      <w:r>
        <w:rPr>
          <w:rFonts w:hint="eastAsia" w:ascii="宋体" w:hAnsi="宋体"/>
          <w:color w:val="auto"/>
          <w:sz w:val="24"/>
          <w:highlight w:val="none"/>
        </w:rPr>
        <w:t>5、公告期限：5个工作日。</w:t>
      </w:r>
    </w:p>
    <w:p w14:paraId="30E3DEA3">
      <w:pPr>
        <w:pStyle w:val="74"/>
        <w:spacing w:line="460" w:lineRule="exact"/>
        <w:ind w:firstLine="0" w:firstLineChars="0"/>
        <w:contextualSpacing/>
        <w:rPr>
          <w:rFonts w:ascii="宋体" w:hAnsi="宋体"/>
          <w:color w:val="auto"/>
          <w:sz w:val="24"/>
          <w:highlight w:val="none"/>
        </w:rPr>
      </w:pPr>
      <w:r>
        <w:rPr>
          <w:rFonts w:hint="eastAsia" w:ascii="宋体" w:hAnsi="宋体"/>
          <w:color w:val="auto"/>
          <w:sz w:val="24"/>
          <w:highlight w:val="none"/>
        </w:rPr>
        <w:t>6、磋商响应截止时间、磋商开始时间：2025年7月4日11：00时（北京时间）</w:t>
      </w:r>
    </w:p>
    <w:p w14:paraId="4EAC92F9">
      <w:pPr>
        <w:pStyle w:val="74"/>
        <w:spacing w:line="460" w:lineRule="exact"/>
        <w:ind w:firstLine="0" w:firstLineChars="0"/>
        <w:contextualSpacing/>
        <w:rPr>
          <w:rFonts w:ascii="宋体" w:hAnsi="宋体"/>
          <w:color w:val="auto"/>
          <w:sz w:val="24"/>
          <w:highlight w:val="none"/>
        </w:rPr>
      </w:pPr>
      <w:r>
        <w:rPr>
          <w:rFonts w:hint="eastAsia" w:ascii="宋体" w:hAnsi="宋体"/>
          <w:color w:val="auto"/>
          <w:sz w:val="24"/>
          <w:highlight w:val="none"/>
        </w:rPr>
        <w:t>7、磋商地点：</w:t>
      </w:r>
      <w:r>
        <w:rPr>
          <w:rFonts w:hint="eastAsia" w:ascii="宋体" w:hAnsi="宋体"/>
          <w:color w:val="auto"/>
          <w:sz w:val="24"/>
          <w:szCs w:val="24"/>
          <w:highlight w:val="none"/>
        </w:rPr>
        <w:t>政采云线上（www.zcygov.cn）</w:t>
      </w:r>
    </w:p>
    <w:p w14:paraId="2CE2CDFB">
      <w:pPr>
        <w:spacing w:line="460" w:lineRule="exact"/>
        <w:contextualSpacing/>
        <w:rPr>
          <w:rFonts w:ascii="宋体" w:hAnsi="宋体"/>
          <w:color w:val="auto"/>
          <w:sz w:val="24"/>
          <w:szCs w:val="24"/>
          <w:highlight w:val="none"/>
        </w:rPr>
      </w:pPr>
      <w:r>
        <w:rPr>
          <w:rFonts w:hint="eastAsia" w:ascii="宋体" w:hAnsi="宋体"/>
          <w:color w:val="auto"/>
          <w:sz w:val="24"/>
          <w:szCs w:val="24"/>
          <w:highlight w:val="none"/>
        </w:rPr>
        <w:t xml:space="preserve">       地址：政采云线上（www.zcygov.cn）</w:t>
      </w:r>
    </w:p>
    <w:p w14:paraId="3D1D5C0A">
      <w:pPr>
        <w:spacing w:line="460" w:lineRule="exact"/>
        <w:contextualSpacing/>
        <w:rPr>
          <w:rFonts w:ascii="宋体" w:hAnsi="宋体"/>
          <w:color w:val="auto"/>
          <w:sz w:val="24"/>
          <w:szCs w:val="24"/>
          <w:highlight w:val="none"/>
        </w:rPr>
      </w:pPr>
      <w:r>
        <w:rPr>
          <w:rFonts w:hint="eastAsia" w:ascii="宋体" w:hAnsi="宋体"/>
          <w:color w:val="auto"/>
          <w:sz w:val="24"/>
          <w:szCs w:val="24"/>
          <w:highlight w:val="none"/>
        </w:rPr>
        <w:t>采购人：新疆维吾尔自治区建设职工教育培训中心</w:t>
      </w:r>
    </w:p>
    <w:p w14:paraId="33DBA438">
      <w:pPr>
        <w:spacing w:line="460" w:lineRule="exact"/>
        <w:contextualSpacing/>
        <w:rPr>
          <w:rFonts w:ascii="宋体" w:hAnsi="宋体"/>
          <w:color w:val="auto"/>
          <w:sz w:val="24"/>
          <w:szCs w:val="24"/>
          <w:highlight w:val="none"/>
        </w:rPr>
      </w:pPr>
      <w:r>
        <w:rPr>
          <w:rFonts w:hint="eastAsia" w:ascii="宋体" w:hAnsi="宋体"/>
          <w:color w:val="auto"/>
          <w:sz w:val="24"/>
          <w:szCs w:val="24"/>
          <w:highlight w:val="none"/>
        </w:rPr>
        <w:t>联系人：崔工</w:t>
      </w:r>
    </w:p>
    <w:p w14:paraId="29C98DD0">
      <w:pPr>
        <w:spacing w:line="460" w:lineRule="exact"/>
        <w:contextualSpacing/>
        <w:rPr>
          <w:rFonts w:ascii="宋体" w:hAnsi="宋体"/>
          <w:color w:val="auto"/>
          <w:sz w:val="24"/>
          <w:szCs w:val="24"/>
          <w:highlight w:val="none"/>
        </w:rPr>
      </w:pPr>
      <w:r>
        <w:rPr>
          <w:rFonts w:hint="eastAsia" w:ascii="宋体" w:hAnsi="宋体"/>
          <w:color w:val="auto"/>
          <w:sz w:val="24"/>
          <w:szCs w:val="24"/>
          <w:highlight w:val="none"/>
        </w:rPr>
        <w:t>电话：15899493385</w:t>
      </w:r>
    </w:p>
    <w:p w14:paraId="2B41109D">
      <w:pPr>
        <w:spacing w:line="460" w:lineRule="exact"/>
        <w:contextualSpacing/>
        <w:rPr>
          <w:rFonts w:ascii="宋体" w:hAnsi="宋体"/>
          <w:color w:val="auto"/>
          <w:sz w:val="24"/>
          <w:highlight w:val="none"/>
        </w:rPr>
      </w:pPr>
      <w:r>
        <w:rPr>
          <w:rFonts w:hint="eastAsia" w:ascii="宋体" w:hAnsi="宋体"/>
          <w:color w:val="auto"/>
          <w:sz w:val="24"/>
          <w:highlight w:val="none"/>
        </w:rPr>
        <w:t>采购代理机构名称：</w:t>
      </w:r>
      <w:r>
        <w:rPr>
          <w:rFonts w:hint="eastAsia" w:ascii="宋体" w:hAnsi="宋体"/>
          <w:color w:val="auto"/>
          <w:sz w:val="24"/>
          <w:highlight w:val="none"/>
          <w:u w:val="single"/>
        </w:rPr>
        <w:t>新疆招标有限公司</w:t>
      </w:r>
    </w:p>
    <w:p w14:paraId="1870B006">
      <w:pPr>
        <w:spacing w:line="460" w:lineRule="exact"/>
        <w:contextualSpacing/>
        <w:rPr>
          <w:rFonts w:ascii="宋体" w:hAnsi="宋体"/>
          <w:color w:val="auto"/>
          <w:sz w:val="24"/>
          <w:highlight w:val="none"/>
        </w:rPr>
      </w:pPr>
      <w:r>
        <w:rPr>
          <w:rFonts w:hint="eastAsia" w:ascii="宋体" w:hAnsi="宋体"/>
          <w:color w:val="auto"/>
          <w:sz w:val="24"/>
          <w:highlight w:val="none"/>
        </w:rPr>
        <w:t>详细地址：新疆乌鲁木齐市昆仑东街789号金融大厦11楼</w:t>
      </w:r>
    </w:p>
    <w:p w14:paraId="4C0587C6">
      <w:pPr>
        <w:spacing w:line="460" w:lineRule="exact"/>
        <w:contextualSpacing/>
        <w:rPr>
          <w:rFonts w:ascii="宋体" w:hAnsi="宋体"/>
          <w:color w:val="auto"/>
          <w:sz w:val="24"/>
          <w:highlight w:val="none"/>
        </w:rPr>
      </w:pPr>
      <w:r>
        <w:rPr>
          <w:rFonts w:hint="eastAsia" w:ascii="宋体" w:hAnsi="宋体"/>
          <w:color w:val="auto"/>
          <w:sz w:val="24"/>
          <w:highlight w:val="none"/>
        </w:rPr>
        <w:t>电子信箱：</w:t>
      </w:r>
      <w:r>
        <w:rPr>
          <w:rFonts w:hint="eastAsia" w:ascii="宋体" w:hAnsi="宋体"/>
          <w:color w:val="auto"/>
          <w:sz w:val="24"/>
          <w:highlight w:val="none"/>
          <w:u w:val="single"/>
        </w:rPr>
        <w:t>2023882878@qq.com</w:t>
      </w:r>
    </w:p>
    <w:p w14:paraId="7ECEF5DC">
      <w:pPr>
        <w:spacing w:line="460" w:lineRule="exact"/>
        <w:contextualSpacing/>
        <w:rPr>
          <w:rFonts w:ascii="宋体" w:hAnsi="宋体"/>
          <w:color w:val="auto"/>
          <w:sz w:val="24"/>
          <w:highlight w:val="none"/>
        </w:rPr>
      </w:pPr>
      <w:r>
        <w:rPr>
          <w:rFonts w:hint="eastAsia" w:ascii="宋体" w:hAnsi="宋体"/>
          <w:color w:val="auto"/>
          <w:sz w:val="24"/>
          <w:highlight w:val="none"/>
        </w:rPr>
        <w:t>联 系 人：李云飞</w:t>
      </w:r>
    </w:p>
    <w:p w14:paraId="41B453D8">
      <w:pPr>
        <w:spacing w:line="460" w:lineRule="exact"/>
        <w:contextualSpacing/>
        <w:rPr>
          <w:rFonts w:ascii="宋体" w:hAnsi="宋体"/>
          <w:color w:val="auto"/>
          <w:sz w:val="24"/>
          <w:highlight w:val="none"/>
        </w:rPr>
      </w:pPr>
      <w:r>
        <w:rPr>
          <w:rFonts w:hint="eastAsia" w:ascii="宋体" w:hAnsi="宋体"/>
          <w:color w:val="auto"/>
          <w:sz w:val="24"/>
          <w:highlight w:val="none"/>
        </w:rPr>
        <w:t>电话：13999224290</w:t>
      </w:r>
    </w:p>
    <w:p w14:paraId="19F48DE6">
      <w:pPr>
        <w:pStyle w:val="13"/>
        <w:numPr>
          <w:ilvl w:val="0"/>
          <w:numId w:val="0"/>
        </w:numPr>
        <w:spacing w:line="400" w:lineRule="atLeast"/>
        <w:jc w:val="center"/>
        <w:rPr>
          <w:rFonts w:ascii="宋体" w:hAnsi="宋体"/>
          <w:color w:val="auto"/>
          <w:sz w:val="32"/>
          <w:szCs w:val="32"/>
          <w:highlight w:val="none"/>
        </w:rPr>
      </w:pPr>
      <w:r>
        <w:rPr>
          <w:rFonts w:hint="eastAsia" w:ascii="宋体" w:hAnsi="宋体"/>
          <w:color w:val="auto"/>
          <w:sz w:val="32"/>
          <w:szCs w:val="32"/>
          <w:highlight w:val="none"/>
        </w:rPr>
        <w:br w:type="page"/>
      </w:r>
    </w:p>
    <w:p w14:paraId="55D76B23">
      <w:pPr>
        <w:spacing w:line="400" w:lineRule="atLeast"/>
        <w:rPr>
          <w:rFonts w:ascii="宋体" w:hAnsi="宋体"/>
          <w:color w:val="auto"/>
          <w:sz w:val="24"/>
          <w:highlight w:val="none"/>
          <w:u w:val="single"/>
        </w:rPr>
      </w:pPr>
    </w:p>
    <w:p w14:paraId="7BF76F9B">
      <w:pPr>
        <w:spacing w:line="400" w:lineRule="atLeast"/>
        <w:rPr>
          <w:rFonts w:ascii="宋体" w:hAnsi="宋体"/>
          <w:color w:val="auto"/>
          <w:sz w:val="24"/>
          <w:highlight w:val="none"/>
          <w:u w:val="single"/>
        </w:rPr>
      </w:pPr>
      <w:r>
        <w:rPr>
          <w:rFonts w:hint="eastAsia" w:ascii="宋体" w:hAnsi="宋体"/>
          <w:color w:val="auto"/>
          <w:sz w:val="24"/>
          <w:highlight w:val="none"/>
          <w:u w:val="single"/>
        </w:rPr>
        <w:t>目    录</w:t>
      </w:r>
    </w:p>
    <w:p w14:paraId="70C0BB79">
      <w:pPr>
        <w:spacing w:line="400" w:lineRule="atLeast"/>
        <w:rPr>
          <w:rFonts w:ascii="宋体" w:hAnsi="宋体"/>
          <w:color w:val="auto"/>
          <w:sz w:val="24"/>
          <w:highlight w:val="none"/>
        </w:rPr>
      </w:pPr>
    </w:p>
    <w:p w14:paraId="62211C5F">
      <w:pPr>
        <w:pStyle w:val="41"/>
        <w:numPr>
          <w:ilvl w:val="0"/>
          <w:numId w:val="6"/>
        </w:numPr>
        <w:tabs>
          <w:tab w:val="clear" w:pos="360"/>
        </w:tabs>
        <w:spacing w:line="400" w:lineRule="atLeast"/>
        <w:rPr>
          <w:rFonts w:hAnsi="宋体"/>
          <w:color w:val="auto"/>
          <w:sz w:val="24"/>
          <w:szCs w:val="24"/>
          <w:highlight w:val="none"/>
        </w:rPr>
      </w:pPr>
      <w:r>
        <w:rPr>
          <w:rFonts w:hint="eastAsia" w:hAnsi="宋体"/>
          <w:color w:val="auto"/>
          <w:sz w:val="24"/>
          <w:szCs w:val="24"/>
          <w:highlight w:val="none"/>
        </w:rPr>
        <w:t>说明</w:t>
      </w:r>
    </w:p>
    <w:p w14:paraId="39205E89">
      <w:pPr>
        <w:pStyle w:val="41"/>
        <w:spacing w:line="400" w:lineRule="atLeast"/>
        <w:rPr>
          <w:rFonts w:hAnsi="宋体"/>
          <w:color w:val="auto"/>
          <w:sz w:val="24"/>
          <w:szCs w:val="24"/>
          <w:highlight w:val="none"/>
        </w:rPr>
      </w:pPr>
      <w:r>
        <w:rPr>
          <w:rFonts w:hint="eastAsia" w:hAnsi="宋体"/>
          <w:color w:val="auto"/>
          <w:sz w:val="24"/>
          <w:szCs w:val="24"/>
          <w:highlight w:val="none"/>
        </w:rPr>
        <w:t>1.适用范围</w:t>
      </w:r>
    </w:p>
    <w:p w14:paraId="4C96ECC6">
      <w:pPr>
        <w:pStyle w:val="41"/>
        <w:spacing w:line="400" w:lineRule="atLeast"/>
        <w:rPr>
          <w:rFonts w:hAnsi="宋体"/>
          <w:color w:val="auto"/>
          <w:sz w:val="24"/>
          <w:szCs w:val="24"/>
          <w:highlight w:val="none"/>
        </w:rPr>
      </w:pPr>
      <w:r>
        <w:rPr>
          <w:rFonts w:hint="eastAsia" w:hAnsi="宋体"/>
          <w:color w:val="auto"/>
          <w:sz w:val="24"/>
          <w:szCs w:val="24"/>
          <w:highlight w:val="none"/>
        </w:rPr>
        <w:t>2.定义</w:t>
      </w:r>
    </w:p>
    <w:p w14:paraId="66293F0A">
      <w:pPr>
        <w:pStyle w:val="41"/>
        <w:spacing w:line="400" w:lineRule="atLeast"/>
        <w:rPr>
          <w:rFonts w:hAnsi="宋体"/>
          <w:color w:val="auto"/>
          <w:sz w:val="24"/>
          <w:szCs w:val="24"/>
          <w:highlight w:val="none"/>
        </w:rPr>
      </w:pPr>
      <w:r>
        <w:rPr>
          <w:rFonts w:hint="eastAsia" w:hAnsi="宋体"/>
          <w:color w:val="auto"/>
          <w:sz w:val="24"/>
          <w:szCs w:val="24"/>
          <w:highlight w:val="none"/>
        </w:rPr>
        <w:t>3.合格的供应商</w:t>
      </w:r>
    </w:p>
    <w:p w14:paraId="671079C2">
      <w:pPr>
        <w:pStyle w:val="41"/>
        <w:spacing w:line="400" w:lineRule="atLeast"/>
        <w:rPr>
          <w:rFonts w:hAnsi="宋体"/>
          <w:color w:val="auto"/>
          <w:sz w:val="24"/>
          <w:szCs w:val="24"/>
          <w:highlight w:val="none"/>
        </w:rPr>
      </w:pPr>
      <w:r>
        <w:rPr>
          <w:rFonts w:hint="eastAsia" w:hAnsi="宋体"/>
          <w:color w:val="auto"/>
          <w:sz w:val="24"/>
          <w:szCs w:val="24"/>
          <w:highlight w:val="none"/>
        </w:rPr>
        <w:t>4.供应商资格</w:t>
      </w:r>
    </w:p>
    <w:p w14:paraId="66FB234D">
      <w:pPr>
        <w:pStyle w:val="41"/>
        <w:spacing w:line="400" w:lineRule="atLeast"/>
        <w:rPr>
          <w:rFonts w:hAnsi="宋体"/>
          <w:color w:val="auto"/>
          <w:sz w:val="24"/>
          <w:szCs w:val="24"/>
          <w:highlight w:val="none"/>
        </w:rPr>
      </w:pPr>
      <w:r>
        <w:rPr>
          <w:rFonts w:hint="eastAsia" w:hAnsi="宋体"/>
          <w:color w:val="auto"/>
          <w:sz w:val="24"/>
          <w:szCs w:val="24"/>
          <w:highlight w:val="none"/>
        </w:rPr>
        <w:t>5.磋商费用</w:t>
      </w:r>
    </w:p>
    <w:p w14:paraId="5B6B1022">
      <w:pPr>
        <w:pStyle w:val="41"/>
        <w:numPr>
          <w:ilvl w:val="0"/>
          <w:numId w:val="6"/>
        </w:numPr>
        <w:tabs>
          <w:tab w:val="clear" w:pos="360"/>
        </w:tabs>
        <w:spacing w:line="400" w:lineRule="atLeast"/>
        <w:rPr>
          <w:rFonts w:hAnsi="宋体"/>
          <w:color w:val="auto"/>
          <w:sz w:val="24"/>
          <w:szCs w:val="24"/>
          <w:highlight w:val="none"/>
        </w:rPr>
      </w:pPr>
      <w:r>
        <w:rPr>
          <w:rFonts w:hint="eastAsia" w:hAnsi="宋体"/>
          <w:color w:val="auto"/>
          <w:sz w:val="24"/>
          <w:szCs w:val="24"/>
          <w:highlight w:val="none"/>
        </w:rPr>
        <w:t>磋商文件</w:t>
      </w:r>
    </w:p>
    <w:p w14:paraId="0D26874C">
      <w:pPr>
        <w:pStyle w:val="41"/>
        <w:spacing w:line="400" w:lineRule="atLeast"/>
        <w:rPr>
          <w:rFonts w:hAnsi="宋体"/>
          <w:color w:val="auto"/>
          <w:sz w:val="24"/>
          <w:szCs w:val="24"/>
          <w:highlight w:val="none"/>
        </w:rPr>
      </w:pPr>
      <w:r>
        <w:rPr>
          <w:rFonts w:hint="eastAsia" w:hAnsi="宋体"/>
          <w:color w:val="auto"/>
          <w:sz w:val="24"/>
          <w:szCs w:val="24"/>
          <w:highlight w:val="none"/>
        </w:rPr>
        <w:t>6.磋商文件构成</w:t>
      </w:r>
    </w:p>
    <w:p w14:paraId="7A124129">
      <w:pPr>
        <w:pStyle w:val="41"/>
        <w:spacing w:line="400" w:lineRule="atLeast"/>
        <w:rPr>
          <w:rFonts w:hAnsi="宋体"/>
          <w:color w:val="auto"/>
          <w:sz w:val="24"/>
          <w:szCs w:val="24"/>
          <w:highlight w:val="none"/>
        </w:rPr>
      </w:pPr>
      <w:r>
        <w:rPr>
          <w:rFonts w:hint="eastAsia" w:hAnsi="宋体"/>
          <w:color w:val="auto"/>
          <w:sz w:val="24"/>
          <w:szCs w:val="24"/>
          <w:highlight w:val="none"/>
        </w:rPr>
        <w:t>7.磋商文件澄清</w:t>
      </w:r>
    </w:p>
    <w:p w14:paraId="0B330BC6">
      <w:pPr>
        <w:pStyle w:val="41"/>
        <w:spacing w:line="400" w:lineRule="atLeast"/>
        <w:rPr>
          <w:rFonts w:hAnsi="宋体"/>
          <w:color w:val="auto"/>
          <w:sz w:val="24"/>
          <w:szCs w:val="24"/>
          <w:highlight w:val="none"/>
        </w:rPr>
      </w:pPr>
      <w:r>
        <w:rPr>
          <w:rFonts w:hint="eastAsia" w:hAnsi="宋体"/>
          <w:color w:val="auto"/>
          <w:sz w:val="24"/>
          <w:szCs w:val="24"/>
          <w:highlight w:val="none"/>
        </w:rPr>
        <w:t>8.磋商文件的修改</w:t>
      </w:r>
    </w:p>
    <w:p w14:paraId="3C9C4B53">
      <w:pPr>
        <w:pStyle w:val="41"/>
        <w:numPr>
          <w:ilvl w:val="0"/>
          <w:numId w:val="6"/>
        </w:numPr>
        <w:tabs>
          <w:tab w:val="clear" w:pos="360"/>
        </w:tabs>
        <w:spacing w:line="400" w:lineRule="atLeast"/>
        <w:rPr>
          <w:rFonts w:hAnsi="宋体"/>
          <w:color w:val="auto"/>
          <w:sz w:val="24"/>
          <w:szCs w:val="24"/>
          <w:highlight w:val="none"/>
        </w:rPr>
      </w:pPr>
      <w:r>
        <w:rPr>
          <w:rFonts w:hint="eastAsia" w:hAnsi="宋体"/>
          <w:color w:val="auto"/>
          <w:sz w:val="24"/>
          <w:szCs w:val="24"/>
          <w:highlight w:val="none"/>
        </w:rPr>
        <w:t>磋商响应文件的编写</w:t>
      </w:r>
    </w:p>
    <w:p w14:paraId="7D64667C">
      <w:pPr>
        <w:pStyle w:val="41"/>
        <w:spacing w:line="400" w:lineRule="atLeast"/>
        <w:rPr>
          <w:rFonts w:hAnsi="宋体"/>
          <w:color w:val="auto"/>
          <w:sz w:val="24"/>
          <w:szCs w:val="24"/>
          <w:highlight w:val="none"/>
        </w:rPr>
      </w:pPr>
      <w:r>
        <w:rPr>
          <w:rFonts w:hint="eastAsia" w:hAnsi="宋体"/>
          <w:color w:val="auto"/>
          <w:sz w:val="24"/>
          <w:szCs w:val="24"/>
          <w:highlight w:val="none"/>
        </w:rPr>
        <w:t>9.要求</w:t>
      </w:r>
    </w:p>
    <w:p w14:paraId="4F3F694C">
      <w:pPr>
        <w:pStyle w:val="41"/>
        <w:spacing w:line="400" w:lineRule="atLeast"/>
        <w:rPr>
          <w:rFonts w:hAnsi="宋体"/>
          <w:color w:val="auto"/>
          <w:sz w:val="24"/>
          <w:szCs w:val="24"/>
          <w:highlight w:val="none"/>
        </w:rPr>
      </w:pPr>
      <w:r>
        <w:rPr>
          <w:rFonts w:hint="eastAsia" w:hAnsi="宋体"/>
          <w:color w:val="auto"/>
          <w:sz w:val="24"/>
          <w:szCs w:val="24"/>
          <w:highlight w:val="none"/>
        </w:rPr>
        <w:t>10.磋商语言</w:t>
      </w:r>
    </w:p>
    <w:p w14:paraId="108C1BE3">
      <w:pPr>
        <w:pStyle w:val="41"/>
        <w:spacing w:line="400" w:lineRule="atLeast"/>
        <w:rPr>
          <w:rFonts w:hAnsi="宋体"/>
          <w:color w:val="auto"/>
          <w:sz w:val="24"/>
          <w:szCs w:val="24"/>
          <w:highlight w:val="none"/>
        </w:rPr>
      </w:pPr>
      <w:r>
        <w:rPr>
          <w:rFonts w:hint="eastAsia" w:hAnsi="宋体"/>
          <w:color w:val="auto"/>
          <w:sz w:val="24"/>
          <w:szCs w:val="24"/>
          <w:highlight w:val="none"/>
        </w:rPr>
        <w:t>11.磋商响应文件的构成</w:t>
      </w:r>
    </w:p>
    <w:p w14:paraId="4A5D673D">
      <w:pPr>
        <w:pStyle w:val="41"/>
        <w:spacing w:line="400" w:lineRule="atLeast"/>
        <w:rPr>
          <w:rFonts w:hAnsi="宋体"/>
          <w:color w:val="auto"/>
          <w:sz w:val="24"/>
          <w:szCs w:val="24"/>
          <w:highlight w:val="none"/>
        </w:rPr>
      </w:pPr>
      <w:r>
        <w:rPr>
          <w:rFonts w:hint="eastAsia" w:hAnsi="宋体"/>
          <w:color w:val="auto"/>
          <w:sz w:val="24"/>
          <w:szCs w:val="24"/>
          <w:highlight w:val="none"/>
        </w:rPr>
        <w:t>12.磋商响应文件格式</w:t>
      </w:r>
    </w:p>
    <w:p w14:paraId="04A86C91">
      <w:pPr>
        <w:pStyle w:val="41"/>
        <w:spacing w:line="400" w:lineRule="atLeast"/>
        <w:rPr>
          <w:rFonts w:hAnsi="宋体"/>
          <w:color w:val="auto"/>
          <w:sz w:val="24"/>
          <w:szCs w:val="24"/>
          <w:highlight w:val="none"/>
        </w:rPr>
      </w:pPr>
      <w:r>
        <w:rPr>
          <w:rFonts w:hint="eastAsia" w:hAnsi="宋体"/>
          <w:color w:val="auto"/>
          <w:sz w:val="24"/>
          <w:szCs w:val="24"/>
          <w:highlight w:val="none"/>
        </w:rPr>
        <w:t>13.磋商报价</w:t>
      </w:r>
    </w:p>
    <w:p w14:paraId="11EF3C3B">
      <w:pPr>
        <w:pStyle w:val="41"/>
        <w:spacing w:line="400" w:lineRule="atLeast"/>
        <w:rPr>
          <w:rFonts w:hAnsi="宋体"/>
          <w:color w:val="auto"/>
          <w:sz w:val="24"/>
          <w:szCs w:val="24"/>
          <w:highlight w:val="none"/>
        </w:rPr>
      </w:pPr>
      <w:r>
        <w:rPr>
          <w:rFonts w:hint="eastAsia" w:hAnsi="宋体"/>
          <w:color w:val="auto"/>
          <w:sz w:val="24"/>
          <w:szCs w:val="24"/>
          <w:highlight w:val="none"/>
        </w:rPr>
        <w:t>14.磋商货币</w:t>
      </w:r>
    </w:p>
    <w:p w14:paraId="125FA9CE">
      <w:pPr>
        <w:pStyle w:val="41"/>
        <w:spacing w:line="400" w:lineRule="atLeast"/>
        <w:rPr>
          <w:rFonts w:hAnsi="宋体"/>
          <w:color w:val="auto"/>
          <w:sz w:val="24"/>
          <w:szCs w:val="24"/>
          <w:highlight w:val="none"/>
        </w:rPr>
      </w:pPr>
      <w:r>
        <w:rPr>
          <w:rFonts w:hint="eastAsia" w:hAnsi="宋体"/>
          <w:color w:val="auto"/>
          <w:sz w:val="24"/>
          <w:szCs w:val="24"/>
          <w:highlight w:val="none"/>
        </w:rPr>
        <w:t>15.供应商资格的证明文件</w:t>
      </w:r>
    </w:p>
    <w:p w14:paraId="1D7BF1B8">
      <w:pPr>
        <w:pStyle w:val="41"/>
        <w:spacing w:line="400" w:lineRule="atLeast"/>
        <w:rPr>
          <w:rFonts w:hAnsi="宋体"/>
          <w:color w:val="auto"/>
          <w:sz w:val="24"/>
          <w:szCs w:val="24"/>
          <w:highlight w:val="none"/>
        </w:rPr>
      </w:pPr>
      <w:r>
        <w:rPr>
          <w:rFonts w:hint="eastAsia" w:hAnsi="宋体"/>
          <w:color w:val="auto"/>
          <w:sz w:val="24"/>
          <w:szCs w:val="24"/>
          <w:highlight w:val="none"/>
        </w:rPr>
        <w:t>16.磋商服务符合磋商文件规定的技术响应文件</w:t>
      </w:r>
    </w:p>
    <w:p w14:paraId="651A4AF6">
      <w:pPr>
        <w:pStyle w:val="41"/>
        <w:spacing w:line="400" w:lineRule="atLeast"/>
        <w:rPr>
          <w:rFonts w:hAnsi="宋体"/>
          <w:color w:val="auto"/>
          <w:sz w:val="24"/>
          <w:szCs w:val="24"/>
          <w:highlight w:val="none"/>
        </w:rPr>
      </w:pPr>
      <w:r>
        <w:rPr>
          <w:rFonts w:hint="eastAsia" w:hAnsi="宋体"/>
          <w:color w:val="auto"/>
          <w:sz w:val="24"/>
          <w:szCs w:val="24"/>
          <w:highlight w:val="none"/>
        </w:rPr>
        <w:t>17.磋商有效期</w:t>
      </w:r>
    </w:p>
    <w:p w14:paraId="2E17AF1E">
      <w:pPr>
        <w:pStyle w:val="41"/>
        <w:spacing w:line="400" w:lineRule="atLeast"/>
        <w:rPr>
          <w:rFonts w:hAnsi="宋体"/>
          <w:color w:val="auto"/>
          <w:sz w:val="24"/>
          <w:szCs w:val="24"/>
          <w:highlight w:val="none"/>
        </w:rPr>
      </w:pPr>
      <w:r>
        <w:rPr>
          <w:rFonts w:hint="eastAsia" w:hAnsi="宋体"/>
          <w:color w:val="auto"/>
          <w:sz w:val="24"/>
          <w:szCs w:val="24"/>
          <w:highlight w:val="none"/>
        </w:rPr>
        <w:t>18.磋商响应文件的书写要求</w:t>
      </w:r>
    </w:p>
    <w:p w14:paraId="1252D69F">
      <w:pPr>
        <w:pStyle w:val="41"/>
        <w:spacing w:line="400" w:lineRule="atLeast"/>
        <w:rPr>
          <w:rFonts w:hAnsi="宋体"/>
          <w:color w:val="auto"/>
          <w:sz w:val="24"/>
          <w:szCs w:val="24"/>
          <w:highlight w:val="none"/>
        </w:rPr>
      </w:pPr>
      <w:r>
        <w:rPr>
          <w:rFonts w:hint="eastAsia" w:hAnsi="宋体"/>
          <w:color w:val="auto"/>
          <w:sz w:val="24"/>
          <w:szCs w:val="24"/>
          <w:highlight w:val="none"/>
        </w:rPr>
        <w:t>19.磋商保证金</w:t>
      </w:r>
    </w:p>
    <w:p w14:paraId="51EB1969">
      <w:pPr>
        <w:pStyle w:val="41"/>
        <w:numPr>
          <w:ilvl w:val="0"/>
          <w:numId w:val="6"/>
        </w:numPr>
        <w:tabs>
          <w:tab w:val="clear" w:pos="360"/>
        </w:tabs>
        <w:spacing w:line="400" w:lineRule="atLeast"/>
        <w:rPr>
          <w:rFonts w:hAnsi="宋体"/>
          <w:color w:val="auto"/>
          <w:sz w:val="24"/>
          <w:szCs w:val="24"/>
          <w:highlight w:val="none"/>
        </w:rPr>
      </w:pPr>
      <w:r>
        <w:rPr>
          <w:rFonts w:hint="eastAsia" w:hAnsi="宋体"/>
          <w:color w:val="auto"/>
          <w:sz w:val="24"/>
          <w:szCs w:val="24"/>
          <w:highlight w:val="none"/>
        </w:rPr>
        <w:t>磋商响应文件的递交</w:t>
      </w:r>
    </w:p>
    <w:p w14:paraId="008A016E">
      <w:pPr>
        <w:pStyle w:val="41"/>
        <w:spacing w:line="400" w:lineRule="atLeast"/>
        <w:rPr>
          <w:rFonts w:hAnsi="宋体"/>
          <w:color w:val="auto"/>
          <w:sz w:val="24"/>
          <w:szCs w:val="24"/>
          <w:highlight w:val="none"/>
        </w:rPr>
      </w:pPr>
      <w:r>
        <w:rPr>
          <w:rFonts w:hint="eastAsia" w:hAnsi="宋体"/>
          <w:color w:val="auto"/>
          <w:sz w:val="24"/>
          <w:szCs w:val="24"/>
          <w:highlight w:val="none"/>
        </w:rPr>
        <w:t>20.磋商响应文件的标记</w:t>
      </w:r>
    </w:p>
    <w:p w14:paraId="7B468C88">
      <w:pPr>
        <w:pStyle w:val="41"/>
        <w:spacing w:line="400" w:lineRule="atLeast"/>
        <w:rPr>
          <w:rFonts w:hAnsi="宋体"/>
          <w:color w:val="auto"/>
          <w:sz w:val="24"/>
          <w:szCs w:val="24"/>
          <w:highlight w:val="none"/>
        </w:rPr>
      </w:pPr>
      <w:r>
        <w:rPr>
          <w:rFonts w:hint="eastAsia" w:hAnsi="宋体"/>
          <w:color w:val="auto"/>
          <w:sz w:val="24"/>
          <w:szCs w:val="24"/>
          <w:highlight w:val="none"/>
        </w:rPr>
        <w:t>21.磋商截止时间</w:t>
      </w:r>
    </w:p>
    <w:p w14:paraId="5E43CDA7">
      <w:pPr>
        <w:pStyle w:val="41"/>
        <w:spacing w:line="400" w:lineRule="atLeast"/>
        <w:rPr>
          <w:rFonts w:hAnsi="宋体"/>
          <w:color w:val="auto"/>
          <w:sz w:val="24"/>
          <w:szCs w:val="24"/>
          <w:highlight w:val="none"/>
        </w:rPr>
      </w:pPr>
      <w:r>
        <w:rPr>
          <w:rFonts w:hint="eastAsia" w:hAnsi="宋体"/>
          <w:color w:val="auto"/>
          <w:sz w:val="24"/>
          <w:szCs w:val="24"/>
          <w:highlight w:val="none"/>
        </w:rPr>
        <w:t>22.磋商响应文件的修改和撤销</w:t>
      </w:r>
    </w:p>
    <w:p w14:paraId="67AFCF88">
      <w:pPr>
        <w:pStyle w:val="41"/>
        <w:numPr>
          <w:ilvl w:val="0"/>
          <w:numId w:val="6"/>
        </w:numPr>
        <w:tabs>
          <w:tab w:val="clear" w:pos="360"/>
        </w:tabs>
        <w:spacing w:line="400" w:lineRule="atLeast"/>
        <w:rPr>
          <w:rFonts w:hAnsi="宋体"/>
          <w:color w:val="auto"/>
          <w:sz w:val="24"/>
          <w:szCs w:val="24"/>
          <w:highlight w:val="none"/>
        </w:rPr>
      </w:pPr>
      <w:r>
        <w:rPr>
          <w:rFonts w:hint="eastAsia" w:hAnsi="宋体"/>
          <w:color w:val="auto"/>
          <w:sz w:val="24"/>
          <w:szCs w:val="24"/>
          <w:highlight w:val="none"/>
        </w:rPr>
        <w:t>磋商程序</w:t>
      </w:r>
    </w:p>
    <w:p w14:paraId="339D6846">
      <w:pPr>
        <w:pStyle w:val="41"/>
        <w:spacing w:line="400" w:lineRule="atLeast"/>
        <w:rPr>
          <w:rFonts w:hAnsi="宋体"/>
          <w:color w:val="auto"/>
          <w:sz w:val="24"/>
          <w:szCs w:val="24"/>
          <w:highlight w:val="none"/>
        </w:rPr>
      </w:pPr>
      <w:r>
        <w:rPr>
          <w:rFonts w:hint="eastAsia" w:hAnsi="宋体"/>
          <w:color w:val="auto"/>
          <w:sz w:val="24"/>
          <w:szCs w:val="24"/>
          <w:highlight w:val="none"/>
        </w:rPr>
        <w:t>23.磋商</w:t>
      </w:r>
    </w:p>
    <w:p w14:paraId="2136B5AC">
      <w:pPr>
        <w:pStyle w:val="41"/>
        <w:spacing w:line="400" w:lineRule="atLeast"/>
        <w:rPr>
          <w:rFonts w:hAnsi="宋体"/>
          <w:color w:val="auto"/>
          <w:sz w:val="24"/>
          <w:szCs w:val="24"/>
          <w:highlight w:val="none"/>
        </w:rPr>
      </w:pPr>
      <w:r>
        <w:rPr>
          <w:rFonts w:hint="eastAsia" w:hAnsi="宋体"/>
          <w:color w:val="auto"/>
          <w:sz w:val="24"/>
          <w:szCs w:val="24"/>
          <w:highlight w:val="none"/>
        </w:rPr>
        <w:t>24.磋商过程</w:t>
      </w:r>
    </w:p>
    <w:p w14:paraId="0B81E5F9">
      <w:pPr>
        <w:pStyle w:val="41"/>
        <w:spacing w:line="400" w:lineRule="atLeast"/>
        <w:rPr>
          <w:rFonts w:hAnsi="宋体"/>
          <w:color w:val="auto"/>
          <w:sz w:val="24"/>
          <w:szCs w:val="24"/>
          <w:highlight w:val="none"/>
        </w:rPr>
      </w:pPr>
      <w:r>
        <w:rPr>
          <w:rFonts w:hint="eastAsia" w:hAnsi="宋体"/>
          <w:color w:val="auto"/>
          <w:sz w:val="24"/>
          <w:szCs w:val="24"/>
          <w:highlight w:val="none"/>
        </w:rPr>
        <w:t>25.磋商响应文件的澄清</w:t>
      </w:r>
    </w:p>
    <w:p w14:paraId="2360F894">
      <w:pPr>
        <w:pStyle w:val="41"/>
        <w:spacing w:line="400" w:lineRule="atLeast"/>
        <w:rPr>
          <w:rFonts w:hAnsi="宋体"/>
          <w:color w:val="auto"/>
          <w:sz w:val="24"/>
          <w:szCs w:val="24"/>
          <w:highlight w:val="none"/>
        </w:rPr>
      </w:pPr>
      <w:r>
        <w:rPr>
          <w:rFonts w:hint="eastAsia" w:hAnsi="宋体"/>
          <w:color w:val="auto"/>
          <w:sz w:val="24"/>
          <w:szCs w:val="24"/>
          <w:highlight w:val="none"/>
        </w:rPr>
        <w:t>26.对磋商响应文件的评标</w:t>
      </w:r>
    </w:p>
    <w:p w14:paraId="2F29EB90">
      <w:pPr>
        <w:pStyle w:val="41"/>
        <w:spacing w:line="400" w:lineRule="atLeast"/>
        <w:rPr>
          <w:rFonts w:hAnsi="宋体"/>
          <w:color w:val="auto"/>
          <w:sz w:val="24"/>
          <w:szCs w:val="24"/>
          <w:highlight w:val="none"/>
        </w:rPr>
      </w:pPr>
      <w:r>
        <w:rPr>
          <w:rFonts w:hint="eastAsia" w:hAnsi="宋体"/>
          <w:color w:val="auto"/>
          <w:sz w:val="24"/>
          <w:szCs w:val="24"/>
          <w:highlight w:val="none"/>
        </w:rPr>
        <w:t>27.评标过程的保密性</w:t>
      </w:r>
    </w:p>
    <w:p w14:paraId="67BF6A91">
      <w:pPr>
        <w:pStyle w:val="41"/>
        <w:numPr>
          <w:ilvl w:val="0"/>
          <w:numId w:val="6"/>
        </w:numPr>
        <w:tabs>
          <w:tab w:val="clear" w:pos="360"/>
        </w:tabs>
        <w:spacing w:line="400" w:lineRule="atLeast"/>
        <w:rPr>
          <w:rFonts w:hAnsi="宋体"/>
          <w:color w:val="auto"/>
          <w:sz w:val="24"/>
          <w:szCs w:val="24"/>
          <w:highlight w:val="none"/>
        </w:rPr>
      </w:pPr>
      <w:r>
        <w:rPr>
          <w:rFonts w:hint="eastAsia" w:hAnsi="宋体"/>
          <w:color w:val="auto"/>
          <w:sz w:val="24"/>
          <w:szCs w:val="24"/>
          <w:highlight w:val="none"/>
        </w:rPr>
        <w:t>授予合同</w:t>
      </w:r>
    </w:p>
    <w:p w14:paraId="4B2F1CCF">
      <w:pPr>
        <w:pStyle w:val="41"/>
        <w:spacing w:line="400" w:lineRule="atLeast"/>
        <w:rPr>
          <w:rFonts w:hAnsi="宋体"/>
          <w:color w:val="auto"/>
          <w:sz w:val="24"/>
          <w:szCs w:val="24"/>
          <w:highlight w:val="none"/>
        </w:rPr>
      </w:pPr>
      <w:r>
        <w:rPr>
          <w:rFonts w:hint="eastAsia" w:hAnsi="宋体"/>
          <w:color w:val="auto"/>
          <w:sz w:val="24"/>
          <w:szCs w:val="24"/>
          <w:highlight w:val="none"/>
        </w:rPr>
        <w:t>28.合同授予标准</w:t>
      </w:r>
    </w:p>
    <w:p w14:paraId="5729448B">
      <w:pPr>
        <w:pStyle w:val="41"/>
        <w:spacing w:line="400" w:lineRule="atLeast"/>
        <w:rPr>
          <w:rFonts w:hAnsi="宋体"/>
          <w:color w:val="auto"/>
          <w:sz w:val="24"/>
          <w:szCs w:val="24"/>
          <w:highlight w:val="none"/>
        </w:rPr>
      </w:pPr>
      <w:r>
        <w:rPr>
          <w:rFonts w:hint="eastAsia" w:hAnsi="宋体"/>
          <w:color w:val="auto"/>
          <w:sz w:val="24"/>
          <w:szCs w:val="24"/>
          <w:highlight w:val="none"/>
        </w:rPr>
        <w:t>29.接受和拒绝任何或所有磋商的权力</w:t>
      </w:r>
    </w:p>
    <w:p w14:paraId="4BEC61A0">
      <w:pPr>
        <w:pStyle w:val="41"/>
        <w:spacing w:line="400" w:lineRule="atLeast"/>
        <w:rPr>
          <w:rFonts w:hAnsi="宋体"/>
          <w:color w:val="auto"/>
          <w:sz w:val="24"/>
          <w:szCs w:val="24"/>
          <w:highlight w:val="none"/>
        </w:rPr>
      </w:pPr>
      <w:r>
        <w:rPr>
          <w:rFonts w:hint="eastAsia" w:hAnsi="宋体"/>
          <w:color w:val="auto"/>
          <w:sz w:val="24"/>
          <w:szCs w:val="24"/>
          <w:highlight w:val="none"/>
        </w:rPr>
        <w:t>30.成交通知书</w:t>
      </w:r>
    </w:p>
    <w:p w14:paraId="1B7FCE5D">
      <w:pPr>
        <w:pStyle w:val="41"/>
        <w:spacing w:line="400" w:lineRule="atLeast"/>
        <w:rPr>
          <w:rFonts w:hAnsi="宋体"/>
          <w:color w:val="auto"/>
          <w:sz w:val="24"/>
          <w:szCs w:val="24"/>
          <w:highlight w:val="none"/>
        </w:rPr>
      </w:pPr>
      <w:r>
        <w:rPr>
          <w:rFonts w:hint="eastAsia" w:hAnsi="宋体"/>
          <w:color w:val="auto"/>
          <w:sz w:val="24"/>
          <w:szCs w:val="24"/>
          <w:highlight w:val="none"/>
        </w:rPr>
        <w:t>31.签订合同</w:t>
      </w:r>
    </w:p>
    <w:p w14:paraId="160A95FD">
      <w:pPr>
        <w:pStyle w:val="41"/>
        <w:spacing w:line="400" w:lineRule="atLeast"/>
        <w:rPr>
          <w:rFonts w:hAnsi="宋体"/>
          <w:color w:val="auto"/>
          <w:sz w:val="24"/>
          <w:szCs w:val="24"/>
          <w:highlight w:val="none"/>
        </w:rPr>
      </w:pPr>
      <w:r>
        <w:rPr>
          <w:rFonts w:hint="eastAsia" w:hAnsi="宋体"/>
          <w:color w:val="auto"/>
          <w:sz w:val="24"/>
          <w:szCs w:val="24"/>
          <w:highlight w:val="none"/>
        </w:rPr>
        <w:t>32.履约保证金（如适用）</w:t>
      </w:r>
    </w:p>
    <w:p w14:paraId="3C3E20DE">
      <w:pPr>
        <w:pStyle w:val="41"/>
        <w:spacing w:line="400" w:lineRule="atLeast"/>
        <w:rPr>
          <w:rFonts w:hAnsi="宋体"/>
          <w:color w:val="auto"/>
          <w:sz w:val="24"/>
          <w:szCs w:val="24"/>
          <w:highlight w:val="none"/>
        </w:rPr>
      </w:pPr>
      <w:r>
        <w:rPr>
          <w:rFonts w:hint="eastAsia" w:hAnsi="宋体"/>
          <w:color w:val="auto"/>
          <w:sz w:val="24"/>
          <w:szCs w:val="24"/>
          <w:highlight w:val="none"/>
        </w:rPr>
        <w:t>33.采购代理服务费</w:t>
      </w:r>
    </w:p>
    <w:p w14:paraId="16A3FB9F">
      <w:pPr>
        <w:pStyle w:val="41"/>
        <w:numPr>
          <w:ilvl w:val="0"/>
          <w:numId w:val="6"/>
        </w:numPr>
        <w:tabs>
          <w:tab w:val="clear" w:pos="360"/>
        </w:tabs>
        <w:spacing w:line="400" w:lineRule="atLeast"/>
        <w:rPr>
          <w:rFonts w:hAnsi="宋体"/>
          <w:color w:val="auto"/>
          <w:sz w:val="24"/>
          <w:szCs w:val="24"/>
          <w:highlight w:val="none"/>
        </w:rPr>
      </w:pPr>
      <w:r>
        <w:rPr>
          <w:rFonts w:hint="eastAsia" w:hAnsi="宋体"/>
          <w:color w:val="auto"/>
          <w:sz w:val="24"/>
          <w:szCs w:val="24"/>
          <w:highlight w:val="none"/>
        </w:rPr>
        <w:t>磋商失败条件</w:t>
      </w:r>
    </w:p>
    <w:p w14:paraId="17E8A20E">
      <w:pPr>
        <w:spacing w:line="400" w:lineRule="atLeast"/>
        <w:rPr>
          <w:rFonts w:ascii="宋体" w:hAnsi="宋体"/>
          <w:color w:val="auto"/>
          <w:sz w:val="24"/>
          <w:highlight w:val="none"/>
        </w:rPr>
      </w:pPr>
    </w:p>
    <w:p w14:paraId="3C7F8711">
      <w:pPr>
        <w:spacing w:line="400" w:lineRule="atLeast"/>
        <w:rPr>
          <w:rFonts w:ascii="宋体" w:hAnsi="宋体"/>
          <w:color w:val="auto"/>
          <w:sz w:val="24"/>
          <w:highlight w:val="none"/>
        </w:rPr>
      </w:pPr>
    </w:p>
    <w:p w14:paraId="76AADC9C">
      <w:pPr>
        <w:spacing w:line="400" w:lineRule="atLeast"/>
        <w:rPr>
          <w:rFonts w:ascii="宋体" w:hAnsi="宋体"/>
          <w:color w:val="auto"/>
          <w:sz w:val="24"/>
          <w:highlight w:val="none"/>
        </w:rPr>
      </w:pPr>
    </w:p>
    <w:p w14:paraId="235073F4">
      <w:pPr>
        <w:spacing w:line="400" w:lineRule="atLeast"/>
        <w:rPr>
          <w:rFonts w:ascii="宋体" w:hAnsi="宋体"/>
          <w:color w:val="auto"/>
          <w:sz w:val="24"/>
          <w:highlight w:val="none"/>
        </w:rPr>
      </w:pPr>
    </w:p>
    <w:p w14:paraId="126F3CE9">
      <w:pPr>
        <w:spacing w:line="400" w:lineRule="atLeast"/>
        <w:rPr>
          <w:rFonts w:ascii="宋体" w:hAnsi="宋体"/>
          <w:color w:val="auto"/>
          <w:sz w:val="24"/>
          <w:highlight w:val="none"/>
        </w:rPr>
      </w:pPr>
    </w:p>
    <w:p w14:paraId="47266022">
      <w:pPr>
        <w:pStyle w:val="14"/>
        <w:spacing w:before="0" w:after="100" w:afterAutospacing="1" w:line="400" w:lineRule="atLeast"/>
        <w:jc w:val="center"/>
        <w:rPr>
          <w:rFonts w:ascii="宋体" w:hAnsi="宋体" w:eastAsia="宋体"/>
          <w:color w:val="auto"/>
          <w:sz w:val="28"/>
          <w:szCs w:val="28"/>
          <w:highlight w:val="none"/>
        </w:rPr>
        <w:sectPr>
          <w:footerReference r:id="rId9" w:type="first"/>
          <w:footerReference r:id="rId8" w:type="default"/>
          <w:pgSz w:w="11907" w:h="16840"/>
          <w:pgMar w:top="1440" w:right="1080" w:bottom="1440" w:left="1080" w:header="851" w:footer="68" w:gutter="0"/>
          <w:cols w:space="720" w:num="1"/>
          <w:titlePg/>
          <w:docGrid w:type="lines" w:linePitch="409" w:charSpace="0"/>
        </w:sectPr>
      </w:pPr>
    </w:p>
    <w:p w14:paraId="7414A2CD">
      <w:pPr>
        <w:pStyle w:val="14"/>
        <w:spacing w:before="0" w:after="100" w:afterAutospacing="1" w:line="400" w:lineRule="atLeast"/>
        <w:jc w:val="center"/>
        <w:rPr>
          <w:rFonts w:ascii="宋体" w:hAnsi="宋体" w:eastAsia="宋体"/>
          <w:color w:val="auto"/>
          <w:sz w:val="28"/>
          <w:szCs w:val="28"/>
          <w:highlight w:val="none"/>
        </w:rPr>
      </w:pPr>
      <w:bookmarkStart w:id="1" w:name="_Toc22243"/>
      <w:r>
        <w:rPr>
          <w:rFonts w:hint="eastAsia" w:ascii="宋体" w:hAnsi="宋体" w:eastAsia="宋体"/>
          <w:color w:val="auto"/>
          <w:sz w:val="28"/>
          <w:szCs w:val="28"/>
          <w:highlight w:val="none"/>
        </w:rPr>
        <w:t>第二部分  供应商须知附表</w:t>
      </w:r>
      <w:bookmarkEnd w:id="1"/>
    </w:p>
    <w:tbl>
      <w:tblPr>
        <w:tblStyle w:val="11"/>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175"/>
      </w:tblGrid>
      <w:tr w14:paraId="0A1C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14:paraId="6292592A">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9175" w:type="dxa"/>
            <w:vAlign w:val="center"/>
          </w:tcPr>
          <w:p w14:paraId="6827EBAA">
            <w:pPr>
              <w:jc w:val="center"/>
              <w:rPr>
                <w:rFonts w:ascii="宋体" w:hAnsi="宋体"/>
                <w:color w:val="auto"/>
                <w:sz w:val="24"/>
                <w:szCs w:val="24"/>
                <w:highlight w:val="none"/>
              </w:rPr>
            </w:pPr>
            <w:r>
              <w:rPr>
                <w:rFonts w:hint="eastAsia" w:ascii="宋体" w:hAnsi="宋体"/>
                <w:color w:val="auto"/>
                <w:sz w:val="24"/>
                <w:szCs w:val="24"/>
                <w:highlight w:val="none"/>
              </w:rPr>
              <w:t>内      容</w:t>
            </w:r>
          </w:p>
        </w:tc>
      </w:tr>
      <w:tr w14:paraId="0DA0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62" w:type="dxa"/>
            <w:gridSpan w:val="2"/>
            <w:vAlign w:val="center"/>
          </w:tcPr>
          <w:p w14:paraId="3CCB8D11">
            <w:pPr>
              <w:jc w:val="center"/>
              <w:rPr>
                <w:rFonts w:ascii="宋体" w:hAnsi="宋体"/>
                <w:color w:val="auto"/>
                <w:sz w:val="24"/>
                <w:szCs w:val="24"/>
                <w:highlight w:val="none"/>
              </w:rPr>
            </w:pPr>
            <w:r>
              <w:rPr>
                <w:rFonts w:hint="eastAsia" w:ascii="宋体" w:hAnsi="宋体"/>
                <w:color w:val="auto"/>
                <w:sz w:val="24"/>
                <w:szCs w:val="24"/>
                <w:highlight w:val="none"/>
              </w:rPr>
              <w:t>说          明</w:t>
            </w:r>
          </w:p>
        </w:tc>
      </w:tr>
      <w:tr w14:paraId="54E9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14:paraId="72E493BB">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9175" w:type="dxa"/>
            <w:vAlign w:val="center"/>
          </w:tcPr>
          <w:p w14:paraId="7ADCCFB5">
            <w:pPr>
              <w:rPr>
                <w:rFonts w:ascii="宋体" w:hAnsi="宋体"/>
                <w:color w:val="auto"/>
                <w:sz w:val="24"/>
                <w:szCs w:val="24"/>
                <w:highlight w:val="none"/>
              </w:rPr>
            </w:pPr>
            <w:r>
              <w:rPr>
                <w:rFonts w:hint="eastAsia" w:ascii="宋体" w:hAnsi="宋体"/>
                <w:color w:val="auto"/>
                <w:sz w:val="24"/>
                <w:szCs w:val="24"/>
                <w:highlight w:val="none"/>
              </w:rPr>
              <w:t>项目名称：新疆维吾尔自治区建设职工教育培训中心商用密码安全性评估服务</w:t>
            </w:r>
          </w:p>
          <w:p w14:paraId="0645EDD3">
            <w:pPr>
              <w:rPr>
                <w:rFonts w:ascii="宋体" w:hAnsi="宋体"/>
                <w:color w:val="auto"/>
                <w:sz w:val="24"/>
                <w:szCs w:val="24"/>
                <w:highlight w:val="none"/>
              </w:rPr>
            </w:pPr>
            <w:r>
              <w:rPr>
                <w:rFonts w:hint="eastAsia" w:ascii="宋体" w:hAnsi="宋体"/>
                <w:color w:val="auto"/>
                <w:sz w:val="24"/>
                <w:szCs w:val="24"/>
                <w:highlight w:val="none"/>
              </w:rPr>
              <w:t xml:space="preserve">项目编号：0634-254XZ1QFO118a  </w:t>
            </w:r>
          </w:p>
        </w:tc>
      </w:tr>
      <w:tr w14:paraId="3A6C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87" w:type="dxa"/>
            <w:vAlign w:val="center"/>
          </w:tcPr>
          <w:p w14:paraId="4ED1E5FB">
            <w:pPr>
              <w:jc w:val="center"/>
              <w:rPr>
                <w:rFonts w:ascii="宋体" w:hAnsi="宋体"/>
                <w:color w:val="auto"/>
                <w:sz w:val="24"/>
                <w:szCs w:val="24"/>
                <w:highlight w:val="none"/>
              </w:rPr>
            </w:pPr>
            <w:r>
              <w:rPr>
                <w:rFonts w:hint="eastAsia" w:ascii="宋体" w:hAnsi="宋体"/>
                <w:color w:val="auto"/>
                <w:sz w:val="24"/>
                <w:szCs w:val="24"/>
                <w:highlight w:val="none"/>
              </w:rPr>
              <w:t>2</w:t>
            </w:r>
          </w:p>
        </w:tc>
        <w:tc>
          <w:tcPr>
            <w:tcW w:w="9175" w:type="dxa"/>
            <w:vAlign w:val="center"/>
          </w:tcPr>
          <w:p w14:paraId="5881563A">
            <w:pPr>
              <w:rPr>
                <w:rFonts w:ascii="宋体" w:hAnsi="宋体"/>
                <w:color w:val="auto"/>
                <w:sz w:val="24"/>
                <w:szCs w:val="24"/>
                <w:highlight w:val="none"/>
              </w:rPr>
            </w:pPr>
            <w:r>
              <w:rPr>
                <w:rFonts w:hint="eastAsia" w:ascii="宋体" w:hAnsi="宋体"/>
                <w:color w:val="auto"/>
                <w:sz w:val="24"/>
                <w:szCs w:val="24"/>
                <w:highlight w:val="none"/>
              </w:rPr>
              <w:t>采购人名称：新疆维吾尔自治区建设职工教育培训中心</w:t>
            </w:r>
          </w:p>
        </w:tc>
      </w:tr>
      <w:tr w14:paraId="6381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14:paraId="4F1B4377">
            <w:pPr>
              <w:jc w:val="center"/>
              <w:rPr>
                <w:rFonts w:ascii="宋体" w:hAnsi="宋体"/>
                <w:color w:val="auto"/>
                <w:sz w:val="24"/>
                <w:szCs w:val="24"/>
                <w:highlight w:val="none"/>
              </w:rPr>
            </w:pPr>
            <w:r>
              <w:rPr>
                <w:rFonts w:hint="eastAsia" w:ascii="宋体" w:hAnsi="宋体"/>
                <w:color w:val="auto"/>
                <w:sz w:val="24"/>
                <w:szCs w:val="24"/>
                <w:highlight w:val="none"/>
              </w:rPr>
              <w:t>3</w:t>
            </w:r>
          </w:p>
        </w:tc>
        <w:tc>
          <w:tcPr>
            <w:tcW w:w="9175" w:type="dxa"/>
            <w:vAlign w:val="center"/>
          </w:tcPr>
          <w:p w14:paraId="5DD88BC9">
            <w:pPr>
              <w:rPr>
                <w:rFonts w:ascii="宋体" w:hAnsi="宋体"/>
                <w:color w:val="auto"/>
                <w:spacing w:val="8"/>
                <w:sz w:val="24"/>
                <w:szCs w:val="24"/>
                <w:highlight w:val="none"/>
              </w:rPr>
            </w:pPr>
            <w:r>
              <w:rPr>
                <w:rFonts w:hint="eastAsia" w:ascii="宋体" w:hAnsi="宋体"/>
                <w:color w:val="auto"/>
                <w:spacing w:val="8"/>
                <w:sz w:val="24"/>
                <w:szCs w:val="24"/>
                <w:highlight w:val="none"/>
              </w:rPr>
              <w:t>采购代理机构名称：新疆招标有限公司</w:t>
            </w:r>
          </w:p>
          <w:p w14:paraId="1F110D10">
            <w:pPr>
              <w:rPr>
                <w:rFonts w:ascii="宋体" w:hAnsi="宋体"/>
                <w:color w:val="auto"/>
                <w:spacing w:val="8"/>
                <w:sz w:val="24"/>
                <w:szCs w:val="24"/>
                <w:highlight w:val="none"/>
              </w:rPr>
            </w:pPr>
            <w:r>
              <w:rPr>
                <w:rFonts w:hint="eastAsia" w:ascii="宋体" w:hAnsi="宋体"/>
                <w:color w:val="auto"/>
                <w:spacing w:val="8"/>
                <w:sz w:val="24"/>
                <w:szCs w:val="24"/>
                <w:highlight w:val="none"/>
              </w:rPr>
              <w:t>单位地址：乌鲁木齐市水磨沟区昆仑东街789号金融大厦11楼</w:t>
            </w:r>
          </w:p>
          <w:p w14:paraId="31A74C35">
            <w:pPr>
              <w:rPr>
                <w:rFonts w:ascii="宋体" w:hAnsi="宋体"/>
                <w:color w:val="auto"/>
                <w:spacing w:val="8"/>
                <w:sz w:val="24"/>
                <w:szCs w:val="24"/>
                <w:highlight w:val="none"/>
              </w:rPr>
            </w:pPr>
            <w:r>
              <w:rPr>
                <w:rFonts w:hint="eastAsia" w:ascii="宋体" w:hAnsi="宋体"/>
                <w:color w:val="auto"/>
                <w:spacing w:val="8"/>
                <w:sz w:val="24"/>
                <w:szCs w:val="24"/>
                <w:highlight w:val="none"/>
              </w:rPr>
              <w:t>邮编：830000</w:t>
            </w:r>
          </w:p>
          <w:p w14:paraId="4E719442">
            <w:pPr>
              <w:rPr>
                <w:rFonts w:ascii="宋体" w:hAnsi="宋体"/>
                <w:color w:val="auto"/>
                <w:spacing w:val="8"/>
                <w:sz w:val="24"/>
                <w:szCs w:val="24"/>
                <w:highlight w:val="none"/>
              </w:rPr>
            </w:pPr>
            <w:r>
              <w:rPr>
                <w:rFonts w:hint="eastAsia" w:ascii="宋体" w:hAnsi="宋体"/>
                <w:color w:val="auto"/>
                <w:spacing w:val="8"/>
                <w:sz w:val="24"/>
                <w:szCs w:val="24"/>
                <w:highlight w:val="none"/>
              </w:rPr>
              <w:t xml:space="preserve">电话：13999224290  </w:t>
            </w:r>
          </w:p>
        </w:tc>
      </w:tr>
      <w:tr w14:paraId="199E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14:paraId="6740CA15">
            <w:pPr>
              <w:jc w:val="center"/>
              <w:rPr>
                <w:rFonts w:ascii="宋体" w:hAnsi="宋体"/>
                <w:color w:val="auto"/>
                <w:sz w:val="24"/>
                <w:szCs w:val="24"/>
                <w:highlight w:val="none"/>
              </w:rPr>
            </w:pPr>
            <w:r>
              <w:rPr>
                <w:rFonts w:hint="eastAsia" w:ascii="宋体" w:hAnsi="宋体"/>
                <w:color w:val="auto"/>
                <w:sz w:val="24"/>
                <w:szCs w:val="24"/>
                <w:highlight w:val="none"/>
              </w:rPr>
              <w:t>4</w:t>
            </w:r>
          </w:p>
        </w:tc>
        <w:tc>
          <w:tcPr>
            <w:tcW w:w="9175" w:type="dxa"/>
            <w:vAlign w:val="center"/>
          </w:tcPr>
          <w:p w14:paraId="6932DBCB">
            <w:pPr>
              <w:rPr>
                <w:rFonts w:ascii="宋体" w:hAnsi="宋体"/>
                <w:color w:val="auto"/>
                <w:sz w:val="24"/>
                <w:szCs w:val="24"/>
                <w:highlight w:val="none"/>
              </w:rPr>
            </w:pPr>
            <w:r>
              <w:rPr>
                <w:rFonts w:hint="eastAsia" w:ascii="宋体" w:hAnsi="宋体"/>
                <w:color w:val="auto"/>
                <w:sz w:val="24"/>
                <w:szCs w:val="24"/>
                <w:highlight w:val="none"/>
              </w:rPr>
              <w:t>磋商保证金金额：0元（本项目不需要提交磋商保证金）</w:t>
            </w:r>
          </w:p>
          <w:p w14:paraId="41490851">
            <w:pPr>
              <w:rPr>
                <w:rFonts w:ascii="宋体" w:hAnsi="宋体"/>
                <w:color w:val="auto"/>
                <w:sz w:val="24"/>
                <w:szCs w:val="24"/>
                <w:highlight w:val="none"/>
              </w:rPr>
            </w:pPr>
            <w:r>
              <w:rPr>
                <w:rFonts w:hint="eastAsia" w:ascii="宋体" w:hAnsi="宋体"/>
                <w:color w:val="auto"/>
                <w:sz w:val="24"/>
                <w:szCs w:val="24"/>
                <w:highlight w:val="none"/>
              </w:rPr>
              <w:t>磋商保证金形式：以支票、汇票、本票或者金融机构、担保机构出具的保函等非现金形式提交。</w:t>
            </w:r>
          </w:p>
          <w:p w14:paraId="66D337AC">
            <w:pPr>
              <w:rPr>
                <w:rFonts w:ascii="宋体" w:hAnsi="宋体"/>
                <w:color w:val="auto"/>
                <w:sz w:val="24"/>
                <w:szCs w:val="24"/>
                <w:highlight w:val="none"/>
              </w:rPr>
            </w:pPr>
            <w:r>
              <w:rPr>
                <w:rFonts w:hint="eastAsia" w:ascii="宋体" w:hAnsi="宋体"/>
                <w:color w:val="auto"/>
                <w:sz w:val="24"/>
                <w:szCs w:val="24"/>
                <w:highlight w:val="none"/>
              </w:rPr>
              <w:t>帐户名称：新疆招标有限公司</w:t>
            </w:r>
          </w:p>
          <w:p w14:paraId="20935006">
            <w:pPr>
              <w:rPr>
                <w:rFonts w:ascii="宋体" w:hAnsi="宋体"/>
                <w:color w:val="auto"/>
                <w:sz w:val="24"/>
                <w:szCs w:val="24"/>
                <w:highlight w:val="none"/>
              </w:rPr>
            </w:pPr>
            <w:r>
              <w:rPr>
                <w:rFonts w:hint="eastAsia" w:ascii="宋体" w:hAnsi="宋体"/>
                <w:color w:val="auto"/>
                <w:sz w:val="24"/>
                <w:szCs w:val="24"/>
                <w:highlight w:val="none"/>
              </w:rPr>
              <w:t>人民币帐号：3002013709022305571（电汇时请在汇款备注栏注明招标编号）</w:t>
            </w:r>
          </w:p>
          <w:p w14:paraId="0C462676">
            <w:pPr>
              <w:rPr>
                <w:rFonts w:ascii="宋体" w:hAnsi="宋体"/>
                <w:color w:val="auto"/>
                <w:sz w:val="24"/>
                <w:szCs w:val="24"/>
                <w:highlight w:val="none"/>
              </w:rPr>
            </w:pPr>
            <w:r>
              <w:rPr>
                <w:rFonts w:hint="eastAsia" w:ascii="宋体" w:hAnsi="宋体"/>
                <w:color w:val="auto"/>
                <w:sz w:val="24"/>
                <w:szCs w:val="24"/>
                <w:highlight w:val="none"/>
              </w:rPr>
              <w:t>开户银行：乌鲁木齐工行友好南路支行</w:t>
            </w:r>
          </w:p>
          <w:p w14:paraId="16085319">
            <w:pPr>
              <w:pStyle w:val="109"/>
              <w:rPr>
                <w:rFonts w:ascii="宋体" w:hAnsi="宋体"/>
                <w:color w:val="auto"/>
                <w:sz w:val="24"/>
                <w:highlight w:val="none"/>
              </w:rPr>
            </w:pPr>
            <w:r>
              <w:rPr>
                <w:rFonts w:hint="eastAsia" w:ascii="宋体" w:hAnsi="宋体"/>
                <w:color w:val="auto"/>
                <w:sz w:val="24"/>
                <w:highlight w:val="none"/>
              </w:rPr>
              <w:t>磋商保证金有效期应当与磋商有效期一致。</w:t>
            </w:r>
          </w:p>
        </w:tc>
      </w:tr>
      <w:tr w14:paraId="6617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14:paraId="1EA638E1">
            <w:pPr>
              <w:jc w:val="center"/>
              <w:rPr>
                <w:rFonts w:ascii="宋体" w:hAnsi="宋体"/>
                <w:color w:val="auto"/>
                <w:sz w:val="24"/>
                <w:szCs w:val="24"/>
                <w:highlight w:val="none"/>
              </w:rPr>
            </w:pPr>
            <w:r>
              <w:rPr>
                <w:rFonts w:hint="eastAsia" w:ascii="宋体" w:hAnsi="宋体"/>
                <w:color w:val="auto"/>
                <w:sz w:val="24"/>
                <w:szCs w:val="24"/>
                <w:highlight w:val="none"/>
              </w:rPr>
              <w:t>5</w:t>
            </w:r>
          </w:p>
        </w:tc>
        <w:tc>
          <w:tcPr>
            <w:tcW w:w="9175" w:type="dxa"/>
            <w:vAlign w:val="center"/>
          </w:tcPr>
          <w:p w14:paraId="09D3C338">
            <w:pPr>
              <w:rPr>
                <w:rFonts w:ascii="宋体" w:hAnsi="宋体"/>
                <w:color w:val="auto"/>
                <w:sz w:val="24"/>
                <w:szCs w:val="24"/>
                <w:highlight w:val="none"/>
              </w:rPr>
            </w:pPr>
            <w:r>
              <w:rPr>
                <w:rFonts w:hint="eastAsia" w:ascii="宋体" w:hAnsi="宋体"/>
                <w:color w:val="auto"/>
                <w:sz w:val="24"/>
                <w:szCs w:val="24"/>
                <w:highlight w:val="none"/>
              </w:rPr>
              <w:t>磋商语言：中文</w:t>
            </w:r>
          </w:p>
        </w:tc>
      </w:tr>
      <w:tr w14:paraId="0432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862" w:type="dxa"/>
            <w:gridSpan w:val="2"/>
            <w:vAlign w:val="center"/>
          </w:tcPr>
          <w:p w14:paraId="79F69084">
            <w:pPr>
              <w:jc w:val="center"/>
              <w:rPr>
                <w:rFonts w:ascii="宋体" w:hAnsi="宋体"/>
                <w:color w:val="auto"/>
                <w:sz w:val="24"/>
                <w:szCs w:val="24"/>
                <w:highlight w:val="none"/>
              </w:rPr>
            </w:pPr>
            <w:r>
              <w:rPr>
                <w:rFonts w:hint="eastAsia" w:ascii="宋体" w:hAnsi="宋体"/>
                <w:color w:val="auto"/>
                <w:sz w:val="24"/>
                <w:szCs w:val="24"/>
                <w:highlight w:val="none"/>
              </w:rPr>
              <w:t>投 标 文 件 的 编 制 和 递 交</w:t>
            </w:r>
          </w:p>
        </w:tc>
      </w:tr>
      <w:tr w14:paraId="356D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14:paraId="5A80ACBA">
            <w:pPr>
              <w:tabs>
                <w:tab w:val="left" w:pos="252"/>
                <w:tab w:val="left" w:pos="671"/>
              </w:tabs>
              <w:jc w:val="center"/>
              <w:rPr>
                <w:rFonts w:ascii="宋体" w:hAnsi="宋体"/>
                <w:color w:val="auto"/>
                <w:spacing w:val="8"/>
                <w:sz w:val="24"/>
                <w:szCs w:val="24"/>
                <w:highlight w:val="none"/>
              </w:rPr>
            </w:pPr>
            <w:r>
              <w:rPr>
                <w:rFonts w:hint="eastAsia" w:ascii="宋体" w:hAnsi="宋体"/>
                <w:color w:val="auto"/>
                <w:spacing w:val="8"/>
                <w:sz w:val="24"/>
                <w:szCs w:val="24"/>
                <w:highlight w:val="none"/>
              </w:rPr>
              <w:t>6</w:t>
            </w:r>
          </w:p>
        </w:tc>
        <w:tc>
          <w:tcPr>
            <w:tcW w:w="9175" w:type="dxa"/>
            <w:vAlign w:val="center"/>
          </w:tcPr>
          <w:p w14:paraId="09DFBC60">
            <w:pPr>
              <w:pStyle w:val="41"/>
              <w:ind w:left="209" w:hanging="208" w:hangingChars="87"/>
              <w:contextualSpacing/>
              <w:jc w:val="left"/>
              <w:rPr>
                <w:rFonts w:hAnsi="宋体"/>
                <w:color w:val="auto"/>
                <w:sz w:val="24"/>
                <w:szCs w:val="24"/>
                <w:highlight w:val="none"/>
              </w:rPr>
            </w:pPr>
            <w:r>
              <w:rPr>
                <w:rFonts w:hint="eastAsia" w:hAnsi="宋体"/>
                <w:color w:val="auto"/>
                <w:sz w:val="24"/>
                <w:szCs w:val="24"/>
                <w:highlight w:val="none"/>
              </w:rPr>
              <w:t>供应商资格标准：</w:t>
            </w:r>
          </w:p>
          <w:p w14:paraId="31715228">
            <w:pPr>
              <w:pStyle w:val="74"/>
              <w:spacing w:line="460" w:lineRule="exact"/>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1具有独立承担民事责任的能力；（提供有效的营业执照）</w:t>
            </w:r>
          </w:p>
          <w:p w14:paraId="3CB73207">
            <w:pPr>
              <w:pStyle w:val="74"/>
              <w:spacing w:line="460" w:lineRule="exact"/>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r>
              <w:rPr>
                <w:rFonts w:hint="eastAsia" w:ascii="宋体" w:hAnsi="宋体" w:cs="宋体"/>
                <w:color w:val="auto"/>
                <w:sz w:val="24"/>
                <w:szCs w:val="24"/>
                <w:highlight w:val="none"/>
              </w:rPr>
              <w:t>提供会计师事务所出具的近三年任意一年度财务审计报告，</w:t>
            </w:r>
            <w:r>
              <w:rPr>
                <w:rFonts w:hint="eastAsia" w:ascii="宋体" w:hAnsi="宋体" w:cs="宋体"/>
                <w:color w:val="auto"/>
                <w:sz w:val="24"/>
                <w:highlight w:val="none"/>
              </w:rPr>
              <w:t>新成立不足一年的提供成立之日起至今的财务报表</w:t>
            </w:r>
            <w:r>
              <w:rPr>
                <w:rFonts w:hint="eastAsia" w:ascii="宋体" w:hAnsi="宋体" w:cs="宋体"/>
                <w:color w:val="auto"/>
                <w:sz w:val="24"/>
                <w:szCs w:val="24"/>
                <w:highlight w:val="none"/>
              </w:rPr>
              <w:t>和基本开户银行出具的资信证明</w:t>
            </w:r>
            <w:r>
              <w:rPr>
                <w:rFonts w:hint="eastAsia" w:ascii="宋体" w:hAnsi="宋体"/>
                <w:color w:val="auto"/>
                <w:sz w:val="24"/>
                <w:szCs w:val="24"/>
                <w:highlight w:val="none"/>
              </w:rPr>
              <w:t>）；</w:t>
            </w:r>
          </w:p>
          <w:p w14:paraId="4ABAF175">
            <w:pPr>
              <w:pStyle w:val="74"/>
              <w:spacing w:line="460" w:lineRule="exact"/>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3具有履行合同所必需的设备和专业技术能力；（提供承诺函）</w:t>
            </w:r>
          </w:p>
          <w:p w14:paraId="680E0402">
            <w:pPr>
              <w:pStyle w:val="74"/>
              <w:spacing w:line="460" w:lineRule="exact"/>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pacing w:val="8"/>
                <w:sz w:val="24"/>
                <w:szCs w:val="24"/>
                <w:highlight w:val="none"/>
              </w:rPr>
              <w:t>有依法缴纳税收和社会保障资金的良好记录；（提供近一年任意三个月缴税记录及社保缴纳证明，新成立公司提供成立之日起至今的缴税记录及社保缴纳证明）</w:t>
            </w:r>
            <w:r>
              <w:rPr>
                <w:rFonts w:hint="eastAsia" w:ascii="宋体" w:hAnsi="宋体"/>
                <w:color w:val="auto"/>
                <w:sz w:val="24"/>
                <w:szCs w:val="24"/>
                <w:highlight w:val="none"/>
              </w:rPr>
              <w:t>；</w:t>
            </w:r>
          </w:p>
          <w:p w14:paraId="1BCD4A98">
            <w:pPr>
              <w:pStyle w:val="74"/>
              <w:spacing w:line="460" w:lineRule="exact"/>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5符合国家有关法律法规的规定（提供承诺函）；</w:t>
            </w:r>
          </w:p>
          <w:p w14:paraId="07BBDE97">
            <w:pPr>
              <w:pStyle w:val="74"/>
              <w:spacing w:line="460" w:lineRule="exact"/>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提供承诺函）；</w:t>
            </w:r>
          </w:p>
          <w:p w14:paraId="527B01A9">
            <w:pPr>
              <w:pStyle w:val="74"/>
              <w:spacing w:line="460" w:lineRule="exact"/>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7参加采购活动前三年内，在经营活动中没有重大违法记录。查询渠道“中国政府采购网”、“信用中国”，被列入失信被执行人、重大税收违法案件当事人名单、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F1EAB17">
            <w:pPr>
              <w:pStyle w:val="41"/>
              <w:ind w:left="209" w:hanging="208" w:hangingChars="87"/>
              <w:rPr>
                <w:rFonts w:hAnsi="宋体"/>
                <w:color w:val="auto"/>
                <w:sz w:val="24"/>
                <w:szCs w:val="24"/>
                <w:highlight w:val="none"/>
              </w:rPr>
            </w:pPr>
            <w:r>
              <w:rPr>
                <w:rFonts w:hint="eastAsia" w:hAnsi="宋体"/>
                <w:color w:val="auto"/>
                <w:sz w:val="24"/>
                <w:szCs w:val="24"/>
                <w:highlight w:val="none"/>
              </w:rPr>
              <w:t>8本项目不接受联合体。（提供承诺函）；</w:t>
            </w:r>
          </w:p>
          <w:p w14:paraId="508525B3">
            <w:pPr>
              <w:pStyle w:val="41"/>
              <w:ind w:left="209" w:hanging="208" w:hangingChars="87"/>
              <w:rPr>
                <w:rFonts w:hAnsi="宋体"/>
                <w:color w:val="auto"/>
                <w:sz w:val="24"/>
                <w:szCs w:val="24"/>
                <w:highlight w:val="none"/>
              </w:rPr>
            </w:pPr>
            <w:r>
              <w:rPr>
                <w:rFonts w:hint="eastAsia" w:hAnsi="宋体"/>
                <w:color w:val="auto"/>
                <w:sz w:val="24"/>
                <w:szCs w:val="24"/>
                <w:highlight w:val="none"/>
              </w:rPr>
              <w:t>9供应商须在国家密码管理局公告（第 49 号）《商用密码检测机构(商用密码应用安全性评估业务)目录》中；</w:t>
            </w:r>
          </w:p>
          <w:p w14:paraId="4BB827AC">
            <w:pPr>
              <w:pStyle w:val="41"/>
              <w:ind w:left="209" w:hanging="208" w:hangingChars="87"/>
              <w:rPr>
                <w:rFonts w:hAnsi="宋体"/>
                <w:color w:val="auto"/>
                <w:sz w:val="24"/>
                <w:szCs w:val="24"/>
                <w:highlight w:val="none"/>
              </w:rPr>
            </w:pPr>
            <w:r>
              <w:rPr>
                <w:rFonts w:hint="eastAsia" w:hAnsi="宋体"/>
                <w:color w:val="auto"/>
                <w:sz w:val="24"/>
                <w:szCs w:val="24"/>
                <w:highlight w:val="none"/>
              </w:rPr>
              <w:t>10落实政府采购政策需满足的资格要求：本项目专门面向中小企业（须提供中小企业声明函）。</w:t>
            </w:r>
          </w:p>
        </w:tc>
      </w:tr>
      <w:tr w14:paraId="5AF2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14:paraId="602CC6B9">
            <w:pPr>
              <w:tabs>
                <w:tab w:val="left" w:pos="252"/>
                <w:tab w:val="left" w:pos="671"/>
              </w:tabs>
              <w:jc w:val="center"/>
              <w:rPr>
                <w:rFonts w:ascii="宋体" w:hAnsi="宋体"/>
                <w:color w:val="auto"/>
                <w:spacing w:val="8"/>
                <w:sz w:val="24"/>
                <w:szCs w:val="24"/>
                <w:highlight w:val="none"/>
              </w:rPr>
            </w:pPr>
            <w:r>
              <w:rPr>
                <w:rFonts w:hint="eastAsia" w:ascii="宋体" w:hAnsi="宋体"/>
                <w:color w:val="auto"/>
                <w:spacing w:val="8"/>
                <w:sz w:val="24"/>
                <w:szCs w:val="24"/>
                <w:highlight w:val="none"/>
              </w:rPr>
              <w:t>7</w:t>
            </w:r>
          </w:p>
        </w:tc>
        <w:tc>
          <w:tcPr>
            <w:tcW w:w="9175" w:type="dxa"/>
            <w:vAlign w:val="center"/>
          </w:tcPr>
          <w:p w14:paraId="607E5515">
            <w:pPr>
              <w:snapToGrid w:val="0"/>
              <w:rPr>
                <w:rFonts w:ascii="宋体" w:hAnsi="宋体"/>
                <w:b/>
                <w:bCs/>
                <w:color w:val="auto"/>
                <w:sz w:val="24"/>
                <w:szCs w:val="24"/>
                <w:highlight w:val="none"/>
              </w:rPr>
            </w:pPr>
            <w:r>
              <w:rPr>
                <w:rFonts w:hint="eastAsia" w:ascii="宋体" w:hAnsi="宋体"/>
                <w:b/>
                <w:bCs/>
                <w:color w:val="auto"/>
                <w:sz w:val="24"/>
                <w:szCs w:val="24"/>
                <w:highlight w:val="none"/>
              </w:rPr>
              <w:t>注意事项：</w:t>
            </w:r>
          </w:p>
          <w:p w14:paraId="7C6B458B">
            <w:pPr>
              <w:snapToGrid w:val="0"/>
              <w:ind w:left="385" w:hanging="386" w:hangingChars="160"/>
              <w:rPr>
                <w:rFonts w:ascii="宋体" w:hAnsi="宋体"/>
                <w:b/>
                <w:bCs/>
                <w:color w:val="auto"/>
                <w:sz w:val="24"/>
                <w:szCs w:val="24"/>
                <w:highlight w:val="none"/>
              </w:rPr>
            </w:pPr>
            <w:r>
              <w:rPr>
                <w:rFonts w:hint="eastAsia" w:ascii="宋体" w:hAnsi="宋体"/>
                <w:b/>
                <w:bCs/>
                <w:color w:val="auto"/>
                <w:sz w:val="24"/>
                <w:szCs w:val="24"/>
                <w:highlight w:val="none"/>
              </w:rPr>
              <w:t>1、本项目为电子招投标项目，供应商需要使用CA加密设备，凡参加本项目供应商可自主通过新疆CA申领渠道“新疆政务通”申请政采云平台可使用的CA设备。如有操作性问题可与政采云在线客服进行咨询，咨询电话：95763。</w:t>
            </w:r>
          </w:p>
          <w:p w14:paraId="1572A790">
            <w:pPr>
              <w:snapToGrid w:val="0"/>
              <w:ind w:left="385" w:hanging="386" w:hangingChars="160"/>
              <w:rPr>
                <w:rFonts w:ascii="宋体" w:hAnsi="宋体"/>
                <w:b/>
                <w:bCs/>
                <w:color w:val="auto"/>
                <w:sz w:val="24"/>
                <w:szCs w:val="24"/>
                <w:highlight w:val="none"/>
              </w:rPr>
            </w:pPr>
            <w:r>
              <w:rPr>
                <w:rFonts w:hint="eastAsia" w:ascii="宋体" w:hAnsi="宋体"/>
                <w:b/>
                <w:bCs/>
                <w:color w:val="auto"/>
                <w:sz w:val="24"/>
                <w:szCs w:val="24"/>
                <w:highlight w:val="none"/>
              </w:rPr>
              <w:t>2、本项目实行网上投标，采用电子磋商响应文件，若供应商参与磋商，自行承担磋商一切费用。</w:t>
            </w:r>
          </w:p>
          <w:p w14:paraId="493ABFA6">
            <w:pPr>
              <w:snapToGrid w:val="0"/>
              <w:ind w:left="385" w:hanging="386" w:hangingChars="160"/>
              <w:rPr>
                <w:rFonts w:ascii="宋体" w:hAnsi="宋体"/>
                <w:b/>
                <w:bCs/>
                <w:color w:val="auto"/>
                <w:sz w:val="24"/>
                <w:szCs w:val="24"/>
                <w:highlight w:val="none"/>
              </w:rPr>
            </w:pPr>
            <w:r>
              <w:rPr>
                <w:rFonts w:hint="eastAsia" w:ascii="宋体" w:hAnsi="宋体"/>
                <w:b/>
                <w:bCs/>
                <w:color w:val="auto"/>
                <w:sz w:val="24"/>
                <w:szCs w:val="24"/>
                <w:highlight w:val="none"/>
              </w:rPr>
              <w:t>3、各供应商应在开标前应确保成为新疆政府采购网正式注册入库供应商，并完成CA数字证书申领。因未注册入库、未办理CA数字证书等原因造成无法磋商或磋商失败等后果由供应商自行承担。</w:t>
            </w:r>
          </w:p>
          <w:p w14:paraId="10342A79">
            <w:pPr>
              <w:snapToGrid w:val="0"/>
              <w:ind w:left="385" w:hanging="386" w:hangingChars="160"/>
              <w:rPr>
                <w:rFonts w:ascii="宋体" w:hAnsi="宋体"/>
                <w:b/>
                <w:bCs/>
                <w:color w:val="auto"/>
                <w:sz w:val="24"/>
                <w:szCs w:val="24"/>
                <w:highlight w:val="none"/>
              </w:rPr>
            </w:pPr>
            <w:r>
              <w:rPr>
                <w:rFonts w:hint="eastAsia" w:ascii="宋体" w:hAnsi="宋体"/>
                <w:b/>
                <w:bCs/>
                <w:color w:val="auto"/>
                <w:sz w:val="24"/>
                <w:szCs w:val="24"/>
                <w:highlight w:val="none"/>
              </w:rPr>
              <w:t>4、供应商将政采云电子交易客户端下载、安装完成后，可通过账号密码或CA登录客户端进行磋商响应文件制作。在使用政采云投标客户端时，建议使用WIN7及以上操作系统。客户端请至新疆政府采购网（www.ccgp-xinjiang.gov.cn）下载专区查看，如有问题可拨打政采云客户服务热线400-881-7190进行咨询。</w:t>
            </w:r>
          </w:p>
          <w:p w14:paraId="5B4F8ECF">
            <w:pPr>
              <w:tabs>
                <w:tab w:val="left" w:pos="252"/>
                <w:tab w:val="left" w:pos="671"/>
              </w:tabs>
              <w:rPr>
                <w:rFonts w:ascii="宋体" w:hAnsi="宋体"/>
                <w:b/>
                <w:bCs/>
                <w:color w:val="auto"/>
                <w:sz w:val="24"/>
                <w:szCs w:val="24"/>
                <w:highlight w:val="none"/>
              </w:rPr>
            </w:pPr>
            <w:r>
              <w:rPr>
                <w:rFonts w:hint="eastAsia" w:ascii="宋体" w:hAnsi="宋体"/>
                <w:b/>
                <w:bCs/>
                <w:color w:val="auto"/>
                <w:sz w:val="24"/>
                <w:szCs w:val="24"/>
                <w:highlight w:val="none"/>
              </w:rPr>
              <w:t>5、各供应商须在磋商时间在政采云平台自行解密文件。</w:t>
            </w:r>
          </w:p>
        </w:tc>
      </w:tr>
      <w:tr w14:paraId="2AE9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14:paraId="684A1934">
            <w:pPr>
              <w:jc w:val="center"/>
              <w:rPr>
                <w:rFonts w:ascii="宋体" w:hAnsi="宋体"/>
                <w:color w:val="auto"/>
                <w:sz w:val="24"/>
                <w:szCs w:val="24"/>
                <w:highlight w:val="none"/>
              </w:rPr>
            </w:pPr>
            <w:r>
              <w:rPr>
                <w:rFonts w:hint="eastAsia" w:ascii="宋体" w:hAnsi="宋体"/>
                <w:color w:val="auto"/>
                <w:sz w:val="24"/>
                <w:szCs w:val="24"/>
                <w:highlight w:val="none"/>
              </w:rPr>
              <w:t>8</w:t>
            </w:r>
          </w:p>
        </w:tc>
        <w:tc>
          <w:tcPr>
            <w:tcW w:w="9175" w:type="dxa"/>
            <w:vAlign w:val="center"/>
          </w:tcPr>
          <w:p w14:paraId="2949B0DE">
            <w:pPr>
              <w:rPr>
                <w:rFonts w:ascii="宋体" w:hAnsi="宋体"/>
                <w:color w:val="auto"/>
                <w:sz w:val="24"/>
                <w:szCs w:val="24"/>
                <w:highlight w:val="none"/>
              </w:rPr>
            </w:pPr>
            <w:r>
              <w:rPr>
                <w:rFonts w:hint="eastAsia" w:ascii="宋体" w:hAnsi="宋体"/>
                <w:color w:val="auto"/>
                <w:sz w:val="24"/>
                <w:szCs w:val="24"/>
                <w:highlight w:val="none"/>
              </w:rPr>
              <w:t>资金来源：财政资金</w:t>
            </w:r>
          </w:p>
        </w:tc>
      </w:tr>
      <w:tr w14:paraId="1D59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14:paraId="1A131E7A">
            <w:pPr>
              <w:jc w:val="center"/>
              <w:rPr>
                <w:rFonts w:ascii="宋体" w:hAnsi="宋体"/>
                <w:color w:val="auto"/>
                <w:sz w:val="24"/>
                <w:szCs w:val="24"/>
                <w:highlight w:val="none"/>
              </w:rPr>
            </w:pPr>
            <w:r>
              <w:rPr>
                <w:rFonts w:hint="eastAsia" w:ascii="宋体" w:hAnsi="宋体"/>
                <w:color w:val="auto"/>
                <w:sz w:val="24"/>
                <w:szCs w:val="24"/>
                <w:highlight w:val="none"/>
              </w:rPr>
              <w:t>9</w:t>
            </w:r>
          </w:p>
        </w:tc>
        <w:tc>
          <w:tcPr>
            <w:tcW w:w="9175" w:type="dxa"/>
            <w:vAlign w:val="center"/>
          </w:tcPr>
          <w:p w14:paraId="4BE5190F">
            <w:pPr>
              <w:rPr>
                <w:rFonts w:ascii="宋体" w:hAnsi="宋体"/>
                <w:b/>
                <w:bCs/>
                <w:color w:val="auto"/>
                <w:sz w:val="24"/>
                <w:szCs w:val="24"/>
                <w:highlight w:val="none"/>
              </w:rPr>
            </w:pPr>
            <w:r>
              <w:rPr>
                <w:rFonts w:hint="eastAsia" w:ascii="宋体" w:hAnsi="宋体"/>
                <w:b/>
                <w:bCs/>
                <w:color w:val="auto"/>
                <w:sz w:val="24"/>
                <w:szCs w:val="24"/>
                <w:highlight w:val="none"/>
              </w:rPr>
              <w:t>最高限价：</w:t>
            </w:r>
            <w:r>
              <w:rPr>
                <w:rFonts w:hint="eastAsia" w:ascii="宋体" w:hAnsi="宋体"/>
                <w:color w:val="auto"/>
                <w:sz w:val="24"/>
                <w:szCs w:val="24"/>
                <w:highlight w:val="none"/>
              </w:rPr>
              <w:t>120000.00元，磋商报价不得有选择性报价和附有条件的报价，且不得高于预算金额，否则其磋商无效。</w:t>
            </w:r>
          </w:p>
        </w:tc>
      </w:tr>
      <w:tr w14:paraId="266A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14:paraId="7060516F">
            <w:pPr>
              <w:jc w:val="center"/>
              <w:rPr>
                <w:rFonts w:ascii="宋体" w:hAnsi="宋体"/>
                <w:color w:val="auto"/>
                <w:sz w:val="24"/>
                <w:szCs w:val="24"/>
                <w:highlight w:val="none"/>
              </w:rPr>
            </w:pPr>
            <w:r>
              <w:rPr>
                <w:rFonts w:hint="eastAsia" w:ascii="宋体" w:hAnsi="宋体"/>
                <w:color w:val="auto"/>
                <w:sz w:val="24"/>
                <w:szCs w:val="24"/>
                <w:highlight w:val="none"/>
              </w:rPr>
              <w:t>10</w:t>
            </w:r>
          </w:p>
        </w:tc>
        <w:tc>
          <w:tcPr>
            <w:tcW w:w="9175" w:type="dxa"/>
            <w:vAlign w:val="center"/>
          </w:tcPr>
          <w:p w14:paraId="010409FA">
            <w:pPr>
              <w:rPr>
                <w:rFonts w:ascii="宋体" w:hAnsi="宋体"/>
                <w:b/>
                <w:color w:val="auto"/>
                <w:sz w:val="24"/>
                <w:szCs w:val="24"/>
                <w:highlight w:val="none"/>
              </w:rPr>
            </w:pPr>
            <w:r>
              <w:rPr>
                <w:rFonts w:hint="eastAsia" w:ascii="宋体" w:hAnsi="宋体"/>
                <w:b/>
                <w:color w:val="auto"/>
                <w:sz w:val="24"/>
                <w:szCs w:val="24"/>
                <w:highlight w:val="none"/>
              </w:rPr>
              <w:t>磋商有效期90天（如不满足将导致响应无效）</w:t>
            </w:r>
          </w:p>
        </w:tc>
      </w:tr>
      <w:tr w14:paraId="0C41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14:paraId="25803362">
            <w:pPr>
              <w:jc w:val="center"/>
              <w:rPr>
                <w:rFonts w:ascii="宋体" w:hAnsi="宋体"/>
                <w:color w:val="auto"/>
                <w:sz w:val="24"/>
                <w:szCs w:val="24"/>
                <w:highlight w:val="none"/>
              </w:rPr>
            </w:pPr>
            <w:r>
              <w:rPr>
                <w:rFonts w:hint="eastAsia" w:ascii="宋体" w:hAnsi="宋体"/>
                <w:color w:val="auto"/>
                <w:sz w:val="24"/>
                <w:szCs w:val="24"/>
                <w:highlight w:val="none"/>
              </w:rPr>
              <w:t>11</w:t>
            </w:r>
          </w:p>
        </w:tc>
        <w:tc>
          <w:tcPr>
            <w:tcW w:w="9175" w:type="dxa"/>
            <w:vAlign w:val="center"/>
          </w:tcPr>
          <w:p w14:paraId="3E8EF7BA">
            <w:pPr>
              <w:pStyle w:val="133"/>
              <w:rPr>
                <w:rFonts w:ascii="宋体" w:hAnsi="宋体"/>
                <w:b/>
                <w:bCs/>
                <w:color w:val="auto"/>
                <w:highlight w:val="none"/>
              </w:rPr>
            </w:pPr>
            <w:r>
              <w:rPr>
                <w:rFonts w:hint="eastAsia" w:ascii="宋体" w:hAnsi="宋体"/>
                <w:b/>
                <w:bCs/>
                <w:color w:val="auto"/>
                <w:highlight w:val="none"/>
              </w:rPr>
              <w:t>服务期限：</w:t>
            </w:r>
            <w:r>
              <w:rPr>
                <w:rFonts w:hint="eastAsia" w:ascii="宋体" w:hAnsi="宋体"/>
                <w:color w:val="auto"/>
                <w:szCs w:val="24"/>
                <w:highlight w:val="none"/>
              </w:rPr>
              <w:t>合同签订后20个日历日内完成</w:t>
            </w:r>
          </w:p>
        </w:tc>
      </w:tr>
      <w:tr w14:paraId="33A6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14:paraId="59C0D02D">
            <w:pPr>
              <w:jc w:val="center"/>
              <w:rPr>
                <w:rFonts w:ascii="宋体" w:hAnsi="宋体"/>
                <w:color w:val="auto"/>
                <w:sz w:val="24"/>
                <w:szCs w:val="24"/>
                <w:highlight w:val="none"/>
              </w:rPr>
            </w:pPr>
            <w:r>
              <w:rPr>
                <w:rFonts w:hint="eastAsia" w:ascii="宋体" w:hAnsi="宋体"/>
                <w:color w:val="auto"/>
                <w:sz w:val="24"/>
                <w:szCs w:val="24"/>
                <w:highlight w:val="none"/>
              </w:rPr>
              <w:t>12</w:t>
            </w:r>
          </w:p>
        </w:tc>
        <w:tc>
          <w:tcPr>
            <w:tcW w:w="9175" w:type="dxa"/>
            <w:vAlign w:val="center"/>
          </w:tcPr>
          <w:p w14:paraId="6B7AA4D5">
            <w:pPr>
              <w:rPr>
                <w:rFonts w:ascii="宋体" w:hAnsi="宋体"/>
                <w:b/>
                <w:color w:val="auto"/>
                <w:sz w:val="24"/>
                <w:szCs w:val="24"/>
                <w:highlight w:val="none"/>
              </w:rPr>
            </w:pPr>
            <w:r>
              <w:rPr>
                <w:rFonts w:hint="eastAsia" w:ascii="宋体" w:hAnsi="宋体"/>
                <w:b/>
                <w:color w:val="auto"/>
                <w:sz w:val="24"/>
                <w:szCs w:val="24"/>
                <w:highlight w:val="none"/>
              </w:rPr>
              <w:t>所属行业：其他未列明行业-</w:t>
            </w:r>
            <w:r>
              <w:rPr>
                <w:rFonts w:hint="eastAsia" w:ascii="宋体" w:hAnsi="宋体"/>
                <w:color w:val="auto"/>
                <w:sz w:val="24"/>
                <w:szCs w:val="24"/>
                <w:highlight w:val="none"/>
              </w:rPr>
              <w:t>科学研究和技术服务业</w:t>
            </w:r>
          </w:p>
        </w:tc>
      </w:tr>
      <w:tr w14:paraId="3D6F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7" w:type="dxa"/>
            <w:vAlign w:val="center"/>
          </w:tcPr>
          <w:p w14:paraId="5540C895">
            <w:pPr>
              <w:jc w:val="center"/>
              <w:rPr>
                <w:rFonts w:ascii="宋体" w:hAnsi="宋体"/>
                <w:color w:val="auto"/>
                <w:sz w:val="24"/>
                <w:szCs w:val="24"/>
                <w:highlight w:val="none"/>
              </w:rPr>
            </w:pPr>
            <w:r>
              <w:rPr>
                <w:rFonts w:hint="eastAsia" w:ascii="宋体" w:hAnsi="宋体"/>
                <w:color w:val="auto"/>
                <w:sz w:val="24"/>
                <w:szCs w:val="24"/>
                <w:highlight w:val="none"/>
              </w:rPr>
              <w:t>13</w:t>
            </w:r>
          </w:p>
        </w:tc>
        <w:tc>
          <w:tcPr>
            <w:tcW w:w="9175" w:type="dxa"/>
            <w:vAlign w:val="center"/>
          </w:tcPr>
          <w:p w14:paraId="164BE60A">
            <w:pPr>
              <w:rPr>
                <w:rFonts w:ascii="宋体" w:hAnsi="宋体"/>
                <w:color w:val="auto"/>
                <w:sz w:val="24"/>
                <w:szCs w:val="24"/>
                <w:highlight w:val="none"/>
              </w:rPr>
            </w:pPr>
            <w:r>
              <w:rPr>
                <w:rFonts w:hint="eastAsia" w:ascii="宋体" w:hAnsi="宋体"/>
                <w:color w:val="auto"/>
                <w:sz w:val="24"/>
                <w:szCs w:val="24"/>
                <w:highlight w:val="none"/>
              </w:rPr>
              <w:t>磋商响应文件递交至：政采云线上</w:t>
            </w:r>
            <w:r>
              <w:rPr>
                <w:rFonts w:hint="eastAsia" w:ascii="宋体" w:hAnsi="宋体"/>
                <w:color w:val="auto"/>
                <w:sz w:val="24"/>
                <w:szCs w:val="22"/>
                <w:highlight w:val="none"/>
              </w:rPr>
              <w:t>（www.zcygov.cn）</w:t>
            </w:r>
          </w:p>
          <w:p w14:paraId="5CFB0524">
            <w:pPr>
              <w:rPr>
                <w:rFonts w:ascii="宋体" w:hAnsi="宋体"/>
                <w:color w:val="auto"/>
                <w:sz w:val="24"/>
                <w:szCs w:val="24"/>
                <w:highlight w:val="none"/>
              </w:rPr>
            </w:pPr>
            <w:r>
              <w:rPr>
                <w:rFonts w:hint="eastAsia" w:ascii="宋体" w:hAnsi="宋体"/>
                <w:color w:val="auto"/>
                <w:sz w:val="24"/>
                <w:szCs w:val="24"/>
                <w:highlight w:val="none"/>
              </w:rPr>
              <w:t>磋商响应文件递交截止时间：</w:t>
            </w:r>
            <w:r>
              <w:rPr>
                <w:rFonts w:hint="eastAsia" w:ascii="宋体" w:hAnsi="宋体"/>
                <w:color w:val="auto"/>
                <w:sz w:val="24"/>
                <w:highlight w:val="none"/>
              </w:rPr>
              <w:t>2025 年7月4日11：00时（北京时间）</w:t>
            </w:r>
          </w:p>
        </w:tc>
      </w:tr>
      <w:tr w14:paraId="7AFE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87" w:type="dxa"/>
            <w:vAlign w:val="center"/>
          </w:tcPr>
          <w:p w14:paraId="780735BC">
            <w:pPr>
              <w:jc w:val="center"/>
              <w:rPr>
                <w:rFonts w:ascii="宋体" w:hAnsi="宋体"/>
                <w:color w:val="auto"/>
                <w:sz w:val="24"/>
                <w:szCs w:val="24"/>
                <w:highlight w:val="none"/>
              </w:rPr>
            </w:pPr>
            <w:r>
              <w:rPr>
                <w:rFonts w:hint="eastAsia" w:ascii="宋体" w:hAnsi="宋体"/>
                <w:color w:val="auto"/>
                <w:sz w:val="24"/>
                <w:szCs w:val="24"/>
                <w:highlight w:val="none"/>
              </w:rPr>
              <w:t>14</w:t>
            </w:r>
          </w:p>
        </w:tc>
        <w:tc>
          <w:tcPr>
            <w:tcW w:w="9175" w:type="dxa"/>
            <w:vAlign w:val="center"/>
          </w:tcPr>
          <w:p w14:paraId="51FC162F">
            <w:pPr>
              <w:rPr>
                <w:rFonts w:ascii="宋体" w:hAnsi="宋体"/>
                <w:color w:val="auto"/>
                <w:sz w:val="24"/>
                <w:szCs w:val="24"/>
                <w:highlight w:val="none"/>
              </w:rPr>
            </w:pPr>
            <w:r>
              <w:rPr>
                <w:rFonts w:hint="eastAsia" w:ascii="宋体" w:hAnsi="宋体"/>
                <w:color w:val="auto"/>
                <w:sz w:val="24"/>
                <w:szCs w:val="24"/>
                <w:highlight w:val="none"/>
              </w:rPr>
              <w:t>磋商日期：</w:t>
            </w:r>
            <w:r>
              <w:rPr>
                <w:rFonts w:hint="eastAsia" w:ascii="宋体" w:hAnsi="宋体"/>
                <w:color w:val="auto"/>
                <w:sz w:val="24"/>
                <w:highlight w:val="none"/>
              </w:rPr>
              <w:t>2025 年7月4日11：00时（北京时间）</w:t>
            </w:r>
          </w:p>
          <w:p w14:paraId="66573EEF">
            <w:pPr>
              <w:rPr>
                <w:rFonts w:ascii="宋体" w:hAnsi="宋体"/>
                <w:color w:val="auto"/>
                <w:sz w:val="24"/>
                <w:szCs w:val="24"/>
                <w:highlight w:val="none"/>
              </w:rPr>
            </w:pPr>
            <w:r>
              <w:rPr>
                <w:rFonts w:hint="eastAsia" w:ascii="宋体" w:hAnsi="宋体"/>
                <w:color w:val="auto"/>
                <w:sz w:val="24"/>
                <w:szCs w:val="24"/>
                <w:highlight w:val="none"/>
              </w:rPr>
              <w:t>磋商地点：乌鲁木齐市水磨沟区昆仑东街789号金融大厦10楼开标室</w:t>
            </w:r>
          </w:p>
        </w:tc>
      </w:tr>
      <w:tr w14:paraId="2945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87" w:type="dxa"/>
            <w:vAlign w:val="center"/>
          </w:tcPr>
          <w:p w14:paraId="6004832F">
            <w:pPr>
              <w:jc w:val="center"/>
              <w:rPr>
                <w:rFonts w:ascii="宋体" w:hAnsi="宋体"/>
                <w:color w:val="auto"/>
                <w:sz w:val="24"/>
                <w:szCs w:val="24"/>
                <w:highlight w:val="none"/>
              </w:rPr>
            </w:pPr>
            <w:r>
              <w:rPr>
                <w:rFonts w:hint="eastAsia" w:ascii="宋体" w:hAnsi="宋体"/>
                <w:color w:val="auto"/>
                <w:sz w:val="24"/>
                <w:szCs w:val="24"/>
                <w:highlight w:val="none"/>
              </w:rPr>
              <w:t>15</w:t>
            </w:r>
          </w:p>
        </w:tc>
        <w:tc>
          <w:tcPr>
            <w:tcW w:w="9175" w:type="dxa"/>
            <w:vAlign w:val="center"/>
          </w:tcPr>
          <w:p w14:paraId="57A029D6">
            <w:pPr>
              <w:rPr>
                <w:rFonts w:ascii="宋体" w:hAnsi="宋体"/>
                <w:b/>
                <w:bCs/>
                <w:color w:val="auto"/>
                <w:spacing w:val="8"/>
                <w:sz w:val="24"/>
                <w:szCs w:val="24"/>
                <w:highlight w:val="none"/>
              </w:rPr>
            </w:pPr>
            <w:r>
              <w:rPr>
                <w:rFonts w:hint="eastAsia" w:ascii="宋体" w:hAnsi="宋体"/>
                <w:b/>
                <w:bCs/>
                <w:color w:val="auto"/>
                <w:spacing w:val="8"/>
                <w:sz w:val="24"/>
                <w:szCs w:val="24"/>
                <w:highlight w:val="none"/>
              </w:rPr>
              <w:t>中小企业声明函须按本项目采购文件中提供的格式如实进行填写，否则磋商无效。</w:t>
            </w:r>
          </w:p>
        </w:tc>
      </w:tr>
      <w:tr w14:paraId="6243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862" w:type="dxa"/>
            <w:gridSpan w:val="2"/>
            <w:vAlign w:val="center"/>
          </w:tcPr>
          <w:p w14:paraId="6CAC5D8E">
            <w:pPr>
              <w:jc w:val="center"/>
              <w:rPr>
                <w:rFonts w:ascii="宋体" w:hAnsi="宋体"/>
                <w:color w:val="auto"/>
                <w:sz w:val="24"/>
                <w:szCs w:val="24"/>
                <w:highlight w:val="none"/>
              </w:rPr>
            </w:pPr>
            <w:r>
              <w:rPr>
                <w:rFonts w:hint="eastAsia" w:ascii="宋体" w:hAnsi="宋体"/>
                <w:color w:val="auto"/>
                <w:sz w:val="24"/>
                <w:szCs w:val="24"/>
                <w:highlight w:val="none"/>
              </w:rPr>
              <w:t>授　予　合　同</w:t>
            </w:r>
          </w:p>
        </w:tc>
      </w:tr>
      <w:tr w14:paraId="68AE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62" w:type="dxa"/>
            <w:gridSpan w:val="2"/>
            <w:vAlign w:val="center"/>
          </w:tcPr>
          <w:p w14:paraId="2E740E5E">
            <w:pPr>
              <w:rPr>
                <w:rFonts w:ascii="宋体" w:hAnsi="宋体"/>
                <w:color w:val="auto"/>
                <w:sz w:val="24"/>
                <w:highlight w:val="none"/>
              </w:rPr>
            </w:pPr>
            <w:r>
              <w:rPr>
                <w:rFonts w:hint="eastAsia" w:ascii="宋体" w:hAnsi="宋体"/>
                <w:color w:val="auto"/>
                <w:sz w:val="24"/>
                <w:highlight w:val="none"/>
              </w:rPr>
              <w:t>适用于本供应商须知的额外增加的变动：采购代理服务费由成交方向新疆招标有限公司支付，支付标准参照发改价格[2011]537号及计价格[2002]1980号文件计算的招标代理服务收费标准执行。</w:t>
            </w:r>
          </w:p>
        </w:tc>
      </w:tr>
    </w:tbl>
    <w:p w14:paraId="2C710987">
      <w:pPr>
        <w:pStyle w:val="14"/>
        <w:spacing w:before="0" w:after="100" w:afterAutospacing="1" w:line="400" w:lineRule="atLeast"/>
        <w:jc w:val="center"/>
        <w:rPr>
          <w:rFonts w:ascii="宋体" w:hAnsi="宋体" w:eastAsia="宋体"/>
          <w:color w:val="auto"/>
          <w:sz w:val="28"/>
          <w:szCs w:val="28"/>
          <w:highlight w:val="none"/>
        </w:rPr>
      </w:pPr>
      <w:r>
        <w:rPr>
          <w:rFonts w:hint="eastAsia" w:ascii="宋体" w:hAnsi="宋体" w:eastAsia="宋体"/>
          <w:color w:val="auto"/>
          <w:sz w:val="28"/>
          <w:szCs w:val="28"/>
          <w:highlight w:val="none"/>
        </w:rPr>
        <w:br w:type="page"/>
      </w:r>
      <w:bookmarkStart w:id="2" w:name="_Toc10731"/>
      <w:r>
        <w:rPr>
          <w:rFonts w:hint="eastAsia" w:ascii="宋体" w:hAnsi="宋体" w:eastAsia="宋体"/>
          <w:color w:val="auto"/>
          <w:sz w:val="28"/>
          <w:szCs w:val="28"/>
          <w:highlight w:val="none"/>
        </w:rPr>
        <w:t>A  说　明</w:t>
      </w:r>
      <w:bookmarkEnd w:id="2"/>
    </w:p>
    <w:p w14:paraId="3D106520">
      <w:pPr>
        <w:spacing w:line="400" w:lineRule="atLeast"/>
        <w:rPr>
          <w:rFonts w:ascii="宋体" w:hAnsi="宋体"/>
          <w:color w:val="auto"/>
          <w:sz w:val="24"/>
          <w:highlight w:val="none"/>
        </w:rPr>
      </w:pPr>
      <w:r>
        <w:rPr>
          <w:rFonts w:hint="eastAsia" w:ascii="宋体" w:hAnsi="宋体"/>
          <w:color w:val="auto"/>
          <w:sz w:val="24"/>
          <w:highlight w:val="none"/>
        </w:rPr>
        <w:t>1. 适用范围</w:t>
      </w:r>
    </w:p>
    <w:p w14:paraId="1B7285AB">
      <w:pPr>
        <w:numPr>
          <w:ilvl w:val="1"/>
          <w:numId w:val="7"/>
        </w:numPr>
        <w:tabs>
          <w:tab w:val="clear" w:pos="360"/>
        </w:tabs>
        <w:spacing w:line="400" w:lineRule="atLeast"/>
        <w:rPr>
          <w:rFonts w:ascii="宋体" w:hAnsi="宋体"/>
          <w:color w:val="auto"/>
          <w:sz w:val="24"/>
          <w:highlight w:val="none"/>
        </w:rPr>
      </w:pPr>
      <w:r>
        <w:rPr>
          <w:rFonts w:hint="eastAsia" w:ascii="宋体" w:hAnsi="宋体"/>
          <w:color w:val="auto"/>
          <w:sz w:val="24"/>
          <w:highlight w:val="none"/>
        </w:rPr>
        <w:t xml:space="preserve"> 本磋商文件仅适用于本次磋商邀请中所叙述项目的服务采购。</w:t>
      </w:r>
    </w:p>
    <w:p w14:paraId="671F01D9">
      <w:pPr>
        <w:spacing w:line="400" w:lineRule="atLeast"/>
        <w:rPr>
          <w:rFonts w:ascii="宋体" w:hAnsi="宋体"/>
          <w:color w:val="auto"/>
          <w:sz w:val="24"/>
          <w:highlight w:val="none"/>
        </w:rPr>
      </w:pPr>
      <w:r>
        <w:rPr>
          <w:rFonts w:hint="eastAsia" w:ascii="宋体" w:hAnsi="宋体"/>
          <w:color w:val="auto"/>
          <w:sz w:val="24"/>
          <w:highlight w:val="none"/>
        </w:rPr>
        <w:t>2．定义</w:t>
      </w:r>
    </w:p>
    <w:p w14:paraId="5C4A121F">
      <w:pPr>
        <w:spacing w:line="400" w:lineRule="atLeast"/>
        <w:rPr>
          <w:rFonts w:ascii="宋体" w:hAnsi="宋体"/>
          <w:color w:val="auto"/>
          <w:sz w:val="24"/>
          <w:highlight w:val="none"/>
        </w:rPr>
      </w:pPr>
      <w:r>
        <w:rPr>
          <w:rFonts w:hint="eastAsia" w:ascii="宋体" w:hAnsi="宋体"/>
          <w:color w:val="auto"/>
          <w:sz w:val="24"/>
          <w:highlight w:val="none"/>
        </w:rPr>
        <w:t>2.1 “采购代理机构”系指新疆招标有限公司；</w:t>
      </w:r>
    </w:p>
    <w:p w14:paraId="69C09868">
      <w:pPr>
        <w:spacing w:line="400" w:lineRule="atLeast"/>
        <w:ind w:left="480" w:hanging="480" w:hangingChars="200"/>
        <w:rPr>
          <w:rFonts w:ascii="宋体" w:hAnsi="宋体"/>
          <w:color w:val="auto"/>
          <w:sz w:val="24"/>
          <w:highlight w:val="none"/>
        </w:rPr>
      </w:pPr>
      <w:r>
        <w:rPr>
          <w:rFonts w:hint="eastAsia" w:ascii="宋体" w:hAnsi="宋体"/>
          <w:color w:val="auto"/>
          <w:sz w:val="24"/>
          <w:highlight w:val="none"/>
        </w:rPr>
        <w:t>2.2 “买方”、“采购人”系指</w:t>
      </w:r>
      <w:r>
        <w:rPr>
          <w:rFonts w:hint="eastAsia" w:ascii="宋体" w:hAnsi="宋体"/>
          <w:color w:val="auto"/>
          <w:sz w:val="24"/>
          <w:szCs w:val="24"/>
          <w:highlight w:val="none"/>
        </w:rPr>
        <w:t>新疆维吾尔自治区建设职工教育培训中心</w:t>
      </w:r>
      <w:r>
        <w:rPr>
          <w:rFonts w:hint="eastAsia" w:ascii="宋体" w:hAnsi="宋体"/>
          <w:color w:val="auto"/>
          <w:sz w:val="24"/>
          <w:highlight w:val="none"/>
        </w:rPr>
        <w:t>；</w:t>
      </w:r>
    </w:p>
    <w:p w14:paraId="4FAA2641">
      <w:pPr>
        <w:spacing w:line="400" w:lineRule="atLeast"/>
        <w:rPr>
          <w:rFonts w:ascii="宋体" w:hAnsi="宋体"/>
          <w:color w:val="auto"/>
          <w:sz w:val="24"/>
          <w:highlight w:val="none"/>
        </w:rPr>
      </w:pPr>
      <w:r>
        <w:rPr>
          <w:rFonts w:hint="eastAsia" w:ascii="宋体" w:hAnsi="宋体"/>
          <w:color w:val="auto"/>
          <w:sz w:val="24"/>
          <w:highlight w:val="none"/>
        </w:rPr>
        <w:t>2.3 “供应商”系指向采购代理机构提交磋商响应文件的服务商；</w:t>
      </w:r>
    </w:p>
    <w:p w14:paraId="09D229F0">
      <w:pPr>
        <w:spacing w:line="400" w:lineRule="atLeast"/>
        <w:rPr>
          <w:rFonts w:ascii="宋体" w:hAnsi="宋体"/>
          <w:color w:val="auto"/>
          <w:sz w:val="24"/>
          <w:highlight w:val="none"/>
        </w:rPr>
      </w:pPr>
      <w:r>
        <w:rPr>
          <w:rFonts w:hint="eastAsia" w:ascii="宋体" w:hAnsi="宋体"/>
          <w:color w:val="auto"/>
          <w:sz w:val="24"/>
          <w:highlight w:val="none"/>
        </w:rPr>
        <w:t>2.4 “成交方”系指在本次项目中将被授予合同的供应商。</w:t>
      </w:r>
    </w:p>
    <w:p w14:paraId="554C6F0B">
      <w:pPr>
        <w:spacing w:line="400" w:lineRule="atLeast"/>
        <w:rPr>
          <w:rFonts w:ascii="宋体" w:hAnsi="宋体"/>
          <w:color w:val="auto"/>
          <w:sz w:val="24"/>
          <w:highlight w:val="none"/>
        </w:rPr>
      </w:pPr>
      <w:r>
        <w:rPr>
          <w:rFonts w:hint="eastAsia" w:ascii="宋体" w:hAnsi="宋体"/>
          <w:color w:val="auto"/>
          <w:sz w:val="24"/>
          <w:highlight w:val="none"/>
        </w:rPr>
        <w:t>3．合格的供应商</w:t>
      </w:r>
    </w:p>
    <w:p w14:paraId="549017C1">
      <w:pPr>
        <w:spacing w:line="400" w:lineRule="atLeast"/>
        <w:ind w:left="480" w:hanging="480" w:hangingChars="200"/>
        <w:rPr>
          <w:rFonts w:ascii="宋体" w:hAnsi="宋体"/>
          <w:color w:val="auto"/>
          <w:sz w:val="24"/>
          <w:highlight w:val="none"/>
        </w:rPr>
      </w:pPr>
      <w:r>
        <w:rPr>
          <w:rFonts w:hint="eastAsia" w:ascii="宋体" w:hAnsi="宋体"/>
          <w:color w:val="auto"/>
          <w:sz w:val="24"/>
          <w:highlight w:val="none"/>
        </w:rPr>
        <w:t>3.1 有能力提供磋商文件中所要求的服务、资格审查合格的为合格的供应商；</w:t>
      </w:r>
    </w:p>
    <w:p w14:paraId="4135BD4D">
      <w:pPr>
        <w:spacing w:line="400" w:lineRule="atLeast"/>
        <w:rPr>
          <w:rFonts w:ascii="宋体" w:hAnsi="宋体"/>
          <w:color w:val="auto"/>
          <w:sz w:val="24"/>
          <w:highlight w:val="none"/>
        </w:rPr>
      </w:pPr>
      <w:r>
        <w:rPr>
          <w:rFonts w:hint="eastAsia" w:ascii="宋体" w:hAnsi="宋体"/>
          <w:color w:val="auto"/>
          <w:sz w:val="24"/>
          <w:highlight w:val="none"/>
        </w:rPr>
        <w:t>3.2 供应商必须遵守有关的国内法律和规章条例。</w:t>
      </w:r>
    </w:p>
    <w:p w14:paraId="438C5980">
      <w:pPr>
        <w:spacing w:line="400" w:lineRule="atLeast"/>
        <w:ind w:left="482" w:hanging="482" w:hangingChars="200"/>
        <w:rPr>
          <w:rFonts w:ascii="宋体" w:hAnsi="宋体"/>
          <w:b/>
          <w:color w:val="auto"/>
          <w:sz w:val="24"/>
          <w:highlight w:val="none"/>
        </w:rPr>
      </w:pPr>
      <w:r>
        <w:rPr>
          <w:rFonts w:hint="eastAsia" w:ascii="宋体" w:hAnsi="宋体"/>
          <w:b/>
          <w:color w:val="auto"/>
          <w:sz w:val="24"/>
          <w:highlight w:val="none"/>
        </w:rPr>
        <w:t>4．供应商资格(响应无效因素)详见“供应商须知附表第6条”。</w:t>
      </w:r>
    </w:p>
    <w:p w14:paraId="27585E5F">
      <w:pPr>
        <w:tabs>
          <w:tab w:val="left" w:pos="252"/>
          <w:tab w:val="left" w:pos="671"/>
        </w:tabs>
        <w:rPr>
          <w:rFonts w:ascii="宋体" w:hAnsi="宋体"/>
          <w:color w:val="auto"/>
          <w:sz w:val="24"/>
          <w:highlight w:val="none"/>
        </w:rPr>
      </w:pPr>
      <w:r>
        <w:rPr>
          <w:rFonts w:hint="eastAsia" w:ascii="宋体" w:hAnsi="宋体"/>
          <w:color w:val="auto"/>
          <w:sz w:val="24"/>
          <w:highlight w:val="none"/>
        </w:rPr>
        <w:t>5．磋商费用</w:t>
      </w:r>
    </w:p>
    <w:p w14:paraId="08C810D8">
      <w:pPr>
        <w:spacing w:line="400" w:lineRule="atLeast"/>
        <w:ind w:left="480" w:hanging="480"/>
        <w:rPr>
          <w:rFonts w:ascii="宋体" w:hAnsi="宋体"/>
          <w:color w:val="auto"/>
          <w:sz w:val="24"/>
          <w:highlight w:val="none"/>
        </w:rPr>
      </w:pPr>
      <w:r>
        <w:rPr>
          <w:rFonts w:hint="eastAsia" w:ascii="宋体" w:hAnsi="宋体"/>
          <w:color w:val="auto"/>
          <w:sz w:val="24"/>
          <w:highlight w:val="none"/>
        </w:rPr>
        <w:t>5.1无论磋商结果如何，供应商将自行承担所有与参加磋商有关的全部费用。</w:t>
      </w:r>
    </w:p>
    <w:p w14:paraId="3509422C">
      <w:pPr>
        <w:spacing w:line="400" w:lineRule="atLeast"/>
        <w:ind w:left="480" w:hanging="480"/>
        <w:rPr>
          <w:rFonts w:ascii="宋体" w:hAnsi="宋体"/>
          <w:color w:val="auto"/>
          <w:sz w:val="24"/>
          <w:highlight w:val="none"/>
        </w:rPr>
      </w:pPr>
    </w:p>
    <w:p w14:paraId="16C91E2A">
      <w:pPr>
        <w:pStyle w:val="14"/>
        <w:spacing w:before="100" w:beforeAutospacing="1" w:after="100" w:afterAutospacing="1" w:line="400" w:lineRule="atLeast"/>
        <w:jc w:val="center"/>
        <w:rPr>
          <w:rFonts w:ascii="宋体" w:hAnsi="宋体" w:eastAsia="宋体"/>
          <w:color w:val="auto"/>
          <w:sz w:val="28"/>
          <w:szCs w:val="28"/>
          <w:highlight w:val="none"/>
        </w:rPr>
      </w:pPr>
      <w:bookmarkStart w:id="3" w:name="_Toc349573122"/>
      <w:bookmarkStart w:id="4" w:name="_Toc298240406"/>
      <w:bookmarkStart w:id="5" w:name="_Toc22554"/>
      <w:bookmarkStart w:id="6" w:name="_Toc349637921"/>
      <w:bookmarkStart w:id="7" w:name="_Toc267301283"/>
      <w:r>
        <w:rPr>
          <w:rFonts w:hint="eastAsia" w:ascii="宋体" w:hAnsi="宋体" w:eastAsia="宋体"/>
          <w:color w:val="auto"/>
          <w:sz w:val="28"/>
          <w:szCs w:val="28"/>
          <w:highlight w:val="none"/>
        </w:rPr>
        <w:t>B  磋商文件</w:t>
      </w:r>
      <w:bookmarkEnd w:id="3"/>
      <w:bookmarkEnd w:id="4"/>
      <w:bookmarkEnd w:id="5"/>
      <w:bookmarkEnd w:id="6"/>
      <w:bookmarkEnd w:id="7"/>
    </w:p>
    <w:p w14:paraId="5DACF971">
      <w:pPr>
        <w:spacing w:line="400" w:lineRule="atLeast"/>
        <w:rPr>
          <w:rFonts w:ascii="宋体" w:hAnsi="宋体"/>
          <w:color w:val="auto"/>
          <w:sz w:val="24"/>
          <w:highlight w:val="none"/>
        </w:rPr>
      </w:pPr>
      <w:r>
        <w:rPr>
          <w:rFonts w:hint="eastAsia" w:ascii="宋体" w:hAnsi="宋体"/>
          <w:color w:val="auto"/>
          <w:sz w:val="24"/>
          <w:highlight w:val="none"/>
        </w:rPr>
        <w:t>6．磋商文件构成</w:t>
      </w:r>
    </w:p>
    <w:p w14:paraId="34E3B3AC">
      <w:pPr>
        <w:spacing w:line="400" w:lineRule="atLeast"/>
        <w:rPr>
          <w:rFonts w:ascii="宋体" w:hAnsi="宋体"/>
          <w:color w:val="auto"/>
          <w:sz w:val="24"/>
          <w:highlight w:val="none"/>
        </w:rPr>
      </w:pPr>
      <w:r>
        <w:rPr>
          <w:rFonts w:hint="eastAsia" w:ascii="宋体" w:hAnsi="宋体"/>
          <w:color w:val="auto"/>
          <w:sz w:val="24"/>
          <w:highlight w:val="none"/>
        </w:rPr>
        <w:t>6.1磋商文件包括：</w:t>
      </w:r>
    </w:p>
    <w:p w14:paraId="2E924A2E">
      <w:pPr>
        <w:spacing w:line="400" w:lineRule="atLeast"/>
        <w:ind w:firstLine="240"/>
        <w:rPr>
          <w:rFonts w:ascii="宋体" w:hAnsi="宋体"/>
          <w:color w:val="auto"/>
          <w:sz w:val="24"/>
          <w:highlight w:val="none"/>
        </w:rPr>
      </w:pPr>
      <w:r>
        <w:rPr>
          <w:rFonts w:hint="eastAsia" w:ascii="宋体" w:hAnsi="宋体"/>
          <w:color w:val="auto"/>
          <w:sz w:val="24"/>
          <w:highlight w:val="none"/>
        </w:rPr>
        <w:t>（1）磋商邀请；</w:t>
      </w:r>
    </w:p>
    <w:p w14:paraId="75E8ABF0">
      <w:pPr>
        <w:spacing w:line="400" w:lineRule="atLeast"/>
        <w:ind w:firstLine="240"/>
        <w:rPr>
          <w:rFonts w:ascii="宋体" w:hAnsi="宋体"/>
          <w:color w:val="auto"/>
          <w:sz w:val="24"/>
          <w:highlight w:val="none"/>
        </w:rPr>
      </w:pPr>
      <w:r>
        <w:rPr>
          <w:rFonts w:hint="eastAsia" w:ascii="宋体" w:hAnsi="宋体"/>
          <w:color w:val="auto"/>
          <w:sz w:val="24"/>
          <w:highlight w:val="none"/>
        </w:rPr>
        <w:t>（2）供应商须知；</w:t>
      </w:r>
    </w:p>
    <w:p w14:paraId="2F03A4B1">
      <w:pPr>
        <w:spacing w:line="400" w:lineRule="atLeast"/>
        <w:ind w:firstLine="240"/>
        <w:rPr>
          <w:rFonts w:ascii="宋体" w:hAnsi="宋体"/>
          <w:color w:val="auto"/>
          <w:sz w:val="24"/>
          <w:highlight w:val="none"/>
        </w:rPr>
      </w:pPr>
      <w:r>
        <w:rPr>
          <w:rFonts w:hint="eastAsia" w:ascii="宋体" w:hAnsi="宋体"/>
          <w:color w:val="auto"/>
          <w:sz w:val="24"/>
          <w:highlight w:val="none"/>
        </w:rPr>
        <w:t>（3）服务需求；</w:t>
      </w:r>
    </w:p>
    <w:p w14:paraId="638230BE">
      <w:pPr>
        <w:spacing w:line="400" w:lineRule="atLeast"/>
        <w:ind w:firstLine="240"/>
        <w:rPr>
          <w:rFonts w:ascii="宋体" w:hAnsi="宋体"/>
          <w:color w:val="auto"/>
          <w:sz w:val="24"/>
          <w:highlight w:val="none"/>
        </w:rPr>
      </w:pPr>
      <w:r>
        <w:rPr>
          <w:rFonts w:hint="eastAsia" w:ascii="宋体" w:hAnsi="宋体"/>
          <w:color w:val="auto"/>
          <w:sz w:val="24"/>
          <w:highlight w:val="none"/>
        </w:rPr>
        <w:t>（4）合同条款；</w:t>
      </w:r>
    </w:p>
    <w:p w14:paraId="093A45F1">
      <w:pPr>
        <w:spacing w:line="400" w:lineRule="atLeast"/>
        <w:ind w:firstLine="240"/>
        <w:rPr>
          <w:rFonts w:ascii="宋体" w:hAnsi="宋体"/>
          <w:color w:val="auto"/>
          <w:sz w:val="24"/>
          <w:highlight w:val="none"/>
        </w:rPr>
      </w:pPr>
      <w:r>
        <w:rPr>
          <w:rFonts w:hint="eastAsia" w:ascii="宋体" w:hAnsi="宋体"/>
          <w:color w:val="auto"/>
          <w:sz w:val="24"/>
          <w:highlight w:val="none"/>
        </w:rPr>
        <w:t>（5）范本格式。</w:t>
      </w:r>
    </w:p>
    <w:p w14:paraId="0820E34A">
      <w:pPr>
        <w:spacing w:line="400" w:lineRule="atLeast"/>
        <w:rPr>
          <w:rFonts w:ascii="宋体" w:hAnsi="宋体"/>
          <w:color w:val="auto"/>
          <w:sz w:val="24"/>
          <w:highlight w:val="none"/>
        </w:rPr>
      </w:pPr>
      <w:r>
        <w:rPr>
          <w:rFonts w:hint="eastAsia" w:ascii="宋体" w:hAnsi="宋体"/>
          <w:color w:val="auto"/>
          <w:sz w:val="24"/>
          <w:highlight w:val="none"/>
        </w:rPr>
        <w:t>6.2 磋商文件以中文编写。</w:t>
      </w:r>
    </w:p>
    <w:p w14:paraId="59921FC1">
      <w:pPr>
        <w:spacing w:line="400" w:lineRule="atLeast"/>
        <w:ind w:left="360" w:hanging="360" w:hangingChars="150"/>
        <w:rPr>
          <w:rFonts w:ascii="宋体" w:hAnsi="宋体"/>
          <w:color w:val="auto"/>
          <w:sz w:val="24"/>
          <w:highlight w:val="none"/>
        </w:rPr>
      </w:pPr>
      <w:r>
        <w:rPr>
          <w:rFonts w:hint="eastAsia" w:ascii="宋体" w:hAnsi="宋体"/>
          <w:color w:val="auto"/>
          <w:sz w:val="24"/>
          <w:highlight w:val="none"/>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427063A4">
      <w:pPr>
        <w:spacing w:line="400" w:lineRule="atLeast"/>
        <w:rPr>
          <w:rFonts w:ascii="宋体" w:hAnsi="宋体"/>
          <w:color w:val="auto"/>
          <w:sz w:val="24"/>
          <w:highlight w:val="none"/>
        </w:rPr>
      </w:pPr>
      <w:r>
        <w:rPr>
          <w:rFonts w:hint="eastAsia" w:ascii="宋体" w:hAnsi="宋体"/>
          <w:color w:val="auto"/>
          <w:sz w:val="24"/>
          <w:highlight w:val="none"/>
        </w:rPr>
        <w:t>7．磋商文件澄清</w:t>
      </w:r>
    </w:p>
    <w:p w14:paraId="536EB421">
      <w:pPr>
        <w:spacing w:line="400" w:lineRule="atLeast"/>
        <w:ind w:left="480" w:hanging="480"/>
        <w:rPr>
          <w:rFonts w:ascii="宋体" w:hAnsi="宋体"/>
          <w:color w:val="auto"/>
          <w:sz w:val="24"/>
          <w:highlight w:val="none"/>
        </w:rPr>
      </w:pPr>
      <w:r>
        <w:rPr>
          <w:rFonts w:hint="eastAsia" w:ascii="宋体" w:hAnsi="宋体"/>
          <w:color w:val="auto"/>
          <w:sz w:val="24"/>
          <w:highlight w:val="none"/>
        </w:rPr>
        <w:t>7.1 供应商对磋商文件有疑问的，可以向采购代理机构提出询问，采购代理机构将及时做出答复；</w:t>
      </w:r>
    </w:p>
    <w:p w14:paraId="567E66E1">
      <w:pPr>
        <w:spacing w:line="400" w:lineRule="atLeast"/>
        <w:ind w:left="480" w:hanging="480"/>
        <w:rPr>
          <w:rFonts w:ascii="宋体" w:hAnsi="宋体"/>
          <w:color w:val="auto"/>
          <w:sz w:val="24"/>
          <w:highlight w:val="none"/>
        </w:rPr>
      </w:pPr>
      <w:r>
        <w:rPr>
          <w:rFonts w:hint="eastAsia" w:ascii="宋体" w:hAnsi="宋体"/>
          <w:color w:val="auto"/>
          <w:sz w:val="24"/>
          <w:highlight w:val="none"/>
        </w:rPr>
        <w:t>7.2 供应商对磋商文件有质疑，须在得到磋商文件之日起至质疑截止时间止，以书面形式向采购代理机构提出质疑；采购代理机构在收到书面质疑后7个工作日内做出答复，并以书面形式通知质疑供应商。</w:t>
      </w:r>
    </w:p>
    <w:p w14:paraId="5DCB3C83">
      <w:pPr>
        <w:spacing w:line="400" w:lineRule="atLeast"/>
        <w:rPr>
          <w:rFonts w:ascii="宋体" w:hAnsi="宋体"/>
          <w:color w:val="auto"/>
          <w:sz w:val="24"/>
          <w:highlight w:val="none"/>
        </w:rPr>
      </w:pPr>
      <w:r>
        <w:rPr>
          <w:rFonts w:hint="eastAsia" w:ascii="宋体" w:hAnsi="宋体"/>
          <w:color w:val="auto"/>
          <w:sz w:val="24"/>
          <w:highlight w:val="none"/>
        </w:rPr>
        <w:t>8.  磋商文件的修改</w:t>
      </w:r>
    </w:p>
    <w:p w14:paraId="0FDCA22B">
      <w:pPr>
        <w:spacing w:line="400" w:lineRule="atLeast"/>
        <w:ind w:left="480" w:hanging="480"/>
        <w:rPr>
          <w:rFonts w:ascii="宋体" w:hAnsi="宋体"/>
          <w:color w:val="auto"/>
          <w:sz w:val="24"/>
          <w:highlight w:val="none"/>
        </w:rPr>
      </w:pPr>
      <w:r>
        <w:rPr>
          <w:rFonts w:hint="eastAsia" w:ascii="宋体" w:hAnsi="宋体"/>
          <w:color w:val="auto"/>
          <w:sz w:val="24"/>
          <w:highlight w:val="none"/>
        </w:rPr>
        <w:t>8.1 对磋商文件进行必要的修改，采购代理机构将在截止时间5日前以书面形式通知所有购买磋商文件的供应商。该修改的内容为磋商文件的组成部分；</w:t>
      </w:r>
    </w:p>
    <w:p w14:paraId="411BAE64">
      <w:pPr>
        <w:spacing w:line="400" w:lineRule="atLeast"/>
        <w:ind w:left="480" w:hanging="480"/>
        <w:rPr>
          <w:rFonts w:ascii="宋体" w:hAnsi="宋体"/>
          <w:color w:val="auto"/>
          <w:sz w:val="24"/>
          <w:highlight w:val="none"/>
        </w:rPr>
      </w:pPr>
      <w:r>
        <w:rPr>
          <w:rFonts w:hint="eastAsia" w:ascii="宋体" w:hAnsi="宋体"/>
          <w:color w:val="auto"/>
          <w:sz w:val="24"/>
          <w:highlight w:val="none"/>
        </w:rPr>
        <w:t>8.2 在磋商截止时间前，采购代理机构可视具体情况延长磋商截止时间，并将变更时间书面通知所有购买磋商文件的供应商。</w:t>
      </w:r>
    </w:p>
    <w:p w14:paraId="686E52D8">
      <w:pPr>
        <w:spacing w:line="400" w:lineRule="atLeast"/>
        <w:ind w:left="480" w:hanging="480"/>
        <w:rPr>
          <w:rFonts w:ascii="宋体" w:hAnsi="宋体"/>
          <w:color w:val="auto"/>
          <w:sz w:val="24"/>
          <w:highlight w:val="none"/>
        </w:rPr>
      </w:pPr>
    </w:p>
    <w:p w14:paraId="3974D118">
      <w:pPr>
        <w:pStyle w:val="14"/>
        <w:spacing w:before="100" w:beforeAutospacing="1" w:after="100" w:afterAutospacing="1" w:line="400" w:lineRule="atLeast"/>
        <w:jc w:val="center"/>
        <w:rPr>
          <w:rFonts w:ascii="宋体" w:hAnsi="宋体" w:eastAsia="宋体"/>
          <w:color w:val="auto"/>
          <w:sz w:val="28"/>
          <w:szCs w:val="28"/>
          <w:highlight w:val="none"/>
        </w:rPr>
      </w:pPr>
      <w:bookmarkStart w:id="8" w:name="_Toc267301284"/>
      <w:bookmarkStart w:id="9" w:name="_Toc349637922"/>
      <w:bookmarkStart w:id="10" w:name="_Toc298240407"/>
      <w:bookmarkStart w:id="11" w:name="_Toc30633"/>
      <w:bookmarkStart w:id="12" w:name="_Toc349573123"/>
      <w:r>
        <w:rPr>
          <w:rFonts w:hint="eastAsia" w:ascii="宋体" w:hAnsi="宋体" w:eastAsia="宋体"/>
          <w:color w:val="auto"/>
          <w:sz w:val="28"/>
          <w:szCs w:val="28"/>
          <w:highlight w:val="none"/>
        </w:rPr>
        <w:t>C  磋商响应文件的编写</w:t>
      </w:r>
      <w:bookmarkEnd w:id="8"/>
      <w:bookmarkEnd w:id="9"/>
      <w:bookmarkEnd w:id="10"/>
      <w:bookmarkEnd w:id="11"/>
      <w:bookmarkEnd w:id="12"/>
    </w:p>
    <w:p w14:paraId="5CE209D8">
      <w:pPr>
        <w:spacing w:line="400" w:lineRule="atLeast"/>
        <w:rPr>
          <w:rFonts w:ascii="宋体" w:hAnsi="宋体"/>
          <w:color w:val="auto"/>
          <w:sz w:val="24"/>
          <w:highlight w:val="none"/>
        </w:rPr>
      </w:pPr>
      <w:r>
        <w:rPr>
          <w:rFonts w:hint="eastAsia" w:ascii="宋体" w:hAnsi="宋体"/>
          <w:color w:val="auto"/>
          <w:sz w:val="24"/>
          <w:highlight w:val="none"/>
        </w:rPr>
        <w:t>9．要求</w:t>
      </w:r>
    </w:p>
    <w:p w14:paraId="4311134C">
      <w:pPr>
        <w:spacing w:line="400" w:lineRule="atLeast"/>
        <w:ind w:left="360" w:hanging="360" w:hangingChars="150"/>
        <w:rPr>
          <w:rFonts w:ascii="宋体" w:hAnsi="宋体"/>
          <w:color w:val="auto"/>
          <w:sz w:val="24"/>
          <w:highlight w:val="none"/>
        </w:rPr>
      </w:pPr>
      <w:r>
        <w:rPr>
          <w:rFonts w:hint="eastAsia" w:ascii="宋体" w:hAnsi="宋体"/>
          <w:color w:val="auto"/>
          <w:sz w:val="24"/>
          <w:highlight w:val="none"/>
        </w:rPr>
        <w:t>9.1 供应商应仔细阅读磋商文件的所有内容，按磋商文件的要求提供磋商响应文件，并保证所提供的全部资料的真实性，以使其磋商对磋商文件作出实质性响应，否则，其磋商可能被拒绝。</w:t>
      </w:r>
    </w:p>
    <w:p w14:paraId="4F8DE436">
      <w:pPr>
        <w:spacing w:line="400" w:lineRule="atLeast"/>
        <w:rPr>
          <w:rFonts w:ascii="宋体" w:hAnsi="宋体"/>
          <w:color w:val="auto"/>
          <w:sz w:val="24"/>
          <w:highlight w:val="none"/>
        </w:rPr>
      </w:pPr>
      <w:r>
        <w:rPr>
          <w:rFonts w:hint="eastAsia" w:ascii="宋体" w:hAnsi="宋体"/>
          <w:color w:val="auto"/>
          <w:sz w:val="24"/>
          <w:highlight w:val="none"/>
        </w:rPr>
        <w:t>10．磋商语言</w:t>
      </w:r>
    </w:p>
    <w:p w14:paraId="245BD9EE">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10.1磋商响应文件及供应商与采购代理机构就磋商交换的文件和来往信件，应以中文书写。</w:t>
      </w:r>
    </w:p>
    <w:p w14:paraId="19D029ED">
      <w:pPr>
        <w:spacing w:line="400" w:lineRule="atLeast"/>
        <w:rPr>
          <w:rFonts w:ascii="宋体" w:hAnsi="宋体"/>
          <w:color w:val="auto"/>
          <w:sz w:val="24"/>
          <w:highlight w:val="none"/>
        </w:rPr>
      </w:pPr>
      <w:r>
        <w:rPr>
          <w:rFonts w:hint="eastAsia" w:ascii="宋体" w:hAnsi="宋体"/>
          <w:color w:val="auto"/>
          <w:sz w:val="24"/>
          <w:highlight w:val="none"/>
        </w:rPr>
        <w:t>11．磋商响应文件的构成</w:t>
      </w:r>
    </w:p>
    <w:p w14:paraId="3A1DEDD3">
      <w:pPr>
        <w:spacing w:line="400" w:lineRule="atLeast"/>
        <w:rPr>
          <w:rFonts w:ascii="宋体" w:hAnsi="宋体"/>
          <w:color w:val="auto"/>
          <w:sz w:val="24"/>
          <w:highlight w:val="none"/>
        </w:rPr>
      </w:pPr>
      <w:r>
        <w:rPr>
          <w:rFonts w:hint="eastAsia" w:ascii="宋体" w:hAnsi="宋体"/>
          <w:color w:val="auto"/>
          <w:sz w:val="24"/>
          <w:highlight w:val="none"/>
        </w:rPr>
        <w:t>11.1 供应商编写的磋商响应文件应包括下列内容：</w:t>
      </w:r>
    </w:p>
    <w:p w14:paraId="4B9178BF">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szCs w:val="24"/>
          <w:highlight w:val="none"/>
        </w:rPr>
        <w:t>）</w:t>
      </w:r>
      <w:r>
        <w:rPr>
          <w:rFonts w:hint="eastAsia" w:ascii="宋体" w:hAnsi="宋体"/>
          <w:color w:val="auto"/>
          <w:sz w:val="24"/>
          <w:highlight w:val="none"/>
        </w:rPr>
        <w:t>磋商响应书</w:t>
      </w:r>
    </w:p>
    <w:p w14:paraId="7E4D1087">
      <w:pPr>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szCs w:val="24"/>
          <w:highlight w:val="none"/>
        </w:rPr>
        <w:t>）</w:t>
      </w:r>
      <w:r>
        <w:rPr>
          <w:rFonts w:hint="eastAsia" w:ascii="宋体" w:hAnsi="宋体"/>
          <w:color w:val="auto"/>
          <w:sz w:val="24"/>
          <w:highlight w:val="none"/>
        </w:rPr>
        <w:t>报价表</w:t>
      </w:r>
    </w:p>
    <w:p w14:paraId="30A05403">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szCs w:val="24"/>
          <w:highlight w:val="none"/>
        </w:rPr>
        <w:t>）</w:t>
      </w:r>
      <w:r>
        <w:rPr>
          <w:rFonts w:hint="eastAsia" w:ascii="宋体" w:hAnsi="宋体"/>
          <w:color w:val="auto"/>
          <w:sz w:val="24"/>
          <w:highlight w:val="none"/>
        </w:rPr>
        <w:t>分项报价表</w:t>
      </w:r>
    </w:p>
    <w:p w14:paraId="7FFD744B">
      <w:pPr>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szCs w:val="24"/>
          <w:highlight w:val="none"/>
        </w:rPr>
        <w:t>）</w:t>
      </w:r>
      <w:r>
        <w:rPr>
          <w:rFonts w:hint="eastAsia" w:ascii="宋体" w:hAnsi="宋体"/>
          <w:color w:val="auto"/>
          <w:sz w:val="24"/>
          <w:highlight w:val="none"/>
        </w:rPr>
        <w:t>法定代表人身份证明书</w:t>
      </w:r>
    </w:p>
    <w:p w14:paraId="544AA842">
      <w:pPr>
        <w:pStyle w:val="37"/>
        <w:ind w:firstLine="480" w:firstLineChars="200"/>
        <w:rPr>
          <w:rFonts w:ascii="宋体" w:hAnsi="宋体"/>
          <w:color w:val="auto"/>
          <w:highlight w:val="none"/>
        </w:rPr>
      </w:pPr>
      <w:r>
        <w:rPr>
          <w:rFonts w:hint="eastAsia" w:ascii="宋体" w:hAnsi="宋体"/>
          <w:color w:val="auto"/>
          <w:highlight w:val="none"/>
        </w:rPr>
        <w:t>5</w:t>
      </w:r>
      <w:r>
        <w:rPr>
          <w:rFonts w:hint="eastAsia" w:ascii="宋体" w:hAnsi="宋体"/>
          <w:color w:val="auto"/>
          <w:szCs w:val="24"/>
          <w:highlight w:val="none"/>
        </w:rPr>
        <w:t>）</w:t>
      </w:r>
      <w:r>
        <w:rPr>
          <w:rFonts w:hint="eastAsia" w:ascii="宋体" w:hAnsi="宋体"/>
          <w:color w:val="auto"/>
          <w:highlight w:val="none"/>
        </w:rPr>
        <w:t>法人代表授权书</w:t>
      </w:r>
    </w:p>
    <w:p w14:paraId="7E108FE8">
      <w:pPr>
        <w:ind w:firstLine="480" w:firstLineChars="200"/>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szCs w:val="24"/>
          <w:highlight w:val="none"/>
        </w:rPr>
        <w:t>）</w:t>
      </w:r>
      <w:r>
        <w:rPr>
          <w:rFonts w:hint="eastAsia" w:ascii="宋体" w:hAnsi="宋体"/>
          <w:color w:val="auto"/>
          <w:sz w:val="24"/>
          <w:highlight w:val="none"/>
        </w:rPr>
        <w:t>关于资格的声明函</w:t>
      </w:r>
    </w:p>
    <w:p w14:paraId="5597B967">
      <w:pPr>
        <w:pStyle w:val="37"/>
        <w:ind w:firstLine="480" w:firstLineChars="200"/>
        <w:rPr>
          <w:rFonts w:ascii="宋体" w:hAnsi="宋体"/>
          <w:color w:val="auto"/>
          <w:highlight w:val="none"/>
        </w:rPr>
      </w:pPr>
      <w:r>
        <w:rPr>
          <w:rFonts w:hint="eastAsia" w:ascii="宋体" w:hAnsi="宋体"/>
          <w:color w:val="auto"/>
          <w:highlight w:val="none"/>
        </w:rPr>
        <w:t>7</w:t>
      </w:r>
      <w:r>
        <w:rPr>
          <w:rFonts w:hint="eastAsia" w:ascii="宋体" w:hAnsi="宋体"/>
          <w:color w:val="auto"/>
          <w:szCs w:val="24"/>
          <w:highlight w:val="none"/>
        </w:rPr>
        <w:t>）服务需求</w:t>
      </w:r>
      <w:r>
        <w:rPr>
          <w:rFonts w:hint="eastAsia" w:ascii="宋体" w:hAnsi="宋体"/>
          <w:color w:val="auto"/>
          <w:highlight w:val="none"/>
        </w:rPr>
        <w:t>偏离表</w:t>
      </w:r>
    </w:p>
    <w:p w14:paraId="57392424">
      <w:pPr>
        <w:ind w:firstLine="480" w:firstLineChars="200"/>
        <w:rPr>
          <w:rFonts w:ascii="宋体" w:hAnsi="宋体"/>
          <w:color w:val="auto"/>
          <w:sz w:val="24"/>
          <w:highlight w:val="none"/>
        </w:rPr>
      </w:pPr>
      <w:r>
        <w:rPr>
          <w:rFonts w:hint="eastAsia" w:ascii="宋体" w:hAnsi="宋体"/>
          <w:color w:val="auto"/>
          <w:sz w:val="24"/>
          <w:highlight w:val="none"/>
        </w:rPr>
        <w:t>8）近三年类似项目业绩</w:t>
      </w:r>
    </w:p>
    <w:p w14:paraId="48EF977B">
      <w:pPr>
        <w:pStyle w:val="37"/>
        <w:ind w:firstLine="480" w:firstLineChars="200"/>
        <w:rPr>
          <w:rFonts w:ascii="宋体" w:hAnsi="宋体"/>
          <w:color w:val="auto"/>
          <w:highlight w:val="none"/>
        </w:rPr>
      </w:pPr>
      <w:r>
        <w:rPr>
          <w:rFonts w:hint="eastAsia" w:ascii="宋体" w:hAnsi="宋体"/>
          <w:color w:val="auto"/>
          <w:highlight w:val="none"/>
        </w:rPr>
        <w:t>9）资格证明文件</w:t>
      </w:r>
    </w:p>
    <w:p w14:paraId="6B9C9551">
      <w:pPr>
        <w:ind w:firstLine="480" w:firstLineChars="200"/>
        <w:rPr>
          <w:rFonts w:ascii="宋体" w:hAnsi="宋体"/>
          <w:color w:val="auto"/>
          <w:sz w:val="24"/>
          <w:highlight w:val="none"/>
        </w:rPr>
      </w:pPr>
      <w:r>
        <w:rPr>
          <w:rFonts w:hint="eastAsia" w:ascii="宋体" w:hAnsi="宋体"/>
          <w:color w:val="auto"/>
          <w:sz w:val="24"/>
          <w:highlight w:val="none"/>
        </w:rPr>
        <w:t>10）项目实施方案</w:t>
      </w:r>
    </w:p>
    <w:p w14:paraId="01A4FBD4">
      <w:pPr>
        <w:pStyle w:val="37"/>
        <w:ind w:firstLine="480" w:firstLineChars="200"/>
        <w:rPr>
          <w:rFonts w:ascii="宋体" w:hAnsi="宋体"/>
          <w:color w:val="auto"/>
          <w:highlight w:val="none"/>
        </w:rPr>
      </w:pPr>
      <w:r>
        <w:rPr>
          <w:rFonts w:hint="eastAsia" w:ascii="宋体" w:hAnsi="宋体"/>
          <w:color w:val="auto"/>
          <w:highlight w:val="none"/>
        </w:rPr>
        <w:t>11</w:t>
      </w:r>
      <w:r>
        <w:rPr>
          <w:rFonts w:hint="eastAsia" w:ascii="宋体" w:hAnsi="宋体"/>
          <w:color w:val="auto"/>
          <w:szCs w:val="24"/>
          <w:highlight w:val="none"/>
        </w:rPr>
        <w:t>）项目负责人基本情况表</w:t>
      </w:r>
    </w:p>
    <w:p w14:paraId="469BF7FE">
      <w:pPr>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color w:val="auto"/>
          <w:sz w:val="24"/>
          <w:highlight w:val="none"/>
        </w:rPr>
        <w:t>供应商诚信承诺书</w:t>
      </w:r>
    </w:p>
    <w:p w14:paraId="7BC84D5E">
      <w:pPr>
        <w:spacing w:line="400" w:lineRule="atLeast"/>
        <w:rPr>
          <w:rFonts w:ascii="宋体" w:hAnsi="宋体"/>
          <w:color w:val="auto"/>
          <w:sz w:val="24"/>
          <w:highlight w:val="none"/>
        </w:rPr>
      </w:pPr>
      <w:r>
        <w:rPr>
          <w:rFonts w:hint="eastAsia" w:ascii="宋体" w:hAnsi="宋体"/>
          <w:color w:val="auto"/>
          <w:sz w:val="24"/>
          <w:highlight w:val="none"/>
        </w:rPr>
        <w:t>12．磋商响应文件格式</w:t>
      </w:r>
    </w:p>
    <w:p w14:paraId="6FD55639">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12.1 供应商应按磋商文件的范本格式中提供的磋商响应文件格式填写磋商响应书、开标一览表、分项报价表。</w:t>
      </w:r>
    </w:p>
    <w:p w14:paraId="44E1BF75">
      <w:pPr>
        <w:spacing w:line="400" w:lineRule="atLeast"/>
        <w:rPr>
          <w:rFonts w:ascii="宋体" w:hAnsi="宋体"/>
          <w:color w:val="auto"/>
          <w:sz w:val="24"/>
          <w:highlight w:val="none"/>
        </w:rPr>
      </w:pPr>
      <w:r>
        <w:rPr>
          <w:rFonts w:hint="eastAsia" w:ascii="宋体" w:hAnsi="宋体"/>
          <w:color w:val="auto"/>
          <w:sz w:val="24"/>
          <w:highlight w:val="none"/>
        </w:rPr>
        <w:t>13．磋商报价</w:t>
      </w:r>
    </w:p>
    <w:p w14:paraId="7C1DB852">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13.1除本磋商文件另有规定外，供应商应按磋商文件所附相应的磋商一览表格式标明拟提供服务的单价和总价等内容。报价以人民币报价，不接受有任何选择性报价。</w:t>
      </w:r>
    </w:p>
    <w:p w14:paraId="7188D77B">
      <w:pPr>
        <w:spacing w:line="400" w:lineRule="atLeast"/>
        <w:rPr>
          <w:rFonts w:ascii="宋体" w:hAnsi="宋体"/>
          <w:color w:val="auto"/>
          <w:sz w:val="24"/>
          <w:highlight w:val="none"/>
        </w:rPr>
      </w:pPr>
      <w:r>
        <w:rPr>
          <w:rFonts w:hint="eastAsia" w:ascii="宋体" w:hAnsi="宋体"/>
          <w:color w:val="auto"/>
          <w:sz w:val="24"/>
          <w:highlight w:val="none"/>
        </w:rPr>
        <w:t>13.2 磋商报价应注意下列要求：</w:t>
      </w:r>
    </w:p>
    <w:p w14:paraId="0EA6FF56">
      <w:pPr>
        <w:spacing w:line="400" w:lineRule="atLeast"/>
        <w:rPr>
          <w:rFonts w:ascii="宋体" w:hAnsi="宋体"/>
          <w:color w:val="auto"/>
          <w:sz w:val="24"/>
          <w:highlight w:val="none"/>
        </w:rPr>
      </w:pPr>
      <w:r>
        <w:rPr>
          <w:rFonts w:hint="eastAsia" w:ascii="宋体" w:hAnsi="宋体"/>
          <w:color w:val="auto"/>
          <w:sz w:val="24"/>
          <w:highlight w:val="none"/>
        </w:rPr>
        <w:t>13.2.1磋商报价应包括实施该项目涵盖的所有费用。</w:t>
      </w:r>
    </w:p>
    <w:p w14:paraId="6095AB7B">
      <w:pPr>
        <w:spacing w:line="400" w:lineRule="atLeast"/>
        <w:ind w:left="629" w:hanging="628" w:hangingChars="262"/>
        <w:rPr>
          <w:rFonts w:ascii="宋体" w:hAnsi="宋体"/>
          <w:color w:val="auto"/>
          <w:sz w:val="24"/>
          <w:highlight w:val="none"/>
        </w:rPr>
      </w:pPr>
      <w:r>
        <w:rPr>
          <w:rFonts w:hint="eastAsia" w:ascii="宋体" w:hAnsi="宋体"/>
          <w:color w:val="auto"/>
          <w:sz w:val="24"/>
          <w:highlight w:val="none"/>
        </w:rPr>
        <w:t>13.3 算术性修正。算术性修正是指对磋商响应文件的报价明细进行校核，并对其算术上和运算上的差错给予修正。修正的原则如下：</w:t>
      </w:r>
    </w:p>
    <w:p w14:paraId="268EFBBC">
      <w:pPr>
        <w:spacing w:line="400" w:lineRule="atLeast"/>
        <w:ind w:left="720" w:hanging="720" w:hangingChars="300"/>
        <w:rPr>
          <w:rFonts w:ascii="宋体" w:hAnsi="宋体"/>
          <w:color w:val="auto"/>
          <w:sz w:val="24"/>
          <w:highlight w:val="none"/>
        </w:rPr>
      </w:pPr>
      <w:r>
        <w:rPr>
          <w:rFonts w:hint="eastAsia" w:ascii="宋体" w:hAnsi="宋体"/>
          <w:color w:val="auto"/>
          <w:sz w:val="24"/>
          <w:highlight w:val="none"/>
        </w:rPr>
        <w:t>13.3.1 当以小写表示的金额与大写表示的金额有差异时，以大写表示的金额为准；</w:t>
      </w:r>
    </w:p>
    <w:p w14:paraId="44188FF6">
      <w:pPr>
        <w:spacing w:line="400" w:lineRule="atLeast"/>
        <w:ind w:left="720" w:hanging="720" w:hangingChars="300"/>
        <w:rPr>
          <w:rFonts w:ascii="宋体" w:hAnsi="宋体"/>
          <w:color w:val="auto"/>
          <w:sz w:val="24"/>
          <w:highlight w:val="none"/>
        </w:rPr>
      </w:pPr>
      <w:r>
        <w:rPr>
          <w:rFonts w:hint="eastAsia" w:ascii="宋体" w:hAnsi="宋体"/>
          <w:color w:val="auto"/>
          <w:sz w:val="24"/>
          <w:highlight w:val="none"/>
        </w:rPr>
        <w:t>13.3.2 当单价与数量相乘不等于合价时，以单价计算为准。如果单价有明显的小数点位置差错，应以标出的合价为准，同时对单价予以修正；</w:t>
      </w:r>
    </w:p>
    <w:p w14:paraId="0417C8A8">
      <w:pPr>
        <w:spacing w:line="400" w:lineRule="atLeast"/>
        <w:ind w:left="720" w:hanging="720" w:hangingChars="300"/>
        <w:rPr>
          <w:rFonts w:ascii="宋体" w:hAnsi="宋体"/>
          <w:color w:val="auto"/>
          <w:sz w:val="24"/>
          <w:highlight w:val="none"/>
        </w:rPr>
      </w:pPr>
      <w:r>
        <w:rPr>
          <w:rFonts w:hint="eastAsia" w:ascii="宋体" w:hAnsi="宋体"/>
          <w:color w:val="auto"/>
          <w:sz w:val="24"/>
          <w:highlight w:val="none"/>
        </w:rPr>
        <w:t>13.3.3 当各明细部分的价格累计不等于合价时，应以各明细的累计计数为准，修正合价。</w:t>
      </w:r>
    </w:p>
    <w:p w14:paraId="0352E3B9">
      <w:pPr>
        <w:spacing w:line="400" w:lineRule="atLeast"/>
        <w:ind w:left="720" w:hanging="720" w:hangingChars="300"/>
        <w:rPr>
          <w:rFonts w:ascii="宋体" w:hAnsi="宋体"/>
          <w:color w:val="auto"/>
          <w:sz w:val="24"/>
          <w:highlight w:val="none"/>
        </w:rPr>
      </w:pPr>
      <w:r>
        <w:rPr>
          <w:rFonts w:hint="eastAsia" w:ascii="宋体" w:hAnsi="宋体"/>
          <w:color w:val="auto"/>
          <w:sz w:val="24"/>
          <w:highlight w:val="none"/>
        </w:rPr>
        <w:t>13.3.4 按以上原则对算术性差错修正，应取得供应商的同意，并确认修正后最终磋商价。如果供应商拒绝确认，则其磋商响应文件将不予以评审并按响应无效处理，没收其磋商担保。</w:t>
      </w:r>
    </w:p>
    <w:p w14:paraId="2A58D22C">
      <w:pPr>
        <w:spacing w:line="400" w:lineRule="atLeast"/>
        <w:rPr>
          <w:rFonts w:ascii="宋体" w:hAnsi="宋体"/>
          <w:color w:val="auto"/>
          <w:sz w:val="24"/>
          <w:highlight w:val="none"/>
        </w:rPr>
      </w:pPr>
      <w:r>
        <w:rPr>
          <w:rFonts w:hint="eastAsia" w:ascii="宋体" w:hAnsi="宋体"/>
          <w:color w:val="auto"/>
          <w:sz w:val="24"/>
          <w:highlight w:val="none"/>
        </w:rPr>
        <w:t>14．磋商货币</w:t>
      </w:r>
    </w:p>
    <w:p w14:paraId="0AEA805A">
      <w:pPr>
        <w:spacing w:line="400" w:lineRule="atLeast"/>
        <w:rPr>
          <w:rFonts w:ascii="宋体" w:hAnsi="宋体"/>
          <w:color w:val="auto"/>
          <w:sz w:val="24"/>
          <w:highlight w:val="none"/>
        </w:rPr>
      </w:pPr>
      <w:r>
        <w:rPr>
          <w:rFonts w:hint="eastAsia" w:ascii="宋体" w:hAnsi="宋体"/>
          <w:color w:val="auto"/>
          <w:sz w:val="24"/>
          <w:highlight w:val="none"/>
        </w:rPr>
        <w:t>14.1人民币报价。</w:t>
      </w:r>
    </w:p>
    <w:p w14:paraId="1046FFE4">
      <w:pPr>
        <w:spacing w:line="400" w:lineRule="atLeast"/>
        <w:rPr>
          <w:rFonts w:ascii="宋体" w:hAnsi="宋体"/>
          <w:color w:val="auto"/>
          <w:sz w:val="24"/>
          <w:highlight w:val="none"/>
        </w:rPr>
      </w:pPr>
      <w:r>
        <w:rPr>
          <w:rFonts w:hint="eastAsia" w:ascii="宋体" w:hAnsi="宋体"/>
          <w:color w:val="auto"/>
          <w:sz w:val="24"/>
          <w:highlight w:val="none"/>
        </w:rPr>
        <w:t>15．</w:t>
      </w:r>
      <w:r>
        <w:rPr>
          <w:rFonts w:hint="eastAsia" w:ascii="宋体" w:hAnsi="宋体"/>
          <w:b/>
          <w:color w:val="auto"/>
          <w:sz w:val="24"/>
          <w:highlight w:val="none"/>
        </w:rPr>
        <w:t>供应商的证明文件：</w:t>
      </w:r>
    </w:p>
    <w:p w14:paraId="03AA8EF5">
      <w:pPr>
        <w:spacing w:line="400" w:lineRule="atLeast"/>
        <w:ind w:firstLine="482" w:firstLineChars="200"/>
        <w:rPr>
          <w:rFonts w:ascii="宋体" w:hAnsi="宋体"/>
          <w:b/>
          <w:color w:val="auto"/>
          <w:sz w:val="24"/>
          <w:highlight w:val="none"/>
        </w:rPr>
      </w:pPr>
      <w:r>
        <w:rPr>
          <w:rFonts w:hint="eastAsia" w:ascii="宋体" w:hAnsi="宋体"/>
          <w:b/>
          <w:color w:val="auto"/>
          <w:sz w:val="24"/>
          <w:highlight w:val="none"/>
        </w:rPr>
        <w:t>供应商必须提交证明其有资格进行磋商和有能力履行合同的文件，作为磋商响应文件的一部分。详见“供应商须知附表第6条”</w:t>
      </w:r>
      <w:r>
        <w:rPr>
          <w:rFonts w:hint="eastAsia" w:ascii="宋体" w:hAnsi="宋体"/>
          <w:b/>
          <w:color w:val="auto"/>
          <w:spacing w:val="8"/>
          <w:sz w:val="24"/>
          <w:szCs w:val="24"/>
          <w:highlight w:val="none"/>
        </w:rPr>
        <w:t>。</w:t>
      </w:r>
    </w:p>
    <w:p w14:paraId="654DAD57">
      <w:pPr>
        <w:spacing w:line="400" w:lineRule="atLeast"/>
        <w:ind w:left="73" w:leftChars="35"/>
        <w:rPr>
          <w:rFonts w:ascii="宋体" w:hAnsi="宋体"/>
          <w:b/>
          <w:color w:val="auto"/>
          <w:spacing w:val="8"/>
          <w:sz w:val="24"/>
          <w:szCs w:val="24"/>
          <w:highlight w:val="none"/>
        </w:rPr>
      </w:pPr>
      <w:r>
        <w:rPr>
          <w:rFonts w:hint="eastAsia" w:ascii="宋体" w:hAnsi="宋体"/>
          <w:b/>
          <w:color w:val="auto"/>
          <w:spacing w:val="8"/>
          <w:sz w:val="24"/>
          <w:szCs w:val="24"/>
          <w:highlight w:val="none"/>
        </w:rPr>
        <w:t>注：（1）磋商响应文件中，所有供应商签字、法人代表签字、法人代表授权人签字和其它签字处须同时加盖有关有法律效力的印章方为有效；</w:t>
      </w:r>
    </w:p>
    <w:p w14:paraId="42D963E4">
      <w:pPr>
        <w:spacing w:line="400" w:lineRule="atLeast"/>
        <w:ind w:firstLine="482" w:firstLineChars="200"/>
        <w:rPr>
          <w:rFonts w:ascii="宋体" w:hAnsi="宋体"/>
          <w:b/>
          <w:color w:val="auto"/>
          <w:sz w:val="24"/>
          <w:highlight w:val="none"/>
        </w:rPr>
      </w:pPr>
      <w:r>
        <w:rPr>
          <w:rFonts w:hint="eastAsia" w:ascii="宋体" w:hAnsi="宋体"/>
          <w:b/>
          <w:color w:val="auto"/>
          <w:sz w:val="24"/>
          <w:highlight w:val="none"/>
        </w:rPr>
        <w:t>（2）所有资格证明文件必须满足磋商文件要求，否则将导致磋商无效。</w:t>
      </w:r>
    </w:p>
    <w:p w14:paraId="4D3BE16F">
      <w:pPr>
        <w:spacing w:line="400" w:lineRule="atLeast"/>
        <w:rPr>
          <w:rFonts w:ascii="宋体" w:hAnsi="宋体"/>
          <w:color w:val="auto"/>
          <w:sz w:val="24"/>
          <w:highlight w:val="none"/>
        </w:rPr>
      </w:pPr>
      <w:r>
        <w:rPr>
          <w:rFonts w:hint="eastAsia" w:ascii="宋体" w:hAnsi="宋体"/>
          <w:color w:val="auto"/>
          <w:sz w:val="24"/>
          <w:highlight w:val="none"/>
        </w:rPr>
        <w:t>16 磋商服务符合磋商文件规定的技术响应文件</w:t>
      </w:r>
    </w:p>
    <w:p w14:paraId="37B718A2">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16.1供应商须提交证明拟供服务符合磋商文件规定的技术响应文件，作为磋商响应文件的一部分。</w:t>
      </w:r>
    </w:p>
    <w:p w14:paraId="69AEEB45">
      <w:pPr>
        <w:spacing w:line="400" w:lineRule="atLeast"/>
        <w:rPr>
          <w:rFonts w:ascii="宋体" w:hAnsi="宋体"/>
          <w:color w:val="auto"/>
          <w:sz w:val="24"/>
          <w:highlight w:val="none"/>
        </w:rPr>
      </w:pPr>
      <w:r>
        <w:rPr>
          <w:rFonts w:hint="eastAsia" w:ascii="宋体" w:hAnsi="宋体"/>
          <w:color w:val="auto"/>
          <w:sz w:val="24"/>
          <w:highlight w:val="none"/>
        </w:rPr>
        <w:t>16.2上述文件可以是文字资料、图纸和数据，并提供：</w:t>
      </w:r>
    </w:p>
    <w:p w14:paraId="7C377A07">
      <w:pPr>
        <w:spacing w:line="400" w:lineRule="atLeast"/>
        <w:ind w:firstLine="480"/>
        <w:rPr>
          <w:rFonts w:ascii="宋体" w:hAnsi="宋体"/>
          <w:color w:val="auto"/>
          <w:sz w:val="24"/>
          <w:highlight w:val="none"/>
        </w:rPr>
      </w:pPr>
      <w:r>
        <w:rPr>
          <w:rFonts w:hint="eastAsia" w:ascii="宋体" w:hAnsi="宋体"/>
          <w:color w:val="auto"/>
          <w:sz w:val="24"/>
          <w:highlight w:val="none"/>
        </w:rPr>
        <w:t>（1）服务方案。</w:t>
      </w:r>
    </w:p>
    <w:p w14:paraId="0AB490EF">
      <w:pPr>
        <w:spacing w:line="400" w:lineRule="atLeast"/>
        <w:ind w:firstLine="480"/>
        <w:rPr>
          <w:rFonts w:ascii="宋体" w:hAnsi="宋体"/>
          <w:color w:val="auto"/>
          <w:sz w:val="24"/>
          <w:highlight w:val="none"/>
        </w:rPr>
      </w:pPr>
      <w:r>
        <w:rPr>
          <w:rFonts w:hint="eastAsia" w:ascii="宋体" w:hAnsi="宋体"/>
          <w:color w:val="auto"/>
          <w:sz w:val="24"/>
          <w:highlight w:val="none"/>
        </w:rPr>
        <w:t>没有按要求提供资料或提供资料不完全，将是对本次采购没有作出实质性响应，其风险由供应商自行承担。</w:t>
      </w:r>
    </w:p>
    <w:p w14:paraId="058BB823">
      <w:pPr>
        <w:spacing w:line="400" w:lineRule="atLeast"/>
        <w:rPr>
          <w:rFonts w:ascii="宋体" w:hAnsi="宋体"/>
          <w:color w:val="auto"/>
          <w:sz w:val="24"/>
          <w:highlight w:val="none"/>
        </w:rPr>
      </w:pPr>
      <w:r>
        <w:rPr>
          <w:rFonts w:hint="eastAsia" w:ascii="宋体" w:hAnsi="宋体"/>
          <w:color w:val="auto"/>
          <w:sz w:val="24"/>
          <w:highlight w:val="none"/>
        </w:rPr>
        <w:t>17．磋商的有效期</w:t>
      </w:r>
    </w:p>
    <w:p w14:paraId="64B181B3">
      <w:pPr>
        <w:spacing w:line="400" w:lineRule="atLeast"/>
        <w:rPr>
          <w:rFonts w:ascii="宋体" w:hAnsi="宋体"/>
          <w:color w:val="auto"/>
          <w:sz w:val="24"/>
          <w:highlight w:val="none"/>
        </w:rPr>
      </w:pPr>
      <w:r>
        <w:rPr>
          <w:rFonts w:hint="eastAsia" w:ascii="宋体" w:hAnsi="宋体"/>
          <w:color w:val="auto"/>
          <w:sz w:val="24"/>
          <w:highlight w:val="none"/>
        </w:rPr>
        <w:t>17.1</w:t>
      </w:r>
      <w:r>
        <w:rPr>
          <w:rFonts w:hint="eastAsia" w:ascii="宋体" w:hAnsi="宋体"/>
          <w:b/>
          <w:color w:val="auto"/>
          <w:sz w:val="24"/>
          <w:highlight w:val="none"/>
        </w:rPr>
        <w:t xml:space="preserve"> 磋商响应文件从开标之日起，磋商有效期为90天。（如不满足将导致磋商无效）</w:t>
      </w:r>
    </w:p>
    <w:p w14:paraId="5EA7889F">
      <w:pPr>
        <w:spacing w:line="400" w:lineRule="atLeast"/>
        <w:rPr>
          <w:rFonts w:ascii="宋体" w:hAnsi="宋体"/>
          <w:color w:val="auto"/>
          <w:sz w:val="24"/>
          <w:highlight w:val="none"/>
        </w:rPr>
      </w:pPr>
      <w:r>
        <w:rPr>
          <w:rFonts w:hint="eastAsia" w:ascii="宋体" w:hAnsi="宋体"/>
          <w:color w:val="auto"/>
          <w:sz w:val="24"/>
          <w:highlight w:val="none"/>
        </w:rPr>
        <w:t>17.2 在特殊情况下，采购代理机构可与供应商商量延长磋商响应文件的有效期。</w:t>
      </w:r>
    </w:p>
    <w:p w14:paraId="38896466">
      <w:pPr>
        <w:spacing w:line="400" w:lineRule="atLeast"/>
        <w:rPr>
          <w:rFonts w:ascii="宋体" w:hAnsi="宋体"/>
          <w:color w:val="auto"/>
          <w:sz w:val="24"/>
          <w:highlight w:val="none"/>
        </w:rPr>
      </w:pPr>
      <w:r>
        <w:rPr>
          <w:rFonts w:hint="eastAsia" w:ascii="宋体" w:hAnsi="宋体"/>
          <w:color w:val="auto"/>
          <w:sz w:val="24"/>
          <w:highlight w:val="none"/>
        </w:rPr>
        <w:t>18．磋商响应文件的书写要求。</w:t>
      </w:r>
    </w:p>
    <w:p w14:paraId="7C0F774E">
      <w:pPr>
        <w:spacing w:line="400" w:lineRule="atLeast"/>
        <w:rPr>
          <w:rFonts w:ascii="宋体" w:hAnsi="宋体"/>
          <w:color w:val="auto"/>
          <w:sz w:val="24"/>
          <w:highlight w:val="none"/>
        </w:rPr>
      </w:pPr>
      <w:r>
        <w:rPr>
          <w:rFonts w:hint="eastAsia" w:ascii="宋体" w:hAnsi="宋体"/>
          <w:color w:val="auto"/>
          <w:sz w:val="24"/>
          <w:highlight w:val="none"/>
        </w:rPr>
        <w:t>18.1 磋商响应文件须编制完整。</w:t>
      </w:r>
    </w:p>
    <w:p w14:paraId="1C9DF5AF">
      <w:pPr>
        <w:spacing w:line="400" w:lineRule="atLeast"/>
        <w:rPr>
          <w:rFonts w:ascii="宋体" w:hAnsi="宋体"/>
          <w:color w:val="auto"/>
          <w:sz w:val="24"/>
          <w:highlight w:val="none"/>
        </w:rPr>
      </w:pPr>
      <w:r>
        <w:rPr>
          <w:rFonts w:hint="eastAsia" w:ascii="宋体" w:hAnsi="宋体"/>
          <w:color w:val="auto"/>
          <w:sz w:val="24"/>
          <w:highlight w:val="none"/>
        </w:rPr>
        <w:t>18.2 磋商响应文件应清楚工整，修改处应由供应商法人或授权代表签章。</w:t>
      </w:r>
    </w:p>
    <w:p w14:paraId="4C6144F4">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18.3磋商响应文件应由法人代表或法人授权代表在凡规定签章处逐一签署及加盖单位的公章。</w:t>
      </w:r>
    </w:p>
    <w:p w14:paraId="58483210">
      <w:pPr>
        <w:spacing w:line="400" w:lineRule="atLeast"/>
        <w:rPr>
          <w:rFonts w:ascii="宋体" w:hAnsi="宋体"/>
          <w:color w:val="auto"/>
          <w:sz w:val="24"/>
          <w:highlight w:val="none"/>
        </w:rPr>
      </w:pPr>
      <w:r>
        <w:rPr>
          <w:rFonts w:hint="eastAsia" w:ascii="宋体" w:hAnsi="宋体"/>
          <w:color w:val="auto"/>
          <w:sz w:val="24"/>
          <w:highlight w:val="none"/>
        </w:rPr>
        <w:t>18.4电报、电话、传真形式的磋商概不接受。</w:t>
      </w:r>
    </w:p>
    <w:p w14:paraId="4E604D1F">
      <w:pPr>
        <w:spacing w:line="400" w:lineRule="atLeast"/>
        <w:rPr>
          <w:rFonts w:ascii="宋体" w:hAnsi="宋体"/>
          <w:color w:val="auto"/>
          <w:sz w:val="24"/>
          <w:highlight w:val="none"/>
        </w:rPr>
      </w:pPr>
      <w:r>
        <w:rPr>
          <w:rFonts w:hint="eastAsia" w:ascii="宋体" w:hAnsi="宋体"/>
          <w:color w:val="auto"/>
          <w:sz w:val="24"/>
          <w:highlight w:val="none"/>
        </w:rPr>
        <w:t>19．磋商保证金</w:t>
      </w:r>
    </w:p>
    <w:p w14:paraId="5D7BCB8F">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19.1于磋商截止时间前向采购代理机构交纳磋商保证金。</w:t>
      </w:r>
    </w:p>
    <w:p w14:paraId="34F63CD9">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19.2 本次磋商可接受</w:t>
      </w:r>
      <w:r>
        <w:rPr>
          <w:rFonts w:hint="eastAsia" w:ascii="宋体" w:hAnsi="宋体"/>
          <w:color w:val="auto"/>
          <w:sz w:val="24"/>
          <w:szCs w:val="24"/>
          <w:highlight w:val="none"/>
        </w:rPr>
        <w:t>以支票、汇票、本票或者金融机构、担保机构出具的保函等非现金形式提交。</w:t>
      </w:r>
      <w:r>
        <w:rPr>
          <w:rFonts w:hint="eastAsia" w:ascii="宋体" w:hAnsi="宋体"/>
          <w:color w:val="auto"/>
          <w:sz w:val="24"/>
          <w:highlight w:val="none"/>
        </w:rPr>
        <w:t>作为磋商保证金，</w:t>
      </w:r>
      <w:r>
        <w:rPr>
          <w:rFonts w:hint="eastAsia" w:ascii="宋体" w:hAnsi="宋体"/>
          <w:color w:val="auto"/>
          <w:sz w:val="24"/>
          <w:szCs w:val="24"/>
          <w:highlight w:val="none"/>
        </w:rPr>
        <w:t>磋商保证金有效期应当与磋商有效期一致</w:t>
      </w:r>
      <w:r>
        <w:rPr>
          <w:rFonts w:hint="eastAsia" w:ascii="宋体" w:hAnsi="宋体"/>
          <w:color w:val="auto"/>
          <w:sz w:val="24"/>
          <w:highlight w:val="none"/>
        </w:rPr>
        <w:t>。</w:t>
      </w:r>
    </w:p>
    <w:p w14:paraId="0B7D0571">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19.3磋商保证金的退还时间：</w:t>
      </w:r>
    </w:p>
    <w:p w14:paraId="46CDDABE">
      <w:pPr>
        <w:spacing w:line="400" w:lineRule="atLeast"/>
        <w:ind w:left="840" w:hanging="840" w:hangingChars="350"/>
        <w:rPr>
          <w:rFonts w:ascii="宋体" w:hAnsi="宋体"/>
          <w:color w:val="auto"/>
          <w:sz w:val="24"/>
          <w:highlight w:val="none"/>
        </w:rPr>
      </w:pPr>
      <w:r>
        <w:rPr>
          <w:rFonts w:hint="eastAsia" w:ascii="宋体" w:hAnsi="宋体"/>
          <w:color w:val="auto"/>
          <w:sz w:val="24"/>
          <w:highlight w:val="none"/>
        </w:rPr>
        <w:t>19.3.1 在成交通知书发出后5个工作日内退还未成交供应商的磋商保证金，在采购合同签订后5个工作日内退还成交供应商的磋商保证金。</w:t>
      </w:r>
    </w:p>
    <w:p w14:paraId="09AEF4BF">
      <w:pPr>
        <w:spacing w:line="400" w:lineRule="atLeast"/>
        <w:rPr>
          <w:rFonts w:ascii="宋体" w:hAnsi="宋体"/>
          <w:color w:val="auto"/>
          <w:sz w:val="24"/>
          <w:highlight w:val="none"/>
        </w:rPr>
      </w:pPr>
      <w:r>
        <w:rPr>
          <w:rFonts w:hint="eastAsia" w:ascii="宋体" w:hAnsi="宋体"/>
          <w:color w:val="auto"/>
          <w:sz w:val="24"/>
          <w:highlight w:val="none"/>
        </w:rPr>
        <w:t>19.4</w:t>
      </w:r>
      <w:r>
        <w:rPr>
          <w:rFonts w:hint="eastAsia" w:ascii="宋体" w:hAnsi="宋体"/>
          <w:b/>
          <w:color w:val="auto"/>
          <w:sz w:val="24"/>
          <w:highlight w:val="none"/>
        </w:rPr>
        <w:t>未按规定提交磋商保证金的磋商，将被视为磋商无效。</w:t>
      </w:r>
    </w:p>
    <w:p w14:paraId="57C96CA2">
      <w:pPr>
        <w:pStyle w:val="41"/>
        <w:spacing w:line="400" w:lineRule="atLeast"/>
        <w:rPr>
          <w:rFonts w:hAnsi="宋体"/>
          <w:color w:val="auto"/>
          <w:sz w:val="24"/>
          <w:highlight w:val="none"/>
        </w:rPr>
      </w:pPr>
      <w:r>
        <w:rPr>
          <w:rFonts w:hint="eastAsia" w:hAnsi="宋体"/>
          <w:color w:val="auto"/>
          <w:sz w:val="24"/>
          <w:highlight w:val="none"/>
        </w:rPr>
        <w:t>19.5下列任何情况发生时，磋商保证金将被没收：</w:t>
      </w:r>
    </w:p>
    <w:p w14:paraId="262EB35A">
      <w:pPr>
        <w:pStyle w:val="41"/>
        <w:spacing w:line="400" w:lineRule="atLeast"/>
        <w:rPr>
          <w:rFonts w:hAnsi="宋体"/>
          <w:color w:val="auto"/>
          <w:sz w:val="24"/>
          <w:highlight w:val="none"/>
        </w:rPr>
      </w:pPr>
      <w:r>
        <w:rPr>
          <w:rFonts w:hint="eastAsia" w:hAnsi="宋体"/>
          <w:color w:val="auto"/>
          <w:sz w:val="24"/>
          <w:highlight w:val="none"/>
        </w:rPr>
        <w:t>19.5.1供应商在磋商文件规定的磋商有效期内撤回其磋商；</w:t>
      </w:r>
    </w:p>
    <w:p w14:paraId="62CD8873">
      <w:pPr>
        <w:pStyle w:val="41"/>
        <w:spacing w:line="400" w:lineRule="atLeast"/>
        <w:rPr>
          <w:rFonts w:hAnsi="宋体"/>
          <w:color w:val="auto"/>
          <w:sz w:val="24"/>
          <w:highlight w:val="none"/>
        </w:rPr>
      </w:pPr>
      <w:r>
        <w:rPr>
          <w:rFonts w:hint="eastAsia" w:hAnsi="宋体"/>
          <w:color w:val="auto"/>
          <w:sz w:val="24"/>
          <w:highlight w:val="none"/>
        </w:rPr>
        <w:t>19.5.2成交方在规定期限内未能：</w:t>
      </w:r>
    </w:p>
    <w:p w14:paraId="06E75AE2">
      <w:pPr>
        <w:pStyle w:val="41"/>
        <w:spacing w:line="400" w:lineRule="atLeast"/>
        <w:rPr>
          <w:rFonts w:hAnsi="宋体"/>
          <w:color w:val="auto"/>
          <w:sz w:val="24"/>
          <w:highlight w:val="none"/>
        </w:rPr>
      </w:pPr>
      <w:r>
        <w:rPr>
          <w:rFonts w:hint="eastAsia" w:hAnsi="宋体"/>
          <w:color w:val="auto"/>
          <w:sz w:val="24"/>
          <w:highlight w:val="none"/>
        </w:rPr>
        <w:t xml:space="preserve">19.5.2.1按本须知第31条规定签订合同； </w:t>
      </w:r>
    </w:p>
    <w:p w14:paraId="0CCA3E7B">
      <w:pPr>
        <w:pStyle w:val="41"/>
        <w:spacing w:line="400" w:lineRule="atLeast"/>
        <w:rPr>
          <w:rFonts w:hAnsi="宋体"/>
          <w:color w:val="auto"/>
          <w:sz w:val="24"/>
          <w:highlight w:val="none"/>
        </w:rPr>
      </w:pPr>
      <w:r>
        <w:rPr>
          <w:rFonts w:hint="eastAsia" w:hAnsi="宋体"/>
          <w:color w:val="auto"/>
          <w:sz w:val="24"/>
          <w:highlight w:val="none"/>
        </w:rPr>
        <w:t>19.5.2.2按须知第32条向采购人提交履约保证金；</w:t>
      </w:r>
    </w:p>
    <w:p w14:paraId="2B48BD57">
      <w:pPr>
        <w:pStyle w:val="41"/>
        <w:spacing w:line="400" w:lineRule="atLeast"/>
        <w:rPr>
          <w:rFonts w:hAnsi="宋体"/>
          <w:color w:val="auto"/>
          <w:sz w:val="24"/>
          <w:highlight w:val="none"/>
        </w:rPr>
      </w:pPr>
      <w:r>
        <w:rPr>
          <w:rFonts w:hint="eastAsia" w:hAnsi="宋体"/>
          <w:color w:val="auto"/>
          <w:sz w:val="24"/>
          <w:highlight w:val="none"/>
        </w:rPr>
        <w:t>19.5.2.3按本须知第33条规定向采购代理机构交纳采购代理服务费。</w:t>
      </w:r>
    </w:p>
    <w:p w14:paraId="01403338">
      <w:pPr>
        <w:pStyle w:val="41"/>
        <w:spacing w:line="400" w:lineRule="atLeast"/>
        <w:rPr>
          <w:rFonts w:hAnsi="宋体"/>
          <w:color w:val="auto"/>
          <w:sz w:val="24"/>
          <w:highlight w:val="none"/>
        </w:rPr>
      </w:pPr>
    </w:p>
    <w:p w14:paraId="250223D1">
      <w:pPr>
        <w:pStyle w:val="14"/>
        <w:spacing w:before="100" w:beforeAutospacing="1" w:after="100" w:afterAutospacing="1" w:line="400" w:lineRule="atLeast"/>
        <w:jc w:val="center"/>
        <w:rPr>
          <w:rFonts w:ascii="宋体" w:hAnsi="宋体" w:eastAsia="宋体"/>
          <w:color w:val="auto"/>
          <w:sz w:val="28"/>
          <w:szCs w:val="28"/>
          <w:highlight w:val="none"/>
        </w:rPr>
      </w:pPr>
      <w:bookmarkStart w:id="13" w:name="_Toc349573124"/>
      <w:bookmarkStart w:id="14" w:name="_Toc349637923"/>
      <w:bookmarkStart w:id="15" w:name="_Toc267301285"/>
      <w:bookmarkStart w:id="16" w:name="_Toc298240408"/>
      <w:bookmarkStart w:id="17" w:name="_Toc31452"/>
      <w:r>
        <w:rPr>
          <w:rFonts w:hint="eastAsia" w:ascii="宋体" w:hAnsi="宋体" w:eastAsia="宋体"/>
          <w:color w:val="auto"/>
          <w:sz w:val="28"/>
          <w:szCs w:val="28"/>
          <w:highlight w:val="none"/>
        </w:rPr>
        <w:t>D  磋商响应文件的递交</w:t>
      </w:r>
      <w:bookmarkEnd w:id="13"/>
      <w:bookmarkEnd w:id="14"/>
      <w:bookmarkEnd w:id="15"/>
      <w:bookmarkEnd w:id="16"/>
      <w:bookmarkEnd w:id="17"/>
    </w:p>
    <w:p w14:paraId="4697C309">
      <w:pPr>
        <w:spacing w:line="400" w:lineRule="atLeast"/>
        <w:rPr>
          <w:rFonts w:ascii="宋体" w:hAnsi="宋体"/>
          <w:color w:val="auto"/>
          <w:sz w:val="24"/>
          <w:highlight w:val="none"/>
        </w:rPr>
      </w:pPr>
      <w:r>
        <w:rPr>
          <w:rFonts w:hint="eastAsia" w:ascii="宋体" w:hAnsi="宋体"/>
          <w:color w:val="auto"/>
          <w:sz w:val="24"/>
          <w:highlight w:val="none"/>
        </w:rPr>
        <w:t>20. 磋商响应文件标记</w:t>
      </w:r>
      <w:r>
        <w:rPr>
          <w:rFonts w:hint="eastAsia" w:ascii="宋体" w:hAnsi="宋体"/>
          <w:b/>
          <w:bCs/>
          <w:color w:val="auto"/>
          <w:sz w:val="24"/>
          <w:highlight w:val="none"/>
        </w:rPr>
        <w:t>（电子版）</w:t>
      </w:r>
    </w:p>
    <w:p w14:paraId="2940D8CB">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olor w:val="auto"/>
          <w:sz w:val="24"/>
          <w:szCs w:val="24"/>
          <w:highlight w:val="none"/>
        </w:rPr>
        <w:t>供应商应将磋商响应文件</w:t>
      </w:r>
      <w:r>
        <w:rPr>
          <w:rFonts w:hint="eastAsia" w:ascii="宋体" w:hAnsi="宋体"/>
          <w:b/>
          <w:bCs/>
          <w:color w:val="auto"/>
          <w:sz w:val="24"/>
          <w:highlight w:val="none"/>
        </w:rPr>
        <w:t>电子版</w:t>
      </w:r>
      <w:r>
        <w:rPr>
          <w:rFonts w:hint="eastAsia" w:ascii="宋体" w:hAnsi="宋体"/>
          <w:color w:val="auto"/>
          <w:sz w:val="24"/>
          <w:szCs w:val="24"/>
          <w:highlight w:val="none"/>
        </w:rPr>
        <w:t>封面上标明供应商名称、法定代表人、单位公章。</w:t>
      </w:r>
    </w:p>
    <w:p w14:paraId="5F27367B">
      <w:pPr>
        <w:spacing w:line="400" w:lineRule="atLeast"/>
        <w:rPr>
          <w:rFonts w:ascii="宋体" w:hAnsi="宋体"/>
          <w:color w:val="auto"/>
          <w:sz w:val="24"/>
          <w:highlight w:val="none"/>
        </w:rPr>
      </w:pPr>
      <w:r>
        <w:rPr>
          <w:rFonts w:hint="eastAsia" w:ascii="宋体" w:hAnsi="宋体"/>
          <w:color w:val="auto"/>
          <w:sz w:val="24"/>
          <w:highlight w:val="none"/>
        </w:rPr>
        <w:t xml:space="preserve">20.2 </w:t>
      </w:r>
      <w:r>
        <w:rPr>
          <w:rFonts w:hint="eastAsia" w:ascii="宋体" w:hAnsi="宋体"/>
          <w:color w:val="auto"/>
          <w:sz w:val="24"/>
          <w:szCs w:val="24"/>
          <w:highlight w:val="none"/>
        </w:rPr>
        <w:t>磋商响应文件电子版封面上应写明</w:t>
      </w:r>
      <w:r>
        <w:rPr>
          <w:rFonts w:hint="eastAsia" w:ascii="宋体" w:hAnsi="宋体"/>
          <w:color w:val="auto"/>
          <w:sz w:val="24"/>
          <w:highlight w:val="none"/>
        </w:rPr>
        <w:t>：</w:t>
      </w:r>
    </w:p>
    <w:p w14:paraId="4EF44C07">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（1）采购代理机构：新疆招标有限公司</w:t>
      </w:r>
    </w:p>
    <w:p w14:paraId="330ABABD">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（2）项目名称：</w:t>
      </w:r>
    </w:p>
    <w:p w14:paraId="7A1D748A">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（3）项目编号：</w:t>
      </w:r>
    </w:p>
    <w:p w14:paraId="528A3E16">
      <w:pPr>
        <w:spacing w:line="400" w:lineRule="atLeast"/>
        <w:rPr>
          <w:rFonts w:ascii="宋体" w:hAnsi="宋体"/>
          <w:color w:val="auto"/>
          <w:sz w:val="24"/>
          <w:highlight w:val="none"/>
        </w:rPr>
      </w:pPr>
      <w:r>
        <w:rPr>
          <w:rFonts w:hint="eastAsia" w:ascii="宋体" w:hAnsi="宋体"/>
          <w:color w:val="auto"/>
          <w:sz w:val="24"/>
          <w:highlight w:val="none"/>
        </w:rPr>
        <w:t>（4）供应商单位名称</w:t>
      </w:r>
    </w:p>
    <w:p w14:paraId="63E9D1D3">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在磋商响应文件电子版封面加盖企业公章及法人签章</w:t>
      </w:r>
    </w:p>
    <w:p w14:paraId="5834FAF1">
      <w:pPr>
        <w:spacing w:line="400" w:lineRule="atLeast"/>
        <w:rPr>
          <w:rFonts w:ascii="宋体" w:hAnsi="宋体"/>
          <w:color w:val="auto"/>
          <w:sz w:val="24"/>
          <w:highlight w:val="none"/>
        </w:rPr>
      </w:pPr>
      <w:r>
        <w:rPr>
          <w:rFonts w:hint="eastAsia" w:ascii="宋体" w:hAnsi="宋体"/>
          <w:color w:val="auto"/>
          <w:sz w:val="24"/>
          <w:highlight w:val="none"/>
        </w:rPr>
        <w:t>21. 磋商截止时间</w:t>
      </w:r>
    </w:p>
    <w:p w14:paraId="7A7F653F">
      <w:pPr>
        <w:spacing w:line="400" w:lineRule="atLeast"/>
        <w:rPr>
          <w:rFonts w:ascii="宋体" w:hAnsi="宋体"/>
          <w:color w:val="auto"/>
          <w:sz w:val="24"/>
          <w:highlight w:val="none"/>
        </w:rPr>
      </w:pPr>
      <w:r>
        <w:rPr>
          <w:rFonts w:hint="eastAsia" w:ascii="宋体" w:hAnsi="宋体"/>
          <w:color w:val="auto"/>
          <w:sz w:val="24"/>
          <w:highlight w:val="none"/>
        </w:rPr>
        <w:t>21.1 磋商响应文件电子版的递交不得迟于2025年7月4日11：00时（北京时间）。</w:t>
      </w:r>
    </w:p>
    <w:p w14:paraId="2AAF80E0">
      <w:pPr>
        <w:spacing w:line="400" w:lineRule="atLeast"/>
        <w:ind w:left="540" w:leftChars="257"/>
        <w:rPr>
          <w:rFonts w:ascii="宋体" w:hAnsi="宋体"/>
          <w:color w:val="auto"/>
          <w:sz w:val="24"/>
          <w:highlight w:val="none"/>
        </w:rPr>
      </w:pPr>
      <w:r>
        <w:rPr>
          <w:rFonts w:hint="eastAsia" w:ascii="宋体" w:hAnsi="宋体"/>
          <w:color w:val="auto"/>
          <w:sz w:val="24"/>
          <w:highlight w:val="none"/>
        </w:rPr>
        <w:t>磋商响应文件电子版递交至：</w:t>
      </w:r>
      <w:r>
        <w:rPr>
          <w:rFonts w:hint="eastAsia" w:ascii="宋体" w:hAnsi="宋体"/>
          <w:color w:val="auto"/>
          <w:sz w:val="24"/>
          <w:szCs w:val="24"/>
          <w:highlight w:val="none"/>
        </w:rPr>
        <w:t>政采云线上</w:t>
      </w:r>
      <w:r>
        <w:rPr>
          <w:rFonts w:hint="eastAsia" w:ascii="宋体" w:hAnsi="宋体"/>
          <w:color w:val="auto"/>
          <w:sz w:val="24"/>
          <w:szCs w:val="22"/>
          <w:highlight w:val="none"/>
        </w:rPr>
        <w:t>（www.zcygov.cn）</w:t>
      </w:r>
    </w:p>
    <w:p w14:paraId="5F5E3A14">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21.2 出现第8.2款因磋商文件的修改推迟磋商截止时间时，则按采购代理机构修改通知规定的时间递交。</w:t>
      </w:r>
    </w:p>
    <w:p w14:paraId="05A65997">
      <w:pPr>
        <w:spacing w:line="400" w:lineRule="atLeast"/>
        <w:rPr>
          <w:rFonts w:ascii="宋体" w:hAnsi="宋体"/>
          <w:color w:val="auto"/>
          <w:sz w:val="24"/>
          <w:highlight w:val="none"/>
        </w:rPr>
      </w:pPr>
      <w:r>
        <w:rPr>
          <w:rFonts w:hint="eastAsia" w:ascii="宋体" w:hAnsi="宋体"/>
          <w:color w:val="auto"/>
          <w:sz w:val="24"/>
          <w:highlight w:val="none"/>
        </w:rPr>
        <w:t>22．磋商响应文件的修改和撤销</w:t>
      </w:r>
    </w:p>
    <w:p w14:paraId="0F476DF5">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22.1 供应商在提交磋商响应文件后可对其磋商响应文件进行修改或撤销，但采购代理机构须在磋商截止时间之前收到该修改或撤销的书面通知，该通知须有经正式授权的供应商代表签字。</w:t>
      </w:r>
    </w:p>
    <w:p w14:paraId="567A30DC">
      <w:pPr>
        <w:spacing w:line="400" w:lineRule="atLeast"/>
        <w:rPr>
          <w:rFonts w:ascii="宋体" w:hAnsi="宋体"/>
          <w:color w:val="auto"/>
          <w:sz w:val="24"/>
          <w:highlight w:val="none"/>
        </w:rPr>
      </w:pPr>
      <w:r>
        <w:rPr>
          <w:rFonts w:hint="eastAsia" w:ascii="宋体" w:hAnsi="宋体"/>
          <w:color w:val="auto"/>
          <w:sz w:val="24"/>
          <w:highlight w:val="none"/>
        </w:rPr>
        <w:t>22.2 磋商截止时间以后不得修改磋商响应文件。</w:t>
      </w:r>
    </w:p>
    <w:p w14:paraId="168874D7">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22.3 供应商不得在开标时间起至磋商有效期期满前撤销磋商响应文件</w:t>
      </w:r>
    </w:p>
    <w:p w14:paraId="6E74E4AC">
      <w:pPr>
        <w:spacing w:line="400" w:lineRule="atLeast"/>
        <w:ind w:left="600" w:hanging="600" w:hangingChars="250"/>
        <w:rPr>
          <w:rFonts w:ascii="宋体" w:hAnsi="宋体"/>
          <w:color w:val="auto"/>
          <w:sz w:val="24"/>
          <w:highlight w:val="none"/>
        </w:rPr>
      </w:pPr>
    </w:p>
    <w:p w14:paraId="174EF2EC">
      <w:pPr>
        <w:pStyle w:val="14"/>
        <w:spacing w:before="100" w:beforeAutospacing="1" w:after="100" w:afterAutospacing="1" w:line="400" w:lineRule="atLeast"/>
        <w:jc w:val="center"/>
        <w:rPr>
          <w:rFonts w:ascii="宋体" w:hAnsi="宋体" w:eastAsia="宋体"/>
          <w:color w:val="auto"/>
          <w:sz w:val="28"/>
          <w:szCs w:val="28"/>
          <w:highlight w:val="none"/>
        </w:rPr>
      </w:pPr>
      <w:bookmarkStart w:id="18" w:name="_Toc349637924"/>
      <w:bookmarkStart w:id="19" w:name="_Toc298240409"/>
      <w:bookmarkStart w:id="20" w:name="_Toc349573125"/>
      <w:bookmarkStart w:id="21" w:name="_Toc27408"/>
      <w:bookmarkStart w:id="22" w:name="_Toc267301286"/>
      <w:r>
        <w:rPr>
          <w:rFonts w:hint="eastAsia" w:ascii="宋体" w:hAnsi="宋体" w:eastAsia="宋体"/>
          <w:color w:val="auto"/>
          <w:sz w:val="28"/>
          <w:szCs w:val="28"/>
          <w:highlight w:val="none"/>
        </w:rPr>
        <w:t>E  磋商程序</w:t>
      </w:r>
      <w:bookmarkEnd w:id="18"/>
      <w:bookmarkEnd w:id="19"/>
      <w:bookmarkEnd w:id="20"/>
      <w:bookmarkEnd w:id="21"/>
      <w:bookmarkEnd w:id="22"/>
    </w:p>
    <w:p w14:paraId="73B8BB49">
      <w:pPr>
        <w:spacing w:line="400" w:lineRule="atLeast"/>
        <w:rPr>
          <w:rFonts w:ascii="宋体" w:hAnsi="宋体"/>
          <w:color w:val="auto"/>
          <w:sz w:val="24"/>
          <w:highlight w:val="none"/>
        </w:rPr>
      </w:pPr>
      <w:r>
        <w:rPr>
          <w:rFonts w:hint="eastAsia" w:ascii="宋体" w:hAnsi="宋体"/>
          <w:color w:val="auto"/>
          <w:sz w:val="24"/>
          <w:highlight w:val="none"/>
        </w:rPr>
        <w:t>23．磋商</w:t>
      </w:r>
    </w:p>
    <w:p w14:paraId="375FE285">
      <w:pPr>
        <w:snapToGrid w:val="0"/>
        <w:spacing w:line="400" w:lineRule="atLeast"/>
        <w:ind w:left="523" w:hanging="523" w:hangingChars="218"/>
        <w:rPr>
          <w:rFonts w:ascii="宋体" w:hAnsi="宋体"/>
          <w:color w:val="auto"/>
          <w:sz w:val="24"/>
          <w:highlight w:val="none"/>
        </w:rPr>
      </w:pPr>
      <w:r>
        <w:rPr>
          <w:rFonts w:hint="eastAsia" w:ascii="宋体" w:hAnsi="宋体"/>
          <w:color w:val="auto"/>
          <w:sz w:val="24"/>
          <w:highlight w:val="none"/>
        </w:rPr>
        <w:t>23.1</w:t>
      </w:r>
      <w:r>
        <w:rPr>
          <w:rFonts w:hint="eastAsia" w:ascii="宋体" w:hAnsi="宋体"/>
          <w:b/>
          <w:color w:val="auto"/>
          <w:sz w:val="24"/>
          <w:highlight w:val="none"/>
        </w:rPr>
        <w:t>本次采用网上开标、评标系统，供应商在线参加磋商（无需到开标现场）。磋商前供应商完成设备测试，保证摄像头及麦克风正常使用。自开标时间起至评审结束，供应商须登录新疆政府采购网政采云平台并保持网络通畅，随时答复评审委员会的疑问。若供应商未在规定时间内答复的，由此产生的后果将由供应商自行承担。</w:t>
      </w:r>
    </w:p>
    <w:p w14:paraId="477817FE">
      <w:pPr>
        <w:spacing w:line="400" w:lineRule="atLeast"/>
        <w:ind w:left="540" w:leftChars="200" w:hanging="120" w:hangingChars="50"/>
        <w:rPr>
          <w:rFonts w:ascii="宋体" w:hAnsi="宋体"/>
          <w:b/>
          <w:color w:val="auto"/>
          <w:sz w:val="24"/>
          <w:highlight w:val="none"/>
        </w:rPr>
      </w:pPr>
      <w:r>
        <w:rPr>
          <w:rFonts w:hint="eastAsia" w:ascii="宋体" w:hAnsi="宋体"/>
          <w:b/>
          <w:color w:val="auto"/>
          <w:sz w:val="24"/>
          <w:highlight w:val="none"/>
        </w:rPr>
        <w:t>供应商登录政采云平台，在磋商时间后30分钟内用“项目采购----开标评标”功能进行解密电子版响应文件。若供应商在规定时间内未按时解密的，视为无效响应。解密与加密电子版响应文件须使用同一个CA。</w:t>
      </w:r>
    </w:p>
    <w:p w14:paraId="7DBABD60">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23.2 本次磋商按磋商文件中磋商邀请规定的时间地点进行磋商，将邀请供应商的法定代表人或其授权委托人准时参加磋商会。</w:t>
      </w:r>
    </w:p>
    <w:p w14:paraId="4D4CF877">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23.3</w:t>
      </w:r>
      <w:r>
        <w:rPr>
          <w:rFonts w:hint="eastAsia" w:ascii="宋体" w:hAnsi="宋体"/>
          <w:color w:val="auto"/>
          <w:sz w:val="24"/>
          <w:szCs w:val="24"/>
          <w:highlight w:val="none"/>
        </w:rPr>
        <w:t>宣布磋商响应文件开启顺序</w:t>
      </w:r>
      <w:r>
        <w:rPr>
          <w:rFonts w:hint="eastAsia" w:ascii="宋体" w:hAnsi="宋体"/>
          <w:color w:val="auto"/>
          <w:sz w:val="30"/>
          <w:szCs w:val="30"/>
          <w:highlight w:val="none"/>
        </w:rPr>
        <w:t>。</w:t>
      </w:r>
    </w:p>
    <w:p w14:paraId="78CF61F3">
      <w:pPr>
        <w:spacing w:line="400" w:lineRule="atLeast"/>
        <w:rPr>
          <w:rFonts w:ascii="宋体" w:hAnsi="宋体"/>
          <w:color w:val="auto"/>
          <w:sz w:val="24"/>
          <w:highlight w:val="none"/>
        </w:rPr>
      </w:pPr>
      <w:r>
        <w:rPr>
          <w:rFonts w:hint="eastAsia" w:ascii="宋体" w:hAnsi="宋体"/>
          <w:color w:val="auto"/>
          <w:sz w:val="24"/>
          <w:highlight w:val="none"/>
        </w:rPr>
        <w:t>23.4 磋商原则在磋商会议上宣布。</w:t>
      </w:r>
    </w:p>
    <w:p w14:paraId="02169134">
      <w:pPr>
        <w:spacing w:line="400" w:lineRule="atLeast"/>
        <w:rPr>
          <w:rFonts w:ascii="宋体" w:hAnsi="宋体"/>
          <w:color w:val="auto"/>
          <w:sz w:val="24"/>
          <w:highlight w:val="none"/>
        </w:rPr>
      </w:pPr>
      <w:r>
        <w:rPr>
          <w:rFonts w:hint="eastAsia" w:ascii="宋体" w:hAnsi="宋体"/>
          <w:color w:val="auto"/>
          <w:sz w:val="24"/>
          <w:highlight w:val="none"/>
        </w:rPr>
        <w:t>23.5 对采购方的纪律要求</w:t>
      </w:r>
    </w:p>
    <w:p w14:paraId="3CC1FE36">
      <w:pPr>
        <w:spacing w:line="400" w:lineRule="atLeast"/>
        <w:ind w:left="720" w:hanging="720" w:hangingChars="300"/>
        <w:rPr>
          <w:rFonts w:ascii="宋体" w:hAnsi="宋体"/>
          <w:color w:val="auto"/>
          <w:sz w:val="24"/>
          <w:highlight w:val="none"/>
        </w:rPr>
      </w:pPr>
      <w:r>
        <w:rPr>
          <w:rFonts w:hint="eastAsia" w:ascii="宋体" w:hAnsi="宋体"/>
          <w:color w:val="auto"/>
          <w:sz w:val="24"/>
          <w:highlight w:val="none"/>
        </w:rPr>
        <w:t xml:space="preserve">      采购方不得泄露磋商活动中应当保密的情况和资料，不得与供应商串通损害国家利益、社会公共利益或者他人合法权益。</w:t>
      </w:r>
    </w:p>
    <w:p w14:paraId="781C3B67">
      <w:pPr>
        <w:spacing w:line="400" w:lineRule="atLeast"/>
        <w:rPr>
          <w:rFonts w:ascii="宋体" w:hAnsi="宋体"/>
          <w:color w:val="auto"/>
          <w:sz w:val="24"/>
          <w:highlight w:val="none"/>
        </w:rPr>
      </w:pPr>
      <w:r>
        <w:rPr>
          <w:rFonts w:hint="eastAsia" w:ascii="宋体" w:hAnsi="宋体"/>
          <w:color w:val="auto"/>
          <w:sz w:val="24"/>
          <w:highlight w:val="none"/>
        </w:rPr>
        <w:t>23.6对供应商的纪律要求</w:t>
      </w:r>
    </w:p>
    <w:p w14:paraId="4292A4B0">
      <w:pPr>
        <w:spacing w:line="400" w:lineRule="atLeast"/>
        <w:ind w:left="598" w:leftChars="285"/>
        <w:rPr>
          <w:rFonts w:ascii="宋体" w:hAnsi="宋体"/>
          <w:color w:val="auto"/>
          <w:sz w:val="24"/>
          <w:highlight w:val="none"/>
        </w:rPr>
      </w:pPr>
      <w:r>
        <w:rPr>
          <w:rFonts w:hint="eastAsia" w:ascii="宋体" w:hAnsi="宋体"/>
          <w:color w:val="auto"/>
          <w:sz w:val="24"/>
          <w:highlight w:val="none"/>
        </w:rPr>
        <w:t>供应商不得互相串通磋商或者与采购人串通磋商，不得向采购人或者磋商小组成员行贿谋取成交，不得以他人名义磋商或者以其他方式弄虚作假骗取成交；供应商不得以任何方式干扰、影响磋商工作。</w:t>
      </w:r>
    </w:p>
    <w:p w14:paraId="1724761B">
      <w:pPr>
        <w:spacing w:line="400" w:lineRule="atLeast"/>
        <w:rPr>
          <w:rFonts w:ascii="宋体" w:hAnsi="宋体"/>
          <w:color w:val="auto"/>
          <w:sz w:val="24"/>
          <w:highlight w:val="none"/>
        </w:rPr>
      </w:pPr>
      <w:r>
        <w:rPr>
          <w:rFonts w:hint="eastAsia" w:ascii="宋体" w:hAnsi="宋体"/>
          <w:color w:val="auto"/>
          <w:sz w:val="24"/>
          <w:highlight w:val="none"/>
        </w:rPr>
        <w:t>23.7 对与磋商活动有关的工作人员的纪律要求</w:t>
      </w:r>
    </w:p>
    <w:p w14:paraId="20BF19A0">
      <w:pPr>
        <w:spacing w:line="400" w:lineRule="atLeast"/>
        <w:rPr>
          <w:rFonts w:ascii="宋体" w:hAnsi="宋体"/>
          <w:color w:val="auto"/>
          <w:sz w:val="24"/>
          <w:highlight w:val="none"/>
        </w:rPr>
      </w:pPr>
      <w:r>
        <w:rPr>
          <w:rFonts w:hint="eastAsia" w:ascii="宋体" w:hAnsi="宋体"/>
          <w:color w:val="auto"/>
          <w:sz w:val="24"/>
          <w:highlight w:val="none"/>
        </w:rPr>
        <w:t xml:space="preserve">    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55C08FF5">
      <w:pPr>
        <w:spacing w:line="400" w:lineRule="atLeast"/>
        <w:rPr>
          <w:rFonts w:ascii="宋体" w:hAnsi="宋体"/>
          <w:color w:val="auto"/>
          <w:sz w:val="24"/>
          <w:highlight w:val="none"/>
        </w:rPr>
      </w:pPr>
      <w:r>
        <w:rPr>
          <w:rFonts w:hint="eastAsia" w:ascii="宋体" w:hAnsi="宋体"/>
          <w:color w:val="auto"/>
          <w:sz w:val="24"/>
          <w:highlight w:val="none"/>
        </w:rPr>
        <w:t>23.8对磋商小组成员要求磋商纪律</w:t>
      </w:r>
    </w:p>
    <w:p w14:paraId="3DFC56AA">
      <w:pPr>
        <w:spacing w:line="400" w:lineRule="atLeast"/>
        <w:rPr>
          <w:rFonts w:ascii="宋体" w:hAnsi="宋体"/>
          <w:color w:val="auto"/>
          <w:sz w:val="24"/>
          <w:highlight w:val="none"/>
        </w:rPr>
      </w:pPr>
      <w:r>
        <w:rPr>
          <w:rFonts w:hint="eastAsia" w:ascii="宋体" w:hAnsi="宋体"/>
          <w:color w:val="auto"/>
          <w:sz w:val="24"/>
          <w:highlight w:val="none"/>
        </w:rPr>
        <w:t>23.8.1磋商小组应当依照有关法律法规的规定，按照磋商文件确定的磋商标准和办法客观、公正的对磋商响应文件提出评审意见。磋商文件没有规定的磋商标准和方法不得作为磋商依据。</w:t>
      </w:r>
    </w:p>
    <w:p w14:paraId="73340503">
      <w:pPr>
        <w:spacing w:line="400" w:lineRule="atLeast"/>
        <w:rPr>
          <w:rFonts w:ascii="宋体" w:hAnsi="宋体"/>
          <w:color w:val="auto"/>
          <w:sz w:val="24"/>
          <w:highlight w:val="none"/>
        </w:rPr>
      </w:pPr>
      <w:r>
        <w:rPr>
          <w:rFonts w:hint="eastAsia" w:ascii="宋体" w:hAnsi="宋体"/>
          <w:color w:val="auto"/>
          <w:sz w:val="24"/>
          <w:highlight w:val="none"/>
        </w:rPr>
        <w:t>23.8.2磋商小组成员不得私下接触供应商，不得收受供应商给予的财务或者其他好处，不得向采购方征询确定成交方意向。</w:t>
      </w:r>
    </w:p>
    <w:p w14:paraId="4B74B449">
      <w:pPr>
        <w:spacing w:line="400" w:lineRule="atLeast"/>
        <w:rPr>
          <w:rFonts w:ascii="宋体" w:hAnsi="宋体"/>
          <w:color w:val="auto"/>
          <w:sz w:val="24"/>
          <w:highlight w:val="none"/>
        </w:rPr>
      </w:pPr>
      <w:r>
        <w:rPr>
          <w:rFonts w:hint="eastAsia" w:ascii="宋体" w:hAnsi="宋体"/>
          <w:color w:val="auto"/>
          <w:sz w:val="24"/>
          <w:highlight w:val="none"/>
        </w:rPr>
        <w:t>23.8.3不得接受任何单位或个人明示或暗示提出的倾向或排斥特定供应商的要求。</w:t>
      </w:r>
    </w:p>
    <w:p w14:paraId="104A13E1">
      <w:pPr>
        <w:spacing w:line="400" w:lineRule="atLeast"/>
        <w:rPr>
          <w:rFonts w:ascii="宋体" w:hAnsi="宋体"/>
          <w:color w:val="auto"/>
          <w:sz w:val="24"/>
          <w:highlight w:val="none"/>
        </w:rPr>
      </w:pPr>
      <w:r>
        <w:rPr>
          <w:rFonts w:hint="eastAsia" w:ascii="宋体" w:hAnsi="宋体"/>
          <w:color w:val="auto"/>
          <w:sz w:val="24"/>
          <w:highlight w:val="none"/>
        </w:rPr>
        <w:t>23.8.4不得有其他不客观，不公正履行职务的行为。</w:t>
      </w:r>
    </w:p>
    <w:p w14:paraId="319B5E28">
      <w:pPr>
        <w:spacing w:line="400" w:lineRule="atLeast"/>
        <w:rPr>
          <w:rFonts w:ascii="宋体" w:hAnsi="宋体"/>
          <w:color w:val="auto"/>
          <w:sz w:val="24"/>
          <w:highlight w:val="none"/>
        </w:rPr>
      </w:pPr>
      <w:r>
        <w:rPr>
          <w:rFonts w:hint="eastAsia" w:ascii="宋体" w:hAnsi="宋体"/>
          <w:color w:val="auto"/>
          <w:sz w:val="24"/>
          <w:highlight w:val="none"/>
        </w:rPr>
        <w:t>24．磋商过程</w:t>
      </w:r>
    </w:p>
    <w:p w14:paraId="08C6A463">
      <w:pPr>
        <w:spacing w:line="400" w:lineRule="atLeast"/>
        <w:rPr>
          <w:rFonts w:ascii="宋体" w:hAnsi="宋体"/>
          <w:color w:val="auto"/>
          <w:sz w:val="24"/>
          <w:highlight w:val="none"/>
        </w:rPr>
      </w:pPr>
      <w:r>
        <w:rPr>
          <w:rFonts w:hint="eastAsia" w:ascii="宋体" w:hAnsi="宋体"/>
          <w:color w:val="auto"/>
          <w:sz w:val="24"/>
          <w:highlight w:val="none"/>
        </w:rPr>
        <w:t>24.1 磋商的依据为磋商文件和磋商响应文件。</w:t>
      </w:r>
    </w:p>
    <w:p w14:paraId="5B9888A8">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24.2 磋商后磋商小组审查磋商响应文件是否完整，是否有计算错误，要求的保证金是否提供，文件是否恰当地签署。</w:t>
      </w:r>
    </w:p>
    <w:p w14:paraId="440C173E">
      <w:pPr>
        <w:spacing w:line="400" w:lineRule="atLeast"/>
        <w:ind w:left="600" w:hanging="600" w:hangingChars="250"/>
        <w:rPr>
          <w:rFonts w:ascii="宋体" w:hAnsi="宋体"/>
          <w:b/>
          <w:color w:val="auto"/>
          <w:sz w:val="24"/>
          <w:highlight w:val="none"/>
        </w:rPr>
      </w:pPr>
      <w:r>
        <w:rPr>
          <w:rFonts w:hint="eastAsia" w:ascii="宋体" w:hAnsi="宋体"/>
          <w:color w:val="auto"/>
          <w:sz w:val="24"/>
          <w:highlight w:val="none"/>
        </w:rPr>
        <w:t>24.3 在对磋商响应文件进行详细评估之前，监督人员将审查供应商提供的资格证明文件。</w:t>
      </w:r>
      <w:r>
        <w:rPr>
          <w:rFonts w:hint="eastAsia" w:ascii="宋体" w:hAnsi="宋体"/>
          <w:b/>
          <w:color w:val="auto"/>
          <w:sz w:val="24"/>
          <w:highlight w:val="none"/>
        </w:rPr>
        <w:t>如果确定供应商资格不符合磋商文件要求的，其磋商将被拒绝。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7500"/>
        <w:gridCol w:w="1205"/>
      </w:tblGrid>
      <w:tr w14:paraId="5195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00" w:type="pct"/>
            <w:gridSpan w:val="3"/>
            <w:vAlign w:val="center"/>
          </w:tcPr>
          <w:p w14:paraId="1E46D535">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资格审查</w:t>
            </w:r>
          </w:p>
        </w:tc>
      </w:tr>
      <w:tr w14:paraId="2CFC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0" w:type="pct"/>
            <w:vAlign w:val="center"/>
          </w:tcPr>
          <w:p w14:paraId="1DD96AA4">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3988" w:type="pct"/>
          </w:tcPr>
          <w:p w14:paraId="1771D4A9">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评审内容</w:t>
            </w:r>
          </w:p>
        </w:tc>
        <w:tc>
          <w:tcPr>
            <w:tcW w:w="640" w:type="pct"/>
          </w:tcPr>
          <w:p w14:paraId="5787270D">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是否满足</w:t>
            </w:r>
          </w:p>
        </w:tc>
      </w:tr>
      <w:tr w14:paraId="5D63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70" w:type="pct"/>
            <w:vAlign w:val="center"/>
          </w:tcPr>
          <w:p w14:paraId="0B4E7166">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w:t>
            </w:r>
          </w:p>
        </w:tc>
        <w:tc>
          <w:tcPr>
            <w:tcW w:w="3988" w:type="pct"/>
            <w:vAlign w:val="center"/>
          </w:tcPr>
          <w:p w14:paraId="74A672C7">
            <w:pPr>
              <w:adjustRightInd w:val="0"/>
              <w:snapToGrid w:val="0"/>
              <w:spacing w:line="360" w:lineRule="exact"/>
              <w:rPr>
                <w:rFonts w:ascii="宋体" w:hAnsi="宋体" w:cs="宋体"/>
                <w:b/>
                <w:bCs/>
                <w:color w:val="auto"/>
                <w:sz w:val="24"/>
                <w:szCs w:val="24"/>
                <w:highlight w:val="none"/>
              </w:rPr>
            </w:pPr>
            <w:r>
              <w:rPr>
                <w:rFonts w:hint="eastAsia" w:ascii="宋体" w:hAnsi="宋体"/>
                <w:color w:val="auto"/>
                <w:sz w:val="24"/>
                <w:szCs w:val="24"/>
                <w:highlight w:val="none"/>
              </w:rPr>
              <w:t>具有独立承担民事责任的能力；（提供有效的营业执照）</w:t>
            </w:r>
          </w:p>
        </w:tc>
        <w:tc>
          <w:tcPr>
            <w:tcW w:w="640" w:type="pct"/>
          </w:tcPr>
          <w:p w14:paraId="7677717F">
            <w:pPr>
              <w:adjustRightInd w:val="0"/>
              <w:snapToGrid w:val="0"/>
              <w:spacing w:line="360" w:lineRule="exact"/>
              <w:jc w:val="center"/>
              <w:rPr>
                <w:rFonts w:ascii="宋体" w:hAnsi="宋体" w:cs="宋体"/>
                <w:b/>
                <w:bCs/>
                <w:color w:val="auto"/>
                <w:sz w:val="24"/>
                <w:szCs w:val="24"/>
                <w:highlight w:val="none"/>
              </w:rPr>
            </w:pPr>
          </w:p>
        </w:tc>
      </w:tr>
      <w:tr w14:paraId="49E1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70" w:type="pct"/>
            <w:vAlign w:val="center"/>
          </w:tcPr>
          <w:p w14:paraId="5FA6E7C5">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2</w:t>
            </w:r>
          </w:p>
        </w:tc>
        <w:tc>
          <w:tcPr>
            <w:tcW w:w="3988" w:type="pct"/>
            <w:vAlign w:val="center"/>
          </w:tcPr>
          <w:p w14:paraId="315D49B5">
            <w:pPr>
              <w:adjustRightInd w:val="0"/>
              <w:snapToGrid w:val="0"/>
              <w:spacing w:line="360" w:lineRule="exact"/>
              <w:rPr>
                <w:rFonts w:ascii="宋体" w:hAnsi="宋体" w:cs="宋体"/>
                <w:b/>
                <w:bCs/>
                <w:color w:val="auto"/>
                <w:sz w:val="24"/>
                <w:szCs w:val="24"/>
                <w:highlight w:val="none"/>
              </w:rPr>
            </w:pPr>
            <w:r>
              <w:rPr>
                <w:rFonts w:hint="eastAsia" w:ascii="宋体" w:hAnsi="宋体"/>
                <w:color w:val="auto"/>
                <w:sz w:val="24"/>
                <w:szCs w:val="24"/>
                <w:highlight w:val="none"/>
              </w:rPr>
              <w:t>具有良好的商业信誉和健全的财务会计制度；（</w:t>
            </w:r>
            <w:r>
              <w:rPr>
                <w:rFonts w:hint="eastAsia" w:ascii="宋体" w:hAnsi="宋体" w:cs="宋体"/>
                <w:color w:val="auto"/>
                <w:sz w:val="24"/>
                <w:szCs w:val="24"/>
                <w:highlight w:val="none"/>
              </w:rPr>
              <w:t>提供会计师事务所出具的近三年任意一年度财务审计报告，</w:t>
            </w:r>
            <w:r>
              <w:rPr>
                <w:rFonts w:hint="eastAsia" w:ascii="宋体" w:hAnsi="宋体" w:cs="宋体"/>
                <w:color w:val="auto"/>
                <w:sz w:val="24"/>
                <w:highlight w:val="none"/>
              </w:rPr>
              <w:t>新成立不足一年的提供成立之日起至今的财务报表</w:t>
            </w:r>
            <w:r>
              <w:rPr>
                <w:rFonts w:hint="eastAsia" w:ascii="宋体" w:hAnsi="宋体" w:cs="宋体"/>
                <w:color w:val="auto"/>
                <w:sz w:val="24"/>
                <w:szCs w:val="24"/>
                <w:highlight w:val="none"/>
              </w:rPr>
              <w:t>和基本开户银行出具的资信证明</w:t>
            </w:r>
            <w:r>
              <w:rPr>
                <w:rFonts w:hint="eastAsia" w:ascii="宋体" w:hAnsi="宋体"/>
                <w:color w:val="auto"/>
                <w:sz w:val="24"/>
                <w:szCs w:val="24"/>
                <w:highlight w:val="none"/>
              </w:rPr>
              <w:t>）</w:t>
            </w:r>
          </w:p>
        </w:tc>
        <w:tc>
          <w:tcPr>
            <w:tcW w:w="640" w:type="pct"/>
          </w:tcPr>
          <w:p w14:paraId="53C628D5">
            <w:pPr>
              <w:adjustRightInd w:val="0"/>
              <w:snapToGrid w:val="0"/>
              <w:spacing w:line="360" w:lineRule="exact"/>
              <w:jc w:val="center"/>
              <w:rPr>
                <w:rFonts w:ascii="宋体" w:hAnsi="宋体" w:cs="宋体"/>
                <w:b/>
                <w:bCs/>
                <w:color w:val="auto"/>
                <w:sz w:val="24"/>
                <w:szCs w:val="24"/>
                <w:highlight w:val="none"/>
              </w:rPr>
            </w:pPr>
          </w:p>
        </w:tc>
      </w:tr>
      <w:tr w14:paraId="0737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70" w:type="pct"/>
            <w:vAlign w:val="center"/>
          </w:tcPr>
          <w:p w14:paraId="0EAFD587">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3</w:t>
            </w:r>
          </w:p>
        </w:tc>
        <w:tc>
          <w:tcPr>
            <w:tcW w:w="3988" w:type="pct"/>
            <w:vAlign w:val="center"/>
          </w:tcPr>
          <w:p w14:paraId="284D4DA3">
            <w:pPr>
              <w:adjustRightInd w:val="0"/>
              <w:snapToGrid w:val="0"/>
              <w:spacing w:line="360" w:lineRule="exact"/>
              <w:rPr>
                <w:rFonts w:ascii="宋体" w:hAnsi="宋体" w:cs="宋体"/>
                <w:b/>
                <w:bCs/>
                <w:color w:val="auto"/>
                <w:sz w:val="24"/>
                <w:szCs w:val="24"/>
                <w:highlight w:val="none"/>
              </w:rPr>
            </w:pPr>
            <w:r>
              <w:rPr>
                <w:rFonts w:hint="eastAsia" w:ascii="宋体" w:hAnsi="宋体"/>
                <w:color w:val="auto"/>
                <w:sz w:val="24"/>
                <w:szCs w:val="24"/>
                <w:highlight w:val="none"/>
              </w:rPr>
              <w:t>具有履行合同所必需的设备和专业技术能力；（提供承诺函）</w:t>
            </w:r>
          </w:p>
        </w:tc>
        <w:tc>
          <w:tcPr>
            <w:tcW w:w="640" w:type="pct"/>
          </w:tcPr>
          <w:p w14:paraId="49ABD565">
            <w:pPr>
              <w:adjustRightInd w:val="0"/>
              <w:snapToGrid w:val="0"/>
              <w:spacing w:line="360" w:lineRule="exact"/>
              <w:jc w:val="center"/>
              <w:rPr>
                <w:rFonts w:ascii="宋体" w:hAnsi="宋体" w:cs="宋体"/>
                <w:b/>
                <w:bCs/>
                <w:color w:val="auto"/>
                <w:sz w:val="24"/>
                <w:szCs w:val="24"/>
                <w:highlight w:val="none"/>
              </w:rPr>
            </w:pPr>
          </w:p>
        </w:tc>
      </w:tr>
      <w:tr w14:paraId="4AEA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0" w:type="pct"/>
            <w:vAlign w:val="center"/>
          </w:tcPr>
          <w:p w14:paraId="63CC4E91">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4</w:t>
            </w:r>
          </w:p>
        </w:tc>
        <w:tc>
          <w:tcPr>
            <w:tcW w:w="3988" w:type="pct"/>
            <w:vAlign w:val="center"/>
          </w:tcPr>
          <w:p w14:paraId="63A93DA5">
            <w:pPr>
              <w:adjustRightInd w:val="0"/>
              <w:snapToGrid w:val="0"/>
              <w:spacing w:line="360" w:lineRule="exact"/>
              <w:rPr>
                <w:rFonts w:ascii="宋体" w:hAnsi="宋体" w:cs="宋体"/>
                <w:b/>
                <w:bCs/>
                <w:color w:val="auto"/>
                <w:sz w:val="24"/>
                <w:szCs w:val="24"/>
                <w:highlight w:val="none"/>
              </w:rPr>
            </w:pPr>
            <w:r>
              <w:rPr>
                <w:rFonts w:hint="eastAsia" w:ascii="宋体" w:hAnsi="宋体"/>
                <w:color w:val="auto"/>
                <w:spacing w:val="8"/>
                <w:sz w:val="24"/>
                <w:szCs w:val="24"/>
                <w:highlight w:val="none"/>
              </w:rPr>
              <w:t>有依法缴纳税收和社会保障资金的良好记录；（提供近一年任意三个月缴税记录及社保缴纳证明，新成立公司提供成立之日起至今的缴税记录及社保缴纳证明）</w:t>
            </w:r>
          </w:p>
        </w:tc>
        <w:tc>
          <w:tcPr>
            <w:tcW w:w="640" w:type="pct"/>
          </w:tcPr>
          <w:p w14:paraId="6F7EB626">
            <w:pPr>
              <w:adjustRightInd w:val="0"/>
              <w:snapToGrid w:val="0"/>
              <w:spacing w:line="360" w:lineRule="exact"/>
              <w:jc w:val="center"/>
              <w:rPr>
                <w:rFonts w:ascii="宋体" w:hAnsi="宋体" w:cs="宋体"/>
                <w:b/>
                <w:bCs/>
                <w:color w:val="auto"/>
                <w:sz w:val="24"/>
                <w:szCs w:val="24"/>
                <w:highlight w:val="none"/>
              </w:rPr>
            </w:pPr>
          </w:p>
        </w:tc>
      </w:tr>
      <w:tr w14:paraId="37E9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0" w:type="pct"/>
            <w:vAlign w:val="center"/>
          </w:tcPr>
          <w:p w14:paraId="32423FA0">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5</w:t>
            </w:r>
          </w:p>
        </w:tc>
        <w:tc>
          <w:tcPr>
            <w:tcW w:w="3988" w:type="pct"/>
            <w:vAlign w:val="center"/>
          </w:tcPr>
          <w:p w14:paraId="6D919419">
            <w:pPr>
              <w:adjustRightInd w:val="0"/>
              <w:snapToGrid w:val="0"/>
              <w:spacing w:line="360" w:lineRule="exact"/>
              <w:rPr>
                <w:rFonts w:ascii="宋体" w:hAnsi="宋体" w:cs="宋体"/>
                <w:b/>
                <w:bCs/>
                <w:color w:val="auto"/>
                <w:sz w:val="24"/>
                <w:szCs w:val="24"/>
                <w:highlight w:val="none"/>
              </w:rPr>
            </w:pPr>
            <w:r>
              <w:rPr>
                <w:rFonts w:hint="eastAsia" w:ascii="宋体" w:hAnsi="宋体"/>
                <w:color w:val="auto"/>
                <w:sz w:val="24"/>
                <w:szCs w:val="24"/>
                <w:highlight w:val="none"/>
              </w:rPr>
              <w:t>符合国家有关法律法规的规定（提供承诺函）</w:t>
            </w:r>
          </w:p>
        </w:tc>
        <w:tc>
          <w:tcPr>
            <w:tcW w:w="640" w:type="pct"/>
          </w:tcPr>
          <w:p w14:paraId="26C90438">
            <w:pPr>
              <w:adjustRightInd w:val="0"/>
              <w:snapToGrid w:val="0"/>
              <w:spacing w:line="360" w:lineRule="exact"/>
              <w:jc w:val="center"/>
              <w:rPr>
                <w:rFonts w:ascii="宋体" w:hAnsi="宋体" w:cs="宋体"/>
                <w:b/>
                <w:bCs/>
                <w:color w:val="auto"/>
                <w:sz w:val="24"/>
                <w:szCs w:val="24"/>
                <w:highlight w:val="none"/>
              </w:rPr>
            </w:pPr>
          </w:p>
        </w:tc>
      </w:tr>
      <w:tr w14:paraId="433D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0" w:type="pct"/>
            <w:vAlign w:val="center"/>
          </w:tcPr>
          <w:p w14:paraId="55933D91">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6</w:t>
            </w:r>
          </w:p>
        </w:tc>
        <w:tc>
          <w:tcPr>
            <w:tcW w:w="3988" w:type="pct"/>
            <w:vAlign w:val="center"/>
          </w:tcPr>
          <w:p w14:paraId="23DA6F99">
            <w:pPr>
              <w:adjustRightInd w:val="0"/>
              <w:snapToGrid w:val="0"/>
              <w:spacing w:line="360" w:lineRule="exact"/>
              <w:rPr>
                <w:rFonts w:ascii="宋体" w:hAnsi="宋体" w:cs="宋体"/>
                <w:b/>
                <w:bCs/>
                <w:color w:val="auto"/>
                <w:sz w:val="24"/>
                <w:szCs w:val="24"/>
                <w:highlight w:val="none"/>
              </w:rPr>
            </w:pPr>
            <w:r>
              <w:rPr>
                <w:rFonts w:hint="eastAsia" w:ascii="宋体" w:hAnsi="宋体"/>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提供承诺函）</w:t>
            </w:r>
          </w:p>
        </w:tc>
        <w:tc>
          <w:tcPr>
            <w:tcW w:w="640" w:type="pct"/>
          </w:tcPr>
          <w:p w14:paraId="55B3E25A">
            <w:pPr>
              <w:adjustRightInd w:val="0"/>
              <w:snapToGrid w:val="0"/>
              <w:spacing w:line="360" w:lineRule="exact"/>
              <w:jc w:val="center"/>
              <w:rPr>
                <w:rFonts w:ascii="宋体" w:hAnsi="宋体" w:cs="宋体"/>
                <w:b/>
                <w:bCs/>
                <w:color w:val="auto"/>
                <w:sz w:val="24"/>
                <w:szCs w:val="24"/>
                <w:highlight w:val="none"/>
              </w:rPr>
            </w:pPr>
          </w:p>
        </w:tc>
      </w:tr>
      <w:tr w14:paraId="16E9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0" w:type="pct"/>
            <w:vAlign w:val="center"/>
          </w:tcPr>
          <w:p w14:paraId="7CA43B88">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7</w:t>
            </w:r>
          </w:p>
        </w:tc>
        <w:tc>
          <w:tcPr>
            <w:tcW w:w="3988" w:type="pct"/>
            <w:vAlign w:val="center"/>
          </w:tcPr>
          <w:p w14:paraId="4D210846">
            <w:pPr>
              <w:adjustRightInd w:val="0"/>
              <w:snapToGrid w:val="0"/>
              <w:spacing w:line="360" w:lineRule="exact"/>
              <w:rPr>
                <w:rFonts w:ascii="宋体" w:hAnsi="宋体" w:cs="宋体"/>
                <w:b/>
                <w:bCs/>
                <w:color w:val="auto"/>
                <w:sz w:val="24"/>
                <w:szCs w:val="24"/>
                <w:highlight w:val="none"/>
              </w:rPr>
            </w:pPr>
            <w:r>
              <w:rPr>
                <w:rFonts w:hint="eastAsia" w:ascii="宋体" w:hAnsi="宋体"/>
                <w:color w:val="auto"/>
                <w:sz w:val="24"/>
                <w:szCs w:val="24"/>
                <w:highlight w:val="none"/>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640" w:type="pct"/>
          </w:tcPr>
          <w:p w14:paraId="043553D9">
            <w:pPr>
              <w:adjustRightInd w:val="0"/>
              <w:snapToGrid w:val="0"/>
              <w:spacing w:line="360" w:lineRule="exact"/>
              <w:jc w:val="center"/>
              <w:rPr>
                <w:rFonts w:ascii="宋体" w:hAnsi="宋体" w:cs="宋体"/>
                <w:b/>
                <w:bCs/>
                <w:color w:val="auto"/>
                <w:sz w:val="24"/>
                <w:szCs w:val="24"/>
                <w:highlight w:val="none"/>
              </w:rPr>
            </w:pPr>
          </w:p>
        </w:tc>
      </w:tr>
      <w:tr w14:paraId="79D1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0" w:type="pct"/>
            <w:vAlign w:val="center"/>
          </w:tcPr>
          <w:p w14:paraId="642E5900">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8</w:t>
            </w:r>
          </w:p>
        </w:tc>
        <w:tc>
          <w:tcPr>
            <w:tcW w:w="3988" w:type="pct"/>
            <w:vAlign w:val="center"/>
          </w:tcPr>
          <w:p w14:paraId="39F95ADD">
            <w:pPr>
              <w:adjustRightInd w:val="0"/>
              <w:snapToGrid w:val="0"/>
              <w:spacing w:line="360" w:lineRule="exact"/>
              <w:rPr>
                <w:rFonts w:ascii="宋体" w:hAnsi="宋体" w:cs="宋体"/>
                <w:b/>
                <w:bCs/>
                <w:color w:val="auto"/>
                <w:sz w:val="24"/>
                <w:szCs w:val="24"/>
                <w:highlight w:val="none"/>
              </w:rPr>
            </w:pPr>
            <w:r>
              <w:rPr>
                <w:rFonts w:hint="eastAsia" w:ascii="宋体" w:hAnsi="宋体"/>
                <w:color w:val="auto"/>
                <w:sz w:val="24"/>
                <w:szCs w:val="24"/>
                <w:highlight w:val="none"/>
              </w:rPr>
              <w:t>本项目不接受联合体。（提供承诺函）</w:t>
            </w:r>
          </w:p>
        </w:tc>
        <w:tc>
          <w:tcPr>
            <w:tcW w:w="640" w:type="pct"/>
          </w:tcPr>
          <w:p w14:paraId="37FFC2AC">
            <w:pPr>
              <w:adjustRightInd w:val="0"/>
              <w:snapToGrid w:val="0"/>
              <w:spacing w:line="360" w:lineRule="exact"/>
              <w:jc w:val="center"/>
              <w:rPr>
                <w:rFonts w:ascii="宋体" w:hAnsi="宋体" w:cs="宋体"/>
                <w:b/>
                <w:bCs/>
                <w:color w:val="auto"/>
                <w:sz w:val="24"/>
                <w:szCs w:val="24"/>
                <w:highlight w:val="none"/>
              </w:rPr>
            </w:pPr>
          </w:p>
        </w:tc>
      </w:tr>
      <w:tr w14:paraId="3681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0" w:type="pct"/>
            <w:vAlign w:val="center"/>
          </w:tcPr>
          <w:p w14:paraId="3DD138C8">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9</w:t>
            </w:r>
          </w:p>
        </w:tc>
        <w:tc>
          <w:tcPr>
            <w:tcW w:w="3988" w:type="pct"/>
            <w:vAlign w:val="center"/>
          </w:tcPr>
          <w:p w14:paraId="03D05871">
            <w:pPr>
              <w:adjustRightInd w:val="0"/>
              <w:snapToGrid w:val="0"/>
              <w:spacing w:line="360" w:lineRule="exact"/>
              <w:rPr>
                <w:rFonts w:ascii="宋体" w:hAnsi="宋体" w:cs="宋体"/>
                <w:b/>
                <w:bCs/>
                <w:color w:val="auto"/>
                <w:sz w:val="24"/>
                <w:szCs w:val="24"/>
                <w:highlight w:val="none"/>
              </w:rPr>
            </w:pPr>
            <w:r>
              <w:rPr>
                <w:rFonts w:hint="eastAsia" w:ascii="宋体" w:hAnsi="宋体"/>
                <w:color w:val="auto"/>
                <w:sz w:val="24"/>
                <w:szCs w:val="24"/>
                <w:highlight w:val="none"/>
              </w:rPr>
              <w:t>供应商须在国家密码管理局公告（第 49 号）《商用密码检测机构(商用密码应用安全性评估业务)目录》中</w:t>
            </w:r>
          </w:p>
        </w:tc>
        <w:tc>
          <w:tcPr>
            <w:tcW w:w="640" w:type="pct"/>
          </w:tcPr>
          <w:p w14:paraId="3A1D23F7">
            <w:pPr>
              <w:adjustRightInd w:val="0"/>
              <w:snapToGrid w:val="0"/>
              <w:spacing w:line="360" w:lineRule="exact"/>
              <w:jc w:val="center"/>
              <w:rPr>
                <w:rFonts w:ascii="宋体" w:hAnsi="宋体" w:cs="宋体"/>
                <w:b/>
                <w:bCs/>
                <w:color w:val="auto"/>
                <w:sz w:val="24"/>
                <w:szCs w:val="24"/>
                <w:highlight w:val="none"/>
              </w:rPr>
            </w:pPr>
          </w:p>
        </w:tc>
      </w:tr>
      <w:tr w14:paraId="4E9A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70" w:type="pct"/>
            <w:vAlign w:val="center"/>
          </w:tcPr>
          <w:p w14:paraId="7922B6D2">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10</w:t>
            </w:r>
          </w:p>
        </w:tc>
        <w:tc>
          <w:tcPr>
            <w:tcW w:w="3988" w:type="pct"/>
            <w:vAlign w:val="center"/>
          </w:tcPr>
          <w:p w14:paraId="28510603">
            <w:pPr>
              <w:adjustRightInd w:val="0"/>
              <w:snapToGrid w:val="0"/>
              <w:spacing w:line="360" w:lineRule="exact"/>
              <w:rPr>
                <w:rFonts w:ascii="宋体" w:hAnsi="宋体" w:cs="宋体"/>
                <w:b/>
                <w:bCs/>
                <w:color w:val="auto"/>
                <w:sz w:val="24"/>
                <w:szCs w:val="24"/>
                <w:highlight w:val="none"/>
              </w:rPr>
            </w:pPr>
            <w:r>
              <w:rPr>
                <w:rFonts w:hint="eastAsia" w:ascii="宋体" w:hAnsi="宋体"/>
                <w:color w:val="auto"/>
                <w:sz w:val="24"/>
                <w:szCs w:val="24"/>
                <w:highlight w:val="none"/>
              </w:rPr>
              <w:t>落实政府采购政策需满足的资格要求：本项目专门面向中小企业（须提供中小企业声明函）</w:t>
            </w:r>
          </w:p>
        </w:tc>
        <w:tc>
          <w:tcPr>
            <w:tcW w:w="640" w:type="pct"/>
          </w:tcPr>
          <w:p w14:paraId="0CC939BF">
            <w:pPr>
              <w:adjustRightInd w:val="0"/>
              <w:snapToGrid w:val="0"/>
              <w:spacing w:line="360" w:lineRule="exact"/>
              <w:jc w:val="center"/>
              <w:rPr>
                <w:rFonts w:ascii="宋体" w:hAnsi="宋体" w:cs="宋体"/>
                <w:b/>
                <w:bCs/>
                <w:color w:val="auto"/>
                <w:sz w:val="24"/>
                <w:szCs w:val="24"/>
                <w:highlight w:val="none"/>
              </w:rPr>
            </w:pPr>
          </w:p>
        </w:tc>
      </w:tr>
      <w:tr w14:paraId="2891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359" w:type="pct"/>
            <w:gridSpan w:val="2"/>
            <w:vAlign w:val="center"/>
          </w:tcPr>
          <w:p w14:paraId="5F610A83">
            <w:pPr>
              <w:adjustRightInd w:val="0"/>
              <w:snapToGrid w:val="0"/>
              <w:spacing w:line="3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审查结果</w:t>
            </w:r>
          </w:p>
        </w:tc>
        <w:tc>
          <w:tcPr>
            <w:tcW w:w="640" w:type="pct"/>
          </w:tcPr>
          <w:p w14:paraId="13323AEC">
            <w:pPr>
              <w:adjustRightInd w:val="0"/>
              <w:snapToGrid w:val="0"/>
              <w:spacing w:line="360" w:lineRule="exact"/>
              <w:jc w:val="center"/>
              <w:rPr>
                <w:rFonts w:ascii="宋体" w:hAnsi="宋体" w:cs="宋体"/>
                <w:b/>
                <w:bCs/>
                <w:color w:val="auto"/>
                <w:sz w:val="24"/>
                <w:szCs w:val="24"/>
                <w:highlight w:val="none"/>
              </w:rPr>
            </w:pPr>
          </w:p>
        </w:tc>
      </w:tr>
    </w:tbl>
    <w:p w14:paraId="3A4918B6">
      <w:pPr>
        <w:spacing w:line="400" w:lineRule="atLeast"/>
        <w:ind w:left="602" w:hanging="602" w:hangingChars="250"/>
        <w:rPr>
          <w:rFonts w:ascii="宋体" w:hAnsi="宋体"/>
          <w:b/>
          <w:color w:val="auto"/>
          <w:sz w:val="24"/>
          <w:highlight w:val="none"/>
        </w:rPr>
      </w:pPr>
    </w:p>
    <w:p w14:paraId="358A5449">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 xml:space="preserve">24.4 评审委员会确定每一投标是否对招标文件的要求作出了实质性的响应，而没有重大偏离。实质性响应的投标是指没有重大偏离或保留。重大偏离或保留系指影响到招标文件规定的供货范围、质量和性能，或限制了买方的权利和供应商的义务的规定，而纠正这些偏离将影响到其他提交实质性响应投标的供应商的公平竞争地位。 </w:t>
      </w:r>
    </w:p>
    <w:tbl>
      <w:tblPr>
        <w:tblStyle w:val="11"/>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1128"/>
        <w:gridCol w:w="7821"/>
      </w:tblGrid>
      <w:tr w14:paraId="3AE5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7" w:type="dxa"/>
            <w:vAlign w:val="center"/>
          </w:tcPr>
          <w:p w14:paraId="15002F53">
            <w:pPr>
              <w:jc w:val="center"/>
              <w:rPr>
                <w:rFonts w:ascii="宋体" w:hAnsi="宋体"/>
                <w:color w:val="auto"/>
                <w:spacing w:val="-2"/>
                <w:sz w:val="24"/>
                <w:highlight w:val="none"/>
              </w:rPr>
            </w:pPr>
            <w:r>
              <w:rPr>
                <w:rFonts w:hint="eastAsia" w:ascii="宋体" w:hAnsi="宋体"/>
                <w:color w:val="auto"/>
                <w:spacing w:val="-2"/>
                <w:sz w:val="24"/>
                <w:highlight w:val="none"/>
              </w:rPr>
              <w:t>序号</w:t>
            </w:r>
          </w:p>
        </w:tc>
        <w:tc>
          <w:tcPr>
            <w:tcW w:w="8768" w:type="dxa"/>
            <w:gridSpan w:val="2"/>
            <w:vAlign w:val="center"/>
          </w:tcPr>
          <w:p w14:paraId="125EB2DB">
            <w:pPr>
              <w:jc w:val="center"/>
              <w:rPr>
                <w:rFonts w:ascii="宋体" w:hAnsi="宋体"/>
                <w:color w:val="auto"/>
                <w:spacing w:val="-2"/>
                <w:sz w:val="24"/>
                <w:highlight w:val="none"/>
              </w:rPr>
            </w:pPr>
            <w:r>
              <w:rPr>
                <w:rFonts w:hint="eastAsia" w:ascii="宋体" w:hAnsi="宋体"/>
                <w:color w:val="auto"/>
                <w:spacing w:val="-2"/>
                <w:sz w:val="24"/>
                <w:highlight w:val="none"/>
              </w:rPr>
              <w:t>审核内容</w:t>
            </w:r>
          </w:p>
        </w:tc>
      </w:tr>
      <w:tr w14:paraId="0D0A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7" w:type="dxa"/>
            <w:vAlign w:val="center"/>
          </w:tcPr>
          <w:p w14:paraId="1789EE6C">
            <w:pPr>
              <w:jc w:val="center"/>
              <w:rPr>
                <w:rFonts w:ascii="宋体" w:hAnsi="宋体"/>
                <w:b/>
                <w:bCs/>
                <w:color w:val="auto"/>
                <w:spacing w:val="-2"/>
                <w:sz w:val="24"/>
                <w:highlight w:val="none"/>
              </w:rPr>
            </w:pPr>
            <w:r>
              <w:rPr>
                <w:rFonts w:hint="eastAsia" w:ascii="宋体" w:hAnsi="宋体"/>
                <w:b/>
                <w:bCs/>
                <w:color w:val="auto"/>
                <w:spacing w:val="-2"/>
                <w:sz w:val="24"/>
                <w:highlight w:val="none"/>
              </w:rPr>
              <w:t>1</w:t>
            </w:r>
          </w:p>
        </w:tc>
        <w:tc>
          <w:tcPr>
            <w:tcW w:w="1138" w:type="dxa"/>
            <w:vAlign w:val="center"/>
          </w:tcPr>
          <w:p w14:paraId="74FF6376">
            <w:pPr>
              <w:pStyle w:val="109"/>
              <w:rPr>
                <w:rFonts w:ascii="宋体" w:hAnsi="宋体"/>
                <w:b/>
                <w:bCs/>
                <w:color w:val="auto"/>
                <w:highlight w:val="none"/>
              </w:rPr>
            </w:pPr>
            <w:r>
              <w:rPr>
                <w:rFonts w:hint="eastAsia" w:ascii="宋体" w:hAnsi="宋体"/>
                <w:b/>
                <w:bCs/>
                <w:color w:val="auto"/>
                <w:highlight w:val="none"/>
              </w:rPr>
              <w:t>供应商名称</w:t>
            </w:r>
          </w:p>
        </w:tc>
        <w:tc>
          <w:tcPr>
            <w:tcW w:w="3524" w:type="dxa"/>
            <w:vAlign w:val="center"/>
          </w:tcPr>
          <w:p w14:paraId="4C4E5A8D">
            <w:pPr>
              <w:pStyle w:val="109"/>
              <w:rPr>
                <w:rFonts w:ascii="宋体" w:hAnsi="宋体"/>
                <w:b/>
                <w:bCs/>
                <w:color w:val="auto"/>
                <w:highlight w:val="none"/>
              </w:rPr>
            </w:pPr>
            <w:r>
              <w:rPr>
                <w:rFonts w:hint="eastAsia" w:ascii="宋体" w:hAnsi="宋体"/>
                <w:b/>
                <w:bCs/>
                <w:color w:val="auto"/>
                <w:highlight w:val="none"/>
              </w:rPr>
              <w:t>与营业执照或事业单位法人证书一致</w:t>
            </w:r>
          </w:p>
        </w:tc>
      </w:tr>
      <w:tr w14:paraId="72BD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7" w:type="dxa"/>
            <w:vAlign w:val="center"/>
          </w:tcPr>
          <w:p w14:paraId="2F57378A">
            <w:pPr>
              <w:jc w:val="center"/>
              <w:rPr>
                <w:rFonts w:ascii="宋体" w:hAnsi="宋体"/>
                <w:b/>
                <w:bCs/>
                <w:color w:val="auto"/>
                <w:spacing w:val="-2"/>
                <w:sz w:val="24"/>
                <w:highlight w:val="none"/>
              </w:rPr>
            </w:pPr>
            <w:r>
              <w:rPr>
                <w:rFonts w:hint="eastAsia" w:ascii="宋体" w:hAnsi="宋体"/>
                <w:b/>
                <w:bCs/>
                <w:color w:val="auto"/>
                <w:spacing w:val="-2"/>
                <w:sz w:val="24"/>
                <w:highlight w:val="none"/>
              </w:rPr>
              <w:t>2</w:t>
            </w:r>
          </w:p>
        </w:tc>
        <w:tc>
          <w:tcPr>
            <w:tcW w:w="1138" w:type="dxa"/>
            <w:vAlign w:val="center"/>
          </w:tcPr>
          <w:p w14:paraId="3F77F139">
            <w:pPr>
              <w:pStyle w:val="109"/>
              <w:rPr>
                <w:rFonts w:ascii="宋体" w:hAnsi="宋体"/>
                <w:b/>
                <w:bCs/>
                <w:color w:val="auto"/>
                <w:highlight w:val="none"/>
              </w:rPr>
            </w:pPr>
            <w:r>
              <w:rPr>
                <w:rFonts w:hint="eastAsia" w:ascii="宋体" w:hAnsi="宋体"/>
                <w:b/>
                <w:bCs/>
                <w:color w:val="auto"/>
                <w:highlight w:val="none"/>
              </w:rPr>
              <w:t>磋商响应文件的格式</w:t>
            </w:r>
          </w:p>
        </w:tc>
        <w:tc>
          <w:tcPr>
            <w:tcW w:w="3524" w:type="dxa"/>
            <w:vAlign w:val="center"/>
          </w:tcPr>
          <w:p w14:paraId="3DF72CD0">
            <w:pPr>
              <w:pStyle w:val="109"/>
              <w:rPr>
                <w:rFonts w:ascii="宋体" w:hAnsi="宋体"/>
                <w:b/>
                <w:bCs/>
                <w:color w:val="auto"/>
                <w:highlight w:val="none"/>
              </w:rPr>
            </w:pPr>
            <w:r>
              <w:rPr>
                <w:rFonts w:hint="eastAsia" w:ascii="宋体" w:hAnsi="宋体"/>
                <w:b/>
                <w:bCs/>
                <w:color w:val="auto"/>
                <w:highlight w:val="none"/>
              </w:rPr>
              <w:t>磋商响应文件格式按照磋商文件要求完整提供</w:t>
            </w:r>
          </w:p>
        </w:tc>
      </w:tr>
      <w:tr w14:paraId="2287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7" w:type="dxa"/>
            <w:vAlign w:val="center"/>
          </w:tcPr>
          <w:p w14:paraId="11FCACBF">
            <w:pPr>
              <w:jc w:val="center"/>
              <w:rPr>
                <w:rFonts w:ascii="宋体" w:hAnsi="宋体"/>
                <w:b/>
                <w:bCs/>
                <w:color w:val="auto"/>
                <w:spacing w:val="-2"/>
                <w:sz w:val="24"/>
                <w:highlight w:val="none"/>
              </w:rPr>
            </w:pPr>
            <w:r>
              <w:rPr>
                <w:rFonts w:hint="eastAsia" w:ascii="宋体" w:hAnsi="宋体"/>
                <w:b/>
                <w:bCs/>
                <w:color w:val="auto"/>
                <w:spacing w:val="-2"/>
                <w:sz w:val="24"/>
                <w:highlight w:val="none"/>
              </w:rPr>
              <w:t>3</w:t>
            </w:r>
          </w:p>
        </w:tc>
        <w:tc>
          <w:tcPr>
            <w:tcW w:w="1138" w:type="dxa"/>
            <w:vAlign w:val="center"/>
          </w:tcPr>
          <w:p w14:paraId="354EBA43">
            <w:pPr>
              <w:pStyle w:val="109"/>
              <w:rPr>
                <w:rFonts w:ascii="宋体" w:hAnsi="宋体"/>
                <w:b/>
                <w:bCs/>
                <w:color w:val="auto"/>
                <w:highlight w:val="none"/>
              </w:rPr>
            </w:pPr>
            <w:r>
              <w:rPr>
                <w:rFonts w:hint="eastAsia" w:ascii="宋体" w:hAnsi="宋体"/>
                <w:b/>
                <w:bCs/>
                <w:color w:val="auto"/>
                <w:highlight w:val="none"/>
              </w:rPr>
              <w:t>磋商响应文件签署</w:t>
            </w:r>
          </w:p>
        </w:tc>
        <w:tc>
          <w:tcPr>
            <w:tcW w:w="3524" w:type="dxa"/>
            <w:vAlign w:val="center"/>
          </w:tcPr>
          <w:p w14:paraId="68562408">
            <w:pPr>
              <w:pStyle w:val="109"/>
              <w:rPr>
                <w:rFonts w:ascii="宋体" w:hAnsi="宋体"/>
                <w:b/>
                <w:bCs/>
                <w:color w:val="auto"/>
                <w:highlight w:val="none"/>
              </w:rPr>
            </w:pPr>
            <w:r>
              <w:rPr>
                <w:rFonts w:hint="eastAsia" w:ascii="宋体" w:hAnsi="宋体"/>
                <w:b/>
                <w:bCs/>
                <w:color w:val="auto"/>
                <w:highlight w:val="none"/>
              </w:rPr>
              <w:t>磋商响应文件的签章符合磋商文件规定</w:t>
            </w:r>
          </w:p>
        </w:tc>
      </w:tr>
      <w:tr w14:paraId="744E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7" w:type="dxa"/>
            <w:vAlign w:val="center"/>
          </w:tcPr>
          <w:p w14:paraId="2993B01A">
            <w:pPr>
              <w:jc w:val="center"/>
              <w:rPr>
                <w:rFonts w:ascii="宋体" w:hAnsi="宋体"/>
                <w:b/>
                <w:bCs/>
                <w:color w:val="auto"/>
                <w:spacing w:val="-2"/>
                <w:sz w:val="24"/>
                <w:highlight w:val="none"/>
              </w:rPr>
            </w:pPr>
            <w:r>
              <w:rPr>
                <w:rFonts w:hint="eastAsia" w:ascii="宋体" w:hAnsi="宋体"/>
                <w:b/>
                <w:bCs/>
                <w:color w:val="auto"/>
                <w:spacing w:val="-2"/>
                <w:sz w:val="24"/>
                <w:highlight w:val="none"/>
              </w:rPr>
              <w:t>4</w:t>
            </w:r>
          </w:p>
        </w:tc>
        <w:tc>
          <w:tcPr>
            <w:tcW w:w="1138" w:type="dxa"/>
            <w:vAlign w:val="center"/>
          </w:tcPr>
          <w:p w14:paraId="2384EF9F">
            <w:pPr>
              <w:pStyle w:val="109"/>
              <w:rPr>
                <w:rFonts w:ascii="宋体" w:hAnsi="宋体"/>
                <w:b/>
                <w:bCs/>
                <w:color w:val="auto"/>
                <w:highlight w:val="none"/>
              </w:rPr>
            </w:pPr>
            <w:r>
              <w:rPr>
                <w:rFonts w:hint="eastAsia" w:ascii="宋体" w:hAnsi="宋体"/>
                <w:b/>
                <w:bCs/>
                <w:color w:val="auto"/>
                <w:highlight w:val="none"/>
              </w:rPr>
              <w:t>响应报价</w:t>
            </w:r>
          </w:p>
        </w:tc>
        <w:tc>
          <w:tcPr>
            <w:tcW w:w="3524" w:type="dxa"/>
            <w:vAlign w:val="center"/>
          </w:tcPr>
          <w:p w14:paraId="17418927">
            <w:pPr>
              <w:pStyle w:val="109"/>
              <w:rPr>
                <w:rFonts w:ascii="宋体" w:hAnsi="宋体"/>
                <w:b/>
                <w:bCs/>
                <w:color w:val="auto"/>
                <w:highlight w:val="none"/>
              </w:rPr>
            </w:pPr>
            <w:r>
              <w:rPr>
                <w:rFonts w:hint="eastAsia" w:ascii="宋体" w:hAnsi="宋体"/>
                <w:b/>
                <w:bCs/>
                <w:color w:val="auto"/>
                <w:highlight w:val="none"/>
              </w:rPr>
              <w:t>响应报价符合磋商文件要求，响应报价不得超过最高限价。在评审过程中，评标委员会若发现供应商的报价明显低于其他响应报价，使得其响应报价可能低于其个别成本的，应当要求该供应商做出书面说明并提供相关证明材料。供应商不能合理说明或者不能提供相关证明材料的，评审委员会认定该供应商以低于成本报价参加磋商，采购人不接受不符合国家有关部门相关规定的响应或优惠方案，其响应报价视为无效报价。</w:t>
            </w:r>
          </w:p>
        </w:tc>
      </w:tr>
      <w:tr w14:paraId="6777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7" w:type="dxa"/>
            <w:vAlign w:val="center"/>
          </w:tcPr>
          <w:p w14:paraId="20C7EFA8">
            <w:pPr>
              <w:jc w:val="center"/>
              <w:rPr>
                <w:rFonts w:ascii="宋体" w:hAnsi="宋体"/>
                <w:b/>
                <w:bCs/>
                <w:color w:val="auto"/>
                <w:spacing w:val="-2"/>
                <w:sz w:val="24"/>
                <w:highlight w:val="none"/>
              </w:rPr>
            </w:pPr>
            <w:r>
              <w:rPr>
                <w:rFonts w:hint="eastAsia" w:ascii="宋体" w:hAnsi="宋体"/>
                <w:b/>
                <w:bCs/>
                <w:color w:val="auto"/>
                <w:spacing w:val="-2"/>
                <w:sz w:val="24"/>
                <w:highlight w:val="none"/>
              </w:rPr>
              <w:t>5</w:t>
            </w:r>
          </w:p>
        </w:tc>
        <w:tc>
          <w:tcPr>
            <w:tcW w:w="1138" w:type="dxa"/>
            <w:vAlign w:val="center"/>
          </w:tcPr>
          <w:p w14:paraId="66AE8554">
            <w:pPr>
              <w:pStyle w:val="109"/>
              <w:rPr>
                <w:rFonts w:ascii="宋体" w:hAnsi="宋体"/>
                <w:b/>
                <w:bCs/>
                <w:color w:val="auto"/>
                <w:highlight w:val="none"/>
              </w:rPr>
            </w:pPr>
            <w:r>
              <w:rPr>
                <w:rFonts w:hint="eastAsia" w:ascii="宋体" w:hAnsi="宋体"/>
                <w:b/>
                <w:bCs/>
                <w:color w:val="auto"/>
                <w:highlight w:val="none"/>
              </w:rPr>
              <w:t>合同条款</w:t>
            </w:r>
          </w:p>
        </w:tc>
        <w:tc>
          <w:tcPr>
            <w:tcW w:w="3524" w:type="dxa"/>
            <w:vAlign w:val="center"/>
          </w:tcPr>
          <w:p w14:paraId="52C1BE81">
            <w:pPr>
              <w:pStyle w:val="109"/>
              <w:rPr>
                <w:rFonts w:ascii="宋体" w:hAnsi="宋体"/>
                <w:b/>
                <w:bCs/>
                <w:color w:val="auto"/>
                <w:highlight w:val="none"/>
              </w:rPr>
            </w:pPr>
            <w:r>
              <w:rPr>
                <w:rFonts w:hint="eastAsia" w:ascii="宋体" w:hAnsi="宋体"/>
                <w:b/>
                <w:bCs/>
                <w:color w:val="auto"/>
                <w:highlight w:val="none"/>
              </w:rPr>
              <w:t>对磋商文件规定的合同实质性条款作出实质性响应</w:t>
            </w:r>
          </w:p>
        </w:tc>
      </w:tr>
      <w:tr w14:paraId="1BAE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7" w:type="dxa"/>
            <w:vAlign w:val="center"/>
          </w:tcPr>
          <w:p w14:paraId="367545FD">
            <w:pPr>
              <w:jc w:val="center"/>
              <w:rPr>
                <w:rFonts w:ascii="宋体" w:hAnsi="宋体"/>
                <w:b/>
                <w:bCs/>
                <w:color w:val="auto"/>
                <w:spacing w:val="-2"/>
                <w:sz w:val="24"/>
                <w:highlight w:val="none"/>
              </w:rPr>
            </w:pPr>
            <w:r>
              <w:rPr>
                <w:rFonts w:hint="eastAsia" w:ascii="宋体" w:hAnsi="宋体"/>
                <w:b/>
                <w:bCs/>
                <w:color w:val="auto"/>
                <w:spacing w:val="-2"/>
                <w:sz w:val="24"/>
                <w:highlight w:val="none"/>
              </w:rPr>
              <w:t>6</w:t>
            </w:r>
          </w:p>
        </w:tc>
        <w:tc>
          <w:tcPr>
            <w:tcW w:w="1138" w:type="dxa"/>
            <w:vAlign w:val="center"/>
          </w:tcPr>
          <w:p w14:paraId="4057A7EF">
            <w:pPr>
              <w:pStyle w:val="109"/>
              <w:rPr>
                <w:rFonts w:ascii="宋体" w:hAnsi="宋体"/>
                <w:b/>
                <w:bCs/>
                <w:color w:val="auto"/>
                <w:highlight w:val="none"/>
              </w:rPr>
            </w:pPr>
            <w:r>
              <w:rPr>
                <w:rFonts w:hint="eastAsia" w:ascii="宋体" w:hAnsi="宋体"/>
                <w:b/>
                <w:bCs/>
                <w:color w:val="auto"/>
                <w:highlight w:val="none"/>
              </w:rPr>
              <w:t>磋商有效期</w:t>
            </w:r>
          </w:p>
        </w:tc>
        <w:tc>
          <w:tcPr>
            <w:tcW w:w="3524" w:type="dxa"/>
            <w:vAlign w:val="center"/>
          </w:tcPr>
          <w:p w14:paraId="5CF0C54D">
            <w:pPr>
              <w:pStyle w:val="109"/>
              <w:rPr>
                <w:rFonts w:ascii="宋体" w:hAnsi="宋体"/>
                <w:b/>
                <w:bCs/>
                <w:color w:val="auto"/>
                <w:highlight w:val="none"/>
              </w:rPr>
            </w:pPr>
            <w:r>
              <w:rPr>
                <w:rFonts w:hint="eastAsia" w:ascii="宋体" w:hAnsi="宋体"/>
                <w:b/>
                <w:bCs/>
                <w:color w:val="auto"/>
                <w:highlight w:val="none"/>
              </w:rPr>
              <w:t>满足磋商文件规定</w:t>
            </w:r>
          </w:p>
        </w:tc>
      </w:tr>
      <w:tr w14:paraId="5AC9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7" w:type="dxa"/>
            <w:vAlign w:val="center"/>
          </w:tcPr>
          <w:p w14:paraId="4F3AE2E8">
            <w:pPr>
              <w:jc w:val="center"/>
              <w:rPr>
                <w:rFonts w:ascii="宋体" w:hAnsi="宋体"/>
                <w:b/>
                <w:bCs/>
                <w:color w:val="auto"/>
                <w:spacing w:val="-2"/>
                <w:sz w:val="24"/>
                <w:highlight w:val="none"/>
              </w:rPr>
            </w:pPr>
            <w:r>
              <w:rPr>
                <w:rFonts w:hint="eastAsia" w:ascii="宋体" w:hAnsi="宋体"/>
                <w:b/>
                <w:bCs/>
                <w:color w:val="auto"/>
                <w:spacing w:val="-2"/>
                <w:sz w:val="24"/>
                <w:highlight w:val="none"/>
              </w:rPr>
              <w:t>7</w:t>
            </w:r>
          </w:p>
        </w:tc>
        <w:tc>
          <w:tcPr>
            <w:tcW w:w="1138" w:type="dxa"/>
            <w:vAlign w:val="center"/>
          </w:tcPr>
          <w:p w14:paraId="7FB83C69">
            <w:pPr>
              <w:pStyle w:val="109"/>
              <w:rPr>
                <w:rFonts w:ascii="宋体" w:hAnsi="宋体"/>
                <w:b/>
                <w:bCs/>
                <w:color w:val="auto"/>
                <w:highlight w:val="none"/>
              </w:rPr>
            </w:pPr>
            <w:r>
              <w:rPr>
                <w:rFonts w:hint="eastAsia" w:ascii="宋体" w:hAnsi="宋体"/>
                <w:b/>
                <w:bCs/>
                <w:color w:val="auto"/>
                <w:highlight w:val="none"/>
              </w:rPr>
              <w:t>重大偏离</w:t>
            </w:r>
          </w:p>
        </w:tc>
        <w:tc>
          <w:tcPr>
            <w:tcW w:w="3524" w:type="dxa"/>
            <w:vAlign w:val="center"/>
          </w:tcPr>
          <w:p w14:paraId="017690CA">
            <w:pPr>
              <w:pStyle w:val="109"/>
              <w:rPr>
                <w:rFonts w:ascii="宋体" w:hAnsi="宋体"/>
                <w:b/>
                <w:bCs/>
                <w:color w:val="auto"/>
                <w:highlight w:val="none"/>
              </w:rPr>
            </w:pPr>
            <w:r>
              <w:rPr>
                <w:rFonts w:hint="eastAsia" w:ascii="宋体" w:hAnsi="宋体"/>
                <w:b/>
                <w:bCs/>
                <w:color w:val="auto"/>
                <w:highlight w:val="none"/>
              </w:rPr>
              <w:t>磋商响应文件内容符合磋商文件要求，审查并逐项列出磋商响应文件的全部偏差。若存在重大偏差将被视为未实质性响应磋商文件。</w:t>
            </w:r>
          </w:p>
        </w:tc>
      </w:tr>
      <w:tr w14:paraId="797D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7" w:type="dxa"/>
            <w:vAlign w:val="center"/>
          </w:tcPr>
          <w:p w14:paraId="29C8AE67">
            <w:pPr>
              <w:jc w:val="center"/>
              <w:rPr>
                <w:rFonts w:ascii="宋体" w:hAnsi="宋体"/>
                <w:b/>
                <w:bCs/>
                <w:color w:val="auto"/>
                <w:spacing w:val="-2"/>
                <w:sz w:val="24"/>
                <w:highlight w:val="none"/>
              </w:rPr>
            </w:pPr>
            <w:r>
              <w:rPr>
                <w:rFonts w:ascii="宋体" w:hAnsi="宋体"/>
                <w:b/>
                <w:bCs/>
                <w:color w:val="auto"/>
                <w:spacing w:val="-2"/>
                <w:sz w:val="24"/>
                <w:highlight w:val="none"/>
              </w:rPr>
              <w:t>8</w:t>
            </w:r>
          </w:p>
        </w:tc>
        <w:tc>
          <w:tcPr>
            <w:tcW w:w="1138" w:type="dxa"/>
            <w:vAlign w:val="center"/>
          </w:tcPr>
          <w:p w14:paraId="16F7DE38">
            <w:pPr>
              <w:pStyle w:val="109"/>
              <w:rPr>
                <w:rFonts w:ascii="宋体" w:hAnsi="宋体"/>
                <w:b/>
                <w:bCs/>
                <w:color w:val="auto"/>
                <w:highlight w:val="none"/>
              </w:rPr>
            </w:pPr>
            <w:r>
              <w:rPr>
                <w:rFonts w:hint="eastAsia" w:ascii="宋体" w:hAnsi="宋体"/>
                <w:b/>
                <w:bCs/>
                <w:color w:val="auto"/>
                <w:highlight w:val="none"/>
              </w:rPr>
              <w:t>其他</w:t>
            </w:r>
          </w:p>
        </w:tc>
        <w:tc>
          <w:tcPr>
            <w:tcW w:w="3524" w:type="dxa"/>
            <w:vAlign w:val="center"/>
          </w:tcPr>
          <w:p w14:paraId="085CFE17">
            <w:pPr>
              <w:pStyle w:val="109"/>
              <w:rPr>
                <w:rFonts w:ascii="宋体" w:hAnsi="宋体"/>
                <w:b/>
                <w:bCs/>
                <w:color w:val="auto"/>
                <w:highlight w:val="none"/>
              </w:rPr>
            </w:pPr>
            <w:r>
              <w:rPr>
                <w:rFonts w:hint="eastAsia" w:ascii="宋体" w:hAnsi="宋体"/>
                <w:b/>
                <w:bCs/>
                <w:color w:val="auto"/>
                <w:highlight w:val="none"/>
              </w:rPr>
              <w:t>磋商响应文件未附有采购人不能接受的附加条件及法律、法规和磋商文件规定的其他无效响应情形</w:t>
            </w:r>
          </w:p>
        </w:tc>
      </w:tr>
      <w:tr w14:paraId="1AE9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01" w:type="dxa"/>
            <w:gridSpan w:val="3"/>
            <w:vAlign w:val="center"/>
          </w:tcPr>
          <w:p w14:paraId="29F4F58B">
            <w:pPr>
              <w:spacing w:line="400" w:lineRule="atLeast"/>
              <w:rPr>
                <w:rFonts w:ascii="宋体" w:hAnsi="宋体"/>
                <w:color w:val="auto"/>
                <w:spacing w:val="-2"/>
                <w:sz w:val="24"/>
                <w:highlight w:val="none"/>
              </w:rPr>
            </w:pPr>
            <w:r>
              <w:rPr>
                <w:rFonts w:hint="eastAsia" w:ascii="宋体" w:hAnsi="宋体"/>
                <w:color w:val="auto"/>
                <w:spacing w:val="-2"/>
                <w:sz w:val="24"/>
                <w:highlight w:val="none"/>
              </w:rPr>
              <w:t>注：投标文件有不符合上述情形之一的，作废标处理。出现重大偏差的标记“×”，没有出现重大偏差的标记“√” 。</w:t>
            </w:r>
          </w:p>
        </w:tc>
      </w:tr>
    </w:tbl>
    <w:p w14:paraId="590CC94A">
      <w:pPr>
        <w:spacing w:line="400" w:lineRule="atLeast"/>
        <w:rPr>
          <w:rFonts w:ascii="宋体" w:hAnsi="宋体"/>
          <w:color w:val="auto"/>
          <w:sz w:val="24"/>
          <w:highlight w:val="none"/>
        </w:rPr>
      </w:pPr>
      <w:r>
        <w:rPr>
          <w:rFonts w:hint="eastAsia" w:ascii="宋体" w:hAnsi="宋体"/>
          <w:color w:val="auto"/>
          <w:sz w:val="24"/>
          <w:highlight w:val="none"/>
        </w:rPr>
        <w:t>25．磋商响应文件的澄清</w:t>
      </w:r>
    </w:p>
    <w:p w14:paraId="0BD5E279">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25.1</w:t>
      </w:r>
      <w:r>
        <w:rPr>
          <w:rFonts w:hint="eastAsia" w:ascii="宋体" w:hAnsi="宋体"/>
          <w:b/>
          <w:bCs/>
          <w:color w:val="auto"/>
          <w:sz w:val="24"/>
          <w:highlight w:val="none"/>
        </w:rPr>
        <w:t>为有助于对磋商响应文件进行审查、评估和比较，评审委员会将对认为需要（不是每一个）的供应商进行询标，请供应商澄清其磋商内容，供应商有责任按照采购代理机构通知的时间、地点指派专人进行线上答疑和澄清。询标时供应商代表应作书面记录。并对重要内容作出书面答复。</w:t>
      </w:r>
    </w:p>
    <w:p w14:paraId="608B3E44">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25.2 要澄清的答复应是书面的，但不得对磋商内容进行实质性修改。澄清文件须由供应商法人代表或法人授权代表签字和/或加盖公章并作为磋商响应文件的组成部分。</w:t>
      </w:r>
    </w:p>
    <w:p w14:paraId="5ACE5CE5">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25.3 磋商结束后，磋商小组要求所有参加磋商的供应商在规定的时间内进行二次报价或多轮报价，以最后一次报价为最终报价。</w:t>
      </w:r>
    </w:p>
    <w:p w14:paraId="164389FF">
      <w:pPr>
        <w:spacing w:line="400" w:lineRule="atLeast"/>
        <w:rPr>
          <w:rFonts w:ascii="宋体" w:hAnsi="宋体"/>
          <w:color w:val="auto"/>
          <w:sz w:val="24"/>
          <w:highlight w:val="none"/>
        </w:rPr>
      </w:pPr>
      <w:r>
        <w:rPr>
          <w:rFonts w:hint="eastAsia" w:ascii="宋体" w:hAnsi="宋体"/>
          <w:color w:val="auto"/>
          <w:sz w:val="24"/>
          <w:highlight w:val="none"/>
        </w:rPr>
        <w:t>26．确定成交供应商的办法</w:t>
      </w:r>
    </w:p>
    <w:p w14:paraId="5BD3902E">
      <w:pPr>
        <w:spacing w:line="400" w:lineRule="atLeast"/>
        <w:rPr>
          <w:rFonts w:ascii="宋体" w:hAnsi="宋体"/>
          <w:bCs/>
          <w:color w:val="auto"/>
          <w:sz w:val="24"/>
          <w:highlight w:val="none"/>
        </w:rPr>
      </w:pPr>
      <w:r>
        <w:rPr>
          <w:rFonts w:hint="eastAsia" w:ascii="宋体" w:hAnsi="宋体"/>
          <w:bCs/>
          <w:color w:val="auto"/>
          <w:sz w:val="24"/>
          <w:highlight w:val="none"/>
        </w:rPr>
        <w:t>26.1磋商小组按照磋商文件要求对磋商响应文件中重要技术指标以及技术和商务上要求的其它重要内容进行审核。</w:t>
      </w:r>
    </w:p>
    <w:p w14:paraId="53278C8C">
      <w:pPr>
        <w:spacing w:line="400" w:lineRule="atLeast"/>
        <w:rPr>
          <w:rFonts w:ascii="宋体" w:hAnsi="宋体"/>
          <w:bCs/>
          <w:color w:val="auto"/>
          <w:sz w:val="24"/>
          <w:highlight w:val="none"/>
        </w:rPr>
      </w:pPr>
      <w:r>
        <w:rPr>
          <w:rFonts w:hint="eastAsia" w:ascii="宋体" w:hAnsi="宋体"/>
          <w:bCs/>
          <w:color w:val="auto"/>
          <w:sz w:val="24"/>
          <w:highlight w:val="none"/>
        </w:rPr>
        <w:t>26.2磋商小组和供应商磋商过程中作出的书面承诺是否符合磋商文件中对质量、技术和服务的要求。</w:t>
      </w:r>
    </w:p>
    <w:p w14:paraId="1FD59AF9">
      <w:pPr>
        <w:spacing w:line="400" w:lineRule="atLeast"/>
        <w:rPr>
          <w:rFonts w:ascii="宋体" w:hAnsi="宋体"/>
          <w:bCs/>
          <w:color w:val="auto"/>
          <w:sz w:val="24"/>
          <w:highlight w:val="none"/>
        </w:rPr>
      </w:pPr>
      <w:r>
        <w:rPr>
          <w:rFonts w:hint="eastAsia" w:ascii="宋体" w:hAnsi="宋体"/>
          <w:bCs/>
          <w:color w:val="auto"/>
          <w:sz w:val="24"/>
          <w:highlight w:val="none"/>
        </w:rPr>
        <w:t>26.3</w:t>
      </w:r>
      <w:r>
        <w:rPr>
          <w:rFonts w:hint="eastAsia" w:ascii="宋体" w:hAnsi="宋体"/>
          <w:color w:val="auto"/>
          <w:sz w:val="24"/>
          <w:szCs w:val="24"/>
          <w:highlight w:val="none"/>
          <w:shd w:val="clear" w:color="auto" w:fill="FFFFFF"/>
        </w:rPr>
        <w:t>经磋商确定最终采购需求和提交最后报价（二次报价或多轮报价）的供应商后，由磋商小组采用综合评分法对提交最后报价（二次报价或多轮报价）的供应商的响应文件和最后报价（二次报价或多轮报价）进行综合评分。</w:t>
      </w:r>
    </w:p>
    <w:p w14:paraId="4CB76AC8">
      <w:pPr>
        <w:spacing w:line="400" w:lineRule="atLeast"/>
        <w:ind w:left="1" w:firstLine="424" w:firstLineChars="177"/>
        <w:rPr>
          <w:rFonts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rPr>
        <w:t>对响应文件的评估和比较分为两步进行，磋商小组会按照磋商文件要求对响应文件中的重要技术指标以及技术和商务上要求的其它重要内容进行审核，审核合格后即视为实质性响应的磋商响应文件，进行第二个步骤：对实质性响应的磋商响应文件进行评估和比较采用综合评分法进行打分评比，打分方法：总分为100分，其中价格部分占10分，商务部分占90分。将每位供应商的价格得分、技术得分、商务得分相加即为该供应商的总得分。详细评分标准如下：</w:t>
      </w:r>
    </w:p>
    <w:p w14:paraId="39854546">
      <w:pPr>
        <w:rPr>
          <w:rFonts w:ascii="宋体" w:hAnsi="宋体"/>
          <w:b/>
          <w:color w:val="auto"/>
          <w:sz w:val="24"/>
          <w:szCs w:val="24"/>
          <w:highlight w:val="none"/>
        </w:rPr>
      </w:pPr>
      <w:r>
        <w:rPr>
          <w:rFonts w:hint="eastAsia" w:ascii="宋体" w:hAnsi="宋体"/>
          <w:b/>
          <w:color w:val="auto"/>
          <w:sz w:val="24"/>
          <w:szCs w:val="24"/>
          <w:highlight w:val="none"/>
        </w:rPr>
        <w:t>一、价格部分（10分）</w:t>
      </w:r>
    </w:p>
    <w:p w14:paraId="371F8CFB">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价格得分的评分方法: 采用低价优先法计算，即满足磋商文件要求且最终报价最低的磋商响应报价为评审基准价，其价格得分为满分。其他供应商的价格得分统一按照下列公式计算：价格得分=（评审基准价/最终报价）×10%×100，如此类推，算出所有供应商的价格得分。</w:t>
      </w:r>
    </w:p>
    <w:p w14:paraId="614B5EDB">
      <w:pPr>
        <w:pStyle w:val="58"/>
        <w:ind w:firstLine="241"/>
        <w:rPr>
          <w:rFonts w:ascii="宋体" w:hAnsi="宋体"/>
          <w:b/>
          <w:bCs/>
          <w:color w:val="auto"/>
          <w:sz w:val="24"/>
          <w:szCs w:val="24"/>
          <w:highlight w:val="none"/>
        </w:rPr>
      </w:pPr>
      <w:r>
        <w:rPr>
          <w:rFonts w:hint="eastAsia" w:ascii="宋体" w:hAnsi="宋体"/>
          <w:b/>
          <w:bCs/>
          <w:color w:val="auto"/>
          <w:sz w:val="24"/>
          <w:szCs w:val="24"/>
          <w:highlight w:val="none"/>
        </w:rPr>
        <w:t>商务、技术部分（90分）</w:t>
      </w:r>
    </w:p>
    <w:tbl>
      <w:tblPr>
        <w:tblStyle w:val="11"/>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8"/>
        <w:gridCol w:w="970"/>
        <w:gridCol w:w="5882"/>
        <w:gridCol w:w="964"/>
      </w:tblGrid>
      <w:tr w14:paraId="2321D9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1008" w:type="dxa"/>
            <w:tcBorders>
              <w:top w:val="single" w:color="auto" w:sz="4" w:space="0"/>
              <w:left w:val="single" w:color="auto" w:sz="4" w:space="0"/>
              <w:bottom w:val="single" w:color="auto" w:sz="4" w:space="0"/>
              <w:right w:val="single" w:color="auto" w:sz="4" w:space="0"/>
            </w:tcBorders>
            <w:noWrap/>
            <w:vAlign w:val="center"/>
          </w:tcPr>
          <w:p w14:paraId="7CDEDEC5">
            <w:pPr>
              <w:widowControl/>
              <w:overflowPunct w:val="0"/>
              <w:autoSpaceDE w:val="0"/>
              <w:autoSpaceDN w:val="0"/>
              <w:adjustRightInd w:val="0"/>
              <w:jc w:val="center"/>
              <w:textAlignment w:val="baseline"/>
              <w:rPr>
                <w:rFonts w:ascii="宋体" w:hAnsi="宋体" w:cs="仿宋_GB2312"/>
                <w:b/>
                <w:bCs/>
                <w:color w:val="auto"/>
                <w:kern w:val="0"/>
                <w:szCs w:val="21"/>
                <w:highlight w:val="none"/>
              </w:rPr>
            </w:pPr>
            <w:r>
              <w:rPr>
                <w:rFonts w:hint="eastAsia" w:ascii="宋体" w:hAnsi="宋体" w:cs="仿宋_GB2312"/>
                <w:b/>
                <w:bCs/>
                <w:color w:val="auto"/>
                <w:kern w:val="0"/>
                <w:szCs w:val="21"/>
                <w:highlight w:val="none"/>
              </w:rPr>
              <w:t>评审因素</w:t>
            </w:r>
          </w:p>
        </w:tc>
        <w:tc>
          <w:tcPr>
            <w:tcW w:w="970" w:type="dxa"/>
            <w:tcBorders>
              <w:top w:val="single" w:color="auto" w:sz="4" w:space="0"/>
              <w:left w:val="single" w:color="auto" w:sz="4" w:space="0"/>
              <w:bottom w:val="single" w:color="auto" w:sz="4" w:space="0"/>
              <w:right w:val="single" w:color="auto" w:sz="4" w:space="0"/>
            </w:tcBorders>
            <w:noWrap/>
            <w:vAlign w:val="center"/>
          </w:tcPr>
          <w:p w14:paraId="6E272496">
            <w:pPr>
              <w:widowControl/>
              <w:overflowPunct w:val="0"/>
              <w:autoSpaceDE w:val="0"/>
              <w:autoSpaceDN w:val="0"/>
              <w:adjustRightInd w:val="0"/>
              <w:jc w:val="center"/>
              <w:textAlignment w:val="baseline"/>
              <w:rPr>
                <w:rFonts w:ascii="宋体" w:hAnsi="宋体" w:cs="仿宋_GB2312"/>
                <w:b/>
                <w:bCs/>
                <w:color w:val="auto"/>
                <w:kern w:val="0"/>
                <w:szCs w:val="21"/>
                <w:highlight w:val="none"/>
              </w:rPr>
            </w:pPr>
            <w:r>
              <w:rPr>
                <w:rFonts w:hint="eastAsia" w:ascii="宋体" w:hAnsi="宋体" w:cs="仿宋_GB2312"/>
                <w:b/>
                <w:bCs/>
                <w:color w:val="auto"/>
                <w:kern w:val="0"/>
                <w:szCs w:val="21"/>
                <w:highlight w:val="none"/>
              </w:rPr>
              <w:t>主要内容</w:t>
            </w:r>
          </w:p>
        </w:tc>
        <w:tc>
          <w:tcPr>
            <w:tcW w:w="5882" w:type="dxa"/>
            <w:tcBorders>
              <w:top w:val="single" w:color="auto" w:sz="4" w:space="0"/>
              <w:left w:val="single" w:color="auto" w:sz="4" w:space="0"/>
              <w:bottom w:val="single" w:color="auto" w:sz="4" w:space="0"/>
              <w:right w:val="single" w:color="auto" w:sz="4" w:space="0"/>
            </w:tcBorders>
            <w:noWrap/>
            <w:vAlign w:val="center"/>
          </w:tcPr>
          <w:p w14:paraId="1AB82B9E">
            <w:pPr>
              <w:widowControl/>
              <w:overflowPunct w:val="0"/>
              <w:autoSpaceDE w:val="0"/>
              <w:autoSpaceDN w:val="0"/>
              <w:adjustRightInd w:val="0"/>
              <w:jc w:val="center"/>
              <w:textAlignment w:val="baseline"/>
              <w:rPr>
                <w:rFonts w:ascii="宋体" w:hAnsi="宋体" w:cs="仿宋_GB2312"/>
                <w:b/>
                <w:bCs/>
                <w:color w:val="auto"/>
                <w:kern w:val="0"/>
                <w:szCs w:val="21"/>
                <w:highlight w:val="none"/>
              </w:rPr>
            </w:pPr>
            <w:r>
              <w:rPr>
                <w:rFonts w:hint="eastAsia" w:ascii="宋体" w:hAnsi="宋体" w:cs="仿宋_GB2312"/>
                <w:b/>
                <w:bCs/>
                <w:color w:val="auto"/>
                <w:kern w:val="0"/>
                <w:szCs w:val="21"/>
                <w:highlight w:val="none"/>
              </w:rPr>
              <w:t>指标要求</w:t>
            </w:r>
          </w:p>
        </w:tc>
        <w:tc>
          <w:tcPr>
            <w:tcW w:w="964" w:type="dxa"/>
            <w:tcBorders>
              <w:top w:val="single" w:color="auto" w:sz="4" w:space="0"/>
              <w:left w:val="single" w:color="auto" w:sz="4" w:space="0"/>
              <w:bottom w:val="single" w:color="auto" w:sz="4" w:space="0"/>
              <w:right w:val="single" w:color="auto" w:sz="4" w:space="0"/>
            </w:tcBorders>
            <w:noWrap/>
            <w:vAlign w:val="center"/>
          </w:tcPr>
          <w:p w14:paraId="59D51B1E">
            <w:pPr>
              <w:widowControl/>
              <w:overflowPunct w:val="0"/>
              <w:autoSpaceDE w:val="0"/>
              <w:autoSpaceDN w:val="0"/>
              <w:adjustRightInd w:val="0"/>
              <w:jc w:val="center"/>
              <w:textAlignment w:val="baseline"/>
              <w:rPr>
                <w:rFonts w:ascii="宋体" w:hAnsi="宋体" w:cs="仿宋_GB2312"/>
                <w:b/>
                <w:bCs/>
                <w:color w:val="auto"/>
                <w:kern w:val="0"/>
                <w:szCs w:val="21"/>
                <w:highlight w:val="none"/>
              </w:rPr>
            </w:pPr>
            <w:r>
              <w:rPr>
                <w:rFonts w:hint="eastAsia" w:ascii="宋体" w:hAnsi="宋体" w:cs="仿宋_GB2312"/>
                <w:b/>
                <w:bCs/>
                <w:color w:val="auto"/>
                <w:kern w:val="0"/>
                <w:szCs w:val="21"/>
                <w:highlight w:val="none"/>
              </w:rPr>
              <w:t>细项</w:t>
            </w:r>
          </w:p>
          <w:p w14:paraId="28DA64BA">
            <w:pPr>
              <w:widowControl/>
              <w:overflowPunct w:val="0"/>
              <w:autoSpaceDE w:val="0"/>
              <w:autoSpaceDN w:val="0"/>
              <w:adjustRightInd w:val="0"/>
              <w:jc w:val="center"/>
              <w:textAlignment w:val="baseline"/>
              <w:rPr>
                <w:rFonts w:ascii="宋体" w:hAnsi="宋体" w:cs="仿宋_GB2312"/>
                <w:b/>
                <w:bCs/>
                <w:color w:val="auto"/>
                <w:kern w:val="0"/>
                <w:szCs w:val="21"/>
                <w:highlight w:val="none"/>
              </w:rPr>
            </w:pPr>
            <w:r>
              <w:rPr>
                <w:rFonts w:hint="eastAsia" w:ascii="宋体" w:hAnsi="宋体" w:cs="仿宋_GB2312"/>
                <w:b/>
                <w:bCs/>
                <w:color w:val="auto"/>
                <w:kern w:val="0"/>
                <w:szCs w:val="21"/>
                <w:highlight w:val="none"/>
              </w:rPr>
              <w:t>分值</w:t>
            </w:r>
          </w:p>
        </w:tc>
      </w:tr>
      <w:tr w14:paraId="3801C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30" w:hRule="atLeast"/>
          <w:jc w:val="center"/>
        </w:trPr>
        <w:tc>
          <w:tcPr>
            <w:tcW w:w="1008" w:type="dxa"/>
            <w:vMerge w:val="restart"/>
            <w:tcBorders>
              <w:top w:val="single" w:color="auto" w:sz="4" w:space="0"/>
              <w:left w:val="single" w:color="auto" w:sz="4" w:space="0"/>
              <w:right w:val="single" w:color="auto" w:sz="4" w:space="0"/>
            </w:tcBorders>
            <w:noWrap/>
            <w:vAlign w:val="center"/>
          </w:tcPr>
          <w:p w14:paraId="63989474">
            <w:pPr>
              <w:widowControl/>
              <w:overflowPunct w:val="0"/>
              <w:autoSpaceDE w:val="0"/>
              <w:autoSpaceDN w:val="0"/>
              <w:adjustRightInd w:val="0"/>
              <w:jc w:val="left"/>
              <w:textAlignment w:val="baseline"/>
              <w:rPr>
                <w:rFonts w:ascii="宋体" w:hAnsi="宋体" w:cs="仿宋_GB2312"/>
                <w:color w:val="auto"/>
                <w:szCs w:val="21"/>
                <w:highlight w:val="none"/>
                <w:lang w:val="zh-CN"/>
              </w:rPr>
            </w:pPr>
            <w:r>
              <w:rPr>
                <w:rFonts w:hint="eastAsia" w:ascii="宋体" w:hAnsi="宋体" w:cs="仿宋_GB2312"/>
                <w:color w:val="auto"/>
                <w:szCs w:val="21"/>
                <w:highlight w:val="none"/>
                <w:lang w:val="zh-CN"/>
              </w:rPr>
              <w:t>技术因素</w:t>
            </w:r>
          </w:p>
        </w:tc>
        <w:tc>
          <w:tcPr>
            <w:tcW w:w="970" w:type="dxa"/>
            <w:tcBorders>
              <w:top w:val="single" w:color="auto" w:sz="4" w:space="0"/>
              <w:left w:val="single" w:color="auto" w:sz="4" w:space="0"/>
              <w:bottom w:val="single" w:color="auto" w:sz="4" w:space="0"/>
              <w:right w:val="single" w:color="auto" w:sz="4" w:space="0"/>
            </w:tcBorders>
            <w:noWrap/>
            <w:vAlign w:val="center"/>
          </w:tcPr>
          <w:p w14:paraId="2FA54E16">
            <w:pPr>
              <w:jc w:val="center"/>
              <w:rPr>
                <w:rFonts w:ascii="宋体" w:hAnsi="宋体" w:cs="仿宋_GB2312"/>
                <w:color w:val="auto"/>
                <w:szCs w:val="21"/>
                <w:highlight w:val="none"/>
                <w:lang w:val="zh-CN"/>
              </w:rPr>
            </w:pPr>
            <w:r>
              <w:rPr>
                <w:rFonts w:hint="eastAsia" w:ascii="宋体" w:hAnsi="宋体" w:cs="宋体"/>
                <w:color w:val="auto"/>
                <w:kern w:val="0"/>
                <w:szCs w:val="21"/>
                <w:highlight w:val="none"/>
              </w:rPr>
              <w:t>项目需求理解方案</w:t>
            </w:r>
          </w:p>
        </w:tc>
        <w:tc>
          <w:tcPr>
            <w:tcW w:w="5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04628">
            <w:pPr>
              <w:rPr>
                <w:rFonts w:ascii="宋体" w:hAnsi="宋体" w:cs="宋体"/>
                <w:color w:val="auto"/>
                <w:kern w:val="0"/>
                <w:szCs w:val="21"/>
                <w:highlight w:val="none"/>
              </w:rPr>
            </w:pPr>
            <w:r>
              <w:rPr>
                <w:rFonts w:hint="eastAsia" w:ascii="宋体" w:hAnsi="宋体" w:cs="宋体"/>
                <w:color w:val="auto"/>
                <w:kern w:val="0"/>
                <w:szCs w:val="21"/>
                <w:highlight w:val="none"/>
              </w:rPr>
              <w:t>评标委员会根据供应商提供的项目需求理解方案是否科学、内容是否全面、是否有针对性及是否满足采购需求等进行综合评审，本项最高得</w:t>
            </w:r>
            <w:r>
              <w:rPr>
                <w:rFonts w:ascii="宋体" w:hAnsi="宋体" w:cs="宋体"/>
                <w:color w:val="auto"/>
                <w:kern w:val="0"/>
                <w:szCs w:val="21"/>
                <w:highlight w:val="none"/>
              </w:rPr>
              <w:t>8</w:t>
            </w:r>
            <w:r>
              <w:rPr>
                <w:rFonts w:hint="eastAsia" w:ascii="宋体" w:hAnsi="宋体" w:cs="宋体"/>
                <w:color w:val="auto"/>
                <w:kern w:val="0"/>
                <w:szCs w:val="21"/>
                <w:highlight w:val="none"/>
              </w:rPr>
              <w:t>分。其中：</w:t>
            </w:r>
          </w:p>
          <w:p w14:paraId="307E88D3">
            <w:pPr>
              <w:rPr>
                <w:rFonts w:ascii="宋体" w:hAnsi="宋体"/>
                <w:color w:val="auto"/>
                <w:szCs w:val="21"/>
                <w:highlight w:val="none"/>
              </w:rPr>
            </w:pPr>
            <w:r>
              <w:rPr>
                <w:rFonts w:hint="eastAsia" w:ascii="宋体" w:hAnsi="宋体"/>
                <w:color w:val="auto"/>
                <w:szCs w:val="21"/>
                <w:highlight w:val="none"/>
              </w:rPr>
              <w:t>内容切合实际、理解准确、分析明确，针对性强，完全符合得8分；</w:t>
            </w:r>
          </w:p>
          <w:p w14:paraId="3474F5DE">
            <w:pPr>
              <w:rPr>
                <w:color w:val="auto"/>
                <w:szCs w:val="21"/>
                <w:highlight w:val="none"/>
                <w:lang w:val="zh-CN"/>
              </w:rPr>
            </w:pPr>
            <w:r>
              <w:rPr>
                <w:rFonts w:hint="eastAsia" w:ascii="宋体" w:hAnsi="宋体"/>
                <w:color w:val="auto"/>
                <w:szCs w:val="21"/>
                <w:highlight w:val="none"/>
              </w:rPr>
              <w:t>每缺少一项内容扣2分，每项内容中有一处缺陷扣1分（缺陷是指：前后内容不一致、存在凭空编造、前后逻辑错误、涉及的规范及标准错误、项目名称或实施地点区域错误、内容简略或与本项目无关等任意一种情形等，后续评审项“缺陷”定义同此项）</w:t>
            </w:r>
          </w:p>
        </w:tc>
        <w:tc>
          <w:tcPr>
            <w:tcW w:w="964" w:type="dxa"/>
            <w:tcBorders>
              <w:top w:val="single" w:color="auto" w:sz="4" w:space="0"/>
              <w:left w:val="single" w:color="auto" w:sz="4" w:space="0"/>
              <w:bottom w:val="single" w:color="auto" w:sz="4" w:space="0"/>
              <w:right w:val="single" w:color="auto" w:sz="4" w:space="0"/>
            </w:tcBorders>
            <w:noWrap/>
            <w:vAlign w:val="center"/>
          </w:tcPr>
          <w:p w14:paraId="57168097">
            <w:pPr>
              <w:widowControl/>
              <w:overflowPunct w:val="0"/>
              <w:autoSpaceDE w:val="0"/>
              <w:autoSpaceDN w:val="0"/>
              <w:adjustRightInd w:val="0"/>
              <w:jc w:val="center"/>
              <w:textAlignment w:val="baseline"/>
              <w:rPr>
                <w:rFonts w:ascii="宋体" w:hAnsi="宋体" w:cs="仿宋_GB2312"/>
                <w:color w:val="auto"/>
                <w:szCs w:val="21"/>
                <w:highlight w:val="none"/>
              </w:rPr>
            </w:pPr>
            <w:r>
              <w:rPr>
                <w:rFonts w:hint="eastAsia" w:ascii="宋体" w:hAnsi="宋体" w:cs="仿宋_GB2312"/>
                <w:color w:val="auto"/>
                <w:szCs w:val="21"/>
                <w:highlight w:val="none"/>
              </w:rPr>
              <w:t>0-8</w:t>
            </w:r>
          </w:p>
        </w:tc>
      </w:tr>
      <w:tr w14:paraId="4B7D3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2" w:hRule="atLeast"/>
          <w:jc w:val="center"/>
        </w:trPr>
        <w:tc>
          <w:tcPr>
            <w:tcW w:w="1008" w:type="dxa"/>
            <w:vMerge w:val="continue"/>
            <w:tcBorders>
              <w:left w:val="single" w:color="auto" w:sz="4" w:space="0"/>
              <w:right w:val="single" w:color="auto" w:sz="4" w:space="0"/>
            </w:tcBorders>
            <w:noWrap/>
            <w:vAlign w:val="center"/>
          </w:tcPr>
          <w:p w14:paraId="435C4095">
            <w:pPr>
              <w:widowControl/>
              <w:overflowPunct w:val="0"/>
              <w:autoSpaceDE w:val="0"/>
              <w:autoSpaceDN w:val="0"/>
              <w:adjustRightInd w:val="0"/>
              <w:jc w:val="left"/>
              <w:textAlignment w:val="baseline"/>
              <w:rPr>
                <w:rFonts w:ascii="宋体" w:hAnsi="宋体" w:cs="仿宋_GB2312"/>
                <w:color w:val="auto"/>
                <w:szCs w:val="21"/>
                <w:highlight w:val="none"/>
                <w:lang w:val="zh-CN"/>
              </w:rPr>
            </w:pPr>
          </w:p>
        </w:tc>
        <w:tc>
          <w:tcPr>
            <w:tcW w:w="970" w:type="dxa"/>
            <w:tcBorders>
              <w:top w:val="single" w:color="auto" w:sz="4" w:space="0"/>
              <w:left w:val="single" w:color="auto" w:sz="4" w:space="0"/>
              <w:bottom w:val="single" w:color="auto" w:sz="4" w:space="0"/>
              <w:right w:val="single" w:color="auto" w:sz="4" w:space="0"/>
            </w:tcBorders>
            <w:noWrap/>
            <w:vAlign w:val="center"/>
          </w:tcPr>
          <w:p w14:paraId="4F398708">
            <w:pPr>
              <w:jc w:val="center"/>
              <w:rPr>
                <w:rFonts w:ascii="宋体" w:hAnsi="宋体" w:cs="仿宋_GB2312"/>
                <w:color w:val="auto"/>
                <w:szCs w:val="21"/>
                <w:highlight w:val="none"/>
                <w:lang w:val="zh-CN"/>
              </w:rPr>
            </w:pPr>
            <w:r>
              <w:rPr>
                <w:rFonts w:hint="eastAsia" w:ascii="宋体" w:hAnsi="宋体" w:cs="宋体"/>
                <w:color w:val="auto"/>
                <w:szCs w:val="21"/>
                <w:highlight w:val="none"/>
              </w:rPr>
              <w:t>服务方案</w:t>
            </w:r>
          </w:p>
        </w:tc>
        <w:tc>
          <w:tcPr>
            <w:tcW w:w="5882" w:type="dxa"/>
            <w:tcBorders>
              <w:top w:val="single" w:color="auto" w:sz="4" w:space="0"/>
              <w:left w:val="single" w:color="auto" w:sz="4" w:space="0"/>
              <w:bottom w:val="single" w:color="auto" w:sz="4" w:space="0"/>
              <w:right w:val="single" w:color="auto" w:sz="4" w:space="0"/>
            </w:tcBorders>
            <w:noWrap/>
            <w:vAlign w:val="center"/>
          </w:tcPr>
          <w:p w14:paraId="1A76AB6F">
            <w:pPr>
              <w:rPr>
                <w:rFonts w:ascii="宋体" w:hAnsi="宋体" w:cs="宋体"/>
                <w:color w:val="auto"/>
                <w:szCs w:val="21"/>
                <w:highlight w:val="none"/>
              </w:rPr>
            </w:pPr>
            <w:r>
              <w:rPr>
                <w:rFonts w:hint="eastAsia" w:ascii="宋体" w:hAnsi="宋体" w:cs="宋体"/>
                <w:color w:val="auto"/>
                <w:szCs w:val="21"/>
                <w:highlight w:val="none"/>
              </w:rPr>
              <w:t>根据供应商提供的商用密码应用安全性评估服务方案、包括但不限于：</w:t>
            </w:r>
          </w:p>
          <w:p w14:paraId="50DC2E1E">
            <w:pPr>
              <w:rPr>
                <w:rFonts w:ascii="宋体" w:hAnsi="宋体" w:cs="宋体"/>
                <w:color w:val="auto"/>
                <w:szCs w:val="21"/>
                <w:highlight w:val="none"/>
              </w:rPr>
            </w:pPr>
            <w:r>
              <w:rPr>
                <w:rFonts w:hint="eastAsia" w:ascii="宋体" w:hAnsi="宋体" w:cs="宋体"/>
                <w:color w:val="auto"/>
                <w:szCs w:val="21"/>
                <w:highlight w:val="none"/>
              </w:rPr>
              <w:t>①项目测评实施方案中测评实施步骤中对各测评阶段的流程；</w:t>
            </w:r>
          </w:p>
          <w:p w14:paraId="54E25D80">
            <w:pPr>
              <w:rPr>
                <w:rFonts w:ascii="宋体" w:hAnsi="宋体" w:cs="宋体"/>
                <w:color w:val="auto"/>
                <w:szCs w:val="21"/>
                <w:highlight w:val="none"/>
              </w:rPr>
            </w:pPr>
            <w:r>
              <w:rPr>
                <w:rFonts w:hint="eastAsia" w:ascii="宋体" w:hAnsi="宋体" w:cs="宋体"/>
                <w:color w:val="auto"/>
                <w:szCs w:val="21"/>
                <w:highlight w:val="none"/>
              </w:rPr>
              <w:t>②内容及过程文档描述完整清晰准确；</w:t>
            </w:r>
          </w:p>
          <w:p w14:paraId="554FD534">
            <w:pPr>
              <w:rPr>
                <w:rFonts w:ascii="宋体" w:hAnsi="宋体" w:cs="宋体"/>
                <w:color w:val="auto"/>
                <w:szCs w:val="21"/>
                <w:highlight w:val="none"/>
              </w:rPr>
            </w:pPr>
            <w:r>
              <w:rPr>
                <w:rFonts w:hint="eastAsia" w:ascii="宋体" w:hAnsi="宋体" w:cs="宋体"/>
                <w:color w:val="auto"/>
                <w:szCs w:val="21"/>
                <w:highlight w:val="none"/>
              </w:rPr>
              <w:t>③运用图表示例项目测评实施方案内容丰富详实；</w:t>
            </w:r>
          </w:p>
          <w:p w14:paraId="2ED7171A">
            <w:pPr>
              <w:rPr>
                <w:rFonts w:ascii="宋体" w:hAnsi="宋体" w:cs="宋体"/>
                <w:color w:val="auto"/>
                <w:szCs w:val="21"/>
                <w:highlight w:val="none"/>
              </w:rPr>
            </w:pPr>
            <w:r>
              <w:rPr>
                <w:rFonts w:hint="eastAsia" w:ascii="宋体" w:hAnsi="宋体" w:cs="宋体"/>
                <w:color w:val="auto"/>
                <w:szCs w:val="21"/>
                <w:highlight w:val="none"/>
              </w:rPr>
              <w:t>④图表示例生动、描述清晰明了、方案准确；</w:t>
            </w:r>
          </w:p>
          <w:p w14:paraId="0C1AFFFB">
            <w:pPr>
              <w:rPr>
                <w:color w:val="auto"/>
                <w:szCs w:val="21"/>
                <w:highlight w:val="none"/>
              </w:rPr>
            </w:pPr>
            <w:r>
              <w:rPr>
                <w:rFonts w:hint="eastAsia" w:ascii="宋体" w:hAnsi="宋体" w:cs="宋体"/>
                <w:color w:val="auto"/>
                <w:szCs w:val="21"/>
                <w:highlight w:val="none"/>
              </w:rPr>
              <w:t>⑤对系统详细服务内容了解完整准确；上述内容全面完整，</w:t>
            </w:r>
            <w:r>
              <w:rPr>
                <w:rFonts w:hint="eastAsia" w:ascii="宋体" w:hAnsi="宋体"/>
                <w:color w:val="auto"/>
                <w:szCs w:val="21"/>
                <w:highlight w:val="none"/>
              </w:rPr>
              <w:t>方案切合实际、理解准确、分析明确，针对性强，完全符合得10分；每缺少一项内容扣2分，每项内容中有一处缺陷扣1分（缺陷是指：前后内容不一致、存在凭空编造、前后逻辑错误、涉及的规范及标准错误、项目名称或实施地点区域错误、内容简略或与本项目无关等任意一种情形等，后续评审项“缺陷”定义同此项）</w:t>
            </w:r>
          </w:p>
        </w:tc>
        <w:tc>
          <w:tcPr>
            <w:tcW w:w="964" w:type="dxa"/>
            <w:tcBorders>
              <w:top w:val="single" w:color="auto" w:sz="4" w:space="0"/>
              <w:left w:val="single" w:color="auto" w:sz="4" w:space="0"/>
              <w:bottom w:val="single" w:color="auto" w:sz="4" w:space="0"/>
              <w:right w:val="single" w:color="auto" w:sz="4" w:space="0"/>
            </w:tcBorders>
            <w:noWrap/>
            <w:vAlign w:val="center"/>
          </w:tcPr>
          <w:p w14:paraId="6DA4D51F">
            <w:pPr>
              <w:widowControl/>
              <w:overflowPunct w:val="0"/>
              <w:autoSpaceDE w:val="0"/>
              <w:autoSpaceDN w:val="0"/>
              <w:adjustRightInd w:val="0"/>
              <w:jc w:val="center"/>
              <w:textAlignment w:val="baseline"/>
              <w:rPr>
                <w:rFonts w:ascii="宋体" w:hAnsi="宋体" w:cs="仿宋_GB2312"/>
                <w:color w:val="auto"/>
                <w:szCs w:val="21"/>
                <w:highlight w:val="none"/>
              </w:rPr>
            </w:pPr>
            <w:r>
              <w:rPr>
                <w:rFonts w:hint="eastAsia" w:ascii="宋体" w:hAnsi="宋体" w:cs="仿宋_GB2312"/>
                <w:color w:val="auto"/>
                <w:szCs w:val="21"/>
                <w:highlight w:val="none"/>
              </w:rPr>
              <w:t>0-10</w:t>
            </w:r>
          </w:p>
        </w:tc>
      </w:tr>
      <w:tr w14:paraId="3A0F47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1" w:hRule="atLeast"/>
          <w:jc w:val="center"/>
        </w:trPr>
        <w:tc>
          <w:tcPr>
            <w:tcW w:w="1008" w:type="dxa"/>
            <w:vMerge w:val="continue"/>
            <w:tcBorders>
              <w:left w:val="single" w:color="auto" w:sz="4" w:space="0"/>
              <w:right w:val="single" w:color="auto" w:sz="4" w:space="0"/>
            </w:tcBorders>
            <w:noWrap/>
          </w:tcPr>
          <w:p w14:paraId="5618FFEB">
            <w:pPr>
              <w:widowControl/>
              <w:overflowPunct w:val="0"/>
              <w:autoSpaceDE w:val="0"/>
              <w:autoSpaceDN w:val="0"/>
              <w:adjustRightInd w:val="0"/>
              <w:jc w:val="left"/>
              <w:textAlignment w:val="baseline"/>
              <w:rPr>
                <w:rFonts w:ascii="宋体" w:hAnsi="宋体" w:cs="仿宋_GB2312"/>
                <w:color w:val="auto"/>
                <w:szCs w:val="21"/>
                <w:highlight w:val="none"/>
                <w:lang w:val="zh-CN"/>
              </w:rPr>
            </w:pPr>
          </w:p>
        </w:tc>
        <w:tc>
          <w:tcPr>
            <w:tcW w:w="970" w:type="dxa"/>
            <w:tcBorders>
              <w:top w:val="single" w:color="auto" w:sz="4" w:space="0"/>
              <w:left w:val="single" w:color="auto" w:sz="4" w:space="0"/>
              <w:bottom w:val="single" w:color="auto" w:sz="4" w:space="0"/>
              <w:right w:val="single" w:color="auto" w:sz="4" w:space="0"/>
            </w:tcBorders>
            <w:noWrap/>
            <w:vAlign w:val="center"/>
          </w:tcPr>
          <w:p w14:paraId="091E34DE">
            <w:pPr>
              <w:jc w:val="center"/>
              <w:rPr>
                <w:rFonts w:ascii="宋体" w:hAnsi="宋体" w:cs="仿宋_GB2312"/>
                <w:color w:val="auto"/>
                <w:szCs w:val="21"/>
                <w:highlight w:val="none"/>
                <w:lang w:val="zh-CN"/>
              </w:rPr>
            </w:pPr>
            <w:r>
              <w:rPr>
                <w:rFonts w:hint="eastAsia" w:ascii="宋体" w:hAnsi="宋体" w:cs="宋体"/>
                <w:color w:val="auto"/>
                <w:szCs w:val="21"/>
                <w:highlight w:val="none"/>
              </w:rPr>
              <w:t>测试方法及测试工具</w:t>
            </w:r>
          </w:p>
        </w:tc>
        <w:tc>
          <w:tcPr>
            <w:tcW w:w="5882" w:type="dxa"/>
            <w:tcBorders>
              <w:top w:val="single" w:color="auto" w:sz="4" w:space="0"/>
              <w:left w:val="single" w:color="auto" w:sz="4" w:space="0"/>
              <w:bottom w:val="single" w:color="auto" w:sz="4" w:space="0"/>
              <w:right w:val="single" w:color="auto" w:sz="4" w:space="0"/>
            </w:tcBorders>
            <w:noWrap/>
            <w:vAlign w:val="center"/>
          </w:tcPr>
          <w:p w14:paraId="189E39B9">
            <w:pPr>
              <w:jc w:val="left"/>
              <w:rPr>
                <w:rFonts w:ascii="宋体" w:hAnsi="宋体" w:cs="宋体"/>
                <w:color w:val="auto"/>
                <w:szCs w:val="21"/>
                <w:highlight w:val="none"/>
              </w:rPr>
            </w:pPr>
            <w:r>
              <w:rPr>
                <w:rFonts w:hint="eastAsia" w:ascii="宋体" w:hAnsi="宋体" w:cs="宋体"/>
                <w:color w:val="auto"/>
                <w:szCs w:val="21"/>
                <w:highlight w:val="none"/>
              </w:rPr>
              <w:t>供应商可通过正版或具有自主知识产权的测评工具提升测评工作的质量和效率，测评工具包括但不限于具有自主知识产权的如</w:t>
            </w:r>
          </w:p>
          <w:p w14:paraId="0620D507">
            <w:pPr>
              <w:jc w:val="left"/>
              <w:rPr>
                <w:rFonts w:ascii="宋体" w:hAnsi="宋体" w:cs="宋体"/>
                <w:color w:val="auto"/>
                <w:szCs w:val="21"/>
                <w:highlight w:val="none"/>
              </w:rPr>
            </w:pPr>
            <w:r>
              <w:rPr>
                <w:rFonts w:hint="eastAsia" w:ascii="宋体" w:hAnsi="宋体" w:cs="宋体"/>
                <w:color w:val="auto"/>
                <w:szCs w:val="21"/>
                <w:highlight w:val="none"/>
              </w:rPr>
              <w:t>1.密码检测证书合规工具:用于对数字证书的相关检测。</w:t>
            </w:r>
            <w:r>
              <w:rPr>
                <w:rFonts w:hint="eastAsia" w:ascii="宋体" w:hAnsi="宋体" w:cs="宋体"/>
                <w:color w:val="auto"/>
                <w:szCs w:val="21"/>
                <w:highlight w:val="none"/>
              </w:rPr>
              <w:br w:type="textWrapping"/>
            </w:r>
            <w:r>
              <w:rPr>
                <w:rFonts w:hint="eastAsia" w:ascii="宋体" w:hAnsi="宋体" w:cs="宋体"/>
                <w:color w:val="auto"/>
                <w:szCs w:val="21"/>
                <w:highlight w:val="none"/>
              </w:rPr>
              <w:t>2.密码检查加密合规性检查工具:用于对密码密码查加密合规性的相关检测。</w:t>
            </w:r>
            <w:r>
              <w:rPr>
                <w:rFonts w:hint="eastAsia" w:ascii="宋体" w:hAnsi="宋体" w:cs="宋体"/>
                <w:color w:val="auto"/>
                <w:szCs w:val="21"/>
                <w:highlight w:val="none"/>
              </w:rPr>
              <w:br w:type="textWrapping"/>
            </w:r>
            <w:r>
              <w:rPr>
                <w:rFonts w:hint="eastAsia" w:ascii="宋体" w:hAnsi="宋体" w:cs="宋体"/>
                <w:color w:val="auto"/>
                <w:szCs w:val="21"/>
                <w:highlight w:val="none"/>
              </w:rPr>
              <w:t>3.密码检查电子签章工具:主要用于对电子签章的相关检测。</w:t>
            </w:r>
            <w:r>
              <w:rPr>
                <w:rFonts w:hint="eastAsia" w:ascii="宋体" w:hAnsi="宋体" w:cs="宋体"/>
                <w:color w:val="auto"/>
                <w:szCs w:val="21"/>
                <w:highlight w:val="none"/>
              </w:rPr>
              <w:br w:type="textWrapping"/>
            </w:r>
            <w:r>
              <w:rPr>
                <w:rFonts w:hint="eastAsia" w:ascii="宋体" w:hAnsi="宋体" w:cs="宋体"/>
                <w:color w:val="auto"/>
                <w:szCs w:val="21"/>
                <w:highlight w:val="none"/>
              </w:rPr>
              <w:t>4密码检查网络协议分析工具:主要用于对密码网络协议的相关检测。</w:t>
            </w:r>
            <w:r>
              <w:rPr>
                <w:rFonts w:hint="eastAsia" w:ascii="宋体" w:hAnsi="宋体" w:cs="宋体"/>
                <w:color w:val="auto"/>
                <w:szCs w:val="21"/>
                <w:highlight w:val="none"/>
              </w:rPr>
              <w:br w:type="textWrapping"/>
            </w:r>
            <w:r>
              <w:rPr>
                <w:rFonts w:hint="eastAsia" w:ascii="宋体" w:hAnsi="宋体" w:cs="宋体"/>
                <w:color w:val="auto"/>
                <w:szCs w:val="21"/>
                <w:highlight w:val="none"/>
              </w:rPr>
              <w:t>5.在线密码系统分析工具：用于系统分析。</w:t>
            </w:r>
          </w:p>
          <w:p w14:paraId="483A06B6">
            <w:pPr>
              <w:jc w:val="left"/>
              <w:rPr>
                <w:rFonts w:ascii="宋体" w:hAnsi="宋体" w:cs="仿宋_GB2312"/>
                <w:color w:val="auto"/>
                <w:szCs w:val="21"/>
                <w:highlight w:val="none"/>
              </w:rPr>
            </w:pPr>
            <w:r>
              <w:rPr>
                <w:rFonts w:hint="eastAsia" w:ascii="宋体" w:hAnsi="宋体" w:cs="宋体"/>
                <w:color w:val="auto"/>
                <w:szCs w:val="21"/>
                <w:highlight w:val="none"/>
              </w:rPr>
              <w:t>每提供一类工具说明并提供供应商相应软件著作权证书（加盖单位公章）得1.2分，满分6分。未按要求提供不得分。</w:t>
            </w:r>
          </w:p>
        </w:tc>
        <w:tc>
          <w:tcPr>
            <w:tcW w:w="964" w:type="dxa"/>
            <w:tcBorders>
              <w:top w:val="single" w:color="auto" w:sz="4" w:space="0"/>
              <w:left w:val="single" w:color="auto" w:sz="4" w:space="0"/>
              <w:bottom w:val="single" w:color="auto" w:sz="4" w:space="0"/>
              <w:right w:val="single" w:color="auto" w:sz="4" w:space="0"/>
            </w:tcBorders>
            <w:noWrap/>
            <w:vAlign w:val="center"/>
          </w:tcPr>
          <w:p w14:paraId="4ACED3D0">
            <w:pPr>
              <w:jc w:val="center"/>
              <w:rPr>
                <w:rFonts w:ascii="宋体" w:hAnsi="宋体" w:cs="仿宋_GB2312"/>
                <w:color w:val="auto"/>
                <w:szCs w:val="21"/>
                <w:highlight w:val="none"/>
              </w:rPr>
            </w:pPr>
            <w:r>
              <w:rPr>
                <w:rFonts w:hint="eastAsia" w:ascii="宋体" w:hAnsi="宋体" w:cs="宋体"/>
                <w:color w:val="auto"/>
                <w:szCs w:val="21"/>
                <w:highlight w:val="none"/>
              </w:rPr>
              <w:t>0-6分</w:t>
            </w:r>
          </w:p>
        </w:tc>
      </w:tr>
      <w:tr w14:paraId="0D0061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1" w:hRule="atLeast"/>
          <w:jc w:val="center"/>
        </w:trPr>
        <w:tc>
          <w:tcPr>
            <w:tcW w:w="1008" w:type="dxa"/>
            <w:tcBorders>
              <w:left w:val="single" w:color="auto" w:sz="4" w:space="0"/>
              <w:right w:val="single" w:color="auto" w:sz="4" w:space="0"/>
            </w:tcBorders>
            <w:noWrap/>
          </w:tcPr>
          <w:p w14:paraId="656FA792">
            <w:pPr>
              <w:widowControl/>
              <w:overflowPunct w:val="0"/>
              <w:autoSpaceDE w:val="0"/>
              <w:autoSpaceDN w:val="0"/>
              <w:adjustRightInd w:val="0"/>
              <w:jc w:val="left"/>
              <w:textAlignment w:val="baseline"/>
              <w:rPr>
                <w:rFonts w:ascii="宋体" w:hAnsi="宋体" w:cs="仿宋_GB2312"/>
                <w:color w:val="auto"/>
                <w:szCs w:val="21"/>
                <w:highlight w:val="none"/>
                <w:lang w:val="zh-CN"/>
              </w:rPr>
            </w:pPr>
          </w:p>
        </w:tc>
        <w:tc>
          <w:tcPr>
            <w:tcW w:w="970" w:type="dxa"/>
            <w:tcBorders>
              <w:top w:val="single" w:color="auto" w:sz="4" w:space="0"/>
              <w:left w:val="single" w:color="auto" w:sz="4" w:space="0"/>
              <w:bottom w:val="single" w:color="auto" w:sz="4" w:space="0"/>
              <w:right w:val="single" w:color="auto" w:sz="4" w:space="0"/>
            </w:tcBorders>
            <w:noWrap/>
            <w:vAlign w:val="center"/>
          </w:tcPr>
          <w:p w14:paraId="16C5A587">
            <w:pPr>
              <w:jc w:val="center"/>
              <w:rPr>
                <w:rFonts w:ascii="宋体" w:hAnsi="宋体" w:cs="宋体"/>
                <w:color w:val="auto"/>
                <w:szCs w:val="21"/>
                <w:highlight w:val="none"/>
              </w:rPr>
            </w:pPr>
            <w:r>
              <w:rPr>
                <w:rFonts w:hint="eastAsia" w:ascii="宋体" w:hAnsi="宋体" w:cs="宋体"/>
                <w:color w:val="auto"/>
                <w:szCs w:val="21"/>
                <w:highlight w:val="none"/>
              </w:rPr>
              <w:t>项目团队及供应商资质</w:t>
            </w:r>
          </w:p>
        </w:tc>
        <w:tc>
          <w:tcPr>
            <w:tcW w:w="5882" w:type="dxa"/>
            <w:tcBorders>
              <w:top w:val="single" w:color="auto" w:sz="4" w:space="0"/>
              <w:left w:val="single" w:color="auto" w:sz="4" w:space="0"/>
              <w:bottom w:val="single" w:color="auto" w:sz="4" w:space="0"/>
              <w:right w:val="single" w:color="auto" w:sz="4" w:space="0"/>
            </w:tcBorders>
            <w:noWrap/>
            <w:vAlign w:val="center"/>
          </w:tcPr>
          <w:p w14:paraId="7916143E">
            <w:pPr>
              <w:jc w:val="left"/>
              <w:rPr>
                <w:rFonts w:ascii="宋体" w:hAnsi="宋体" w:cs="宋体"/>
                <w:color w:val="auto"/>
                <w:szCs w:val="21"/>
                <w:highlight w:val="none"/>
              </w:rPr>
            </w:pPr>
            <w:r>
              <w:rPr>
                <w:rFonts w:hint="eastAsia" w:ascii="宋体" w:hAnsi="宋体" w:cs="宋体"/>
                <w:color w:val="auto"/>
                <w:szCs w:val="21"/>
                <w:highlight w:val="none"/>
              </w:rPr>
              <w:t>1、拟派项目项目经理具有5年以上工作经验必须通过商用密码应用安全性评估人员测评能力考核；在此基础上具有以下证书，每提供一个计</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分，本项最高计</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r>
              <w:rPr>
                <w:rFonts w:ascii="Calibri" w:hAnsi="Calibri" w:cs="Calibri"/>
                <w:color w:val="auto"/>
                <w:szCs w:val="21"/>
                <w:highlight w:val="none"/>
              </w:rPr>
              <w:t>①</w:t>
            </w:r>
            <w:r>
              <w:rPr>
                <w:rFonts w:hint="eastAsia" w:ascii="宋体" w:hAnsi="宋体" w:cs="宋体"/>
                <w:color w:val="auto"/>
                <w:szCs w:val="21"/>
                <w:highlight w:val="none"/>
              </w:rPr>
              <w:t>公安部信息安全等级保护评估中心的网络安全等级测评师(中级及以上)证书、</w:t>
            </w:r>
            <w:r>
              <w:rPr>
                <w:rFonts w:ascii="Calibri" w:hAnsi="Calibri" w:cs="Calibri"/>
                <w:color w:val="auto"/>
                <w:szCs w:val="21"/>
                <w:highlight w:val="none"/>
              </w:rPr>
              <w:t>②</w:t>
            </w:r>
            <w:r>
              <w:rPr>
                <w:rFonts w:hint="eastAsia" w:ascii="宋体" w:hAnsi="宋体" w:cs="宋体"/>
                <w:color w:val="auto"/>
                <w:szCs w:val="21"/>
                <w:highlight w:val="none"/>
              </w:rPr>
              <w:t>中华人民共和国工业和信息化部或人力资源和社会保障部颁发的信息系统项目管理师（高级）证书、</w:t>
            </w:r>
            <w:r>
              <w:rPr>
                <w:rFonts w:ascii="Calibri" w:hAnsi="Calibri" w:cs="Calibri"/>
                <w:color w:val="auto"/>
                <w:szCs w:val="21"/>
                <w:highlight w:val="none"/>
              </w:rPr>
              <w:t>③</w:t>
            </w:r>
            <w:r>
              <w:rPr>
                <w:rFonts w:hint="eastAsia" w:ascii="宋体" w:hAnsi="宋体" w:cs="宋体"/>
                <w:color w:val="auto"/>
                <w:szCs w:val="21"/>
                <w:highlight w:val="none"/>
              </w:rPr>
              <w:t>国家反计算机入侵和防病毒研究中心颁发的CCSS（网络安全服务能力评价证书）、④</w:t>
            </w:r>
            <w:r>
              <w:rPr>
                <w:rFonts w:hint="eastAsia" w:ascii="宋体" w:hAnsi="宋体"/>
                <w:color w:val="auto"/>
                <w:szCs w:val="21"/>
                <w:highlight w:val="none"/>
              </w:rPr>
              <w:t>中国网络安全审查认证和市场监管大数据中心颁发的信息安全服务资质认证证书（原中国网络安全审查技术与认证中心）颁发的</w:t>
            </w:r>
            <w:r>
              <w:rPr>
                <w:rFonts w:hint="eastAsia" w:ascii="宋体" w:hAnsi="宋体" w:cs="宋体"/>
                <w:color w:val="auto"/>
                <w:szCs w:val="21"/>
                <w:highlight w:val="none"/>
              </w:rPr>
              <w:t>数据安全评估师证书、⑤</w:t>
            </w:r>
            <w:r>
              <w:rPr>
                <w:rFonts w:hint="eastAsia" w:ascii="宋体" w:hAnsi="宋体"/>
                <w:color w:val="auto"/>
                <w:szCs w:val="21"/>
                <w:highlight w:val="none"/>
              </w:rPr>
              <w:t>中国网络安全审查认证和市场监管大数据中心颁发的信息安全服务资质认证证书（原中国网络安全审查技术与认证中心）颁发的</w:t>
            </w:r>
            <w:r>
              <w:rPr>
                <w:rFonts w:hint="eastAsia" w:ascii="宋体" w:hAnsi="宋体" w:cs="宋体"/>
                <w:color w:val="auto"/>
                <w:szCs w:val="21"/>
                <w:highlight w:val="none"/>
              </w:rPr>
              <w:t>CCRC数据合规官（DCO）证书。</w:t>
            </w:r>
          </w:p>
          <w:p w14:paraId="13B17EDA">
            <w:pPr>
              <w:jc w:val="left"/>
              <w:rPr>
                <w:rFonts w:ascii="宋体" w:hAnsi="宋体" w:cs="宋体"/>
                <w:color w:val="auto"/>
                <w:szCs w:val="21"/>
                <w:highlight w:val="none"/>
              </w:rPr>
            </w:pPr>
            <w:r>
              <w:rPr>
                <w:rFonts w:hint="eastAsia" w:ascii="宋体" w:hAnsi="宋体" w:cs="宋体"/>
                <w:color w:val="auto"/>
                <w:szCs w:val="21"/>
                <w:highlight w:val="none"/>
              </w:rPr>
              <w:t>2、拟派技术负责人具有信息安全领域5年及以上工作经验且须通过商用密码应用安全性评估人员测评能力考核，在此基础上具有以上证书，每提供一个计</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分，本项最高计</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ascii="Calibri" w:hAnsi="Calibri" w:cs="Calibri"/>
                <w:color w:val="auto"/>
                <w:szCs w:val="21"/>
                <w:highlight w:val="none"/>
              </w:rPr>
              <w:t>①</w:t>
            </w:r>
            <w:r>
              <w:rPr>
                <w:rFonts w:hint="eastAsia" w:ascii="宋体" w:hAnsi="宋体" w:cs="宋体"/>
                <w:color w:val="auto"/>
                <w:szCs w:val="21"/>
                <w:highlight w:val="none"/>
              </w:rPr>
              <w:t>中华人民共和国工业和信息化部或人力资源和社会保障部颁发的信息系统项目管理师（高级）证书、</w:t>
            </w:r>
            <w:r>
              <w:rPr>
                <w:rFonts w:ascii="Calibri" w:hAnsi="Calibri" w:cs="Calibri"/>
                <w:color w:val="auto"/>
                <w:szCs w:val="21"/>
                <w:highlight w:val="none"/>
              </w:rPr>
              <w:t>②</w:t>
            </w:r>
            <w:r>
              <w:rPr>
                <w:rFonts w:hint="eastAsia" w:ascii="宋体" w:hAnsi="宋体"/>
                <w:color w:val="auto"/>
                <w:szCs w:val="21"/>
                <w:highlight w:val="none"/>
              </w:rPr>
              <w:t>中国信息安全测评中心颁发的注册信息安全专业人员CISP-CISE 证书</w:t>
            </w:r>
          </w:p>
          <w:p w14:paraId="48BBC68B">
            <w:pPr>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需提供相关人员证书扫描件并加盖供应商公章，未提供不得分</w:t>
            </w:r>
            <w:r>
              <w:rPr>
                <w:rFonts w:hint="eastAsia" w:ascii="宋体" w:hAnsi="宋体" w:cs="宋体"/>
                <w:color w:val="auto"/>
                <w:szCs w:val="21"/>
                <w:highlight w:val="none"/>
              </w:rPr>
              <w:t>）</w:t>
            </w:r>
          </w:p>
        </w:tc>
        <w:tc>
          <w:tcPr>
            <w:tcW w:w="964" w:type="dxa"/>
            <w:tcBorders>
              <w:top w:val="single" w:color="auto" w:sz="4" w:space="0"/>
              <w:left w:val="single" w:color="auto" w:sz="4" w:space="0"/>
              <w:bottom w:val="single" w:color="auto" w:sz="4" w:space="0"/>
              <w:right w:val="single" w:color="auto" w:sz="4" w:space="0"/>
            </w:tcBorders>
            <w:noWrap/>
            <w:vAlign w:val="center"/>
          </w:tcPr>
          <w:p w14:paraId="65BF31D3">
            <w:pPr>
              <w:jc w:val="center"/>
              <w:rPr>
                <w:rFonts w:ascii="宋体" w:hAnsi="宋体" w:cs="宋体"/>
                <w:color w:val="auto"/>
                <w:szCs w:val="21"/>
                <w:highlight w:val="none"/>
              </w:rPr>
            </w:pPr>
            <w:r>
              <w:rPr>
                <w:rFonts w:hint="eastAsia" w:ascii="宋体" w:hAnsi="宋体" w:cs="宋体"/>
                <w:color w:val="auto"/>
                <w:szCs w:val="21"/>
                <w:highlight w:val="none"/>
              </w:rPr>
              <w:t>0-1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14:paraId="7349AB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1" w:hRule="atLeast"/>
          <w:jc w:val="center"/>
        </w:trPr>
        <w:tc>
          <w:tcPr>
            <w:tcW w:w="1008" w:type="dxa"/>
            <w:tcBorders>
              <w:left w:val="single" w:color="auto" w:sz="4" w:space="0"/>
              <w:right w:val="single" w:color="auto" w:sz="4" w:space="0"/>
            </w:tcBorders>
            <w:noWrap/>
          </w:tcPr>
          <w:p w14:paraId="76C39822">
            <w:pPr>
              <w:widowControl/>
              <w:overflowPunct w:val="0"/>
              <w:autoSpaceDE w:val="0"/>
              <w:autoSpaceDN w:val="0"/>
              <w:adjustRightInd w:val="0"/>
              <w:jc w:val="left"/>
              <w:textAlignment w:val="baseline"/>
              <w:rPr>
                <w:rFonts w:ascii="宋体" w:hAnsi="宋体" w:cs="仿宋_GB2312"/>
                <w:color w:val="auto"/>
                <w:szCs w:val="21"/>
                <w:highlight w:val="none"/>
                <w:lang w:val="zh-CN"/>
              </w:rPr>
            </w:pPr>
          </w:p>
        </w:tc>
        <w:tc>
          <w:tcPr>
            <w:tcW w:w="970" w:type="dxa"/>
            <w:tcBorders>
              <w:top w:val="single" w:color="auto" w:sz="4" w:space="0"/>
              <w:left w:val="single" w:color="auto" w:sz="4" w:space="0"/>
              <w:bottom w:val="single" w:color="auto" w:sz="4" w:space="0"/>
              <w:right w:val="single" w:color="auto" w:sz="4" w:space="0"/>
            </w:tcBorders>
            <w:noWrap/>
            <w:vAlign w:val="center"/>
          </w:tcPr>
          <w:p w14:paraId="4F4D885F">
            <w:pPr>
              <w:jc w:val="center"/>
              <w:rPr>
                <w:rFonts w:ascii="宋体" w:hAnsi="宋体" w:cs="宋体"/>
                <w:color w:val="auto"/>
                <w:szCs w:val="21"/>
                <w:highlight w:val="none"/>
              </w:rPr>
            </w:pPr>
            <w:r>
              <w:rPr>
                <w:rFonts w:hint="eastAsia" w:ascii="宋体" w:hAnsi="宋体" w:cs="宋体"/>
                <w:color w:val="auto"/>
                <w:szCs w:val="21"/>
                <w:highlight w:val="none"/>
              </w:rPr>
              <w:t>质量保障方案</w:t>
            </w:r>
          </w:p>
        </w:tc>
        <w:tc>
          <w:tcPr>
            <w:tcW w:w="5882" w:type="dxa"/>
            <w:tcBorders>
              <w:top w:val="single" w:color="auto" w:sz="4" w:space="0"/>
              <w:left w:val="single" w:color="auto" w:sz="4" w:space="0"/>
              <w:bottom w:val="single" w:color="auto" w:sz="4" w:space="0"/>
              <w:right w:val="single" w:color="auto" w:sz="4" w:space="0"/>
            </w:tcBorders>
            <w:noWrap/>
            <w:vAlign w:val="center"/>
          </w:tcPr>
          <w:p w14:paraId="7869E102">
            <w:pPr>
              <w:rPr>
                <w:rFonts w:ascii="宋体" w:hAnsi="宋体"/>
                <w:color w:val="auto"/>
                <w:szCs w:val="21"/>
                <w:highlight w:val="none"/>
              </w:rPr>
            </w:pPr>
            <w:r>
              <w:rPr>
                <w:rFonts w:hint="eastAsia" w:ascii="宋体" w:hAnsi="宋体" w:cs="宋体"/>
                <w:color w:val="auto"/>
                <w:szCs w:val="21"/>
                <w:highlight w:val="none"/>
              </w:rPr>
              <w:t>供应商制定明确的质量、风险等项目管理措施。提供的质量保障方案是否完整，思路是否清晰，是否有针对性，是否满足项目的总体要求等进行综合评分，满分8分。</w:t>
            </w:r>
            <w:r>
              <w:rPr>
                <w:rFonts w:hint="eastAsia" w:ascii="宋体" w:hAnsi="宋体" w:cs="宋体"/>
                <w:color w:val="auto"/>
                <w:kern w:val="0"/>
                <w:szCs w:val="21"/>
                <w:highlight w:val="none"/>
              </w:rPr>
              <w:t>其中：</w:t>
            </w:r>
            <w:r>
              <w:rPr>
                <w:rFonts w:hint="eastAsia" w:ascii="宋体" w:hAnsi="宋体"/>
                <w:color w:val="auto"/>
                <w:szCs w:val="21"/>
                <w:highlight w:val="none"/>
              </w:rPr>
              <w:t>方案切合实际、需求明确、针对性强，完全符合得8分；</w:t>
            </w:r>
          </w:p>
          <w:p w14:paraId="030A27AB">
            <w:pPr>
              <w:rPr>
                <w:rFonts w:ascii="宋体" w:hAnsi="宋体" w:cs="宋体"/>
                <w:color w:val="auto"/>
                <w:szCs w:val="21"/>
                <w:highlight w:val="none"/>
              </w:rPr>
            </w:pPr>
            <w:r>
              <w:rPr>
                <w:rFonts w:hint="eastAsia" w:ascii="宋体" w:hAnsi="宋体"/>
                <w:color w:val="auto"/>
                <w:szCs w:val="21"/>
                <w:highlight w:val="none"/>
              </w:rPr>
              <w:t>每缺少一项内容扣2分，每项内容中有一处缺陷扣1分（缺陷是指：前后内容不一致、存在凭空编造、前后逻辑错误、涉及的规范及标准错误、项目名称或实施地点区域错误、内容简略或与本项目无关等任意一种情形等，后续评审项“缺陷”定义同此项）</w:t>
            </w:r>
          </w:p>
        </w:tc>
        <w:tc>
          <w:tcPr>
            <w:tcW w:w="964" w:type="dxa"/>
            <w:tcBorders>
              <w:top w:val="single" w:color="auto" w:sz="4" w:space="0"/>
              <w:left w:val="single" w:color="auto" w:sz="4" w:space="0"/>
              <w:bottom w:val="single" w:color="auto" w:sz="4" w:space="0"/>
              <w:right w:val="single" w:color="auto" w:sz="4" w:space="0"/>
            </w:tcBorders>
            <w:noWrap/>
            <w:vAlign w:val="center"/>
          </w:tcPr>
          <w:p w14:paraId="1A6989FB">
            <w:pPr>
              <w:jc w:val="center"/>
              <w:rPr>
                <w:rFonts w:ascii="宋体" w:hAnsi="宋体" w:cs="宋体"/>
                <w:color w:val="auto"/>
                <w:szCs w:val="21"/>
                <w:highlight w:val="none"/>
              </w:rPr>
            </w:pPr>
            <w:r>
              <w:rPr>
                <w:rFonts w:hint="eastAsia" w:ascii="宋体" w:hAnsi="宋体" w:cs="宋体"/>
                <w:color w:val="auto"/>
                <w:szCs w:val="21"/>
                <w:highlight w:val="none"/>
              </w:rPr>
              <w:t>0-8</w:t>
            </w:r>
          </w:p>
        </w:tc>
      </w:tr>
      <w:tr w14:paraId="04D4CF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1" w:hRule="atLeast"/>
          <w:jc w:val="center"/>
        </w:trPr>
        <w:tc>
          <w:tcPr>
            <w:tcW w:w="1008" w:type="dxa"/>
            <w:tcBorders>
              <w:left w:val="single" w:color="auto" w:sz="4" w:space="0"/>
              <w:right w:val="single" w:color="auto" w:sz="4" w:space="0"/>
            </w:tcBorders>
            <w:noWrap/>
          </w:tcPr>
          <w:p w14:paraId="5766CC24">
            <w:pPr>
              <w:widowControl/>
              <w:overflowPunct w:val="0"/>
              <w:autoSpaceDE w:val="0"/>
              <w:autoSpaceDN w:val="0"/>
              <w:adjustRightInd w:val="0"/>
              <w:jc w:val="left"/>
              <w:textAlignment w:val="baseline"/>
              <w:rPr>
                <w:rFonts w:ascii="宋体" w:hAnsi="宋体" w:cs="仿宋_GB2312"/>
                <w:color w:val="auto"/>
                <w:szCs w:val="21"/>
                <w:highlight w:val="none"/>
                <w:lang w:val="zh-CN"/>
              </w:rPr>
            </w:pPr>
          </w:p>
        </w:tc>
        <w:tc>
          <w:tcPr>
            <w:tcW w:w="970" w:type="dxa"/>
            <w:tcBorders>
              <w:top w:val="single" w:color="auto" w:sz="4" w:space="0"/>
              <w:left w:val="single" w:color="auto" w:sz="4" w:space="0"/>
              <w:bottom w:val="single" w:color="auto" w:sz="4" w:space="0"/>
              <w:right w:val="single" w:color="auto" w:sz="4" w:space="0"/>
            </w:tcBorders>
            <w:noWrap/>
            <w:vAlign w:val="center"/>
          </w:tcPr>
          <w:p w14:paraId="552687FD">
            <w:pPr>
              <w:jc w:val="center"/>
              <w:rPr>
                <w:rFonts w:ascii="宋体" w:hAnsi="宋体" w:cs="宋体"/>
                <w:color w:val="auto"/>
                <w:szCs w:val="21"/>
                <w:highlight w:val="none"/>
              </w:rPr>
            </w:pPr>
            <w:r>
              <w:rPr>
                <w:rFonts w:hint="eastAsia" w:ascii="宋体" w:hAnsi="宋体" w:cs="宋体"/>
                <w:color w:val="auto"/>
                <w:szCs w:val="21"/>
                <w:highlight w:val="none"/>
              </w:rPr>
              <w:t>保密措施</w:t>
            </w:r>
          </w:p>
        </w:tc>
        <w:tc>
          <w:tcPr>
            <w:tcW w:w="5882" w:type="dxa"/>
            <w:tcBorders>
              <w:top w:val="single" w:color="auto" w:sz="4" w:space="0"/>
              <w:left w:val="single" w:color="auto" w:sz="4" w:space="0"/>
              <w:bottom w:val="single" w:color="auto" w:sz="4" w:space="0"/>
              <w:right w:val="single" w:color="auto" w:sz="4" w:space="0"/>
            </w:tcBorders>
            <w:noWrap/>
            <w:vAlign w:val="center"/>
          </w:tcPr>
          <w:p w14:paraId="7CA4FDFC">
            <w:pPr>
              <w:rPr>
                <w:rFonts w:ascii="宋体" w:hAnsi="宋体"/>
                <w:color w:val="auto"/>
                <w:szCs w:val="21"/>
                <w:highlight w:val="none"/>
              </w:rPr>
            </w:pPr>
            <w:r>
              <w:rPr>
                <w:rFonts w:hint="eastAsia" w:ascii="宋体" w:hAnsi="宋体"/>
                <w:color w:val="auto"/>
                <w:szCs w:val="21"/>
                <w:highlight w:val="none"/>
              </w:rPr>
              <w:t>内容切合实际、需求明确、措施完整、针对性强，完全符合得8分；</w:t>
            </w:r>
          </w:p>
          <w:p w14:paraId="7226E2F6">
            <w:pPr>
              <w:jc w:val="left"/>
              <w:rPr>
                <w:rFonts w:ascii="宋体" w:hAnsi="宋体" w:cs="宋体"/>
                <w:color w:val="auto"/>
                <w:szCs w:val="21"/>
                <w:highlight w:val="none"/>
              </w:rPr>
            </w:pPr>
            <w:r>
              <w:rPr>
                <w:rFonts w:hint="eastAsia" w:ascii="宋体" w:hAnsi="宋体"/>
                <w:color w:val="auto"/>
                <w:szCs w:val="21"/>
                <w:highlight w:val="none"/>
              </w:rPr>
              <w:t>每缺少一项内容扣2分，每项内容中有一处缺陷扣1分（缺陷是指：前后内容不一致、存在凭空编造、前后逻辑错误、涉及的规范及标准错误、项目名称或实施地点区域错误、内容简略或与本项目无关等任意一种情形等，后续评审项“缺陷”定义同此项）</w:t>
            </w:r>
          </w:p>
        </w:tc>
        <w:tc>
          <w:tcPr>
            <w:tcW w:w="964" w:type="dxa"/>
            <w:tcBorders>
              <w:top w:val="single" w:color="auto" w:sz="4" w:space="0"/>
              <w:left w:val="single" w:color="auto" w:sz="4" w:space="0"/>
              <w:bottom w:val="single" w:color="auto" w:sz="4" w:space="0"/>
              <w:right w:val="single" w:color="auto" w:sz="4" w:space="0"/>
            </w:tcBorders>
            <w:noWrap/>
            <w:vAlign w:val="center"/>
          </w:tcPr>
          <w:p w14:paraId="6DD78391">
            <w:pPr>
              <w:jc w:val="center"/>
              <w:rPr>
                <w:rFonts w:ascii="宋体" w:hAnsi="宋体" w:cs="宋体"/>
                <w:color w:val="auto"/>
                <w:szCs w:val="21"/>
                <w:highlight w:val="none"/>
              </w:rPr>
            </w:pPr>
            <w:r>
              <w:rPr>
                <w:rFonts w:hint="eastAsia" w:ascii="宋体" w:hAnsi="宋体" w:cs="宋体"/>
                <w:color w:val="auto"/>
                <w:szCs w:val="21"/>
                <w:highlight w:val="none"/>
              </w:rPr>
              <w:t>0-</w:t>
            </w:r>
            <w:r>
              <w:rPr>
                <w:rFonts w:ascii="宋体" w:hAnsi="宋体" w:cs="宋体"/>
                <w:color w:val="auto"/>
                <w:szCs w:val="21"/>
                <w:highlight w:val="none"/>
              </w:rPr>
              <w:t>8</w:t>
            </w:r>
          </w:p>
        </w:tc>
      </w:tr>
      <w:tr w14:paraId="3C206D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1" w:hRule="atLeast"/>
          <w:jc w:val="center"/>
        </w:trPr>
        <w:tc>
          <w:tcPr>
            <w:tcW w:w="1008" w:type="dxa"/>
            <w:tcBorders>
              <w:left w:val="single" w:color="auto" w:sz="4" w:space="0"/>
              <w:right w:val="single" w:color="auto" w:sz="4" w:space="0"/>
            </w:tcBorders>
            <w:noWrap/>
          </w:tcPr>
          <w:p w14:paraId="04BFF517">
            <w:pPr>
              <w:widowControl/>
              <w:overflowPunct w:val="0"/>
              <w:autoSpaceDE w:val="0"/>
              <w:autoSpaceDN w:val="0"/>
              <w:adjustRightInd w:val="0"/>
              <w:jc w:val="left"/>
              <w:textAlignment w:val="baseline"/>
              <w:rPr>
                <w:rFonts w:ascii="宋体" w:hAnsi="宋体" w:cs="仿宋_GB2312"/>
                <w:color w:val="auto"/>
                <w:szCs w:val="21"/>
                <w:highlight w:val="none"/>
                <w:lang w:val="zh-CN"/>
              </w:rPr>
            </w:pPr>
          </w:p>
        </w:tc>
        <w:tc>
          <w:tcPr>
            <w:tcW w:w="970" w:type="dxa"/>
            <w:tcBorders>
              <w:top w:val="single" w:color="auto" w:sz="4" w:space="0"/>
              <w:left w:val="single" w:color="auto" w:sz="4" w:space="0"/>
              <w:bottom w:val="single" w:color="auto" w:sz="4" w:space="0"/>
              <w:right w:val="single" w:color="auto" w:sz="4" w:space="0"/>
            </w:tcBorders>
            <w:noWrap/>
            <w:vAlign w:val="center"/>
          </w:tcPr>
          <w:p w14:paraId="404C80BF">
            <w:pPr>
              <w:jc w:val="center"/>
              <w:rPr>
                <w:rFonts w:ascii="宋体" w:hAnsi="宋体" w:cs="宋体"/>
                <w:color w:val="auto"/>
                <w:szCs w:val="21"/>
                <w:highlight w:val="none"/>
              </w:rPr>
            </w:pPr>
            <w:r>
              <w:rPr>
                <w:rFonts w:hint="eastAsia" w:ascii="宋体" w:hAnsi="宋体" w:cs="宋体"/>
                <w:color w:val="auto"/>
                <w:szCs w:val="21"/>
                <w:highlight w:val="none"/>
              </w:rPr>
              <w:t>项目风险应对措施</w:t>
            </w:r>
          </w:p>
        </w:tc>
        <w:tc>
          <w:tcPr>
            <w:tcW w:w="5882" w:type="dxa"/>
            <w:tcBorders>
              <w:top w:val="single" w:color="auto" w:sz="4" w:space="0"/>
              <w:left w:val="single" w:color="auto" w:sz="4" w:space="0"/>
              <w:bottom w:val="single" w:color="auto" w:sz="4" w:space="0"/>
              <w:right w:val="single" w:color="auto" w:sz="4" w:space="0"/>
            </w:tcBorders>
            <w:noWrap/>
            <w:vAlign w:val="center"/>
          </w:tcPr>
          <w:p w14:paraId="224754F2">
            <w:pPr>
              <w:rPr>
                <w:rFonts w:ascii="宋体" w:hAnsi="宋体" w:cs="宋体"/>
                <w:color w:val="auto"/>
                <w:kern w:val="0"/>
                <w:szCs w:val="21"/>
                <w:highlight w:val="none"/>
              </w:rPr>
            </w:pPr>
            <w:r>
              <w:rPr>
                <w:rFonts w:hint="eastAsia" w:ascii="宋体" w:hAnsi="宋体" w:cs="宋体"/>
                <w:color w:val="auto"/>
                <w:szCs w:val="21"/>
                <w:highlight w:val="none"/>
              </w:rPr>
              <w:t>供应商根据本项目采购需求，明确提出项目测试风险及测试风险规避措施。项目风险应对措施是否完整，思路是否清晰，是否有针对性，是否满足项目的总体要求等进行综合评分，满分6分。</w:t>
            </w:r>
            <w:r>
              <w:rPr>
                <w:rFonts w:hint="eastAsia" w:ascii="宋体" w:hAnsi="宋体" w:cs="宋体"/>
                <w:color w:val="auto"/>
                <w:kern w:val="0"/>
                <w:szCs w:val="21"/>
                <w:highlight w:val="none"/>
              </w:rPr>
              <w:t>其中：</w:t>
            </w:r>
          </w:p>
          <w:p w14:paraId="13E60FFC">
            <w:pPr>
              <w:rPr>
                <w:rFonts w:ascii="宋体" w:hAnsi="宋体"/>
                <w:color w:val="auto"/>
                <w:szCs w:val="21"/>
                <w:highlight w:val="none"/>
              </w:rPr>
            </w:pPr>
            <w:r>
              <w:rPr>
                <w:rFonts w:hint="eastAsia" w:ascii="宋体" w:hAnsi="宋体"/>
                <w:color w:val="auto"/>
                <w:szCs w:val="21"/>
                <w:highlight w:val="none"/>
              </w:rPr>
              <w:t>措施切合实际、需求明确、针对性强，完全符合得6分；</w:t>
            </w:r>
          </w:p>
          <w:p w14:paraId="0EBFFFE4">
            <w:pPr>
              <w:rPr>
                <w:rFonts w:ascii="宋体" w:hAnsi="宋体" w:cs="宋体"/>
                <w:color w:val="auto"/>
                <w:szCs w:val="21"/>
                <w:highlight w:val="none"/>
              </w:rPr>
            </w:pPr>
            <w:r>
              <w:rPr>
                <w:rFonts w:hint="eastAsia" w:ascii="宋体" w:hAnsi="宋体"/>
                <w:color w:val="auto"/>
                <w:szCs w:val="21"/>
                <w:highlight w:val="none"/>
              </w:rPr>
              <w:t>每缺少一项内容扣2分，每项内容中有一处缺陷扣1分（缺陷是指：前后内容不一致、存在凭空编造、前后逻辑错误、涉及的规范及标准错误、项目名称或实施地点区域错误、内容简略或与本项目无关等任意一种情形等，后续评审项“缺陷”定义同此项）</w:t>
            </w:r>
          </w:p>
        </w:tc>
        <w:tc>
          <w:tcPr>
            <w:tcW w:w="964" w:type="dxa"/>
            <w:tcBorders>
              <w:top w:val="single" w:color="auto" w:sz="4" w:space="0"/>
              <w:left w:val="single" w:color="auto" w:sz="4" w:space="0"/>
              <w:bottom w:val="single" w:color="auto" w:sz="4" w:space="0"/>
              <w:right w:val="single" w:color="auto" w:sz="4" w:space="0"/>
            </w:tcBorders>
            <w:noWrap/>
            <w:vAlign w:val="center"/>
          </w:tcPr>
          <w:p w14:paraId="1F3324E9">
            <w:pPr>
              <w:jc w:val="center"/>
              <w:rPr>
                <w:rFonts w:ascii="宋体" w:hAnsi="宋体" w:cs="宋体"/>
                <w:color w:val="auto"/>
                <w:szCs w:val="21"/>
                <w:highlight w:val="none"/>
              </w:rPr>
            </w:pPr>
            <w:r>
              <w:rPr>
                <w:rFonts w:hint="eastAsia" w:ascii="宋体" w:hAnsi="宋体" w:cs="宋体"/>
                <w:color w:val="auto"/>
                <w:szCs w:val="21"/>
                <w:highlight w:val="none"/>
              </w:rPr>
              <w:t>0-</w:t>
            </w:r>
            <w:r>
              <w:rPr>
                <w:rFonts w:ascii="宋体" w:hAnsi="宋体" w:cs="宋体"/>
                <w:color w:val="auto"/>
                <w:szCs w:val="21"/>
                <w:highlight w:val="none"/>
              </w:rPr>
              <w:t>6</w:t>
            </w:r>
          </w:p>
        </w:tc>
      </w:tr>
      <w:tr w14:paraId="372C5D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1" w:hRule="atLeast"/>
          <w:jc w:val="center"/>
        </w:trPr>
        <w:tc>
          <w:tcPr>
            <w:tcW w:w="1008" w:type="dxa"/>
            <w:tcBorders>
              <w:left w:val="single" w:color="auto" w:sz="4" w:space="0"/>
              <w:right w:val="single" w:color="auto" w:sz="4" w:space="0"/>
            </w:tcBorders>
            <w:noWrap/>
          </w:tcPr>
          <w:p w14:paraId="332C21EE">
            <w:pPr>
              <w:widowControl/>
              <w:overflowPunct w:val="0"/>
              <w:autoSpaceDE w:val="0"/>
              <w:autoSpaceDN w:val="0"/>
              <w:adjustRightInd w:val="0"/>
              <w:jc w:val="left"/>
              <w:textAlignment w:val="baseline"/>
              <w:rPr>
                <w:rFonts w:ascii="宋体" w:hAnsi="宋体" w:cs="仿宋_GB2312"/>
                <w:color w:val="auto"/>
                <w:szCs w:val="21"/>
                <w:highlight w:val="none"/>
                <w:lang w:val="zh-CN"/>
              </w:rPr>
            </w:pPr>
          </w:p>
        </w:tc>
        <w:tc>
          <w:tcPr>
            <w:tcW w:w="970" w:type="dxa"/>
            <w:tcBorders>
              <w:top w:val="single" w:color="auto" w:sz="4" w:space="0"/>
              <w:left w:val="single" w:color="auto" w:sz="4" w:space="0"/>
              <w:bottom w:val="single" w:color="auto" w:sz="4" w:space="0"/>
              <w:right w:val="single" w:color="auto" w:sz="4" w:space="0"/>
            </w:tcBorders>
            <w:noWrap/>
            <w:vAlign w:val="center"/>
          </w:tcPr>
          <w:p w14:paraId="214A7291">
            <w:pPr>
              <w:jc w:val="center"/>
              <w:rPr>
                <w:rFonts w:ascii="宋体" w:hAnsi="宋体" w:cs="宋体"/>
                <w:color w:val="auto"/>
                <w:szCs w:val="21"/>
                <w:highlight w:val="none"/>
              </w:rPr>
            </w:pPr>
            <w:r>
              <w:rPr>
                <w:rFonts w:hint="eastAsia" w:ascii="宋体" w:hAnsi="宋体" w:cs="宋体"/>
                <w:color w:val="auto"/>
                <w:szCs w:val="21"/>
                <w:highlight w:val="none"/>
              </w:rPr>
              <w:t>售后方案</w:t>
            </w:r>
          </w:p>
        </w:tc>
        <w:tc>
          <w:tcPr>
            <w:tcW w:w="5882" w:type="dxa"/>
            <w:tcBorders>
              <w:top w:val="single" w:color="auto" w:sz="4" w:space="0"/>
              <w:left w:val="single" w:color="auto" w:sz="4" w:space="0"/>
              <w:bottom w:val="single" w:color="auto" w:sz="4" w:space="0"/>
              <w:right w:val="single" w:color="auto" w:sz="4" w:space="0"/>
            </w:tcBorders>
            <w:noWrap/>
            <w:vAlign w:val="center"/>
          </w:tcPr>
          <w:p w14:paraId="64788293">
            <w:pPr>
              <w:rPr>
                <w:rFonts w:ascii="宋体" w:hAnsi="宋体" w:cs="宋体"/>
                <w:color w:val="auto"/>
                <w:szCs w:val="21"/>
                <w:highlight w:val="none"/>
              </w:rPr>
            </w:pPr>
            <w:r>
              <w:rPr>
                <w:rFonts w:hint="eastAsia" w:ascii="宋体" w:hAnsi="宋体" w:cs="宋体"/>
                <w:color w:val="auto"/>
                <w:szCs w:val="21"/>
                <w:highlight w:val="none"/>
              </w:rPr>
              <w:t>根据供应商提供的售后方案是否完整，思路是否清晰，是否有针对性，是否满足项目的总体要求等进行综合评分，满分</w:t>
            </w:r>
            <w:r>
              <w:rPr>
                <w:rFonts w:ascii="宋体" w:hAnsi="宋体" w:cs="宋体"/>
                <w:color w:val="auto"/>
                <w:szCs w:val="21"/>
                <w:highlight w:val="none"/>
              </w:rPr>
              <w:t>6</w:t>
            </w:r>
            <w:r>
              <w:rPr>
                <w:rFonts w:hint="eastAsia" w:ascii="宋体" w:hAnsi="宋体" w:cs="宋体"/>
                <w:color w:val="auto"/>
                <w:szCs w:val="21"/>
                <w:highlight w:val="none"/>
              </w:rPr>
              <w:t>分。</w:t>
            </w:r>
            <w:r>
              <w:rPr>
                <w:rFonts w:hint="eastAsia" w:ascii="宋体" w:hAnsi="宋体" w:cs="宋体"/>
                <w:color w:val="auto"/>
                <w:kern w:val="0"/>
                <w:szCs w:val="21"/>
                <w:highlight w:val="none"/>
              </w:rPr>
              <w:t>其中：</w:t>
            </w:r>
          </w:p>
          <w:p w14:paraId="54A874AA">
            <w:pPr>
              <w:rPr>
                <w:rFonts w:ascii="宋体" w:hAnsi="宋体"/>
                <w:color w:val="auto"/>
                <w:szCs w:val="21"/>
                <w:highlight w:val="none"/>
              </w:rPr>
            </w:pPr>
            <w:r>
              <w:rPr>
                <w:rFonts w:hint="eastAsia" w:ascii="宋体" w:hAnsi="宋体"/>
                <w:color w:val="auto"/>
                <w:szCs w:val="21"/>
                <w:highlight w:val="none"/>
              </w:rPr>
              <w:t>方案切合实际、需求明确、针对性强，完全符合得6分；</w:t>
            </w:r>
          </w:p>
          <w:p w14:paraId="7ED6002E">
            <w:pPr>
              <w:jc w:val="left"/>
              <w:rPr>
                <w:rFonts w:ascii="宋体" w:hAnsi="宋体" w:cs="宋体"/>
                <w:color w:val="auto"/>
                <w:szCs w:val="21"/>
                <w:highlight w:val="none"/>
              </w:rPr>
            </w:pPr>
            <w:r>
              <w:rPr>
                <w:rFonts w:hint="eastAsia" w:ascii="宋体" w:hAnsi="宋体"/>
                <w:color w:val="auto"/>
                <w:szCs w:val="21"/>
                <w:highlight w:val="none"/>
              </w:rPr>
              <w:t>每缺少一项内容扣2分，每项内容中有一处缺陷扣1分（缺陷是指：前后内容不一致、存在凭空编造、前后逻辑错误、涉及的规范及标准错误、项目名称或实施地点区域错误、内容简略或与本项目无关等任意一种情形等，后续评审项“缺</w:t>
            </w:r>
            <w:bookmarkStart w:id="252" w:name="_GoBack"/>
            <w:bookmarkEnd w:id="252"/>
            <w:r>
              <w:rPr>
                <w:rFonts w:hint="eastAsia" w:ascii="宋体" w:hAnsi="宋体"/>
                <w:color w:val="auto"/>
                <w:szCs w:val="21"/>
                <w:highlight w:val="none"/>
              </w:rPr>
              <w:t>陷”定义同此项）</w:t>
            </w:r>
          </w:p>
        </w:tc>
        <w:tc>
          <w:tcPr>
            <w:tcW w:w="964" w:type="dxa"/>
            <w:tcBorders>
              <w:top w:val="single" w:color="auto" w:sz="4" w:space="0"/>
              <w:left w:val="single" w:color="auto" w:sz="4" w:space="0"/>
              <w:bottom w:val="single" w:color="auto" w:sz="4" w:space="0"/>
              <w:right w:val="single" w:color="auto" w:sz="4" w:space="0"/>
            </w:tcBorders>
            <w:noWrap/>
            <w:vAlign w:val="center"/>
          </w:tcPr>
          <w:p w14:paraId="1454A704">
            <w:pPr>
              <w:jc w:val="center"/>
              <w:rPr>
                <w:rFonts w:ascii="宋体" w:hAnsi="宋体" w:cs="宋体"/>
                <w:color w:val="auto"/>
                <w:szCs w:val="21"/>
                <w:highlight w:val="none"/>
              </w:rPr>
            </w:pPr>
            <w:r>
              <w:rPr>
                <w:rFonts w:hint="eastAsia" w:ascii="宋体" w:hAnsi="宋体" w:cs="宋体"/>
                <w:color w:val="auto"/>
                <w:szCs w:val="21"/>
                <w:highlight w:val="none"/>
              </w:rPr>
              <w:t>0-</w:t>
            </w:r>
            <w:r>
              <w:rPr>
                <w:rFonts w:ascii="宋体" w:hAnsi="宋体" w:cs="宋体"/>
                <w:color w:val="auto"/>
                <w:szCs w:val="21"/>
                <w:highlight w:val="none"/>
              </w:rPr>
              <w:t>6</w:t>
            </w:r>
          </w:p>
        </w:tc>
      </w:tr>
      <w:tr w14:paraId="5FD67C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ign w:val="center"/>
          </w:tcPr>
          <w:p w14:paraId="50227A4C">
            <w:pPr>
              <w:widowControl/>
              <w:overflowPunct w:val="0"/>
              <w:autoSpaceDE w:val="0"/>
              <w:autoSpaceDN w:val="0"/>
              <w:adjustRightInd w:val="0"/>
              <w:jc w:val="center"/>
              <w:textAlignment w:val="baseline"/>
              <w:rPr>
                <w:rFonts w:ascii="宋体" w:hAnsi="宋体" w:cs="仿宋_GB2312"/>
                <w:color w:val="auto"/>
                <w:szCs w:val="21"/>
                <w:highlight w:val="none"/>
                <w:lang w:val="zh-CN"/>
              </w:rPr>
            </w:pPr>
            <w:r>
              <w:rPr>
                <w:rFonts w:hint="eastAsia" w:ascii="宋体" w:hAnsi="宋体" w:cs="仿宋_GB2312"/>
                <w:color w:val="auto"/>
                <w:szCs w:val="21"/>
                <w:highlight w:val="none"/>
                <w:lang w:val="zh-CN"/>
              </w:rPr>
              <w:t>商务因素</w:t>
            </w:r>
          </w:p>
        </w:tc>
        <w:tc>
          <w:tcPr>
            <w:tcW w:w="970" w:type="dxa"/>
            <w:tcBorders>
              <w:top w:val="single" w:color="auto" w:sz="4" w:space="0"/>
              <w:left w:val="single" w:color="auto" w:sz="4" w:space="0"/>
              <w:bottom w:val="single" w:color="auto" w:sz="4" w:space="0"/>
              <w:right w:val="single" w:color="auto" w:sz="4" w:space="0"/>
            </w:tcBorders>
            <w:noWrap/>
            <w:vAlign w:val="center"/>
          </w:tcPr>
          <w:p w14:paraId="03A0485A">
            <w:pPr>
              <w:widowControl/>
              <w:overflowPunct w:val="0"/>
              <w:autoSpaceDE w:val="0"/>
              <w:autoSpaceDN w:val="0"/>
              <w:adjustRightInd w:val="0"/>
              <w:jc w:val="center"/>
              <w:textAlignment w:val="baseline"/>
              <w:rPr>
                <w:rFonts w:ascii="宋体" w:hAnsi="宋体" w:cs="仿宋_GB2312"/>
                <w:color w:val="auto"/>
                <w:szCs w:val="21"/>
                <w:highlight w:val="none"/>
                <w:lang w:val="zh-CN"/>
              </w:rPr>
            </w:pPr>
            <w:r>
              <w:rPr>
                <w:rFonts w:ascii="宋体" w:hAnsi="宋体" w:cs="宋体"/>
                <w:color w:val="auto"/>
                <w:kern w:val="0"/>
                <w:szCs w:val="21"/>
                <w:highlight w:val="none"/>
              </w:rPr>
              <w:t>业绩</w:t>
            </w:r>
          </w:p>
        </w:tc>
        <w:tc>
          <w:tcPr>
            <w:tcW w:w="5882" w:type="dxa"/>
            <w:tcBorders>
              <w:top w:val="single" w:color="auto" w:sz="4" w:space="0"/>
              <w:left w:val="single" w:color="auto" w:sz="4" w:space="0"/>
              <w:bottom w:val="single" w:color="auto" w:sz="4" w:space="0"/>
              <w:right w:val="single" w:color="auto" w:sz="4" w:space="0"/>
            </w:tcBorders>
            <w:noWrap/>
          </w:tcPr>
          <w:p w14:paraId="6C832745">
            <w:pPr>
              <w:widowControl/>
              <w:overflowPunct w:val="0"/>
              <w:autoSpaceDE w:val="0"/>
              <w:autoSpaceDN w:val="0"/>
              <w:adjustRightInd w:val="0"/>
              <w:jc w:val="left"/>
              <w:textAlignment w:val="baseline"/>
              <w:rPr>
                <w:rFonts w:ascii="宋体" w:hAnsi="宋体" w:cs="仿宋_GB2312"/>
                <w:color w:val="auto"/>
                <w:szCs w:val="21"/>
                <w:highlight w:val="none"/>
                <w:lang w:val="zh-CN"/>
              </w:rPr>
            </w:pPr>
            <w:r>
              <w:rPr>
                <w:rFonts w:hint="eastAsia" w:ascii="宋体" w:hAnsi="宋体"/>
                <w:color w:val="auto"/>
                <w:szCs w:val="21"/>
                <w:highlight w:val="none"/>
              </w:rPr>
              <w:t>供应商提供近三年（2022年1月1日起至今）类似项目业绩，每提供一个得2分，满分得8分（提供合同复印件并加盖供应商公章，含合同封面、金额页、盖章签字页）</w:t>
            </w:r>
          </w:p>
        </w:tc>
        <w:tc>
          <w:tcPr>
            <w:tcW w:w="964" w:type="dxa"/>
            <w:tcBorders>
              <w:top w:val="single" w:color="auto" w:sz="4" w:space="0"/>
              <w:left w:val="single" w:color="auto" w:sz="4" w:space="0"/>
              <w:bottom w:val="single" w:color="auto" w:sz="4" w:space="0"/>
              <w:right w:val="single" w:color="auto" w:sz="4" w:space="0"/>
            </w:tcBorders>
            <w:noWrap/>
            <w:vAlign w:val="center"/>
          </w:tcPr>
          <w:p w14:paraId="2AEF4CB8">
            <w:pPr>
              <w:widowControl/>
              <w:overflowPunct w:val="0"/>
              <w:autoSpaceDE w:val="0"/>
              <w:autoSpaceDN w:val="0"/>
              <w:adjustRightInd w:val="0"/>
              <w:jc w:val="center"/>
              <w:textAlignment w:val="baseline"/>
              <w:rPr>
                <w:rFonts w:ascii="宋体" w:hAnsi="宋体" w:cs="仿宋_GB2312"/>
                <w:color w:val="auto"/>
                <w:szCs w:val="21"/>
                <w:highlight w:val="none"/>
              </w:rPr>
            </w:pPr>
            <w:r>
              <w:rPr>
                <w:rFonts w:hint="eastAsia" w:ascii="宋体" w:hAnsi="宋体" w:cs="仿宋_GB2312"/>
                <w:color w:val="auto"/>
                <w:szCs w:val="21"/>
                <w:highlight w:val="none"/>
              </w:rPr>
              <w:t>0-8</w:t>
            </w:r>
          </w:p>
        </w:tc>
      </w:tr>
      <w:tr w14:paraId="671BEE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7"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tcPr>
          <w:p w14:paraId="5D0C5B63">
            <w:pPr>
              <w:widowControl/>
              <w:overflowPunct w:val="0"/>
              <w:autoSpaceDE w:val="0"/>
              <w:autoSpaceDN w:val="0"/>
              <w:adjustRightInd w:val="0"/>
              <w:jc w:val="left"/>
              <w:textAlignment w:val="baseline"/>
              <w:rPr>
                <w:rFonts w:ascii="宋体" w:hAnsi="宋体" w:cs="仿宋_GB2312"/>
                <w:color w:val="auto"/>
                <w:szCs w:val="21"/>
                <w:highlight w:val="none"/>
                <w:lang w:val="zh-CN"/>
              </w:rPr>
            </w:pPr>
          </w:p>
        </w:tc>
        <w:tc>
          <w:tcPr>
            <w:tcW w:w="970" w:type="dxa"/>
            <w:tcBorders>
              <w:top w:val="single" w:color="auto" w:sz="4" w:space="0"/>
              <w:left w:val="single" w:color="auto" w:sz="4" w:space="0"/>
              <w:bottom w:val="single" w:color="auto" w:sz="4" w:space="0"/>
              <w:right w:val="single" w:color="auto" w:sz="4" w:space="0"/>
            </w:tcBorders>
            <w:noWrap/>
            <w:vAlign w:val="center"/>
          </w:tcPr>
          <w:p w14:paraId="74FE6D20">
            <w:pPr>
              <w:jc w:val="center"/>
              <w:rPr>
                <w:rFonts w:ascii="宋体" w:hAnsi="宋体" w:cs="仿宋_GB2312"/>
                <w:color w:val="auto"/>
                <w:szCs w:val="21"/>
                <w:highlight w:val="none"/>
                <w:lang w:val="zh-CN"/>
              </w:rPr>
            </w:pPr>
            <w:r>
              <w:rPr>
                <w:rFonts w:hint="eastAsia" w:ascii="宋体" w:hAnsi="宋体" w:cs="宋体"/>
                <w:color w:val="auto"/>
                <w:szCs w:val="21"/>
                <w:highlight w:val="none"/>
              </w:rPr>
              <w:t>企业实力</w:t>
            </w:r>
          </w:p>
        </w:tc>
        <w:tc>
          <w:tcPr>
            <w:tcW w:w="5882" w:type="dxa"/>
            <w:tcBorders>
              <w:top w:val="single" w:color="auto" w:sz="4" w:space="0"/>
              <w:left w:val="single" w:color="auto" w:sz="4" w:space="0"/>
              <w:bottom w:val="single" w:color="auto" w:sz="4" w:space="0"/>
              <w:right w:val="single" w:color="auto" w:sz="4" w:space="0"/>
            </w:tcBorders>
            <w:noWrap/>
            <w:vAlign w:val="center"/>
          </w:tcPr>
          <w:p w14:paraId="02F97D4C">
            <w:pP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b w:val="0"/>
                <w:color w:val="auto"/>
                <w:kern w:val="2"/>
                <w:sz w:val="21"/>
                <w:szCs w:val="21"/>
                <w:highlight w:val="none"/>
                <w:shd w:val="clear" w:color="auto" w:fill="auto"/>
                <w:lang w:val="en-US" w:eastAsia="zh-CN" w:bidi="ar-SA"/>
              </w:rPr>
              <w:t>供应商</w:t>
            </w:r>
            <w:r>
              <w:rPr>
                <w:rFonts w:hint="eastAsia" w:ascii="宋体" w:hAnsi="宋体" w:eastAsia="宋体"/>
                <w:b w:val="0"/>
                <w:color w:val="auto"/>
                <w:kern w:val="2"/>
                <w:sz w:val="21"/>
                <w:szCs w:val="21"/>
                <w:highlight w:val="none"/>
                <w:shd w:val="clear" w:color="auto" w:fill="auto"/>
                <w:lang w:val="en-US" w:eastAsia="zh-CN" w:bidi="ar-SA"/>
              </w:rPr>
              <w:t>具有中国网络安全审查认证和市场监管大数据中心颁发的信息安全服务资质认证证书（信息安全风险评估），得5分</w:t>
            </w:r>
            <w:r>
              <w:rPr>
                <w:rFonts w:hint="eastAsia" w:ascii="宋体" w:hAnsi="宋体" w:cs="宋体"/>
                <w:color w:val="auto"/>
                <w:szCs w:val="21"/>
                <w:highlight w:val="none"/>
              </w:rPr>
              <w:t>；</w:t>
            </w:r>
          </w:p>
          <w:p w14:paraId="09A0CDFC">
            <w:pPr>
              <w:rPr>
                <w:rFonts w:ascii="宋体" w:hAnsi="宋体" w:cs="宋体"/>
                <w:color w:val="auto"/>
                <w:szCs w:val="21"/>
                <w:highlight w:val="none"/>
              </w:rPr>
            </w:pPr>
            <w:r>
              <w:rPr>
                <w:rFonts w:hint="eastAsia" w:ascii="宋体" w:hAnsi="宋体" w:cs="宋体"/>
                <w:color w:val="auto"/>
                <w:szCs w:val="21"/>
                <w:highlight w:val="none"/>
              </w:rPr>
              <w:t>2、供应商具有</w:t>
            </w:r>
            <w:r>
              <w:rPr>
                <w:rFonts w:hint="eastAsia" w:ascii="宋体" w:hAnsi="宋体"/>
                <w:color w:val="auto"/>
                <w:szCs w:val="21"/>
                <w:highlight w:val="none"/>
              </w:rPr>
              <w:t>国家信息安全测评信息安全服务资质证书颁发的</w:t>
            </w:r>
            <w:r>
              <w:rPr>
                <w:rFonts w:hint="eastAsia" w:hAnsi="宋体"/>
                <w:color w:val="auto"/>
                <w:szCs w:val="21"/>
                <w:highlight w:val="none"/>
              </w:rPr>
              <w:t>信息安全服务资质证书（数据安全类）</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分，否则不得分；</w:t>
            </w:r>
          </w:p>
          <w:p w14:paraId="73D7E08C">
            <w:pPr>
              <w:snapToGrid/>
              <w:rPr>
                <w:rFonts w:hint="eastAsia" w:ascii="宋体" w:hAnsi="宋体" w:eastAsia="宋体"/>
                <w:b w:val="0"/>
                <w:color w:val="auto"/>
                <w:kern w:val="2"/>
                <w:sz w:val="21"/>
                <w:szCs w:val="21"/>
                <w:highlight w:val="none"/>
                <w:shd w:val="clear" w:color="auto" w:fill="auto"/>
                <w:lang w:val="en-US" w:eastAsia="zh-CN" w:bidi="ar-SA"/>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b w:val="0"/>
                <w:color w:val="auto"/>
                <w:kern w:val="2"/>
                <w:sz w:val="21"/>
                <w:szCs w:val="21"/>
                <w:highlight w:val="none"/>
                <w:shd w:val="clear" w:color="auto" w:fill="auto"/>
                <w:lang w:val="en-US" w:eastAsia="zh-CN" w:bidi="ar-SA"/>
              </w:rPr>
              <w:t>供应商</w:t>
            </w:r>
            <w:r>
              <w:rPr>
                <w:rFonts w:hint="eastAsia" w:ascii="宋体" w:hAnsi="宋体" w:eastAsia="宋体"/>
                <w:b w:val="0"/>
                <w:color w:val="auto"/>
                <w:kern w:val="2"/>
                <w:sz w:val="21"/>
                <w:szCs w:val="21"/>
                <w:highlight w:val="none"/>
                <w:shd w:val="clear" w:color="auto" w:fill="auto"/>
                <w:lang w:val="en-US" w:eastAsia="zh-CN" w:bidi="ar-SA"/>
              </w:rPr>
              <w:t>具有 ISO9001 质量管理体系认证证书，得2分；</w:t>
            </w:r>
          </w:p>
          <w:p w14:paraId="33B14403">
            <w:pPr>
              <w:snapToGrid/>
              <w:rPr>
                <w:rFonts w:hint="eastAsia" w:ascii="宋体" w:hAnsi="宋体" w:eastAsia="宋体"/>
                <w:b w:val="0"/>
                <w:color w:val="auto"/>
                <w:kern w:val="2"/>
                <w:sz w:val="21"/>
                <w:szCs w:val="21"/>
                <w:highlight w:val="none"/>
                <w:shd w:val="clear" w:color="auto" w:fill="auto"/>
                <w:lang w:val="en-US" w:eastAsia="zh-CN" w:bidi="ar-SA"/>
              </w:rPr>
            </w:pPr>
            <w:r>
              <w:rPr>
                <w:rFonts w:hint="eastAsia" w:ascii="宋体" w:hAnsi="宋体"/>
                <w:b w:val="0"/>
                <w:color w:val="auto"/>
                <w:kern w:val="2"/>
                <w:sz w:val="21"/>
                <w:szCs w:val="21"/>
                <w:highlight w:val="none"/>
                <w:shd w:val="clear" w:color="auto" w:fill="auto"/>
                <w:lang w:val="en-US" w:eastAsia="zh-CN" w:bidi="ar-SA"/>
              </w:rPr>
              <w:t>供应商</w:t>
            </w:r>
            <w:r>
              <w:rPr>
                <w:rFonts w:hint="eastAsia" w:ascii="宋体" w:hAnsi="宋体" w:eastAsia="宋体"/>
                <w:b w:val="0"/>
                <w:color w:val="auto"/>
                <w:kern w:val="2"/>
                <w:sz w:val="21"/>
                <w:szCs w:val="21"/>
                <w:highlight w:val="none"/>
                <w:shd w:val="clear" w:color="auto" w:fill="auto"/>
                <w:lang w:val="en-US" w:eastAsia="zh-CN" w:bidi="ar-SA"/>
              </w:rPr>
              <w:t>具有ISO27001信息安全管理体系认证证书，得2分；</w:t>
            </w:r>
          </w:p>
          <w:p w14:paraId="282EFA30">
            <w:pPr>
              <w:rPr>
                <w:rFonts w:ascii="宋体" w:hAnsi="宋体" w:cs="宋体"/>
                <w:color w:val="auto"/>
                <w:szCs w:val="21"/>
                <w:highlight w:val="none"/>
              </w:rPr>
            </w:pPr>
            <w:r>
              <w:rPr>
                <w:rFonts w:hint="eastAsia" w:ascii="宋体" w:hAnsi="宋体" w:eastAsia="宋体"/>
                <w:b w:val="0"/>
                <w:color w:val="auto"/>
                <w:kern w:val="2"/>
                <w:sz w:val="21"/>
                <w:szCs w:val="21"/>
                <w:highlight w:val="none"/>
                <w:shd w:val="clear" w:color="auto" w:fill="auto"/>
                <w:lang w:val="en-US" w:eastAsia="zh-CN" w:bidi="ar-SA"/>
              </w:rPr>
              <w:t>具有ISO20000信息技术服务管理体系认证证书，得2分</w:t>
            </w:r>
            <w:r>
              <w:rPr>
                <w:rFonts w:hint="eastAsia" w:ascii="宋体" w:hAnsi="宋体" w:cs="宋体"/>
                <w:color w:val="auto"/>
                <w:szCs w:val="21"/>
                <w:highlight w:val="none"/>
              </w:rPr>
              <w:t>；</w:t>
            </w:r>
          </w:p>
          <w:p w14:paraId="48CB5C41">
            <w:pPr>
              <w:jc w:val="left"/>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须提供在有效期内的证书复印件并加盖供应商公章，未提供以上证书复印件并加盖供应商公章的不得分</w:t>
            </w:r>
            <w:r>
              <w:rPr>
                <w:rFonts w:hint="eastAsia" w:ascii="宋体" w:hAnsi="宋体" w:cs="宋体"/>
                <w:color w:val="auto"/>
                <w:szCs w:val="21"/>
                <w:highlight w:val="none"/>
              </w:rPr>
              <w:t>）</w:t>
            </w:r>
          </w:p>
        </w:tc>
        <w:tc>
          <w:tcPr>
            <w:tcW w:w="964" w:type="dxa"/>
            <w:tcBorders>
              <w:top w:val="single" w:color="auto" w:sz="4" w:space="0"/>
              <w:left w:val="single" w:color="auto" w:sz="4" w:space="0"/>
              <w:bottom w:val="single" w:color="auto" w:sz="4" w:space="0"/>
              <w:right w:val="single" w:color="auto" w:sz="4" w:space="0"/>
            </w:tcBorders>
            <w:noWrap/>
            <w:vAlign w:val="center"/>
          </w:tcPr>
          <w:p w14:paraId="340CAD41">
            <w:pPr>
              <w:jc w:val="center"/>
              <w:rPr>
                <w:rFonts w:hint="eastAsia" w:ascii="宋体" w:hAnsi="宋体" w:eastAsia="宋体" w:cs="仿宋_GB2312"/>
                <w:color w:val="auto"/>
                <w:szCs w:val="21"/>
                <w:highlight w:val="none"/>
                <w:lang w:eastAsia="zh-CN"/>
              </w:rPr>
            </w:pPr>
            <w:r>
              <w:rPr>
                <w:rFonts w:hint="eastAsia" w:ascii="宋体" w:hAnsi="宋体" w:cs="宋体"/>
                <w:color w:val="auto"/>
                <w:szCs w:val="21"/>
                <w:highlight w:val="none"/>
              </w:rPr>
              <w:t>0-</w:t>
            </w:r>
            <w:r>
              <w:rPr>
                <w:rFonts w:ascii="宋体" w:hAnsi="宋体" w:cs="宋体"/>
                <w:color w:val="auto"/>
                <w:szCs w:val="21"/>
                <w:highlight w:val="none"/>
              </w:rPr>
              <w:t>1</w:t>
            </w:r>
            <w:r>
              <w:rPr>
                <w:rFonts w:hint="eastAsia" w:ascii="宋体" w:hAnsi="宋体" w:cs="宋体"/>
                <w:color w:val="auto"/>
                <w:szCs w:val="21"/>
                <w:highlight w:val="none"/>
                <w:lang w:val="en-US" w:eastAsia="zh-CN"/>
              </w:rPr>
              <w:t>6</w:t>
            </w:r>
          </w:p>
        </w:tc>
      </w:tr>
    </w:tbl>
    <w:p w14:paraId="5296FE4C">
      <w:pPr>
        <w:rPr>
          <w:color w:val="auto"/>
          <w:highlight w:val="none"/>
        </w:rPr>
      </w:pPr>
    </w:p>
    <w:p w14:paraId="1BA9B7F6">
      <w:pPr>
        <w:rPr>
          <w:rFonts w:ascii="宋体" w:hAnsi="宋体"/>
          <w:b/>
          <w:color w:val="auto"/>
          <w:sz w:val="24"/>
          <w:szCs w:val="24"/>
          <w:highlight w:val="none"/>
        </w:rPr>
      </w:pPr>
      <w:r>
        <w:rPr>
          <w:rFonts w:hint="eastAsia" w:ascii="宋体" w:hAnsi="宋体"/>
          <w:b/>
          <w:color w:val="auto"/>
          <w:sz w:val="24"/>
          <w:szCs w:val="24"/>
          <w:highlight w:val="none"/>
        </w:rPr>
        <w:t>说明：评委对各供应商技术、商务内容量化打分时，主观合计最高得分与最低得分相差20%以上时，应当做出合理的解释说明，否则不予计分。</w:t>
      </w:r>
    </w:p>
    <w:p w14:paraId="68F0FE6F">
      <w:pPr>
        <w:spacing w:line="400" w:lineRule="atLeast"/>
        <w:ind w:firstLine="482" w:firstLineChars="200"/>
        <w:rPr>
          <w:rFonts w:ascii="宋体" w:hAnsi="宋体"/>
          <w:b/>
          <w:bCs/>
          <w:color w:val="auto"/>
          <w:sz w:val="24"/>
          <w:highlight w:val="none"/>
        </w:rPr>
      </w:pPr>
      <w:r>
        <w:rPr>
          <w:rFonts w:hint="eastAsia" w:ascii="宋体" w:hAnsi="宋体"/>
          <w:b/>
          <w:bCs/>
          <w:color w:val="auto"/>
          <w:sz w:val="24"/>
          <w:highlight w:val="none"/>
        </w:rPr>
        <w:t>投标产品为《国家节能产品政府采购品目清单》（最新）中非政府强制采购的产品，提供一项国家正规机构出具的节能产品认证证书或检测报告复印件并加盖公章的评审价格扣除0.5%。</w:t>
      </w:r>
    </w:p>
    <w:p w14:paraId="24FDEEED">
      <w:pPr>
        <w:ind w:firstLine="482" w:firstLineChars="200"/>
        <w:rPr>
          <w:rFonts w:ascii="宋体" w:hAnsi="宋体"/>
          <w:b/>
          <w:bCs/>
          <w:color w:val="auto"/>
          <w:sz w:val="24"/>
          <w:highlight w:val="none"/>
        </w:rPr>
      </w:pPr>
      <w:r>
        <w:rPr>
          <w:rFonts w:hint="eastAsia" w:ascii="宋体" w:hAnsi="宋体"/>
          <w:b/>
          <w:bCs/>
          <w:color w:val="auto"/>
          <w:sz w:val="24"/>
          <w:highlight w:val="none"/>
        </w:rPr>
        <w:t>投标产品为《国家环保产品政府采购品目清单》（最新）中的产品，提供一项国家正规机构出具的环保产品认证证书或检测报告复印件并加盖公章的评审价格扣除0.5%</w:t>
      </w:r>
      <w:r>
        <w:rPr>
          <w:rFonts w:hint="eastAsia" w:ascii="宋体" w:hAnsi="宋体"/>
          <w:b/>
          <w:color w:val="auto"/>
          <w:sz w:val="24"/>
          <w:szCs w:val="24"/>
          <w:highlight w:val="none"/>
        </w:rPr>
        <w:t>。</w:t>
      </w:r>
    </w:p>
    <w:p w14:paraId="0F52FEF5">
      <w:pPr>
        <w:spacing w:line="400" w:lineRule="atLeast"/>
        <w:ind w:left="480" w:hanging="480" w:hangingChars="200"/>
        <w:rPr>
          <w:rFonts w:ascii="宋体" w:hAnsi="宋体"/>
          <w:bCs/>
          <w:color w:val="auto"/>
          <w:sz w:val="24"/>
          <w:highlight w:val="none"/>
        </w:rPr>
      </w:pPr>
      <w:r>
        <w:rPr>
          <w:rFonts w:hint="eastAsia" w:ascii="宋体" w:hAnsi="宋体"/>
          <w:bCs/>
          <w:color w:val="auto"/>
          <w:sz w:val="24"/>
          <w:highlight w:val="none"/>
        </w:rPr>
        <w:t>26.4磋商小组应当根据综合评分情况，按照评审得分由高到低顺序推荐3名成交候选供应商。评审得分相同的，按照最后报价由低到高的顺序推荐。评审得分且最后报价相同的，按照技术指标优劣顺序推荐。</w:t>
      </w:r>
    </w:p>
    <w:p w14:paraId="6D6C32B5">
      <w:pPr>
        <w:spacing w:line="400" w:lineRule="atLeast"/>
        <w:rPr>
          <w:rFonts w:ascii="宋体" w:hAnsi="宋体"/>
          <w:bCs/>
          <w:color w:val="auto"/>
          <w:sz w:val="24"/>
          <w:highlight w:val="none"/>
        </w:rPr>
      </w:pPr>
      <w:r>
        <w:rPr>
          <w:rFonts w:hint="eastAsia" w:ascii="宋体" w:hAnsi="宋体"/>
          <w:bCs/>
          <w:color w:val="auto"/>
          <w:sz w:val="24"/>
          <w:highlight w:val="none"/>
        </w:rPr>
        <w:t>26.5采购人根据磋商小组推荐的成交候选供应商名单，根据相关法律法规的规定确定最终成交方。如果排名第一的成交候选供应商的实际情况与其磋商资料不相符，将取消其成交资格，由排名第二的成交候选供应商递补，以此类推。</w:t>
      </w:r>
    </w:p>
    <w:p w14:paraId="1FFF109F">
      <w:pPr>
        <w:spacing w:line="400" w:lineRule="atLeast"/>
        <w:rPr>
          <w:rFonts w:ascii="宋体" w:hAnsi="宋体"/>
          <w:color w:val="auto"/>
          <w:sz w:val="24"/>
          <w:highlight w:val="none"/>
        </w:rPr>
      </w:pPr>
      <w:r>
        <w:rPr>
          <w:rFonts w:hint="eastAsia" w:ascii="宋体" w:hAnsi="宋体"/>
          <w:color w:val="auto"/>
          <w:sz w:val="24"/>
          <w:highlight w:val="none"/>
        </w:rPr>
        <w:t>27．磋商过程的保密性</w:t>
      </w:r>
    </w:p>
    <w:p w14:paraId="7336539B">
      <w:pPr>
        <w:spacing w:line="400" w:lineRule="atLeast"/>
        <w:ind w:left="552" w:hanging="552" w:hangingChars="230"/>
        <w:rPr>
          <w:rFonts w:ascii="宋体" w:hAnsi="宋体"/>
          <w:color w:val="auto"/>
          <w:sz w:val="24"/>
          <w:highlight w:val="none"/>
        </w:rPr>
      </w:pPr>
      <w:r>
        <w:rPr>
          <w:rFonts w:hint="eastAsia" w:ascii="宋体" w:hAnsi="宋体"/>
          <w:color w:val="auto"/>
          <w:sz w:val="24"/>
          <w:highlight w:val="none"/>
        </w:rPr>
        <w:t>27.1 磋商后，直到授予合同为止，凡是属于审查、澄清、评价和比较的有关资料以及授予成交方的建议等磋商小组成员或参与磋商的有关工作人员均不得向供应商或其他无关的人员透露，违者给予警告、取消担任磋商小组成员的资格，不得再参加任何项目的磋商。</w:t>
      </w:r>
    </w:p>
    <w:p w14:paraId="77292E47">
      <w:pPr>
        <w:spacing w:line="400" w:lineRule="atLeast"/>
        <w:ind w:left="552" w:hanging="552" w:hangingChars="230"/>
        <w:rPr>
          <w:rFonts w:ascii="宋体" w:hAnsi="宋体"/>
          <w:color w:val="auto"/>
          <w:sz w:val="24"/>
          <w:highlight w:val="none"/>
        </w:rPr>
      </w:pPr>
      <w:r>
        <w:rPr>
          <w:rFonts w:hint="eastAsia" w:ascii="宋体" w:hAnsi="宋体"/>
          <w:color w:val="auto"/>
          <w:sz w:val="24"/>
          <w:highlight w:val="none"/>
        </w:rPr>
        <w:t>27.2 供应商在磋商过程中，所进行的力图影响磋商结果的，不符合《政府采购法》及本次磋商中有关规定的活动，将被取消其磋商资格。</w:t>
      </w:r>
    </w:p>
    <w:p w14:paraId="4664BE52">
      <w:pPr>
        <w:spacing w:line="400" w:lineRule="atLeast"/>
        <w:ind w:left="552" w:hanging="552" w:hangingChars="230"/>
        <w:rPr>
          <w:rFonts w:ascii="宋体" w:hAnsi="宋体"/>
          <w:color w:val="auto"/>
          <w:sz w:val="24"/>
          <w:highlight w:val="none"/>
        </w:rPr>
      </w:pPr>
    </w:p>
    <w:p w14:paraId="681197CE">
      <w:pPr>
        <w:pStyle w:val="14"/>
        <w:spacing w:before="100" w:beforeAutospacing="1" w:after="100" w:afterAutospacing="1" w:line="400" w:lineRule="atLeast"/>
        <w:jc w:val="center"/>
        <w:rPr>
          <w:rFonts w:ascii="宋体" w:hAnsi="宋体" w:eastAsia="宋体"/>
          <w:color w:val="auto"/>
          <w:sz w:val="28"/>
          <w:szCs w:val="28"/>
          <w:highlight w:val="none"/>
        </w:rPr>
      </w:pPr>
      <w:bookmarkStart w:id="23" w:name="_Toc267301287"/>
      <w:bookmarkStart w:id="24" w:name="_Toc3773"/>
      <w:bookmarkStart w:id="25" w:name="_Toc298240410"/>
      <w:bookmarkStart w:id="26" w:name="_Toc471489758"/>
      <w:bookmarkStart w:id="27" w:name="_Toc349573126"/>
      <w:bookmarkStart w:id="28" w:name="_Toc349637925"/>
      <w:r>
        <w:rPr>
          <w:rFonts w:hint="eastAsia" w:ascii="宋体" w:hAnsi="宋体" w:eastAsia="宋体"/>
          <w:color w:val="auto"/>
          <w:sz w:val="28"/>
          <w:szCs w:val="28"/>
          <w:highlight w:val="none"/>
        </w:rPr>
        <w:t>F  授予合同</w:t>
      </w:r>
      <w:bookmarkEnd w:id="23"/>
      <w:bookmarkEnd w:id="24"/>
      <w:bookmarkEnd w:id="25"/>
      <w:bookmarkEnd w:id="26"/>
      <w:bookmarkEnd w:id="27"/>
      <w:bookmarkEnd w:id="28"/>
    </w:p>
    <w:p w14:paraId="214F8247">
      <w:pPr>
        <w:spacing w:line="400" w:lineRule="atLeast"/>
        <w:rPr>
          <w:rFonts w:ascii="宋体" w:hAnsi="宋体"/>
          <w:color w:val="auto"/>
          <w:sz w:val="24"/>
          <w:highlight w:val="none"/>
        </w:rPr>
      </w:pPr>
      <w:r>
        <w:rPr>
          <w:rFonts w:hint="eastAsia" w:ascii="宋体" w:hAnsi="宋体"/>
          <w:color w:val="auto"/>
          <w:sz w:val="24"/>
          <w:highlight w:val="none"/>
        </w:rPr>
        <w:t>28．合同授予标准</w:t>
      </w:r>
    </w:p>
    <w:p w14:paraId="2EDFDFD3">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28.1</w:t>
      </w:r>
      <w:r>
        <w:rPr>
          <w:rFonts w:hint="eastAsia" w:ascii="宋体" w:hAnsi="宋体"/>
          <w:bCs/>
          <w:color w:val="auto"/>
          <w:sz w:val="24"/>
          <w:highlight w:val="none"/>
        </w:rPr>
        <w:t>合同将授予被确定为实质上响应磋商文件要求，符合采购需求、质量和服务相等且报价最低的供应商</w:t>
      </w:r>
      <w:r>
        <w:rPr>
          <w:rFonts w:hint="eastAsia" w:ascii="宋体" w:hAnsi="宋体"/>
          <w:color w:val="auto"/>
          <w:sz w:val="24"/>
          <w:highlight w:val="none"/>
        </w:rPr>
        <w:t>。</w:t>
      </w:r>
    </w:p>
    <w:p w14:paraId="36AA3028">
      <w:pPr>
        <w:spacing w:line="400" w:lineRule="atLeast"/>
        <w:rPr>
          <w:rFonts w:ascii="宋体" w:hAnsi="宋体"/>
          <w:color w:val="auto"/>
          <w:sz w:val="24"/>
          <w:highlight w:val="none"/>
        </w:rPr>
      </w:pPr>
      <w:r>
        <w:rPr>
          <w:rFonts w:hint="eastAsia" w:ascii="宋体" w:hAnsi="宋体"/>
          <w:color w:val="auto"/>
          <w:sz w:val="24"/>
          <w:highlight w:val="none"/>
        </w:rPr>
        <w:t>28.2 最低报价不一定是被授予合同的保证。</w:t>
      </w:r>
    </w:p>
    <w:p w14:paraId="3B8CF7CE">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28.3排名第一的成交候选人放弃成交、因不可抗力不能履行合同、不按照磋商文件要求提交履约保证金，或者被查实存在影响成交结果的违法行为等情形，不符合成交条件的，采购人可以按照评审委员会提出的成交候选人名单排序依次确定其他成交候选人为成交供应商，也可以重新采购。</w:t>
      </w:r>
    </w:p>
    <w:p w14:paraId="329CDE68">
      <w:pPr>
        <w:spacing w:line="400" w:lineRule="atLeast"/>
        <w:rPr>
          <w:rFonts w:ascii="宋体" w:hAnsi="宋体"/>
          <w:color w:val="auto"/>
          <w:sz w:val="24"/>
          <w:highlight w:val="none"/>
        </w:rPr>
      </w:pPr>
      <w:r>
        <w:rPr>
          <w:rFonts w:hint="eastAsia" w:ascii="宋体" w:hAnsi="宋体"/>
          <w:color w:val="auto"/>
          <w:sz w:val="24"/>
          <w:highlight w:val="none"/>
        </w:rPr>
        <w:t>29．接受和拒绝任何或所有磋商的权力</w:t>
      </w:r>
    </w:p>
    <w:p w14:paraId="2790994D">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29.1为维护国家利益，买方在授予合同之前仍有选择或拒绝任何全部磋商的权力，并对所采取的行为不作任何解释。</w:t>
      </w:r>
    </w:p>
    <w:p w14:paraId="3C39C032">
      <w:pPr>
        <w:spacing w:line="400" w:lineRule="atLeast"/>
        <w:rPr>
          <w:rFonts w:ascii="宋体" w:hAnsi="宋体"/>
          <w:color w:val="auto"/>
          <w:sz w:val="24"/>
          <w:highlight w:val="none"/>
        </w:rPr>
      </w:pPr>
      <w:r>
        <w:rPr>
          <w:rFonts w:hint="eastAsia" w:ascii="宋体" w:hAnsi="宋体"/>
          <w:color w:val="auto"/>
          <w:sz w:val="24"/>
          <w:highlight w:val="none"/>
        </w:rPr>
        <w:t>30．成交通知书</w:t>
      </w:r>
    </w:p>
    <w:p w14:paraId="28890F74">
      <w:pPr>
        <w:spacing w:line="400" w:lineRule="atLeast"/>
        <w:ind w:left="552" w:hanging="552" w:hangingChars="230"/>
        <w:rPr>
          <w:rFonts w:ascii="宋体" w:hAnsi="宋体"/>
          <w:color w:val="auto"/>
          <w:sz w:val="24"/>
          <w:highlight w:val="none"/>
        </w:rPr>
      </w:pPr>
      <w:r>
        <w:rPr>
          <w:rFonts w:hint="eastAsia" w:ascii="宋体" w:hAnsi="宋体"/>
          <w:color w:val="auto"/>
          <w:sz w:val="24"/>
          <w:highlight w:val="none"/>
        </w:rPr>
        <w:t>30.1 成交公告发布的同时，采购代理机构将以书面形式发出《成交通知书》，但发出时间不超过磋商有效期，《成交通知书》一经发出即发生法律效力。</w:t>
      </w:r>
    </w:p>
    <w:p w14:paraId="103FFCF2">
      <w:pPr>
        <w:spacing w:line="400" w:lineRule="atLeast"/>
        <w:rPr>
          <w:rFonts w:ascii="宋体" w:hAnsi="宋体"/>
          <w:color w:val="auto"/>
          <w:sz w:val="24"/>
          <w:highlight w:val="none"/>
        </w:rPr>
      </w:pPr>
      <w:r>
        <w:rPr>
          <w:rFonts w:hint="eastAsia" w:ascii="宋体" w:hAnsi="宋体"/>
          <w:color w:val="auto"/>
          <w:sz w:val="24"/>
          <w:highlight w:val="none"/>
        </w:rPr>
        <w:t>30.2 《成交通知书》将作为签订合同的依据。</w:t>
      </w:r>
    </w:p>
    <w:p w14:paraId="0DAB85EE">
      <w:pPr>
        <w:spacing w:line="400" w:lineRule="atLeast"/>
        <w:ind w:left="600" w:hanging="600" w:hangingChars="250"/>
        <w:rPr>
          <w:rFonts w:ascii="宋体" w:hAnsi="宋体"/>
          <w:color w:val="auto"/>
          <w:sz w:val="24"/>
          <w:highlight w:val="none"/>
        </w:rPr>
      </w:pPr>
      <w:r>
        <w:rPr>
          <w:rFonts w:hint="eastAsia" w:ascii="宋体" w:hAnsi="宋体"/>
          <w:color w:val="auto"/>
          <w:sz w:val="24"/>
          <w:highlight w:val="none"/>
        </w:rPr>
        <w:t>30.3 采购代理机构将在成交方按规定签订合同并提交履约保证金（如适用）后退还其磋商保证金。</w:t>
      </w:r>
    </w:p>
    <w:p w14:paraId="6605906C">
      <w:pPr>
        <w:spacing w:line="400" w:lineRule="atLeast"/>
        <w:rPr>
          <w:rFonts w:ascii="宋体" w:hAnsi="宋体"/>
          <w:color w:val="auto"/>
          <w:sz w:val="24"/>
          <w:highlight w:val="none"/>
        </w:rPr>
      </w:pPr>
      <w:r>
        <w:rPr>
          <w:rFonts w:hint="eastAsia" w:ascii="宋体" w:hAnsi="宋体"/>
          <w:color w:val="auto"/>
          <w:sz w:val="24"/>
          <w:highlight w:val="none"/>
        </w:rPr>
        <w:t>31．签订合同</w:t>
      </w:r>
    </w:p>
    <w:p w14:paraId="7DCCF9C5">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31.1 供应商收到《成交通知书》后，三十天内按规定的地点与买方签订合同。买方和成交方不得再订立背离合同实质性内容的其他协议。</w:t>
      </w:r>
    </w:p>
    <w:p w14:paraId="377D229A">
      <w:pPr>
        <w:spacing w:line="400" w:lineRule="atLeast"/>
        <w:rPr>
          <w:rFonts w:ascii="宋体" w:hAnsi="宋体"/>
          <w:color w:val="auto"/>
          <w:sz w:val="24"/>
          <w:highlight w:val="none"/>
        </w:rPr>
      </w:pPr>
      <w:r>
        <w:rPr>
          <w:rFonts w:hint="eastAsia" w:ascii="宋体" w:hAnsi="宋体"/>
          <w:color w:val="auto"/>
          <w:sz w:val="24"/>
          <w:highlight w:val="none"/>
        </w:rPr>
        <w:t>31.2如成交方拒签合同，则按违约处理。</w:t>
      </w:r>
    </w:p>
    <w:p w14:paraId="441F896A">
      <w:pPr>
        <w:spacing w:line="400" w:lineRule="atLeast"/>
        <w:rPr>
          <w:rFonts w:ascii="宋体" w:hAnsi="宋体"/>
          <w:color w:val="auto"/>
          <w:sz w:val="24"/>
          <w:highlight w:val="none"/>
        </w:rPr>
      </w:pPr>
      <w:r>
        <w:rPr>
          <w:rFonts w:hint="eastAsia" w:ascii="宋体" w:hAnsi="宋体"/>
          <w:color w:val="auto"/>
          <w:sz w:val="24"/>
          <w:highlight w:val="none"/>
        </w:rPr>
        <w:t>31.3磋商文件、成交方的磋商响应文件及其澄清文件等，均为签订经济合同的依据。</w:t>
      </w:r>
    </w:p>
    <w:p w14:paraId="4869DD99">
      <w:pPr>
        <w:spacing w:line="400" w:lineRule="atLeast"/>
        <w:rPr>
          <w:rFonts w:ascii="宋体" w:hAnsi="宋体"/>
          <w:color w:val="auto"/>
          <w:sz w:val="24"/>
          <w:highlight w:val="none"/>
        </w:rPr>
      </w:pPr>
      <w:r>
        <w:rPr>
          <w:rFonts w:hint="eastAsia" w:ascii="宋体" w:hAnsi="宋体"/>
          <w:color w:val="auto"/>
          <w:sz w:val="24"/>
          <w:highlight w:val="none"/>
        </w:rPr>
        <w:t>32．履约保证金（如适用）</w:t>
      </w:r>
    </w:p>
    <w:p w14:paraId="2EEFBBE0">
      <w:pPr>
        <w:spacing w:line="400" w:lineRule="atLeast"/>
        <w:ind w:left="720" w:hanging="720"/>
        <w:rPr>
          <w:rFonts w:ascii="宋体" w:hAnsi="宋体"/>
          <w:color w:val="auto"/>
          <w:sz w:val="24"/>
          <w:highlight w:val="none"/>
        </w:rPr>
      </w:pPr>
      <w:r>
        <w:rPr>
          <w:rFonts w:hint="eastAsia" w:ascii="宋体" w:hAnsi="宋体"/>
          <w:color w:val="auto"/>
          <w:sz w:val="24"/>
          <w:highlight w:val="none"/>
        </w:rPr>
        <w:t>32.1成交方应按合同规定的方式、时间和金额向买方提交履约保证金。</w:t>
      </w:r>
    </w:p>
    <w:p w14:paraId="7B4701DE">
      <w:pPr>
        <w:spacing w:line="400" w:lineRule="atLeast"/>
        <w:rPr>
          <w:rFonts w:ascii="宋体" w:hAnsi="宋体"/>
          <w:color w:val="auto"/>
          <w:sz w:val="24"/>
          <w:highlight w:val="none"/>
        </w:rPr>
      </w:pPr>
      <w:r>
        <w:rPr>
          <w:rFonts w:hint="eastAsia" w:ascii="宋体" w:hAnsi="宋体"/>
          <w:color w:val="auto"/>
          <w:sz w:val="24"/>
          <w:highlight w:val="none"/>
        </w:rPr>
        <w:t>33．采购代理服务费</w:t>
      </w:r>
    </w:p>
    <w:p w14:paraId="178E159F">
      <w:pPr>
        <w:pStyle w:val="41"/>
        <w:spacing w:line="400" w:lineRule="atLeast"/>
        <w:rPr>
          <w:rFonts w:hAnsi="宋体"/>
          <w:color w:val="auto"/>
          <w:sz w:val="24"/>
          <w:highlight w:val="none"/>
        </w:rPr>
      </w:pPr>
      <w:r>
        <w:rPr>
          <w:rFonts w:hint="eastAsia" w:hAnsi="宋体"/>
          <w:color w:val="auto"/>
          <w:sz w:val="24"/>
          <w:highlight w:val="none"/>
        </w:rPr>
        <w:t>33.1成交方须向采购代理机构按如下标准和期限交纳采购代理服务费：</w:t>
      </w:r>
    </w:p>
    <w:p w14:paraId="7F1DE8CA">
      <w:pPr>
        <w:pStyle w:val="41"/>
        <w:spacing w:line="400" w:lineRule="atLeast"/>
        <w:ind w:left="720" w:hanging="720" w:hangingChars="300"/>
        <w:rPr>
          <w:rFonts w:hAnsi="宋体"/>
          <w:bCs/>
          <w:color w:val="auto"/>
          <w:sz w:val="24"/>
          <w:highlight w:val="none"/>
        </w:rPr>
      </w:pPr>
      <w:r>
        <w:rPr>
          <w:rFonts w:hint="eastAsia" w:hAnsi="宋体"/>
          <w:bCs/>
          <w:color w:val="auto"/>
          <w:sz w:val="24"/>
          <w:highlight w:val="none"/>
        </w:rPr>
        <w:t>33.1.1</w:t>
      </w:r>
      <w:r>
        <w:rPr>
          <w:rFonts w:hint="eastAsia" w:hAnsi="宋体"/>
          <w:color w:val="auto"/>
          <w:sz w:val="24"/>
          <w:szCs w:val="24"/>
          <w:highlight w:val="none"/>
        </w:rPr>
        <w:t>成交方须向新疆招标有限公司支付</w:t>
      </w:r>
      <w:r>
        <w:rPr>
          <w:rFonts w:hint="eastAsia" w:hAnsi="宋体"/>
          <w:color w:val="auto"/>
          <w:sz w:val="24"/>
          <w:highlight w:val="none"/>
        </w:rPr>
        <w:t>采购代理服务费。</w:t>
      </w:r>
    </w:p>
    <w:p w14:paraId="214E59F4">
      <w:pPr>
        <w:pStyle w:val="41"/>
        <w:spacing w:line="400" w:lineRule="atLeast"/>
        <w:ind w:left="720" w:hanging="720" w:hangingChars="300"/>
        <w:rPr>
          <w:rFonts w:hAnsi="宋体"/>
          <w:bCs/>
          <w:color w:val="auto"/>
          <w:sz w:val="24"/>
          <w:highlight w:val="none"/>
        </w:rPr>
      </w:pPr>
      <w:r>
        <w:rPr>
          <w:rFonts w:hint="eastAsia" w:hAnsi="宋体"/>
          <w:bCs/>
          <w:color w:val="auto"/>
          <w:sz w:val="24"/>
          <w:highlight w:val="none"/>
        </w:rPr>
        <w:t>33.1.2 在宣布成交后一周内，成交方须按第33.1.1条规定的标准以银行汇票、转账支票或电汇的方式一次性向采购代理机构缴纳采购代理服务费。</w:t>
      </w:r>
    </w:p>
    <w:p w14:paraId="55683019">
      <w:pPr>
        <w:rPr>
          <w:rFonts w:ascii="宋体" w:hAnsi="宋体"/>
          <w:bCs/>
          <w:color w:val="auto"/>
          <w:sz w:val="24"/>
          <w:highlight w:val="none"/>
        </w:rPr>
      </w:pPr>
      <w:r>
        <w:rPr>
          <w:rFonts w:hint="eastAsia" w:ascii="宋体" w:hAnsi="宋体"/>
          <w:bCs/>
          <w:color w:val="auto"/>
          <w:sz w:val="24"/>
          <w:highlight w:val="none"/>
        </w:rPr>
        <w:t>34.</w:t>
      </w:r>
      <w:r>
        <w:rPr>
          <w:rFonts w:hint="eastAsia" w:ascii="宋体" w:hAnsi="宋体"/>
          <w:color w:val="auto"/>
          <w:sz w:val="24"/>
          <w:highlight w:val="none"/>
        </w:rPr>
        <w:t>1供应商在成交后需要融资时可以申请政府采购合同融资，具体内容详见《新疆维吾尔自治区政府采购合同融资工作方案》新财购【2022】17号。</w:t>
      </w:r>
    </w:p>
    <w:p w14:paraId="14383465">
      <w:pPr>
        <w:rPr>
          <w:rFonts w:ascii="宋体" w:hAnsi="宋体"/>
          <w:color w:val="auto"/>
          <w:sz w:val="24"/>
          <w:highlight w:val="none"/>
        </w:rPr>
      </w:pPr>
      <w:r>
        <w:rPr>
          <w:rFonts w:hint="eastAsia" w:ascii="宋体" w:hAnsi="宋体"/>
          <w:color w:val="auto"/>
          <w:sz w:val="24"/>
          <w:highlight w:val="none"/>
        </w:rPr>
        <w:t>34.2规定享受扶持政策获得政府采购合同的，小微企业不得将合同分包给大中型企业，中型企业不得将合同分包给大型企业。</w:t>
      </w:r>
    </w:p>
    <w:p w14:paraId="4EC06D2E">
      <w:pPr>
        <w:pStyle w:val="41"/>
        <w:spacing w:line="400" w:lineRule="atLeast"/>
        <w:ind w:left="720" w:hanging="720" w:hangingChars="300"/>
        <w:rPr>
          <w:rFonts w:hAnsi="宋体"/>
          <w:bCs/>
          <w:color w:val="auto"/>
          <w:sz w:val="24"/>
          <w:highlight w:val="none"/>
        </w:rPr>
      </w:pPr>
    </w:p>
    <w:p w14:paraId="5F58C22C">
      <w:pPr>
        <w:pStyle w:val="14"/>
        <w:spacing w:before="100" w:beforeAutospacing="1" w:after="100" w:afterAutospacing="1" w:line="400" w:lineRule="atLeast"/>
        <w:jc w:val="center"/>
        <w:rPr>
          <w:rFonts w:ascii="宋体" w:hAnsi="宋体" w:eastAsia="宋体"/>
          <w:color w:val="auto"/>
          <w:sz w:val="28"/>
          <w:szCs w:val="28"/>
          <w:highlight w:val="none"/>
        </w:rPr>
      </w:pPr>
      <w:bookmarkStart w:id="29" w:name="_Toc471489759"/>
      <w:bookmarkStart w:id="30" w:name="_Toc25031"/>
      <w:r>
        <w:rPr>
          <w:rFonts w:hint="eastAsia" w:ascii="宋体" w:hAnsi="宋体" w:eastAsia="宋体"/>
          <w:color w:val="auto"/>
          <w:sz w:val="28"/>
          <w:szCs w:val="28"/>
          <w:highlight w:val="none"/>
        </w:rPr>
        <w:t>G  磋商失败条件</w:t>
      </w:r>
      <w:bookmarkEnd w:id="29"/>
      <w:bookmarkEnd w:id="30"/>
    </w:p>
    <w:p w14:paraId="4BCAAD1F">
      <w:pPr>
        <w:spacing w:line="400" w:lineRule="atLeast"/>
        <w:ind w:left="542" w:hanging="542" w:hangingChars="225"/>
        <w:rPr>
          <w:rFonts w:ascii="宋体" w:hAnsi="宋体"/>
          <w:b/>
          <w:color w:val="auto"/>
          <w:sz w:val="24"/>
          <w:highlight w:val="none"/>
        </w:rPr>
      </w:pPr>
      <w:r>
        <w:rPr>
          <w:rFonts w:hint="eastAsia" w:ascii="宋体" w:hAnsi="宋体"/>
          <w:b/>
          <w:color w:val="auto"/>
          <w:sz w:val="24"/>
          <w:highlight w:val="none"/>
        </w:rPr>
        <w:t>35.1无效磋商条款</w:t>
      </w:r>
    </w:p>
    <w:p w14:paraId="35204F10">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35.1.1供应商在报价时采用选择性报价的。</w:t>
      </w:r>
    </w:p>
    <w:p w14:paraId="219A5415">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35.1.2供应商不具备磋商文件中规定资格要求的。</w:t>
      </w:r>
    </w:p>
    <w:p w14:paraId="16273314">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35.1.3供应商的报价超过了采购预算或最高限价的。</w:t>
      </w:r>
    </w:p>
    <w:p w14:paraId="639DD47C">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35.1.4未通过符合性检查的。</w:t>
      </w:r>
    </w:p>
    <w:p w14:paraId="4887E499">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35.1.5不符合磋商文件中规定的其他实质性要求和条件的（本磋商文件中标*条款为实质性要求和条件）。</w:t>
      </w:r>
    </w:p>
    <w:p w14:paraId="3581556A">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35.1.6供应商被 “信用中国”网站（www.creditchina.gov.cn）、“中国政府采购网（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olor w:val="auto"/>
          <w:sz w:val="24"/>
          <w:highlight w:val="none"/>
        </w:rPr>
        <w:t>http://www.ccgp.gov.cn/</w:t>
      </w:r>
      <w:r>
        <w:rPr>
          <w:rFonts w:hint="eastAsia" w:ascii="宋体" w:hAnsi="宋体"/>
          <w:color w:val="auto"/>
          <w:sz w:val="24"/>
          <w:highlight w:val="none"/>
        </w:rPr>
        <w:fldChar w:fldCharType="end"/>
      </w:r>
      <w:r>
        <w:rPr>
          <w:rFonts w:hint="eastAsia" w:ascii="宋体" w:hAnsi="宋体"/>
          <w:color w:val="auto"/>
          <w:sz w:val="24"/>
          <w:highlight w:val="none"/>
        </w:rPr>
        <w:t>）”列入失信被执行人或重大税收违法案件当事人名单或政府采购严重失信行为记录名单。</w:t>
      </w:r>
    </w:p>
    <w:p w14:paraId="51B93CCA">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35.1.7 磋商响应文件含有采购人不能接受的附加条件的。</w:t>
      </w:r>
    </w:p>
    <w:p w14:paraId="479B5E06">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35.1.8 磋商小组认为供应商的报价明显低于其他通过符合性审查供应商的报价，有可能影响产品质量或者不能诚信履约的，将要求其在合理的时间内作出说明，必要时提交相关证明材料；供应商不能证明其报价合理性的，磋商小组应当将其作为无效磋商处理。</w:t>
      </w:r>
    </w:p>
    <w:p w14:paraId="43F53A6F">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35.1.9本项目采购产品被财政部、国家发改委、生态环境部等列入“节能产品品目清单”、“环境标志产品品目清单”强制采购范围，而供应商所磋商产品不在强制采购范围内的。</w:t>
      </w:r>
    </w:p>
    <w:p w14:paraId="2AFE7651">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35.1.10其他法律、法规及本磋商文件规定的属无效磋商的情形。</w:t>
      </w:r>
    </w:p>
    <w:p w14:paraId="0FE13265">
      <w:pPr>
        <w:spacing w:line="400" w:lineRule="atLeast"/>
        <w:ind w:left="542" w:hanging="542" w:hangingChars="225"/>
        <w:rPr>
          <w:rFonts w:ascii="宋体" w:hAnsi="宋体"/>
          <w:b/>
          <w:color w:val="auto"/>
          <w:sz w:val="24"/>
          <w:highlight w:val="none"/>
        </w:rPr>
      </w:pPr>
      <w:r>
        <w:rPr>
          <w:rFonts w:hint="eastAsia" w:ascii="宋体" w:hAnsi="宋体"/>
          <w:b/>
          <w:color w:val="auto"/>
          <w:sz w:val="24"/>
          <w:highlight w:val="none"/>
        </w:rPr>
        <w:t>35.2响应无效条款：</w:t>
      </w:r>
    </w:p>
    <w:p w14:paraId="3E2FEDDF">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35.2.1符合专业条件的供应商或者对磋商文件作实质响应的供应商不足三家的，按政府采购相关规定执行。</w:t>
      </w:r>
    </w:p>
    <w:p w14:paraId="6CDAAA7E">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35.2.2出现影响采购公正的违法、违规行为的。</w:t>
      </w:r>
    </w:p>
    <w:p w14:paraId="1DE2722B">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35.2.3因重大变故，采购任务取消的。</w:t>
      </w:r>
    </w:p>
    <w:p w14:paraId="26B99328">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35.2.4磋商小组认定磋商文件存在歧义、重大缺陷导致评审工作无法进行。</w:t>
      </w:r>
    </w:p>
    <w:p w14:paraId="79816E9F">
      <w:pPr>
        <w:spacing w:line="400" w:lineRule="atLeast"/>
        <w:ind w:left="540" w:hanging="540" w:hangingChars="225"/>
        <w:rPr>
          <w:rFonts w:ascii="宋体" w:hAnsi="宋体"/>
          <w:color w:val="auto"/>
          <w:sz w:val="24"/>
          <w:highlight w:val="none"/>
        </w:rPr>
      </w:pPr>
      <w:r>
        <w:rPr>
          <w:rFonts w:hint="eastAsia" w:ascii="宋体" w:hAnsi="宋体"/>
          <w:color w:val="auto"/>
          <w:sz w:val="24"/>
          <w:highlight w:val="none"/>
        </w:rPr>
        <w:t>35.2.5 磋商响应文件递交截止时间后参加磋商的供应商不足三家的处理。</w:t>
      </w:r>
    </w:p>
    <w:p w14:paraId="1219800C">
      <w:pPr>
        <w:pStyle w:val="41"/>
        <w:tabs>
          <w:tab w:val="left" w:pos="720"/>
          <w:tab w:val="left" w:pos="900"/>
          <w:tab w:val="left" w:pos="1260"/>
        </w:tabs>
        <w:spacing w:line="400" w:lineRule="atLeast"/>
        <w:ind w:left="720" w:hanging="720" w:hangingChars="300"/>
        <w:rPr>
          <w:rFonts w:hAnsi="宋体"/>
          <w:bCs/>
          <w:color w:val="auto"/>
          <w:sz w:val="24"/>
          <w:highlight w:val="none"/>
        </w:rPr>
      </w:pPr>
    </w:p>
    <w:p w14:paraId="2DF9241E">
      <w:pPr>
        <w:pStyle w:val="41"/>
        <w:tabs>
          <w:tab w:val="left" w:pos="720"/>
          <w:tab w:val="left" w:pos="900"/>
          <w:tab w:val="left" w:pos="1260"/>
        </w:tabs>
        <w:spacing w:line="400" w:lineRule="atLeast"/>
        <w:ind w:left="720" w:hanging="720" w:hangingChars="300"/>
        <w:rPr>
          <w:rFonts w:hAnsi="宋体"/>
          <w:bCs/>
          <w:color w:val="auto"/>
          <w:sz w:val="24"/>
          <w:highlight w:val="none"/>
        </w:rPr>
      </w:pPr>
    </w:p>
    <w:p w14:paraId="074051E5">
      <w:pPr>
        <w:pStyle w:val="13"/>
        <w:numPr>
          <w:ilvl w:val="0"/>
          <w:numId w:val="0"/>
        </w:numPr>
        <w:spacing w:line="400" w:lineRule="atLeast"/>
        <w:jc w:val="center"/>
        <w:rPr>
          <w:rFonts w:ascii="宋体" w:hAnsi="宋体"/>
          <w:color w:val="auto"/>
          <w:sz w:val="32"/>
          <w:szCs w:val="32"/>
          <w:highlight w:val="none"/>
        </w:rPr>
      </w:pPr>
      <w:r>
        <w:rPr>
          <w:rFonts w:hint="eastAsia" w:ascii="宋体" w:hAnsi="宋体"/>
          <w:color w:val="auto"/>
          <w:sz w:val="32"/>
          <w:szCs w:val="32"/>
          <w:highlight w:val="none"/>
        </w:rPr>
        <w:br w:type="page"/>
      </w:r>
      <w:bookmarkStart w:id="31" w:name="_Toc298240411"/>
      <w:bookmarkStart w:id="32" w:name="_Toc349637926"/>
      <w:bookmarkStart w:id="33" w:name="_Toc349573127"/>
      <w:bookmarkStart w:id="34" w:name="_Toc7588"/>
      <w:r>
        <w:rPr>
          <w:rFonts w:hint="eastAsia" w:ascii="宋体" w:hAnsi="宋体"/>
          <w:color w:val="auto"/>
          <w:sz w:val="32"/>
          <w:szCs w:val="32"/>
          <w:highlight w:val="none"/>
        </w:rPr>
        <w:t xml:space="preserve">第三部分  </w:t>
      </w:r>
      <w:bookmarkEnd w:id="31"/>
      <w:bookmarkEnd w:id="32"/>
      <w:bookmarkEnd w:id="33"/>
      <w:r>
        <w:rPr>
          <w:rFonts w:hint="eastAsia" w:ascii="宋体" w:hAnsi="宋体"/>
          <w:color w:val="auto"/>
          <w:sz w:val="32"/>
          <w:szCs w:val="32"/>
          <w:highlight w:val="none"/>
        </w:rPr>
        <w:t>服务需求</w:t>
      </w:r>
      <w:bookmarkEnd w:id="34"/>
    </w:p>
    <w:p w14:paraId="4AE84130">
      <w:pPr>
        <w:rPr>
          <w:color w:val="auto"/>
          <w:highlight w:val="none"/>
        </w:rPr>
      </w:pPr>
    </w:p>
    <w:p w14:paraId="3C6CB771">
      <w:pPr>
        <w:pStyle w:val="41"/>
        <w:rPr>
          <w:rFonts w:hAnsi="宋体"/>
          <w:color w:val="auto"/>
          <w:sz w:val="24"/>
          <w:szCs w:val="24"/>
          <w:highlight w:val="none"/>
        </w:rPr>
      </w:pPr>
    </w:p>
    <w:p w14:paraId="24AEC630">
      <w:pPr>
        <w:pStyle w:val="41"/>
        <w:rPr>
          <w:rFonts w:hAnsi="宋体"/>
          <w:color w:val="auto"/>
          <w:sz w:val="24"/>
          <w:szCs w:val="24"/>
          <w:highlight w:val="none"/>
        </w:rPr>
      </w:pPr>
      <w:r>
        <w:rPr>
          <w:rFonts w:hint="eastAsia" w:hAnsi="宋体"/>
          <w:color w:val="auto"/>
          <w:sz w:val="24"/>
          <w:szCs w:val="24"/>
          <w:highlight w:val="none"/>
        </w:rPr>
        <w:t>一、商用密码应用安全性评估服务</w:t>
      </w:r>
    </w:p>
    <w:tbl>
      <w:tblPr>
        <w:tblStyle w:val="140"/>
        <w:tblW w:w="90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02"/>
        <w:gridCol w:w="2821"/>
      </w:tblGrid>
      <w:tr w14:paraId="106D5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6202" w:type="dxa"/>
          </w:tcPr>
          <w:p w14:paraId="0706A22A">
            <w:pPr>
              <w:widowControl/>
              <w:kinsoku w:val="0"/>
              <w:autoSpaceDE w:val="0"/>
              <w:autoSpaceDN w:val="0"/>
              <w:snapToGrid w:val="0"/>
              <w:spacing w:before="164" w:line="276" w:lineRule="auto"/>
              <w:ind w:left="2385"/>
              <w:jc w:val="left"/>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业</w:t>
            </w:r>
            <w:r>
              <w:rPr>
                <w:rFonts w:hint="eastAsia" w:ascii="宋体" w:hAnsi="宋体"/>
                <w:color w:val="auto"/>
                <w:spacing w:val="9"/>
                <w:kern w:val="0"/>
                <w:sz w:val="24"/>
                <w:szCs w:val="24"/>
                <w:highlight w:val="none"/>
              </w:rPr>
              <w:t>务系统名称</w:t>
            </w:r>
          </w:p>
        </w:tc>
        <w:tc>
          <w:tcPr>
            <w:tcW w:w="2821" w:type="dxa"/>
          </w:tcPr>
          <w:p w14:paraId="42ABDE08">
            <w:pPr>
              <w:widowControl/>
              <w:kinsoku w:val="0"/>
              <w:autoSpaceDE w:val="0"/>
              <w:autoSpaceDN w:val="0"/>
              <w:snapToGrid w:val="0"/>
              <w:spacing w:before="164" w:line="276" w:lineRule="auto"/>
              <w:ind w:left="696"/>
              <w:jc w:val="left"/>
              <w:rPr>
                <w:rFonts w:ascii="宋体" w:hAnsi="宋体"/>
                <w:color w:val="auto"/>
                <w:spacing w:val="9"/>
                <w:kern w:val="0"/>
                <w:sz w:val="24"/>
                <w:szCs w:val="24"/>
                <w:highlight w:val="none"/>
              </w:rPr>
            </w:pPr>
            <w:r>
              <w:rPr>
                <w:rFonts w:hint="eastAsia" w:ascii="宋体" w:hAnsi="宋体"/>
                <w:color w:val="auto"/>
                <w:spacing w:val="9"/>
                <w:kern w:val="0"/>
                <w:sz w:val="24"/>
                <w:szCs w:val="24"/>
                <w:highlight w:val="none"/>
              </w:rPr>
              <w:t>等保定级情</w:t>
            </w:r>
            <w:r>
              <w:rPr>
                <w:rFonts w:hint="eastAsia" w:ascii="宋体" w:hAnsi="宋体"/>
                <w:color w:val="auto"/>
                <w:spacing w:val="8"/>
                <w:kern w:val="0"/>
                <w:sz w:val="24"/>
                <w:szCs w:val="24"/>
                <w:highlight w:val="none"/>
              </w:rPr>
              <w:t>况</w:t>
            </w:r>
          </w:p>
        </w:tc>
      </w:tr>
      <w:tr w14:paraId="7A90E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6202" w:type="dxa"/>
          </w:tcPr>
          <w:p w14:paraId="555891F6">
            <w:pPr>
              <w:widowControl/>
              <w:kinsoku w:val="0"/>
              <w:autoSpaceDE w:val="0"/>
              <w:autoSpaceDN w:val="0"/>
              <w:snapToGrid w:val="0"/>
              <w:spacing w:before="161" w:line="276" w:lineRule="auto"/>
              <w:jc w:val="center"/>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审批管理系统</w:t>
            </w:r>
          </w:p>
        </w:tc>
        <w:tc>
          <w:tcPr>
            <w:tcW w:w="2821" w:type="dxa"/>
          </w:tcPr>
          <w:p w14:paraId="61913EE2">
            <w:pPr>
              <w:widowControl/>
              <w:kinsoku w:val="0"/>
              <w:autoSpaceDE w:val="0"/>
              <w:autoSpaceDN w:val="0"/>
              <w:snapToGrid w:val="0"/>
              <w:spacing w:before="175" w:line="276" w:lineRule="auto"/>
              <w:ind w:left="1206"/>
              <w:jc w:val="left"/>
              <w:rPr>
                <w:rFonts w:ascii="宋体" w:hAnsi="宋体"/>
                <w:color w:val="auto"/>
                <w:spacing w:val="5"/>
                <w:kern w:val="0"/>
                <w:sz w:val="24"/>
                <w:szCs w:val="24"/>
                <w:highlight w:val="none"/>
              </w:rPr>
            </w:pPr>
            <w:r>
              <w:rPr>
                <w:rFonts w:hint="eastAsia" w:ascii="宋体" w:hAnsi="宋体"/>
                <w:color w:val="auto"/>
                <w:spacing w:val="5"/>
                <w:kern w:val="0"/>
                <w:sz w:val="24"/>
                <w:szCs w:val="24"/>
                <w:highlight w:val="none"/>
              </w:rPr>
              <w:t>三</w:t>
            </w:r>
            <w:r>
              <w:rPr>
                <w:rFonts w:hint="eastAsia" w:ascii="宋体" w:hAnsi="宋体"/>
                <w:color w:val="auto"/>
                <w:spacing w:val="4"/>
                <w:kern w:val="0"/>
                <w:sz w:val="24"/>
                <w:szCs w:val="24"/>
                <w:highlight w:val="none"/>
              </w:rPr>
              <w:t>级</w:t>
            </w:r>
          </w:p>
        </w:tc>
      </w:tr>
    </w:tbl>
    <w:p w14:paraId="309A864B">
      <w:pPr>
        <w:pStyle w:val="41"/>
        <w:spacing w:line="400" w:lineRule="exact"/>
        <w:rPr>
          <w:rFonts w:hAnsi="宋体"/>
          <w:color w:val="auto"/>
          <w:sz w:val="24"/>
          <w:szCs w:val="24"/>
          <w:highlight w:val="none"/>
        </w:rPr>
      </w:pPr>
      <w:r>
        <w:rPr>
          <w:rFonts w:hint="eastAsia" w:hAnsi="宋体"/>
          <w:color w:val="auto"/>
          <w:sz w:val="24"/>
          <w:szCs w:val="24"/>
          <w:highlight w:val="none"/>
        </w:rPr>
        <w:t>二、服</w:t>
      </w:r>
      <w:r>
        <w:rPr>
          <w:rFonts w:hint="eastAsia" w:hAnsi="宋体"/>
          <w:color w:val="auto"/>
          <w:spacing w:val="-1"/>
          <w:sz w:val="24"/>
          <w:szCs w:val="24"/>
          <w:highlight w:val="none"/>
        </w:rPr>
        <w:t>务需求</w:t>
      </w:r>
    </w:p>
    <w:p w14:paraId="36A04A64">
      <w:pPr>
        <w:pStyle w:val="41"/>
        <w:spacing w:line="400" w:lineRule="exact"/>
        <w:ind w:firstLine="548" w:firstLineChars="200"/>
        <w:rPr>
          <w:rFonts w:hAnsi="宋体"/>
          <w:color w:val="auto"/>
          <w:spacing w:val="17"/>
          <w:sz w:val="24"/>
          <w:szCs w:val="24"/>
          <w:highlight w:val="none"/>
        </w:rPr>
      </w:pPr>
      <w:r>
        <w:rPr>
          <w:rFonts w:hint="eastAsia" w:hAnsi="宋体"/>
          <w:color w:val="auto"/>
          <w:spacing w:val="17"/>
          <w:sz w:val="24"/>
          <w:szCs w:val="24"/>
          <w:highlight w:val="none"/>
        </w:rPr>
        <w:t>商</w:t>
      </w:r>
      <w:r>
        <w:rPr>
          <w:rFonts w:hint="eastAsia" w:hAnsi="宋体"/>
          <w:color w:val="auto"/>
          <w:sz w:val="24"/>
          <w:szCs w:val="24"/>
          <w:highlight w:val="none"/>
        </w:rPr>
        <w:t>用密码应用安全性评估服务</w:t>
      </w:r>
    </w:p>
    <w:p w14:paraId="366789D8">
      <w:pPr>
        <w:pStyle w:val="41"/>
        <w:spacing w:line="400" w:lineRule="exact"/>
        <w:rPr>
          <w:rFonts w:hAnsi="宋体"/>
          <w:color w:val="auto"/>
          <w:sz w:val="24"/>
          <w:szCs w:val="24"/>
          <w:highlight w:val="none"/>
        </w:rPr>
      </w:pPr>
      <w:r>
        <w:rPr>
          <w:rFonts w:hint="eastAsia" w:hAnsi="宋体"/>
          <w:color w:val="auto"/>
          <w:sz w:val="24"/>
          <w:szCs w:val="24"/>
          <w:highlight w:val="none"/>
        </w:rPr>
        <w:t>三、信息系统密码应用总体测评要求</w:t>
      </w:r>
    </w:p>
    <w:p w14:paraId="4E276247">
      <w:pPr>
        <w:pStyle w:val="41"/>
        <w:spacing w:line="400" w:lineRule="exact"/>
        <w:ind w:firstLine="512" w:firstLineChars="200"/>
        <w:rPr>
          <w:rFonts w:hAnsi="宋体"/>
          <w:color w:val="auto"/>
          <w:spacing w:val="8"/>
          <w:sz w:val="24"/>
          <w:szCs w:val="24"/>
          <w:highlight w:val="none"/>
        </w:rPr>
      </w:pPr>
      <w:r>
        <w:rPr>
          <w:rFonts w:hint="eastAsia" w:hAnsi="宋体"/>
          <w:color w:val="auto"/>
          <w:spacing w:val="8"/>
          <w:sz w:val="24"/>
          <w:szCs w:val="24"/>
          <w:highlight w:val="none"/>
        </w:rPr>
        <w:t>根据信息系统的</w:t>
      </w:r>
      <w:r>
        <w:rPr>
          <w:rFonts w:hint="eastAsia" w:hAnsi="宋体"/>
          <w:color w:val="auto"/>
          <w:spacing w:val="7"/>
          <w:sz w:val="24"/>
          <w:szCs w:val="24"/>
          <w:highlight w:val="none"/>
        </w:rPr>
        <w:t>安</w:t>
      </w:r>
      <w:r>
        <w:rPr>
          <w:rFonts w:hint="eastAsia" w:hAnsi="宋体"/>
          <w:color w:val="auto"/>
          <w:spacing w:val="4"/>
          <w:sz w:val="24"/>
          <w:szCs w:val="24"/>
          <w:highlight w:val="none"/>
        </w:rPr>
        <w:t>全保护等级，依据《</w:t>
      </w:r>
      <w:r>
        <w:rPr>
          <w:rFonts w:hint="eastAsia" w:hAnsi="宋体"/>
          <w:color w:val="auto"/>
          <w:sz w:val="24"/>
          <w:szCs w:val="24"/>
          <w:highlight w:val="none"/>
        </w:rPr>
        <w:t>GB</w:t>
      </w:r>
      <w:r>
        <w:rPr>
          <w:rFonts w:hint="eastAsia" w:hAnsi="宋体"/>
          <w:color w:val="auto"/>
          <w:spacing w:val="4"/>
          <w:sz w:val="24"/>
          <w:szCs w:val="24"/>
          <w:highlight w:val="none"/>
        </w:rPr>
        <w:t>/</w:t>
      </w:r>
      <w:r>
        <w:rPr>
          <w:rFonts w:hint="eastAsia" w:hAnsi="宋体"/>
          <w:color w:val="auto"/>
          <w:sz w:val="24"/>
          <w:szCs w:val="24"/>
          <w:highlight w:val="none"/>
        </w:rPr>
        <w:t>T</w:t>
      </w:r>
      <w:r>
        <w:rPr>
          <w:rFonts w:hint="eastAsia" w:hAnsi="宋体"/>
          <w:color w:val="auto"/>
          <w:spacing w:val="4"/>
          <w:sz w:val="24"/>
          <w:szCs w:val="24"/>
          <w:highlight w:val="none"/>
        </w:rPr>
        <w:t xml:space="preserve"> 39786-2021 信息安全技术 信息系</w:t>
      </w:r>
      <w:r>
        <w:rPr>
          <w:rFonts w:hint="eastAsia" w:hAnsi="宋体"/>
          <w:color w:val="auto"/>
          <w:sz w:val="24"/>
          <w:szCs w:val="24"/>
          <w:highlight w:val="none"/>
        </w:rPr>
        <w:t xml:space="preserve"> </w:t>
      </w:r>
      <w:r>
        <w:rPr>
          <w:rFonts w:hint="eastAsia" w:hAnsi="宋体"/>
          <w:color w:val="auto"/>
          <w:spacing w:val="20"/>
          <w:sz w:val="24"/>
          <w:szCs w:val="24"/>
          <w:highlight w:val="none"/>
        </w:rPr>
        <w:t>统</w:t>
      </w:r>
      <w:r>
        <w:rPr>
          <w:rFonts w:hint="eastAsia" w:hAnsi="宋体"/>
          <w:color w:val="auto"/>
          <w:spacing w:val="13"/>
          <w:sz w:val="24"/>
          <w:szCs w:val="24"/>
          <w:highlight w:val="none"/>
        </w:rPr>
        <w:t>密</w:t>
      </w:r>
      <w:r>
        <w:rPr>
          <w:rFonts w:hint="eastAsia" w:hAnsi="宋体"/>
          <w:color w:val="auto"/>
          <w:sz w:val="24"/>
          <w:szCs w:val="24"/>
          <w:highlight w:val="none"/>
        </w:rPr>
        <w:t>码应用基本要求》、《政务领域政务服务平台密码应用与安全性评估实施指南》、《政务领域政务云密码应用与安全性评估实施指南》的条款要求，逐一对信息系统密码应用进行检测，测评的</w:t>
      </w:r>
      <w:r>
        <w:rPr>
          <w:rFonts w:hint="eastAsia" w:hAnsi="宋体"/>
          <w:color w:val="auto"/>
          <w:spacing w:val="8"/>
          <w:sz w:val="24"/>
          <w:szCs w:val="24"/>
          <w:highlight w:val="none"/>
        </w:rPr>
        <w:t>内容包括但不限于以下内容：</w:t>
      </w:r>
    </w:p>
    <w:p w14:paraId="22F041FE">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1 安全技术测评：包括物理和环境安全、网络和通信安全、设备和计算安全、 应用和数据安全等四个方面的安全测评。</w:t>
      </w:r>
    </w:p>
    <w:p w14:paraId="3E36C6A3">
      <w:pPr>
        <w:pStyle w:val="41"/>
        <w:spacing w:line="400" w:lineRule="exact"/>
        <w:ind w:firstLine="480" w:firstLineChars="200"/>
        <w:rPr>
          <w:rFonts w:hAnsi="宋体"/>
          <w:color w:val="auto"/>
          <w:spacing w:val="22"/>
          <w:sz w:val="24"/>
          <w:szCs w:val="24"/>
          <w:highlight w:val="none"/>
        </w:rPr>
      </w:pPr>
      <w:r>
        <w:rPr>
          <w:rFonts w:hint="eastAsia" w:hAnsi="宋体"/>
          <w:color w:val="auto"/>
          <w:sz w:val="24"/>
          <w:szCs w:val="24"/>
          <w:highlight w:val="none"/>
        </w:rPr>
        <w:t>2 安全管理测评：包括密钥生存周期管理、安全管理要求(分为管理制度、人员管理、建设运行和应急处置四个子模块) 两个方面的安全测评。对1个三级信息系统开展密码应用安全评估服务，协助开展整改工作，最终出具合格报告</w:t>
      </w:r>
      <w:r>
        <w:rPr>
          <w:rFonts w:hint="eastAsia" w:hAnsi="宋体" w:cs="宋体"/>
          <w:color w:val="auto"/>
          <w:sz w:val="24"/>
          <w:szCs w:val="24"/>
          <w:highlight w:val="none"/>
        </w:rPr>
        <w:t>。</w:t>
      </w:r>
    </w:p>
    <w:p w14:paraId="50F06459">
      <w:pPr>
        <w:pStyle w:val="41"/>
        <w:spacing w:line="400" w:lineRule="exact"/>
        <w:ind w:firstLine="516" w:firstLineChars="200"/>
        <w:rPr>
          <w:rFonts w:hAnsi="宋体"/>
          <w:color w:val="auto"/>
          <w:spacing w:val="9"/>
          <w:sz w:val="24"/>
          <w:szCs w:val="24"/>
          <w:highlight w:val="none"/>
        </w:rPr>
      </w:pPr>
      <w:r>
        <w:rPr>
          <w:rFonts w:hint="eastAsia" w:hAnsi="宋体"/>
          <w:color w:val="auto"/>
          <w:spacing w:val="9"/>
          <w:sz w:val="24"/>
          <w:szCs w:val="24"/>
          <w:highlight w:val="none"/>
        </w:rPr>
        <w:t>商</w:t>
      </w:r>
      <w:r>
        <w:rPr>
          <w:rFonts w:hint="eastAsia" w:hAnsi="宋体"/>
          <w:color w:val="auto"/>
          <w:sz w:val="24"/>
          <w:szCs w:val="24"/>
          <w:highlight w:val="none"/>
        </w:rPr>
        <w:t>用密码应用安全性要求具体内容：</w:t>
      </w:r>
    </w:p>
    <w:p w14:paraId="6422A1C0">
      <w:pPr>
        <w:pStyle w:val="41"/>
        <w:spacing w:line="400" w:lineRule="exact"/>
        <w:ind w:firstLine="516" w:firstLineChars="200"/>
        <w:rPr>
          <w:rFonts w:hAnsi="宋体"/>
          <w:color w:val="auto"/>
          <w:spacing w:val="9"/>
          <w:sz w:val="24"/>
          <w:szCs w:val="24"/>
          <w:highlight w:val="none"/>
        </w:rPr>
      </w:pPr>
      <w:r>
        <w:rPr>
          <w:rFonts w:hint="eastAsia" w:hAnsi="宋体"/>
          <w:color w:val="auto"/>
          <w:spacing w:val="9"/>
          <w:sz w:val="24"/>
          <w:szCs w:val="24"/>
          <w:highlight w:val="none"/>
        </w:rPr>
        <w:t>物</w:t>
      </w:r>
      <w:r>
        <w:rPr>
          <w:rFonts w:hint="eastAsia" w:hAnsi="宋体"/>
          <w:color w:val="auto"/>
          <w:sz w:val="24"/>
          <w:szCs w:val="24"/>
          <w:highlight w:val="none"/>
        </w:rPr>
        <w:t>理和环境安全</w:t>
      </w:r>
    </w:p>
    <w:p w14:paraId="2920807A">
      <w:pPr>
        <w:widowControl/>
        <w:kinsoku w:val="0"/>
        <w:autoSpaceDE w:val="0"/>
        <w:autoSpaceDN w:val="0"/>
        <w:snapToGrid w:val="0"/>
        <w:spacing w:line="276" w:lineRule="auto"/>
        <w:jc w:val="left"/>
        <w:rPr>
          <w:rFonts w:ascii="宋体" w:hAnsi="宋体"/>
          <w:color w:val="auto"/>
          <w:kern w:val="0"/>
          <w:sz w:val="24"/>
          <w:szCs w:val="24"/>
          <w:highlight w:val="none"/>
        </w:rPr>
      </w:pPr>
    </w:p>
    <w:tbl>
      <w:tblPr>
        <w:tblStyle w:val="140"/>
        <w:tblW w:w="9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2202"/>
        <w:gridCol w:w="6428"/>
      </w:tblGrid>
      <w:tr w14:paraId="1DBDD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76" w:type="dxa"/>
            <w:shd w:val="clear" w:color="auto" w:fill="E7E6E6"/>
          </w:tcPr>
          <w:p w14:paraId="3A75863B">
            <w:pPr>
              <w:widowControl/>
              <w:kinsoku w:val="0"/>
              <w:autoSpaceDE w:val="0"/>
              <w:autoSpaceDN w:val="0"/>
              <w:snapToGrid w:val="0"/>
              <w:spacing w:before="40" w:line="276" w:lineRule="auto"/>
              <w:jc w:val="left"/>
              <w:rPr>
                <w:rFonts w:ascii="宋体" w:hAnsi="宋体"/>
                <w:color w:val="auto"/>
                <w:spacing w:val="3"/>
                <w:kern w:val="0"/>
                <w:sz w:val="24"/>
                <w:szCs w:val="24"/>
                <w:highlight w:val="none"/>
              </w:rPr>
            </w:pPr>
            <w:r>
              <w:rPr>
                <w:rFonts w:hint="eastAsia" w:ascii="宋体" w:hAnsi="宋体"/>
                <w:color w:val="auto"/>
                <w:spacing w:val="3"/>
                <w:kern w:val="0"/>
                <w:sz w:val="24"/>
                <w:szCs w:val="24"/>
                <w:highlight w:val="none"/>
              </w:rPr>
              <w:t>序号</w:t>
            </w:r>
          </w:p>
        </w:tc>
        <w:tc>
          <w:tcPr>
            <w:tcW w:w="2202" w:type="dxa"/>
            <w:shd w:val="clear" w:color="auto" w:fill="E7E6E6"/>
          </w:tcPr>
          <w:p w14:paraId="5C245581">
            <w:pPr>
              <w:widowControl/>
              <w:kinsoku w:val="0"/>
              <w:autoSpaceDE w:val="0"/>
              <w:autoSpaceDN w:val="0"/>
              <w:snapToGrid w:val="0"/>
              <w:spacing w:before="40" w:line="276" w:lineRule="auto"/>
              <w:jc w:val="left"/>
              <w:rPr>
                <w:rFonts w:ascii="宋体" w:hAnsi="宋体"/>
                <w:color w:val="auto"/>
                <w:spacing w:val="8"/>
                <w:kern w:val="0"/>
                <w:sz w:val="24"/>
                <w:szCs w:val="24"/>
                <w:highlight w:val="none"/>
              </w:rPr>
            </w:pPr>
            <w:r>
              <w:rPr>
                <w:rFonts w:hint="eastAsia" w:ascii="宋体" w:hAnsi="宋体"/>
                <w:color w:val="auto"/>
                <w:spacing w:val="8"/>
                <w:kern w:val="0"/>
                <w:sz w:val="24"/>
                <w:szCs w:val="24"/>
                <w:highlight w:val="none"/>
              </w:rPr>
              <w:t>工</w:t>
            </w:r>
            <w:r>
              <w:rPr>
                <w:rFonts w:hint="eastAsia" w:ascii="宋体" w:hAnsi="宋体"/>
                <w:color w:val="auto"/>
                <w:spacing w:val="6"/>
                <w:kern w:val="0"/>
                <w:sz w:val="24"/>
                <w:szCs w:val="24"/>
                <w:highlight w:val="none"/>
              </w:rPr>
              <w:t>作单元名称</w:t>
            </w:r>
          </w:p>
        </w:tc>
        <w:tc>
          <w:tcPr>
            <w:tcW w:w="6428" w:type="dxa"/>
            <w:shd w:val="clear" w:color="auto" w:fill="E7E6E6"/>
          </w:tcPr>
          <w:p w14:paraId="146F0C80">
            <w:pPr>
              <w:widowControl/>
              <w:kinsoku w:val="0"/>
              <w:autoSpaceDE w:val="0"/>
              <w:autoSpaceDN w:val="0"/>
              <w:snapToGrid w:val="0"/>
              <w:spacing w:before="40" w:line="276" w:lineRule="auto"/>
              <w:ind w:left="2593"/>
              <w:jc w:val="left"/>
              <w:rPr>
                <w:rFonts w:ascii="宋体" w:hAnsi="宋体"/>
                <w:color w:val="auto"/>
                <w:spacing w:val="10"/>
                <w:kern w:val="0"/>
                <w:sz w:val="24"/>
                <w:szCs w:val="24"/>
                <w:highlight w:val="none"/>
              </w:rPr>
            </w:pPr>
            <w:r>
              <w:rPr>
                <w:rFonts w:hint="eastAsia" w:ascii="宋体" w:hAnsi="宋体"/>
                <w:color w:val="auto"/>
                <w:spacing w:val="10"/>
                <w:kern w:val="0"/>
                <w:sz w:val="24"/>
                <w:szCs w:val="24"/>
                <w:highlight w:val="none"/>
              </w:rPr>
              <w:t>工</w:t>
            </w:r>
            <w:r>
              <w:rPr>
                <w:rFonts w:hint="eastAsia" w:ascii="宋体" w:hAnsi="宋体"/>
                <w:color w:val="auto"/>
                <w:spacing w:val="6"/>
                <w:kern w:val="0"/>
                <w:sz w:val="24"/>
                <w:szCs w:val="24"/>
                <w:highlight w:val="none"/>
              </w:rPr>
              <w:t>作单元描述</w:t>
            </w:r>
          </w:p>
        </w:tc>
      </w:tr>
      <w:tr w14:paraId="2B651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76" w:type="dxa"/>
          </w:tcPr>
          <w:p w14:paraId="1284FFA9">
            <w:pPr>
              <w:widowControl/>
              <w:kinsoku w:val="0"/>
              <w:autoSpaceDE w:val="0"/>
              <w:autoSpaceDN w:val="0"/>
              <w:snapToGrid w:val="0"/>
              <w:spacing w:before="308" w:line="276" w:lineRule="auto"/>
              <w:ind w:left="370"/>
              <w:jc w:val="left"/>
              <w:rPr>
                <w:rFonts w:ascii="宋体" w:hAnsi="宋体"/>
                <w:color w:val="auto"/>
                <w:kern w:val="0"/>
                <w:sz w:val="24"/>
                <w:szCs w:val="24"/>
                <w:highlight w:val="none"/>
              </w:rPr>
            </w:pPr>
            <w:r>
              <w:rPr>
                <w:rFonts w:hint="eastAsia" w:ascii="宋体" w:hAnsi="宋体"/>
                <w:color w:val="auto"/>
                <w:kern w:val="0"/>
                <w:sz w:val="24"/>
                <w:szCs w:val="24"/>
                <w:highlight w:val="none"/>
              </w:rPr>
              <w:t>1</w:t>
            </w:r>
          </w:p>
        </w:tc>
        <w:tc>
          <w:tcPr>
            <w:tcW w:w="2202" w:type="dxa"/>
            <w:vAlign w:val="center"/>
          </w:tcPr>
          <w:p w14:paraId="58D3622D">
            <w:pPr>
              <w:widowControl/>
              <w:kinsoku w:val="0"/>
              <w:autoSpaceDE w:val="0"/>
              <w:autoSpaceDN w:val="0"/>
              <w:snapToGrid w:val="0"/>
              <w:spacing w:before="2" w:line="276" w:lineRule="auto"/>
              <w:ind w:right="278"/>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身份鉴别</w:t>
            </w:r>
          </w:p>
        </w:tc>
        <w:tc>
          <w:tcPr>
            <w:tcW w:w="6428" w:type="dxa"/>
            <w:vAlign w:val="center"/>
          </w:tcPr>
          <w:p w14:paraId="791AE645">
            <w:pPr>
              <w:widowControl/>
              <w:kinsoku w:val="0"/>
              <w:autoSpaceDE w:val="0"/>
              <w:autoSpaceDN w:val="0"/>
              <w:snapToGrid w:val="0"/>
              <w:spacing w:before="2" w:line="276" w:lineRule="auto"/>
              <w:ind w:right="186"/>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应使用密码技术的真实性服务来保护物理访问控制身份鉴别信息，保证重要区域进入人员身份的真实性。</w:t>
            </w:r>
          </w:p>
        </w:tc>
      </w:tr>
      <w:tr w14:paraId="266C9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76" w:type="dxa"/>
          </w:tcPr>
          <w:p w14:paraId="3377DEC8">
            <w:pPr>
              <w:widowControl/>
              <w:kinsoku w:val="0"/>
              <w:autoSpaceDE w:val="0"/>
              <w:autoSpaceDN w:val="0"/>
              <w:snapToGrid w:val="0"/>
              <w:spacing w:before="309" w:line="276" w:lineRule="auto"/>
              <w:ind w:left="348"/>
              <w:jc w:val="left"/>
              <w:rPr>
                <w:rFonts w:ascii="宋体" w:hAnsi="宋体"/>
                <w:color w:val="auto"/>
                <w:kern w:val="0"/>
                <w:sz w:val="24"/>
                <w:szCs w:val="24"/>
                <w:highlight w:val="none"/>
              </w:rPr>
            </w:pPr>
            <w:r>
              <w:rPr>
                <w:rFonts w:hint="eastAsia" w:ascii="宋体" w:hAnsi="宋体"/>
                <w:color w:val="auto"/>
                <w:kern w:val="0"/>
                <w:sz w:val="24"/>
                <w:szCs w:val="24"/>
                <w:highlight w:val="none"/>
              </w:rPr>
              <w:t>2</w:t>
            </w:r>
          </w:p>
        </w:tc>
        <w:tc>
          <w:tcPr>
            <w:tcW w:w="2202" w:type="dxa"/>
            <w:vAlign w:val="center"/>
          </w:tcPr>
          <w:p w14:paraId="64315427">
            <w:pPr>
              <w:widowControl/>
              <w:kinsoku w:val="0"/>
              <w:autoSpaceDE w:val="0"/>
              <w:autoSpaceDN w:val="0"/>
              <w:snapToGrid w:val="0"/>
              <w:spacing w:before="2" w:line="276" w:lineRule="auto"/>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电子门禁记录数据完整性</w:t>
            </w:r>
          </w:p>
        </w:tc>
        <w:tc>
          <w:tcPr>
            <w:tcW w:w="6428" w:type="dxa"/>
            <w:vAlign w:val="center"/>
          </w:tcPr>
          <w:p w14:paraId="46378EEB">
            <w:pPr>
              <w:widowControl/>
              <w:kinsoku w:val="0"/>
              <w:autoSpaceDE w:val="0"/>
              <w:autoSpaceDN w:val="0"/>
              <w:snapToGrid w:val="0"/>
              <w:spacing w:before="2" w:line="276" w:lineRule="auto"/>
              <w:ind w:right="739"/>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检查使用密码技术的完整性服务来保证电子门禁系统进出记录的完整性情况。</w:t>
            </w:r>
          </w:p>
        </w:tc>
      </w:tr>
      <w:tr w14:paraId="6AC89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76" w:type="dxa"/>
          </w:tcPr>
          <w:p w14:paraId="6F329E03">
            <w:pPr>
              <w:widowControl/>
              <w:kinsoku w:val="0"/>
              <w:autoSpaceDE w:val="0"/>
              <w:autoSpaceDN w:val="0"/>
              <w:snapToGrid w:val="0"/>
              <w:spacing w:before="310" w:line="276" w:lineRule="auto"/>
              <w:ind w:left="355"/>
              <w:jc w:val="left"/>
              <w:rPr>
                <w:rFonts w:ascii="宋体" w:hAnsi="宋体"/>
                <w:color w:val="auto"/>
                <w:kern w:val="0"/>
                <w:sz w:val="24"/>
                <w:szCs w:val="24"/>
                <w:highlight w:val="none"/>
              </w:rPr>
            </w:pPr>
            <w:r>
              <w:rPr>
                <w:rFonts w:hint="eastAsia" w:ascii="宋体" w:hAnsi="宋体"/>
                <w:color w:val="auto"/>
                <w:kern w:val="0"/>
                <w:sz w:val="24"/>
                <w:szCs w:val="24"/>
                <w:highlight w:val="none"/>
              </w:rPr>
              <w:t>3</w:t>
            </w:r>
          </w:p>
        </w:tc>
        <w:tc>
          <w:tcPr>
            <w:tcW w:w="2202" w:type="dxa"/>
            <w:vAlign w:val="center"/>
          </w:tcPr>
          <w:p w14:paraId="1365CA59">
            <w:pPr>
              <w:widowControl/>
              <w:kinsoku w:val="0"/>
              <w:autoSpaceDE w:val="0"/>
              <w:autoSpaceDN w:val="0"/>
              <w:snapToGrid w:val="0"/>
              <w:spacing w:before="2" w:line="276" w:lineRule="auto"/>
              <w:ind w:right="13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视频记录数据完整性</w:t>
            </w:r>
          </w:p>
        </w:tc>
        <w:tc>
          <w:tcPr>
            <w:tcW w:w="6428" w:type="dxa"/>
            <w:vAlign w:val="center"/>
          </w:tcPr>
          <w:p w14:paraId="7A57671E">
            <w:pPr>
              <w:widowControl/>
              <w:kinsoku w:val="0"/>
              <w:autoSpaceDE w:val="0"/>
              <w:autoSpaceDN w:val="0"/>
              <w:snapToGrid w:val="0"/>
              <w:spacing w:before="2" w:line="276" w:lineRule="auto"/>
              <w:ind w:right="739"/>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检查使用密码技术的完整性服务来保证视频监控音像记录的完整性情况。</w:t>
            </w:r>
          </w:p>
        </w:tc>
      </w:tr>
    </w:tbl>
    <w:p w14:paraId="600204ED">
      <w:pPr>
        <w:widowControl/>
        <w:kinsoku w:val="0"/>
        <w:autoSpaceDE w:val="0"/>
        <w:autoSpaceDN w:val="0"/>
        <w:snapToGrid w:val="0"/>
        <w:spacing w:before="34" w:line="276" w:lineRule="auto"/>
        <w:ind w:left="583"/>
        <w:jc w:val="left"/>
        <w:rPr>
          <w:rFonts w:ascii="宋体" w:hAnsi="宋体"/>
          <w:color w:val="auto"/>
          <w:spacing w:val="1"/>
          <w:kern w:val="0"/>
          <w:sz w:val="24"/>
          <w:szCs w:val="24"/>
          <w:highlight w:val="none"/>
        </w:rPr>
      </w:pPr>
      <w:r>
        <w:rPr>
          <w:rFonts w:hint="eastAsia" w:ascii="宋体" w:hAnsi="宋体"/>
          <w:color w:val="auto"/>
          <w:spacing w:val="1"/>
          <w:kern w:val="0"/>
          <w:sz w:val="24"/>
          <w:szCs w:val="24"/>
          <w:highlight w:val="none"/>
        </w:rPr>
        <w:t>网络和通信</w:t>
      </w:r>
      <w:r>
        <w:rPr>
          <w:rFonts w:hint="eastAsia" w:ascii="宋体" w:hAnsi="宋体"/>
          <w:color w:val="auto"/>
          <w:kern w:val="0"/>
          <w:sz w:val="24"/>
          <w:szCs w:val="24"/>
          <w:highlight w:val="none"/>
        </w:rPr>
        <w:t>安全</w:t>
      </w:r>
    </w:p>
    <w:p w14:paraId="41CAABBE">
      <w:pPr>
        <w:widowControl/>
        <w:kinsoku w:val="0"/>
        <w:autoSpaceDE w:val="0"/>
        <w:autoSpaceDN w:val="0"/>
        <w:snapToGrid w:val="0"/>
        <w:spacing w:line="276" w:lineRule="auto"/>
        <w:jc w:val="left"/>
        <w:rPr>
          <w:rFonts w:ascii="宋体" w:hAnsi="宋体"/>
          <w:color w:val="auto"/>
          <w:kern w:val="0"/>
          <w:sz w:val="24"/>
          <w:szCs w:val="24"/>
          <w:highlight w:val="none"/>
        </w:rPr>
      </w:pPr>
    </w:p>
    <w:tbl>
      <w:tblPr>
        <w:tblStyle w:val="140"/>
        <w:tblW w:w="9353"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2029"/>
        <w:gridCol w:w="6558"/>
      </w:tblGrid>
      <w:tr w14:paraId="0794F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766" w:type="dxa"/>
            <w:shd w:val="clear" w:color="auto" w:fill="F3F3F3"/>
          </w:tcPr>
          <w:p w14:paraId="481AB3A8">
            <w:pPr>
              <w:widowControl/>
              <w:kinsoku w:val="0"/>
              <w:autoSpaceDE w:val="0"/>
              <w:autoSpaceDN w:val="0"/>
              <w:snapToGrid w:val="0"/>
              <w:spacing w:before="123" w:line="276" w:lineRule="auto"/>
              <w:jc w:val="left"/>
              <w:rPr>
                <w:rFonts w:ascii="宋体" w:hAnsi="宋体"/>
                <w:color w:val="auto"/>
                <w:spacing w:val="3"/>
                <w:kern w:val="0"/>
                <w:sz w:val="24"/>
                <w:szCs w:val="24"/>
                <w:highlight w:val="none"/>
              </w:rPr>
            </w:pPr>
            <w:r>
              <w:rPr>
                <w:rFonts w:hint="eastAsia" w:ascii="宋体" w:hAnsi="宋体"/>
                <w:color w:val="auto"/>
                <w:spacing w:val="3"/>
                <w:kern w:val="0"/>
                <w:sz w:val="24"/>
                <w:szCs w:val="24"/>
                <w:highlight w:val="none"/>
              </w:rPr>
              <w:t>序号</w:t>
            </w:r>
          </w:p>
        </w:tc>
        <w:tc>
          <w:tcPr>
            <w:tcW w:w="2029" w:type="dxa"/>
            <w:shd w:val="clear" w:color="auto" w:fill="F3F3F3"/>
          </w:tcPr>
          <w:p w14:paraId="5B25C4BA">
            <w:pPr>
              <w:widowControl/>
              <w:kinsoku w:val="0"/>
              <w:autoSpaceDE w:val="0"/>
              <w:autoSpaceDN w:val="0"/>
              <w:snapToGrid w:val="0"/>
              <w:spacing w:before="123" w:line="276" w:lineRule="auto"/>
              <w:jc w:val="left"/>
              <w:rPr>
                <w:rFonts w:ascii="宋体" w:hAnsi="宋体"/>
                <w:color w:val="auto"/>
                <w:spacing w:val="8"/>
                <w:kern w:val="0"/>
                <w:sz w:val="24"/>
                <w:szCs w:val="24"/>
                <w:highlight w:val="none"/>
              </w:rPr>
            </w:pPr>
            <w:r>
              <w:rPr>
                <w:rFonts w:hint="eastAsia" w:ascii="宋体" w:hAnsi="宋体"/>
                <w:color w:val="auto"/>
                <w:spacing w:val="8"/>
                <w:kern w:val="0"/>
                <w:sz w:val="24"/>
                <w:szCs w:val="24"/>
                <w:highlight w:val="none"/>
              </w:rPr>
              <w:t>工</w:t>
            </w:r>
            <w:r>
              <w:rPr>
                <w:rFonts w:hint="eastAsia" w:ascii="宋体" w:hAnsi="宋体"/>
                <w:color w:val="auto"/>
                <w:spacing w:val="6"/>
                <w:kern w:val="0"/>
                <w:sz w:val="24"/>
                <w:szCs w:val="24"/>
                <w:highlight w:val="none"/>
              </w:rPr>
              <w:t>作单元名称</w:t>
            </w:r>
          </w:p>
        </w:tc>
        <w:tc>
          <w:tcPr>
            <w:tcW w:w="6558" w:type="dxa"/>
            <w:shd w:val="clear" w:color="auto" w:fill="F3F3F3"/>
          </w:tcPr>
          <w:p w14:paraId="17CB7483">
            <w:pPr>
              <w:widowControl/>
              <w:kinsoku w:val="0"/>
              <w:autoSpaceDE w:val="0"/>
              <w:autoSpaceDN w:val="0"/>
              <w:snapToGrid w:val="0"/>
              <w:spacing w:before="123" w:line="276" w:lineRule="auto"/>
              <w:ind w:left="2663"/>
              <w:jc w:val="left"/>
              <w:rPr>
                <w:rFonts w:ascii="宋体" w:hAnsi="宋体"/>
                <w:color w:val="auto"/>
                <w:spacing w:val="8"/>
                <w:kern w:val="0"/>
                <w:sz w:val="24"/>
                <w:szCs w:val="24"/>
                <w:highlight w:val="none"/>
              </w:rPr>
            </w:pPr>
            <w:r>
              <w:rPr>
                <w:rFonts w:hint="eastAsia" w:ascii="宋体" w:hAnsi="宋体"/>
                <w:color w:val="auto"/>
                <w:spacing w:val="8"/>
                <w:kern w:val="0"/>
                <w:sz w:val="24"/>
                <w:szCs w:val="24"/>
                <w:highlight w:val="none"/>
              </w:rPr>
              <w:t>工</w:t>
            </w:r>
            <w:r>
              <w:rPr>
                <w:rFonts w:hint="eastAsia" w:ascii="宋体" w:hAnsi="宋体"/>
                <w:color w:val="auto"/>
                <w:spacing w:val="6"/>
                <w:kern w:val="0"/>
                <w:sz w:val="24"/>
                <w:szCs w:val="24"/>
                <w:highlight w:val="none"/>
              </w:rPr>
              <w:t>作单元描述</w:t>
            </w:r>
          </w:p>
        </w:tc>
      </w:tr>
      <w:tr w14:paraId="47D09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66" w:type="dxa"/>
          </w:tcPr>
          <w:p w14:paraId="28D60EE2">
            <w:pPr>
              <w:widowControl/>
              <w:kinsoku w:val="0"/>
              <w:autoSpaceDE w:val="0"/>
              <w:autoSpaceDN w:val="0"/>
              <w:snapToGrid w:val="0"/>
              <w:spacing w:before="306" w:line="276" w:lineRule="auto"/>
              <w:ind w:left="363"/>
              <w:jc w:val="left"/>
              <w:rPr>
                <w:rFonts w:ascii="宋体" w:hAnsi="宋体"/>
                <w:color w:val="auto"/>
                <w:kern w:val="0"/>
                <w:sz w:val="24"/>
                <w:szCs w:val="24"/>
                <w:highlight w:val="none"/>
              </w:rPr>
            </w:pPr>
            <w:r>
              <w:rPr>
                <w:rFonts w:hint="eastAsia" w:ascii="宋体" w:hAnsi="宋体"/>
                <w:color w:val="auto"/>
                <w:kern w:val="0"/>
                <w:sz w:val="24"/>
                <w:szCs w:val="24"/>
                <w:highlight w:val="none"/>
              </w:rPr>
              <w:t>1</w:t>
            </w:r>
          </w:p>
        </w:tc>
        <w:tc>
          <w:tcPr>
            <w:tcW w:w="2029" w:type="dxa"/>
            <w:vAlign w:val="center"/>
          </w:tcPr>
          <w:p w14:paraId="0182448E">
            <w:pPr>
              <w:widowControl/>
              <w:kinsoku w:val="0"/>
              <w:autoSpaceDE w:val="0"/>
              <w:autoSpaceDN w:val="0"/>
              <w:snapToGrid w:val="0"/>
              <w:spacing w:before="2" w:line="276" w:lineRule="auto"/>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身份鉴别</w:t>
            </w:r>
          </w:p>
        </w:tc>
        <w:tc>
          <w:tcPr>
            <w:tcW w:w="6558" w:type="dxa"/>
            <w:vAlign w:val="center"/>
          </w:tcPr>
          <w:p w14:paraId="30A2049A">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检查网络和通信设备的身份标识与鉴别和用户登录的配置情况。</w:t>
            </w:r>
          </w:p>
        </w:tc>
      </w:tr>
      <w:tr w14:paraId="4C402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6" w:type="dxa"/>
          </w:tcPr>
          <w:p w14:paraId="4772D807">
            <w:pPr>
              <w:widowControl/>
              <w:kinsoku w:val="0"/>
              <w:autoSpaceDE w:val="0"/>
              <w:autoSpaceDN w:val="0"/>
              <w:snapToGrid w:val="0"/>
              <w:spacing w:before="307" w:line="276" w:lineRule="auto"/>
              <w:ind w:left="341"/>
              <w:jc w:val="left"/>
              <w:rPr>
                <w:rFonts w:ascii="宋体" w:hAnsi="宋体"/>
                <w:color w:val="auto"/>
                <w:kern w:val="0"/>
                <w:sz w:val="24"/>
                <w:szCs w:val="24"/>
                <w:highlight w:val="none"/>
              </w:rPr>
            </w:pPr>
            <w:r>
              <w:rPr>
                <w:rFonts w:hint="eastAsia" w:ascii="宋体" w:hAnsi="宋体"/>
                <w:color w:val="auto"/>
                <w:kern w:val="0"/>
                <w:sz w:val="24"/>
                <w:szCs w:val="24"/>
                <w:highlight w:val="none"/>
              </w:rPr>
              <w:t>2</w:t>
            </w:r>
          </w:p>
        </w:tc>
        <w:tc>
          <w:tcPr>
            <w:tcW w:w="2029" w:type="dxa"/>
            <w:vAlign w:val="center"/>
          </w:tcPr>
          <w:p w14:paraId="2CEB8567">
            <w:pPr>
              <w:widowControl/>
              <w:kinsoku w:val="0"/>
              <w:autoSpaceDE w:val="0"/>
              <w:autoSpaceDN w:val="0"/>
              <w:snapToGrid w:val="0"/>
              <w:spacing w:before="2" w:line="276" w:lineRule="auto"/>
              <w:ind w:right="115" w:rightChars="55"/>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通信数据完整性</w:t>
            </w:r>
          </w:p>
        </w:tc>
        <w:tc>
          <w:tcPr>
            <w:tcW w:w="6558" w:type="dxa"/>
            <w:vAlign w:val="center"/>
          </w:tcPr>
          <w:p w14:paraId="6722D495">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通过抓包分析及验证的方式对访通信数据的完整性进行分析检查。</w:t>
            </w:r>
          </w:p>
        </w:tc>
      </w:tr>
      <w:tr w14:paraId="7E151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6" w:type="dxa"/>
          </w:tcPr>
          <w:p w14:paraId="15C0FCA2">
            <w:pPr>
              <w:widowControl/>
              <w:kinsoku w:val="0"/>
              <w:autoSpaceDE w:val="0"/>
              <w:autoSpaceDN w:val="0"/>
              <w:snapToGrid w:val="0"/>
              <w:spacing w:before="310" w:line="276" w:lineRule="auto"/>
              <w:ind w:left="336"/>
              <w:jc w:val="left"/>
              <w:rPr>
                <w:rFonts w:ascii="宋体" w:hAnsi="宋体"/>
                <w:color w:val="auto"/>
                <w:kern w:val="0"/>
                <w:sz w:val="24"/>
                <w:szCs w:val="24"/>
                <w:highlight w:val="none"/>
              </w:rPr>
            </w:pPr>
            <w:r>
              <w:rPr>
                <w:rFonts w:hint="eastAsia" w:ascii="宋体" w:hAnsi="宋体"/>
                <w:color w:val="auto"/>
                <w:kern w:val="0"/>
                <w:sz w:val="24"/>
                <w:szCs w:val="24"/>
                <w:highlight w:val="none"/>
              </w:rPr>
              <w:t>3</w:t>
            </w:r>
          </w:p>
        </w:tc>
        <w:tc>
          <w:tcPr>
            <w:tcW w:w="2029" w:type="dxa"/>
            <w:vAlign w:val="center"/>
          </w:tcPr>
          <w:p w14:paraId="32E58805">
            <w:pPr>
              <w:widowControl/>
              <w:kinsoku w:val="0"/>
              <w:autoSpaceDE w:val="0"/>
              <w:autoSpaceDN w:val="0"/>
              <w:snapToGrid w:val="0"/>
              <w:spacing w:before="2" w:line="276" w:lineRule="auto"/>
              <w:ind w:right="115" w:rightChars="55"/>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通信数据机密性</w:t>
            </w:r>
          </w:p>
        </w:tc>
        <w:tc>
          <w:tcPr>
            <w:tcW w:w="6558" w:type="dxa"/>
            <w:vAlign w:val="center"/>
          </w:tcPr>
          <w:p w14:paraId="4C13C657">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通过抓包分析及验证的方式对访通信数据的机密性进行分析检查。</w:t>
            </w:r>
          </w:p>
        </w:tc>
      </w:tr>
      <w:tr w14:paraId="6A001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6" w:type="dxa"/>
          </w:tcPr>
          <w:p w14:paraId="39D3C88F">
            <w:pPr>
              <w:widowControl/>
              <w:kinsoku w:val="0"/>
              <w:autoSpaceDE w:val="0"/>
              <w:autoSpaceDN w:val="0"/>
              <w:snapToGrid w:val="0"/>
              <w:spacing w:line="276" w:lineRule="auto"/>
              <w:jc w:val="left"/>
              <w:rPr>
                <w:rFonts w:ascii="宋体" w:hAnsi="宋体"/>
                <w:color w:val="auto"/>
                <w:kern w:val="0"/>
                <w:sz w:val="24"/>
                <w:szCs w:val="24"/>
                <w:highlight w:val="none"/>
              </w:rPr>
            </w:pPr>
          </w:p>
          <w:p w14:paraId="24C95AE2">
            <w:pPr>
              <w:widowControl/>
              <w:kinsoku w:val="0"/>
              <w:autoSpaceDE w:val="0"/>
              <w:autoSpaceDN w:val="0"/>
              <w:snapToGrid w:val="0"/>
              <w:spacing w:before="74" w:line="276" w:lineRule="auto"/>
              <w:ind w:left="337"/>
              <w:jc w:val="left"/>
              <w:rPr>
                <w:rFonts w:ascii="宋体" w:hAnsi="宋体"/>
                <w:color w:val="auto"/>
                <w:kern w:val="0"/>
                <w:sz w:val="24"/>
                <w:szCs w:val="24"/>
                <w:highlight w:val="none"/>
              </w:rPr>
            </w:pPr>
            <w:r>
              <w:rPr>
                <w:rFonts w:hint="eastAsia" w:ascii="宋体" w:hAnsi="宋体"/>
                <w:color w:val="auto"/>
                <w:kern w:val="0"/>
                <w:sz w:val="24"/>
                <w:szCs w:val="24"/>
                <w:highlight w:val="none"/>
              </w:rPr>
              <w:t>4</w:t>
            </w:r>
          </w:p>
        </w:tc>
        <w:tc>
          <w:tcPr>
            <w:tcW w:w="2029" w:type="dxa"/>
            <w:vAlign w:val="center"/>
          </w:tcPr>
          <w:p w14:paraId="3554B481">
            <w:pPr>
              <w:widowControl/>
              <w:kinsoku w:val="0"/>
              <w:autoSpaceDE w:val="0"/>
              <w:autoSpaceDN w:val="0"/>
              <w:snapToGrid w:val="0"/>
              <w:spacing w:before="2" w:line="276" w:lineRule="auto"/>
              <w:ind w:right="115" w:rightChars="55"/>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网 络 边 界 访 问控 制 信息完整性</w:t>
            </w:r>
          </w:p>
        </w:tc>
        <w:tc>
          <w:tcPr>
            <w:tcW w:w="6558" w:type="dxa"/>
            <w:vAlign w:val="center"/>
          </w:tcPr>
          <w:p w14:paraId="0368ECA5">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通过抓包分析、配置检查、工具测试等方式对访问控制信息的完整性 进行分析检查。</w:t>
            </w:r>
          </w:p>
        </w:tc>
      </w:tr>
      <w:tr w14:paraId="27147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66" w:type="dxa"/>
          </w:tcPr>
          <w:p w14:paraId="31E825A1">
            <w:pPr>
              <w:widowControl/>
              <w:kinsoku w:val="0"/>
              <w:autoSpaceDE w:val="0"/>
              <w:autoSpaceDN w:val="0"/>
              <w:snapToGrid w:val="0"/>
              <w:spacing w:line="276" w:lineRule="auto"/>
              <w:jc w:val="left"/>
              <w:rPr>
                <w:rFonts w:ascii="宋体" w:hAnsi="宋体"/>
                <w:color w:val="auto"/>
                <w:kern w:val="0"/>
                <w:sz w:val="24"/>
                <w:szCs w:val="24"/>
                <w:highlight w:val="none"/>
              </w:rPr>
            </w:pPr>
          </w:p>
          <w:p w14:paraId="39C4064A">
            <w:pPr>
              <w:widowControl/>
              <w:kinsoku w:val="0"/>
              <w:autoSpaceDE w:val="0"/>
              <w:autoSpaceDN w:val="0"/>
              <w:snapToGrid w:val="0"/>
              <w:spacing w:before="75" w:line="276" w:lineRule="auto"/>
              <w:ind w:left="348"/>
              <w:jc w:val="left"/>
              <w:rPr>
                <w:rFonts w:ascii="宋体" w:hAnsi="宋体"/>
                <w:color w:val="auto"/>
                <w:kern w:val="0"/>
                <w:sz w:val="24"/>
                <w:szCs w:val="24"/>
                <w:highlight w:val="none"/>
              </w:rPr>
            </w:pPr>
            <w:r>
              <w:rPr>
                <w:rFonts w:hint="eastAsia" w:ascii="宋体" w:hAnsi="宋体"/>
                <w:color w:val="auto"/>
                <w:kern w:val="0"/>
                <w:sz w:val="24"/>
                <w:szCs w:val="24"/>
                <w:highlight w:val="none"/>
              </w:rPr>
              <w:t>5</w:t>
            </w:r>
          </w:p>
        </w:tc>
        <w:tc>
          <w:tcPr>
            <w:tcW w:w="2029" w:type="dxa"/>
            <w:vAlign w:val="center"/>
          </w:tcPr>
          <w:p w14:paraId="71D7C9CF">
            <w:pPr>
              <w:widowControl/>
              <w:kinsoku w:val="0"/>
              <w:autoSpaceDE w:val="0"/>
              <w:autoSpaceDN w:val="0"/>
              <w:snapToGrid w:val="0"/>
              <w:spacing w:before="2" w:line="276" w:lineRule="auto"/>
              <w:ind w:right="115" w:rightChars="55"/>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安全接入认证</w:t>
            </w:r>
          </w:p>
        </w:tc>
        <w:tc>
          <w:tcPr>
            <w:tcW w:w="6558" w:type="dxa"/>
            <w:vAlign w:val="center"/>
          </w:tcPr>
          <w:p w14:paraId="230F6CCB">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检查是否使用数据签名等密码技术对从外部接入到内部网络的行为进 行安全认证。</w:t>
            </w:r>
          </w:p>
        </w:tc>
      </w:tr>
    </w:tbl>
    <w:p w14:paraId="72EF89B1">
      <w:pPr>
        <w:widowControl/>
        <w:kinsoku w:val="0"/>
        <w:autoSpaceDE w:val="0"/>
        <w:autoSpaceDN w:val="0"/>
        <w:snapToGrid w:val="0"/>
        <w:spacing w:before="35" w:line="276" w:lineRule="auto"/>
        <w:ind w:left="554"/>
        <w:jc w:val="left"/>
        <w:rPr>
          <w:rFonts w:ascii="宋体" w:hAnsi="宋体"/>
          <w:color w:val="auto"/>
          <w:spacing w:val="8"/>
          <w:kern w:val="0"/>
          <w:sz w:val="24"/>
          <w:szCs w:val="24"/>
          <w:highlight w:val="none"/>
        </w:rPr>
      </w:pPr>
      <w:r>
        <w:rPr>
          <w:rFonts w:hint="eastAsia" w:ascii="宋体" w:hAnsi="宋体"/>
          <w:color w:val="auto"/>
          <w:spacing w:val="8"/>
          <w:kern w:val="0"/>
          <w:sz w:val="24"/>
          <w:szCs w:val="24"/>
          <w:highlight w:val="none"/>
        </w:rPr>
        <w:t>设</w:t>
      </w:r>
      <w:r>
        <w:rPr>
          <w:rFonts w:hint="eastAsia" w:ascii="宋体" w:hAnsi="宋体"/>
          <w:color w:val="auto"/>
          <w:spacing w:val="6"/>
          <w:kern w:val="0"/>
          <w:sz w:val="24"/>
          <w:szCs w:val="24"/>
          <w:highlight w:val="none"/>
        </w:rPr>
        <w:t>备和计算安全</w:t>
      </w:r>
    </w:p>
    <w:p w14:paraId="52E75BD5">
      <w:pPr>
        <w:widowControl/>
        <w:kinsoku w:val="0"/>
        <w:autoSpaceDE w:val="0"/>
        <w:autoSpaceDN w:val="0"/>
        <w:snapToGrid w:val="0"/>
        <w:spacing w:line="276" w:lineRule="auto"/>
        <w:jc w:val="left"/>
        <w:rPr>
          <w:rFonts w:ascii="宋体" w:hAnsi="宋体"/>
          <w:color w:val="auto"/>
          <w:kern w:val="0"/>
          <w:sz w:val="24"/>
          <w:szCs w:val="24"/>
          <w:highlight w:val="none"/>
        </w:rPr>
      </w:pPr>
    </w:p>
    <w:tbl>
      <w:tblPr>
        <w:tblStyle w:val="140"/>
        <w:tblW w:w="9499"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2029"/>
        <w:gridCol w:w="6704"/>
      </w:tblGrid>
      <w:tr w14:paraId="6E319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66" w:type="dxa"/>
            <w:shd w:val="clear" w:color="auto" w:fill="F3F3F3"/>
          </w:tcPr>
          <w:p w14:paraId="578A4757">
            <w:pPr>
              <w:widowControl/>
              <w:kinsoku w:val="0"/>
              <w:autoSpaceDE w:val="0"/>
              <w:autoSpaceDN w:val="0"/>
              <w:snapToGrid w:val="0"/>
              <w:spacing w:before="121" w:line="276" w:lineRule="auto"/>
              <w:jc w:val="left"/>
              <w:rPr>
                <w:rFonts w:ascii="宋体" w:hAnsi="宋体"/>
                <w:color w:val="auto"/>
                <w:spacing w:val="3"/>
                <w:kern w:val="0"/>
                <w:sz w:val="24"/>
                <w:szCs w:val="24"/>
                <w:highlight w:val="none"/>
              </w:rPr>
            </w:pPr>
            <w:r>
              <w:rPr>
                <w:rFonts w:hint="eastAsia" w:ascii="宋体" w:hAnsi="宋体"/>
                <w:color w:val="auto"/>
                <w:spacing w:val="3"/>
                <w:kern w:val="0"/>
                <w:sz w:val="24"/>
                <w:szCs w:val="24"/>
                <w:highlight w:val="none"/>
              </w:rPr>
              <w:t>序号</w:t>
            </w:r>
          </w:p>
        </w:tc>
        <w:tc>
          <w:tcPr>
            <w:tcW w:w="2029" w:type="dxa"/>
            <w:shd w:val="clear" w:color="auto" w:fill="F3F3F3"/>
          </w:tcPr>
          <w:p w14:paraId="3E9587CD">
            <w:pPr>
              <w:widowControl/>
              <w:kinsoku w:val="0"/>
              <w:autoSpaceDE w:val="0"/>
              <w:autoSpaceDN w:val="0"/>
              <w:snapToGrid w:val="0"/>
              <w:spacing w:before="122" w:line="276" w:lineRule="auto"/>
              <w:jc w:val="left"/>
              <w:rPr>
                <w:rFonts w:ascii="宋体" w:hAnsi="宋体"/>
                <w:color w:val="auto"/>
                <w:spacing w:val="8"/>
                <w:kern w:val="0"/>
                <w:sz w:val="24"/>
                <w:szCs w:val="24"/>
                <w:highlight w:val="none"/>
              </w:rPr>
            </w:pPr>
            <w:r>
              <w:rPr>
                <w:rFonts w:hint="eastAsia" w:ascii="宋体" w:hAnsi="宋体"/>
                <w:color w:val="auto"/>
                <w:spacing w:val="8"/>
                <w:kern w:val="0"/>
                <w:sz w:val="24"/>
                <w:szCs w:val="24"/>
                <w:highlight w:val="none"/>
              </w:rPr>
              <w:t>工</w:t>
            </w:r>
            <w:r>
              <w:rPr>
                <w:rFonts w:hint="eastAsia" w:ascii="宋体" w:hAnsi="宋体"/>
                <w:color w:val="auto"/>
                <w:spacing w:val="6"/>
                <w:kern w:val="0"/>
                <w:sz w:val="24"/>
                <w:szCs w:val="24"/>
                <w:highlight w:val="none"/>
              </w:rPr>
              <w:t>作单元名称</w:t>
            </w:r>
          </w:p>
        </w:tc>
        <w:tc>
          <w:tcPr>
            <w:tcW w:w="6704" w:type="dxa"/>
            <w:shd w:val="clear" w:color="auto" w:fill="F3F3F3"/>
          </w:tcPr>
          <w:p w14:paraId="79402A05">
            <w:pPr>
              <w:widowControl/>
              <w:kinsoku w:val="0"/>
              <w:autoSpaceDE w:val="0"/>
              <w:autoSpaceDN w:val="0"/>
              <w:snapToGrid w:val="0"/>
              <w:spacing w:before="122" w:line="276" w:lineRule="auto"/>
              <w:ind w:left="2663"/>
              <w:jc w:val="left"/>
              <w:rPr>
                <w:rFonts w:ascii="宋体" w:hAnsi="宋体"/>
                <w:color w:val="auto"/>
                <w:spacing w:val="8"/>
                <w:kern w:val="0"/>
                <w:sz w:val="24"/>
                <w:szCs w:val="24"/>
                <w:highlight w:val="none"/>
              </w:rPr>
            </w:pPr>
            <w:r>
              <w:rPr>
                <w:rFonts w:hint="eastAsia" w:ascii="宋体" w:hAnsi="宋体"/>
                <w:color w:val="auto"/>
                <w:spacing w:val="8"/>
                <w:kern w:val="0"/>
                <w:sz w:val="24"/>
                <w:szCs w:val="24"/>
                <w:highlight w:val="none"/>
              </w:rPr>
              <w:t>工</w:t>
            </w:r>
            <w:r>
              <w:rPr>
                <w:rFonts w:hint="eastAsia" w:ascii="宋体" w:hAnsi="宋体"/>
                <w:color w:val="auto"/>
                <w:spacing w:val="6"/>
                <w:kern w:val="0"/>
                <w:sz w:val="24"/>
                <w:szCs w:val="24"/>
                <w:highlight w:val="none"/>
              </w:rPr>
              <w:t>作单元描述</w:t>
            </w:r>
          </w:p>
        </w:tc>
      </w:tr>
      <w:tr w14:paraId="1D20C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66" w:type="dxa"/>
          </w:tcPr>
          <w:p w14:paraId="4FBEF593">
            <w:pPr>
              <w:widowControl/>
              <w:kinsoku w:val="0"/>
              <w:autoSpaceDE w:val="0"/>
              <w:autoSpaceDN w:val="0"/>
              <w:snapToGrid w:val="0"/>
              <w:spacing w:before="154" w:line="276" w:lineRule="auto"/>
              <w:ind w:left="363"/>
              <w:jc w:val="left"/>
              <w:rPr>
                <w:rFonts w:ascii="宋体" w:hAnsi="宋体"/>
                <w:color w:val="auto"/>
                <w:kern w:val="0"/>
                <w:sz w:val="24"/>
                <w:szCs w:val="24"/>
                <w:highlight w:val="none"/>
              </w:rPr>
            </w:pPr>
            <w:r>
              <w:rPr>
                <w:rFonts w:hint="eastAsia" w:ascii="宋体" w:hAnsi="宋体"/>
                <w:color w:val="auto"/>
                <w:kern w:val="0"/>
                <w:sz w:val="24"/>
                <w:szCs w:val="24"/>
                <w:highlight w:val="none"/>
              </w:rPr>
              <w:t>1</w:t>
            </w:r>
          </w:p>
        </w:tc>
        <w:tc>
          <w:tcPr>
            <w:tcW w:w="2029" w:type="dxa"/>
            <w:vAlign w:val="center"/>
          </w:tcPr>
          <w:p w14:paraId="0D525A3D">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身份鉴别</w:t>
            </w:r>
          </w:p>
        </w:tc>
        <w:tc>
          <w:tcPr>
            <w:tcW w:w="6704" w:type="dxa"/>
            <w:vAlign w:val="center"/>
          </w:tcPr>
          <w:p w14:paraId="0602F82E">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检查服务器的身份标识与鉴别和用户登录的配置情况。</w:t>
            </w:r>
          </w:p>
        </w:tc>
      </w:tr>
      <w:tr w14:paraId="6B41C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6" w:type="dxa"/>
          </w:tcPr>
          <w:p w14:paraId="2ED51883">
            <w:pPr>
              <w:widowControl/>
              <w:kinsoku w:val="0"/>
              <w:autoSpaceDE w:val="0"/>
              <w:autoSpaceDN w:val="0"/>
              <w:snapToGrid w:val="0"/>
              <w:spacing w:line="276" w:lineRule="auto"/>
              <w:jc w:val="left"/>
              <w:rPr>
                <w:rFonts w:ascii="宋体" w:hAnsi="宋体"/>
                <w:color w:val="auto"/>
                <w:kern w:val="0"/>
                <w:sz w:val="24"/>
                <w:szCs w:val="24"/>
                <w:highlight w:val="none"/>
              </w:rPr>
            </w:pPr>
          </w:p>
          <w:p w14:paraId="538C913C">
            <w:pPr>
              <w:widowControl/>
              <w:kinsoku w:val="0"/>
              <w:autoSpaceDE w:val="0"/>
              <w:autoSpaceDN w:val="0"/>
              <w:snapToGrid w:val="0"/>
              <w:spacing w:before="75" w:line="276" w:lineRule="auto"/>
              <w:ind w:left="341"/>
              <w:jc w:val="left"/>
              <w:rPr>
                <w:rFonts w:ascii="宋体" w:hAnsi="宋体"/>
                <w:color w:val="auto"/>
                <w:kern w:val="0"/>
                <w:sz w:val="24"/>
                <w:szCs w:val="24"/>
                <w:highlight w:val="none"/>
              </w:rPr>
            </w:pPr>
            <w:r>
              <w:rPr>
                <w:rFonts w:hint="eastAsia" w:ascii="宋体" w:hAnsi="宋体"/>
                <w:color w:val="auto"/>
                <w:kern w:val="0"/>
                <w:sz w:val="24"/>
                <w:szCs w:val="24"/>
                <w:highlight w:val="none"/>
              </w:rPr>
              <w:t>2</w:t>
            </w:r>
          </w:p>
        </w:tc>
        <w:tc>
          <w:tcPr>
            <w:tcW w:w="2029" w:type="dxa"/>
            <w:vAlign w:val="center"/>
          </w:tcPr>
          <w:p w14:paraId="0D4A99F7">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远程管理通道安全</w:t>
            </w:r>
          </w:p>
        </w:tc>
        <w:tc>
          <w:tcPr>
            <w:tcW w:w="6704" w:type="dxa"/>
            <w:vAlign w:val="center"/>
          </w:tcPr>
          <w:p w14:paraId="11266A16">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核查远程管理过程中，身份鉴别数据是否采用密码技术进行保护；身份过程是否满足要求。</w:t>
            </w:r>
          </w:p>
        </w:tc>
      </w:tr>
      <w:tr w14:paraId="6616A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6" w:type="dxa"/>
          </w:tcPr>
          <w:p w14:paraId="29B8189B">
            <w:pPr>
              <w:widowControl/>
              <w:kinsoku w:val="0"/>
              <w:autoSpaceDE w:val="0"/>
              <w:autoSpaceDN w:val="0"/>
              <w:snapToGrid w:val="0"/>
              <w:spacing w:line="276" w:lineRule="auto"/>
              <w:jc w:val="left"/>
              <w:rPr>
                <w:rFonts w:ascii="宋体" w:hAnsi="宋体"/>
                <w:color w:val="auto"/>
                <w:kern w:val="0"/>
                <w:sz w:val="24"/>
                <w:szCs w:val="24"/>
                <w:highlight w:val="none"/>
              </w:rPr>
            </w:pPr>
          </w:p>
          <w:p w14:paraId="796B003B">
            <w:pPr>
              <w:widowControl/>
              <w:kinsoku w:val="0"/>
              <w:autoSpaceDE w:val="0"/>
              <w:autoSpaceDN w:val="0"/>
              <w:snapToGrid w:val="0"/>
              <w:spacing w:before="75" w:line="276" w:lineRule="auto"/>
              <w:ind w:left="348"/>
              <w:jc w:val="left"/>
              <w:rPr>
                <w:rFonts w:ascii="宋体" w:hAnsi="宋体"/>
                <w:color w:val="auto"/>
                <w:kern w:val="0"/>
                <w:sz w:val="24"/>
                <w:szCs w:val="24"/>
                <w:highlight w:val="none"/>
              </w:rPr>
            </w:pPr>
            <w:r>
              <w:rPr>
                <w:rFonts w:hint="eastAsia" w:ascii="宋体" w:hAnsi="宋体"/>
                <w:color w:val="auto"/>
                <w:kern w:val="0"/>
                <w:sz w:val="24"/>
                <w:szCs w:val="24"/>
                <w:highlight w:val="none"/>
              </w:rPr>
              <w:t>3</w:t>
            </w:r>
          </w:p>
        </w:tc>
        <w:tc>
          <w:tcPr>
            <w:tcW w:w="2029" w:type="dxa"/>
            <w:vAlign w:val="center"/>
          </w:tcPr>
          <w:p w14:paraId="280EC31A">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系统资源访问控制信息完整性</w:t>
            </w:r>
          </w:p>
        </w:tc>
        <w:tc>
          <w:tcPr>
            <w:tcW w:w="6704" w:type="dxa"/>
            <w:vAlign w:val="center"/>
          </w:tcPr>
          <w:p w14:paraId="72090A54">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检查各主机相应操作系统或数据库的自主访问控制设置情况，包括安 全策略覆盖、访问控制信息完整性情况等。</w:t>
            </w:r>
          </w:p>
        </w:tc>
      </w:tr>
      <w:tr w14:paraId="57DFE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766" w:type="dxa"/>
          </w:tcPr>
          <w:p w14:paraId="17D112D4">
            <w:pPr>
              <w:widowControl/>
              <w:kinsoku w:val="0"/>
              <w:autoSpaceDE w:val="0"/>
              <w:autoSpaceDN w:val="0"/>
              <w:snapToGrid w:val="0"/>
              <w:spacing w:line="276" w:lineRule="auto"/>
              <w:jc w:val="left"/>
              <w:rPr>
                <w:rFonts w:ascii="宋体" w:hAnsi="宋体"/>
                <w:color w:val="auto"/>
                <w:kern w:val="0"/>
                <w:sz w:val="24"/>
                <w:szCs w:val="24"/>
                <w:highlight w:val="none"/>
              </w:rPr>
            </w:pPr>
          </w:p>
          <w:p w14:paraId="7482F1BF">
            <w:pPr>
              <w:widowControl/>
              <w:kinsoku w:val="0"/>
              <w:autoSpaceDE w:val="0"/>
              <w:autoSpaceDN w:val="0"/>
              <w:snapToGrid w:val="0"/>
              <w:spacing w:line="276" w:lineRule="auto"/>
              <w:jc w:val="left"/>
              <w:rPr>
                <w:rFonts w:ascii="宋体" w:hAnsi="宋体"/>
                <w:color w:val="auto"/>
                <w:kern w:val="0"/>
                <w:sz w:val="24"/>
                <w:szCs w:val="24"/>
                <w:highlight w:val="none"/>
              </w:rPr>
            </w:pPr>
          </w:p>
          <w:p w14:paraId="597B781F">
            <w:pPr>
              <w:widowControl/>
              <w:kinsoku w:val="0"/>
              <w:autoSpaceDE w:val="0"/>
              <w:autoSpaceDN w:val="0"/>
              <w:snapToGrid w:val="0"/>
              <w:spacing w:before="75" w:line="276" w:lineRule="auto"/>
              <w:ind w:left="330"/>
              <w:jc w:val="left"/>
              <w:rPr>
                <w:rFonts w:ascii="宋体" w:hAnsi="宋体"/>
                <w:color w:val="auto"/>
                <w:kern w:val="0"/>
                <w:sz w:val="24"/>
                <w:szCs w:val="24"/>
                <w:highlight w:val="none"/>
              </w:rPr>
            </w:pPr>
            <w:r>
              <w:rPr>
                <w:rFonts w:hint="eastAsia" w:ascii="宋体" w:hAnsi="宋体"/>
                <w:color w:val="auto"/>
                <w:kern w:val="0"/>
                <w:sz w:val="24"/>
                <w:szCs w:val="24"/>
                <w:highlight w:val="none"/>
              </w:rPr>
              <w:t>4</w:t>
            </w:r>
          </w:p>
        </w:tc>
        <w:tc>
          <w:tcPr>
            <w:tcW w:w="2029" w:type="dxa"/>
            <w:vAlign w:val="center"/>
          </w:tcPr>
          <w:p w14:paraId="37B5A70B">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重要信息资源安全标记完整性</w:t>
            </w:r>
          </w:p>
        </w:tc>
        <w:tc>
          <w:tcPr>
            <w:tcW w:w="6704" w:type="dxa"/>
            <w:vAlign w:val="center"/>
          </w:tcPr>
          <w:p w14:paraId="7396407B">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通过访谈系统管理员和安全管理员关于信息系统重要信息资 源的敏感 标记设置，并且通过相关技术手段进行强制访问控制措施有效性，同 时检查敏感标记的完整性。</w:t>
            </w:r>
          </w:p>
        </w:tc>
      </w:tr>
      <w:tr w14:paraId="558B0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766" w:type="dxa"/>
          </w:tcPr>
          <w:p w14:paraId="288F937D">
            <w:pPr>
              <w:widowControl/>
              <w:kinsoku w:val="0"/>
              <w:autoSpaceDE w:val="0"/>
              <w:autoSpaceDN w:val="0"/>
              <w:snapToGrid w:val="0"/>
              <w:spacing w:line="276" w:lineRule="auto"/>
              <w:jc w:val="left"/>
              <w:rPr>
                <w:rFonts w:ascii="宋体" w:hAnsi="宋体"/>
                <w:color w:val="auto"/>
                <w:kern w:val="0"/>
                <w:sz w:val="24"/>
                <w:szCs w:val="24"/>
                <w:highlight w:val="none"/>
              </w:rPr>
            </w:pPr>
          </w:p>
          <w:p w14:paraId="46D10CA5">
            <w:pPr>
              <w:widowControl/>
              <w:kinsoku w:val="0"/>
              <w:autoSpaceDE w:val="0"/>
              <w:autoSpaceDN w:val="0"/>
              <w:snapToGrid w:val="0"/>
              <w:spacing w:line="276" w:lineRule="auto"/>
              <w:jc w:val="left"/>
              <w:rPr>
                <w:rFonts w:ascii="宋体" w:hAnsi="宋体"/>
                <w:color w:val="auto"/>
                <w:kern w:val="0"/>
                <w:sz w:val="24"/>
                <w:szCs w:val="24"/>
                <w:highlight w:val="none"/>
              </w:rPr>
            </w:pPr>
          </w:p>
          <w:p w14:paraId="442B242C">
            <w:pPr>
              <w:widowControl/>
              <w:kinsoku w:val="0"/>
              <w:autoSpaceDE w:val="0"/>
              <w:autoSpaceDN w:val="0"/>
              <w:snapToGrid w:val="0"/>
              <w:spacing w:before="75" w:line="276" w:lineRule="auto"/>
              <w:ind w:left="343"/>
              <w:jc w:val="left"/>
              <w:rPr>
                <w:rFonts w:ascii="宋体" w:hAnsi="宋体"/>
                <w:color w:val="auto"/>
                <w:kern w:val="0"/>
                <w:sz w:val="24"/>
                <w:szCs w:val="24"/>
                <w:highlight w:val="none"/>
              </w:rPr>
            </w:pPr>
            <w:r>
              <w:rPr>
                <w:rFonts w:hint="eastAsia" w:ascii="宋体" w:hAnsi="宋体"/>
                <w:color w:val="auto"/>
                <w:kern w:val="0"/>
                <w:sz w:val="24"/>
                <w:szCs w:val="24"/>
                <w:highlight w:val="none"/>
              </w:rPr>
              <w:t>5</w:t>
            </w:r>
          </w:p>
        </w:tc>
        <w:tc>
          <w:tcPr>
            <w:tcW w:w="2029" w:type="dxa"/>
            <w:vAlign w:val="center"/>
          </w:tcPr>
          <w:p w14:paraId="4BFD8E7C">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日记记录完整性</w:t>
            </w:r>
          </w:p>
        </w:tc>
        <w:tc>
          <w:tcPr>
            <w:tcW w:w="6704" w:type="dxa"/>
            <w:vAlign w:val="center"/>
          </w:tcPr>
          <w:p w14:paraId="425A3243">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检查各主机服务器相应操作系统或数据库的日志记录的配 置情况，如 覆盖范围、记录的项目和内容等；检查安全审计记录的保护及完整性 验证情况。</w:t>
            </w:r>
          </w:p>
        </w:tc>
      </w:tr>
      <w:tr w14:paraId="7A852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66" w:type="dxa"/>
            <w:vAlign w:val="center"/>
          </w:tcPr>
          <w:p w14:paraId="6B131D1B">
            <w:pPr>
              <w:widowControl/>
              <w:kinsoku w:val="0"/>
              <w:autoSpaceDE w:val="0"/>
              <w:autoSpaceDN w:val="0"/>
              <w:snapToGrid w:val="0"/>
              <w:spacing w:line="276" w:lineRule="auto"/>
              <w:jc w:val="center"/>
              <w:rPr>
                <w:rFonts w:ascii="宋体" w:hAnsi="宋体"/>
                <w:color w:val="auto"/>
                <w:kern w:val="0"/>
                <w:sz w:val="24"/>
                <w:szCs w:val="24"/>
                <w:highlight w:val="none"/>
              </w:rPr>
            </w:pPr>
            <w:r>
              <w:rPr>
                <w:rFonts w:hint="eastAsia" w:ascii="宋体" w:hAnsi="宋体"/>
                <w:color w:val="auto"/>
                <w:kern w:val="0"/>
                <w:sz w:val="24"/>
                <w:szCs w:val="24"/>
                <w:highlight w:val="none"/>
              </w:rPr>
              <w:t>6</w:t>
            </w:r>
          </w:p>
        </w:tc>
        <w:tc>
          <w:tcPr>
            <w:tcW w:w="2029" w:type="dxa"/>
          </w:tcPr>
          <w:p w14:paraId="100E85F8">
            <w:pPr>
              <w:widowControl/>
              <w:kinsoku w:val="0"/>
              <w:autoSpaceDE w:val="0"/>
              <w:autoSpaceDN w:val="0"/>
              <w:snapToGrid w:val="0"/>
              <w:spacing w:before="39" w:line="276" w:lineRule="auto"/>
              <w:ind w:right="82"/>
              <w:jc w:val="left"/>
              <w:rPr>
                <w:rFonts w:ascii="宋体" w:hAnsi="宋体"/>
                <w:color w:val="auto"/>
                <w:spacing w:val="-16"/>
                <w:kern w:val="0"/>
                <w:sz w:val="24"/>
                <w:szCs w:val="24"/>
                <w:highlight w:val="none"/>
              </w:rPr>
            </w:pPr>
            <w:r>
              <w:rPr>
                <w:rFonts w:hint="eastAsia" w:ascii="宋体" w:hAnsi="宋体"/>
                <w:color w:val="auto"/>
                <w:spacing w:val="-16"/>
                <w:kern w:val="0"/>
                <w:sz w:val="24"/>
                <w:szCs w:val="24"/>
                <w:highlight w:val="none"/>
              </w:rPr>
              <w:t>重</w:t>
            </w:r>
            <w:r>
              <w:rPr>
                <w:rFonts w:hint="eastAsia" w:ascii="宋体" w:hAnsi="宋体"/>
                <w:color w:val="auto"/>
                <w:spacing w:val="-14"/>
                <w:kern w:val="0"/>
                <w:sz w:val="24"/>
                <w:szCs w:val="24"/>
                <w:highlight w:val="none"/>
              </w:rPr>
              <w:t xml:space="preserve"> 要 可 执 行 程</w:t>
            </w:r>
            <w:r>
              <w:rPr>
                <w:rFonts w:hint="eastAsia" w:ascii="宋体" w:hAnsi="宋体"/>
                <w:color w:val="auto"/>
                <w:kern w:val="0"/>
                <w:sz w:val="24"/>
                <w:szCs w:val="24"/>
                <w:highlight w:val="none"/>
              </w:rPr>
              <w:t xml:space="preserve"> </w:t>
            </w:r>
            <w:r>
              <w:rPr>
                <w:rFonts w:hint="eastAsia" w:ascii="宋体" w:hAnsi="宋体"/>
                <w:color w:val="auto"/>
                <w:spacing w:val="-22"/>
                <w:kern w:val="0"/>
                <w:sz w:val="24"/>
                <w:szCs w:val="24"/>
                <w:highlight w:val="none"/>
              </w:rPr>
              <w:t>序 文 件完整性、</w:t>
            </w:r>
            <w:r>
              <w:rPr>
                <w:rFonts w:hint="eastAsia" w:ascii="宋体" w:hAnsi="宋体"/>
                <w:color w:val="auto"/>
                <w:spacing w:val="-21"/>
                <w:kern w:val="0"/>
                <w:sz w:val="24"/>
                <w:szCs w:val="24"/>
                <w:highlight w:val="none"/>
              </w:rPr>
              <w:t>重</w:t>
            </w:r>
            <w:r>
              <w:rPr>
                <w:rFonts w:hint="eastAsia" w:ascii="宋体" w:hAnsi="宋体"/>
                <w:color w:val="auto"/>
                <w:kern w:val="0"/>
                <w:sz w:val="24"/>
                <w:szCs w:val="24"/>
                <w:highlight w:val="none"/>
              </w:rPr>
              <w:t xml:space="preserve"> </w:t>
            </w:r>
            <w:r>
              <w:rPr>
                <w:rFonts w:hint="eastAsia" w:ascii="宋体" w:hAnsi="宋体"/>
                <w:color w:val="auto"/>
                <w:spacing w:val="34"/>
                <w:kern w:val="0"/>
                <w:sz w:val="24"/>
                <w:szCs w:val="24"/>
                <w:highlight w:val="none"/>
              </w:rPr>
              <w:t>要可执行程序</w:t>
            </w:r>
            <w:r>
              <w:rPr>
                <w:rFonts w:hint="eastAsia" w:ascii="宋体" w:hAnsi="宋体"/>
                <w:color w:val="auto"/>
                <w:spacing w:val="33"/>
                <w:kern w:val="0"/>
                <w:sz w:val="24"/>
                <w:szCs w:val="24"/>
                <w:highlight w:val="none"/>
              </w:rPr>
              <w:t>来</w:t>
            </w:r>
            <w:r>
              <w:rPr>
                <w:rFonts w:hint="eastAsia" w:ascii="宋体" w:hAnsi="宋体"/>
                <w:color w:val="auto"/>
                <w:spacing w:val="8"/>
                <w:kern w:val="0"/>
                <w:sz w:val="24"/>
                <w:szCs w:val="24"/>
                <w:highlight w:val="none"/>
              </w:rPr>
              <w:t>源真实</w:t>
            </w:r>
            <w:r>
              <w:rPr>
                <w:rFonts w:hint="eastAsia" w:ascii="宋体" w:hAnsi="宋体"/>
                <w:color w:val="auto"/>
                <w:spacing w:val="7"/>
                <w:kern w:val="0"/>
                <w:sz w:val="24"/>
                <w:szCs w:val="24"/>
                <w:highlight w:val="none"/>
              </w:rPr>
              <w:t>性</w:t>
            </w:r>
          </w:p>
        </w:tc>
        <w:tc>
          <w:tcPr>
            <w:tcW w:w="6704" w:type="dxa"/>
            <w:vAlign w:val="center"/>
          </w:tcPr>
          <w:p w14:paraId="148F28B2">
            <w:pPr>
              <w:widowControl/>
              <w:kinsoku w:val="0"/>
              <w:autoSpaceDE w:val="0"/>
              <w:autoSpaceDN w:val="0"/>
              <w:snapToGrid w:val="0"/>
              <w:spacing w:before="75" w:line="276" w:lineRule="auto"/>
              <w:ind w:left="93"/>
              <w:rPr>
                <w:rFonts w:ascii="宋体" w:hAnsi="宋体"/>
                <w:color w:val="auto"/>
                <w:spacing w:val="16"/>
                <w:kern w:val="0"/>
                <w:sz w:val="24"/>
                <w:szCs w:val="24"/>
                <w:highlight w:val="none"/>
              </w:rPr>
            </w:pPr>
            <w:r>
              <w:rPr>
                <w:rFonts w:hint="eastAsia" w:ascii="宋体" w:hAnsi="宋体"/>
                <w:color w:val="auto"/>
                <w:spacing w:val="16"/>
                <w:kern w:val="0"/>
                <w:sz w:val="24"/>
                <w:szCs w:val="24"/>
                <w:highlight w:val="none"/>
              </w:rPr>
              <w:t>对</w:t>
            </w:r>
            <w:r>
              <w:rPr>
                <w:rFonts w:hint="eastAsia" w:ascii="宋体" w:hAnsi="宋体"/>
                <w:color w:val="auto"/>
                <w:spacing w:val="14"/>
                <w:kern w:val="0"/>
                <w:sz w:val="24"/>
                <w:szCs w:val="24"/>
                <w:highlight w:val="none"/>
              </w:rPr>
              <w:t>重</w:t>
            </w:r>
            <w:r>
              <w:rPr>
                <w:rFonts w:hint="eastAsia" w:ascii="宋体" w:hAnsi="宋体"/>
                <w:color w:val="auto"/>
                <w:spacing w:val="8"/>
                <w:kern w:val="0"/>
                <w:sz w:val="24"/>
                <w:szCs w:val="24"/>
                <w:highlight w:val="none"/>
              </w:rPr>
              <w:t>要程序及文件的完整性进行分析检查。</w:t>
            </w:r>
          </w:p>
        </w:tc>
      </w:tr>
    </w:tbl>
    <w:p w14:paraId="5E9934E5">
      <w:pPr>
        <w:widowControl/>
        <w:kinsoku w:val="0"/>
        <w:autoSpaceDE w:val="0"/>
        <w:autoSpaceDN w:val="0"/>
        <w:snapToGrid w:val="0"/>
        <w:spacing w:line="276" w:lineRule="auto"/>
        <w:jc w:val="left"/>
        <w:rPr>
          <w:rFonts w:ascii="宋体" w:hAnsi="宋体"/>
          <w:color w:val="auto"/>
          <w:kern w:val="0"/>
          <w:sz w:val="24"/>
          <w:szCs w:val="24"/>
          <w:highlight w:val="none"/>
        </w:rPr>
      </w:pPr>
    </w:p>
    <w:p w14:paraId="2EEFD604">
      <w:pPr>
        <w:widowControl/>
        <w:kinsoku w:val="0"/>
        <w:autoSpaceDE w:val="0"/>
        <w:autoSpaceDN w:val="0"/>
        <w:snapToGrid w:val="0"/>
        <w:spacing w:before="34" w:line="276" w:lineRule="auto"/>
        <w:ind w:left="531"/>
        <w:jc w:val="left"/>
        <w:rPr>
          <w:rFonts w:ascii="宋体" w:hAnsi="宋体"/>
          <w:color w:val="auto"/>
          <w:spacing w:val="9"/>
          <w:kern w:val="0"/>
          <w:sz w:val="24"/>
          <w:szCs w:val="24"/>
          <w:highlight w:val="none"/>
        </w:rPr>
      </w:pPr>
      <w:r>
        <w:rPr>
          <w:rFonts w:hint="eastAsia" w:ascii="宋体" w:hAnsi="宋体"/>
          <w:color w:val="auto"/>
          <w:spacing w:val="9"/>
          <w:kern w:val="0"/>
          <w:sz w:val="24"/>
          <w:szCs w:val="24"/>
          <w:highlight w:val="none"/>
        </w:rPr>
        <w:t>应</w:t>
      </w:r>
      <w:r>
        <w:rPr>
          <w:rFonts w:hint="eastAsia" w:ascii="宋体" w:hAnsi="宋体"/>
          <w:color w:val="auto"/>
          <w:spacing w:val="7"/>
          <w:kern w:val="0"/>
          <w:sz w:val="24"/>
          <w:szCs w:val="24"/>
          <w:highlight w:val="none"/>
        </w:rPr>
        <w:t>用和数据安全</w:t>
      </w:r>
    </w:p>
    <w:p w14:paraId="692AC072">
      <w:pPr>
        <w:widowControl/>
        <w:kinsoku w:val="0"/>
        <w:autoSpaceDE w:val="0"/>
        <w:autoSpaceDN w:val="0"/>
        <w:snapToGrid w:val="0"/>
        <w:spacing w:line="276" w:lineRule="auto"/>
        <w:jc w:val="left"/>
        <w:rPr>
          <w:rFonts w:ascii="宋体" w:hAnsi="宋体"/>
          <w:color w:val="auto"/>
          <w:kern w:val="0"/>
          <w:sz w:val="24"/>
          <w:szCs w:val="24"/>
          <w:highlight w:val="none"/>
        </w:rPr>
      </w:pPr>
    </w:p>
    <w:tbl>
      <w:tblPr>
        <w:tblStyle w:val="140"/>
        <w:tblW w:w="9353"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2029"/>
        <w:gridCol w:w="6558"/>
      </w:tblGrid>
      <w:tr w14:paraId="3CF20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66" w:type="dxa"/>
            <w:shd w:val="clear" w:color="auto" w:fill="F3F3F3"/>
          </w:tcPr>
          <w:p w14:paraId="3F80A6CC">
            <w:pPr>
              <w:widowControl/>
              <w:kinsoku w:val="0"/>
              <w:autoSpaceDE w:val="0"/>
              <w:autoSpaceDN w:val="0"/>
              <w:snapToGrid w:val="0"/>
              <w:spacing w:before="123" w:line="276" w:lineRule="auto"/>
              <w:jc w:val="left"/>
              <w:rPr>
                <w:rFonts w:ascii="宋体" w:hAnsi="宋体"/>
                <w:color w:val="auto"/>
                <w:spacing w:val="3"/>
                <w:kern w:val="0"/>
                <w:sz w:val="24"/>
                <w:szCs w:val="24"/>
                <w:highlight w:val="none"/>
              </w:rPr>
            </w:pPr>
            <w:r>
              <w:rPr>
                <w:rFonts w:hint="eastAsia" w:ascii="宋体" w:hAnsi="宋体"/>
                <w:color w:val="auto"/>
                <w:spacing w:val="3"/>
                <w:kern w:val="0"/>
                <w:sz w:val="24"/>
                <w:szCs w:val="24"/>
                <w:highlight w:val="none"/>
              </w:rPr>
              <w:t>序号</w:t>
            </w:r>
          </w:p>
        </w:tc>
        <w:tc>
          <w:tcPr>
            <w:tcW w:w="2029" w:type="dxa"/>
            <w:shd w:val="clear" w:color="auto" w:fill="F3F3F3"/>
          </w:tcPr>
          <w:p w14:paraId="676B858C">
            <w:pPr>
              <w:widowControl/>
              <w:kinsoku w:val="0"/>
              <w:autoSpaceDE w:val="0"/>
              <w:autoSpaceDN w:val="0"/>
              <w:snapToGrid w:val="0"/>
              <w:spacing w:before="124" w:line="276" w:lineRule="auto"/>
              <w:jc w:val="left"/>
              <w:rPr>
                <w:rFonts w:ascii="宋体" w:hAnsi="宋体"/>
                <w:color w:val="auto"/>
                <w:spacing w:val="8"/>
                <w:kern w:val="0"/>
                <w:sz w:val="24"/>
                <w:szCs w:val="24"/>
                <w:highlight w:val="none"/>
              </w:rPr>
            </w:pPr>
            <w:r>
              <w:rPr>
                <w:rFonts w:hint="eastAsia" w:ascii="宋体" w:hAnsi="宋体"/>
                <w:color w:val="auto"/>
                <w:spacing w:val="8"/>
                <w:kern w:val="0"/>
                <w:sz w:val="24"/>
                <w:szCs w:val="24"/>
                <w:highlight w:val="none"/>
              </w:rPr>
              <w:t>工</w:t>
            </w:r>
            <w:r>
              <w:rPr>
                <w:rFonts w:hint="eastAsia" w:ascii="宋体" w:hAnsi="宋体"/>
                <w:color w:val="auto"/>
                <w:spacing w:val="6"/>
                <w:kern w:val="0"/>
                <w:sz w:val="24"/>
                <w:szCs w:val="24"/>
                <w:highlight w:val="none"/>
              </w:rPr>
              <w:t>作单元名称</w:t>
            </w:r>
          </w:p>
        </w:tc>
        <w:tc>
          <w:tcPr>
            <w:tcW w:w="6558" w:type="dxa"/>
            <w:shd w:val="clear" w:color="auto" w:fill="F3F3F3"/>
          </w:tcPr>
          <w:p w14:paraId="4C684F2A">
            <w:pPr>
              <w:widowControl/>
              <w:kinsoku w:val="0"/>
              <w:autoSpaceDE w:val="0"/>
              <w:autoSpaceDN w:val="0"/>
              <w:snapToGrid w:val="0"/>
              <w:spacing w:before="124" w:line="276" w:lineRule="auto"/>
              <w:ind w:left="2663"/>
              <w:jc w:val="left"/>
              <w:rPr>
                <w:rFonts w:ascii="宋体" w:hAnsi="宋体"/>
                <w:color w:val="auto"/>
                <w:spacing w:val="8"/>
                <w:kern w:val="0"/>
                <w:sz w:val="24"/>
                <w:szCs w:val="24"/>
                <w:highlight w:val="none"/>
              </w:rPr>
            </w:pPr>
            <w:r>
              <w:rPr>
                <w:rFonts w:hint="eastAsia" w:ascii="宋体" w:hAnsi="宋体"/>
                <w:color w:val="auto"/>
                <w:spacing w:val="8"/>
                <w:kern w:val="0"/>
                <w:sz w:val="24"/>
                <w:szCs w:val="24"/>
                <w:highlight w:val="none"/>
              </w:rPr>
              <w:t>工</w:t>
            </w:r>
            <w:r>
              <w:rPr>
                <w:rFonts w:hint="eastAsia" w:ascii="宋体" w:hAnsi="宋体"/>
                <w:color w:val="auto"/>
                <w:spacing w:val="6"/>
                <w:kern w:val="0"/>
                <w:sz w:val="24"/>
                <w:szCs w:val="24"/>
                <w:highlight w:val="none"/>
              </w:rPr>
              <w:t>作单元描述</w:t>
            </w:r>
          </w:p>
        </w:tc>
      </w:tr>
      <w:tr w14:paraId="4CDE1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66" w:type="dxa"/>
          </w:tcPr>
          <w:p w14:paraId="3A7DC0F7">
            <w:pPr>
              <w:widowControl/>
              <w:kinsoku w:val="0"/>
              <w:autoSpaceDE w:val="0"/>
              <w:autoSpaceDN w:val="0"/>
              <w:snapToGrid w:val="0"/>
              <w:spacing w:before="307" w:line="276" w:lineRule="auto"/>
              <w:ind w:left="363"/>
              <w:jc w:val="left"/>
              <w:rPr>
                <w:rFonts w:ascii="宋体" w:hAnsi="宋体"/>
                <w:color w:val="auto"/>
                <w:kern w:val="0"/>
                <w:sz w:val="24"/>
                <w:szCs w:val="24"/>
                <w:highlight w:val="none"/>
              </w:rPr>
            </w:pPr>
            <w:r>
              <w:rPr>
                <w:rFonts w:hint="eastAsia" w:ascii="宋体" w:hAnsi="宋体"/>
                <w:color w:val="auto"/>
                <w:kern w:val="0"/>
                <w:sz w:val="24"/>
                <w:szCs w:val="24"/>
                <w:highlight w:val="none"/>
              </w:rPr>
              <w:t>1</w:t>
            </w:r>
          </w:p>
        </w:tc>
        <w:tc>
          <w:tcPr>
            <w:tcW w:w="2029" w:type="dxa"/>
            <w:vAlign w:val="center"/>
          </w:tcPr>
          <w:p w14:paraId="457C6380">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身份鉴别</w:t>
            </w:r>
          </w:p>
        </w:tc>
        <w:tc>
          <w:tcPr>
            <w:tcW w:w="6558" w:type="dxa"/>
            <w:vAlign w:val="center"/>
          </w:tcPr>
          <w:p w14:paraId="33358CDE">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检查业务应用系统的身份标识与鉴别功能设置和使用配置情况；</w:t>
            </w:r>
          </w:p>
        </w:tc>
      </w:tr>
      <w:tr w14:paraId="4333B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6" w:type="dxa"/>
          </w:tcPr>
          <w:p w14:paraId="6037E0E4">
            <w:pPr>
              <w:widowControl/>
              <w:kinsoku w:val="0"/>
              <w:autoSpaceDE w:val="0"/>
              <w:autoSpaceDN w:val="0"/>
              <w:snapToGrid w:val="0"/>
              <w:spacing w:line="276" w:lineRule="auto"/>
              <w:jc w:val="left"/>
              <w:rPr>
                <w:rFonts w:ascii="宋体" w:hAnsi="宋体"/>
                <w:color w:val="auto"/>
                <w:kern w:val="0"/>
                <w:sz w:val="24"/>
                <w:szCs w:val="24"/>
                <w:highlight w:val="none"/>
              </w:rPr>
            </w:pPr>
          </w:p>
          <w:p w14:paraId="0E288B14">
            <w:pPr>
              <w:widowControl/>
              <w:kinsoku w:val="0"/>
              <w:autoSpaceDE w:val="0"/>
              <w:autoSpaceDN w:val="0"/>
              <w:snapToGrid w:val="0"/>
              <w:spacing w:before="75" w:line="276" w:lineRule="auto"/>
              <w:ind w:left="341"/>
              <w:jc w:val="left"/>
              <w:rPr>
                <w:rFonts w:ascii="宋体" w:hAnsi="宋体"/>
                <w:color w:val="auto"/>
                <w:kern w:val="0"/>
                <w:sz w:val="24"/>
                <w:szCs w:val="24"/>
                <w:highlight w:val="none"/>
              </w:rPr>
            </w:pPr>
            <w:r>
              <w:rPr>
                <w:rFonts w:hint="eastAsia" w:ascii="宋体" w:hAnsi="宋体"/>
                <w:color w:val="auto"/>
                <w:kern w:val="0"/>
                <w:sz w:val="24"/>
                <w:szCs w:val="24"/>
                <w:highlight w:val="none"/>
              </w:rPr>
              <w:t>2</w:t>
            </w:r>
          </w:p>
        </w:tc>
        <w:tc>
          <w:tcPr>
            <w:tcW w:w="2029" w:type="dxa"/>
            <w:vAlign w:val="center"/>
          </w:tcPr>
          <w:p w14:paraId="7198BA99">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访问控制</w:t>
            </w:r>
          </w:p>
        </w:tc>
        <w:tc>
          <w:tcPr>
            <w:tcW w:w="6558" w:type="dxa"/>
            <w:vAlign w:val="center"/>
          </w:tcPr>
          <w:p w14:paraId="2B4AB691">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检查业务应用系统的访问控制功能设置情况，如访问控制的策略、访 问控制粒度、权限设置情况等。</w:t>
            </w:r>
          </w:p>
        </w:tc>
      </w:tr>
      <w:tr w14:paraId="1AD19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766" w:type="dxa"/>
          </w:tcPr>
          <w:p w14:paraId="5759E2A2">
            <w:pPr>
              <w:widowControl/>
              <w:kinsoku w:val="0"/>
              <w:autoSpaceDE w:val="0"/>
              <w:autoSpaceDN w:val="0"/>
              <w:snapToGrid w:val="0"/>
              <w:spacing w:line="276" w:lineRule="auto"/>
              <w:jc w:val="left"/>
              <w:rPr>
                <w:rFonts w:ascii="宋体" w:hAnsi="宋体"/>
                <w:color w:val="auto"/>
                <w:kern w:val="0"/>
                <w:sz w:val="24"/>
                <w:szCs w:val="24"/>
                <w:highlight w:val="none"/>
              </w:rPr>
            </w:pPr>
          </w:p>
          <w:p w14:paraId="04820FBD">
            <w:pPr>
              <w:widowControl/>
              <w:kinsoku w:val="0"/>
              <w:autoSpaceDE w:val="0"/>
              <w:autoSpaceDN w:val="0"/>
              <w:snapToGrid w:val="0"/>
              <w:spacing w:line="276" w:lineRule="auto"/>
              <w:jc w:val="left"/>
              <w:rPr>
                <w:rFonts w:ascii="宋体" w:hAnsi="宋体"/>
                <w:color w:val="auto"/>
                <w:kern w:val="0"/>
                <w:sz w:val="24"/>
                <w:szCs w:val="24"/>
                <w:highlight w:val="none"/>
              </w:rPr>
            </w:pPr>
          </w:p>
          <w:p w14:paraId="6938048F">
            <w:pPr>
              <w:widowControl/>
              <w:kinsoku w:val="0"/>
              <w:autoSpaceDE w:val="0"/>
              <w:autoSpaceDN w:val="0"/>
              <w:snapToGrid w:val="0"/>
              <w:spacing w:before="75" w:line="276" w:lineRule="auto"/>
              <w:ind w:left="343"/>
              <w:jc w:val="left"/>
              <w:rPr>
                <w:rFonts w:ascii="宋体" w:hAnsi="宋体"/>
                <w:color w:val="auto"/>
                <w:kern w:val="0"/>
                <w:sz w:val="24"/>
                <w:szCs w:val="24"/>
                <w:highlight w:val="none"/>
              </w:rPr>
            </w:pPr>
            <w:r>
              <w:rPr>
                <w:rFonts w:hint="eastAsia" w:ascii="宋体" w:hAnsi="宋体"/>
                <w:color w:val="auto"/>
                <w:kern w:val="0"/>
                <w:sz w:val="24"/>
                <w:szCs w:val="24"/>
                <w:highlight w:val="none"/>
              </w:rPr>
              <w:t>3</w:t>
            </w:r>
          </w:p>
        </w:tc>
        <w:tc>
          <w:tcPr>
            <w:tcW w:w="2029" w:type="dxa"/>
            <w:vAlign w:val="center"/>
          </w:tcPr>
          <w:p w14:paraId="7E6BC521">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重要信息 资源安全标记完整性</w:t>
            </w:r>
          </w:p>
        </w:tc>
        <w:tc>
          <w:tcPr>
            <w:tcW w:w="6558" w:type="dxa"/>
            <w:vAlign w:val="center"/>
          </w:tcPr>
          <w:p w14:paraId="185D41B4">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通过访谈系统管理员和安全管理员关于信息系统重要信息 资源的敏感 标记设置，并且通过相关技术手段进行强制访问控制措施有效性，同时检查敏感标记的完整性。</w:t>
            </w:r>
          </w:p>
        </w:tc>
      </w:tr>
      <w:tr w14:paraId="14800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6" w:type="dxa"/>
          </w:tcPr>
          <w:p w14:paraId="3D020CA0">
            <w:pPr>
              <w:widowControl/>
              <w:kinsoku w:val="0"/>
              <w:autoSpaceDE w:val="0"/>
              <w:autoSpaceDN w:val="0"/>
              <w:snapToGrid w:val="0"/>
              <w:spacing w:line="276" w:lineRule="auto"/>
              <w:jc w:val="left"/>
              <w:rPr>
                <w:rFonts w:ascii="宋体" w:hAnsi="宋体"/>
                <w:color w:val="auto"/>
                <w:kern w:val="0"/>
                <w:sz w:val="24"/>
                <w:szCs w:val="24"/>
                <w:highlight w:val="none"/>
              </w:rPr>
            </w:pPr>
          </w:p>
          <w:p w14:paraId="298290A0">
            <w:pPr>
              <w:widowControl/>
              <w:kinsoku w:val="0"/>
              <w:autoSpaceDE w:val="0"/>
              <w:autoSpaceDN w:val="0"/>
              <w:snapToGrid w:val="0"/>
              <w:spacing w:before="75" w:line="276" w:lineRule="auto"/>
              <w:ind w:left="330"/>
              <w:jc w:val="left"/>
              <w:rPr>
                <w:rFonts w:ascii="宋体" w:hAnsi="宋体"/>
                <w:color w:val="auto"/>
                <w:kern w:val="0"/>
                <w:sz w:val="24"/>
                <w:szCs w:val="24"/>
                <w:highlight w:val="none"/>
              </w:rPr>
            </w:pPr>
            <w:r>
              <w:rPr>
                <w:rFonts w:hint="eastAsia" w:ascii="宋体" w:hAnsi="宋体"/>
                <w:color w:val="auto"/>
                <w:kern w:val="0"/>
                <w:sz w:val="24"/>
                <w:szCs w:val="24"/>
                <w:highlight w:val="none"/>
              </w:rPr>
              <w:t>4</w:t>
            </w:r>
          </w:p>
        </w:tc>
        <w:tc>
          <w:tcPr>
            <w:tcW w:w="2029" w:type="dxa"/>
            <w:vAlign w:val="center"/>
          </w:tcPr>
          <w:p w14:paraId="67DA64E9">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重要数据传输机密性</w:t>
            </w:r>
          </w:p>
        </w:tc>
        <w:tc>
          <w:tcPr>
            <w:tcW w:w="6558" w:type="dxa"/>
            <w:vAlign w:val="center"/>
          </w:tcPr>
          <w:p w14:paraId="2ABD2873">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检查业务应用系统的重要数据传输机制、加密算法等信息。</w:t>
            </w:r>
          </w:p>
        </w:tc>
      </w:tr>
      <w:tr w14:paraId="626D1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6" w:type="dxa"/>
          </w:tcPr>
          <w:p w14:paraId="3A203B70">
            <w:pPr>
              <w:widowControl/>
              <w:kinsoku w:val="0"/>
              <w:autoSpaceDE w:val="0"/>
              <w:autoSpaceDN w:val="0"/>
              <w:snapToGrid w:val="0"/>
              <w:spacing w:line="276" w:lineRule="auto"/>
              <w:jc w:val="left"/>
              <w:rPr>
                <w:rFonts w:ascii="宋体" w:hAnsi="宋体"/>
                <w:color w:val="auto"/>
                <w:kern w:val="0"/>
                <w:sz w:val="24"/>
                <w:szCs w:val="24"/>
                <w:highlight w:val="none"/>
              </w:rPr>
            </w:pPr>
          </w:p>
          <w:p w14:paraId="655FDC45">
            <w:pPr>
              <w:widowControl/>
              <w:kinsoku w:val="0"/>
              <w:autoSpaceDE w:val="0"/>
              <w:autoSpaceDN w:val="0"/>
              <w:snapToGrid w:val="0"/>
              <w:spacing w:before="75" w:line="276" w:lineRule="auto"/>
              <w:ind w:left="343"/>
              <w:jc w:val="left"/>
              <w:rPr>
                <w:rFonts w:ascii="宋体" w:hAnsi="宋体"/>
                <w:color w:val="auto"/>
                <w:kern w:val="0"/>
                <w:sz w:val="24"/>
                <w:szCs w:val="24"/>
                <w:highlight w:val="none"/>
              </w:rPr>
            </w:pPr>
            <w:r>
              <w:rPr>
                <w:rFonts w:hint="eastAsia" w:ascii="宋体" w:hAnsi="宋体"/>
                <w:color w:val="auto"/>
                <w:kern w:val="0"/>
                <w:sz w:val="24"/>
                <w:szCs w:val="24"/>
                <w:highlight w:val="none"/>
              </w:rPr>
              <w:t>5</w:t>
            </w:r>
          </w:p>
        </w:tc>
        <w:tc>
          <w:tcPr>
            <w:tcW w:w="2029" w:type="dxa"/>
            <w:vAlign w:val="center"/>
          </w:tcPr>
          <w:p w14:paraId="4FB76A5A">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重要数据 存储机密性</w:t>
            </w:r>
          </w:p>
        </w:tc>
        <w:tc>
          <w:tcPr>
            <w:tcW w:w="6558" w:type="dxa"/>
            <w:vAlign w:val="center"/>
          </w:tcPr>
          <w:p w14:paraId="23EE71A8">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检查业务应用系统的重要数据传输机制、加密算法等信息。</w:t>
            </w:r>
          </w:p>
        </w:tc>
      </w:tr>
      <w:tr w14:paraId="563B6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6" w:type="dxa"/>
          </w:tcPr>
          <w:p w14:paraId="2D6A733E">
            <w:pPr>
              <w:widowControl/>
              <w:kinsoku w:val="0"/>
              <w:autoSpaceDE w:val="0"/>
              <w:autoSpaceDN w:val="0"/>
              <w:snapToGrid w:val="0"/>
              <w:spacing w:line="276" w:lineRule="auto"/>
              <w:jc w:val="left"/>
              <w:rPr>
                <w:rFonts w:ascii="宋体" w:hAnsi="宋体"/>
                <w:color w:val="auto"/>
                <w:kern w:val="0"/>
                <w:sz w:val="24"/>
                <w:szCs w:val="24"/>
                <w:highlight w:val="none"/>
              </w:rPr>
            </w:pPr>
          </w:p>
          <w:p w14:paraId="46DC86E2">
            <w:pPr>
              <w:widowControl/>
              <w:kinsoku w:val="0"/>
              <w:autoSpaceDE w:val="0"/>
              <w:autoSpaceDN w:val="0"/>
              <w:snapToGrid w:val="0"/>
              <w:spacing w:before="75" w:line="276" w:lineRule="auto"/>
              <w:ind w:left="340"/>
              <w:jc w:val="left"/>
              <w:rPr>
                <w:rFonts w:ascii="宋体" w:hAnsi="宋体"/>
                <w:color w:val="auto"/>
                <w:kern w:val="0"/>
                <w:sz w:val="24"/>
                <w:szCs w:val="24"/>
                <w:highlight w:val="none"/>
              </w:rPr>
            </w:pPr>
            <w:r>
              <w:rPr>
                <w:rFonts w:hint="eastAsia" w:ascii="宋体" w:hAnsi="宋体"/>
                <w:color w:val="auto"/>
                <w:kern w:val="0"/>
                <w:sz w:val="24"/>
                <w:szCs w:val="24"/>
                <w:highlight w:val="none"/>
              </w:rPr>
              <w:t>6</w:t>
            </w:r>
          </w:p>
        </w:tc>
        <w:tc>
          <w:tcPr>
            <w:tcW w:w="2029" w:type="dxa"/>
            <w:vAlign w:val="center"/>
          </w:tcPr>
          <w:p w14:paraId="2781B5EC">
            <w:pPr>
              <w:widowControl/>
              <w:kinsoku w:val="0"/>
              <w:autoSpaceDE w:val="0"/>
              <w:autoSpaceDN w:val="0"/>
              <w:snapToGrid w:val="0"/>
              <w:spacing w:before="40" w:line="276" w:lineRule="auto"/>
              <w:rPr>
                <w:rFonts w:ascii="宋体" w:hAnsi="宋体"/>
                <w:color w:val="auto"/>
                <w:spacing w:val="-13"/>
                <w:kern w:val="0"/>
                <w:position w:val="17"/>
                <w:sz w:val="24"/>
                <w:szCs w:val="24"/>
                <w:highlight w:val="none"/>
              </w:rPr>
            </w:pPr>
            <w:r>
              <w:rPr>
                <w:rFonts w:hint="eastAsia" w:ascii="宋体" w:hAnsi="宋体"/>
                <w:color w:val="auto"/>
                <w:spacing w:val="-13"/>
                <w:kern w:val="0"/>
                <w:position w:val="17"/>
                <w:sz w:val="24"/>
                <w:szCs w:val="24"/>
                <w:highlight w:val="none"/>
              </w:rPr>
              <w:t>重要数据传</w:t>
            </w:r>
            <w:r>
              <w:rPr>
                <w:rFonts w:hint="eastAsia" w:ascii="宋体" w:hAnsi="宋体"/>
                <w:color w:val="auto"/>
                <w:spacing w:val="-12"/>
                <w:kern w:val="0"/>
                <w:position w:val="17"/>
                <w:sz w:val="24"/>
                <w:szCs w:val="24"/>
                <w:highlight w:val="none"/>
              </w:rPr>
              <w:t>输</w:t>
            </w:r>
          </w:p>
          <w:p w14:paraId="521667BB">
            <w:pPr>
              <w:widowControl/>
              <w:kinsoku w:val="0"/>
              <w:autoSpaceDE w:val="0"/>
              <w:autoSpaceDN w:val="0"/>
              <w:snapToGrid w:val="0"/>
              <w:spacing w:before="40" w:line="276" w:lineRule="auto"/>
              <w:rPr>
                <w:rFonts w:ascii="宋体" w:hAnsi="宋体"/>
                <w:color w:val="auto"/>
                <w:spacing w:val="-25"/>
                <w:kern w:val="0"/>
                <w:sz w:val="24"/>
                <w:szCs w:val="24"/>
                <w:highlight w:val="none"/>
              </w:rPr>
            </w:pPr>
            <w:r>
              <w:rPr>
                <w:rFonts w:hint="eastAsia" w:ascii="宋体" w:hAnsi="宋体"/>
                <w:color w:val="auto"/>
                <w:spacing w:val="-25"/>
                <w:kern w:val="0"/>
                <w:sz w:val="24"/>
                <w:szCs w:val="24"/>
                <w:highlight w:val="none"/>
              </w:rPr>
              <w:t>完 整 性</w:t>
            </w:r>
          </w:p>
        </w:tc>
        <w:tc>
          <w:tcPr>
            <w:tcW w:w="6558" w:type="dxa"/>
            <w:vAlign w:val="center"/>
          </w:tcPr>
          <w:p w14:paraId="7FC13CD6">
            <w:pPr>
              <w:widowControl/>
              <w:kinsoku w:val="0"/>
              <w:autoSpaceDE w:val="0"/>
              <w:autoSpaceDN w:val="0"/>
              <w:snapToGrid w:val="0"/>
              <w:spacing w:before="273" w:line="276" w:lineRule="auto"/>
              <w:ind w:left="90"/>
              <w:rPr>
                <w:rFonts w:ascii="宋体" w:hAnsi="宋体"/>
                <w:color w:val="auto"/>
                <w:spacing w:val="8"/>
                <w:kern w:val="0"/>
                <w:sz w:val="24"/>
                <w:szCs w:val="24"/>
                <w:highlight w:val="none"/>
              </w:rPr>
            </w:pPr>
            <w:r>
              <w:rPr>
                <w:rFonts w:hint="eastAsia" w:ascii="宋体" w:hAnsi="宋体"/>
                <w:color w:val="auto"/>
                <w:spacing w:val="8"/>
                <w:kern w:val="0"/>
                <w:sz w:val="24"/>
                <w:szCs w:val="24"/>
                <w:highlight w:val="none"/>
              </w:rPr>
              <w:t>检查重要数据存储的环境及安全性。</w:t>
            </w:r>
          </w:p>
        </w:tc>
      </w:tr>
      <w:tr w14:paraId="12491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66" w:type="dxa"/>
          </w:tcPr>
          <w:p w14:paraId="5F083ABC">
            <w:pPr>
              <w:widowControl/>
              <w:kinsoku w:val="0"/>
              <w:autoSpaceDE w:val="0"/>
              <w:autoSpaceDN w:val="0"/>
              <w:snapToGrid w:val="0"/>
              <w:spacing w:line="276" w:lineRule="auto"/>
              <w:jc w:val="left"/>
              <w:rPr>
                <w:rFonts w:ascii="宋体" w:hAnsi="宋体"/>
                <w:color w:val="auto"/>
                <w:kern w:val="0"/>
                <w:sz w:val="24"/>
                <w:szCs w:val="24"/>
                <w:highlight w:val="none"/>
              </w:rPr>
            </w:pPr>
          </w:p>
          <w:p w14:paraId="26E232F1">
            <w:pPr>
              <w:widowControl/>
              <w:kinsoku w:val="0"/>
              <w:autoSpaceDE w:val="0"/>
              <w:autoSpaceDN w:val="0"/>
              <w:snapToGrid w:val="0"/>
              <w:spacing w:before="75" w:line="276" w:lineRule="auto"/>
              <w:ind w:left="342"/>
              <w:jc w:val="left"/>
              <w:rPr>
                <w:rFonts w:ascii="宋体" w:hAnsi="宋体"/>
                <w:color w:val="auto"/>
                <w:kern w:val="0"/>
                <w:sz w:val="24"/>
                <w:szCs w:val="24"/>
                <w:highlight w:val="none"/>
              </w:rPr>
            </w:pPr>
            <w:r>
              <w:rPr>
                <w:rFonts w:hint="eastAsia" w:ascii="宋体" w:hAnsi="宋体"/>
                <w:color w:val="auto"/>
                <w:kern w:val="0"/>
                <w:sz w:val="24"/>
                <w:szCs w:val="24"/>
                <w:highlight w:val="none"/>
              </w:rPr>
              <w:t>7</w:t>
            </w:r>
          </w:p>
        </w:tc>
        <w:tc>
          <w:tcPr>
            <w:tcW w:w="2029" w:type="dxa"/>
            <w:vAlign w:val="center"/>
          </w:tcPr>
          <w:p w14:paraId="198BDDA5">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重要数据 存储完整性</w:t>
            </w:r>
          </w:p>
        </w:tc>
        <w:tc>
          <w:tcPr>
            <w:tcW w:w="6558" w:type="dxa"/>
          </w:tcPr>
          <w:p w14:paraId="33D0D449">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检查重要数据存储的环境及安全性。</w:t>
            </w:r>
          </w:p>
        </w:tc>
      </w:tr>
      <w:tr w14:paraId="1C542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66" w:type="dxa"/>
          </w:tcPr>
          <w:p w14:paraId="6182F4AB">
            <w:pPr>
              <w:widowControl/>
              <w:kinsoku w:val="0"/>
              <w:autoSpaceDE w:val="0"/>
              <w:autoSpaceDN w:val="0"/>
              <w:snapToGrid w:val="0"/>
              <w:spacing w:line="276" w:lineRule="auto"/>
              <w:jc w:val="left"/>
              <w:rPr>
                <w:rFonts w:ascii="宋体" w:hAnsi="宋体"/>
                <w:color w:val="auto"/>
                <w:kern w:val="0"/>
                <w:sz w:val="24"/>
                <w:szCs w:val="24"/>
                <w:highlight w:val="none"/>
              </w:rPr>
            </w:pPr>
          </w:p>
          <w:p w14:paraId="3438DE83">
            <w:pPr>
              <w:widowControl/>
              <w:kinsoku w:val="0"/>
              <w:autoSpaceDE w:val="0"/>
              <w:autoSpaceDN w:val="0"/>
              <w:snapToGrid w:val="0"/>
              <w:spacing w:before="75" w:line="276" w:lineRule="auto"/>
              <w:ind w:left="342"/>
              <w:jc w:val="left"/>
              <w:rPr>
                <w:rFonts w:ascii="宋体" w:hAnsi="宋体"/>
                <w:color w:val="auto"/>
                <w:kern w:val="0"/>
                <w:sz w:val="24"/>
                <w:szCs w:val="24"/>
                <w:highlight w:val="none"/>
              </w:rPr>
            </w:pPr>
            <w:r>
              <w:rPr>
                <w:rFonts w:hint="eastAsia" w:ascii="宋体" w:hAnsi="宋体"/>
                <w:color w:val="auto"/>
                <w:kern w:val="0"/>
                <w:sz w:val="24"/>
                <w:szCs w:val="24"/>
                <w:highlight w:val="none"/>
              </w:rPr>
              <w:t>8</w:t>
            </w:r>
          </w:p>
        </w:tc>
        <w:tc>
          <w:tcPr>
            <w:tcW w:w="2029" w:type="dxa"/>
            <w:vAlign w:val="center"/>
          </w:tcPr>
          <w:p w14:paraId="5C7C1799">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不可否认性</w:t>
            </w:r>
          </w:p>
        </w:tc>
        <w:tc>
          <w:tcPr>
            <w:tcW w:w="6558" w:type="dxa"/>
          </w:tcPr>
          <w:p w14:paraId="53F4DB99">
            <w:pPr>
              <w:widowControl/>
              <w:kinsoku w:val="0"/>
              <w:autoSpaceDE w:val="0"/>
              <w:autoSpaceDN w:val="0"/>
              <w:snapToGrid w:val="0"/>
              <w:spacing w:before="2" w:line="276" w:lineRule="auto"/>
              <w:ind w:left="127" w:right="162" w:rightChars="77" w:firstLine="430"/>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检查业务应用系统的数据接收行为和数据原发行为是否进行了不可否 认性确定。</w:t>
            </w:r>
          </w:p>
        </w:tc>
      </w:tr>
    </w:tbl>
    <w:p w14:paraId="388DB46A">
      <w:pPr>
        <w:widowControl/>
        <w:kinsoku w:val="0"/>
        <w:autoSpaceDE w:val="0"/>
        <w:autoSpaceDN w:val="0"/>
        <w:snapToGrid w:val="0"/>
        <w:spacing w:before="35" w:line="276" w:lineRule="auto"/>
        <w:ind w:left="540"/>
        <w:jc w:val="left"/>
        <w:rPr>
          <w:rFonts w:ascii="宋体" w:hAnsi="宋体"/>
          <w:color w:val="auto"/>
          <w:spacing w:val="3"/>
          <w:kern w:val="0"/>
          <w:sz w:val="24"/>
          <w:szCs w:val="24"/>
          <w:highlight w:val="none"/>
        </w:rPr>
      </w:pPr>
      <w:r>
        <w:rPr>
          <w:rFonts w:hint="eastAsia" w:ascii="宋体" w:hAnsi="宋体"/>
          <w:color w:val="auto"/>
          <w:spacing w:val="3"/>
          <w:kern w:val="0"/>
          <w:sz w:val="24"/>
          <w:szCs w:val="24"/>
          <w:highlight w:val="none"/>
        </w:rPr>
        <w:t>安全管</w:t>
      </w:r>
      <w:r>
        <w:rPr>
          <w:rFonts w:hint="eastAsia" w:ascii="宋体" w:hAnsi="宋体"/>
          <w:color w:val="auto"/>
          <w:spacing w:val="2"/>
          <w:kern w:val="0"/>
          <w:sz w:val="24"/>
          <w:szCs w:val="24"/>
          <w:highlight w:val="none"/>
        </w:rPr>
        <w:t>理</w:t>
      </w:r>
    </w:p>
    <w:p w14:paraId="0BBD4EAA">
      <w:pPr>
        <w:widowControl/>
        <w:kinsoku w:val="0"/>
        <w:autoSpaceDE w:val="0"/>
        <w:autoSpaceDN w:val="0"/>
        <w:snapToGrid w:val="0"/>
        <w:spacing w:line="276" w:lineRule="auto"/>
        <w:jc w:val="left"/>
        <w:rPr>
          <w:rFonts w:ascii="宋体" w:hAnsi="宋体"/>
          <w:color w:val="auto"/>
          <w:kern w:val="0"/>
          <w:sz w:val="24"/>
          <w:szCs w:val="24"/>
          <w:highlight w:val="none"/>
        </w:rPr>
      </w:pPr>
    </w:p>
    <w:tbl>
      <w:tblPr>
        <w:tblStyle w:val="140"/>
        <w:tblW w:w="935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2032"/>
        <w:gridCol w:w="6564"/>
      </w:tblGrid>
      <w:tr w14:paraId="2E348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62" w:type="dxa"/>
            <w:shd w:val="clear" w:color="auto" w:fill="F3F3F3"/>
          </w:tcPr>
          <w:p w14:paraId="48DABF25">
            <w:pPr>
              <w:widowControl/>
              <w:kinsoku w:val="0"/>
              <w:autoSpaceDE w:val="0"/>
              <w:autoSpaceDN w:val="0"/>
              <w:snapToGrid w:val="0"/>
              <w:spacing w:before="123" w:line="276" w:lineRule="auto"/>
              <w:jc w:val="left"/>
              <w:rPr>
                <w:rFonts w:ascii="宋体" w:hAnsi="宋体"/>
                <w:color w:val="auto"/>
                <w:spacing w:val="3"/>
                <w:kern w:val="0"/>
                <w:sz w:val="24"/>
                <w:szCs w:val="24"/>
                <w:highlight w:val="none"/>
              </w:rPr>
            </w:pPr>
            <w:r>
              <w:rPr>
                <w:rFonts w:hint="eastAsia" w:ascii="宋体" w:hAnsi="宋体"/>
                <w:color w:val="auto"/>
                <w:spacing w:val="3"/>
                <w:kern w:val="0"/>
                <w:sz w:val="24"/>
                <w:szCs w:val="24"/>
                <w:highlight w:val="none"/>
              </w:rPr>
              <w:t>序号</w:t>
            </w:r>
          </w:p>
        </w:tc>
        <w:tc>
          <w:tcPr>
            <w:tcW w:w="2032" w:type="dxa"/>
            <w:shd w:val="clear" w:color="auto" w:fill="F3F3F3"/>
          </w:tcPr>
          <w:p w14:paraId="752B1241">
            <w:pPr>
              <w:widowControl/>
              <w:kinsoku w:val="0"/>
              <w:autoSpaceDE w:val="0"/>
              <w:autoSpaceDN w:val="0"/>
              <w:snapToGrid w:val="0"/>
              <w:spacing w:before="124" w:line="276" w:lineRule="auto"/>
              <w:jc w:val="left"/>
              <w:rPr>
                <w:rFonts w:ascii="宋体" w:hAnsi="宋体"/>
                <w:color w:val="auto"/>
                <w:spacing w:val="10"/>
                <w:kern w:val="0"/>
                <w:sz w:val="24"/>
                <w:szCs w:val="24"/>
                <w:highlight w:val="none"/>
              </w:rPr>
            </w:pPr>
            <w:r>
              <w:rPr>
                <w:rFonts w:hint="eastAsia" w:ascii="宋体" w:hAnsi="宋体"/>
                <w:color w:val="auto"/>
                <w:spacing w:val="10"/>
                <w:kern w:val="0"/>
                <w:sz w:val="24"/>
                <w:szCs w:val="24"/>
                <w:highlight w:val="none"/>
              </w:rPr>
              <w:t>工</w:t>
            </w:r>
            <w:r>
              <w:rPr>
                <w:rFonts w:hint="eastAsia" w:ascii="宋体" w:hAnsi="宋体"/>
                <w:color w:val="auto"/>
                <w:spacing w:val="6"/>
                <w:kern w:val="0"/>
                <w:sz w:val="24"/>
                <w:szCs w:val="24"/>
                <w:highlight w:val="none"/>
              </w:rPr>
              <w:t>作单元名称</w:t>
            </w:r>
          </w:p>
        </w:tc>
        <w:tc>
          <w:tcPr>
            <w:tcW w:w="6564" w:type="dxa"/>
            <w:shd w:val="clear" w:color="auto" w:fill="F3F3F3"/>
          </w:tcPr>
          <w:p w14:paraId="0DF11841">
            <w:pPr>
              <w:widowControl/>
              <w:kinsoku w:val="0"/>
              <w:autoSpaceDE w:val="0"/>
              <w:autoSpaceDN w:val="0"/>
              <w:snapToGrid w:val="0"/>
              <w:spacing w:before="124" w:line="276" w:lineRule="auto"/>
              <w:ind w:left="2666"/>
              <w:jc w:val="left"/>
              <w:rPr>
                <w:rFonts w:ascii="宋体" w:hAnsi="宋体"/>
                <w:color w:val="auto"/>
                <w:spacing w:val="10"/>
                <w:kern w:val="0"/>
                <w:sz w:val="24"/>
                <w:szCs w:val="24"/>
                <w:highlight w:val="none"/>
              </w:rPr>
            </w:pPr>
            <w:r>
              <w:rPr>
                <w:rFonts w:hint="eastAsia" w:ascii="宋体" w:hAnsi="宋体"/>
                <w:color w:val="auto"/>
                <w:spacing w:val="10"/>
                <w:kern w:val="0"/>
                <w:sz w:val="24"/>
                <w:szCs w:val="24"/>
                <w:highlight w:val="none"/>
              </w:rPr>
              <w:t>工</w:t>
            </w:r>
            <w:r>
              <w:rPr>
                <w:rFonts w:hint="eastAsia" w:ascii="宋体" w:hAnsi="宋体"/>
                <w:color w:val="auto"/>
                <w:spacing w:val="6"/>
                <w:kern w:val="0"/>
                <w:sz w:val="24"/>
                <w:szCs w:val="24"/>
                <w:highlight w:val="none"/>
              </w:rPr>
              <w:t>作单元描述</w:t>
            </w:r>
          </w:p>
        </w:tc>
      </w:tr>
      <w:tr w14:paraId="31D14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62" w:type="dxa"/>
            <w:vAlign w:val="center"/>
          </w:tcPr>
          <w:p w14:paraId="5BC33257">
            <w:pPr>
              <w:widowControl/>
              <w:kinsoku w:val="0"/>
              <w:autoSpaceDE w:val="0"/>
              <w:autoSpaceDN w:val="0"/>
              <w:snapToGrid w:val="0"/>
              <w:spacing w:before="2" w:line="276" w:lineRule="auto"/>
              <w:ind w:left="127" w:right="162" w:rightChars="77" w:firstLine="430"/>
              <w:jc w:val="center"/>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1</w:t>
            </w:r>
          </w:p>
        </w:tc>
        <w:tc>
          <w:tcPr>
            <w:tcW w:w="2032" w:type="dxa"/>
            <w:vAlign w:val="center"/>
          </w:tcPr>
          <w:p w14:paraId="1808A27F">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管理制度</w:t>
            </w:r>
          </w:p>
        </w:tc>
        <w:tc>
          <w:tcPr>
            <w:tcW w:w="6564" w:type="dxa"/>
          </w:tcPr>
          <w:p w14:paraId="257EF9F3">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检查密码安全管理制度的制订情况。</w:t>
            </w:r>
          </w:p>
        </w:tc>
      </w:tr>
      <w:tr w14:paraId="715F6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62" w:type="dxa"/>
            <w:vAlign w:val="center"/>
          </w:tcPr>
          <w:p w14:paraId="51018A1C">
            <w:pPr>
              <w:widowControl/>
              <w:kinsoku w:val="0"/>
              <w:autoSpaceDE w:val="0"/>
              <w:autoSpaceDN w:val="0"/>
              <w:snapToGrid w:val="0"/>
              <w:spacing w:before="2" w:line="276" w:lineRule="auto"/>
              <w:ind w:left="127" w:right="162" w:rightChars="77" w:firstLine="430"/>
              <w:jc w:val="center"/>
              <w:rPr>
                <w:rFonts w:ascii="宋体" w:hAnsi="宋体"/>
                <w:color w:val="auto"/>
                <w:spacing w:val="11"/>
                <w:kern w:val="0"/>
                <w:sz w:val="24"/>
                <w:szCs w:val="24"/>
                <w:highlight w:val="none"/>
              </w:rPr>
            </w:pPr>
          </w:p>
          <w:p w14:paraId="62FCA466">
            <w:pPr>
              <w:widowControl/>
              <w:kinsoku w:val="0"/>
              <w:autoSpaceDE w:val="0"/>
              <w:autoSpaceDN w:val="0"/>
              <w:snapToGrid w:val="0"/>
              <w:spacing w:before="2" w:line="276" w:lineRule="auto"/>
              <w:ind w:left="127" w:right="162" w:rightChars="77" w:firstLine="430"/>
              <w:jc w:val="center"/>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2</w:t>
            </w:r>
          </w:p>
        </w:tc>
        <w:tc>
          <w:tcPr>
            <w:tcW w:w="2032" w:type="dxa"/>
            <w:vAlign w:val="center"/>
          </w:tcPr>
          <w:p w14:paraId="5CB7DA3A">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人员管理</w:t>
            </w:r>
          </w:p>
        </w:tc>
        <w:tc>
          <w:tcPr>
            <w:tcW w:w="6564" w:type="dxa"/>
          </w:tcPr>
          <w:p w14:paraId="2889577E">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通过访谈安全主管，检查人员名单等文档，检查关于密码管理的相关 规定及岗位设置、职责情况。</w:t>
            </w:r>
          </w:p>
        </w:tc>
      </w:tr>
      <w:tr w14:paraId="21AB8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62" w:type="dxa"/>
            <w:vAlign w:val="center"/>
          </w:tcPr>
          <w:p w14:paraId="2BA9153B">
            <w:pPr>
              <w:widowControl/>
              <w:kinsoku w:val="0"/>
              <w:autoSpaceDE w:val="0"/>
              <w:autoSpaceDN w:val="0"/>
              <w:snapToGrid w:val="0"/>
              <w:spacing w:before="2" w:line="276" w:lineRule="auto"/>
              <w:ind w:left="127" w:right="162" w:rightChars="77" w:firstLine="430"/>
              <w:jc w:val="center"/>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3</w:t>
            </w:r>
          </w:p>
        </w:tc>
        <w:tc>
          <w:tcPr>
            <w:tcW w:w="2032" w:type="dxa"/>
            <w:vAlign w:val="center"/>
          </w:tcPr>
          <w:p w14:paraId="2356831C">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建设运行</w:t>
            </w:r>
          </w:p>
        </w:tc>
        <w:tc>
          <w:tcPr>
            <w:tcW w:w="6564" w:type="dxa"/>
          </w:tcPr>
          <w:p w14:paraId="11A0EB49">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通过检查相关密码项目文档对密码项目的规划、建设及运行情况进行 检查。</w:t>
            </w:r>
          </w:p>
        </w:tc>
      </w:tr>
      <w:tr w14:paraId="7378B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62" w:type="dxa"/>
            <w:vAlign w:val="center"/>
          </w:tcPr>
          <w:p w14:paraId="7B9D3F19">
            <w:pPr>
              <w:widowControl/>
              <w:kinsoku w:val="0"/>
              <w:autoSpaceDE w:val="0"/>
              <w:autoSpaceDN w:val="0"/>
              <w:snapToGrid w:val="0"/>
              <w:spacing w:before="2" w:line="276" w:lineRule="auto"/>
              <w:ind w:left="127" w:right="162" w:rightChars="77" w:firstLine="430"/>
              <w:jc w:val="center"/>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4</w:t>
            </w:r>
          </w:p>
        </w:tc>
        <w:tc>
          <w:tcPr>
            <w:tcW w:w="2032" w:type="dxa"/>
            <w:vAlign w:val="center"/>
          </w:tcPr>
          <w:p w14:paraId="14E07497">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应急处置</w:t>
            </w:r>
          </w:p>
        </w:tc>
        <w:tc>
          <w:tcPr>
            <w:tcW w:w="6564" w:type="dxa"/>
          </w:tcPr>
          <w:p w14:paraId="04883C5B">
            <w:pPr>
              <w:widowControl/>
              <w:kinsoku w:val="0"/>
              <w:autoSpaceDE w:val="0"/>
              <w:autoSpaceDN w:val="0"/>
              <w:snapToGrid w:val="0"/>
              <w:spacing w:before="2" w:line="276" w:lineRule="auto"/>
              <w:ind w:right="162" w:rightChars="77"/>
              <w:rPr>
                <w:rFonts w:ascii="宋体" w:hAnsi="宋体"/>
                <w:color w:val="auto"/>
                <w:spacing w:val="11"/>
                <w:kern w:val="0"/>
                <w:sz w:val="24"/>
                <w:szCs w:val="24"/>
                <w:highlight w:val="none"/>
              </w:rPr>
            </w:pPr>
            <w:r>
              <w:rPr>
                <w:rFonts w:hint="eastAsia" w:ascii="宋体" w:hAnsi="宋体"/>
                <w:color w:val="auto"/>
                <w:spacing w:val="11"/>
                <w:kern w:val="0"/>
                <w:sz w:val="24"/>
                <w:szCs w:val="24"/>
                <w:highlight w:val="none"/>
              </w:rPr>
              <w:t>通过访谈系统运维负责人，检查密码应用安全事件的应急预案、记录分析文档、密码应用安全事件报告和处置管理制 度等过程，评估被评估单位是否采取必要的措施对密码应用安全事件进行等级划分和对密码应用安全事件的报告、处理过程进行有效的管理。</w:t>
            </w:r>
          </w:p>
        </w:tc>
      </w:tr>
    </w:tbl>
    <w:p w14:paraId="37366C26">
      <w:pPr>
        <w:widowControl/>
        <w:kinsoku w:val="0"/>
        <w:autoSpaceDE w:val="0"/>
        <w:autoSpaceDN w:val="0"/>
        <w:snapToGrid w:val="0"/>
        <w:spacing w:before="2" w:line="276" w:lineRule="auto"/>
        <w:ind w:left="127" w:right="162" w:rightChars="77" w:firstLine="430"/>
        <w:rPr>
          <w:rFonts w:ascii="宋体" w:hAnsi="宋体"/>
          <w:color w:val="auto"/>
          <w:spacing w:val="11"/>
          <w:kern w:val="0"/>
          <w:sz w:val="24"/>
          <w:szCs w:val="24"/>
          <w:highlight w:val="none"/>
        </w:rPr>
      </w:pPr>
    </w:p>
    <w:p w14:paraId="6B18CDF0">
      <w:pPr>
        <w:pStyle w:val="41"/>
        <w:spacing w:line="400" w:lineRule="exact"/>
        <w:ind w:firstLine="560" w:firstLineChars="200"/>
        <w:rPr>
          <w:rFonts w:hAnsi="宋体"/>
          <w:color w:val="auto"/>
          <w:spacing w:val="20"/>
          <w:sz w:val="24"/>
          <w:szCs w:val="24"/>
          <w:highlight w:val="none"/>
        </w:rPr>
      </w:pPr>
      <w:r>
        <w:rPr>
          <w:rFonts w:hint="eastAsia" w:hAnsi="宋体"/>
          <w:color w:val="auto"/>
          <w:spacing w:val="20"/>
          <w:sz w:val="24"/>
          <w:szCs w:val="24"/>
          <w:highlight w:val="none"/>
        </w:rPr>
        <w:t>2</w:t>
      </w:r>
      <w:r>
        <w:rPr>
          <w:rFonts w:hint="eastAsia" w:hAnsi="宋体"/>
          <w:color w:val="auto"/>
          <w:sz w:val="24"/>
          <w:szCs w:val="24"/>
          <w:highlight w:val="none"/>
        </w:rPr>
        <w:t>.商用密码应用安全性评估测评依据：</w:t>
      </w:r>
    </w:p>
    <w:p w14:paraId="4CC7BE82">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 xml:space="preserve">1)GB/T 39786-2021《信息安全技术 信息系统密码应用基本要求》 </w:t>
      </w:r>
    </w:p>
    <w:p w14:paraId="7AAD1FFD">
      <w:pPr>
        <w:pStyle w:val="41"/>
        <w:spacing w:line="400" w:lineRule="exact"/>
        <w:ind w:firstLine="512" w:firstLineChars="200"/>
        <w:rPr>
          <w:rFonts w:hAnsi="宋体"/>
          <w:color w:val="auto"/>
          <w:spacing w:val="8"/>
          <w:sz w:val="24"/>
          <w:szCs w:val="24"/>
          <w:highlight w:val="none"/>
        </w:rPr>
      </w:pPr>
      <w:r>
        <w:rPr>
          <w:rFonts w:hint="eastAsia" w:hAnsi="宋体"/>
          <w:color w:val="auto"/>
          <w:spacing w:val="8"/>
          <w:sz w:val="24"/>
          <w:szCs w:val="24"/>
          <w:highlight w:val="none"/>
        </w:rPr>
        <w:t>2)《信息系统密码应用测评要求</w:t>
      </w:r>
      <w:r>
        <w:rPr>
          <w:rFonts w:hint="eastAsia" w:hAnsi="宋体"/>
          <w:color w:val="auto"/>
          <w:spacing w:val="7"/>
          <w:sz w:val="24"/>
          <w:szCs w:val="24"/>
          <w:highlight w:val="none"/>
        </w:rPr>
        <w:t>》</w:t>
      </w:r>
      <w:r>
        <w:rPr>
          <w:rFonts w:hint="eastAsia" w:hAnsi="宋体"/>
          <w:color w:val="auto"/>
          <w:sz w:val="24"/>
          <w:szCs w:val="24"/>
          <w:highlight w:val="none"/>
        </w:rPr>
        <w:t xml:space="preserve">                            </w:t>
      </w:r>
    </w:p>
    <w:p w14:paraId="7093BAE2">
      <w:pPr>
        <w:pStyle w:val="41"/>
        <w:spacing w:line="400" w:lineRule="exact"/>
        <w:ind w:firstLine="524" w:firstLineChars="200"/>
        <w:rPr>
          <w:rFonts w:hAnsi="宋体"/>
          <w:color w:val="auto"/>
          <w:spacing w:val="11"/>
          <w:sz w:val="24"/>
          <w:szCs w:val="24"/>
          <w:highlight w:val="none"/>
        </w:rPr>
      </w:pPr>
      <w:r>
        <w:rPr>
          <w:rFonts w:hint="eastAsia" w:hAnsi="宋体"/>
          <w:color w:val="auto"/>
          <w:spacing w:val="11"/>
          <w:sz w:val="24"/>
          <w:szCs w:val="24"/>
          <w:highlight w:val="none"/>
        </w:rPr>
        <w:t>3</w:t>
      </w:r>
      <w:r>
        <w:rPr>
          <w:rFonts w:hint="eastAsia" w:hAnsi="宋体"/>
          <w:color w:val="auto"/>
          <w:spacing w:val="8"/>
          <w:sz w:val="24"/>
          <w:szCs w:val="24"/>
          <w:highlight w:val="none"/>
        </w:rPr>
        <w:t>)《信息系统密码应用测评过程指南》</w:t>
      </w:r>
      <w:r>
        <w:rPr>
          <w:rFonts w:hint="eastAsia" w:hAnsi="宋体"/>
          <w:color w:val="auto"/>
          <w:sz w:val="24"/>
          <w:szCs w:val="24"/>
          <w:highlight w:val="none"/>
        </w:rPr>
        <w:t xml:space="preserve">                         </w:t>
      </w:r>
    </w:p>
    <w:p w14:paraId="3A9F5E2A">
      <w:pPr>
        <w:pStyle w:val="41"/>
        <w:spacing w:line="400" w:lineRule="exact"/>
        <w:ind w:firstLine="532" w:firstLineChars="200"/>
        <w:rPr>
          <w:rFonts w:hAnsi="宋体"/>
          <w:color w:val="auto"/>
          <w:spacing w:val="13"/>
          <w:sz w:val="24"/>
          <w:szCs w:val="24"/>
          <w:highlight w:val="none"/>
        </w:rPr>
      </w:pPr>
      <w:r>
        <w:rPr>
          <w:rFonts w:hint="eastAsia" w:hAnsi="宋体"/>
          <w:color w:val="auto"/>
          <w:spacing w:val="13"/>
          <w:sz w:val="24"/>
          <w:szCs w:val="24"/>
          <w:highlight w:val="none"/>
        </w:rPr>
        <w:t>4</w:t>
      </w:r>
      <w:r>
        <w:rPr>
          <w:rFonts w:hint="eastAsia" w:hAnsi="宋体"/>
          <w:color w:val="auto"/>
          <w:spacing w:val="8"/>
          <w:sz w:val="24"/>
          <w:szCs w:val="24"/>
          <w:highlight w:val="none"/>
        </w:rPr>
        <w:t>)《信息系统密码应用高风险判定指引》</w:t>
      </w:r>
      <w:r>
        <w:rPr>
          <w:rFonts w:hint="eastAsia" w:hAnsi="宋体"/>
          <w:color w:val="auto"/>
          <w:sz w:val="24"/>
          <w:szCs w:val="24"/>
          <w:highlight w:val="none"/>
        </w:rPr>
        <w:t xml:space="preserve">                      </w:t>
      </w:r>
    </w:p>
    <w:p w14:paraId="3590CD28">
      <w:pPr>
        <w:pStyle w:val="41"/>
        <w:spacing w:line="400" w:lineRule="exact"/>
        <w:ind w:firstLine="544" w:firstLineChars="200"/>
        <w:rPr>
          <w:rFonts w:hAnsi="宋体"/>
          <w:color w:val="auto"/>
          <w:spacing w:val="16"/>
          <w:sz w:val="24"/>
          <w:szCs w:val="24"/>
          <w:highlight w:val="none"/>
        </w:rPr>
      </w:pPr>
      <w:r>
        <w:rPr>
          <w:rFonts w:hint="eastAsia" w:hAnsi="宋体"/>
          <w:color w:val="auto"/>
          <w:spacing w:val="16"/>
          <w:sz w:val="24"/>
          <w:szCs w:val="24"/>
          <w:highlight w:val="none"/>
        </w:rPr>
        <w:t>5</w:t>
      </w:r>
      <w:r>
        <w:rPr>
          <w:rFonts w:hint="eastAsia" w:hAnsi="宋体"/>
          <w:color w:val="auto"/>
          <w:spacing w:val="9"/>
          <w:sz w:val="24"/>
          <w:szCs w:val="24"/>
          <w:highlight w:val="none"/>
        </w:rPr>
        <w:t>)</w:t>
      </w:r>
      <w:r>
        <w:rPr>
          <w:rFonts w:hint="eastAsia" w:hAnsi="宋体"/>
          <w:color w:val="auto"/>
          <w:sz w:val="24"/>
          <w:szCs w:val="24"/>
          <w:highlight w:val="none"/>
        </w:rPr>
        <w:t xml:space="preserve">《商用密码应用安全性评估量化评估规则》                  </w:t>
      </w:r>
    </w:p>
    <w:p w14:paraId="24B14509">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 xml:space="preserve">6)《商用密码应用安全性评估管理办法 (试行) 》 </w:t>
      </w:r>
    </w:p>
    <w:p w14:paraId="6551FCC8">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7）《政务领域政务服务平台密码应用与安全性评估实施指南》</w:t>
      </w:r>
    </w:p>
    <w:p w14:paraId="22927714">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8）《政务领域政务云密码应用与安全性评估实施指南》</w:t>
      </w:r>
    </w:p>
    <w:p w14:paraId="71985587">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9)其他相关国家标准和密码行业标准等</w:t>
      </w:r>
    </w:p>
    <w:p w14:paraId="3E1F6FA0">
      <w:pPr>
        <w:pStyle w:val="41"/>
        <w:spacing w:line="400" w:lineRule="exact"/>
        <w:ind w:firstLine="568" w:firstLineChars="200"/>
        <w:rPr>
          <w:rFonts w:hAnsi="宋体"/>
          <w:color w:val="auto"/>
          <w:spacing w:val="22"/>
          <w:sz w:val="24"/>
          <w:szCs w:val="24"/>
          <w:highlight w:val="none"/>
        </w:rPr>
      </w:pPr>
      <w:r>
        <w:rPr>
          <w:rFonts w:hint="eastAsia" w:hAnsi="宋体"/>
          <w:color w:val="auto"/>
          <w:spacing w:val="22"/>
          <w:sz w:val="24"/>
          <w:szCs w:val="24"/>
          <w:highlight w:val="none"/>
        </w:rPr>
        <w:t>3</w:t>
      </w:r>
      <w:r>
        <w:rPr>
          <w:rFonts w:hint="eastAsia" w:hAnsi="宋体"/>
          <w:color w:val="auto"/>
          <w:spacing w:val="17"/>
          <w:sz w:val="24"/>
          <w:szCs w:val="24"/>
          <w:highlight w:val="none"/>
        </w:rPr>
        <w:t>.</w:t>
      </w:r>
      <w:r>
        <w:rPr>
          <w:rFonts w:hint="eastAsia" w:hAnsi="宋体"/>
          <w:color w:val="auto"/>
          <w:sz w:val="24"/>
          <w:szCs w:val="24"/>
          <w:highlight w:val="none"/>
        </w:rPr>
        <w:t>商用密码应用安全性评估实施方案设计与具体实施将遵循以下原则：</w:t>
      </w:r>
    </w:p>
    <w:p w14:paraId="63E10778">
      <w:pPr>
        <w:pStyle w:val="41"/>
        <w:spacing w:line="400" w:lineRule="exact"/>
        <w:ind w:firstLine="500" w:firstLineChars="200"/>
        <w:rPr>
          <w:rFonts w:hAnsi="宋体"/>
          <w:color w:val="auto"/>
          <w:spacing w:val="5"/>
          <w:sz w:val="24"/>
          <w:szCs w:val="24"/>
          <w:highlight w:val="none"/>
        </w:rPr>
      </w:pPr>
      <w:r>
        <w:rPr>
          <w:rFonts w:hint="eastAsia" w:hAnsi="宋体"/>
          <w:color w:val="auto"/>
          <w:spacing w:val="5"/>
          <w:sz w:val="24"/>
          <w:szCs w:val="24"/>
          <w:highlight w:val="none"/>
        </w:rPr>
        <w:t>(</w:t>
      </w:r>
      <w:r>
        <w:rPr>
          <w:rFonts w:hint="eastAsia" w:hAnsi="宋体"/>
          <w:color w:val="auto"/>
          <w:sz w:val="24"/>
          <w:szCs w:val="24"/>
          <w:highlight w:val="none"/>
        </w:rPr>
        <w:t>1)客观性和公正性原则：</w:t>
      </w:r>
    </w:p>
    <w:p w14:paraId="77CA9E5F">
      <w:pPr>
        <w:pStyle w:val="41"/>
        <w:spacing w:line="400" w:lineRule="exact"/>
        <w:ind w:firstLine="516" w:firstLineChars="200"/>
        <w:rPr>
          <w:rFonts w:hAnsi="宋体"/>
          <w:color w:val="auto"/>
          <w:spacing w:val="9"/>
          <w:sz w:val="24"/>
          <w:szCs w:val="24"/>
          <w:highlight w:val="none"/>
        </w:rPr>
      </w:pPr>
      <w:r>
        <w:rPr>
          <w:rFonts w:hint="eastAsia" w:hAnsi="宋体"/>
          <w:color w:val="auto"/>
          <w:spacing w:val="9"/>
          <w:sz w:val="24"/>
          <w:szCs w:val="24"/>
          <w:highlight w:val="none"/>
        </w:rPr>
        <w:t>评</w:t>
      </w:r>
      <w:r>
        <w:rPr>
          <w:rFonts w:hint="eastAsia" w:hAnsi="宋体"/>
          <w:color w:val="auto"/>
          <w:sz w:val="24"/>
          <w:szCs w:val="24"/>
          <w:highlight w:val="none"/>
        </w:rPr>
        <w:t>估实施过程中评估人员应保证在最小主观判断情形下，按照评估双方认可的评</w:t>
      </w:r>
      <w:r>
        <w:rPr>
          <w:rFonts w:hint="eastAsia" w:hAnsi="宋体"/>
          <w:color w:val="auto"/>
          <w:spacing w:val="15"/>
          <w:sz w:val="24"/>
          <w:szCs w:val="24"/>
          <w:highlight w:val="none"/>
        </w:rPr>
        <w:t>估</w:t>
      </w:r>
      <w:r>
        <w:rPr>
          <w:rFonts w:hint="eastAsia" w:hAnsi="宋体"/>
          <w:color w:val="auto"/>
          <w:spacing w:val="9"/>
          <w:sz w:val="24"/>
          <w:szCs w:val="24"/>
          <w:highlight w:val="none"/>
        </w:rPr>
        <w:t>方案，基于明确定义的评估方式和解释，实施评估活动。</w:t>
      </w:r>
    </w:p>
    <w:p w14:paraId="5AD39BC9">
      <w:pPr>
        <w:pStyle w:val="41"/>
        <w:spacing w:line="400" w:lineRule="exact"/>
        <w:ind w:firstLine="512" w:firstLineChars="200"/>
        <w:rPr>
          <w:rFonts w:hAnsi="宋体"/>
          <w:color w:val="auto"/>
          <w:spacing w:val="8"/>
          <w:sz w:val="24"/>
          <w:szCs w:val="24"/>
          <w:highlight w:val="none"/>
        </w:rPr>
      </w:pPr>
      <w:r>
        <w:rPr>
          <w:rFonts w:hint="eastAsia" w:hAnsi="宋体"/>
          <w:color w:val="auto"/>
          <w:spacing w:val="8"/>
          <w:sz w:val="24"/>
          <w:szCs w:val="24"/>
          <w:highlight w:val="none"/>
        </w:rPr>
        <w:t>(</w:t>
      </w:r>
      <w:r>
        <w:rPr>
          <w:rFonts w:hint="eastAsia" w:hAnsi="宋体"/>
          <w:color w:val="auto"/>
          <w:spacing w:val="7"/>
          <w:sz w:val="24"/>
          <w:szCs w:val="24"/>
          <w:highlight w:val="none"/>
        </w:rPr>
        <w:t>2</w:t>
      </w:r>
      <w:r>
        <w:rPr>
          <w:rFonts w:hint="eastAsia" w:hAnsi="宋体"/>
          <w:color w:val="auto"/>
          <w:sz w:val="24"/>
          <w:szCs w:val="24"/>
          <w:highlight w:val="none"/>
        </w:rPr>
        <w:t>)经济性和可重用性原则：</w:t>
      </w:r>
    </w:p>
    <w:p w14:paraId="6A83F686">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评</w:t>
      </w:r>
      <w:r>
        <w:rPr>
          <w:rFonts w:hint="eastAsia" w:hAnsi="宋体"/>
          <w:color w:val="auto"/>
          <w:spacing w:val="7"/>
          <w:sz w:val="24"/>
          <w:szCs w:val="24"/>
          <w:highlight w:val="none"/>
        </w:rPr>
        <w:t>估工作可重用已有评估结果，包括商用密码应用安全性评估结果。所有重用结</w:t>
      </w:r>
      <w:r>
        <w:rPr>
          <w:rFonts w:hint="eastAsia" w:hAnsi="宋体"/>
          <w:color w:val="auto"/>
          <w:spacing w:val="18"/>
          <w:sz w:val="24"/>
          <w:szCs w:val="24"/>
          <w:highlight w:val="none"/>
        </w:rPr>
        <w:t>果</w:t>
      </w:r>
      <w:r>
        <w:rPr>
          <w:rFonts w:hint="eastAsia" w:hAnsi="宋体"/>
          <w:color w:val="auto"/>
          <w:sz w:val="24"/>
          <w:szCs w:val="24"/>
          <w:highlight w:val="none"/>
        </w:rPr>
        <w:t>都应以结果适用于待评估系统为前提，并能够客观反映目前系统的安全状态。</w:t>
      </w:r>
    </w:p>
    <w:p w14:paraId="724BC97E">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(3)可重复性和可再现性原则</w:t>
      </w:r>
      <w:r>
        <w:rPr>
          <w:rFonts w:hint="eastAsia" w:hAnsi="宋体"/>
          <w:color w:val="auto"/>
          <w:spacing w:val="3"/>
          <w:sz w:val="24"/>
          <w:szCs w:val="24"/>
          <w:highlight w:val="none"/>
        </w:rPr>
        <w:t>：</w:t>
      </w:r>
    </w:p>
    <w:p w14:paraId="75EFE84D">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依照同样的要求，使用同样的评估方法，不同的评估机构对每个评估实施过程的</w:t>
      </w:r>
      <w:r>
        <w:rPr>
          <w:rFonts w:hint="eastAsia" w:hAnsi="宋体"/>
          <w:color w:val="auto"/>
          <w:spacing w:val="14"/>
          <w:sz w:val="24"/>
          <w:szCs w:val="24"/>
          <w:highlight w:val="none"/>
        </w:rPr>
        <w:t>重</w:t>
      </w:r>
      <w:r>
        <w:rPr>
          <w:rFonts w:hint="eastAsia" w:hAnsi="宋体"/>
          <w:color w:val="auto"/>
          <w:sz w:val="24"/>
          <w:szCs w:val="24"/>
          <w:highlight w:val="none"/>
        </w:rPr>
        <w:t>复执行应得到同样的结果。可再现性和可重复性的区别在于，前者关注不同评估者</w:t>
      </w:r>
      <w:r>
        <w:rPr>
          <w:rFonts w:hint="eastAsia" w:hAnsi="宋体"/>
          <w:color w:val="auto"/>
          <w:spacing w:val="18"/>
          <w:sz w:val="24"/>
          <w:szCs w:val="24"/>
          <w:highlight w:val="none"/>
        </w:rPr>
        <w:t>评</w:t>
      </w:r>
      <w:r>
        <w:rPr>
          <w:rFonts w:hint="eastAsia" w:hAnsi="宋体"/>
          <w:color w:val="auto"/>
          <w:sz w:val="24"/>
          <w:szCs w:val="24"/>
          <w:highlight w:val="none"/>
        </w:rPr>
        <w:t>估</w:t>
      </w:r>
      <w:r>
        <w:rPr>
          <w:rFonts w:hint="eastAsia" w:hAnsi="宋体"/>
          <w:color w:val="auto"/>
          <w:spacing w:val="9"/>
          <w:sz w:val="24"/>
          <w:szCs w:val="24"/>
          <w:highlight w:val="none"/>
        </w:rPr>
        <w:t>结果的一致性，后者则与同一评估者评估结果的一致性有关。</w:t>
      </w:r>
    </w:p>
    <w:p w14:paraId="58308CE3">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(4)结果完善性原则：</w:t>
      </w:r>
    </w:p>
    <w:p w14:paraId="13891F9E">
      <w:pPr>
        <w:pStyle w:val="41"/>
        <w:spacing w:line="400" w:lineRule="exact"/>
        <w:ind w:firstLine="528" w:firstLineChars="200"/>
        <w:rPr>
          <w:rFonts w:hAnsi="宋体"/>
          <w:color w:val="auto"/>
          <w:spacing w:val="12"/>
          <w:sz w:val="24"/>
          <w:szCs w:val="24"/>
          <w:highlight w:val="none"/>
        </w:rPr>
      </w:pPr>
      <w:r>
        <w:rPr>
          <w:rFonts w:hint="eastAsia" w:hAnsi="宋体"/>
          <w:color w:val="auto"/>
          <w:spacing w:val="12"/>
          <w:sz w:val="24"/>
          <w:szCs w:val="24"/>
          <w:highlight w:val="none"/>
        </w:rPr>
        <w:t>在</w:t>
      </w:r>
      <w:r>
        <w:rPr>
          <w:rFonts w:hint="eastAsia" w:hAnsi="宋体"/>
          <w:color w:val="auto"/>
          <w:spacing w:val="7"/>
          <w:sz w:val="24"/>
          <w:szCs w:val="24"/>
          <w:highlight w:val="none"/>
        </w:rPr>
        <w:t>正</w:t>
      </w:r>
      <w:r>
        <w:rPr>
          <w:rFonts w:hint="eastAsia" w:hAnsi="宋体"/>
          <w:color w:val="auto"/>
          <w:sz w:val="24"/>
          <w:szCs w:val="24"/>
          <w:highlight w:val="none"/>
        </w:rPr>
        <w:t>确理解 GB/T39786-2021《信息安全技术 信息系统密码应用基本要求》各个</w:t>
      </w:r>
      <w:r>
        <w:rPr>
          <w:rFonts w:hint="eastAsia" w:hAnsi="宋体"/>
          <w:color w:val="auto"/>
          <w:spacing w:val="14"/>
          <w:sz w:val="24"/>
          <w:szCs w:val="24"/>
          <w:highlight w:val="none"/>
        </w:rPr>
        <w:t>要</w:t>
      </w:r>
      <w:r>
        <w:rPr>
          <w:rFonts w:hint="eastAsia" w:hAnsi="宋体"/>
          <w:color w:val="auto"/>
          <w:spacing w:val="7"/>
          <w:sz w:val="24"/>
          <w:szCs w:val="24"/>
          <w:highlight w:val="none"/>
        </w:rPr>
        <w:t>求项内容的基础之上，检测所产生的结果应客观反映系统的运行状态。评估过程和</w:t>
      </w:r>
      <w:r>
        <w:rPr>
          <w:rFonts w:hint="eastAsia" w:hAnsi="宋体"/>
          <w:color w:val="auto"/>
          <w:sz w:val="24"/>
          <w:szCs w:val="24"/>
          <w:highlight w:val="none"/>
        </w:rPr>
        <w:t xml:space="preserve"> </w:t>
      </w:r>
      <w:r>
        <w:rPr>
          <w:rFonts w:hint="eastAsia" w:hAnsi="宋体"/>
          <w:color w:val="auto"/>
          <w:spacing w:val="9"/>
          <w:sz w:val="24"/>
          <w:szCs w:val="24"/>
          <w:highlight w:val="none"/>
        </w:rPr>
        <w:t>结果应服从正确的评估方法，以确保其满足要求</w:t>
      </w:r>
      <w:r>
        <w:rPr>
          <w:rFonts w:hint="eastAsia" w:hAnsi="宋体"/>
          <w:color w:val="auto"/>
          <w:spacing w:val="5"/>
          <w:sz w:val="24"/>
          <w:szCs w:val="24"/>
          <w:highlight w:val="none"/>
        </w:rPr>
        <w:t>。</w:t>
      </w:r>
    </w:p>
    <w:p w14:paraId="5BEC87D8">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(5)保密性原则：</w:t>
      </w:r>
    </w:p>
    <w:p w14:paraId="520AE6EF">
      <w:pPr>
        <w:pStyle w:val="41"/>
        <w:spacing w:line="400" w:lineRule="exact"/>
        <w:ind w:firstLine="540" w:firstLineChars="200"/>
        <w:rPr>
          <w:rFonts w:hAnsi="宋体"/>
          <w:color w:val="auto"/>
          <w:spacing w:val="15"/>
          <w:sz w:val="24"/>
          <w:szCs w:val="24"/>
          <w:highlight w:val="none"/>
        </w:rPr>
      </w:pPr>
      <w:r>
        <w:rPr>
          <w:rFonts w:hint="eastAsia" w:hAnsi="宋体"/>
          <w:color w:val="auto"/>
          <w:spacing w:val="15"/>
          <w:sz w:val="24"/>
          <w:szCs w:val="24"/>
          <w:highlight w:val="none"/>
        </w:rPr>
        <w:t>评</w:t>
      </w:r>
      <w:r>
        <w:rPr>
          <w:rFonts w:hint="eastAsia" w:hAnsi="宋体"/>
          <w:color w:val="auto"/>
          <w:sz w:val="24"/>
          <w:szCs w:val="24"/>
          <w:highlight w:val="none"/>
        </w:rPr>
        <w:t>估的过程数据和结果数据严格保密，确保所有的阅读和使用均得到用户的授</w:t>
      </w:r>
      <w:r>
        <w:rPr>
          <w:rFonts w:hint="eastAsia" w:hAnsi="宋体"/>
          <w:color w:val="auto"/>
          <w:spacing w:val="16"/>
          <w:sz w:val="24"/>
          <w:szCs w:val="24"/>
          <w:highlight w:val="none"/>
        </w:rPr>
        <w:t>权，项</w:t>
      </w:r>
      <w:r>
        <w:rPr>
          <w:rFonts w:hint="eastAsia" w:hAnsi="宋体"/>
          <w:color w:val="auto"/>
          <w:sz w:val="24"/>
          <w:szCs w:val="24"/>
          <w:highlight w:val="none"/>
        </w:rPr>
        <w:t>目</w:t>
      </w:r>
      <w:r>
        <w:rPr>
          <w:rFonts w:hint="eastAsia" w:hAnsi="宋体"/>
          <w:color w:val="auto"/>
          <w:spacing w:val="8"/>
          <w:sz w:val="24"/>
          <w:szCs w:val="24"/>
          <w:highlight w:val="none"/>
        </w:rPr>
        <w:t>结束后用户提供的所有项目资料和与用户信息资产相关的资料均安全销毁。</w:t>
      </w:r>
    </w:p>
    <w:p w14:paraId="274CEA3F">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五、密评服务要求</w:t>
      </w:r>
    </w:p>
    <w:p w14:paraId="684BD405">
      <w:pPr>
        <w:pStyle w:val="41"/>
        <w:spacing w:line="400" w:lineRule="exact"/>
        <w:ind w:firstLine="508" w:firstLineChars="200"/>
        <w:rPr>
          <w:rFonts w:hAnsi="宋体"/>
          <w:color w:val="auto"/>
          <w:spacing w:val="7"/>
          <w:sz w:val="24"/>
          <w:szCs w:val="24"/>
          <w:highlight w:val="none"/>
        </w:rPr>
      </w:pPr>
      <w:r>
        <w:rPr>
          <w:rFonts w:hint="eastAsia" w:hAnsi="宋体"/>
          <w:color w:val="auto"/>
          <w:spacing w:val="7"/>
          <w:sz w:val="24"/>
          <w:szCs w:val="24"/>
          <w:highlight w:val="none"/>
        </w:rPr>
        <w:t>1</w:t>
      </w:r>
      <w:r>
        <w:rPr>
          <w:rFonts w:hint="eastAsia" w:hAnsi="宋体"/>
          <w:color w:val="auto"/>
          <w:sz w:val="24"/>
          <w:szCs w:val="24"/>
          <w:highlight w:val="none"/>
        </w:rPr>
        <w:t>、实施要求</w:t>
      </w:r>
    </w:p>
    <w:p w14:paraId="17897F64">
      <w:pPr>
        <w:pStyle w:val="41"/>
        <w:spacing w:line="400" w:lineRule="exact"/>
        <w:ind w:firstLine="528" w:firstLineChars="200"/>
        <w:rPr>
          <w:rFonts w:hAnsi="宋体"/>
          <w:color w:val="auto"/>
          <w:spacing w:val="12"/>
          <w:sz w:val="24"/>
          <w:szCs w:val="24"/>
          <w:highlight w:val="none"/>
        </w:rPr>
      </w:pPr>
      <w:r>
        <w:rPr>
          <w:rFonts w:hint="eastAsia" w:hAnsi="宋体"/>
          <w:color w:val="auto"/>
          <w:spacing w:val="12"/>
          <w:sz w:val="24"/>
          <w:szCs w:val="24"/>
          <w:highlight w:val="none"/>
        </w:rPr>
        <w:t>响应方应</w:t>
      </w:r>
      <w:r>
        <w:rPr>
          <w:rFonts w:hint="eastAsia" w:hAnsi="宋体"/>
          <w:color w:val="auto"/>
          <w:sz w:val="24"/>
          <w:szCs w:val="24"/>
          <w:highlight w:val="none"/>
        </w:rPr>
        <w:t>在对采购方信息系统详细了解的基础上，编制针对性的商用密码应用安</w:t>
      </w:r>
      <w:r>
        <w:rPr>
          <w:rFonts w:hint="eastAsia" w:hAnsi="宋体"/>
          <w:color w:val="auto"/>
          <w:spacing w:val="14"/>
          <w:sz w:val="24"/>
          <w:szCs w:val="24"/>
          <w:highlight w:val="none"/>
        </w:rPr>
        <w:t>全</w:t>
      </w:r>
      <w:r>
        <w:rPr>
          <w:rFonts w:hint="eastAsia" w:hAnsi="宋体"/>
          <w:color w:val="auto"/>
          <w:spacing w:val="8"/>
          <w:sz w:val="24"/>
          <w:szCs w:val="24"/>
          <w:highlight w:val="none"/>
        </w:rPr>
        <w:t>性</w:t>
      </w:r>
      <w:r>
        <w:rPr>
          <w:rFonts w:hint="eastAsia" w:hAnsi="宋体"/>
          <w:color w:val="auto"/>
          <w:sz w:val="24"/>
          <w:szCs w:val="24"/>
          <w:highlight w:val="none"/>
        </w:rPr>
        <w:t xml:space="preserve">评估的整体实施方案，包括项目概述、测评范围和内容、项目实施流程、测试过 </w:t>
      </w:r>
      <w:r>
        <w:rPr>
          <w:rFonts w:hint="eastAsia" w:hAnsi="宋体"/>
          <w:color w:val="auto"/>
          <w:spacing w:val="18"/>
          <w:sz w:val="24"/>
          <w:szCs w:val="24"/>
          <w:highlight w:val="none"/>
        </w:rPr>
        <w:t>程</w:t>
      </w:r>
      <w:r>
        <w:rPr>
          <w:rFonts w:hint="eastAsia" w:hAnsi="宋体"/>
          <w:color w:val="auto"/>
          <w:spacing w:val="12"/>
          <w:sz w:val="24"/>
          <w:szCs w:val="24"/>
          <w:highlight w:val="none"/>
        </w:rPr>
        <w:t>中</w:t>
      </w:r>
      <w:r>
        <w:rPr>
          <w:rFonts w:hint="eastAsia" w:hAnsi="宋体"/>
          <w:color w:val="auto"/>
          <w:spacing w:val="9"/>
          <w:sz w:val="24"/>
          <w:szCs w:val="24"/>
          <w:highlight w:val="none"/>
        </w:rPr>
        <w:t>需使用测试设备清单、时间安排、阶段性文档提交和验收标准等。</w:t>
      </w:r>
    </w:p>
    <w:p w14:paraId="1A09C857">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2、人员配置要求</w:t>
      </w:r>
    </w:p>
    <w:p w14:paraId="6F41A2EE">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为保障项目按质、按量、按时及有序实施，响应方应承诺对本项目建立一个完善</w:t>
      </w:r>
      <w:r>
        <w:rPr>
          <w:rFonts w:hint="eastAsia" w:hAnsi="宋体"/>
          <w:color w:val="auto"/>
          <w:spacing w:val="9"/>
          <w:sz w:val="24"/>
          <w:szCs w:val="24"/>
          <w:highlight w:val="none"/>
        </w:rPr>
        <w:t>和稳定的项目团队、管理机构及执行流程</w:t>
      </w:r>
      <w:r>
        <w:rPr>
          <w:rFonts w:hint="eastAsia" w:hAnsi="宋体"/>
          <w:color w:val="auto"/>
          <w:sz w:val="24"/>
          <w:szCs w:val="24"/>
          <w:highlight w:val="none"/>
        </w:rPr>
        <w:t>。</w:t>
      </w:r>
    </w:p>
    <w:p w14:paraId="580776D3">
      <w:pPr>
        <w:pStyle w:val="41"/>
        <w:spacing w:line="400" w:lineRule="exact"/>
        <w:ind w:firstLine="528" w:firstLineChars="200"/>
        <w:rPr>
          <w:rFonts w:hAnsi="宋体"/>
          <w:color w:val="auto"/>
          <w:spacing w:val="12"/>
          <w:sz w:val="24"/>
          <w:szCs w:val="24"/>
          <w:highlight w:val="none"/>
        </w:rPr>
      </w:pPr>
      <w:r>
        <w:rPr>
          <w:rFonts w:hint="eastAsia" w:hAnsi="宋体"/>
          <w:color w:val="auto"/>
          <w:spacing w:val="12"/>
          <w:sz w:val="24"/>
          <w:szCs w:val="24"/>
          <w:highlight w:val="none"/>
        </w:rPr>
        <w:t>响应方应</w:t>
      </w:r>
      <w:r>
        <w:rPr>
          <w:rFonts w:hint="eastAsia" w:hAnsi="宋体"/>
          <w:color w:val="auto"/>
          <w:sz w:val="24"/>
          <w:szCs w:val="24"/>
          <w:highlight w:val="none"/>
        </w:rPr>
        <w:t>详细描述测评人员的组成、资质及各自职责的划分。响应方应配置有一定资历及经验的测评人员进行本次测评工作：项目负责人要求具有密码工作经验，有具备国家商用密码应用安全性评估人员测评能力考核小组或者国家密码管理局商用密码管理办公室颁发的商用密码应用安全性评估测评能力证书；具备数据安全高级工程师、具备注册密码安全专业人员（NSATP-CSP）证书、具备渗透测试高级工程师。项目团队人员要求具有商用密码应用安全性评估人员测评能力考核证书、软件测评工程师证书、渗透测试高级工程师证书，确保项目的顺利实施。并在投标文件中提供相应的资格证书复印件。</w:t>
      </w:r>
    </w:p>
    <w:p w14:paraId="01050769">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3、测评工具等要求</w:t>
      </w:r>
    </w:p>
    <w:p w14:paraId="4B3F8482">
      <w:pPr>
        <w:pStyle w:val="41"/>
        <w:spacing w:line="400" w:lineRule="exact"/>
        <w:ind w:firstLine="532" w:firstLineChars="200"/>
        <w:rPr>
          <w:rFonts w:hAnsi="宋体"/>
          <w:color w:val="auto"/>
          <w:spacing w:val="13"/>
          <w:sz w:val="24"/>
          <w:szCs w:val="24"/>
          <w:highlight w:val="none"/>
        </w:rPr>
      </w:pPr>
      <w:r>
        <w:rPr>
          <w:rFonts w:hint="eastAsia" w:hAnsi="宋体"/>
          <w:color w:val="auto"/>
          <w:spacing w:val="13"/>
          <w:sz w:val="24"/>
          <w:szCs w:val="24"/>
          <w:highlight w:val="none"/>
        </w:rPr>
        <w:t>(1) 本次商用密码应用安全性评估实施过程中所使用到的各种工具软件由响</w:t>
      </w:r>
      <w:r>
        <w:rPr>
          <w:rFonts w:hint="eastAsia" w:hAnsi="宋体"/>
          <w:color w:val="auto"/>
          <w:sz w:val="24"/>
          <w:szCs w:val="24"/>
          <w:highlight w:val="none"/>
        </w:rPr>
        <w:t>应</w:t>
      </w:r>
      <w:r>
        <w:rPr>
          <w:rFonts w:hint="eastAsia" w:hAnsi="宋体"/>
          <w:color w:val="auto"/>
          <w:spacing w:val="14"/>
          <w:sz w:val="24"/>
          <w:szCs w:val="24"/>
          <w:highlight w:val="none"/>
        </w:rPr>
        <w:t>方</w:t>
      </w:r>
      <w:r>
        <w:rPr>
          <w:rFonts w:hint="eastAsia" w:hAnsi="宋体"/>
          <w:color w:val="auto"/>
          <w:sz w:val="24"/>
          <w:szCs w:val="24"/>
          <w:highlight w:val="none"/>
        </w:rPr>
        <w:t>推荐，经采购人确认后由响应方提供并在测评中使用。在投标文件中应详细描述所使用的安全测评工具 (软硬件型号、功能和性能描述) 、使用的方式和时间、对环境 和</w:t>
      </w:r>
      <w:r>
        <w:rPr>
          <w:rFonts w:hint="eastAsia" w:hAnsi="宋体"/>
          <w:color w:val="auto"/>
          <w:spacing w:val="9"/>
          <w:sz w:val="24"/>
          <w:szCs w:val="24"/>
          <w:highlight w:val="none"/>
        </w:rPr>
        <w:t>平台的要求以及使用可能对系统造成的风险等。</w:t>
      </w:r>
    </w:p>
    <w:p w14:paraId="5A138899">
      <w:pPr>
        <w:pStyle w:val="41"/>
        <w:spacing w:line="400" w:lineRule="exact"/>
        <w:ind w:firstLine="532" w:firstLineChars="200"/>
        <w:rPr>
          <w:rFonts w:hAnsi="宋体"/>
          <w:color w:val="auto"/>
          <w:spacing w:val="13"/>
          <w:sz w:val="24"/>
          <w:szCs w:val="24"/>
          <w:highlight w:val="none"/>
        </w:rPr>
      </w:pPr>
      <w:r>
        <w:rPr>
          <w:rFonts w:hint="eastAsia" w:hAnsi="宋体"/>
          <w:color w:val="auto"/>
          <w:spacing w:val="13"/>
          <w:sz w:val="24"/>
          <w:szCs w:val="24"/>
          <w:highlight w:val="none"/>
        </w:rPr>
        <w:t>(2) 安全测评工具软件运行可能需要的硬件平台 (如笔记本电脑、</w:t>
      </w:r>
      <w:r>
        <w:rPr>
          <w:rFonts w:hint="eastAsia" w:hAnsi="宋体"/>
          <w:color w:val="auto"/>
          <w:sz w:val="24"/>
          <w:szCs w:val="24"/>
          <w:highlight w:val="none"/>
        </w:rPr>
        <w:t>PC</w:t>
      </w:r>
      <w:r>
        <w:rPr>
          <w:rFonts w:hint="eastAsia" w:hAnsi="宋体"/>
          <w:color w:val="auto"/>
          <w:spacing w:val="13"/>
          <w:sz w:val="24"/>
          <w:szCs w:val="24"/>
          <w:highlight w:val="none"/>
        </w:rPr>
        <w:t>、工作</w:t>
      </w:r>
      <w:r>
        <w:rPr>
          <w:rFonts w:hint="eastAsia" w:hAnsi="宋体"/>
          <w:color w:val="auto"/>
          <w:sz w:val="24"/>
          <w:szCs w:val="24"/>
          <w:highlight w:val="none"/>
        </w:rPr>
        <w:t>站</w:t>
      </w:r>
      <w:r>
        <w:rPr>
          <w:rFonts w:hint="eastAsia" w:hAnsi="宋体"/>
          <w:color w:val="auto"/>
          <w:spacing w:val="9"/>
          <w:sz w:val="24"/>
          <w:szCs w:val="24"/>
          <w:highlight w:val="none"/>
        </w:rPr>
        <w:t>等</w:t>
      </w:r>
      <w:r>
        <w:rPr>
          <w:rFonts w:hint="eastAsia" w:hAnsi="宋体"/>
          <w:color w:val="auto"/>
          <w:sz w:val="24"/>
          <w:szCs w:val="24"/>
          <w:highlight w:val="none"/>
        </w:rPr>
        <w:t xml:space="preserve">)和操作系统软件等由响应方推荐，经采购人确认后由响应方提供并在测评中使用。 </w:t>
      </w:r>
      <w:r>
        <w:rPr>
          <w:rFonts w:hint="eastAsia" w:hAnsi="宋体"/>
          <w:color w:val="auto"/>
          <w:spacing w:val="12"/>
          <w:sz w:val="24"/>
          <w:szCs w:val="24"/>
          <w:highlight w:val="none"/>
        </w:rPr>
        <w:t>安全测评</w:t>
      </w:r>
      <w:r>
        <w:rPr>
          <w:rFonts w:hint="eastAsia" w:hAnsi="宋体"/>
          <w:color w:val="auto"/>
          <w:sz w:val="24"/>
          <w:szCs w:val="24"/>
          <w:highlight w:val="none"/>
        </w:rPr>
        <w:t xml:space="preserve">需要的运行环境 (如场地、网络环境等) 由采购人提供，响应方应详细描述 </w:t>
      </w:r>
      <w:r>
        <w:rPr>
          <w:rFonts w:hint="eastAsia" w:hAnsi="宋体"/>
          <w:color w:val="auto"/>
          <w:spacing w:val="9"/>
          <w:sz w:val="24"/>
          <w:szCs w:val="24"/>
          <w:highlight w:val="none"/>
        </w:rPr>
        <w:t>需</w:t>
      </w:r>
      <w:r>
        <w:rPr>
          <w:rFonts w:hint="eastAsia" w:hAnsi="宋体"/>
          <w:color w:val="auto"/>
          <w:spacing w:val="8"/>
          <w:sz w:val="24"/>
          <w:szCs w:val="24"/>
          <w:highlight w:val="none"/>
        </w:rPr>
        <w:t>要的运行环境的具体要求。</w:t>
      </w:r>
    </w:p>
    <w:p w14:paraId="2E16EF29">
      <w:pPr>
        <w:pStyle w:val="41"/>
        <w:spacing w:line="400" w:lineRule="exact"/>
        <w:ind w:firstLine="576" w:firstLineChars="200"/>
        <w:rPr>
          <w:rFonts w:hAnsi="宋体"/>
          <w:color w:val="auto"/>
          <w:spacing w:val="24"/>
          <w:sz w:val="24"/>
          <w:szCs w:val="24"/>
          <w:highlight w:val="none"/>
        </w:rPr>
      </w:pPr>
      <w:r>
        <w:rPr>
          <w:rFonts w:hint="eastAsia" w:hAnsi="宋体"/>
          <w:color w:val="auto"/>
          <w:spacing w:val="24"/>
          <w:sz w:val="24"/>
          <w:szCs w:val="24"/>
          <w:highlight w:val="none"/>
        </w:rPr>
        <w:t>(</w:t>
      </w:r>
      <w:r>
        <w:rPr>
          <w:rFonts w:hint="eastAsia" w:hAnsi="宋体"/>
          <w:color w:val="auto"/>
          <w:spacing w:val="21"/>
          <w:sz w:val="24"/>
          <w:szCs w:val="24"/>
          <w:highlight w:val="none"/>
        </w:rPr>
        <w:t>3</w:t>
      </w:r>
      <w:r>
        <w:rPr>
          <w:rFonts w:hint="eastAsia" w:hAnsi="宋体"/>
          <w:color w:val="auto"/>
          <w:sz w:val="24"/>
          <w:szCs w:val="24"/>
          <w:highlight w:val="none"/>
        </w:rPr>
        <w:t>) 为规范项目实施流程，响应方应具有自主研发的测评项目流程管理系统，</w:t>
      </w:r>
      <w:r>
        <w:rPr>
          <w:rFonts w:hint="eastAsia" w:hAnsi="宋体"/>
          <w:color w:val="auto"/>
          <w:spacing w:val="16"/>
          <w:sz w:val="24"/>
          <w:szCs w:val="24"/>
          <w:highlight w:val="none"/>
        </w:rPr>
        <w:t>并</w:t>
      </w:r>
      <w:r>
        <w:rPr>
          <w:rFonts w:hint="eastAsia" w:hAnsi="宋体"/>
          <w:color w:val="auto"/>
          <w:sz w:val="24"/>
          <w:szCs w:val="24"/>
          <w:highlight w:val="none"/>
        </w:rPr>
        <w:t>具</w:t>
      </w:r>
      <w:r>
        <w:rPr>
          <w:rFonts w:hint="eastAsia" w:hAnsi="宋体"/>
          <w:color w:val="auto"/>
          <w:spacing w:val="8"/>
          <w:sz w:val="24"/>
          <w:szCs w:val="24"/>
          <w:highlight w:val="none"/>
        </w:rPr>
        <w:t>有相关部门认可的密码测评相关工具。</w:t>
      </w:r>
    </w:p>
    <w:p w14:paraId="37189913">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4、测评实施要求</w:t>
      </w:r>
    </w:p>
    <w:p w14:paraId="06440108">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响应方应具有较强的技术服务能力，参与过密码检测和评价体系的编写以及公安部门执法检查指引相关方案和文档编写等，需提供证明文件。</w:t>
      </w:r>
    </w:p>
    <w:p w14:paraId="1EE36F2E">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响应方应根据采购人工作需求、进度要求、实际情况进一步完善《信息系统整体测评实施方案》，对项目目标、工作任务、阶段性工作、项目组织机构、职责分工、 项目进度、质量控制等内容进行详细的说明。</w:t>
      </w:r>
    </w:p>
    <w:p w14:paraId="60C7026F">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实施过程中形成的阶段性成果文件须指定相关责任人，明确相关职责。</w:t>
      </w:r>
    </w:p>
    <w:p w14:paraId="3E0A1D9A">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(4) 在整改过程中，如需现场服务，响应方技术人员应赶到现场协助处理。</w:t>
      </w:r>
    </w:p>
    <w:p w14:paraId="74E611B1">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(5) 项目完成后，必须提交完整的技术文档、测评报告、整改建议等，并负责对相关人员进行培训。</w:t>
      </w:r>
    </w:p>
    <w:p w14:paraId="414F4430">
      <w:pPr>
        <w:pStyle w:val="41"/>
        <w:spacing w:line="400" w:lineRule="exact"/>
        <w:ind w:firstLine="524" w:firstLineChars="200"/>
        <w:rPr>
          <w:rFonts w:hAnsi="宋体"/>
          <w:color w:val="auto"/>
          <w:spacing w:val="11"/>
          <w:sz w:val="24"/>
          <w:szCs w:val="24"/>
          <w:highlight w:val="none"/>
        </w:rPr>
      </w:pPr>
      <w:r>
        <w:rPr>
          <w:rFonts w:hint="eastAsia" w:hAnsi="宋体"/>
          <w:color w:val="auto"/>
          <w:spacing w:val="11"/>
          <w:sz w:val="24"/>
          <w:szCs w:val="24"/>
          <w:highlight w:val="none"/>
        </w:rPr>
        <w:t>5</w:t>
      </w:r>
      <w:r>
        <w:rPr>
          <w:rFonts w:hint="eastAsia" w:hAnsi="宋体"/>
          <w:color w:val="auto"/>
          <w:sz w:val="24"/>
          <w:szCs w:val="24"/>
          <w:highlight w:val="none"/>
        </w:rPr>
        <w:t>、项目组织实施</w:t>
      </w:r>
    </w:p>
    <w:p w14:paraId="15E23712">
      <w:pPr>
        <w:pStyle w:val="41"/>
        <w:spacing w:line="400" w:lineRule="exact"/>
        <w:ind w:firstLine="564" w:firstLineChars="200"/>
        <w:rPr>
          <w:rFonts w:hAnsi="宋体"/>
          <w:color w:val="auto"/>
          <w:spacing w:val="21"/>
          <w:sz w:val="24"/>
          <w:szCs w:val="24"/>
          <w:highlight w:val="none"/>
        </w:rPr>
      </w:pPr>
      <w:r>
        <w:rPr>
          <w:rFonts w:hint="eastAsia" w:hAnsi="宋体"/>
          <w:color w:val="auto"/>
          <w:spacing w:val="21"/>
          <w:sz w:val="24"/>
          <w:szCs w:val="24"/>
          <w:highlight w:val="none"/>
        </w:rPr>
        <w:t>(</w:t>
      </w:r>
      <w:r>
        <w:rPr>
          <w:rFonts w:hint="eastAsia" w:hAnsi="宋体"/>
          <w:color w:val="auto"/>
          <w:sz w:val="24"/>
          <w:szCs w:val="24"/>
          <w:highlight w:val="none"/>
        </w:rPr>
        <w:t>1) 响应方应保证投标项目在采购人条件成熟时立即开展实施。</w:t>
      </w:r>
    </w:p>
    <w:p w14:paraId="0396C84A">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(2) 响应方需根据自己的工程实施经验结合采购人的实际需求进一步细化和完</w:t>
      </w:r>
      <w:r>
        <w:rPr>
          <w:rFonts w:hint="eastAsia" w:hAnsi="宋体"/>
          <w:color w:val="auto"/>
          <w:spacing w:val="9"/>
          <w:sz w:val="24"/>
          <w:szCs w:val="24"/>
          <w:highlight w:val="none"/>
        </w:rPr>
        <w:t>善工作任务书，作为工程实施的指导性文件</w:t>
      </w:r>
      <w:r>
        <w:rPr>
          <w:rFonts w:hint="eastAsia" w:hAnsi="宋体"/>
          <w:color w:val="auto"/>
          <w:spacing w:val="7"/>
          <w:sz w:val="24"/>
          <w:szCs w:val="24"/>
          <w:highlight w:val="none"/>
        </w:rPr>
        <w:t>。</w:t>
      </w:r>
    </w:p>
    <w:p w14:paraId="04521702">
      <w:pPr>
        <w:pStyle w:val="41"/>
        <w:spacing w:line="400" w:lineRule="exact"/>
        <w:ind w:firstLine="532" w:firstLineChars="200"/>
        <w:rPr>
          <w:rFonts w:hAnsi="宋体"/>
          <w:color w:val="auto"/>
          <w:spacing w:val="13"/>
          <w:sz w:val="24"/>
          <w:szCs w:val="24"/>
          <w:highlight w:val="none"/>
        </w:rPr>
      </w:pPr>
      <w:r>
        <w:rPr>
          <w:rFonts w:hint="eastAsia" w:hAnsi="宋体"/>
          <w:color w:val="auto"/>
          <w:spacing w:val="13"/>
          <w:sz w:val="24"/>
          <w:szCs w:val="24"/>
          <w:highlight w:val="none"/>
        </w:rPr>
        <w:t>(3) 响应方应根据采购人工作需求、进度要求、实际情况制定详细的项目实</w:t>
      </w:r>
      <w:r>
        <w:rPr>
          <w:rFonts w:hint="eastAsia" w:hAnsi="宋体"/>
          <w:color w:val="auto"/>
          <w:sz w:val="24"/>
          <w:szCs w:val="24"/>
          <w:highlight w:val="none"/>
        </w:rPr>
        <w:t xml:space="preserve">施管理规范和项目实施计划，对工程目标、工作任务、阶段性工作、项目组织机构、职 </w:t>
      </w:r>
      <w:r>
        <w:rPr>
          <w:rFonts w:hint="eastAsia" w:hAnsi="宋体"/>
          <w:color w:val="auto"/>
          <w:spacing w:val="13"/>
          <w:sz w:val="24"/>
          <w:szCs w:val="24"/>
          <w:highlight w:val="none"/>
        </w:rPr>
        <w:t>责</w:t>
      </w:r>
      <w:r>
        <w:rPr>
          <w:rFonts w:hint="eastAsia" w:hAnsi="宋体"/>
          <w:color w:val="auto"/>
          <w:sz w:val="24"/>
          <w:szCs w:val="24"/>
          <w:highlight w:val="none"/>
        </w:rPr>
        <w:t>分工、项目进度、质量控制等内容进行详细的说明，以确保工程实施按时保质的完</w:t>
      </w:r>
      <w:r>
        <w:rPr>
          <w:rFonts w:hint="eastAsia" w:hAnsi="宋体"/>
          <w:color w:val="auto"/>
          <w:spacing w:val="-1"/>
          <w:sz w:val="24"/>
          <w:szCs w:val="24"/>
          <w:highlight w:val="none"/>
        </w:rPr>
        <w:t>成。</w:t>
      </w:r>
    </w:p>
    <w:p w14:paraId="7C293A03">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6、项目服务承</w:t>
      </w:r>
      <w:r>
        <w:rPr>
          <w:rFonts w:hint="eastAsia" w:hAnsi="宋体"/>
          <w:color w:val="auto"/>
          <w:spacing w:val="7"/>
          <w:sz w:val="24"/>
          <w:szCs w:val="24"/>
          <w:highlight w:val="none"/>
        </w:rPr>
        <w:t>诺</w:t>
      </w:r>
    </w:p>
    <w:p w14:paraId="24001108">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(1) 响应方应满足采购人提出的标准性、规范性、可控性、整体性、最小影响</w:t>
      </w:r>
      <w:r>
        <w:rPr>
          <w:rFonts w:hint="eastAsia" w:hAnsi="宋体"/>
          <w:color w:val="auto"/>
          <w:spacing w:val="16"/>
          <w:sz w:val="24"/>
          <w:szCs w:val="24"/>
          <w:highlight w:val="none"/>
        </w:rPr>
        <w:t>性</w:t>
      </w:r>
      <w:r>
        <w:rPr>
          <w:rFonts w:hint="eastAsia" w:hAnsi="宋体"/>
          <w:color w:val="auto"/>
          <w:spacing w:val="12"/>
          <w:sz w:val="24"/>
          <w:szCs w:val="24"/>
          <w:highlight w:val="none"/>
        </w:rPr>
        <w:t>及</w:t>
      </w:r>
      <w:r>
        <w:rPr>
          <w:rFonts w:hint="eastAsia" w:hAnsi="宋体"/>
          <w:color w:val="auto"/>
          <w:spacing w:val="8"/>
          <w:sz w:val="24"/>
          <w:szCs w:val="24"/>
          <w:highlight w:val="none"/>
        </w:rPr>
        <w:t>保密性原则，做到守时、保质。</w:t>
      </w:r>
    </w:p>
    <w:p w14:paraId="2FAA8E17">
      <w:pPr>
        <w:pStyle w:val="41"/>
        <w:spacing w:line="400" w:lineRule="exact"/>
        <w:ind w:firstLine="532" w:firstLineChars="200"/>
        <w:rPr>
          <w:rFonts w:hAnsi="宋体"/>
          <w:color w:val="auto"/>
          <w:spacing w:val="13"/>
          <w:sz w:val="24"/>
          <w:szCs w:val="24"/>
          <w:highlight w:val="none"/>
        </w:rPr>
      </w:pPr>
      <w:r>
        <w:rPr>
          <w:rFonts w:hint="eastAsia" w:hAnsi="宋体"/>
          <w:color w:val="auto"/>
          <w:spacing w:val="13"/>
          <w:sz w:val="24"/>
          <w:szCs w:val="24"/>
          <w:highlight w:val="none"/>
        </w:rPr>
        <w:t>(2) 响应方对本采购需求中的内容及在投标过程中接触的设备信息、数据资</w:t>
      </w:r>
      <w:r>
        <w:rPr>
          <w:rFonts w:hint="eastAsia" w:hAnsi="宋体"/>
          <w:color w:val="auto"/>
          <w:sz w:val="24"/>
          <w:szCs w:val="24"/>
          <w:highlight w:val="none"/>
        </w:rPr>
        <w:t>料</w:t>
      </w:r>
      <w:r>
        <w:rPr>
          <w:rFonts w:hint="eastAsia" w:hAnsi="宋体"/>
          <w:color w:val="auto"/>
          <w:spacing w:val="13"/>
          <w:sz w:val="24"/>
          <w:szCs w:val="24"/>
          <w:highlight w:val="none"/>
        </w:rPr>
        <w:t>等</w:t>
      </w:r>
      <w:r>
        <w:rPr>
          <w:rFonts w:hint="eastAsia" w:hAnsi="宋体"/>
          <w:color w:val="auto"/>
          <w:sz w:val="24"/>
          <w:szCs w:val="24"/>
          <w:highlight w:val="none"/>
        </w:rPr>
        <w:t xml:space="preserve">负有保密责任，不得泄露给任何第三方。无论响应方成交与否，其对上述内容的保 </w:t>
      </w:r>
      <w:r>
        <w:rPr>
          <w:rFonts w:hint="eastAsia" w:hAnsi="宋体"/>
          <w:color w:val="auto"/>
          <w:spacing w:val="13"/>
          <w:sz w:val="24"/>
          <w:szCs w:val="24"/>
          <w:highlight w:val="none"/>
        </w:rPr>
        <w:t>密</w:t>
      </w:r>
      <w:r>
        <w:rPr>
          <w:rFonts w:hint="eastAsia" w:hAnsi="宋体"/>
          <w:color w:val="auto"/>
          <w:sz w:val="24"/>
          <w:szCs w:val="24"/>
          <w:highlight w:val="none"/>
        </w:rPr>
        <w:t>责任将长期存在。</w:t>
      </w:r>
    </w:p>
    <w:p w14:paraId="192EBDC8">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(3) 测评的品质保证：响应方应承诺指派工作经验丰富、技术实力雄厚的安全</w:t>
      </w:r>
      <w:r>
        <w:rPr>
          <w:rFonts w:hint="eastAsia" w:hAnsi="宋体"/>
          <w:color w:val="auto"/>
          <w:spacing w:val="14"/>
          <w:sz w:val="24"/>
          <w:szCs w:val="24"/>
          <w:highlight w:val="none"/>
        </w:rPr>
        <w:t>顾</w:t>
      </w:r>
      <w:r>
        <w:rPr>
          <w:rFonts w:hint="eastAsia" w:hAnsi="宋体"/>
          <w:color w:val="auto"/>
          <w:spacing w:val="8"/>
          <w:sz w:val="24"/>
          <w:szCs w:val="24"/>
          <w:highlight w:val="none"/>
        </w:rPr>
        <w:t>问</w:t>
      </w:r>
      <w:r>
        <w:rPr>
          <w:rFonts w:hint="eastAsia" w:hAnsi="宋体"/>
          <w:color w:val="auto"/>
          <w:spacing w:val="7"/>
          <w:sz w:val="24"/>
          <w:szCs w:val="24"/>
          <w:highlight w:val="none"/>
        </w:rPr>
        <w:t>，结合技术领先、结论可靠的测评工具为客户作商用密码应用安全性评估。承诺</w:t>
      </w:r>
      <w:r>
        <w:rPr>
          <w:rFonts w:hint="eastAsia" w:hAnsi="宋体"/>
          <w:color w:val="auto"/>
          <w:sz w:val="24"/>
          <w:szCs w:val="24"/>
          <w:highlight w:val="none"/>
        </w:rPr>
        <w:t xml:space="preserve"> </w:t>
      </w:r>
      <w:r>
        <w:rPr>
          <w:rFonts w:hint="eastAsia" w:hAnsi="宋体"/>
          <w:color w:val="auto"/>
          <w:spacing w:val="15"/>
          <w:sz w:val="24"/>
          <w:szCs w:val="24"/>
          <w:highlight w:val="none"/>
        </w:rPr>
        <w:t>测</w:t>
      </w:r>
      <w:r>
        <w:rPr>
          <w:rFonts w:hint="eastAsia" w:hAnsi="宋体"/>
          <w:color w:val="auto"/>
          <w:spacing w:val="9"/>
          <w:sz w:val="24"/>
          <w:szCs w:val="24"/>
          <w:highlight w:val="none"/>
        </w:rPr>
        <w:t>评过程按照国家标准进行，并保证对客户的资料严格保密。</w:t>
      </w:r>
    </w:p>
    <w:p w14:paraId="497417C8">
      <w:pPr>
        <w:pStyle w:val="41"/>
        <w:spacing w:line="400" w:lineRule="exact"/>
        <w:ind w:firstLine="516" w:firstLineChars="200"/>
        <w:rPr>
          <w:rFonts w:hAnsi="宋体"/>
          <w:color w:val="auto"/>
          <w:spacing w:val="9"/>
          <w:sz w:val="24"/>
          <w:szCs w:val="24"/>
          <w:highlight w:val="none"/>
        </w:rPr>
      </w:pPr>
      <w:r>
        <w:rPr>
          <w:rFonts w:hint="eastAsia" w:hAnsi="宋体"/>
          <w:color w:val="auto"/>
          <w:spacing w:val="9"/>
          <w:sz w:val="24"/>
          <w:szCs w:val="24"/>
          <w:highlight w:val="none"/>
        </w:rPr>
        <w:t>7</w:t>
      </w:r>
      <w:r>
        <w:rPr>
          <w:rFonts w:hint="eastAsia" w:hAnsi="宋体"/>
          <w:color w:val="auto"/>
          <w:sz w:val="24"/>
          <w:szCs w:val="24"/>
          <w:highlight w:val="none"/>
        </w:rPr>
        <w:t>、项目验收</w:t>
      </w:r>
    </w:p>
    <w:p w14:paraId="6B101977">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(1) 响应方应对采购人各信息系统进行商用密码应用安全性评估，形成测评报</w:t>
      </w:r>
      <w:r>
        <w:rPr>
          <w:rFonts w:hint="eastAsia" w:hAnsi="宋体"/>
          <w:color w:val="auto"/>
          <w:spacing w:val="8"/>
          <w:sz w:val="24"/>
          <w:szCs w:val="24"/>
          <w:highlight w:val="none"/>
        </w:rPr>
        <w:t>告，包括但不限于以下几种：</w:t>
      </w:r>
    </w:p>
    <w:p w14:paraId="6E4A99D1">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1)《商</w:t>
      </w:r>
      <w:r>
        <w:rPr>
          <w:rFonts w:hint="eastAsia" w:hAnsi="宋体"/>
          <w:color w:val="auto"/>
          <w:spacing w:val="5"/>
          <w:sz w:val="24"/>
          <w:szCs w:val="24"/>
          <w:highlight w:val="none"/>
        </w:rPr>
        <w:t>用</w:t>
      </w:r>
      <w:r>
        <w:rPr>
          <w:rFonts w:hint="eastAsia" w:hAnsi="宋体"/>
          <w:color w:val="auto"/>
          <w:sz w:val="24"/>
          <w:szCs w:val="24"/>
          <w:highlight w:val="none"/>
        </w:rPr>
        <w:t>密码应用安全性评估报告》</w:t>
      </w:r>
    </w:p>
    <w:p w14:paraId="785E0BAC">
      <w:pPr>
        <w:pStyle w:val="41"/>
        <w:spacing w:line="400" w:lineRule="exact"/>
        <w:ind w:firstLine="576" w:firstLineChars="200"/>
        <w:rPr>
          <w:rFonts w:hAnsi="宋体"/>
          <w:color w:val="auto"/>
          <w:spacing w:val="24"/>
          <w:sz w:val="24"/>
          <w:szCs w:val="24"/>
          <w:highlight w:val="none"/>
        </w:rPr>
      </w:pPr>
      <w:r>
        <w:rPr>
          <w:rFonts w:hint="eastAsia" w:hAnsi="宋体"/>
          <w:color w:val="auto"/>
          <w:spacing w:val="24"/>
          <w:sz w:val="24"/>
          <w:szCs w:val="24"/>
          <w:highlight w:val="none"/>
        </w:rPr>
        <w:t>(</w:t>
      </w:r>
      <w:r>
        <w:rPr>
          <w:rFonts w:hint="eastAsia" w:hAnsi="宋体"/>
          <w:color w:val="auto"/>
          <w:spacing w:val="15"/>
          <w:sz w:val="24"/>
          <w:szCs w:val="24"/>
          <w:highlight w:val="none"/>
        </w:rPr>
        <w:t>2</w:t>
      </w:r>
      <w:r>
        <w:rPr>
          <w:rFonts w:hint="eastAsia" w:hAnsi="宋体"/>
          <w:color w:val="auto"/>
          <w:sz w:val="24"/>
          <w:szCs w:val="24"/>
          <w:highlight w:val="none"/>
        </w:rPr>
        <w:t>) 测评工作结束之后，协助采购人完成系统备案工作。</w:t>
      </w:r>
    </w:p>
    <w:p w14:paraId="5E7BC954">
      <w:pPr>
        <w:pStyle w:val="41"/>
        <w:spacing w:line="400" w:lineRule="exact"/>
        <w:ind w:firstLine="516" w:firstLineChars="200"/>
        <w:rPr>
          <w:rFonts w:hAnsi="宋体"/>
          <w:color w:val="auto"/>
          <w:spacing w:val="9"/>
          <w:sz w:val="24"/>
          <w:szCs w:val="24"/>
          <w:highlight w:val="none"/>
        </w:rPr>
      </w:pPr>
      <w:r>
        <w:rPr>
          <w:rFonts w:hint="eastAsia" w:hAnsi="宋体"/>
          <w:color w:val="auto"/>
          <w:spacing w:val="9"/>
          <w:sz w:val="24"/>
          <w:szCs w:val="24"/>
          <w:highlight w:val="none"/>
        </w:rPr>
        <w:t>8</w:t>
      </w:r>
      <w:r>
        <w:rPr>
          <w:rFonts w:hint="eastAsia" w:hAnsi="宋体"/>
          <w:color w:val="auto"/>
          <w:sz w:val="24"/>
          <w:szCs w:val="24"/>
          <w:highlight w:val="none"/>
        </w:rPr>
        <w:t>、报价要求</w:t>
      </w:r>
    </w:p>
    <w:p w14:paraId="6D933C18">
      <w:pPr>
        <w:pStyle w:val="41"/>
        <w:spacing w:line="400" w:lineRule="exact"/>
        <w:ind w:firstLine="528" w:firstLineChars="200"/>
        <w:rPr>
          <w:rFonts w:hAnsi="宋体"/>
          <w:color w:val="auto"/>
          <w:spacing w:val="12"/>
          <w:sz w:val="24"/>
          <w:szCs w:val="24"/>
          <w:highlight w:val="none"/>
        </w:rPr>
      </w:pPr>
      <w:r>
        <w:rPr>
          <w:rFonts w:hint="eastAsia" w:hAnsi="宋体"/>
          <w:color w:val="auto"/>
          <w:spacing w:val="12"/>
          <w:sz w:val="24"/>
          <w:szCs w:val="24"/>
          <w:highlight w:val="none"/>
        </w:rPr>
        <w:t>响应方应</w:t>
      </w:r>
      <w:r>
        <w:rPr>
          <w:rFonts w:hint="eastAsia" w:hAnsi="宋体"/>
          <w:color w:val="auto"/>
          <w:sz w:val="24"/>
          <w:szCs w:val="24"/>
          <w:highlight w:val="none"/>
        </w:rPr>
        <w:t>根据本次项目要求，计算各项成本，税收，加上合理利润后形成项目总</w:t>
      </w:r>
      <w:r>
        <w:rPr>
          <w:rFonts w:hint="eastAsia" w:hAnsi="宋体"/>
          <w:color w:val="auto"/>
          <w:spacing w:val="16"/>
          <w:sz w:val="24"/>
          <w:szCs w:val="24"/>
          <w:highlight w:val="none"/>
        </w:rPr>
        <w:t>费</w:t>
      </w:r>
      <w:r>
        <w:rPr>
          <w:rFonts w:hint="eastAsia" w:hAnsi="宋体"/>
          <w:color w:val="auto"/>
          <w:spacing w:val="12"/>
          <w:sz w:val="24"/>
          <w:szCs w:val="24"/>
          <w:highlight w:val="none"/>
        </w:rPr>
        <w:t>用</w:t>
      </w:r>
      <w:r>
        <w:rPr>
          <w:rFonts w:hint="eastAsia" w:hAnsi="宋体"/>
          <w:color w:val="auto"/>
          <w:sz w:val="24"/>
          <w:szCs w:val="24"/>
          <w:highlight w:val="none"/>
        </w:rPr>
        <w:t>进行响应报价，该相应报价为一次性固定总价，采购人不再另行支付额外费用。</w:t>
      </w:r>
    </w:p>
    <w:p w14:paraId="42A7CB9E">
      <w:pPr>
        <w:pStyle w:val="41"/>
        <w:spacing w:line="400" w:lineRule="exact"/>
        <w:ind w:firstLine="516" w:firstLineChars="200"/>
        <w:rPr>
          <w:rFonts w:hAnsi="宋体"/>
          <w:color w:val="auto"/>
          <w:spacing w:val="9"/>
          <w:sz w:val="24"/>
          <w:szCs w:val="24"/>
          <w:highlight w:val="none"/>
        </w:rPr>
      </w:pPr>
      <w:r>
        <w:rPr>
          <w:rFonts w:hint="eastAsia" w:hAnsi="宋体"/>
          <w:color w:val="auto"/>
          <w:spacing w:val="9"/>
          <w:sz w:val="24"/>
          <w:szCs w:val="24"/>
          <w:highlight w:val="none"/>
        </w:rPr>
        <w:t>9、付款方式</w:t>
      </w:r>
    </w:p>
    <w:p w14:paraId="4E7E26B9">
      <w:pPr>
        <w:spacing w:line="400"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供应商成交后，按照项目服务要求，及时签订合同，协助客户完成项目整改，成交供应商完成第一次测评，出具差距分析报告，客户支付项目总额的50%；客户整改完毕，成交供应商进行复测，出具报告后，客户支付剩余款项。</w:t>
      </w:r>
    </w:p>
    <w:p w14:paraId="239D4DEA">
      <w:pPr>
        <w:pStyle w:val="41"/>
        <w:spacing w:line="400" w:lineRule="exact"/>
        <w:ind w:firstLine="516" w:firstLineChars="200"/>
        <w:rPr>
          <w:rFonts w:hAnsi="宋体"/>
          <w:color w:val="auto"/>
          <w:spacing w:val="9"/>
          <w:sz w:val="24"/>
          <w:szCs w:val="24"/>
          <w:highlight w:val="none"/>
        </w:rPr>
      </w:pPr>
      <w:r>
        <w:rPr>
          <w:rFonts w:hint="eastAsia" w:hAnsi="宋体"/>
          <w:color w:val="auto"/>
          <w:spacing w:val="9"/>
          <w:sz w:val="24"/>
          <w:szCs w:val="24"/>
          <w:highlight w:val="none"/>
        </w:rPr>
        <w:t>10</w:t>
      </w:r>
      <w:r>
        <w:rPr>
          <w:rFonts w:hint="eastAsia" w:hAnsi="宋体"/>
          <w:color w:val="auto"/>
          <w:sz w:val="24"/>
          <w:szCs w:val="24"/>
          <w:highlight w:val="none"/>
        </w:rPr>
        <w:t>、商务要求</w:t>
      </w:r>
    </w:p>
    <w:p w14:paraId="48E68698">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(1) 服务期限：合同签订后20个日历日内完成。</w:t>
      </w:r>
    </w:p>
    <w:p w14:paraId="12794FA2">
      <w:pPr>
        <w:pStyle w:val="41"/>
        <w:spacing w:line="400" w:lineRule="exact"/>
        <w:ind w:firstLine="480" w:firstLineChars="200"/>
        <w:rPr>
          <w:rFonts w:hAnsi="宋体"/>
          <w:color w:val="auto"/>
          <w:sz w:val="24"/>
          <w:szCs w:val="24"/>
          <w:highlight w:val="none"/>
        </w:rPr>
      </w:pPr>
      <w:r>
        <w:rPr>
          <w:rFonts w:hint="eastAsia" w:hAnsi="宋体"/>
          <w:color w:val="auto"/>
          <w:sz w:val="24"/>
          <w:szCs w:val="24"/>
          <w:highlight w:val="none"/>
        </w:rPr>
        <w:t>(2) 服务地点：采购人指定地点。</w:t>
      </w:r>
    </w:p>
    <w:p w14:paraId="113EB20D">
      <w:pPr>
        <w:pStyle w:val="41"/>
        <w:spacing w:line="400" w:lineRule="exact"/>
        <w:ind w:firstLine="480" w:firstLineChars="200"/>
        <w:rPr>
          <w:rFonts w:hAnsi="宋体"/>
          <w:color w:val="auto"/>
          <w:sz w:val="24"/>
          <w:szCs w:val="24"/>
          <w:highlight w:val="none"/>
        </w:rPr>
      </w:pPr>
      <w:bookmarkStart w:id="35" w:name="_bookmark13"/>
      <w:bookmarkEnd w:id="35"/>
      <w:r>
        <w:rPr>
          <w:rFonts w:hint="eastAsia" w:hAnsi="宋体"/>
          <w:color w:val="auto"/>
          <w:sz w:val="24"/>
          <w:szCs w:val="24"/>
          <w:highlight w:val="none"/>
        </w:rPr>
        <w:t>(3) 付款方式：完成合同签订支付合同金额的30%，出具最终测评报告支付合同金额的70%。</w:t>
      </w:r>
    </w:p>
    <w:p w14:paraId="51EE7819">
      <w:pPr>
        <w:pStyle w:val="24"/>
        <w:spacing w:line="400" w:lineRule="exact"/>
        <w:ind w:firstLine="480"/>
        <w:rPr>
          <w:rFonts w:ascii="宋体" w:hAnsi="宋体"/>
          <w:color w:val="auto"/>
          <w:sz w:val="24"/>
          <w:highlight w:val="none"/>
        </w:rPr>
      </w:pPr>
    </w:p>
    <w:p w14:paraId="3A9F0E4A">
      <w:pPr>
        <w:widowControl/>
        <w:spacing w:before="68" w:after="68" w:line="272" w:lineRule="atLeast"/>
        <w:jc w:val="left"/>
        <w:rPr>
          <w:rFonts w:ascii="宋体" w:hAnsi="宋体"/>
          <w:color w:val="auto"/>
          <w:sz w:val="32"/>
          <w:szCs w:val="32"/>
          <w:highlight w:val="none"/>
        </w:rPr>
      </w:pPr>
      <w:r>
        <w:rPr>
          <w:rFonts w:hint="eastAsia" w:ascii="宋体" w:hAnsi="宋体"/>
          <w:color w:val="auto"/>
          <w:sz w:val="32"/>
          <w:szCs w:val="32"/>
          <w:highlight w:val="none"/>
        </w:rPr>
        <w:br w:type="page"/>
      </w:r>
    </w:p>
    <w:p w14:paraId="58F0C22A">
      <w:pPr>
        <w:pStyle w:val="13"/>
        <w:numPr>
          <w:ilvl w:val="0"/>
          <w:numId w:val="8"/>
        </w:numPr>
        <w:spacing w:line="400" w:lineRule="atLeast"/>
        <w:jc w:val="center"/>
        <w:rPr>
          <w:rFonts w:ascii="宋体" w:hAnsi="宋体"/>
          <w:color w:val="auto"/>
          <w:sz w:val="32"/>
          <w:szCs w:val="32"/>
          <w:highlight w:val="none"/>
        </w:rPr>
      </w:pPr>
      <w:r>
        <w:rPr>
          <w:rFonts w:hint="eastAsia" w:ascii="宋体" w:hAnsi="宋体"/>
          <w:color w:val="auto"/>
          <w:sz w:val="32"/>
          <w:szCs w:val="32"/>
          <w:highlight w:val="none"/>
        </w:rPr>
        <w:t xml:space="preserve"> </w:t>
      </w:r>
      <w:bookmarkStart w:id="36" w:name="_Toc15761"/>
      <w:r>
        <w:rPr>
          <w:rFonts w:hint="eastAsia" w:ascii="宋体" w:hAnsi="宋体"/>
          <w:color w:val="auto"/>
          <w:sz w:val="32"/>
          <w:szCs w:val="32"/>
          <w:highlight w:val="none"/>
        </w:rPr>
        <w:t>合同</w:t>
      </w:r>
      <w:bookmarkEnd w:id="36"/>
    </w:p>
    <w:p w14:paraId="027BF255">
      <w:pPr>
        <w:rPr>
          <w:rFonts w:ascii="宋体" w:hAnsi="宋体"/>
          <w:color w:val="auto"/>
          <w:highlight w:val="none"/>
        </w:rPr>
      </w:pPr>
    </w:p>
    <w:p w14:paraId="2D5833D7">
      <w:pPr>
        <w:spacing w:line="360" w:lineRule="auto"/>
        <w:jc w:val="center"/>
        <w:rPr>
          <w:rFonts w:ascii="宋体" w:hAnsi="宋体"/>
          <w:bCs/>
          <w:color w:val="auto"/>
          <w:sz w:val="28"/>
          <w:szCs w:val="28"/>
          <w:highlight w:val="none"/>
        </w:rPr>
      </w:pPr>
      <w:bookmarkStart w:id="37" w:name="_Toc11896"/>
      <w:r>
        <w:rPr>
          <w:rFonts w:hint="eastAsia" w:ascii="宋体" w:hAnsi="宋体"/>
          <w:bCs/>
          <w:color w:val="auto"/>
          <w:sz w:val="28"/>
          <w:szCs w:val="28"/>
          <w:highlight w:val="none"/>
        </w:rPr>
        <w:t>(本合同仅供参考，最终合同由采购人与成交人协商确定)</w:t>
      </w:r>
      <w:bookmarkEnd w:id="37"/>
    </w:p>
    <w:p w14:paraId="423685E2">
      <w:pPr>
        <w:shd w:val="clear" w:color="auto" w:fill="FFFFFF"/>
        <w:rPr>
          <w:rFonts w:ascii="宋体" w:hAnsi="宋体"/>
          <w:color w:val="auto"/>
          <w:sz w:val="24"/>
          <w:highlight w:val="none"/>
        </w:rPr>
      </w:pPr>
      <w:r>
        <w:rPr>
          <w:rFonts w:hint="eastAsia" w:ascii="宋体" w:hAnsi="宋体"/>
          <w:color w:val="auto"/>
          <w:sz w:val="24"/>
          <w:highlight w:val="none"/>
        </w:rPr>
        <w:t>合同编号：</w:t>
      </w:r>
      <w:r>
        <w:rPr>
          <w:rFonts w:hint="eastAsia" w:ascii="宋体" w:hAnsi="宋体"/>
          <w:color w:val="auto"/>
          <w:sz w:val="24"/>
          <w:highlight w:val="none"/>
          <w:u w:val="single"/>
        </w:rPr>
        <w:t xml:space="preserve">           </w:t>
      </w:r>
    </w:p>
    <w:p w14:paraId="3A7D2695">
      <w:pPr>
        <w:shd w:val="clear" w:color="auto" w:fill="FFFFFF"/>
        <w:spacing w:line="480" w:lineRule="auto"/>
        <w:jc w:val="center"/>
        <w:rPr>
          <w:rFonts w:ascii="宋体" w:hAnsi="宋体"/>
          <w:b/>
          <w:color w:val="auto"/>
          <w:sz w:val="28"/>
          <w:szCs w:val="28"/>
          <w:highlight w:val="none"/>
        </w:rPr>
      </w:pPr>
    </w:p>
    <w:p w14:paraId="491736A4">
      <w:pPr>
        <w:shd w:val="clear" w:color="auto" w:fill="FFFFFF"/>
        <w:spacing w:line="480" w:lineRule="auto"/>
        <w:jc w:val="center"/>
        <w:rPr>
          <w:rFonts w:ascii="宋体" w:hAnsi="宋体"/>
          <w:b/>
          <w:color w:val="auto"/>
          <w:sz w:val="28"/>
          <w:szCs w:val="28"/>
          <w:highlight w:val="none"/>
        </w:rPr>
      </w:pPr>
    </w:p>
    <w:p w14:paraId="6D3A8A55">
      <w:pPr>
        <w:shd w:val="clear" w:color="auto" w:fill="FFFFFF"/>
        <w:spacing w:line="480" w:lineRule="auto"/>
        <w:jc w:val="center"/>
        <w:rPr>
          <w:rFonts w:ascii="宋体" w:hAnsi="宋体"/>
          <w:b/>
          <w:color w:val="auto"/>
          <w:sz w:val="28"/>
          <w:szCs w:val="28"/>
          <w:highlight w:val="none"/>
        </w:rPr>
      </w:pPr>
    </w:p>
    <w:p w14:paraId="74F67894">
      <w:pPr>
        <w:shd w:val="clear" w:color="auto" w:fill="FFFFFF"/>
        <w:spacing w:line="480" w:lineRule="auto"/>
        <w:jc w:val="center"/>
        <w:rPr>
          <w:rFonts w:ascii="宋体" w:hAnsi="宋体"/>
          <w:b/>
          <w:color w:val="auto"/>
          <w:sz w:val="44"/>
          <w:szCs w:val="44"/>
          <w:highlight w:val="none"/>
        </w:rPr>
      </w:pPr>
      <w:r>
        <w:rPr>
          <w:rFonts w:hint="eastAsia" w:ascii="宋体" w:hAnsi="宋体"/>
          <w:b/>
          <w:color w:val="auto"/>
          <w:sz w:val="44"/>
          <w:szCs w:val="44"/>
          <w:highlight w:val="none"/>
        </w:rPr>
        <w:t>政府采购合同参考范本</w:t>
      </w:r>
    </w:p>
    <w:p w14:paraId="4AA9F68D">
      <w:pPr>
        <w:shd w:val="clear" w:color="auto" w:fill="FFFFFF"/>
        <w:spacing w:line="480" w:lineRule="auto"/>
        <w:jc w:val="center"/>
        <w:rPr>
          <w:rFonts w:ascii="宋体" w:hAnsi="宋体"/>
          <w:b/>
          <w:color w:val="auto"/>
          <w:sz w:val="24"/>
          <w:highlight w:val="none"/>
        </w:rPr>
      </w:pPr>
      <w:r>
        <w:rPr>
          <w:rFonts w:hint="eastAsia" w:ascii="宋体" w:hAnsi="宋体"/>
          <w:b/>
          <w:color w:val="auto"/>
          <w:sz w:val="24"/>
          <w:highlight w:val="none"/>
        </w:rPr>
        <w:t>（服务类）</w:t>
      </w:r>
    </w:p>
    <w:p w14:paraId="42448304">
      <w:pPr>
        <w:pStyle w:val="110"/>
        <w:shd w:val="clear" w:color="auto" w:fill="FFFFFF"/>
        <w:ind w:firstLine="400"/>
        <w:rPr>
          <w:rFonts w:hAnsi="宋体"/>
          <w:color w:val="auto"/>
          <w:szCs w:val="24"/>
          <w:highlight w:val="none"/>
        </w:rPr>
      </w:pPr>
    </w:p>
    <w:p w14:paraId="414D82B9">
      <w:pPr>
        <w:pStyle w:val="110"/>
        <w:shd w:val="clear" w:color="auto" w:fill="FFFFFF"/>
        <w:ind w:firstLine="400"/>
        <w:rPr>
          <w:rFonts w:hAnsi="宋体"/>
          <w:color w:val="auto"/>
          <w:szCs w:val="24"/>
          <w:highlight w:val="none"/>
        </w:rPr>
      </w:pPr>
    </w:p>
    <w:p w14:paraId="2875220A">
      <w:pPr>
        <w:pStyle w:val="110"/>
        <w:shd w:val="clear" w:color="auto" w:fill="FFFFFF"/>
        <w:ind w:firstLine="400"/>
        <w:rPr>
          <w:rFonts w:hAnsi="宋体"/>
          <w:color w:val="auto"/>
          <w:szCs w:val="24"/>
          <w:highlight w:val="none"/>
        </w:rPr>
      </w:pPr>
    </w:p>
    <w:p w14:paraId="26D814A2">
      <w:pPr>
        <w:pStyle w:val="110"/>
        <w:shd w:val="clear" w:color="auto" w:fill="FFFFFF"/>
        <w:ind w:firstLine="402"/>
        <w:jc w:val="center"/>
        <w:rPr>
          <w:rFonts w:hAnsi="宋体"/>
          <w:b/>
          <w:color w:val="auto"/>
          <w:szCs w:val="24"/>
          <w:highlight w:val="none"/>
        </w:rPr>
      </w:pPr>
      <w:r>
        <w:rPr>
          <w:rFonts w:hint="eastAsia" w:hAnsi="宋体"/>
          <w:b/>
          <w:color w:val="auto"/>
          <w:szCs w:val="24"/>
          <w:highlight w:val="none"/>
        </w:rPr>
        <w:t>第一部分 合同书</w:t>
      </w:r>
    </w:p>
    <w:p w14:paraId="4F1D7D5A">
      <w:pPr>
        <w:pStyle w:val="110"/>
        <w:shd w:val="clear" w:color="auto" w:fill="FFFFFF"/>
        <w:ind w:firstLine="400"/>
        <w:rPr>
          <w:rFonts w:hAnsi="宋体"/>
          <w:color w:val="auto"/>
          <w:szCs w:val="24"/>
          <w:highlight w:val="none"/>
        </w:rPr>
      </w:pPr>
    </w:p>
    <w:p w14:paraId="50A97217">
      <w:pPr>
        <w:pStyle w:val="110"/>
        <w:shd w:val="clear" w:color="auto" w:fill="FFFFFF"/>
        <w:ind w:firstLine="400"/>
        <w:rPr>
          <w:rFonts w:hAnsi="宋体"/>
          <w:color w:val="auto"/>
          <w:szCs w:val="24"/>
          <w:highlight w:val="none"/>
        </w:rPr>
      </w:pPr>
    </w:p>
    <w:p w14:paraId="5226E8E3">
      <w:pPr>
        <w:shd w:val="clear" w:color="auto" w:fill="FFFFFF"/>
        <w:spacing w:before="120" w:line="22" w:lineRule="atLeast"/>
        <w:rPr>
          <w:rFonts w:ascii="宋体" w:hAnsi="宋体"/>
          <w:color w:val="auto"/>
          <w:sz w:val="24"/>
          <w:highlight w:val="none"/>
        </w:rPr>
      </w:pPr>
    </w:p>
    <w:p w14:paraId="31D658E2">
      <w:pPr>
        <w:shd w:val="clear" w:color="auto" w:fill="FFFFFF"/>
        <w:spacing w:before="120" w:line="22" w:lineRule="atLeast"/>
        <w:ind w:left="96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14:paraId="7BA4910B">
      <w:pPr>
        <w:pStyle w:val="137"/>
        <w:shd w:val="clear" w:color="auto" w:fill="FFFFFF"/>
        <w:spacing w:before="120" w:line="22" w:lineRule="atLeast"/>
        <w:rPr>
          <w:rFonts w:ascii="宋体" w:hAnsi="宋体" w:eastAsia="宋体"/>
          <w:color w:val="auto"/>
          <w:szCs w:val="24"/>
          <w:highlight w:val="none"/>
        </w:rPr>
      </w:pPr>
    </w:p>
    <w:p w14:paraId="1A56D0FA">
      <w:pPr>
        <w:pStyle w:val="137"/>
        <w:shd w:val="clear" w:color="auto" w:fill="FFFFFF"/>
        <w:spacing w:before="120" w:line="22" w:lineRule="atLeast"/>
        <w:rPr>
          <w:rFonts w:ascii="宋体" w:hAnsi="宋体" w:eastAsia="宋体"/>
          <w:color w:val="auto"/>
          <w:szCs w:val="24"/>
          <w:highlight w:val="none"/>
        </w:rPr>
      </w:pPr>
    </w:p>
    <w:p w14:paraId="7EDB44E9">
      <w:pPr>
        <w:shd w:val="clear" w:color="auto" w:fill="FFFFFF"/>
        <w:rPr>
          <w:rFonts w:ascii="宋体" w:hAnsi="宋体"/>
          <w:color w:val="auto"/>
          <w:highlight w:val="none"/>
        </w:rPr>
      </w:pPr>
    </w:p>
    <w:p w14:paraId="7240EA71">
      <w:pPr>
        <w:shd w:val="clear" w:color="auto" w:fill="FFFFFF"/>
        <w:spacing w:before="120" w:line="22" w:lineRule="atLeast"/>
        <w:ind w:left="960"/>
        <w:rPr>
          <w:rFonts w:ascii="宋体" w:hAnsi="宋体"/>
          <w:color w:val="auto"/>
          <w:sz w:val="24"/>
          <w:highlight w:val="none"/>
        </w:rPr>
      </w:pPr>
      <w:r>
        <w:rPr>
          <w:rFonts w:hint="eastAsia" w:ascii="宋体" w:hAnsi="宋体"/>
          <w:color w:val="auto"/>
          <w:sz w:val="24"/>
          <w:highlight w:val="none"/>
        </w:rPr>
        <w:t>甲方：</w:t>
      </w:r>
      <w:r>
        <w:rPr>
          <w:rFonts w:hint="eastAsia" w:ascii="宋体" w:hAnsi="宋体"/>
          <w:color w:val="auto"/>
          <w:sz w:val="24"/>
          <w:highlight w:val="none"/>
          <w:u w:val="single"/>
        </w:rPr>
        <w:t xml:space="preserve">                                       </w:t>
      </w:r>
    </w:p>
    <w:p w14:paraId="3F654017">
      <w:pPr>
        <w:shd w:val="clear" w:color="auto" w:fill="FFFFFF"/>
        <w:spacing w:before="120" w:line="22" w:lineRule="atLeast"/>
        <w:rPr>
          <w:rFonts w:ascii="宋体" w:hAnsi="宋体"/>
          <w:color w:val="auto"/>
          <w:sz w:val="24"/>
          <w:highlight w:val="none"/>
        </w:rPr>
      </w:pPr>
    </w:p>
    <w:p w14:paraId="012285E0">
      <w:pPr>
        <w:shd w:val="clear" w:color="auto" w:fill="FFFFFF"/>
        <w:spacing w:before="120" w:line="22" w:lineRule="atLeast"/>
        <w:ind w:left="960"/>
        <w:rPr>
          <w:rFonts w:ascii="宋体" w:hAnsi="宋体"/>
          <w:color w:val="auto"/>
          <w:sz w:val="24"/>
          <w:highlight w:val="non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14:paraId="34847237">
      <w:pPr>
        <w:shd w:val="clear" w:color="auto" w:fill="FFFFFF"/>
        <w:spacing w:before="120" w:line="22" w:lineRule="atLeast"/>
        <w:rPr>
          <w:rFonts w:ascii="宋体" w:hAnsi="宋体"/>
          <w:color w:val="auto"/>
          <w:sz w:val="24"/>
          <w:highlight w:val="none"/>
        </w:rPr>
      </w:pPr>
    </w:p>
    <w:p w14:paraId="4E7775AE">
      <w:pPr>
        <w:shd w:val="clear" w:color="auto" w:fill="FFFFFF"/>
        <w:spacing w:before="120" w:line="22" w:lineRule="atLeast"/>
        <w:ind w:firstLine="960" w:firstLineChars="400"/>
        <w:rPr>
          <w:rFonts w:ascii="宋体" w:hAnsi="宋体"/>
          <w:color w:val="auto"/>
          <w:sz w:val="24"/>
          <w:highlight w:val="none"/>
        </w:rPr>
      </w:pPr>
      <w:r>
        <w:rPr>
          <w:rFonts w:hint="eastAsia" w:ascii="宋体" w:hAnsi="宋体"/>
          <w:color w:val="auto"/>
          <w:sz w:val="24"/>
          <w:highlight w:val="none"/>
        </w:rPr>
        <w:t>签订地：</w:t>
      </w:r>
      <w:r>
        <w:rPr>
          <w:rFonts w:hint="eastAsia" w:ascii="宋体" w:hAnsi="宋体"/>
          <w:color w:val="auto"/>
          <w:sz w:val="24"/>
          <w:highlight w:val="none"/>
          <w:u w:val="single"/>
        </w:rPr>
        <w:t xml:space="preserve">                                     </w:t>
      </w:r>
    </w:p>
    <w:p w14:paraId="400DC6F3">
      <w:pPr>
        <w:shd w:val="clear" w:color="auto" w:fill="FFFFFF"/>
        <w:spacing w:before="120" w:line="22" w:lineRule="atLeast"/>
        <w:rPr>
          <w:rFonts w:ascii="宋体" w:hAnsi="宋体"/>
          <w:color w:val="auto"/>
          <w:sz w:val="24"/>
          <w:highlight w:val="none"/>
        </w:rPr>
      </w:pPr>
    </w:p>
    <w:p w14:paraId="623A0FC0">
      <w:pPr>
        <w:shd w:val="clear" w:color="auto" w:fill="FFFFFF"/>
        <w:spacing w:before="120" w:line="22" w:lineRule="atLeast"/>
        <w:ind w:firstLine="960" w:firstLineChars="400"/>
        <w:rPr>
          <w:rFonts w:ascii="宋体" w:hAnsi="宋体"/>
          <w:color w:val="auto"/>
          <w:sz w:val="24"/>
          <w:highlight w:val="non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0EEB3BA">
      <w:pPr>
        <w:shd w:val="clear" w:color="auto" w:fill="FFFFFF"/>
        <w:autoSpaceDE w:val="0"/>
        <w:autoSpaceDN w:val="0"/>
        <w:spacing w:line="600" w:lineRule="exact"/>
        <w:ind w:firstLine="640"/>
        <w:jc w:val="center"/>
        <w:rPr>
          <w:rFonts w:ascii="宋体" w:hAnsi="宋体"/>
          <w:color w:val="auto"/>
          <w:sz w:val="24"/>
          <w:highlight w:val="none"/>
        </w:rPr>
        <w:sectPr>
          <w:headerReference r:id="rId10" w:type="default"/>
          <w:footerReference r:id="rId11" w:type="default"/>
          <w:pgSz w:w="11907" w:h="16840"/>
          <w:pgMar w:top="1474" w:right="1361" w:bottom="1474" w:left="1361" w:header="851" w:footer="851" w:gutter="0"/>
          <w:cols w:space="720" w:num="1"/>
          <w:docGrid w:linePitch="462" w:charSpace="0"/>
        </w:sectPr>
      </w:pPr>
    </w:p>
    <w:p w14:paraId="65ACB415">
      <w:pPr>
        <w:shd w:val="clear" w:color="auto" w:fill="FFFFFF"/>
        <w:spacing w:line="560" w:lineRule="exact"/>
        <w:ind w:firstLine="480" w:firstLineChars="200"/>
        <w:rPr>
          <w:rFonts w:ascii="宋体" w:hAnsi="宋体"/>
          <w:color w:val="auto"/>
          <w:sz w:val="24"/>
          <w:highlight w:val="none"/>
          <w:u w:val="single"/>
          <w:lang w:val="zh-CN"/>
        </w:rPr>
      </w:pP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olor w:val="auto"/>
          <w:sz w:val="24"/>
          <w:highlight w:val="none"/>
          <w:u w:val="single"/>
        </w:rPr>
        <w:t xml:space="preserve">   （采购人名称）   </w:t>
      </w:r>
      <w:r>
        <w:rPr>
          <w:rFonts w:hint="eastAsia" w:ascii="宋体" w:hAnsi="宋体"/>
          <w:color w:val="auto"/>
          <w:sz w:val="24"/>
          <w:highlight w:val="none"/>
        </w:rPr>
        <w:t>以</w:t>
      </w:r>
      <w:r>
        <w:rPr>
          <w:rFonts w:hint="eastAsia" w:ascii="宋体" w:hAnsi="宋体"/>
          <w:color w:val="auto"/>
          <w:sz w:val="24"/>
          <w:highlight w:val="none"/>
          <w:u w:val="single"/>
        </w:rPr>
        <w:t xml:space="preserve">   （政府采购方式）  </w:t>
      </w:r>
      <w:r>
        <w:rPr>
          <w:rFonts w:hint="eastAsia" w:ascii="宋体" w:hAnsi="宋体"/>
          <w:color w:val="auto"/>
          <w:sz w:val="24"/>
          <w:highlight w:val="none"/>
        </w:rPr>
        <w:t>对</w:t>
      </w:r>
      <w:r>
        <w:rPr>
          <w:rFonts w:hint="eastAsia" w:ascii="宋体" w:hAnsi="宋体"/>
          <w:color w:val="auto"/>
          <w:sz w:val="24"/>
          <w:highlight w:val="none"/>
          <w:u w:val="single"/>
        </w:rPr>
        <w:t xml:space="preserve">   （同前页项目名称）   </w:t>
      </w:r>
      <w:r>
        <w:rPr>
          <w:rFonts w:hint="eastAsia" w:ascii="宋体" w:hAnsi="宋体"/>
          <w:color w:val="auto"/>
          <w:sz w:val="24"/>
          <w:highlight w:val="none"/>
        </w:rPr>
        <w:t>项目进行了采购。经</w:t>
      </w:r>
      <w:r>
        <w:rPr>
          <w:rFonts w:hint="eastAsia"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hint="eastAsia" w:ascii="宋体" w:hAnsi="宋体"/>
          <w:color w:val="auto"/>
          <w:sz w:val="24"/>
          <w:highlight w:val="none"/>
          <w:u w:val="single"/>
        </w:rPr>
        <w:t xml:space="preserve">   （中标供应商名称） </w:t>
      </w:r>
      <w:r>
        <w:rPr>
          <w:rFonts w:hint="eastAsia" w:ascii="宋体" w:hAnsi="宋体"/>
          <w:color w:val="auto"/>
          <w:sz w:val="24"/>
          <w:highlight w:val="none"/>
        </w:rPr>
        <w:t>为该项目中标供应商。现于中标通知书发出之日起三十日内，按照采购文件确定的事项签订本合同。</w:t>
      </w:r>
    </w:p>
    <w:p w14:paraId="32A1F78E">
      <w:pPr>
        <w:shd w:val="clear" w:color="auto" w:fill="FFFFFF"/>
        <w:spacing w:line="560" w:lineRule="exact"/>
        <w:ind w:firstLine="480" w:firstLineChars="200"/>
        <w:rPr>
          <w:rFonts w:ascii="宋体" w:hAnsi="宋体"/>
          <w:color w:val="auto"/>
          <w:sz w:val="24"/>
          <w:highlight w:val="none"/>
          <w:lang w:val="zh-CN"/>
        </w:rPr>
      </w:pPr>
      <w:r>
        <w:rPr>
          <w:rFonts w:hint="eastAsia" w:ascii="宋体" w:hAnsi="宋体"/>
          <w:color w:val="auto"/>
          <w:sz w:val="24"/>
          <w:highlight w:val="none"/>
          <w:lang w:val="zh-CN"/>
        </w:rPr>
        <w:t>根据《中华人民共和国合同法》、《中华人民共和国政府采购法》等相关法律法规之规定，按照平等、自愿、公平和诚实信用的原则，经</w:t>
      </w:r>
      <w:r>
        <w:rPr>
          <w:rFonts w:hint="eastAsia" w:ascii="宋体" w:hAnsi="宋体"/>
          <w:color w:val="auto"/>
          <w:sz w:val="24"/>
          <w:highlight w:val="none"/>
          <w:u w:val="single"/>
        </w:rPr>
        <w:t xml:space="preserve">   （采购人名称）   </w:t>
      </w:r>
      <w:r>
        <w:rPr>
          <w:rFonts w:hint="eastAsia" w:ascii="宋体" w:hAnsi="宋体"/>
          <w:color w:val="auto"/>
          <w:sz w:val="24"/>
          <w:highlight w:val="none"/>
          <w:lang w:val="zh-CN"/>
        </w:rPr>
        <w:t>(以下简称：甲方)和</w:t>
      </w:r>
      <w:r>
        <w:rPr>
          <w:rFonts w:hint="eastAsia" w:ascii="宋体" w:hAnsi="宋体"/>
          <w:color w:val="auto"/>
          <w:sz w:val="24"/>
          <w:highlight w:val="none"/>
          <w:u w:val="single"/>
        </w:rPr>
        <w:t xml:space="preserve">   （中标供应商名称）   </w:t>
      </w:r>
      <w:r>
        <w:rPr>
          <w:rFonts w:hint="eastAsia"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2FB9970">
      <w:pPr>
        <w:shd w:val="clear" w:color="auto" w:fill="FFFFFF"/>
        <w:spacing w:line="560" w:lineRule="exact"/>
        <w:ind w:firstLine="482" w:firstLineChars="200"/>
        <w:outlineLvl w:val="0"/>
        <w:rPr>
          <w:rFonts w:ascii="宋体" w:hAnsi="宋体"/>
          <w:b/>
          <w:color w:val="auto"/>
          <w:sz w:val="24"/>
          <w:highlight w:val="none"/>
        </w:rPr>
      </w:pPr>
      <w:bookmarkStart w:id="38" w:name="_Toc15367"/>
      <w:bookmarkStart w:id="39" w:name="_Toc22967"/>
      <w:bookmarkStart w:id="40" w:name="_Toc19273"/>
      <w:bookmarkStart w:id="41" w:name="_Toc28855"/>
      <w:bookmarkStart w:id="42" w:name="_Toc19441"/>
      <w:bookmarkStart w:id="43" w:name="_Toc24370"/>
      <w:bookmarkStart w:id="44" w:name="_Toc20421"/>
      <w:r>
        <w:rPr>
          <w:rFonts w:hint="eastAsia" w:ascii="宋体" w:hAnsi="宋体"/>
          <w:b/>
          <w:color w:val="auto"/>
          <w:sz w:val="24"/>
          <w:highlight w:val="none"/>
        </w:rPr>
        <w:t>1.1 合同组成部分</w:t>
      </w:r>
      <w:bookmarkEnd w:id="38"/>
      <w:bookmarkEnd w:id="39"/>
      <w:bookmarkEnd w:id="40"/>
      <w:bookmarkEnd w:id="41"/>
      <w:bookmarkEnd w:id="42"/>
      <w:bookmarkEnd w:id="43"/>
      <w:bookmarkEnd w:id="44"/>
    </w:p>
    <w:p w14:paraId="217AD73B">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6ABE45">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1.1.1 本合同及其补充合同、变更协议；</w:t>
      </w:r>
    </w:p>
    <w:p w14:paraId="4EDD4277">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1.1.2 中标通知书；</w:t>
      </w:r>
    </w:p>
    <w:p w14:paraId="4A9F33B5">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1.1.3 投标文件（含澄清或者说明文件）；</w:t>
      </w:r>
    </w:p>
    <w:p w14:paraId="7D494FFB">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1.1.4 招标文件（含澄清或者修改文件）；</w:t>
      </w:r>
    </w:p>
    <w:p w14:paraId="17590282">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1.1.5 其他相关采购文件。</w:t>
      </w:r>
    </w:p>
    <w:p w14:paraId="25EB88CB">
      <w:pPr>
        <w:shd w:val="clear" w:color="auto" w:fill="FFFFFF"/>
        <w:spacing w:line="560" w:lineRule="exact"/>
        <w:ind w:firstLine="482" w:firstLineChars="200"/>
        <w:outlineLvl w:val="0"/>
        <w:rPr>
          <w:rFonts w:ascii="宋体" w:hAnsi="宋体"/>
          <w:b/>
          <w:color w:val="auto"/>
          <w:sz w:val="24"/>
          <w:highlight w:val="none"/>
        </w:rPr>
      </w:pPr>
      <w:bookmarkStart w:id="45" w:name="_Toc6311"/>
      <w:bookmarkStart w:id="46" w:name="_Toc22185"/>
      <w:bookmarkStart w:id="47" w:name="_Toc6773"/>
      <w:bookmarkStart w:id="48" w:name="_Toc23623"/>
      <w:bookmarkStart w:id="49" w:name="_Toc2918"/>
      <w:bookmarkStart w:id="50" w:name="_Toc18585"/>
      <w:bookmarkStart w:id="51" w:name="_Toc19197"/>
      <w:r>
        <w:rPr>
          <w:rFonts w:hint="eastAsia" w:ascii="宋体" w:hAnsi="宋体"/>
          <w:b/>
          <w:color w:val="auto"/>
          <w:sz w:val="24"/>
          <w:highlight w:val="none"/>
        </w:rPr>
        <w:t>1.2 标的</w:t>
      </w:r>
      <w:bookmarkEnd w:id="45"/>
      <w:bookmarkEnd w:id="46"/>
      <w:bookmarkEnd w:id="47"/>
      <w:bookmarkEnd w:id="48"/>
      <w:bookmarkEnd w:id="49"/>
      <w:bookmarkEnd w:id="50"/>
      <w:bookmarkEnd w:id="51"/>
    </w:p>
    <w:p w14:paraId="7EFB564F">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1.2.1 标的名称：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3815C53">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1.2.2 标的数量：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9EBFA07">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1.2.3 标的质量：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475BB4A">
      <w:pPr>
        <w:shd w:val="clear" w:color="auto" w:fill="FFFFFF"/>
        <w:spacing w:line="560" w:lineRule="exact"/>
        <w:ind w:firstLine="482" w:firstLineChars="200"/>
        <w:outlineLvl w:val="0"/>
        <w:rPr>
          <w:rFonts w:ascii="宋体" w:hAnsi="宋体"/>
          <w:b/>
          <w:color w:val="auto"/>
          <w:sz w:val="24"/>
          <w:highlight w:val="none"/>
        </w:rPr>
      </w:pPr>
      <w:bookmarkStart w:id="52" w:name="_Toc13918"/>
      <w:bookmarkStart w:id="53" w:name="_Toc1386"/>
      <w:bookmarkStart w:id="54" w:name="_Toc10004"/>
      <w:bookmarkStart w:id="55" w:name="_Toc4929"/>
      <w:bookmarkStart w:id="56" w:name="_Toc5635"/>
      <w:bookmarkStart w:id="57" w:name="_Toc21124"/>
      <w:bookmarkStart w:id="58" w:name="_Toc28181"/>
      <w:r>
        <w:rPr>
          <w:rFonts w:hint="eastAsia" w:ascii="宋体" w:hAnsi="宋体"/>
          <w:b/>
          <w:color w:val="auto"/>
          <w:sz w:val="24"/>
          <w:highlight w:val="none"/>
        </w:rPr>
        <w:t>1.3 价款</w:t>
      </w:r>
      <w:bookmarkEnd w:id="52"/>
      <w:bookmarkEnd w:id="53"/>
      <w:bookmarkEnd w:id="54"/>
      <w:bookmarkEnd w:id="55"/>
      <w:bookmarkEnd w:id="56"/>
      <w:bookmarkEnd w:id="57"/>
      <w:bookmarkEnd w:id="58"/>
    </w:p>
    <w:p w14:paraId="712F7BBC">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本合同总价为：￥</w:t>
      </w:r>
      <w:r>
        <w:rPr>
          <w:rFonts w:hint="eastAsia" w:ascii="宋体" w:hAnsi="宋体"/>
          <w:color w:val="auto"/>
          <w:sz w:val="24"/>
          <w:highlight w:val="none"/>
          <w:u w:val="single"/>
        </w:rPr>
        <w:t xml:space="preserve">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rPr>
        <w:t>元人民币）。</w:t>
      </w:r>
    </w:p>
    <w:p w14:paraId="3D2E5366">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分项价格：</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3B9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AA5B25">
            <w:pPr>
              <w:pStyle w:val="138"/>
              <w:shd w:val="clear" w:color="auto" w:fill="FFFFFF"/>
              <w:spacing w:line="560" w:lineRule="exact"/>
              <w:jc w:val="center"/>
              <w:rPr>
                <w:rFonts w:hAnsi="宋体"/>
                <w:color w:val="auto"/>
                <w:szCs w:val="24"/>
                <w:highlight w:val="none"/>
              </w:rPr>
            </w:pPr>
            <w:r>
              <w:rPr>
                <w:rFonts w:hint="eastAsia" w:hAnsi="宋体"/>
                <w:color w:val="auto"/>
                <w:szCs w:val="24"/>
                <w:highlight w:val="none"/>
              </w:rPr>
              <w:t>序号</w:t>
            </w:r>
          </w:p>
        </w:tc>
        <w:tc>
          <w:tcPr>
            <w:tcW w:w="3402" w:type="dxa"/>
            <w:vAlign w:val="center"/>
          </w:tcPr>
          <w:p w14:paraId="661D6E07">
            <w:pPr>
              <w:pStyle w:val="138"/>
              <w:shd w:val="clear" w:color="auto" w:fill="FFFFFF"/>
              <w:spacing w:line="560" w:lineRule="exact"/>
              <w:ind w:firstLine="200"/>
              <w:jc w:val="center"/>
              <w:rPr>
                <w:rFonts w:hAnsi="宋体"/>
                <w:color w:val="auto"/>
                <w:szCs w:val="24"/>
                <w:highlight w:val="none"/>
              </w:rPr>
            </w:pPr>
            <w:r>
              <w:rPr>
                <w:rFonts w:hint="eastAsia" w:hAnsi="宋体"/>
                <w:color w:val="auto"/>
                <w:szCs w:val="24"/>
                <w:highlight w:val="none"/>
              </w:rPr>
              <w:t>分项名称</w:t>
            </w:r>
          </w:p>
        </w:tc>
        <w:tc>
          <w:tcPr>
            <w:tcW w:w="2552" w:type="dxa"/>
            <w:vAlign w:val="center"/>
          </w:tcPr>
          <w:p w14:paraId="26326A0B">
            <w:pPr>
              <w:pStyle w:val="138"/>
              <w:shd w:val="clear" w:color="auto" w:fill="FFFFFF"/>
              <w:spacing w:line="560" w:lineRule="exact"/>
              <w:jc w:val="center"/>
              <w:rPr>
                <w:rFonts w:hAnsi="宋体"/>
                <w:color w:val="auto"/>
                <w:szCs w:val="24"/>
                <w:highlight w:val="none"/>
              </w:rPr>
            </w:pPr>
            <w:r>
              <w:rPr>
                <w:rFonts w:hint="eastAsia" w:hAnsi="宋体"/>
                <w:color w:val="auto"/>
                <w:szCs w:val="24"/>
                <w:highlight w:val="none"/>
              </w:rPr>
              <w:t>分项价格</w:t>
            </w:r>
          </w:p>
        </w:tc>
      </w:tr>
      <w:tr w14:paraId="04A6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18BEE2">
            <w:pPr>
              <w:pStyle w:val="138"/>
              <w:shd w:val="clear" w:color="auto" w:fill="FFFFFF"/>
              <w:spacing w:line="560" w:lineRule="exact"/>
              <w:ind w:firstLine="200"/>
              <w:jc w:val="center"/>
              <w:rPr>
                <w:rFonts w:hAnsi="宋体"/>
                <w:color w:val="auto"/>
                <w:szCs w:val="24"/>
                <w:highlight w:val="none"/>
              </w:rPr>
            </w:pPr>
          </w:p>
        </w:tc>
        <w:tc>
          <w:tcPr>
            <w:tcW w:w="3402" w:type="dxa"/>
            <w:vAlign w:val="center"/>
          </w:tcPr>
          <w:p w14:paraId="63736F25">
            <w:pPr>
              <w:pStyle w:val="138"/>
              <w:shd w:val="clear" w:color="auto" w:fill="FFFFFF"/>
              <w:spacing w:line="560" w:lineRule="exact"/>
              <w:ind w:firstLine="200"/>
              <w:jc w:val="center"/>
              <w:rPr>
                <w:rFonts w:hAnsi="宋体"/>
                <w:color w:val="auto"/>
                <w:szCs w:val="24"/>
                <w:highlight w:val="none"/>
              </w:rPr>
            </w:pPr>
          </w:p>
        </w:tc>
        <w:tc>
          <w:tcPr>
            <w:tcW w:w="2552" w:type="dxa"/>
            <w:vAlign w:val="center"/>
          </w:tcPr>
          <w:p w14:paraId="718F9B6B">
            <w:pPr>
              <w:pStyle w:val="138"/>
              <w:shd w:val="clear" w:color="auto" w:fill="FFFFFF"/>
              <w:spacing w:line="560" w:lineRule="exact"/>
              <w:ind w:firstLine="200"/>
              <w:jc w:val="center"/>
              <w:rPr>
                <w:rFonts w:hAnsi="宋体"/>
                <w:color w:val="auto"/>
                <w:szCs w:val="24"/>
                <w:highlight w:val="none"/>
              </w:rPr>
            </w:pPr>
          </w:p>
        </w:tc>
      </w:tr>
      <w:tr w14:paraId="61BB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D8CC16">
            <w:pPr>
              <w:pStyle w:val="138"/>
              <w:shd w:val="clear" w:color="auto" w:fill="FFFFFF"/>
              <w:spacing w:line="560" w:lineRule="exact"/>
              <w:ind w:firstLine="200"/>
              <w:jc w:val="center"/>
              <w:rPr>
                <w:rFonts w:hAnsi="宋体"/>
                <w:color w:val="auto"/>
                <w:szCs w:val="24"/>
                <w:highlight w:val="none"/>
              </w:rPr>
            </w:pPr>
          </w:p>
        </w:tc>
        <w:tc>
          <w:tcPr>
            <w:tcW w:w="3402" w:type="dxa"/>
            <w:vAlign w:val="center"/>
          </w:tcPr>
          <w:p w14:paraId="27055774">
            <w:pPr>
              <w:pStyle w:val="138"/>
              <w:shd w:val="clear" w:color="auto" w:fill="FFFFFF"/>
              <w:spacing w:line="560" w:lineRule="exact"/>
              <w:ind w:firstLine="200"/>
              <w:jc w:val="center"/>
              <w:rPr>
                <w:rFonts w:hAnsi="宋体"/>
                <w:color w:val="auto"/>
                <w:szCs w:val="24"/>
                <w:highlight w:val="none"/>
              </w:rPr>
            </w:pPr>
          </w:p>
        </w:tc>
        <w:tc>
          <w:tcPr>
            <w:tcW w:w="2552" w:type="dxa"/>
            <w:vAlign w:val="center"/>
          </w:tcPr>
          <w:p w14:paraId="453C491A">
            <w:pPr>
              <w:pStyle w:val="138"/>
              <w:shd w:val="clear" w:color="auto" w:fill="FFFFFF"/>
              <w:spacing w:line="560" w:lineRule="exact"/>
              <w:ind w:firstLine="200"/>
              <w:jc w:val="center"/>
              <w:rPr>
                <w:rFonts w:hAnsi="宋体"/>
                <w:color w:val="auto"/>
                <w:szCs w:val="24"/>
                <w:highlight w:val="none"/>
              </w:rPr>
            </w:pPr>
          </w:p>
        </w:tc>
      </w:tr>
      <w:tr w14:paraId="681E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38886F">
            <w:pPr>
              <w:pStyle w:val="138"/>
              <w:shd w:val="clear" w:color="auto" w:fill="FFFFFF"/>
              <w:spacing w:line="560" w:lineRule="exact"/>
              <w:ind w:firstLine="200"/>
              <w:jc w:val="center"/>
              <w:rPr>
                <w:rFonts w:hAnsi="宋体"/>
                <w:color w:val="auto"/>
                <w:szCs w:val="24"/>
                <w:highlight w:val="none"/>
              </w:rPr>
            </w:pPr>
          </w:p>
        </w:tc>
        <w:tc>
          <w:tcPr>
            <w:tcW w:w="3402" w:type="dxa"/>
            <w:vAlign w:val="center"/>
          </w:tcPr>
          <w:p w14:paraId="797B6FF6">
            <w:pPr>
              <w:pStyle w:val="138"/>
              <w:shd w:val="clear" w:color="auto" w:fill="FFFFFF"/>
              <w:spacing w:line="560" w:lineRule="exact"/>
              <w:ind w:firstLine="200"/>
              <w:jc w:val="center"/>
              <w:rPr>
                <w:rFonts w:hAnsi="宋体"/>
                <w:color w:val="auto"/>
                <w:szCs w:val="24"/>
                <w:highlight w:val="none"/>
              </w:rPr>
            </w:pPr>
          </w:p>
        </w:tc>
        <w:tc>
          <w:tcPr>
            <w:tcW w:w="2552" w:type="dxa"/>
            <w:vAlign w:val="center"/>
          </w:tcPr>
          <w:p w14:paraId="7E576A9B">
            <w:pPr>
              <w:pStyle w:val="138"/>
              <w:shd w:val="clear" w:color="auto" w:fill="FFFFFF"/>
              <w:spacing w:line="560" w:lineRule="exact"/>
              <w:ind w:firstLine="200"/>
              <w:jc w:val="center"/>
              <w:rPr>
                <w:rFonts w:hAnsi="宋体"/>
                <w:color w:val="auto"/>
                <w:szCs w:val="24"/>
                <w:highlight w:val="none"/>
              </w:rPr>
            </w:pPr>
          </w:p>
        </w:tc>
      </w:tr>
      <w:tr w14:paraId="470C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459A09">
            <w:pPr>
              <w:pStyle w:val="138"/>
              <w:shd w:val="clear" w:color="auto" w:fill="FFFFFF"/>
              <w:spacing w:line="560" w:lineRule="exact"/>
              <w:ind w:firstLine="200"/>
              <w:jc w:val="center"/>
              <w:rPr>
                <w:rFonts w:hAnsi="宋体"/>
                <w:color w:val="auto"/>
                <w:szCs w:val="24"/>
                <w:highlight w:val="none"/>
              </w:rPr>
            </w:pPr>
          </w:p>
        </w:tc>
        <w:tc>
          <w:tcPr>
            <w:tcW w:w="3402" w:type="dxa"/>
            <w:vAlign w:val="center"/>
          </w:tcPr>
          <w:p w14:paraId="5D2FB0DC">
            <w:pPr>
              <w:pStyle w:val="138"/>
              <w:shd w:val="clear" w:color="auto" w:fill="FFFFFF"/>
              <w:spacing w:line="560" w:lineRule="exact"/>
              <w:ind w:firstLine="200"/>
              <w:jc w:val="center"/>
              <w:rPr>
                <w:rFonts w:hAnsi="宋体"/>
                <w:color w:val="auto"/>
                <w:szCs w:val="24"/>
                <w:highlight w:val="none"/>
              </w:rPr>
            </w:pPr>
          </w:p>
        </w:tc>
        <w:tc>
          <w:tcPr>
            <w:tcW w:w="2552" w:type="dxa"/>
            <w:vAlign w:val="center"/>
          </w:tcPr>
          <w:p w14:paraId="0C209699">
            <w:pPr>
              <w:pStyle w:val="138"/>
              <w:shd w:val="clear" w:color="auto" w:fill="FFFFFF"/>
              <w:spacing w:line="560" w:lineRule="exact"/>
              <w:ind w:firstLine="200"/>
              <w:jc w:val="center"/>
              <w:rPr>
                <w:rFonts w:hAnsi="宋体"/>
                <w:color w:val="auto"/>
                <w:szCs w:val="24"/>
                <w:highlight w:val="none"/>
              </w:rPr>
            </w:pPr>
          </w:p>
        </w:tc>
      </w:tr>
      <w:tr w14:paraId="7758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46242BA">
            <w:pPr>
              <w:pStyle w:val="138"/>
              <w:shd w:val="clear" w:color="auto" w:fill="FFFFFF"/>
              <w:spacing w:line="560" w:lineRule="exact"/>
              <w:ind w:firstLine="200"/>
              <w:jc w:val="center"/>
              <w:rPr>
                <w:rFonts w:hAnsi="宋体"/>
                <w:color w:val="auto"/>
                <w:szCs w:val="24"/>
                <w:highlight w:val="none"/>
              </w:rPr>
            </w:pPr>
            <w:r>
              <w:rPr>
                <w:rFonts w:hint="eastAsia" w:hAnsi="宋体"/>
                <w:color w:val="auto"/>
                <w:szCs w:val="24"/>
                <w:highlight w:val="none"/>
              </w:rPr>
              <w:t>总价</w:t>
            </w:r>
          </w:p>
        </w:tc>
        <w:tc>
          <w:tcPr>
            <w:tcW w:w="2552" w:type="dxa"/>
            <w:vAlign w:val="center"/>
          </w:tcPr>
          <w:p w14:paraId="01D830C1">
            <w:pPr>
              <w:pStyle w:val="138"/>
              <w:shd w:val="clear" w:color="auto" w:fill="FFFFFF"/>
              <w:spacing w:line="560" w:lineRule="exact"/>
              <w:ind w:firstLine="200"/>
              <w:jc w:val="center"/>
              <w:rPr>
                <w:rFonts w:hAnsi="宋体"/>
                <w:color w:val="auto"/>
                <w:szCs w:val="24"/>
                <w:highlight w:val="none"/>
              </w:rPr>
            </w:pPr>
          </w:p>
        </w:tc>
      </w:tr>
    </w:tbl>
    <w:p w14:paraId="7C933272">
      <w:pPr>
        <w:shd w:val="clear" w:color="auto" w:fill="FFFFFF"/>
        <w:spacing w:line="560" w:lineRule="exact"/>
        <w:ind w:firstLine="482" w:firstLineChars="200"/>
        <w:outlineLvl w:val="0"/>
        <w:rPr>
          <w:rFonts w:ascii="宋体" w:hAnsi="宋体"/>
          <w:b/>
          <w:color w:val="auto"/>
          <w:sz w:val="24"/>
          <w:highlight w:val="none"/>
        </w:rPr>
      </w:pPr>
      <w:bookmarkStart w:id="59" w:name="_Toc3654"/>
      <w:bookmarkStart w:id="60" w:name="_Toc26916"/>
      <w:bookmarkStart w:id="61" w:name="_Toc5271"/>
      <w:bookmarkStart w:id="62" w:name="_Toc14993"/>
      <w:bookmarkStart w:id="63" w:name="_Toc2226"/>
      <w:bookmarkStart w:id="64" w:name="_Toc30158"/>
      <w:bookmarkStart w:id="65" w:name="_Toc30506"/>
      <w:r>
        <w:rPr>
          <w:rFonts w:hint="eastAsia" w:ascii="宋体" w:hAnsi="宋体"/>
          <w:b/>
          <w:color w:val="auto"/>
          <w:sz w:val="24"/>
          <w:highlight w:val="none"/>
        </w:rPr>
        <w:t>1.4 付款方式和发票开具方式</w:t>
      </w:r>
      <w:bookmarkEnd w:id="59"/>
      <w:bookmarkEnd w:id="60"/>
      <w:bookmarkEnd w:id="61"/>
      <w:bookmarkEnd w:id="62"/>
      <w:bookmarkEnd w:id="63"/>
      <w:bookmarkEnd w:id="64"/>
      <w:bookmarkEnd w:id="65"/>
    </w:p>
    <w:p w14:paraId="16C07928">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1.4.1付款方式：</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rPr>
        <w:t xml:space="preserve">                                            </w:t>
      </w:r>
      <w:r>
        <w:rPr>
          <w:rFonts w:hint="eastAsia" w:ascii="宋体" w:hAnsi="宋体"/>
          <w:color w:val="auto"/>
          <w:sz w:val="24"/>
          <w:highlight w:val="none"/>
          <w:u w:val="single"/>
        </w:rPr>
        <w:t xml:space="preserve">   </w:t>
      </w:r>
    </w:p>
    <w:p w14:paraId="3B4A21D9">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1.4.2 发票开具方式：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504045B">
      <w:pPr>
        <w:shd w:val="clear" w:color="auto" w:fill="FFFFFF"/>
        <w:spacing w:line="560" w:lineRule="exact"/>
        <w:ind w:firstLine="482" w:firstLineChars="200"/>
        <w:outlineLvl w:val="0"/>
        <w:rPr>
          <w:rFonts w:ascii="宋体" w:hAnsi="宋体"/>
          <w:b/>
          <w:color w:val="auto"/>
          <w:sz w:val="24"/>
          <w:highlight w:val="none"/>
        </w:rPr>
      </w:pPr>
      <w:bookmarkStart w:id="66" w:name="_Toc31421"/>
      <w:bookmarkStart w:id="67" w:name="_Toc15738"/>
      <w:bookmarkStart w:id="68" w:name="_Toc26657"/>
      <w:bookmarkStart w:id="69" w:name="_Toc8772"/>
      <w:bookmarkStart w:id="70" w:name="_Toc3625"/>
      <w:bookmarkStart w:id="71" w:name="_Toc11108"/>
      <w:bookmarkStart w:id="72" w:name="_Toc4760"/>
      <w:r>
        <w:rPr>
          <w:rFonts w:hint="eastAsia" w:ascii="宋体" w:hAnsi="宋体"/>
          <w:b/>
          <w:color w:val="auto"/>
          <w:sz w:val="24"/>
          <w:highlight w:val="none"/>
        </w:rPr>
        <w:t>1.5 履行期限、地点和方式</w:t>
      </w:r>
      <w:bookmarkEnd w:id="66"/>
      <w:bookmarkEnd w:id="67"/>
      <w:bookmarkEnd w:id="68"/>
      <w:bookmarkEnd w:id="69"/>
      <w:bookmarkEnd w:id="70"/>
      <w:bookmarkEnd w:id="71"/>
      <w:bookmarkEnd w:id="72"/>
    </w:p>
    <w:p w14:paraId="45555CC5">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1.5.1 履行期限：</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33A5D76">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1.5.2 履行地点：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B9CE311">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1.5.3 履行方式：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C4F0074">
      <w:pPr>
        <w:shd w:val="clear" w:color="auto" w:fill="FFFFFF"/>
        <w:spacing w:line="560" w:lineRule="exact"/>
        <w:ind w:firstLine="482" w:firstLineChars="200"/>
        <w:outlineLvl w:val="0"/>
        <w:rPr>
          <w:rFonts w:ascii="宋体" w:hAnsi="宋体"/>
          <w:b/>
          <w:color w:val="auto"/>
          <w:sz w:val="24"/>
          <w:highlight w:val="none"/>
        </w:rPr>
      </w:pPr>
      <w:bookmarkStart w:id="73" w:name="_Toc8586"/>
      <w:bookmarkStart w:id="74" w:name="_Toc24662"/>
      <w:bookmarkStart w:id="75" w:name="_Toc2375"/>
      <w:bookmarkStart w:id="76" w:name="_Toc29956"/>
      <w:bookmarkStart w:id="77" w:name="_Toc3079"/>
      <w:bookmarkStart w:id="78" w:name="_Toc5698"/>
      <w:bookmarkStart w:id="79" w:name="_Toc29481"/>
      <w:r>
        <w:rPr>
          <w:rFonts w:hint="eastAsia" w:ascii="宋体" w:hAnsi="宋体"/>
          <w:b/>
          <w:color w:val="auto"/>
          <w:sz w:val="24"/>
          <w:highlight w:val="none"/>
        </w:rPr>
        <w:t>1.6 违约责任</w:t>
      </w:r>
      <w:bookmarkEnd w:id="73"/>
      <w:bookmarkEnd w:id="74"/>
      <w:bookmarkEnd w:id="75"/>
      <w:bookmarkEnd w:id="76"/>
      <w:bookmarkEnd w:id="77"/>
      <w:bookmarkEnd w:id="78"/>
      <w:bookmarkEnd w:id="79"/>
    </w:p>
    <w:p w14:paraId="3F0C1804">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olor w:val="auto"/>
          <w:sz w:val="24"/>
          <w:highlight w:val="none"/>
          <w:u w:val="single"/>
        </w:rPr>
        <w:t xml:space="preserve">    </w:t>
      </w:r>
      <w:r>
        <w:rPr>
          <w:rFonts w:hint="eastAsia" w:ascii="宋体" w:hAnsi="宋体"/>
          <w:color w:val="auto"/>
          <w:sz w:val="24"/>
          <w:highlight w:val="none"/>
        </w:rPr>
        <w:t>%计算，最高限额为本合同总价的</w:t>
      </w:r>
      <w:r>
        <w:rPr>
          <w:rFonts w:hint="eastAsia" w:ascii="宋体" w:hAnsi="宋体"/>
          <w:color w:val="auto"/>
          <w:sz w:val="24"/>
          <w:highlight w:val="none"/>
          <w:u w:val="single"/>
        </w:rPr>
        <w:t xml:space="preserve">     </w:t>
      </w:r>
      <w:r>
        <w:rPr>
          <w:rFonts w:hint="eastAsia" w:ascii="宋体" w:hAnsi="宋体"/>
          <w:color w:val="auto"/>
          <w:sz w:val="24"/>
          <w:highlight w:val="none"/>
        </w:rPr>
        <w:t>%；迟延履行的违约金计算数额达到前述最高限额之日起，甲方有权在要求乙方支付违约金的同时，书面通知乙方解除本合同；</w:t>
      </w:r>
    </w:p>
    <w:p w14:paraId="6B175D03">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olor w:val="auto"/>
          <w:sz w:val="24"/>
          <w:highlight w:val="none"/>
          <w:u w:val="single"/>
        </w:rPr>
        <w:t xml:space="preserve">    </w:t>
      </w:r>
      <w:r>
        <w:rPr>
          <w:rFonts w:hint="eastAsia" w:ascii="宋体" w:hAnsi="宋体"/>
          <w:color w:val="auto"/>
          <w:sz w:val="24"/>
          <w:highlight w:val="none"/>
        </w:rPr>
        <w:t>%计算，最高限额为本合同总价的</w:t>
      </w:r>
      <w:r>
        <w:rPr>
          <w:rFonts w:hint="eastAsia" w:ascii="宋体" w:hAnsi="宋体"/>
          <w:color w:val="auto"/>
          <w:sz w:val="24"/>
          <w:highlight w:val="none"/>
          <w:u w:val="single"/>
        </w:rPr>
        <w:t xml:space="preserve">     </w:t>
      </w:r>
      <w:r>
        <w:rPr>
          <w:rFonts w:hint="eastAsia" w:ascii="宋体" w:hAnsi="宋体"/>
          <w:color w:val="auto"/>
          <w:sz w:val="24"/>
          <w:highlight w:val="none"/>
        </w:rPr>
        <w:t>%；迟延付款的违约金计算数额达到前述最高限额之日起，乙方有权在要求甲方支付违约金的同时，书面通知甲方解除本合同；</w:t>
      </w:r>
    </w:p>
    <w:p w14:paraId="4BA20D94">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D5CC7ED">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CEE5E21">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1B2755E">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0A03D9A3">
      <w:pPr>
        <w:shd w:val="clear" w:color="auto" w:fill="FFFFFF"/>
        <w:spacing w:line="560" w:lineRule="exact"/>
        <w:ind w:firstLine="482" w:firstLineChars="200"/>
        <w:outlineLvl w:val="0"/>
        <w:rPr>
          <w:rFonts w:ascii="宋体" w:hAnsi="宋体"/>
          <w:b/>
          <w:color w:val="auto"/>
          <w:sz w:val="24"/>
          <w:highlight w:val="none"/>
        </w:rPr>
      </w:pPr>
      <w:bookmarkStart w:id="80" w:name="_Toc25029"/>
      <w:bookmarkStart w:id="81" w:name="_Toc26807"/>
      <w:bookmarkStart w:id="82" w:name="_Toc18683"/>
      <w:bookmarkStart w:id="83" w:name="_Toc32454"/>
      <w:bookmarkStart w:id="84" w:name="_Toc29498"/>
      <w:bookmarkStart w:id="85" w:name="_Toc9497"/>
      <w:bookmarkStart w:id="86" w:name="_Toc30329"/>
      <w:r>
        <w:rPr>
          <w:rFonts w:hint="eastAsia" w:ascii="宋体" w:hAnsi="宋体"/>
          <w:b/>
          <w:color w:val="auto"/>
          <w:sz w:val="24"/>
          <w:highlight w:val="none"/>
        </w:rPr>
        <w:t>1.7 合同争议的解决</w:t>
      </w:r>
      <w:bookmarkEnd w:id="80"/>
      <w:bookmarkEnd w:id="81"/>
      <w:bookmarkEnd w:id="82"/>
      <w:bookmarkEnd w:id="83"/>
      <w:bookmarkEnd w:id="84"/>
      <w:bookmarkEnd w:id="85"/>
      <w:bookmarkEnd w:id="86"/>
    </w:p>
    <w:p w14:paraId="6C8A9FCD">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olor w:val="auto"/>
          <w:sz w:val="24"/>
          <w:highlight w:val="none"/>
          <w:u w:val="single"/>
        </w:rPr>
        <w:t xml:space="preserve">    </w:t>
      </w:r>
      <w:r>
        <w:rPr>
          <w:rFonts w:hint="eastAsia" w:ascii="宋体" w:hAnsi="宋体"/>
          <w:color w:val="auto"/>
          <w:sz w:val="24"/>
          <w:highlight w:val="none"/>
        </w:rPr>
        <w:t>种方式解决：</w:t>
      </w:r>
    </w:p>
    <w:p w14:paraId="13739AF4">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1.7.1 将争议提交</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仲裁委员会依申请仲裁时其现行有效的仲裁规则裁决；</w:t>
      </w:r>
    </w:p>
    <w:p w14:paraId="6DFCB7E3">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1.7.2 向</w:t>
      </w:r>
      <w:r>
        <w:rPr>
          <w:rFonts w:hint="eastAsia" w:ascii="宋体" w:hAnsi="宋体"/>
          <w:color w:val="auto"/>
          <w:sz w:val="24"/>
          <w:highlight w:val="none"/>
          <w:u w:val="single"/>
        </w:rPr>
        <w:t xml:space="preserve">   （被告住所地、合同履行地、合同签订地、原告住所地、标的物所在地等与争议有实际联系的地点中选出的人民法院名称）    </w:t>
      </w:r>
      <w:r>
        <w:rPr>
          <w:rFonts w:hint="eastAsia" w:ascii="宋体" w:hAnsi="宋体"/>
          <w:color w:val="auto"/>
          <w:sz w:val="24"/>
          <w:highlight w:val="none"/>
        </w:rPr>
        <w:t>人民法院起诉。</w:t>
      </w:r>
    </w:p>
    <w:p w14:paraId="60DD7115">
      <w:pPr>
        <w:shd w:val="clear" w:color="auto" w:fill="FFFFFF"/>
        <w:spacing w:line="560" w:lineRule="exact"/>
        <w:ind w:firstLine="482" w:firstLineChars="200"/>
        <w:outlineLvl w:val="0"/>
        <w:rPr>
          <w:rFonts w:ascii="宋体" w:hAnsi="宋体"/>
          <w:b/>
          <w:color w:val="auto"/>
          <w:sz w:val="24"/>
          <w:highlight w:val="none"/>
        </w:rPr>
      </w:pPr>
      <w:bookmarkStart w:id="87" w:name="_Toc9075"/>
      <w:bookmarkStart w:id="88" w:name="_Toc23784"/>
      <w:bookmarkStart w:id="89" w:name="_Toc26227"/>
      <w:bookmarkStart w:id="90" w:name="_Toc15827"/>
      <w:bookmarkStart w:id="91" w:name="_Toc12273"/>
      <w:bookmarkStart w:id="92" w:name="_Toc16417"/>
      <w:bookmarkStart w:id="93" w:name="_Toc30746"/>
      <w:r>
        <w:rPr>
          <w:rFonts w:hint="eastAsia" w:ascii="宋体" w:hAnsi="宋体"/>
          <w:b/>
          <w:color w:val="auto"/>
          <w:sz w:val="24"/>
          <w:highlight w:val="none"/>
        </w:rPr>
        <w:t>1.8 合同生效</w:t>
      </w:r>
      <w:bookmarkEnd w:id="87"/>
      <w:bookmarkEnd w:id="88"/>
      <w:bookmarkEnd w:id="89"/>
      <w:bookmarkEnd w:id="90"/>
      <w:bookmarkEnd w:id="91"/>
      <w:bookmarkEnd w:id="92"/>
      <w:bookmarkEnd w:id="93"/>
    </w:p>
    <w:p w14:paraId="22D99F1F">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本合同自双方当事人盖章或者签字时生效。</w:t>
      </w:r>
    </w:p>
    <w:p w14:paraId="20EAB7E3">
      <w:pPr>
        <w:shd w:val="clear" w:color="auto" w:fill="FFFFFF"/>
        <w:autoSpaceDE w:val="0"/>
        <w:autoSpaceDN w:val="0"/>
        <w:spacing w:line="560" w:lineRule="exact"/>
        <w:rPr>
          <w:rFonts w:ascii="宋体" w:hAnsi="宋体"/>
          <w:color w:val="auto"/>
          <w:sz w:val="24"/>
          <w:highlight w:val="none"/>
          <w:lang w:val="zh-CN"/>
        </w:rPr>
      </w:pPr>
    </w:p>
    <w:p w14:paraId="2AA4FC3E">
      <w:pPr>
        <w:shd w:val="clear" w:color="auto" w:fill="FFFFFF"/>
        <w:autoSpaceDE w:val="0"/>
        <w:autoSpaceDN w:val="0"/>
        <w:spacing w:line="560" w:lineRule="exact"/>
        <w:rPr>
          <w:rFonts w:ascii="宋体" w:hAnsi="宋体"/>
          <w:b/>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 xml:space="preserve">：                             </w:t>
      </w:r>
      <w:r>
        <w:rPr>
          <w:rFonts w:hint="eastAsia" w:ascii="宋体" w:hAnsi="宋体"/>
          <w:b/>
          <w:color w:val="auto"/>
          <w:sz w:val="24"/>
          <w:highlight w:val="none"/>
          <w:lang w:val="zh-CN"/>
        </w:rPr>
        <w:t xml:space="preserve">      乙方</w:t>
      </w:r>
      <w:r>
        <w:rPr>
          <w:rFonts w:hint="eastAsia" w:ascii="宋体" w:hAnsi="宋体"/>
          <w:color w:val="auto"/>
          <w:sz w:val="24"/>
          <w:highlight w:val="none"/>
          <w:lang w:val="zh-CN"/>
        </w:rPr>
        <w:t>：</w:t>
      </w:r>
    </w:p>
    <w:p w14:paraId="593E4E61">
      <w:pPr>
        <w:shd w:val="clear" w:color="auto" w:fill="FFFFFF"/>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14:paraId="6F416FBB">
      <w:pPr>
        <w:shd w:val="clear" w:color="auto" w:fill="FFFFFF"/>
        <w:autoSpaceDE w:val="0"/>
        <w:autoSpaceDN w:val="0"/>
        <w:spacing w:line="560" w:lineRule="exact"/>
        <w:rPr>
          <w:rFonts w:ascii="宋体" w:hAnsi="宋体"/>
          <w:color w:val="auto"/>
          <w:sz w:val="24"/>
          <w:highlight w:val="none"/>
          <w:lang w:val="zh-CN"/>
        </w:rPr>
      </w:pPr>
    </w:p>
    <w:p w14:paraId="1AA8C351">
      <w:pPr>
        <w:shd w:val="clear" w:color="auto" w:fill="FFFFFF"/>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                                   住所：</w:t>
      </w:r>
    </w:p>
    <w:p w14:paraId="04B336EA">
      <w:pPr>
        <w:shd w:val="clear" w:color="auto" w:fill="FFFFFF"/>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                             法定代表人</w:t>
      </w:r>
    </w:p>
    <w:p w14:paraId="5BC80AD3">
      <w:pPr>
        <w:shd w:val="clear" w:color="auto" w:fill="FFFFFF"/>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 xml:space="preserve">授权代表（签字）：                        或授权代表（签字）: </w:t>
      </w:r>
    </w:p>
    <w:p w14:paraId="64633A64">
      <w:pPr>
        <w:shd w:val="clear" w:color="auto" w:fill="FFFFFF"/>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                                 联系人：</w:t>
      </w:r>
    </w:p>
    <w:p w14:paraId="7BDC96BA">
      <w:pPr>
        <w:shd w:val="clear" w:color="auto" w:fill="FFFFFF"/>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                           约定送达地址：</w:t>
      </w:r>
    </w:p>
    <w:p w14:paraId="0596D5D0">
      <w:pPr>
        <w:shd w:val="clear" w:color="auto" w:fill="FFFFFF"/>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                               邮政编码：</w:t>
      </w:r>
    </w:p>
    <w:p w14:paraId="1F139F46">
      <w:pPr>
        <w:shd w:val="clear" w:color="auto" w:fill="FFFFFF"/>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 xml:space="preserve">电话:                                    电话: </w:t>
      </w:r>
    </w:p>
    <w:p w14:paraId="69767680">
      <w:pPr>
        <w:shd w:val="clear" w:color="auto" w:fill="FFFFFF"/>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                                    传真:</w:t>
      </w:r>
    </w:p>
    <w:p w14:paraId="16EEAF98">
      <w:pPr>
        <w:shd w:val="clear" w:color="auto" w:fill="FFFFFF"/>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电子邮箱：                               电子邮箱：</w:t>
      </w:r>
    </w:p>
    <w:p w14:paraId="4C8535B5">
      <w:pPr>
        <w:shd w:val="clear" w:color="auto" w:fill="FFFFFF"/>
        <w:autoSpaceDE w:val="0"/>
        <w:autoSpaceDN w:val="0"/>
        <w:spacing w:line="560" w:lineRule="exact"/>
        <w:rPr>
          <w:rFonts w:ascii="宋体" w:hAnsi="宋体"/>
          <w:color w:val="auto"/>
          <w:sz w:val="24"/>
          <w:highlight w:val="none"/>
        </w:rPr>
      </w:pPr>
      <w:r>
        <w:rPr>
          <w:rFonts w:hint="eastAsia" w:ascii="宋体" w:hAnsi="宋体"/>
          <w:color w:val="auto"/>
          <w:sz w:val="24"/>
          <w:highlight w:val="none"/>
        </w:rPr>
        <w:t xml:space="preserve">开户银行：                               开户银行： </w:t>
      </w:r>
    </w:p>
    <w:p w14:paraId="63570A52">
      <w:pPr>
        <w:shd w:val="clear" w:color="auto" w:fill="FFFFFF"/>
        <w:autoSpaceDE w:val="0"/>
        <w:autoSpaceDN w:val="0"/>
        <w:spacing w:line="560" w:lineRule="exact"/>
        <w:rPr>
          <w:rFonts w:ascii="宋体" w:hAnsi="宋体"/>
          <w:color w:val="auto"/>
          <w:sz w:val="24"/>
          <w:highlight w:val="none"/>
        </w:rPr>
      </w:pPr>
      <w:r>
        <w:rPr>
          <w:rFonts w:hint="eastAsia" w:ascii="宋体" w:hAnsi="宋体"/>
          <w:color w:val="auto"/>
          <w:sz w:val="24"/>
          <w:highlight w:val="none"/>
        </w:rPr>
        <w:t xml:space="preserve">开户名称：                               开户名称： </w:t>
      </w:r>
    </w:p>
    <w:p w14:paraId="39866D7D">
      <w:pPr>
        <w:shd w:val="clear" w:color="auto" w:fill="FFFFFF"/>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hint="eastAsia" w:ascii="宋体" w:hAnsi="宋体"/>
          <w:color w:val="auto"/>
          <w:sz w:val="24"/>
          <w:highlight w:val="none"/>
          <w:lang w:val="zh-CN"/>
        </w:rPr>
        <w:t xml:space="preserve">                               </w:t>
      </w:r>
      <w:r>
        <w:rPr>
          <w:rFonts w:hint="eastAsia" w:ascii="宋体" w:hAnsi="宋体"/>
          <w:color w:val="auto"/>
          <w:sz w:val="24"/>
          <w:highlight w:val="none"/>
        </w:rPr>
        <w:t>开户账号：</w:t>
      </w:r>
    </w:p>
    <w:p w14:paraId="191DB245">
      <w:pPr>
        <w:widowControl/>
        <w:shd w:val="clear" w:color="auto" w:fill="FFFFFF"/>
        <w:spacing w:line="560" w:lineRule="exact"/>
        <w:jc w:val="left"/>
        <w:rPr>
          <w:rFonts w:ascii="宋体" w:hAnsi="宋体"/>
          <w:b/>
          <w:color w:val="auto"/>
          <w:highlight w:val="none"/>
        </w:rPr>
      </w:pPr>
    </w:p>
    <w:p w14:paraId="3675CC5A">
      <w:pPr>
        <w:widowControl/>
        <w:shd w:val="clear" w:color="auto" w:fill="FFFFFF"/>
        <w:spacing w:line="560" w:lineRule="exact"/>
        <w:jc w:val="left"/>
        <w:rPr>
          <w:rFonts w:ascii="宋体" w:hAnsi="宋体"/>
          <w:b/>
          <w:color w:val="auto"/>
          <w:highlight w:val="none"/>
        </w:rPr>
      </w:pPr>
    </w:p>
    <w:p w14:paraId="35FD6ED1">
      <w:pPr>
        <w:widowControl/>
        <w:shd w:val="clear" w:color="auto" w:fill="FFFFFF"/>
        <w:spacing w:line="560" w:lineRule="exact"/>
        <w:jc w:val="left"/>
        <w:rPr>
          <w:rFonts w:ascii="宋体" w:hAnsi="宋体"/>
          <w:b/>
          <w:color w:val="auto"/>
          <w:kern w:val="0"/>
          <w:sz w:val="24"/>
          <w:highlight w:val="none"/>
        </w:rPr>
      </w:pPr>
    </w:p>
    <w:p w14:paraId="573D827F">
      <w:pPr>
        <w:widowControl/>
        <w:shd w:val="clear" w:color="auto" w:fill="FFFFFF"/>
        <w:spacing w:line="560" w:lineRule="exact"/>
        <w:jc w:val="left"/>
        <w:rPr>
          <w:rFonts w:ascii="宋体" w:hAnsi="宋体"/>
          <w:b/>
          <w:color w:val="auto"/>
          <w:kern w:val="0"/>
          <w:sz w:val="24"/>
          <w:highlight w:val="none"/>
        </w:rPr>
      </w:pPr>
    </w:p>
    <w:p w14:paraId="522464E2">
      <w:pPr>
        <w:pStyle w:val="15"/>
        <w:rPr>
          <w:rFonts w:ascii="宋体" w:hAnsi="宋体"/>
          <w:b w:val="0"/>
          <w:color w:val="auto"/>
          <w:kern w:val="0"/>
          <w:sz w:val="24"/>
          <w:highlight w:val="none"/>
        </w:rPr>
      </w:pPr>
    </w:p>
    <w:p w14:paraId="40DF6A3D">
      <w:pPr>
        <w:rPr>
          <w:rFonts w:ascii="宋体" w:hAnsi="宋体"/>
          <w:b/>
          <w:color w:val="auto"/>
          <w:kern w:val="0"/>
          <w:sz w:val="24"/>
          <w:highlight w:val="none"/>
        </w:rPr>
      </w:pPr>
    </w:p>
    <w:p w14:paraId="59A75CEB">
      <w:pPr>
        <w:rPr>
          <w:rFonts w:ascii="宋体" w:hAnsi="宋体"/>
          <w:b/>
          <w:color w:val="auto"/>
          <w:kern w:val="0"/>
          <w:sz w:val="24"/>
          <w:highlight w:val="none"/>
        </w:rPr>
      </w:pPr>
    </w:p>
    <w:p w14:paraId="5C907286">
      <w:pPr>
        <w:pStyle w:val="110"/>
        <w:shd w:val="clear" w:color="auto" w:fill="FFFFFF"/>
        <w:spacing w:line="560" w:lineRule="exact"/>
        <w:ind w:firstLine="402"/>
        <w:rPr>
          <w:rFonts w:hAnsi="宋体"/>
          <w:b/>
          <w:color w:val="auto"/>
          <w:szCs w:val="24"/>
          <w:highlight w:val="none"/>
        </w:rPr>
      </w:pPr>
    </w:p>
    <w:p w14:paraId="3CFC2DB9">
      <w:pPr>
        <w:pStyle w:val="110"/>
        <w:shd w:val="clear" w:color="auto" w:fill="FFFFFF"/>
        <w:spacing w:line="560" w:lineRule="exact"/>
        <w:ind w:firstLine="402"/>
        <w:jc w:val="center"/>
        <w:rPr>
          <w:rFonts w:hAnsi="宋体"/>
          <w:b/>
          <w:color w:val="auto"/>
          <w:szCs w:val="24"/>
          <w:highlight w:val="none"/>
        </w:rPr>
      </w:pPr>
      <w:r>
        <w:rPr>
          <w:rFonts w:hint="eastAsia" w:hAnsi="宋体"/>
          <w:b/>
          <w:color w:val="auto"/>
          <w:szCs w:val="24"/>
          <w:highlight w:val="none"/>
        </w:rPr>
        <w:br w:type="page"/>
      </w:r>
      <w:r>
        <w:rPr>
          <w:rFonts w:hint="eastAsia" w:hAnsi="宋体"/>
          <w:b/>
          <w:color w:val="auto"/>
          <w:sz w:val="24"/>
          <w:szCs w:val="24"/>
          <w:highlight w:val="none"/>
        </w:rPr>
        <w:t xml:space="preserve"> 二、合同一般条款</w:t>
      </w:r>
    </w:p>
    <w:p w14:paraId="4C8505A7">
      <w:pPr>
        <w:shd w:val="clear" w:color="auto" w:fill="FFFFFF"/>
        <w:spacing w:line="560" w:lineRule="exact"/>
        <w:ind w:firstLine="482" w:firstLineChars="200"/>
        <w:outlineLvl w:val="0"/>
        <w:rPr>
          <w:rFonts w:ascii="宋体" w:hAnsi="宋体"/>
          <w:b/>
          <w:color w:val="auto"/>
          <w:sz w:val="24"/>
          <w:highlight w:val="none"/>
        </w:rPr>
      </w:pPr>
      <w:bookmarkStart w:id="94" w:name="_Toc5228"/>
      <w:bookmarkStart w:id="95" w:name="_Toc16395"/>
      <w:bookmarkStart w:id="96" w:name="_Ref467379101"/>
      <w:bookmarkStart w:id="97" w:name="_Ref467379225"/>
      <w:bookmarkStart w:id="98" w:name="_Toc31297"/>
      <w:bookmarkStart w:id="99" w:name="_Toc259093669"/>
      <w:bookmarkStart w:id="100" w:name="_Ref467378404"/>
      <w:bookmarkStart w:id="101" w:name="_Toc24818"/>
      <w:bookmarkStart w:id="102" w:name="_Toc19680"/>
      <w:bookmarkStart w:id="103" w:name="_Ref467378499"/>
      <w:bookmarkStart w:id="104" w:name="_Ref467379195"/>
      <w:bookmarkStart w:id="105" w:name="_Ref467379214"/>
      <w:bookmarkStart w:id="106" w:name="_Ref467379205"/>
      <w:bookmarkStart w:id="107" w:name="_Toc487900349"/>
      <w:bookmarkStart w:id="108" w:name="_Ref467378463"/>
      <w:bookmarkStart w:id="109" w:name="_Toc25079"/>
      <w:bookmarkStart w:id="110" w:name="_Toc14021"/>
      <w:bookmarkStart w:id="111" w:name="_Ref467379109"/>
      <w:bookmarkStart w:id="112" w:name="_Toc279701240"/>
      <w:bookmarkStart w:id="113" w:name="_Ref467379094"/>
      <w:r>
        <w:rPr>
          <w:rFonts w:hint="eastAsia" w:ascii="宋体" w:hAnsi="宋体"/>
          <w:b/>
          <w:color w:val="auto"/>
          <w:sz w:val="24"/>
          <w:highlight w:val="none"/>
        </w:rPr>
        <w:t>2.1 定义</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22DBE16E">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本合同中的下列词语应按以下内容进行解释：</w:t>
      </w:r>
    </w:p>
    <w:p w14:paraId="5FD165C1">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2.1.1 “合同”系指采购人和中标供应商签订的载明双方当事人所达成的协议，并包括所有的附件、附录和构成合同的其他文件。</w:t>
      </w:r>
    </w:p>
    <w:p w14:paraId="5ECEF5FB">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2.1.2 “合同价”系指根据合同约定，中标供应商在完全履行合同义务后，采购人应支付给中标供应商的价格。</w:t>
      </w:r>
    </w:p>
    <w:p w14:paraId="2D2AF785">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2.1.3 “服务”系指中标供应商根据合同约定应向采购人履行的除货物和工程以外的其他政府采购对象，包括采购人自身需要的服务和向社会公众提供的公共服务。</w:t>
      </w:r>
    </w:p>
    <w:p w14:paraId="260753D4">
      <w:pPr>
        <w:shd w:val="clear" w:color="auto" w:fill="FFFFFF"/>
        <w:spacing w:line="560" w:lineRule="exact"/>
        <w:ind w:firstLine="480" w:firstLineChars="200"/>
        <w:rPr>
          <w:rFonts w:ascii="宋体" w:hAnsi="宋体"/>
          <w:color w:val="auto"/>
          <w:sz w:val="24"/>
          <w:highlight w:val="none"/>
        </w:rPr>
      </w:pPr>
      <w:bookmarkStart w:id="114" w:name="_Ref467378840"/>
      <w:r>
        <w:rPr>
          <w:rFonts w:hint="eastAsia" w:ascii="宋体" w:hAnsi="宋体"/>
          <w:color w:val="auto"/>
          <w:sz w:val="24"/>
          <w:highlight w:val="none"/>
        </w:rPr>
        <w:t>2.1.4 “甲方”系指与中标供应商签署合同的采购人</w:t>
      </w:r>
      <w:bookmarkEnd w:id="114"/>
      <w:r>
        <w:rPr>
          <w:rFonts w:hint="eastAsia" w:ascii="宋体" w:hAnsi="宋体"/>
          <w:color w:val="auto"/>
          <w:sz w:val="24"/>
          <w:highlight w:val="none"/>
        </w:rPr>
        <w:t>；采购人委托采购代理机构代表其与乙方签订合同的，采购人的授权委托书作为合同附件。</w:t>
      </w:r>
    </w:p>
    <w:p w14:paraId="21039023">
      <w:pPr>
        <w:shd w:val="clear" w:color="auto" w:fill="FFFFFF"/>
        <w:spacing w:line="560" w:lineRule="exact"/>
        <w:ind w:firstLine="480" w:firstLineChars="200"/>
        <w:rPr>
          <w:rFonts w:ascii="宋体" w:hAnsi="宋体"/>
          <w:color w:val="auto"/>
          <w:sz w:val="24"/>
          <w:highlight w:val="none"/>
        </w:rPr>
      </w:pPr>
      <w:bookmarkStart w:id="115" w:name="_Ref467379400"/>
      <w:r>
        <w:rPr>
          <w:rFonts w:hint="eastAsia" w:ascii="宋体" w:hAnsi="宋体"/>
          <w:color w:val="auto"/>
          <w:sz w:val="24"/>
          <w:highlight w:val="none"/>
        </w:rPr>
        <w:t>2.1.5 “乙方”系指根据合同约定提供服务的中标供应商</w:t>
      </w:r>
      <w:bookmarkEnd w:id="115"/>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60CC077">
      <w:pPr>
        <w:shd w:val="clear" w:color="auto" w:fill="FFFFFF"/>
        <w:spacing w:line="560" w:lineRule="exact"/>
        <w:ind w:firstLine="480" w:firstLineChars="200"/>
        <w:rPr>
          <w:rFonts w:ascii="宋体" w:hAnsi="宋体"/>
          <w:color w:val="auto"/>
          <w:sz w:val="24"/>
          <w:highlight w:val="none"/>
        </w:rPr>
      </w:pPr>
      <w:bookmarkStart w:id="116" w:name="_Ref467379436"/>
      <w:r>
        <w:rPr>
          <w:rFonts w:hint="eastAsia" w:ascii="宋体" w:hAnsi="宋体"/>
          <w:color w:val="auto"/>
          <w:sz w:val="24"/>
          <w:highlight w:val="none"/>
        </w:rPr>
        <w:t>2.1.6 “现场”系指合同约定提供服务的地点。</w:t>
      </w:r>
      <w:bookmarkEnd w:id="116"/>
    </w:p>
    <w:p w14:paraId="6E07C7B4">
      <w:pPr>
        <w:shd w:val="clear" w:color="auto" w:fill="FFFFFF"/>
        <w:spacing w:line="560" w:lineRule="exact"/>
        <w:ind w:firstLine="482" w:firstLineChars="200"/>
        <w:outlineLvl w:val="0"/>
        <w:rPr>
          <w:rFonts w:ascii="宋体" w:hAnsi="宋体"/>
          <w:b/>
          <w:color w:val="auto"/>
          <w:sz w:val="24"/>
          <w:highlight w:val="none"/>
        </w:rPr>
      </w:pPr>
      <w:bookmarkStart w:id="117" w:name="_Toc487900350"/>
      <w:bookmarkStart w:id="118" w:name="_Toc6415"/>
      <w:bookmarkStart w:id="119" w:name="_Toc259093670"/>
      <w:bookmarkStart w:id="120" w:name="_Toc23289"/>
      <w:bookmarkStart w:id="121" w:name="_Toc16752"/>
      <w:bookmarkStart w:id="122" w:name="_Toc31402"/>
      <w:bookmarkStart w:id="123" w:name="_Toc19539"/>
      <w:bookmarkStart w:id="124" w:name="_Toc3769"/>
      <w:bookmarkStart w:id="125" w:name="_Toc279701241"/>
      <w:bookmarkStart w:id="126" w:name="_Toc27628"/>
      <w:r>
        <w:rPr>
          <w:rFonts w:hint="eastAsia" w:ascii="宋体" w:hAnsi="宋体"/>
          <w:b/>
          <w:color w:val="auto"/>
          <w:sz w:val="24"/>
          <w:highlight w:val="none"/>
        </w:rPr>
        <w:t>2.2 技术规范</w:t>
      </w:r>
      <w:bookmarkEnd w:id="117"/>
      <w:bookmarkEnd w:id="118"/>
      <w:bookmarkEnd w:id="119"/>
      <w:bookmarkEnd w:id="120"/>
      <w:bookmarkEnd w:id="121"/>
      <w:bookmarkEnd w:id="122"/>
      <w:bookmarkEnd w:id="123"/>
      <w:bookmarkEnd w:id="124"/>
      <w:bookmarkEnd w:id="125"/>
      <w:bookmarkEnd w:id="126"/>
    </w:p>
    <w:p w14:paraId="7A135CA0">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B6D8E73">
      <w:pPr>
        <w:shd w:val="clear" w:color="auto" w:fill="FFFFFF"/>
        <w:spacing w:line="560" w:lineRule="exact"/>
        <w:ind w:firstLine="482" w:firstLineChars="200"/>
        <w:outlineLvl w:val="0"/>
        <w:rPr>
          <w:rFonts w:ascii="宋体" w:hAnsi="宋体"/>
          <w:b/>
          <w:color w:val="auto"/>
          <w:sz w:val="24"/>
          <w:highlight w:val="none"/>
        </w:rPr>
      </w:pPr>
      <w:bookmarkStart w:id="127" w:name="_Toc13996"/>
      <w:bookmarkStart w:id="128" w:name="_Toc18060"/>
      <w:bookmarkStart w:id="129" w:name="_Toc27945"/>
      <w:bookmarkStart w:id="130" w:name="_Toc9161"/>
      <w:bookmarkStart w:id="131" w:name="_Toc259093671"/>
      <w:bookmarkStart w:id="132" w:name="_Toc4133"/>
      <w:bookmarkStart w:id="133" w:name="_Toc279701242"/>
      <w:bookmarkStart w:id="134" w:name="_Toc487900351"/>
      <w:bookmarkStart w:id="135" w:name="_Toc13673"/>
      <w:bookmarkStart w:id="136" w:name="_Toc12412"/>
      <w:r>
        <w:rPr>
          <w:rFonts w:hint="eastAsia" w:ascii="宋体" w:hAnsi="宋体"/>
          <w:b/>
          <w:color w:val="auto"/>
          <w:sz w:val="24"/>
          <w:highlight w:val="none"/>
        </w:rPr>
        <w:t>2.3 知识产权</w:t>
      </w:r>
      <w:bookmarkEnd w:id="127"/>
      <w:bookmarkEnd w:id="128"/>
      <w:bookmarkEnd w:id="129"/>
      <w:bookmarkEnd w:id="130"/>
      <w:bookmarkEnd w:id="131"/>
      <w:bookmarkEnd w:id="132"/>
      <w:bookmarkEnd w:id="133"/>
      <w:bookmarkEnd w:id="134"/>
      <w:bookmarkEnd w:id="135"/>
      <w:bookmarkEnd w:id="136"/>
    </w:p>
    <w:p w14:paraId="652A37A5">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85298AB">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2.3.2 合同涉及技术成果的归属和收益的分成办法的，详见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8E31808">
      <w:pPr>
        <w:shd w:val="clear" w:color="auto" w:fill="FFFFFF"/>
        <w:spacing w:line="560" w:lineRule="exact"/>
        <w:ind w:firstLine="482" w:firstLineChars="200"/>
        <w:rPr>
          <w:rFonts w:ascii="宋体" w:hAnsi="宋体"/>
          <w:b/>
          <w:color w:val="auto"/>
          <w:sz w:val="24"/>
          <w:highlight w:val="none"/>
        </w:rPr>
      </w:pPr>
      <w:r>
        <w:rPr>
          <w:rFonts w:hint="eastAsia" w:ascii="宋体" w:hAnsi="宋体"/>
          <w:b/>
          <w:color w:val="auto"/>
          <w:sz w:val="24"/>
          <w:highlight w:val="none"/>
        </w:rPr>
        <w:t>2.4 履约检查和问题反馈</w:t>
      </w:r>
    </w:p>
    <w:p w14:paraId="460EC8CB">
      <w:pPr>
        <w:shd w:val="clear" w:color="auto" w:fill="FFFFFF"/>
        <w:spacing w:line="560" w:lineRule="exact"/>
        <w:ind w:firstLine="480" w:firstLineChars="200"/>
        <w:rPr>
          <w:rFonts w:ascii="宋体" w:hAnsi="宋体"/>
          <w:color w:val="auto"/>
          <w:sz w:val="24"/>
          <w:highlight w:val="none"/>
        </w:rPr>
      </w:pPr>
      <w:bookmarkStart w:id="137" w:name="_Ref467379657"/>
      <w:r>
        <w:rPr>
          <w:rFonts w:hint="eastAsia" w:ascii="宋体" w:hAnsi="宋体"/>
          <w:color w:val="auto"/>
          <w:sz w:val="24"/>
          <w:highlight w:val="none"/>
        </w:rPr>
        <w:t>2.4.1</w:t>
      </w:r>
      <w:bookmarkEnd w:id="137"/>
      <w:r>
        <w:rPr>
          <w:rFonts w:hint="eastAsia" w:ascii="宋体" w:hAnsi="宋体"/>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6786F882">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2.4.2 合同履行期间，甲方有权将履行过程中出现的问题反馈给乙方，双方当事人应以书面形式约定需要完善和改进的内容。</w:t>
      </w:r>
    </w:p>
    <w:p w14:paraId="7413B1BE">
      <w:pPr>
        <w:shd w:val="clear" w:color="auto" w:fill="FFFFFF"/>
        <w:spacing w:line="560" w:lineRule="exact"/>
        <w:ind w:firstLine="482" w:firstLineChars="200"/>
        <w:outlineLvl w:val="0"/>
        <w:rPr>
          <w:rFonts w:ascii="宋体" w:hAnsi="宋体"/>
          <w:b/>
          <w:color w:val="auto"/>
          <w:sz w:val="24"/>
          <w:highlight w:val="none"/>
        </w:rPr>
      </w:pPr>
      <w:bookmarkStart w:id="138" w:name="_Toc31233"/>
      <w:bookmarkStart w:id="139" w:name="_Toc26555"/>
      <w:bookmarkStart w:id="140" w:name="_Toc22011"/>
      <w:bookmarkStart w:id="141" w:name="_Toc1447"/>
      <w:bookmarkStart w:id="142" w:name="_Toc32670"/>
      <w:bookmarkStart w:id="143" w:name="_Toc15447"/>
      <w:bookmarkStart w:id="144" w:name="_Toc7896"/>
      <w:r>
        <w:rPr>
          <w:rFonts w:hint="eastAsia" w:ascii="宋体" w:hAnsi="宋体"/>
          <w:b/>
          <w:color w:val="auto"/>
          <w:sz w:val="24"/>
          <w:highlight w:val="none"/>
        </w:rPr>
        <w:t>2.5 结算方式和付款条件</w:t>
      </w:r>
      <w:bookmarkEnd w:id="138"/>
      <w:bookmarkEnd w:id="139"/>
      <w:bookmarkEnd w:id="140"/>
      <w:bookmarkEnd w:id="141"/>
      <w:bookmarkEnd w:id="142"/>
      <w:bookmarkEnd w:id="143"/>
      <w:bookmarkEnd w:id="144"/>
    </w:p>
    <w:p w14:paraId="1A32E83D">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BEEF8A8">
      <w:pPr>
        <w:shd w:val="clear" w:color="auto" w:fill="FFFFFF"/>
        <w:spacing w:line="560" w:lineRule="exact"/>
        <w:ind w:firstLine="482" w:firstLineChars="200"/>
        <w:outlineLvl w:val="0"/>
        <w:rPr>
          <w:rFonts w:ascii="宋体" w:hAnsi="宋体"/>
          <w:b/>
          <w:color w:val="auto"/>
          <w:sz w:val="24"/>
          <w:highlight w:val="none"/>
        </w:rPr>
      </w:pPr>
      <w:bookmarkStart w:id="145" w:name="_Ref467379852"/>
      <w:bookmarkStart w:id="146" w:name="_Toc279701248"/>
      <w:bookmarkStart w:id="147" w:name="_Toc487900358"/>
      <w:bookmarkStart w:id="148" w:name="_Ref467379863"/>
      <w:bookmarkStart w:id="149" w:name="_Ref467379923"/>
      <w:bookmarkStart w:id="150" w:name="_Toc259093677"/>
      <w:bookmarkStart w:id="151" w:name="_Toc10945"/>
      <w:bookmarkStart w:id="152" w:name="_Toc16163"/>
      <w:bookmarkStart w:id="153" w:name="_Toc13467"/>
      <w:bookmarkStart w:id="154" w:name="_Toc30507"/>
      <w:bookmarkStart w:id="155" w:name="_Toc18990"/>
      <w:bookmarkStart w:id="156" w:name="_Toc13154"/>
      <w:bookmarkStart w:id="157" w:name="_Toc24085"/>
      <w:r>
        <w:rPr>
          <w:rFonts w:hint="eastAsia" w:ascii="宋体" w:hAnsi="宋体"/>
          <w:b/>
          <w:color w:val="auto"/>
          <w:sz w:val="24"/>
          <w:highlight w:val="none"/>
        </w:rPr>
        <w:t>2.6 技术资料</w:t>
      </w:r>
      <w:bookmarkEnd w:id="145"/>
      <w:bookmarkEnd w:id="146"/>
      <w:bookmarkEnd w:id="147"/>
      <w:bookmarkEnd w:id="148"/>
      <w:bookmarkEnd w:id="149"/>
      <w:bookmarkEnd w:id="150"/>
      <w:r>
        <w:rPr>
          <w:rFonts w:hint="eastAsia" w:ascii="宋体" w:hAnsi="宋体"/>
          <w:b/>
          <w:color w:val="auto"/>
          <w:sz w:val="24"/>
          <w:highlight w:val="none"/>
        </w:rPr>
        <w:t>和保密义务</w:t>
      </w:r>
      <w:bookmarkEnd w:id="151"/>
      <w:bookmarkEnd w:id="152"/>
      <w:bookmarkEnd w:id="153"/>
      <w:bookmarkEnd w:id="154"/>
      <w:bookmarkEnd w:id="155"/>
      <w:bookmarkEnd w:id="156"/>
      <w:bookmarkEnd w:id="157"/>
    </w:p>
    <w:p w14:paraId="5EBF5D29">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2.6.1 乙方有权依据合同约定和项目需要，向甲方了解有关情况，调阅有关资料等，甲方应予积极配合；</w:t>
      </w:r>
    </w:p>
    <w:p w14:paraId="5552027A">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2.6.2 乙方有义务妥善保管和保护由甲方提供的前款信息和资料等；</w:t>
      </w:r>
    </w:p>
    <w:p w14:paraId="5D3E2AD1">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56AD6AE">
      <w:pPr>
        <w:shd w:val="clear" w:color="auto" w:fill="FFFFFF"/>
        <w:spacing w:line="560" w:lineRule="exact"/>
        <w:ind w:firstLine="482" w:firstLineChars="200"/>
        <w:outlineLvl w:val="0"/>
        <w:rPr>
          <w:rFonts w:ascii="宋体" w:hAnsi="宋体"/>
          <w:b/>
          <w:color w:val="auto"/>
          <w:sz w:val="24"/>
          <w:highlight w:val="none"/>
        </w:rPr>
      </w:pPr>
      <w:bookmarkStart w:id="158" w:name="_Toc19069"/>
      <w:bookmarkStart w:id="159" w:name="_Toc3644"/>
      <w:bookmarkStart w:id="160" w:name="_Toc8366"/>
      <w:r>
        <w:rPr>
          <w:rFonts w:hint="eastAsia" w:ascii="宋体" w:hAnsi="宋体"/>
          <w:b/>
          <w:color w:val="auto"/>
          <w:sz w:val="24"/>
          <w:highlight w:val="none"/>
        </w:rPr>
        <w:t>2.7 质量保证</w:t>
      </w:r>
      <w:bookmarkEnd w:id="158"/>
      <w:bookmarkEnd w:id="159"/>
      <w:bookmarkEnd w:id="160"/>
    </w:p>
    <w:p w14:paraId="18F1263F">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2.7.1 乙方应建立和完善履行合同的内部质量保证体系，并提供相关内部规章制度给甲方，以便甲方进行监督检查；</w:t>
      </w:r>
    </w:p>
    <w:p w14:paraId="2FAB9B0E">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2.7.2 乙方应保证履行合同的人员数量和素质、软件和硬件设备的配置、场地、环境和设施等满足全面履行合同的要求，并应接受甲方的监督检查。</w:t>
      </w:r>
    </w:p>
    <w:p w14:paraId="654CCB46">
      <w:pPr>
        <w:shd w:val="clear" w:color="auto" w:fill="FFFFFF"/>
        <w:spacing w:line="560" w:lineRule="exact"/>
        <w:ind w:firstLine="482" w:firstLineChars="200"/>
        <w:outlineLvl w:val="0"/>
        <w:rPr>
          <w:rFonts w:ascii="宋体" w:hAnsi="宋体"/>
          <w:b/>
          <w:color w:val="auto"/>
          <w:sz w:val="24"/>
          <w:highlight w:val="none"/>
        </w:rPr>
      </w:pPr>
      <w:bookmarkStart w:id="161" w:name="_Toc8543"/>
      <w:bookmarkStart w:id="162" w:name="_Toc22267"/>
      <w:bookmarkStart w:id="163" w:name="_Toc32028"/>
      <w:r>
        <w:rPr>
          <w:rFonts w:hint="eastAsia" w:ascii="宋体" w:hAnsi="宋体"/>
          <w:b/>
          <w:color w:val="auto"/>
          <w:sz w:val="24"/>
          <w:highlight w:val="none"/>
        </w:rPr>
        <w:t>2.8 延迟履行</w:t>
      </w:r>
      <w:bookmarkEnd w:id="161"/>
      <w:bookmarkEnd w:id="162"/>
      <w:bookmarkEnd w:id="163"/>
    </w:p>
    <w:p w14:paraId="78D2372A">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DF411A4">
      <w:pPr>
        <w:shd w:val="clear" w:color="auto" w:fill="FFFFFF"/>
        <w:spacing w:line="560" w:lineRule="exact"/>
        <w:ind w:firstLine="482" w:firstLineChars="200"/>
        <w:outlineLvl w:val="0"/>
        <w:rPr>
          <w:rFonts w:ascii="宋体" w:hAnsi="宋体"/>
          <w:b/>
          <w:color w:val="auto"/>
          <w:sz w:val="24"/>
          <w:highlight w:val="none"/>
        </w:rPr>
      </w:pPr>
      <w:bookmarkStart w:id="164" w:name="_Toc10611"/>
      <w:bookmarkStart w:id="165" w:name="_Toc19811"/>
      <w:bookmarkStart w:id="166" w:name="_Toc19363"/>
      <w:r>
        <w:rPr>
          <w:rFonts w:hint="eastAsia" w:ascii="宋体" w:hAnsi="宋体"/>
          <w:b/>
          <w:color w:val="auto"/>
          <w:sz w:val="24"/>
          <w:highlight w:val="none"/>
        </w:rPr>
        <w:t>2.9 合同变更</w:t>
      </w:r>
      <w:bookmarkEnd w:id="164"/>
      <w:bookmarkEnd w:id="165"/>
      <w:bookmarkEnd w:id="166"/>
    </w:p>
    <w:p w14:paraId="75111623">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2CE4B27A">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2.9.2 合同继续履行将损害国家利益和社会公共利益的，双方当事人应当以书面形式变更合同。有过错的一方应当承担赔偿责任，双方当事人都有过错的，各自承担相应的责任。</w:t>
      </w:r>
    </w:p>
    <w:p w14:paraId="462C6CBE">
      <w:pPr>
        <w:shd w:val="clear" w:color="auto" w:fill="FFFFFF"/>
        <w:spacing w:line="560" w:lineRule="exact"/>
        <w:ind w:firstLine="482" w:firstLineChars="200"/>
        <w:outlineLvl w:val="0"/>
        <w:rPr>
          <w:rFonts w:ascii="宋体" w:hAnsi="宋体"/>
          <w:b/>
          <w:color w:val="auto"/>
          <w:sz w:val="24"/>
          <w:highlight w:val="none"/>
        </w:rPr>
      </w:pPr>
      <w:bookmarkStart w:id="167" w:name="_Toc42"/>
      <w:bookmarkStart w:id="168" w:name="_Toc26751"/>
      <w:bookmarkStart w:id="169" w:name="_Toc23368"/>
      <w:bookmarkStart w:id="170" w:name="_Toc10663"/>
      <w:bookmarkStart w:id="171" w:name="_Toc21830"/>
      <w:bookmarkStart w:id="172" w:name="_Toc6473"/>
      <w:bookmarkStart w:id="173" w:name="_Toc26689"/>
      <w:r>
        <w:rPr>
          <w:rFonts w:hint="eastAsia" w:ascii="宋体" w:hAnsi="宋体"/>
          <w:b/>
          <w:color w:val="auto"/>
          <w:sz w:val="24"/>
          <w:highlight w:val="none"/>
        </w:rPr>
        <w:t>2.10 合同转让和分包</w:t>
      </w:r>
      <w:bookmarkEnd w:id="167"/>
      <w:bookmarkEnd w:id="168"/>
      <w:bookmarkEnd w:id="169"/>
      <w:bookmarkEnd w:id="170"/>
      <w:bookmarkEnd w:id="171"/>
      <w:bookmarkEnd w:id="172"/>
      <w:bookmarkEnd w:id="173"/>
    </w:p>
    <w:p w14:paraId="55C5036C">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84F9AEA">
      <w:pPr>
        <w:shd w:val="clear" w:color="auto" w:fill="FFFFFF"/>
        <w:spacing w:line="560" w:lineRule="exact"/>
        <w:ind w:firstLine="482" w:firstLineChars="200"/>
        <w:outlineLvl w:val="0"/>
        <w:rPr>
          <w:rFonts w:ascii="宋体" w:hAnsi="宋体"/>
          <w:b/>
          <w:color w:val="auto"/>
          <w:sz w:val="24"/>
          <w:highlight w:val="none"/>
        </w:rPr>
      </w:pPr>
      <w:bookmarkStart w:id="174" w:name="_Toc5780"/>
      <w:bookmarkStart w:id="175" w:name="_Toc25571"/>
      <w:bookmarkStart w:id="176" w:name="_Toc14371"/>
      <w:bookmarkStart w:id="177" w:name="_Toc32494"/>
      <w:bookmarkStart w:id="178" w:name="_Toc26633"/>
      <w:bookmarkStart w:id="179" w:name="_Toc4720"/>
      <w:bookmarkStart w:id="180" w:name="_Toc2915"/>
      <w:r>
        <w:rPr>
          <w:rFonts w:hint="eastAsia" w:ascii="宋体" w:hAnsi="宋体"/>
          <w:b/>
          <w:color w:val="auto"/>
          <w:sz w:val="24"/>
          <w:highlight w:val="none"/>
        </w:rPr>
        <w:t>2.11 不可抗力</w:t>
      </w:r>
      <w:bookmarkEnd w:id="174"/>
      <w:bookmarkEnd w:id="175"/>
      <w:bookmarkEnd w:id="176"/>
      <w:bookmarkEnd w:id="177"/>
      <w:bookmarkEnd w:id="178"/>
      <w:bookmarkEnd w:id="179"/>
      <w:bookmarkEnd w:id="180"/>
    </w:p>
    <w:p w14:paraId="1F6172A0">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2.11.1如果任何一方遭遇法律规定的不可抗力，致使合同履行受阻时，履行合同的期限应予延长，延长的期限应相当于不可抗力所影响的时间；</w:t>
      </w:r>
    </w:p>
    <w:p w14:paraId="731B5ADF">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2.11.2 因不可抗力致使不能实现合同目的的，当事人可以解除合同；</w:t>
      </w:r>
    </w:p>
    <w:p w14:paraId="698291AE">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2.11.3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14:paraId="0B20898E">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2.11.4受不可抗力影响的一方在不可抗力发生后，应在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14:paraId="1E60B042">
      <w:pPr>
        <w:shd w:val="clear" w:color="auto" w:fill="FFFFFF"/>
        <w:spacing w:line="560" w:lineRule="exact"/>
        <w:ind w:firstLine="482" w:firstLineChars="200"/>
        <w:outlineLvl w:val="0"/>
        <w:rPr>
          <w:rFonts w:ascii="宋体" w:hAnsi="宋体"/>
          <w:b/>
          <w:color w:val="auto"/>
          <w:sz w:val="24"/>
          <w:highlight w:val="none"/>
        </w:rPr>
      </w:pPr>
      <w:bookmarkStart w:id="181" w:name="_Toc25783"/>
      <w:bookmarkStart w:id="182" w:name="_Toc487900365"/>
      <w:bookmarkStart w:id="183" w:name="_Toc14115"/>
      <w:bookmarkStart w:id="184" w:name="_Toc24465"/>
      <w:bookmarkStart w:id="185" w:name="_Toc3638"/>
      <w:bookmarkStart w:id="186" w:name="_Toc4356"/>
      <w:bookmarkStart w:id="187" w:name="_Toc259093684"/>
      <w:bookmarkStart w:id="188" w:name="_Toc279701255"/>
      <w:bookmarkStart w:id="189" w:name="_Toc23854"/>
      <w:bookmarkStart w:id="190" w:name="_Toc30253"/>
      <w:r>
        <w:rPr>
          <w:rFonts w:hint="eastAsia" w:ascii="宋体" w:hAnsi="宋体"/>
          <w:b/>
          <w:color w:val="auto"/>
          <w:sz w:val="24"/>
          <w:highlight w:val="none"/>
        </w:rPr>
        <w:t>2.12 税费</w:t>
      </w:r>
      <w:bookmarkEnd w:id="181"/>
      <w:bookmarkEnd w:id="182"/>
      <w:bookmarkEnd w:id="183"/>
      <w:bookmarkEnd w:id="184"/>
      <w:bookmarkEnd w:id="185"/>
      <w:bookmarkEnd w:id="186"/>
      <w:bookmarkEnd w:id="187"/>
      <w:bookmarkEnd w:id="188"/>
      <w:bookmarkEnd w:id="189"/>
      <w:bookmarkEnd w:id="190"/>
    </w:p>
    <w:p w14:paraId="49F40188">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与合同有关的一切税费，均按照中华人民共和国法律的相关规定缴纳。</w:t>
      </w:r>
    </w:p>
    <w:p w14:paraId="1D6764C6">
      <w:pPr>
        <w:shd w:val="clear" w:color="auto" w:fill="FFFFFF"/>
        <w:spacing w:line="560" w:lineRule="exact"/>
        <w:ind w:firstLine="482" w:firstLineChars="200"/>
        <w:outlineLvl w:val="0"/>
        <w:rPr>
          <w:rFonts w:ascii="宋体" w:hAnsi="宋体"/>
          <w:b/>
          <w:color w:val="auto"/>
          <w:sz w:val="24"/>
          <w:highlight w:val="none"/>
        </w:rPr>
      </w:pPr>
      <w:bookmarkStart w:id="191" w:name="_Toc279701258"/>
      <w:bookmarkStart w:id="192" w:name="_Toc7315"/>
      <w:bookmarkStart w:id="193" w:name="_Toc14814"/>
      <w:bookmarkStart w:id="194" w:name="_Toc26883"/>
      <w:bookmarkStart w:id="195" w:name="_Toc487900368"/>
      <w:bookmarkStart w:id="196" w:name="_Toc29286"/>
      <w:bookmarkStart w:id="197" w:name="_Toc5222"/>
      <w:bookmarkStart w:id="198" w:name="_Toc25525"/>
      <w:bookmarkStart w:id="199" w:name="_Toc259093687"/>
      <w:bookmarkStart w:id="200" w:name="_Toc30105"/>
      <w:r>
        <w:rPr>
          <w:rFonts w:hint="eastAsia" w:ascii="宋体" w:hAnsi="宋体"/>
          <w:b/>
          <w:color w:val="auto"/>
          <w:sz w:val="24"/>
          <w:highlight w:val="none"/>
        </w:rPr>
        <w:t>2.13 乙方破产</w:t>
      </w:r>
      <w:bookmarkEnd w:id="191"/>
      <w:bookmarkEnd w:id="192"/>
      <w:bookmarkEnd w:id="193"/>
      <w:bookmarkEnd w:id="194"/>
      <w:bookmarkEnd w:id="195"/>
      <w:bookmarkEnd w:id="196"/>
      <w:bookmarkEnd w:id="197"/>
      <w:bookmarkEnd w:id="198"/>
      <w:bookmarkEnd w:id="199"/>
      <w:bookmarkEnd w:id="200"/>
    </w:p>
    <w:p w14:paraId="4A93AFBC">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AF7BA6">
      <w:pPr>
        <w:shd w:val="clear" w:color="auto" w:fill="FFFFFF"/>
        <w:spacing w:line="560" w:lineRule="exact"/>
        <w:ind w:firstLine="482" w:firstLineChars="200"/>
        <w:outlineLvl w:val="0"/>
        <w:rPr>
          <w:rFonts w:ascii="宋体" w:hAnsi="宋体"/>
          <w:b/>
          <w:color w:val="auto"/>
          <w:sz w:val="24"/>
          <w:highlight w:val="none"/>
        </w:rPr>
      </w:pPr>
      <w:bookmarkStart w:id="201" w:name="_Toc28638"/>
      <w:bookmarkStart w:id="202" w:name="_Toc1123"/>
      <w:bookmarkStart w:id="203" w:name="_Toc23323"/>
      <w:bookmarkStart w:id="204" w:name="_Toc2016"/>
      <w:bookmarkStart w:id="205" w:name="_Toc2145"/>
      <w:r>
        <w:rPr>
          <w:rFonts w:hint="eastAsia" w:ascii="宋体" w:hAnsi="宋体"/>
          <w:b/>
          <w:color w:val="auto"/>
          <w:sz w:val="24"/>
          <w:highlight w:val="none"/>
        </w:rPr>
        <w:t>2.14 合同中止、终止</w:t>
      </w:r>
      <w:bookmarkEnd w:id="201"/>
      <w:bookmarkEnd w:id="202"/>
      <w:bookmarkEnd w:id="203"/>
      <w:bookmarkEnd w:id="204"/>
      <w:bookmarkEnd w:id="205"/>
    </w:p>
    <w:p w14:paraId="7679391B">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2.14.1 双方当事人不得擅自中止或者终止合同；</w:t>
      </w:r>
    </w:p>
    <w:p w14:paraId="61510A86">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87F5584">
      <w:pPr>
        <w:shd w:val="clear" w:color="auto" w:fill="FFFFFF"/>
        <w:spacing w:line="560" w:lineRule="exact"/>
        <w:ind w:firstLine="482" w:firstLineChars="200"/>
        <w:outlineLvl w:val="0"/>
        <w:rPr>
          <w:rFonts w:ascii="宋体" w:hAnsi="宋体"/>
          <w:b/>
          <w:color w:val="auto"/>
          <w:sz w:val="24"/>
          <w:highlight w:val="none"/>
        </w:rPr>
      </w:pPr>
      <w:bookmarkStart w:id="206" w:name="_Toc21356"/>
      <w:bookmarkStart w:id="207" w:name="_Toc17363"/>
      <w:bookmarkStart w:id="208" w:name="_Toc1969"/>
      <w:bookmarkStart w:id="209" w:name="_Toc14525"/>
      <w:bookmarkStart w:id="210" w:name="_Toc1355"/>
      <w:r>
        <w:rPr>
          <w:rFonts w:hint="eastAsia" w:ascii="宋体" w:hAnsi="宋体"/>
          <w:b/>
          <w:color w:val="auto"/>
          <w:sz w:val="24"/>
          <w:highlight w:val="none"/>
        </w:rPr>
        <w:t>2.15 检验和验收</w:t>
      </w:r>
      <w:bookmarkEnd w:id="206"/>
      <w:bookmarkEnd w:id="207"/>
      <w:bookmarkEnd w:id="208"/>
      <w:bookmarkEnd w:id="209"/>
      <w:bookmarkEnd w:id="210"/>
    </w:p>
    <w:p w14:paraId="0CFE8004">
      <w:pPr>
        <w:shd w:val="clear" w:color="auto" w:fill="FFFFFF"/>
        <w:tabs>
          <w:tab w:val="left" w:pos="360"/>
          <w:tab w:val="left" w:pos="540"/>
          <w:tab w:val="left" w:pos="1080"/>
        </w:tabs>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2.15.1 乙方按照</w:t>
      </w:r>
      <w:r>
        <w:rPr>
          <w:rFonts w:hint="eastAsia" w:ascii="宋体" w:hAnsi="宋体"/>
          <w:b/>
          <w:i/>
          <w:color w:val="auto"/>
          <w:sz w:val="24"/>
          <w:highlight w:val="none"/>
          <w:u w:val="single"/>
        </w:rPr>
        <w:t>合同专用条款</w:t>
      </w:r>
      <w:r>
        <w:rPr>
          <w:rFonts w:hint="eastAsia" w:ascii="宋体" w:hAnsi="宋体"/>
          <w:color w:val="auto"/>
          <w:sz w:val="24"/>
          <w:highlight w:val="none"/>
        </w:rPr>
        <w:t>的约定，定期提交服务报告，甲方按照</w:t>
      </w:r>
      <w:r>
        <w:rPr>
          <w:rFonts w:hint="eastAsia" w:ascii="宋体" w:hAnsi="宋体"/>
          <w:b/>
          <w:i/>
          <w:color w:val="auto"/>
          <w:sz w:val="24"/>
          <w:highlight w:val="none"/>
          <w:u w:val="single"/>
        </w:rPr>
        <w:t>合同专用条款</w:t>
      </w:r>
      <w:r>
        <w:rPr>
          <w:rFonts w:hint="eastAsia" w:ascii="宋体" w:hAnsi="宋体"/>
          <w:color w:val="auto"/>
          <w:sz w:val="24"/>
          <w:highlight w:val="none"/>
        </w:rPr>
        <w:t>的约定进行定期验收；</w:t>
      </w:r>
    </w:p>
    <w:p w14:paraId="38523568">
      <w:pPr>
        <w:shd w:val="clear" w:color="auto" w:fill="FFFFFF"/>
        <w:tabs>
          <w:tab w:val="left" w:pos="360"/>
          <w:tab w:val="left" w:pos="540"/>
          <w:tab w:val="left" w:pos="1080"/>
        </w:tabs>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0F6C2FA">
      <w:pPr>
        <w:shd w:val="clear" w:color="auto" w:fill="FFFFFF"/>
        <w:tabs>
          <w:tab w:val="left" w:pos="360"/>
          <w:tab w:val="left" w:pos="540"/>
          <w:tab w:val="left" w:pos="1080"/>
        </w:tabs>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2.15.3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p w14:paraId="7B0CDB94">
      <w:pPr>
        <w:shd w:val="clear" w:color="auto" w:fill="FFFFFF"/>
        <w:spacing w:line="560" w:lineRule="exact"/>
        <w:ind w:firstLine="482" w:firstLineChars="200"/>
        <w:outlineLvl w:val="0"/>
        <w:rPr>
          <w:rFonts w:ascii="宋体" w:hAnsi="宋体"/>
          <w:b/>
          <w:color w:val="auto"/>
          <w:sz w:val="24"/>
          <w:highlight w:val="none"/>
        </w:rPr>
      </w:pPr>
      <w:bookmarkStart w:id="211" w:name="_Toc279701261"/>
      <w:bookmarkStart w:id="212" w:name="_Toc487900371"/>
      <w:bookmarkStart w:id="213" w:name="_Toc259093690"/>
      <w:bookmarkStart w:id="214" w:name="_Toc2308"/>
      <w:bookmarkStart w:id="215" w:name="_Toc12666"/>
      <w:bookmarkStart w:id="216" w:name="_Toc887"/>
      <w:bookmarkStart w:id="217" w:name="_Toc1157"/>
      <w:bookmarkStart w:id="218" w:name="_Toc25198"/>
      <w:bookmarkStart w:id="219" w:name="_Toc9808"/>
      <w:bookmarkStart w:id="220" w:name="_Toc31892"/>
      <w:r>
        <w:rPr>
          <w:rFonts w:hint="eastAsia" w:ascii="宋体" w:hAnsi="宋体"/>
          <w:b/>
          <w:color w:val="auto"/>
          <w:sz w:val="24"/>
          <w:highlight w:val="none"/>
        </w:rPr>
        <w:t>2.16 通知</w:t>
      </w:r>
      <w:bookmarkEnd w:id="211"/>
      <w:bookmarkEnd w:id="212"/>
      <w:bookmarkEnd w:id="213"/>
      <w:r>
        <w:rPr>
          <w:rFonts w:hint="eastAsia" w:ascii="宋体" w:hAnsi="宋体"/>
          <w:b/>
          <w:color w:val="auto"/>
          <w:sz w:val="24"/>
          <w:highlight w:val="none"/>
        </w:rPr>
        <w:t>和送达</w:t>
      </w:r>
      <w:bookmarkEnd w:id="214"/>
      <w:bookmarkEnd w:id="215"/>
      <w:bookmarkEnd w:id="216"/>
      <w:bookmarkEnd w:id="217"/>
      <w:bookmarkEnd w:id="218"/>
      <w:bookmarkEnd w:id="219"/>
      <w:bookmarkEnd w:id="220"/>
    </w:p>
    <w:p w14:paraId="580FC8D7">
      <w:pPr>
        <w:shd w:val="clear" w:color="auto" w:fill="FFFFFF"/>
        <w:spacing w:line="560" w:lineRule="exact"/>
        <w:ind w:firstLine="480" w:firstLineChars="200"/>
        <w:rPr>
          <w:rFonts w:ascii="宋体" w:hAnsi="宋体"/>
          <w:color w:val="auto"/>
          <w:sz w:val="24"/>
          <w:highlight w:val="none"/>
        </w:rPr>
      </w:pPr>
      <w:bookmarkStart w:id="221" w:name="_Toc7073"/>
      <w:bookmarkStart w:id="222" w:name="_Toc29220"/>
      <w:r>
        <w:rPr>
          <w:rFonts w:hint="eastAsia" w:ascii="宋体" w:hAnsi="宋体"/>
          <w:color w:val="auto"/>
          <w:sz w:val="24"/>
          <w:highlight w:val="none"/>
        </w:rPr>
        <w:t>2.16.1 任何一方因履行合同而以合同第一部分尾部所列明的</w:t>
      </w:r>
      <w:r>
        <w:rPr>
          <w:rFonts w:hint="eastAsia"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hint="eastAsia" w:ascii="宋体" w:hAnsi="宋体"/>
          <w:color w:val="auto"/>
          <w:sz w:val="24"/>
          <w:highlight w:val="none"/>
          <w:u w:val="single"/>
        </w:rPr>
        <w:t xml:space="preserve">   </w:t>
      </w:r>
      <w:r>
        <w:rPr>
          <w:rFonts w:hint="eastAsia" w:ascii="宋体" w:hAnsi="宋体"/>
          <w:color w:val="auto"/>
          <w:sz w:val="24"/>
          <w:highlight w:val="none"/>
        </w:rPr>
        <w:t>个工作日内书面通知对方当事人，在对方当事人收到有关变更通知之前，变更前的约定送达方式或者地址仍视为有效。</w:t>
      </w:r>
      <w:bookmarkEnd w:id="221"/>
      <w:bookmarkEnd w:id="222"/>
    </w:p>
    <w:p w14:paraId="50C3FF1D">
      <w:pPr>
        <w:shd w:val="clear" w:color="auto" w:fill="FFFFFF"/>
        <w:spacing w:line="560" w:lineRule="exact"/>
        <w:ind w:firstLine="480" w:firstLineChars="200"/>
        <w:rPr>
          <w:rFonts w:ascii="宋体" w:hAnsi="宋体"/>
          <w:color w:val="auto"/>
          <w:sz w:val="24"/>
          <w:highlight w:val="none"/>
        </w:rPr>
      </w:pPr>
      <w:bookmarkStart w:id="223" w:name="_Toc27674"/>
      <w:bookmarkStart w:id="224" w:name="_Toc18401"/>
      <w:r>
        <w:rPr>
          <w:rFonts w:hint="eastAsia" w:ascii="宋体" w:hAnsi="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3"/>
      <w:bookmarkEnd w:id="224"/>
    </w:p>
    <w:p w14:paraId="52B3FF89">
      <w:pPr>
        <w:shd w:val="clear" w:color="auto" w:fill="FFFFFF"/>
        <w:spacing w:line="560" w:lineRule="exact"/>
        <w:ind w:firstLine="482" w:firstLineChars="200"/>
        <w:outlineLvl w:val="0"/>
        <w:rPr>
          <w:rFonts w:ascii="宋体" w:hAnsi="宋体"/>
          <w:b/>
          <w:color w:val="auto"/>
          <w:sz w:val="24"/>
          <w:highlight w:val="none"/>
        </w:rPr>
      </w:pPr>
      <w:bookmarkStart w:id="225" w:name="_Toc279701263"/>
      <w:bookmarkStart w:id="226" w:name="_Toc12254"/>
      <w:bookmarkStart w:id="227" w:name="_Toc5063"/>
      <w:bookmarkStart w:id="228" w:name="_Toc27597"/>
      <w:bookmarkStart w:id="229" w:name="_Toc28906"/>
      <w:bookmarkStart w:id="230" w:name="_Toc487900373"/>
      <w:bookmarkStart w:id="231" w:name="_Toc20220"/>
      <w:bookmarkStart w:id="232" w:name="_Toc27644"/>
      <w:bookmarkStart w:id="233" w:name="_Toc20808"/>
      <w:bookmarkStart w:id="234" w:name="_Toc259093692"/>
      <w:r>
        <w:rPr>
          <w:rFonts w:hint="eastAsia" w:ascii="宋体" w:hAnsi="宋体"/>
          <w:b/>
          <w:color w:val="auto"/>
          <w:sz w:val="24"/>
          <w:highlight w:val="none"/>
        </w:rPr>
        <w:t>2.17 合同使用的文字和适用的法律</w:t>
      </w:r>
      <w:bookmarkEnd w:id="225"/>
      <w:bookmarkEnd w:id="226"/>
      <w:bookmarkEnd w:id="227"/>
      <w:bookmarkEnd w:id="228"/>
      <w:bookmarkEnd w:id="229"/>
      <w:bookmarkEnd w:id="230"/>
      <w:bookmarkEnd w:id="231"/>
      <w:bookmarkEnd w:id="232"/>
      <w:bookmarkEnd w:id="233"/>
      <w:bookmarkEnd w:id="234"/>
    </w:p>
    <w:p w14:paraId="1DC9AFEB">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2.17.1 合同使用汉语书就、变更和解释；</w:t>
      </w:r>
    </w:p>
    <w:p w14:paraId="0260AB9F">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2.17.2 合同适用中华人民共和国法律。</w:t>
      </w:r>
    </w:p>
    <w:p w14:paraId="1DDF09FD">
      <w:pPr>
        <w:shd w:val="clear" w:color="auto" w:fill="FFFFFF"/>
        <w:spacing w:line="560" w:lineRule="exact"/>
        <w:ind w:firstLine="482" w:firstLineChars="200"/>
        <w:outlineLvl w:val="0"/>
        <w:rPr>
          <w:rFonts w:ascii="宋体" w:hAnsi="宋体"/>
          <w:b/>
          <w:color w:val="auto"/>
          <w:sz w:val="24"/>
          <w:highlight w:val="none"/>
        </w:rPr>
      </w:pPr>
      <w:bookmarkStart w:id="235" w:name="_Toc27403"/>
      <w:bookmarkStart w:id="236" w:name="_Toc259093693"/>
      <w:bookmarkStart w:id="237" w:name="_Toc27127"/>
      <w:bookmarkStart w:id="238" w:name="_Toc28588"/>
      <w:bookmarkStart w:id="239" w:name="_Toc30096"/>
      <w:bookmarkStart w:id="240" w:name="_Toc22789"/>
      <w:bookmarkStart w:id="241" w:name="_Toc279701264"/>
      <w:bookmarkStart w:id="242" w:name="_Toc22266"/>
      <w:bookmarkStart w:id="243" w:name="_Toc1492"/>
      <w:r>
        <w:rPr>
          <w:rFonts w:hint="eastAsia" w:ascii="宋体" w:hAnsi="宋体"/>
          <w:b/>
          <w:color w:val="auto"/>
          <w:sz w:val="24"/>
          <w:highlight w:val="none"/>
        </w:rPr>
        <w:t>2.18 履约保证金</w:t>
      </w:r>
      <w:bookmarkEnd w:id="235"/>
      <w:bookmarkEnd w:id="236"/>
      <w:bookmarkEnd w:id="237"/>
      <w:bookmarkEnd w:id="238"/>
      <w:bookmarkEnd w:id="239"/>
      <w:bookmarkEnd w:id="240"/>
      <w:bookmarkEnd w:id="241"/>
      <w:bookmarkEnd w:id="242"/>
      <w:bookmarkEnd w:id="243"/>
    </w:p>
    <w:p w14:paraId="40DA57DE">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2.18.1 采购文件要求乙方提交履约保证金的，乙方应按</w:t>
      </w:r>
      <w:r>
        <w:rPr>
          <w:rFonts w:hint="eastAsia" w:ascii="宋体" w:hAnsi="宋体"/>
          <w:b/>
          <w:i/>
          <w:color w:val="auto"/>
          <w:sz w:val="24"/>
          <w:highlight w:val="none"/>
          <w:u w:val="single"/>
        </w:rPr>
        <w:t>合同专用条款</w:t>
      </w:r>
      <w:r>
        <w:rPr>
          <w:rFonts w:hint="eastAsia" w:ascii="宋体" w:hAnsi="宋体"/>
          <w:color w:val="auto"/>
          <w:sz w:val="24"/>
          <w:highlight w:val="none"/>
        </w:rPr>
        <w:t>约定的方式，以支票、汇票、本票或者金融机构、担保机构出具的保函等非现金形式，提交不超过合同价/的履约保证金；</w:t>
      </w:r>
    </w:p>
    <w:p w14:paraId="1A746FE8">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2.18.2 履约保证金在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约定期间内不予退还或者应完全有效，前述约定期间届满之日起</w:t>
      </w:r>
      <w:r>
        <w:rPr>
          <w:rFonts w:hint="eastAsia" w:ascii="宋体" w:hAnsi="宋体"/>
          <w:color w:val="auto"/>
          <w:sz w:val="24"/>
          <w:highlight w:val="none"/>
          <w:u w:val="single"/>
        </w:rPr>
        <w:t xml:space="preserve">    </w:t>
      </w:r>
      <w:r>
        <w:rPr>
          <w:rFonts w:hint="eastAsia" w:ascii="宋体" w:hAnsi="宋体"/>
          <w:color w:val="auto"/>
          <w:sz w:val="24"/>
          <w:highlight w:val="none"/>
        </w:rPr>
        <w:t>个工作日内，甲方应将履约保证金退还乙方；</w:t>
      </w:r>
    </w:p>
    <w:p w14:paraId="77D59C9B">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691DD27">
      <w:pPr>
        <w:shd w:val="clear" w:color="auto" w:fill="FFFFFF"/>
        <w:spacing w:line="560" w:lineRule="exact"/>
        <w:ind w:firstLine="482" w:firstLineChars="200"/>
        <w:rPr>
          <w:rFonts w:ascii="宋体" w:hAnsi="宋体"/>
          <w:b/>
          <w:color w:val="auto"/>
          <w:sz w:val="24"/>
          <w:highlight w:val="none"/>
        </w:rPr>
      </w:pPr>
      <w:r>
        <w:rPr>
          <w:rFonts w:hint="eastAsia" w:ascii="宋体" w:hAnsi="宋体"/>
          <w:b/>
          <w:color w:val="auto"/>
          <w:sz w:val="24"/>
          <w:highlight w:val="none"/>
        </w:rPr>
        <w:t>2.19 合同份数</w:t>
      </w:r>
    </w:p>
    <w:p w14:paraId="0FC4A3C3">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合同份数按</w:t>
      </w:r>
      <w:r>
        <w:rPr>
          <w:rFonts w:hint="eastAsia" w:ascii="宋体" w:hAnsi="宋体"/>
          <w:b/>
          <w:i/>
          <w:color w:val="auto"/>
          <w:sz w:val="24"/>
          <w:highlight w:val="none"/>
          <w:u w:val="single"/>
        </w:rPr>
        <w:t>合同专用条款</w:t>
      </w:r>
      <w:r>
        <w:rPr>
          <w:rFonts w:hint="eastAsia" w:ascii="宋体" w:hAnsi="宋体"/>
          <w:color w:val="auto"/>
          <w:sz w:val="24"/>
          <w:highlight w:val="none"/>
        </w:rPr>
        <w:t>规定，每份均具有同等法律效力。</w:t>
      </w:r>
    </w:p>
    <w:p w14:paraId="1790444C">
      <w:pPr>
        <w:pStyle w:val="110"/>
        <w:shd w:val="clear" w:color="auto" w:fill="FFFFFF"/>
        <w:spacing w:line="560" w:lineRule="exact"/>
        <w:ind w:firstLine="0" w:firstLineChars="0"/>
        <w:jc w:val="center"/>
        <w:rPr>
          <w:rFonts w:hAnsi="宋体"/>
          <w:color w:val="auto"/>
          <w:szCs w:val="24"/>
          <w:highlight w:val="none"/>
        </w:rPr>
      </w:pPr>
      <w:r>
        <w:rPr>
          <w:rFonts w:hint="eastAsia" w:hAnsi="宋体"/>
          <w:color w:val="auto"/>
          <w:szCs w:val="24"/>
          <w:highlight w:val="none"/>
        </w:rPr>
        <w:br w:type="page"/>
      </w:r>
      <w:bookmarkStart w:id="244" w:name="_Toc331685784"/>
      <w:r>
        <w:rPr>
          <w:rFonts w:hint="eastAsia" w:hAnsi="宋体"/>
          <w:color w:val="auto"/>
          <w:sz w:val="24"/>
          <w:szCs w:val="24"/>
          <w:highlight w:val="none"/>
        </w:rPr>
        <w:t>三、</w:t>
      </w:r>
      <w:r>
        <w:rPr>
          <w:rFonts w:hint="eastAsia" w:hAnsi="宋体"/>
          <w:b/>
          <w:color w:val="auto"/>
          <w:sz w:val="24"/>
          <w:szCs w:val="24"/>
          <w:highlight w:val="none"/>
        </w:rPr>
        <w:t>合同专用条款</w:t>
      </w:r>
      <w:bookmarkEnd w:id="244"/>
    </w:p>
    <w:p w14:paraId="2B6F8383">
      <w:pPr>
        <w:shd w:val="clear" w:color="auto" w:fill="FFFFFF"/>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1"/>
        <w:tblW w:w="9959"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9158"/>
      </w:tblGrid>
      <w:tr w14:paraId="710F8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vAlign w:val="center"/>
          </w:tcPr>
          <w:p w14:paraId="0D12FB33">
            <w:pPr>
              <w:shd w:val="clear" w:color="auto" w:fill="FFFFFF"/>
              <w:spacing w:line="56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9158" w:type="dxa"/>
            <w:vAlign w:val="center"/>
          </w:tcPr>
          <w:p w14:paraId="59A7AE35">
            <w:pPr>
              <w:shd w:val="clear" w:color="auto" w:fill="FFFFFF"/>
              <w:spacing w:line="560" w:lineRule="exact"/>
              <w:jc w:val="center"/>
              <w:rPr>
                <w:rFonts w:ascii="宋体" w:hAnsi="宋体"/>
                <w:b/>
                <w:color w:val="auto"/>
                <w:sz w:val="24"/>
                <w:highlight w:val="none"/>
              </w:rPr>
            </w:pPr>
            <w:r>
              <w:rPr>
                <w:rFonts w:hint="eastAsia" w:ascii="宋体" w:hAnsi="宋体"/>
                <w:b/>
                <w:color w:val="auto"/>
                <w:sz w:val="24"/>
                <w:highlight w:val="none"/>
              </w:rPr>
              <w:t>约定内容</w:t>
            </w:r>
          </w:p>
        </w:tc>
      </w:tr>
      <w:tr w14:paraId="7F383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vAlign w:val="center"/>
          </w:tcPr>
          <w:p w14:paraId="23DFFD0F">
            <w:pPr>
              <w:shd w:val="clear" w:color="auto" w:fill="FFFFFF"/>
              <w:spacing w:line="560" w:lineRule="exact"/>
              <w:rPr>
                <w:rFonts w:ascii="宋体" w:hAnsi="宋体"/>
                <w:color w:val="auto"/>
                <w:sz w:val="24"/>
                <w:highlight w:val="none"/>
              </w:rPr>
            </w:pPr>
          </w:p>
        </w:tc>
        <w:tc>
          <w:tcPr>
            <w:tcW w:w="9158" w:type="dxa"/>
            <w:vAlign w:val="center"/>
          </w:tcPr>
          <w:p w14:paraId="7818295B">
            <w:pPr>
              <w:shd w:val="clear" w:color="auto" w:fill="FFFFFF"/>
              <w:spacing w:line="560" w:lineRule="exact"/>
              <w:rPr>
                <w:rFonts w:ascii="宋体" w:hAnsi="宋体"/>
                <w:color w:val="auto"/>
                <w:sz w:val="24"/>
                <w:highlight w:val="none"/>
              </w:rPr>
            </w:pPr>
          </w:p>
        </w:tc>
      </w:tr>
      <w:tr w14:paraId="51264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vAlign w:val="center"/>
          </w:tcPr>
          <w:p w14:paraId="62F7BE27">
            <w:pPr>
              <w:shd w:val="clear" w:color="auto" w:fill="FFFFFF"/>
              <w:spacing w:line="560" w:lineRule="exact"/>
              <w:rPr>
                <w:rFonts w:ascii="宋体" w:hAnsi="宋体"/>
                <w:color w:val="auto"/>
                <w:sz w:val="24"/>
                <w:highlight w:val="none"/>
              </w:rPr>
            </w:pPr>
          </w:p>
        </w:tc>
        <w:tc>
          <w:tcPr>
            <w:tcW w:w="9158" w:type="dxa"/>
            <w:vAlign w:val="center"/>
          </w:tcPr>
          <w:p w14:paraId="28CA9CEF">
            <w:pPr>
              <w:shd w:val="clear" w:color="auto" w:fill="FFFFFF"/>
              <w:spacing w:line="560" w:lineRule="exact"/>
              <w:rPr>
                <w:rFonts w:ascii="宋体" w:hAnsi="宋体"/>
                <w:color w:val="auto"/>
                <w:sz w:val="24"/>
                <w:highlight w:val="none"/>
              </w:rPr>
            </w:pPr>
          </w:p>
        </w:tc>
      </w:tr>
      <w:tr w14:paraId="6D289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vAlign w:val="center"/>
          </w:tcPr>
          <w:p w14:paraId="58422765">
            <w:pPr>
              <w:shd w:val="clear" w:color="auto" w:fill="FFFFFF"/>
              <w:spacing w:line="560" w:lineRule="exact"/>
              <w:rPr>
                <w:rFonts w:ascii="宋体" w:hAnsi="宋体"/>
                <w:color w:val="auto"/>
                <w:sz w:val="24"/>
                <w:highlight w:val="none"/>
              </w:rPr>
            </w:pPr>
          </w:p>
        </w:tc>
        <w:tc>
          <w:tcPr>
            <w:tcW w:w="9158" w:type="dxa"/>
            <w:vAlign w:val="center"/>
          </w:tcPr>
          <w:p w14:paraId="0213C75B">
            <w:pPr>
              <w:shd w:val="clear" w:color="auto" w:fill="FFFFFF"/>
              <w:spacing w:line="560" w:lineRule="exact"/>
              <w:rPr>
                <w:rFonts w:ascii="宋体" w:hAnsi="宋体"/>
                <w:color w:val="auto"/>
                <w:sz w:val="24"/>
                <w:highlight w:val="none"/>
              </w:rPr>
            </w:pPr>
          </w:p>
        </w:tc>
      </w:tr>
      <w:tr w14:paraId="3BC76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vAlign w:val="center"/>
          </w:tcPr>
          <w:p w14:paraId="48CC3F10">
            <w:pPr>
              <w:shd w:val="clear" w:color="auto" w:fill="FFFFFF"/>
              <w:spacing w:line="560" w:lineRule="exact"/>
              <w:rPr>
                <w:rFonts w:ascii="宋体" w:hAnsi="宋体"/>
                <w:color w:val="auto"/>
                <w:sz w:val="24"/>
                <w:highlight w:val="none"/>
              </w:rPr>
            </w:pPr>
          </w:p>
        </w:tc>
        <w:tc>
          <w:tcPr>
            <w:tcW w:w="9158" w:type="dxa"/>
            <w:vAlign w:val="center"/>
          </w:tcPr>
          <w:p w14:paraId="61C3C190">
            <w:pPr>
              <w:shd w:val="clear" w:color="auto" w:fill="FFFFFF"/>
              <w:spacing w:line="560" w:lineRule="exact"/>
              <w:rPr>
                <w:rFonts w:ascii="宋体" w:hAnsi="宋体"/>
                <w:color w:val="auto"/>
                <w:sz w:val="24"/>
                <w:highlight w:val="none"/>
              </w:rPr>
            </w:pPr>
          </w:p>
        </w:tc>
      </w:tr>
      <w:tr w14:paraId="44FB7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vAlign w:val="center"/>
          </w:tcPr>
          <w:p w14:paraId="7AA8F2C4">
            <w:pPr>
              <w:shd w:val="clear" w:color="auto" w:fill="FFFFFF"/>
              <w:spacing w:line="560" w:lineRule="exact"/>
              <w:rPr>
                <w:rFonts w:ascii="宋体" w:hAnsi="宋体"/>
                <w:color w:val="auto"/>
                <w:sz w:val="24"/>
                <w:highlight w:val="none"/>
              </w:rPr>
            </w:pPr>
          </w:p>
        </w:tc>
        <w:tc>
          <w:tcPr>
            <w:tcW w:w="9158" w:type="dxa"/>
            <w:vAlign w:val="center"/>
          </w:tcPr>
          <w:p w14:paraId="72310537">
            <w:pPr>
              <w:shd w:val="clear" w:color="auto" w:fill="FFFFFF"/>
              <w:spacing w:line="560" w:lineRule="exact"/>
              <w:rPr>
                <w:rFonts w:ascii="宋体" w:hAnsi="宋体"/>
                <w:color w:val="auto"/>
                <w:sz w:val="24"/>
                <w:highlight w:val="none"/>
                <w:u w:val="single"/>
              </w:rPr>
            </w:pPr>
          </w:p>
        </w:tc>
      </w:tr>
      <w:tr w14:paraId="252C6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vAlign w:val="center"/>
          </w:tcPr>
          <w:p w14:paraId="751F0BFA">
            <w:pPr>
              <w:shd w:val="clear" w:color="auto" w:fill="FFFFFF"/>
              <w:spacing w:line="560" w:lineRule="exact"/>
              <w:rPr>
                <w:rFonts w:ascii="宋体" w:hAnsi="宋体"/>
                <w:color w:val="auto"/>
                <w:sz w:val="24"/>
                <w:highlight w:val="none"/>
              </w:rPr>
            </w:pPr>
          </w:p>
        </w:tc>
        <w:tc>
          <w:tcPr>
            <w:tcW w:w="9158" w:type="dxa"/>
            <w:vAlign w:val="center"/>
          </w:tcPr>
          <w:p w14:paraId="7F1DD439">
            <w:pPr>
              <w:shd w:val="clear" w:color="auto" w:fill="FFFFFF"/>
              <w:spacing w:line="560" w:lineRule="exact"/>
              <w:rPr>
                <w:rFonts w:ascii="宋体" w:hAnsi="宋体"/>
                <w:color w:val="auto"/>
                <w:sz w:val="24"/>
                <w:highlight w:val="none"/>
              </w:rPr>
            </w:pPr>
          </w:p>
        </w:tc>
      </w:tr>
      <w:tr w14:paraId="00F38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vAlign w:val="center"/>
          </w:tcPr>
          <w:p w14:paraId="39C44620">
            <w:pPr>
              <w:shd w:val="clear" w:color="auto" w:fill="FFFFFF"/>
              <w:spacing w:line="560" w:lineRule="exact"/>
              <w:rPr>
                <w:rFonts w:ascii="宋体" w:hAnsi="宋体"/>
                <w:color w:val="auto"/>
                <w:sz w:val="24"/>
                <w:highlight w:val="none"/>
              </w:rPr>
            </w:pPr>
          </w:p>
        </w:tc>
        <w:tc>
          <w:tcPr>
            <w:tcW w:w="9158" w:type="dxa"/>
            <w:vAlign w:val="center"/>
          </w:tcPr>
          <w:p w14:paraId="1B632B05">
            <w:pPr>
              <w:shd w:val="clear" w:color="auto" w:fill="FFFFFF"/>
              <w:spacing w:line="560" w:lineRule="exact"/>
              <w:rPr>
                <w:rFonts w:ascii="宋体" w:hAnsi="宋体"/>
                <w:color w:val="auto"/>
                <w:sz w:val="24"/>
                <w:highlight w:val="none"/>
                <w:u w:val="single"/>
              </w:rPr>
            </w:pPr>
          </w:p>
        </w:tc>
      </w:tr>
      <w:tr w14:paraId="27A9F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vAlign w:val="center"/>
          </w:tcPr>
          <w:p w14:paraId="220D0FA7">
            <w:pPr>
              <w:shd w:val="clear" w:color="auto" w:fill="FFFFFF"/>
              <w:spacing w:line="560" w:lineRule="exact"/>
              <w:rPr>
                <w:rFonts w:ascii="宋体" w:hAnsi="宋体"/>
                <w:color w:val="auto"/>
                <w:sz w:val="24"/>
                <w:highlight w:val="none"/>
              </w:rPr>
            </w:pPr>
          </w:p>
        </w:tc>
        <w:tc>
          <w:tcPr>
            <w:tcW w:w="9158" w:type="dxa"/>
            <w:vAlign w:val="center"/>
          </w:tcPr>
          <w:p w14:paraId="0743C8D6">
            <w:pPr>
              <w:shd w:val="clear" w:color="auto" w:fill="FFFFFF"/>
              <w:spacing w:line="560" w:lineRule="exact"/>
              <w:rPr>
                <w:rFonts w:ascii="宋体" w:hAnsi="宋体"/>
                <w:color w:val="auto"/>
                <w:sz w:val="24"/>
                <w:highlight w:val="none"/>
              </w:rPr>
            </w:pPr>
          </w:p>
        </w:tc>
      </w:tr>
      <w:tr w14:paraId="45A64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vAlign w:val="center"/>
          </w:tcPr>
          <w:p w14:paraId="335B1CE5">
            <w:pPr>
              <w:shd w:val="clear" w:color="auto" w:fill="FFFFFF"/>
              <w:spacing w:line="560" w:lineRule="exact"/>
              <w:rPr>
                <w:rFonts w:ascii="宋体" w:hAnsi="宋体"/>
                <w:color w:val="auto"/>
                <w:sz w:val="24"/>
                <w:highlight w:val="none"/>
              </w:rPr>
            </w:pPr>
          </w:p>
        </w:tc>
        <w:tc>
          <w:tcPr>
            <w:tcW w:w="9158" w:type="dxa"/>
            <w:vAlign w:val="center"/>
          </w:tcPr>
          <w:p w14:paraId="7B7E77C2">
            <w:pPr>
              <w:shd w:val="clear" w:color="auto" w:fill="FFFFFF"/>
              <w:spacing w:line="560" w:lineRule="exact"/>
              <w:rPr>
                <w:rFonts w:ascii="宋体" w:hAnsi="宋体"/>
                <w:color w:val="auto"/>
                <w:sz w:val="24"/>
                <w:highlight w:val="none"/>
              </w:rPr>
            </w:pPr>
          </w:p>
        </w:tc>
      </w:tr>
      <w:tr w14:paraId="31B5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vAlign w:val="center"/>
          </w:tcPr>
          <w:p w14:paraId="6788BF9C">
            <w:pPr>
              <w:shd w:val="clear" w:color="auto" w:fill="FFFFFF"/>
              <w:spacing w:line="560" w:lineRule="exact"/>
              <w:rPr>
                <w:rFonts w:ascii="宋体" w:hAnsi="宋体"/>
                <w:color w:val="auto"/>
                <w:sz w:val="24"/>
                <w:highlight w:val="none"/>
              </w:rPr>
            </w:pPr>
          </w:p>
        </w:tc>
        <w:tc>
          <w:tcPr>
            <w:tcW w:w="9158" w:type="dxa"/>
            <w:vAlign w:val="center"/>
          </w:tcPr>
          <w:p w14:paraId="6125B12E">
            <w:pPr>
              <w:shd w:val="clear" w:color="auto" w:fill="FFFFFF"/>
              <w:spacing w:line="560" w:lineRule="exact"/>
              <w:rPr>
                <w:rFonts w:ascii="宋体" w:hAnsi="宋体"/>
                <w:color w:val="auto"/>
                <w:sz w:val="24"/>
                <w:highlight w:val="none"/>
              </w:rPr>
            </w:pPr>
          </w:p>
        </w:tc>
      </w:tr>
      <w:tr w14:paraId="1E243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vAlign w:val="center"/>
          </w:tcPr>
          <w:p w14:paraId="5169F7BF">
            <w:pPr>
              <w:shd w:val="clear" w:color="auto" w:fill="FFFFFF"/>
              <w:spacing w:line="560" w:lineRule="exact"/>
              <w:rPr>
                <w:rFonts w:ascii="宋体" w:hAnsi="宋体"/>
                <w:color w:val="auto"/>
                <w:sz w:val="24"/>
                <w:highlight w:val="none"/>
              </w:rPr>
            </w:pPr>
          </w:p>
        </w:tc>
        <w:tc>
          <w:tcPr>
            <w:tcW w:w="9158" w:type="dxa"/>
            <w:vAlign w:val="center"/>
          </w:tcPr>
          <w:p w14:paraId="6B67DBFF">
            <w:pPr>
              <w:shd w:val="clear" w:color="auto" w:fill="FFFFFF"/>
              <w:spacing w:line="560" w:lineRule="exact"/>
              <w:rPr>
                <w:rFonts w:ascii="宋体" w:hAnsi="宋体"/>
                <w:color w:val="auto"/>
                <w:sz w:val="24"/>
                <w:highlight w:val="none"/>
              </w:rPr>
            </w:pPr>
          </w:p>
        </w:tc>
      </w:tr>
      <w:tr w14:paraId="27F1D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vAlign w:val="center"/>
          </w:tcPr>
          <w:p w14:paraId="55C58ED4">
            <w:pPr>
              <w:shd w:val="clear" w:color="auto" w:fill="FFFFFF"/>
              <w:spacing w:line="560" w:lineRule="exact"/>
              <w:rPr>
                <w:rFonts w:ascii="宋体" w:hAnsi="宋体"/>
                <w:color w:val="auto"/>
                <w:sz w:val="24"/>
                <w:highlight w:val="none"/>
              </w:rPr>
            </w:pPr>
          </w:p>
        </w:tc>
        <w:tc>
          <w:tcPr>
            <w:tcW w:w="9158" w:type="dxa"/>
            <w:vAlign w:val="center"/>
          </w:tcPr>
          <w:p w14:paraId="1A29D1AC">
            <w:pPr>
              <w:shd w:val="clear" w:color="auto" w:fill="FFFFFF"/>
              <w:spacing w:line="560" w:lineRule="exact"/>
              <w:rPr>
                <w:rFonts w:ascii="宋体" w:hAnsi="宋体"/>
                <w:color w:val="auto"/>
                <w:sz w:val="24"/>
                <w:highlight w:val="none"/>
              </w:rPr>
            </w:pPr>
          </w:p>
        </w:tc>
      </w:tr>
    </w:tbl>
    <w:p w14:paraId="5DCA14AC">
      <w:pPr>
        <w:spacing w:line="480" w:lineRule="exact"/>
        <w:rPr>
          <w:rFonts w:ascii="宋体" w:hAnsi="宋体"/>
          <w:color w:val="auto"/>
          <w:sz w:val="28"/>
          <w:highlight w:val="none"/>
        </w:rPr>
      </w:pPr>
    </w:p>
    <w:p w14:paraId="7549554C">
      <w:pPr>
        <w:spacing w:line="480" w:lineRule="exact"/>
        <w:rPr>
          <w:rFonts w:ascii="宋体" w:hAnsi="宋体"/>
          <w:color w:val="auto"/>
          <w:sz w:val="28"/>
          <w:highlight w:val="none"/>
        </w:rPr>
      </w:pPr>
    </w:p>
    <w:p w14:paraId="53CC541F">
      <w:pPr>
        <w:spacing w:line="480" w:lineRule="exact"/>
        <w:rPr>
          <w:rFonts w:ascii="宋体" w:hAnsi="宋体"/>
          <w:color w:val="auto"/>
          <w:sz w:val="28"/>
          <w:highlight w:val="none"/>
        </w:rPr>
      </w:pPr>
    </w:p>
    <w:p w14:paraId="40B54839">
      <w:pPr>
        <w:spacing w:line="480" w:lineRule="exact"/>
        <w:rPr>
          <w:rFonts w:ascii="宋体" w:hAnsi="宋体"/>
          <w:color w:val="auto"/>
          <w:sz w:val="28"/>
          <w:highlight w:val="none"/>
        </w:rPr>
      </w:pPr>
    </w:p>
    <w:p w14:paraId="242D3BF5">
      <w:pPr>
        <w:spacing w:line="480" w:lineRule="exact"/>
        <w:rPr>
          <w:rFonts w:ascii="宋体" w:hAnsi="宋体"/>
          <w:color w:val="auto"/>
          <w:sz w:val="28"/>
          <w:highlight w:val="none"/>
        </w:rPr>
      </w:pPr>
    </w:p>
    <w:p w14:paraId="4C2B8987">
      <w:pPr>
        <w:spacing w:line="480" w:lineRule="exact"/>
        <w:rPr>
          <w:rFonts w:ascii="宋体" w:hAnsi="宋体"/>
          <w:color w:val="auto"/>
          <w:sz w:val="28"/>
          <w:highlight w:val="none"/>
        </w:rPr>
      </w:pPr>
    </w:p>
    <w:p w14:paraId="72AB40C6">
      <w:pPr>
        <w:spacing w:line="480" w:lineRule="exact"/>
        <w:rPr>
          <w:rFonts w:ascii="宋体" w:hAnsi="宋体"/>
          <w:color w:val="auto"/>
          <w:sz w:val="28"/>
          <w:highlight w:val="none"/>
        </w:rPr>
      </w:pPr>
    </w:p>
    <w:p w14:paraId="4CB567FD">
      <w:pPr>
        <w:pStyle w:val="129"/>
        <w:spacing w:after="0" w:line="480" w:lineRule="exact"/>
        <w:jc w:val="both"/>
        <w:rPr>
          <w:rFonts w:ascii="宋体" w:hAnsi="宋体" w:eastAsia="宋体"/>
          <w:color w:val="auto"/>
          <w:highlight w:val="none"/>
        </w:rPr>
      </w:pPr>
    </w:p>
    <w:p w14:paraId="23C125FE">
      <w:pPr>
        <w:pStyle w:val="13"/>
        <w:numPr>
          <w:ilvl w:val="0"/>
          <w:numId w:val="0"/>
        </w:numPr>
        <w:spacing w:after="100" w:afterAutospacing="1" w:line="400" w:lineRule="atLeast"/>
        <w:jc w:val="center"/>
        <w:rPr>
          <w:rFonts w:ascii="宋体" w:hAnsi="宋体"/>
          <w:color w:val="auto"/>
          <w:sz w:val="32"/>
          <w:szCs w:val="32"/>
          <w:highlight w:val="none"/>
        </w:rPr>
      </w:pPr>
      <w:bookmarkStart w:id="245" w:name="_Toc267301296"/>
      <w:bookmarkStart w:id="246" w:name="_Toc298240423"/>
      <w:bookmarkStart w:id="247" w:name="_Toc525072195"/>
      <w:bookmarkStart w:id="248" w:name="_Toc349573138"/>
      <w:bookmarkStart w:id="249" w:name="_Toc349637937"/>
      <w:r>
        <w:rPr>
          <w:rFonts w:hint="eastAsia" w:ascii="宋体" w:hAnsi="宋体"/>
          <w:color w:val="auto"/>
          <w:sz w:val="32"/>
          <w:szCs w:val="32"/>
          <w:highlight w:val="none"/>
        </w:rPr>
        <w:br w:type="page"/>
      </w:r>
      <w:bookmarkStart w:id="250" w:name="_Toc13969"/>
      <w:r>
        <w:rPr>
          <w:rFonts w:hint="eastAsia" w:ascii="宋体" w:hAnsi="宋体"/>
          <w:color w:val="auto"/>
          <w:sz w:val="32"/>
          <w:szCs w:val="32"/>
          <w:highlight w:val="none"/>
        </w:rPr>
        <w:t>第五部分 磋商响应文件</w:t>
      </w:r>
      <w:bookmarkEnd w:id="250"/>
      <w:r>
        <w:rPr>
          <w:rFonts w:hint="eastAsia" w:ascii="宋体" w:hAnsi="宋体"/>
          <w:color w:val="auto"/>
          <w:sz w:val="32"/>
          <w:szCs w:val="32"/>
          <w:highlight w:val="none"/>
        </w:rPr>
        <w:t xml:space="preserve"> </w:t>
      </w:r>
      <w:bookmarkEnd w:id="245"/>
      <w:bookmarkEnd w:id="246"/>
      <w:bookmarkEnd w:id="247"/>
      <w:bookmarkEnd w:id="248"/>
      <w:bookmarkEnd w:id="249"/>
    </w:p>
    <w:p w14:paraId="7D2B6C99">
      <w:pPr>
        <w:pStyle w:val="72"/>
        <w:ind w:right="-323" w:rightChars="-154"/>
        <w:jc w:val="center"/>
        <w:rPr>
          <w:rFonts w:ascii="宋体" w:hAnsi="宋体"/>
          <w:color w:val="auto"/>
          <w:sz w:val="32"/>
          <w:szCs w:val="32"/>
          <w:highlight w:val="none"/>
        </w:rPr>
      </w:pPr>
    </w:p>
    <w:p w14:paraId="4E421C1B">
      <w:pPr>
        <w:pStyle w:val="72"/>
        <w:spacing w:line="400" w:lineRule="exact"/>
        <w:ind w:right="-323" w:rightChars="-154"/>
        <w:jc w:val="center"/>
        <w:rPr>
          <w:rFonts w:ascii="宋体" w:hAnsi="宋体"/>
          <w:color w:val="auto"/>
          <w:sz w:val="32"/>
          <w:szCs w:val="32"/>
          <w:highlight w:val="none"/>
        </w:rPr>
      </w:pPr>
    </w:p>
    <w:p w14:paraId="4823D503">
      <w:pPr>
        <w:pStyle w:val="72"/>
        <w:spacing w:line="400" w:lineRule="exact"/>
        <w:ind w:right="-323" w:rightChars="-154"/>
        <w:jc w:val="center"/>
        <w:rPr>
          <w:rFonts w:ascii="宋体" w:hAnsi="宋体"/>
          <w:color w:val="auto"/>
          <w:sz w:val="32"/>
          <w:szCs w:val="32"/>
          <w:highlight w:val="none"/>
        </w:rPr>
      </w:pPr>
      <w:r>
        <w:rPr>
          <w:rFonts w:hint="eastAsia" w:ascii="宋体" w:hAnsi="宋体"/>
          <w:color w:val="auto"/>
          <w:sz w:val="32"/>
          <w:szCs w:val="32"/>
          <w:highlight w:val="none"/>
        </w:rPr>
        <w:t>（磋商响应文件封面）</w:t>
      </w:r>
    </w:p>
    <w:p w14:paraId="11D2D3D9">
      <w:pPr>
        <w:pStyle w:val="72"/>
        <w:spacing w:line="400" w:lineRule="exact"/>
        <w:ind w:right="-323" w:rightChars="-154"/>
        <w:jc w:val="center"/>
        <w:rPr>
          <w:rFonts w:ascii="宋体" w:hAnsi="宋体"/>
          <w:color w:val="auto"/>
          <w:sz w:val="32"/>
          <w:szCs w:val="32"/>
          <w:highlight w:val="none"/>
        </w:rPr>
      </w:pPr>
    </w:p>
    <w:p w14:paraId="323079B2">
      <w:pPr>
        <w:pStyle w:val="72"/>
        <w:spacing w:line="400" w:lineRule="exact"/>
        <w:ind w:right="-323" w:rightChars="-154"/>
        <w:jc w:val="center"/>
        <w:rPr>
          <w:rFonts w:ascii="宋体" w:hAnsi="宋体"/>
          <w:color w:val="auto"/>
          <w:sz w:val="32"/>
          <w:szCs w:val="32"/>
          <w:highlight w:val="none"/>
        </w:rPr>
      </w:pPr>
    </w:p>
    <w:p w14:paraId="11D3F419">
      <w:pPr>
        <w:pStyle w:val="72"/>
        <w:spacing w:line="400" w:lineRule="exact"/>
        <w:ind w:right="-323" w:rightChars="-154"/>
        <w:jc w:val="center"/>
        <w:rPr>
          <w:rFonts w:ascii="宋体" w:hAnsi="宋体"/>
          <w:color w:val="auto"/>
          <w:sz w:val="32"/>
          <w:szCs w:val="32"/>
          <w:highlight w:val="none"/>
        </w:rPr>
      </w:pPr>
    </w:p>
    <w:p w14:paraId="479F0D74">
      <w:pPr>
        <w:pStyle w:val="72"/>
        <w:spacing w:line="400" w:lineRule="exact"/>
        <w:ind w:right="-323" w:rightChars="-154"/>
        <w:jc w:val="center"/>
        <w:rPr>
          <w:rFonts w:ascii="宋体" w:hAnsi="宋体"/>
          <w:color w:val="auto"/>
          <w:sz w:val="32"/>
          <w:szCs w:val="32"/>
          <w:highlight w:val="none"/>
        </w:rPr>
      </w:pPr>
    </w:p>
    <w:p w14:paraId="5081631B">
      <w:pPr>
        <w:pStyle w:val="72"/>
        <w:spacing w:line="400" w:lineRule="exact"/>
        <w:ind w:right="-323" w:rightChars="-154"/>
        <w:jc w:val="center"/>
        <w:rPr>
          <w:rFonts w:ascii="宋体" w:hAnsi="宋体"/>
          <w:color w:val="auto"/>
          <w:sz w:val="32"/>
          <w:szCs w:val="32"/>
          <w:highlight w:val="none"/>
        </w:rPr>
      </w:pPr>
    </w:p>
    <w:p w14:paraId="11F1713C">
      <w:pPr>
        <w:pStyle w:val="72"/>
        <w:spacing w:line="400" w:lineRule="exact"/>
        <w:ind w:right="-323" w:rightChars="-154" w:firstLine="420" w:firstLineChars="200"/>
        <w:rPr>
          <w:rFonts w:ascii="宋体" w:hAnsi="宋体"/>
          <w:color w:val="auto"/>
          <w:highlight w:val="none"/>
        </w:rPr>
      </w:pPr>
    </w:p>
    <w:p w14:paraId="456C0B6F">
      <w:pPr>
        <w:pStyle w:val="72"/>
        <w:ind w:right="-323" w:rightChars="-154" w:firstLine="1960" w:firstLineChars="700"/>
        <w:jc w:val="left"/>
        <w:rPr>
          <w:rFonts w:ascii="宋体" w:hAnsi="宋体"/>
          <w:color w:val="auto"/>
          <w:sz w:val="28"/>
          <w:szCs w:val="28"/>
          <w:highlight w:val="none"/>
          <w:u w:val="single"/>
        </w:rPr>
      </w:pPr>
      <w:r>
        <w:rPr>
          <w:rFonts w:hint="eastAsia" w:ascii="宋体" w:hAnsi="宋体"/>
          <w:color w:val="auto"/>
          <w:sz w:val="28"/>
          <w:szCs w:val="28"/>
          <w:highlight w:val="none"/>
          <w:u w:val="single"/>
        </w:rPr>
        <w:t xml:space="preserve">            （项目名称）            </w:t>
      </w:r>
    </w:p>
    <w:p w14:paraId="4E02A95C">
      <w:pPr>
        <w:pStyle w:val="72"/>
        <w:ind w:right="-323" w:rightChars="-154" w:firstLine="3920" w:firstLineChars="1400"/>
        <w:rPr>
          <w:rFonts w:ascii="宋体" w:hAnsi="宋体"/>
          <w:color w:val="auto"/>
          <w:sz w:val="28"/>
          <w:szCs w:val="28"/>
          <w:highlight w:val="none"/>
        </w:rPr>
      </w:pPr>
      <w:r>
        <w:rPr>
          <w:rFonts w:hint="eastAsia" w:ascii="宋体" w:hAnsi="宋体"/>
          <w:color w:val="auto"/>
          <w:sz w:val="28"/>
          <w:szCs w:val="28"/>
          <w:highlight w:val="none"/>
        </w:rPr>
        <w:t>项目编号：</w:t>
      </w:r>
    </w:p>
    <w:p w14:paraId="0F337960">
      <w:pPr>
        <w:pStyle w:val="72"/>
        <w:ind w:right="-323" w:rightChars="-154"/>
        <w:rPr>
          <w:rFonts w:ascii="宋体" w:hAnsi="宋体"/>
          <w:color w:val="auto"/>
          <w:highlight w:val="none"/>
        </w:rPr>
      </w:pPr>
    </w:p>
    <w:p w14:paraId="0A0CE826">
      <w:pPr>
        <w:pStyle w:val="72"/>
        <w:ind w:right="-323" w:rightChars="-154"/>
        <w:rPr>
          <w:rFonts w:ascii="宋体" w:hAnsi="宋体"/>
          <w:color w:val="auto"/>
          <w:highlight w:val="none"/>
        </w:rPr>
      </w:pPr>
    </w:p>
    <w:p w14:paraId="53E65F12">
      <w:pPr>
        <w:pStyle w:val="72"/>
        <w:ind w:right="-323" w:rightChars="-154"/>
        <w:rPr>
          <w:rFonts w:ascii="宋体" w:hAnsi="宋体"/>
          <w:color w:val="auto"/>
          <w:highlight w:val="none"/>
        </w:rPr>
      </w:pPr>
    </w:p>
    <w:p w14:paraId="584CEDF1">
      <w:pPr>
        <w:pStyle w:val="72"/>
        <w:ind w:right="-323" w:rightChars="-154"/>
        <w:rPr>
          <w:rFonts w:ascii="宋体" w:hAnsi="宋体"/>
          <w:color w:val="auto"/>
          <w:highlight w:val="none"/>
        </w:rPr>
      </w:pPr>
    </w:p>
    <w:p w14:paraId="26221479">
      <w:pPr>
        <w:pStyle w:val="72"/>
        <w:ind w:right="-323" w:rightChars="-154"/>
        <w:rPr>
          <w:rFonts w:ascii="宋体" w:hAnsi="宋体"/>
          <w:color w:val="auto"/>
          <w:highlight w:val="none"/>
        </w:rPr>
      </w:pPr>
    </w:p>
    <w:p w14:paraId="1D015DB3">
      <w:pPr>
        <w:pStyle w:val="72"/>
        <w:ind w:right="-323" w:rightChars="-154"/>
        <w:rPr>
          <w:rFonts w:ascii="宋体" w:hAnsi="宋体"/>
          <w:b/>
          <w:bCs/>
          <w:color w:val="auto"/>
          <w:sz w:val="28"/>
          <w:szCs w:val="28"/>
          <w:highlight w:val="none"/>
        </w:rPr>
      </w:pPr>
    </w:p>
    <w:p w14:paraId="545FBEDF">
      <w:pPr>
        <w:pStyle w:val="72"/>
        <w:spacing w:line="380" w:lineRule="exact"/>
        <w:ind w:right="-323" w:rightChars="-154"/>
        <w:rPr>
          <w:rFonts w:ascii="宋体" w:hAnsi="宋体"/>
          <w:color w:val="auto"/>
          <w:highlight w:val="none"/>
        </w:rPr>
      </w:pPr>
    </w:p>
    <w:p w14:paraId="7B6BD5FE">
      <w:pPr>
        <w:pStyle w:val="72"/>
        <w:spacing w:line="500" w:lineRule="exact"/>
        <w:ind w:right="-323" w:rightChars="-154"/>
        <w:rPr>
          <w:rFonts w:ascii="宋体" w:hAnsi="宋体"/>
          <w:bCs/>
          <w:color w:val="auto"/>
          <w:sz w:val="30"/>
          <w:szCs w:val="30"/>
          <w:highlight w:val="none"/>
        </w:rPr>
      </w:pPr>
    </w:p>
    <w:p w14:paraId="5B74415A">
      <w:pPr>
        <w:pStyle w:val="72"/>
        <w:spacing w:line="500" w:lineRule="exact"/>
        <w:ind w:right="-323" w:rightChars="-154"/>
        <w:rPr>
          <w:rFonts w:ascii="宋体" w:hAnsi="宋体"/>
          <w:bCs/>
          <w:color w:val="auto"/>
          <w:sz w:val="30"/>
          <w:szCs w:val="30"/>
          <w:highlight w:val="none"/>
        </w:rPr>
      </w:pPr>
    </w:p>
    <w:p w14:paraId="09C0B8D7">
      <w:pPr>
        <w:pStyle w:val="72"/>
        <w:spacing w:line="500" w:lineRule="exact"/>
        <w:ind w:right="-323" w:rightChars="-154"/>
        <w:rPr>
          <w:rFonts w:ascii="宋体" w:hAnsi="宋体"/>
          <w:bCs/>
          <w:color w:val="auto"/>
          <w:sz w:val="30"/>
          <w:szCs w:val="30"/>
          <w:highlight w:val="none"/>
        </w:rPr>
      </w:pPr>
    </w:p>
    <w:p w14:paraId="48A32255">
      <w:pPr>
        <w:pStyle w:val="72"/>
        <w:spacing w:line="500" w:lineRule="exact"/>
        <w:ind w:right="-323" w:rightChars="-154"/>
        <w:rPr>
          <w:rFonts w:ascii="宋体" w:hAnsi="宋体"/>
          <w:bCs/>
          <w:color w:val="auto"/>
          <w:sz w:val="30"/>
          <w:szCs w:val="30"/>
          <w:highlight w:val="none"/>
        </w:rPr>
      </w:pPr>
    </w:p>
    <w:p w14:paraId="2A663494">
      <w:pPr>
        <w:pStyle w:val="72"/>
        <w:spacing w:line="500" w:lineRule="exact"/>
        <w:ind w:right="-323" w:rightChars="-154"/>
        <w:rPr>
          <w:rFonts w:ascii="宋体" w:hAnsi="宋体"/>
          <w:bCs/>
          <w:color w:val="auto"/>
          <w:sz w:val="30"/>
          <w:szCs w:val="30"/>
          <w:highlight w:val="none"/>
        </w:rPr>
      </w:pPr>
    </w:p>
    <w:p w14:paraId="3A95432B">
      <w:pPr>
        <w:pStyle w:val="72"/>
        <w:ind w:right="-323" w:rightChars="-154"/>
        <w:jc w:val="center"/>
        <w:rPr>
          <w:rFonts w:ascii="宋体" w:hAnsi="宋体"/>
          <w:color w:val="auto"/>
          <w:sz w:val="28"/>
          <w:szCs w:val="28"/>
          <w:highlight w:val="none"/>
        </w:rPr>
      </w:pPr>
      <w:r>
        <w:rPr>
          <w:rFonts w:hint="eastAsia" w:ascii="宋体" w:hAnsi="宋体"/>
          <w:color w:val="auto"/>
          <w:sz w:val="28"/>
          <w:szCs w:val="28"/>
          <w:highlight w:val="none"/>
        </w:rPr>
        <w:t>供应商：</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14:paraId="65CDAC86">
      <w:pPr>
        <w:pStyle w:val="72"/>
        <w:ind w:right="-323" w:rightChars="-154"/>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w:t>
      </w:r>
    </w:p>
    <w:p w14:paraId="3160B709">
      <w:pPr>
        <w:spacing w:line="400" w:lineRule="atLeast"/>
        <w:jc w:val="center"/>
        <w:rPr>
          <w:rFonts w:ascii="宋体" w:hAnsi="宋体"/>
          <w:color w:val="auto"/>
          <w:highlight w:val="none"/>
        </w:rPr>
      </w:pPr>
      <w:r>
        <w:rPr>
          <w:rFonts w:hint="eastAsia" w:ascii="宋体" w:hAnsi="宋体"/>
          <w:color w:val="auto"/>
          <w:highlight w:val="none"/>
        </w:rPr>
        <w:t xml:space="preserve">       年        月        日</w:t>
      </w:r>
      <w:r>
        <w:rPr>
          <w:rFonts w:hint="eastAsia" w:ascii="宋体" w:hAnsi="宋体"/>
          <w:color w:val="auto"/>
          <w:sz w:val="24"/>
          <w:highlight w:val="none"/>
        </w:rPr>
        <w:br w:type="page"/>
      </w:r>
      <w:r>
        <w:rPr>
          <w:rFonts w:hint="eastAsia" w:ascii="宋体" w:hAnsi="宋体"/>
          <w:color w:val="auto"/>
          <w:sz w:val="24"/>
          <w:highlight w:val="none"/>
        </w:rPr>
        <w:t>1、 磋商响应书</w:t>
      </w:r>
    </w:p>
    <w:p w14:paraId="46B5FD81">
      <w:pPr>
        <w:autoSpaceDE w:val="0"/>
        <w:autoSpaceDN w:val="0"/>
        <w:spacing w:line="400" w:lineRule="exact"/>
        <w:rPr>
          <w:rFonts w:ascii="宋体" w:hAnsi="宋体"/>
          <w:color w:val="auto"/>
          <w:kern w:val="0"/>
          <w:sz w:val="24"/>
          <w:highlight w:val="none"/>
          <w:lang w:val="zh-CN"/>
        </w:rPr>
      </w:pPr>
      <w:r>
        <w:rPr>
          <w:rFonts w:hint="eastAsia" w:ascii="宋体" w:hAnsi="宋体"/>
          <w:color w:val="auto"/>
          <w:kern w:val="0"/>
          <w:sz w:val="24"/>
          <w:highlight w:val="none"/>
          <w:lang w:val="zh-CN"/>
        </w:rPr>
        <w:t>致</w:t>
      </w:r>
      <w:r>
        <w:rPr>
          <w:rFonts w:hint="eastAsia" w:ascii="宋体" w:hAnsi="宋体"/>
          <w:color w:val="auto"/>
          <w:kern w:val="0"/>
          <w:sz w:val="24"/>
          <w:highlight w:val="none"/>
        </w:rPr>
        <w:t xml:space="preserve"> 新疆招标有限公司</w:t>
      </w:r>
      <w:r>
        <w:rPr>
          <w:rFonts w:hint="eastAsia" w:ascii="宋体" w:hAnsi="宋体"/>
          <w:color w:val="auto"/>
          <w:kern w:val="0"/>
          <w:sz w:val="24"/>
          <w:highlight w:val="none"/>
          <w:lang w:val="zh-CN"/>
        </w:rPr>
        <w:t xml:space="preserve">： </w:t>
      </w:r>
    </w:p>
    <w:p w14:paraId="1B18E7C8">
      <w:pPr>
        <w:autoSpaceDE w:val="0"/>
        <w:autoSpaceDN w:val="0"/>
        <w:spacing w:line="480" w:lineRule="exact"/>
        <w:jc w:val="left"/>
        <w:rPr>
          <w:rFonts w:ascii="宋体" w:hAnsi="宋体"/>
          <w:color w:val="auto"/>
          <w:kern w:val="0"/>
          <w:sz w:val="24"/>
          <w:highlight w:val="none"/>
          <w:lang w:val="zh-CN"/>
        </w:rPr>
      </w:pPr>
      <w:r>
        <w:rPr>
          <w:rFonts w:hint="eastAsia" w:ascii="宋体" w:hAnsi="宋体"/>
          <w:color w:val="auto"/>
          <w:kern w:val="0"/>
          <w:sz w:val="24"/>
          <w:highlight w:val="none"/>
          <w:lang w:val="zh-CN"/>
        </w:rPr>
        <w:t xml:space="preserve">    我们收到</w:t>
      </w:r>
      <w:r>
        <w:rPr>
          <w:rFonts w:hint="eastAsia" w:ascii="宋体" w:hAnsi="宋体"/>
          <w:color w:val="auto"/>
          <w:kern w:val="0"/>
          <w:sz w:val="24"/>
          <w:highlight w:val="none"/>
          <w:u w:val="single"/>
          <w:lang w:val="zh-CN"/>
        </w:rPr>
        <w:t xml:space="preserve"> </w:t>
      </w:r>
      <w:r>
        <w:rPr>
          <w:rFonts w:hint="eastAsia" w:ascii="宋体" w:hAnsi="宋体"/>
          <w:color w:val="auto"/>
          <w:kern w:val="0"/>
          <w:sz w:val="24"/>
          <w:highlight w:val="none"/>
          <w:u w:val="single"/>
        </w:rPr>
        <w:t xml:space="preserve">                             磋商</w:t>
      </w:r>
      <w:r>
        <w:rPr>
          <w:rFonts w:hint="eastAsia" w:ascii="宋体" w:hAnsi="宋体"/>
          <w:color w:val="auto"/>
          <w:kern w:val="0"/>
          <w:sz w:val="24"/>
          <w:highlight w:val="none"/>
          <w:lang w:val="zh-CN"/>
        </w:rPr>
        <w:t>文件，经研究，法定代表人（姓名、职务）正式授权（委托代理人姓名、职务）代表供应商（供应商名称、地址）提交电子磋商响应文件。</w:t>
      </w:r>
    </w:p>
    <w:p w14:paraId="2F2EA5EA">
      <w:pPr>
        <w:autoSpaceDE w:val="0"/>
        <w:autoSpaceDN w:val="0"/>
        <w:spacing w:line="480" w:lineRule="exact"/>
        <w:ind w:firstLine="480"/>
        <w:rPr>
          <w:rFonts w:ascii="宋体" w:hAnsi="宋体"/>
          <w:color w:val="auto"/>
          <w:kern w:val="0"/>
          <w:sz w:val="24"/>
          <w:highlight w:val="none"/>
          <w:lang w:val="zh-CN"/>
        </w:rPr>
      </w:pPr>
      <w:r>
        <w:rPr>
          <w:rFonts w:hint="eastAsia" w:ascii="宋体" w:hAnsi="宋体"/>
          <w:color w:val="auto"/>
          <w:kern w:val="0"/>
          <w:sz w:val="24"/>
          <w:highlight w:val="none"/>
          <w:lang w:val="zh-CN"/>
        </w:rPr>
        <w:t>据此函，签字代表宣布同意如下：</w:t>
      </w:r>
    </w:p>
    <w:p w14:paraId="65BC80FF">
      <w:pPr>
        <w:autoSpaceDE w:val="0"/>
        <w:autoSpaceDN w:val="0"/>
        <w:spacing w:line="480" w:lineRule="exact"/>
        <w:ind w:firstLine="480"/>
        <w:rPr>
          <w:rFonts w:ascii="宋体" w:hAnsi="宋体"/>
          <w:color w:val="auto"/>
          <w:kern w:val="0"/>
          <w:sz w:val="24"/>
          <w:highlight w:val="none"/>
          <w:lang w:val="zh-CN"/>
        </w:rPr>
      </w:pPr>
      <w:r>
        <w:rPr>
          <w:rFonts w:hint="eastAsia" w:ascii="宋体" w:hAnsi="宋体"/>
          <w:color w:val="auto"/>
          <w:kern w:val="0"/>
          <w:sz w:val="24"/>
          <w:highlight w:val="none"/>
          <w:lang w:val="zh-CN"/>
        </w:rPr>
        <w:t>1.我方已详阅磋商文件的全部内容，包括澄清、修改条款等有关附件，承诺对其完全理解并接受。</w:t>
      </w:r>
    </w:p>
    <w:p w14:paraId="21E303BB">
      <w:pPr>
        <w:autoSpaceDE w:val="0"/>
        <w:autoSpaceDN w:val="0"/>
        <w:spacing w:line="480" w:lineRule="exact"/>
        <w:ind w:firstLine="480"/>
        <w:rPr>
          <w:rFonts w:ascii="宋体" w:hAnsi="宋体"/>
          <w:color w:val="auto"/>
          <w:kern w:val="0"/>
          <w:sz w:val="24"/>
          <w:highlight w:val="none"/>
          <w:lang w:val="zh-CN"/>
        </w:rPr>
      </w:pPr>
      <w:r>
        <w:rPr>
          <w:rFonts w:hint="eastAsia" w:ascii="宋体" w:hAnsi="宋体"/>
          <w:color w:val="auto"/>
          <w:kern w:val="0"/>
          <w:sz w:val="24"/>
          <w:highlight w:val="none"/>
          <w:lang w:val="zh-CN"/>
        </w:rPr>
        <w:t>2.磋商有效期自开标之日起</w:t>
      </w:r>
      <w:r>
        <w:rPr>
          <w:rFonts w:hint="eastAsia" w:ascii="宋体" w:hAnsi="宋体"/>
          <w:color w:val="auto"/>
          <w:kern w:val="0"/>
          <w:sz w:val="24"/>
          <w:highlight w:val="none"/>
          <w:u w:val="single"/>
          <w:lang w:val="zh-CN"/>
        </w:rPr>
        <w:t xml:space="preserve">    </w:t>
      </w:r>
      <w:r>
        <w:rPr>
          <w:rFonts w:hint="eastAsia" w:ascii="宋体" w:hAnsi="宋体"/>
          <w:color w:val="auto"/>
          <w:kern w:val="0"/>
          <w:sz w:val="24"/>
          <w:highlight w:val="none"/>
          <w:lang w:val="zh-CN"/>
        </w:rPr>
        <w:t>天内有效。如果在规定的开标时间后，我方在磋商有效期内撤回磋商或成交后不签约的，磋商保证金将被贵方没收。</w:t>
      </w:r>
    </w:p>
    <w:p w14:paraId="2681B9BC">
      <w:pPr>
        <w:autoSpaceDE w:val="0"/>
        <w:autoSpaceDN w:val="0"/>
        <w:spacing w:line="480" w:lineRule="exact"/>
        <w:ind w:firstLine="480"/>
        <w:rPr>
          <w:rFonts w:ascii="宋体" w:hAnsi="宋体"/>
          <w:color w:val="auto"/>
          <w:kern w:val="0"/>
          <w:sz w:val="24"/>
          <w:highlight w:val="none"/>
          <w:lang w:val="zh-CN"/>
        </w:rPr>
      </w:pPr>
      <w:r>
        <w:rPr>
          <w:rFonts w:hint="eastAsia" w:ascii="宋体" w:hAnsi="宋体"/>
          <w:color w:val="auto"/>
          <w:kern w:val="0"/>
          <w:sz w:val="24"/>
          <w:highlight w:val="none"/>
          <w:lang w:val="zh-CN"/>
        </w:rPr>
        <w:t>3.我方同意按照贵方要求提供与磋商有关的一切数据或资料，理解并接受贵方制定的评标办法。</w:t>
      </w:r>
    </w:p>
    <w:p w14:paraId="5094ACA1">
      <w:pPr>
        <w:autoSpaceDE w:val="0"/>
        <w:autoSpaceDN w:val="0"/>
        <w:spacing w:line="480" w:lineRule="exact"/>
        <w:ind w:firstLine="480"/>
        <w:rPr>
          <w:rFonts w:ascii="宋体" w:hAnsi="宋体"/>
          <w:color w:val="auto"/>
          <w:kern w:val="0"/>
          <w:sz w:val="24"/>
          <w:highlight w:val="none"/>
          <w:lang w:val="zh-CN"/>
        </w:rPr>
      </w:pPr>
      <w:r>
        <w:rPr>
          <w:rFonts w:hint="eastAsia" w:ascii="宋体" w:hAnsi="宋体"/>
          <w:color w:val="auto"/>
          <w:kern w:val="0"/>
          <w:sz w:val="24"/>
          <w:highlight w:val="none"/>
          <w:lang w:val="zh-CN"/>
        </w:rPr>
        <w:t>4.与本磋商有关的一切正式往来通讯请寄：</w:t>
      </w:r>
    </w:p>
    <w:p w14:paraId="346FDB3D">
      <w:pPr>
        <w:autoSpaceDE w:val="0"/>
        <w:autoSpaceDN w:val="0"/>
        <w:spacing w:line="400" w:lineRule="exact"/>
        <w:ind w:firstLine="480"/>
        <w:rPr>
          <w:rFonts w:ascii="宋体" w:hAnsi="宋体"/>
          <w:color w:val="auto"/>
          <w:kern w:val="0"/>
          <w:sz w:val="24"/>
          <w:highlight w:val="none"/>
          <w:lang w:val="zh-CN"/>
        </w:rPr>
      </w:pPr>
    </w:p>
    <w:p w14:paraId="125568AF">
      <w:pPr>
        <w:autoSpaceDE w:val="0"/>
        <w:autoSpaceDN w:val="0"/>
        <w:spacing w:line="400" w:lineRule="exact"/>
        <w:rPr>
          <w:rFonts w:ascii="宋体" w:hAnsi="宋体"/>
          <w:color w:val="auto"/>
          <w:kern w:val="0"/>
          <w:sz w:val="24"/>
          <w:highlight w:val="none"/>
          <w:lang w:val="zh-CN"/>
        </w:rPr>
      </w:pPr>
    </w:p>
    <w:p w14:paraId="33E078F8">
      <w:pPr>
        <w:autoSpaceDE w:val="0"/>
        <w:autoSpaceDN w:val="0"/>
        <w:spacing w:line="400" w:lineRule="exact"/>
        <w:rPr>
          <w:rFonts w:ascii="宋体" w:hAnsi="宋体"/>
          <w:color w:val="auto"/>
          <w:kern w:val="0"/>
          <w:sz w:val="24"/>
          <w:highlight w:val="none"/>
          <w:lang w:val="zh-CN"/>
        </w:rPr>
      </w:pPr>
    </w:p>
    <w:p w14:paraId="2D9E5B2C">
      <w:pPr>
        <w:autoSpaceDE w:val="0"/>
        <w:autoSpaceDN w:val="0"/>
        <w:spacing w:line="400" w:lineRule="exact"/>
        <w:rPr>
          <w:rFonts w:ascii="宋体" w:hAnsi="宋体"/>
          <w:color w:val="auto"/>
          <w:kern w:val="0"/>
          <w:sz w:val="24"/>
          <w:highlight w:val="none"/>
          <w:lang w:val="zh-CN"/>
        </w:rPr>
      </w:pPr>
      <w:r>
        <w:rPr>
          <w:rFonts w:hint="eastAsia" w:ascii="宋体" w:hAnsi="宋体"/>
          <w:color w:val="auto"/>
          <w:kern w:val="0"/>
          <w:sz w:val="24"/>
          <w:highlight w:val="none"/>
          <w:lang w:val="zh-CN"/>
        </w:rPr>
        <w:t>地址：_______________          邮编：______________</w:t>
      </w:r>
    </w:p>
    <w:p w14:paraId="570EE31F">
      <w:pPr>
        <w:autoSpaceDE w:val="0"/>
        <w:autoSpaceDN w:val="0"/>
        <w:spacing w:line="400" w:lineRule="exact"/>
        <w:rPr>
          <w:rFonts w:ascii="宋体" w:hAnsi="宋体"/>
          <w:color w:val="auto"/>
          <w:kern w:val="0"/>
          <w:sz w:val="24"/>
          <w:highlight w:val="none"/>
          <w:lang w:val="zh-CN"/>
        </w:rPr>
      </w:pPr>
      <w:r>
        <w:rPr>
          <w:rFonts w:hint="eastAsia" w:ascii="宋体" w:hAnsi="宋体"/>
          <w:color w:val="auto"/>
          <w:kern w:val="0"/>
          <w:sz w:val="24"/>
          <w:highlight w:val="none"/>
          <w:lang w:val="zh-CN"/>
        </w:rPr>
        <w:t>电话：_______________          传真：______________</w:t>
      </w:r>
    </w:p>
    <w:p w14:paraId="37AE17A4">
      <w:pPr>
        <w:autoSpaceDE w:val="0"/>
        <w:autoSpaceDN w:val="0"/>
        <w:spacing w:line="400" w:lineRule="exact"/>
        <w:rPr>
          <w:rFonts w:ascii="宋体" w:hAnsi="宋体"/>
          <w:color w:val="auto"/>
          <w:kern w:val="0"/>
          <w:sz w:val="24"/>
          <w:highlight w:val="none"/>
          <w:lang w:val="zh-CN"/>
        </w:rPr>
      </w:pPr>
      <w:r>
        <w:rPr>
          <w:rFonts w:hint="eastAsia" w:ascii="宋体" w:hAnsi="宋体"/>
          <w:color w:val="auto"/>
          <w:kern w:val="0"/>
          <w:sz w:val="24"/>
          <w:highlight w:val="none"/>
          <w:lang w:val="zh-CN"/>
        </w:rPr>
        <w:t>法定代表人姓名： ___________   职务：____________</w:t>
      </w:r>
    </w:p>
    <w:p w14:paraId="76041F0C">
      <w:pPr>
        <w:autoSpaceDE w:val="0"/>
        <w:autoSpaceDN w:val="0"/>
        <w:spacing w:line="400" w:lineRule="exact"/>
        <w:rPr>
          <w:rFonts w:ascii="宋体" w:hAnsi="宋体"/>
          <w:color w:val="auto"/>
          <w:kern w:val="0"/>
          <w:sz w:val="24"/>
          <w:highlight w:val="none"/>
          <w:lang w:val="zh-CN"/>
        </w:rPr>
      </w:pPr>
      <w:r>
        <w:rPr>
          <w:rFonts w:hint="eastAsia" w:ascii="宋体" w:hAnsi="宋体"/>
          <w:color w:val="auto"/>
          <w:kern w:val="0"/>
          <w:sz w:val="24"/>
          <w:highlight w:val="none"/>
          <w:lang w:val="zh-CN"/>
        </w:rPr>
        <w:t xml:space="preserve"> </w:t>
      </w:r>
    </w:p>
    <w:p w14:paraId="2C43971D">
      <w:pPr>
        <w:autoSpaceDE w:val="0"/>
        <w:autoSpaceDN w:val="0"/>
        <w:spacing w:line="400" w:lineRule="exact"/>
        <w:rPr>
          <w:rFonts w:ascii="宋体" w:hAnsi="宋体"/>
          <w:color w:val="auto"/>
          <w:kern w:val="0"/>
          <w:sz w:val="24"/>
          <w:highlight w:val="none"/>
          <w:lang w:val="zh-CN"/>
        </w:rPr>
      </w:pPr>
      <w:r>
        <w:rPr>
          <w:rFonts w:hint="eastAsia" w:ascii="宋体" w:hAnsi="宋体"/>
          <w:color w:val="auto"/>
          <w:kern w:val="0"/>
          <w:sz w:val="24"/>
          <w:highlight w:val="none"/>
          <w:lang w:val="zh-CN"/>
        </w:rPr>
        <w:t xml:space="preserve"> </w:t>
      </w:r>
    </w:p>
    <w:p w14:paraId="7F15CA7D">
      <w:pPr>
        <w:autoSpaceDE w:val="0"/>
        <w:autoSpaceDN w:val="0"/>
        <w:spacing w:line="400" w:lineRule="exact"/>
        <w:rPr>
          <w:rFonts w:ascii="宋体" w:hAnsi="宋体"/>
          <w:color w:val="auto"/>
          <w:kern w:val="0"/>
          <w:sz w:val="24"/>
          <w:highlight w:val="none"/>
          <w:lang w:val="zh-CN"/>
        </w:rPr>
      </w:pPr>
      <w:r>
        <w:rPr>
          <w:rFonts w:hint="eastAsia" w:ascii="宋体" w:hAnsi="宋体"/>
          <w:color w:val="auto"/>
          <w:kern w:val="0"/>
          <w:sz w:val="24"/>
          <w:highlight w:val="none"/>
          <w:lang w:val="zh-CN"/>
        </w:rPr>
        <w:t xml:space="preserve"> </w:t>
      </w:r>
    </w:p>
    <w:p w14:paraId="47625D9B">
      <w:pPr>
        <w:autoSpaceDE w:val="0"/>
        <w:autoSpaceDN w:val="0"/>
        <w:spacing w:line="400" w:lineRule="exact"/>
        <w:rPr>
          <w:rFonts w:ascii="宋体" w:hAnsi="宋体"/>
          <w:color w:val="auto"/>
          <w:kern w:val="0"/>
          <w:sz w:val="24"/>
          <w:highlight w:val="none"/>
          <w:lang w:val="zh-CN"/>
        </w:rPr>
      </w:pPr>
      <w:r>
        <w:rPr>
          <w:rFonts w:hint="eastAsia" w:ascii="宋体" w:hAnsi="宋体"/>
          <w:color w:val="auto"/>
          <w:kern w:val="0"/>
          <w:sz w:val="24"/>
          <w:highlight w:val="none"/>
          <w:lang w:val="zh-CN"/>
        </w:rPr>
        <w:t xml:space="preserve"> </w:t>
      </w:r>
    </w:p>
    <w:p w14:paraId="7C9DBA26">
      <w:pPr>
        <w:autoSpaceDE w:val="0"/>
        <w:autoSpaceDN w:val="0"/>
        <w:spacing w:line="400" w:lineRule="exact"/>
        <w:rPr>
          <w:rFonts w:ascii="宋体" w:hAnsi="宋体"/>
          <w:color w:val="auto"/>
          <w:kern w:val="0"/>
          <w:sz w:val="24"/>
          <w:highlight w:val="none"/>
          <w:lang w:val="zh-CN"/>
        </w:rPr>
      </w:pPr>
      <w:r>
        <w:rPr>
          <w:rFonts w:hint="eastAsia" w:ascii="宋体" w:hAnsi="宋体"/>
          <w:color w:val="auto"/>
          <w:kern w:val="0"/>
          <w:sz w:val="24"/>
          <w:highlight w:val="none"/>
          <w:lang w:val="zh-CN"/>
        </w:rPr>
        <w:t xml:space="preserve">                       </w:t>
      </w:r>
      <w:r>
        <w:rPr>
          <w:rFonts w:hint="eastAsia" w:ascii="宋体" w:hAnsi="宋体"/>
          <w:bCs/>
          <w:color w:val="auto"/>
          <w:kern w:val="0"/>
          <w:sz w:val="24"/>
          <w:highlight w:val="none"/>
          <w:lang w:val="zh-CN"/>
        </w:rPr>
        <w:t>供应商：             （公章）</w:t>
      </w:r>
    </w:p>
    <w:p w14:paraId="333F86B7">
      <w:pPr>
        <w:autoSpaceDE w:val="0"/>
        <w:autoSpaceDN w:val="0"/>
        <w:spacing w:line="400" w:lineRule="exact"/>
        <w:rPr>
          <w:rFonts w:ascii="宋体" w:hAnsi="宋体"/>
          <w:bCs/>
          <w:color w:val="auto"/>
          <w:kern w:val="0"/>
          <w:sz w:val="24"/>
          <w:highlight w:val="none"/>
          <w:lang w:val="zh-CN"/>
        </w:rPr>
      </w:pPr>
      <w:r>
        <w:rPr>
          <w:rFonts w:hint="eastAsia" w:ascii="宋体" w:hAnsi="宋体"/>
          <w:bCs/>
          <w:color w:val="auto"/>
          <w:kern w:val="0"/>
          <w:sz w:val="24"/>
          <w:highlight w:val="none"/>
          <w:lang w:val="zh-CN"/>
        </w:rPr>
        <w:t xml:space="preserve">                       法定代表人或委托代理人：             （签字）</w:t>
      </w:r>
    </w:p>
    <w:p w14:paraId="040E1416">
      <w:pPr>
        <w:spacing w:line="400" w:lineRule="atLeast"/>
        <w:rPr>
          <w:rFonts w:ascii="宋体" w:hAnsi="宋体"/>
          <w:bCs/>
          <w:color w:val="auto"/>
          <w:kern w:val="0"/>
          <w:sz w:val="24"/>
          <w:highlight w:val="none"/>
          <w:lang w:val="zh-CN"/>
        </w:rPr>
      </w:pPr>
      <w:r>
        <w:rPr>
          <w:rFonts w:hint="eastAsia" w:ascii="宋体" w:hAnsi="宋体"/>
          <w:bCs/>
          <w:color w:val="auto"/>
          <w:kern w:val="0"/>
          <w:sz w:val="24"/>
          <w:highlight w:val="none"/>
          <w:lang w:val="zh-CN"/>
        </w:rPr>
        <w:t xml:space="preserve">                                                年   月   日</w:t>
      </w:r>
    </w:p>
    <w:p w14:paraId="4F6AE8FD">
      <w:pPr>
        <w:spacing w:line="400" w:lineRule="atLeast"/>
        <w:rPr>
          <w:rFonts w:ascii="宋体" w:hAnsi="宋体"/>
          <w:color w:val="auto"/>
          <w:sz w:val="24"/>
          <w:highlight w:val="none"/>
        </w:rPr>
        <w:sectPr>
          <w:footerReference r:id="rId14" w:type="first"/>
          <w:headerReference r:id="rId12" w:type="default"/>
          <w:footerReference r:id="rId13" w:type="default"/>
          <w:pgSz w:w="11907" w:h="16840"/>
          <w:pgMar w:top="1440" w:right="1080" w:bottom="1440" w:left="1080" w:header="794" w:footer="510" w:gutter="0"/>
          <w:cols w:space="720" w:num="1"/>
          <w:titlePg/>
          <w:docGrid w:type="lines" w:linePitch="409" w:charSpace="0"/>
        </w:sectPr>
      </w:pPr>
    </w:p>
    <w:p w14:paraId="1D97DD51">
      <w:pPr>
        <w:tabs>
          <w:tab w:val="left" w:pos="9135"/>
        </w:tabs>
        <w:spacing w:line="400" w:lineRule="atLeast"/>
        <w:jc w:val="center"/>
        <w:rPr>
          <w:rFonts w:ascii="宋体" w:hAnsi="宋体"/>
          <w:color w:val="auto"/>
          <w:sz w:val="24"/>
          <w:highlight w:val="none"/>
        </w:rPr>
      </w:pPr>
      <w:r>
        <w:rPr>
          <w:rFonts w:hint="eastAsia" w:ascii="宋体" w:hAnsi="宋体"/>
          <w:color w:val="auto"/>
          <w:sz w:val="24"/>
          <w:highlight w:val="none"/>
        </w:rPr>
        <w:t>　</w:t>
      </w:r>
    </w:p>
    <w:p w14:paraId="668CBA86">
      <w:pPr>
        <w:tabs>
          <w:tab w:val="left" w:pos="9135"/>
        </w:tabs>
        <w:spacing w:line="400" w:lineRule="atLeast"/>
        <w:rPr>
          <w:rFonts w:ascii="宋体" w:hAnsi="宋体"/>
          <w:color w:val="auto"/>
          <w:sz w:val="24"/>
          <w:highlight w:val="none"/>
        </w:rPr>
      </w:pPr>
    </w:p>
    <w:p w14:paraId="0475ED30">
      <w:pPr>
        <w:tabs>
          <w:tab w:val="left" w:pos="9135"/>
        </w:tabs>
        <w:spacing w:line="400" w:lineRule="atLeast"/>
        <w:jc w:val="center"/>
        <w:rPr>
          <w:rFonts w:ascii="宋体" w:hAnsi="宋体"/>
          <w:color w:val="auto"/>
          <w:sz w:val="24"/>
          <w:highlight w:val="none"/>
        </w:rPr>
      </w:pPr>
      <w:r>
        <w:rPr>
          <w:rFonts w:hint="eastAsia" w:ascii="宋体" w:hAnsi="宋体"/>
          <w:color w:val="auto"/>
          <w:sz w:val="24"/>
          <w:highlight w:val="none"/>
        </w:rPr>
        <w:t>　2、报价表</w:t>
      </w:r>
    </w:p>
    <w:p w14:paraId="17D0FCB7">
      <w:pPr>
        <w:tabs>
          <w:tab w:val="left" w:pos="9135"/>
        </w:tabs>
        <w:spacing w:line="400" w:lineRule="atLeast"/>
        <w:rPr>
          <w:rFonts w:ascii="宋体" w:hAnsi="宋体"/>
          <w:color w:val="auto"/>
          <w:sz w:val="24"/>
          <w:highlight w:val="none"/>
        </w:rPr>
      </w:pPr>
    </w:p>
    <w:p w14:paraId="3F61F59A">
      <w:pPr>
        <w:tabs>
          <w:tab w:val="left" w:pos="9135"/>
        </w:tabs>
        <w:spacing w:line="400" w:lineRule="atLeast"/>
        <w:ind w:firstLine="1440" w:firstLineChars="600"/>
        <w:rPr>
          <w:rFonts w:ascii="宋体" w:hAnsi="宋体"/>
          <w:color w:val="auto"/>
          <w:sz w:val="24"/>
          <w:highlight w:val="none"/>
        </w:rPr>
      </w:pPr>
      <w:r>
        <w:rPr>
          <w:rFonts w:hint="eastAsia" w:ascii="宋体" w:hAnsi="宋体"/>
          <w:color w:val="auto"/>
          <w:sz w:val="24"/>
          <w:highlight w:val="none"/>
        </w:rPr>
        <w:t>供应商名称(公章)：</w:t>
      </w:r>
      <w:r>
        <w:rPr>
          <w:rFonts w:hint="eastAsia" w:ascii="宋体" w:hAnsi="宋体"/>
          <w:color w:val="auto"/>
          <w:sz w:val="24"/>
          <w:highlight w:val="none"/>
          <w:u w:val="single"/>
        </w:rPr>
        <w:t>　　           　　　　　　　　</w:t>
      </w:r>
      <w:r>
        <w:rPr>
          <w:rFonts w:hint="eastAsia" w:ascii="宋体" w:hAnsi="宋体"/>
          <w:color w:val="auto"/>
          <w:sz w:val="24"/>
          <w:highlight w:val="none"/>
        </w:rPr>
        <w:t>项目编号：</w:t>
      </w:r>
      <w:r>
        <w:rPr>
          <w:rFonts w:hint="eastAsia" w:ascii="宋体" w:hAnsi="宋体"/>
          <w:color w:val="auto"/>
          <w:sz w:val="24"/>
          <w:highlight w:val="none"/>
          <w:u w:val="single"/>
        </w:rPr>
        <w:t>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3636"/>
        <w:gridCol w:w="1495"/>
        <w:gridCol w:w="3303"/>
      </w:tblGrid>
      <w:tr w14:paraId="0379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blHeader/>
          <w:jc w:val="center"/>
        </w:trPr>
        <w:tc>
          <w:tcPr>
            <w:tcW w:w="3101" w:type="dxa"/>
            <w:vAlign w:val="center"/>
          </w:tcPr>
          <w:p w14:paraId="5748CF54">
            <w:pPr>
              <w:tabs>
                <w:tab w:val="left" w:pos="9135"/>
              </w:tabs>
              <w:spacing w:line="400" w:lineRule="atLeast"/>
              <w:jc w:val="center"/>
              <w:rPr>
                <w:rFonts w:ascii="宋体" w:hAnsi="宋体"/>
                <w:color w:val="auto"/>
                <w:sz w:val="24"/>
                <w:highlight w:val="none"/>
              </w:rPr>
            </w:pPr>
            <w:r>
              <w:rPr>
                <w:rFonts w:hint="eastAsia" w:ascii="宋体" w:hAnsi="宋体"/>
                <w:color w:val="auto"/>
                <w:sz w:val="24"/>
                <w:highlight w:val="none"/>
              </w:rPr>
              <w:t>项目名称</w:t>
            </w:r>
          </w:p>
        </w:tc>
        <w:tc>
          <w:tcPr>
            <w:tcW w:w="3636" w:type="dxa"/>
            <w:vAlign w:val="center"/>
          </w:tcPr>
          <w:p w14:paraId="164846B5">
            <w:pPr>
              <w:tabs>
                <w:tab w:val="left" w:pos="9135"/>
              </w:tabs>
              <w:spacing w:line="400" w:lineRule="atLeast"/>
              <w:jc w:val="center"/>
              <w:rPr>
                <w:rFonts w:ascii="宋体" w:hAnsi="宋体"/>
                <w:color w:val="auto"/>
                <w:sz w:val="24"/>
                <w:highlight w:val="none"/>
              </w:rPr>
            </w:pPr>
            <w:r>
              <w:rPr>
                <w:rFonts w:hint="eastAsia" w:ascii="宋体" w:hAnsi="宋体"/>
                <w:color w:val="auto"/>
                <w:sz w:val="24"/>
                <w:highlight w:val="none"/>
              </w:rPr>
              <w:t>磋商总价</w:t>
            </w:r>
          </w:p>
          <w:p w14:paraId="322971BE">
            <w:pPr>
              <w:tabs>
                <w:tab w:val="left" w:pos="9135"/>
              </w:tabs>
              <w:spacing w:line="400" w:lineRule="atLeast"/>
              <w:jc w:val="center"/>
              <w:rPr>
                <w:rFonts w:ascii="宋体" w:hAnsi="宋体"/>
                <w:color w:val="auto"/>
                <w:sz w:val="24"/>
                <w:highlight w:val="none"/>
              </w:rPr>
            </w:pPr>
            <w:r>
              <w:rPr>
                <w:rFonts w:hint="eastAsia" w:ascii="宋体" w:hAnsi="宋体"/>
                <w:color w:val="auto"/>
                <w:sz w:val="24"/>
                <w:highlight w:val="none"/>
              </w:rPr>
              <w:t>（万元）</w:t>
            </w:r>
          </w:p>
        </w:tc>
        <w:tc>
          <w:tcPr>
            <w:tcW w:w="1495" w:type="dxa"/>
            <w:vAlign w:val="center"/>
          </w:tcPr>
          <w:p w14:paraId="1CD21DED">
            <w:pPr>
              <w:tabs>
                <w:tab w:val="left" w:pos="9135"/>
              </w:tabs>
              <w:spacing w:line="400" w:lineRule="atLeast"/>
              <w:jc w:val="center"/>
              <w:rPr>
                <w:rFonts w:ascii="宋体" w:hAnsi="宋体"/>
                <w:color w:val="auto"/>
                <w:sz w:val="24"/>
                <w:highlight w:val="none"/>
              </w:rPr>
            </w:pPr>
            <w:r>
              <w:rPr>
                <w:rFonts w:hint="eastAsia" w:ascii="宋体" w:hAnsi="宋体"/>
                <w:color w:val="auto"/>
                <w:sz w:val="24"/>
                <w:highlight w:val="none"/>
              </w:rPr>
              <w:t>服务期限</w:t>
            </w:r>
          </w:p>
        </w:tc>
        <w:tc>
          <w:tcPr>
            <w:tcW w:w="3303" w:type="dxa"/>
            <w:vAlign w:val="center"/>
          </w:tcPr>
          <w:p w14:paraId="0C263F8D">
            <w:pPr>
              <w:tabs>
                <w:tab w:val="left" w:pos="9135"/>
              </w:tabs>
              <w:spacing w:line="400" w:lineRule="atLeast"/>
              <w:jc w:val="center"/>
              <w:rPr>
                <w:rFonts w:ascii="宋体" w:hAnsi="宋体"/>
                <w:color w:val="auto"/>
                <w:sz w:val="24"/>
                <w:highlight w:val="none"/>
              </w:rPr>
            </w:pPr>
            <w:r>
              <w:rPr>
                <w:rFonts w:hint="eastAsia" w:ascii="宋体" w:hAnsi="宋体"/>
                <w:color w:val="auto"/>
                <w:sz w:val="24"/>
                <w:highlight w:val="none"/>
              </w:rPr>
              <w:t>备注</w:t>
            </w:r>
          </w:p>
        </w:tc>
      </w:tr>
      <w:tr w14:paraId="0A5F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101" w:type="dxa"/>
            <w:vAlign w:val="center"/>
          </w:tcPr>
          <w:p w14:paraId="6B2D4CEE">
            <w:pPr>
              <w:spacing w:line="400" w:lineRule="atLeast"/>
              <w:jc w:val="center"/>
              <w:rPr>
                <w:rFonts w:ascii="宋体" w:hAnsi="宋体"/>
                <w:color w:val="auto"/>
                <w:sz w:val="24"/>
                <w:highlight w:val="none"/>
              </w:rPr>
            </w:pPr>
          </w:p>
        </w:tc>
        <w:tc>
          <w:tcPr>
            <w:tcW w:w="3636" w:type="dxa"/>
            <w:vAlign w:val="center"/>
          </w:tcPr>
          <w:p w14:paraId="0CE74463">
            <w:pPr>
              <w:tabs>
                <w:tab w:val="left" w:pos="9135"/>
              </w:tabs>
              <w:spacing w:line="400" w:lineRule="atLeast"/>
              <w:jc w:val="center"/>
              <w:rPr>
                <w:rFonts w:ascii="宋体" w:hAnsi="宋体"/>
                <w:color w:val="auto"/>
                <w:sz w:val="24"/>
                <w:highlight w:val="none"/>
              </w:rPr>
            </w:pPr>
          </w:p>
        </w:tc>
        <w:tc>
          <w:tcPr>
            <w:tcW w:w="1495" w:type="dxa"/>
            <w:vAlign w:val="center"/>
          </w:tcPr>
          <w:p w14:paraId="08D950CC">
            <w:pPr>
              <w:tabs>
                <w:tab w:val="left" w:pos="9135"/>
              </w:tabs>
              <w:spacing w:line="400" w:lineRule="atLeast"/>
              <w:jc w:val="center"/>
              <w:rPr>
                <w:rFonts w:ascii="宋体" w:hAnsi="宋体"/>
                <w:color w:val="auto"/>
                <w:sz w:val="24"/>
                <w:highlight w:val="none"/>
              </w:rPr>
            </w:pPr>
          </w:p>
        </w:tc>
        <w:tc>
          <w:tcPr>
            <w:tcW w:w="3303" w:type="dxa"/>
            <w:vAlign w:val="center"/>
          </w:tcPr>
          <w:p w14:paraId="720170BE">
            <w:pPr>
              <w:tabs>
                <w:tab w:val="left" w:pos="9135"/>
              </w:tabs>
              <w:spacing w:line="400" w:lineRule="atLeast"/>
              <w:jc w:val="center"/>
              <w:rPr>
                <w:rFonts w:ascii="宋体" w:hAnsi="宋体"/>
                <w:color w:val="auto"/>
                <w:sz w:val="24"/>
                <w:highlight w:val="none"/>
              </w:rPr>
            </w:pPr>
          </w:p>
        </w:tc>
      </w:tr>
    </w:tbl>
    <w:p w14:paraId="2BE6AFDE">
      <w:pPr>
        <w:tabs>
          <w:tab w:val="left" w:pos="9135"/>
        </w:tabs>
        <w:spacing w:line="400" w:lineRule="atLeast"/>
        <w:ind w:firstLine="1200" w:firstLineChars="500"/>
        <w:rPr>
          <w:rFonts w:ascii="宋体" w:hAnsi="宋体"/>
          <w:bCs/>
          <w:color w:val="auto"/>
          <w:kern w:val="0"/>
          <w:sz w:val="24"/>
          <w:highlight w:val="none"/>
        </w:rPr>
      </w:pPr>
      <w:r>
        <w:rPr>
          <w:rFonts w:hint="eastAsia" w:ascii="宋体" w:hAnsi="宋体"/>
          <w:bCs/>
          <w:color w:val="auto"/>
          <w:kern w:val="0"/>
          <w:sz w:val="24"/>
          <w:highlight w:val="none"/>
          <w:lang w:val="zh-CN"/>
        </w:rPr>
        <w:t>法定代表人或委托代理人</w:t>
      </w:r>
      <w:r>
        <w:rPr>
          <w:rFonts w:hint="eastAsia" w:ascii="宋体" w:hAnsi="宋体"/>
          <w:color w:val="auto"/>
          <w:sz w:val="24"/>
          <w:highlight w:val="none"/>
        </w:rPr>
        <w:t>：</w:t>
      </w:r>
      <w:r>
        <w:rPr>
          <w:rFonts w:hint="eastAsia" w:ascii="宋体" w:hAnsi="宋体"/>
          <w:color w:val="auto"/>
          <w:sz w:val="24"/>
          <w:highlight w:val="none"/>
          <w:u w:val="single"/>
        </w:rPr>
        <w:t>　　　　　　　　　　　</w:t>
      </w:r>
    </w:p>
    <w:p w14:paraId="354C982E">
      <w:pPr>
        <w:tabs>
          <w:tab w:val="left" w:pos="9135"/>
        </w:tabs>
        <w:spacing w:line="400" w:lineRule="atLeast"/>
        <w:ind w:firstLine="1742" w:firstLineChars="726"/>
        <w:rPr>
          <w:rFonts w:ascii="宋体" w:hAnsi="宋体"/>
          <w:color w:val="auto"/>
          <w:sz w:val="24"/>
          <w:highlight w:val="none"/>
        </w:rPr>
      </w:pPr>
      <w:r>
        <w:rPr>
          <w:rFonts w:hint="eastAsia" w:ascii="宋体" w:hAnsi="宋体"/>
          <w:color w:val="auto"/>
          <w:sz w:val="24"/>
          <w:highlight w:val="none"/>
        </w:rPr>
        <w:t>注：1、折扣条件与折扣声明应在表下注明。</w:t>
      </w:r>
    </w:p>
    <w:p w14:paraId="65617B1F">
      <w:pPr>
        <w:spacing w:line="400" w:lineRule="atLeast"/>
        <w:ind w:firstLine="480" w:firstLineChars="200"/>
        <w:rPr>
          <w:rFonts w:ascii="宋体" w:hAnsi="宋体"/>
          <w:color w:val="auto"/>
          <w:sz w:val="24"/>
          <w:highlight w:val="none"/>
        </w:rPr>
        <w:sectPr>
          <w:pgSz w:w="16838" w:h="11906" w:orient="landscape"/>
          <w:pgMar w:top="720" w:right="720" w:bottom="720" w:left="720" w:header="851" w:footer="992" w:gutter="0"/>
          <w:cols w:space="720" w:num="1"/>
          <w:docGrid w:type="linesAndChars" w:linePitch="312" w:charSpace="0"/>
        </w:sectPr>
      </w:pPr>
    </w:p>
    <w:p w14:paraId="63E287F4">
      <w:pPr>
        <w:spacing w:line="400" w:lineRule="atLeast"/>
        <w:ind w:left="2880" w:hanging="2880"/>
        <w:jc w:val="center"/>
        <w:rPr>
          <w:rFonts w:ascii="宋体" w:hAnsi="宋体"/>
          <w:color w:val="auto"/>
          <w:sz w:val="24"/>
          <w:highlight w:val="none"/>
        </w:rPr>
      </w:pPr>
      <w:bookmarkStart w:id="251" w:name="_Toc277841205"/>
      <w:r>
        <w:rPr>
          <w:rFonts w:hint="eastAsia" w:ascii="宋体" w:hAnsi="宋体"/>
          <w:color w:val="auto"/>
          <w:sz w:val="24"/>
          <w:highlight w:val="none"/>
        </w:rPr>
        <w:t>3、分项报价表</w:t>
      </w:r>
      <w:bookmarkEnd w:id="251"/>
    </w:p>
    <w:p w14:paraId="7C108B78">
      <w:pPr>
        <w:spacing w:line="400" w:lineRule="atLeast"/>
        <w:rPr>
          <w:rFonts w:ascii="宋体" w:hAnsi="宋体"/>
          <w:color w:val="auto"/>
          <w:sz w:val="24"/>
          <w:highlight w:val="none"/>
        </w:rPr>
      </w:pPr>
    </w:p>
    <w:p w14:paraId="69154F5E">
      <w:pPr>
        <w:spacing w:line="400" w:lineRule="atLeast"/>
        <w:rPr>
          <w:rFonts w:ascii="宋体" w:hAnsi="宋体"/>
          <w:color w:val="auto"/>
          <w:sz w:val="24"/>
          <w:highlight w:val="none"/>
        </w:rPr>
      </w:pPr>
      <w:r>
        <w:rPr>
          <w:rFonts w:hint="eastAsia" w:ascii="宋体" w:hAnsi="宋体"/>
          <w:color w:val="auto"/>
          <w:sz w:val="24"/>
          <w:highlight w:val="none"/>
        </w:rPr>
        <w:t>供应商名称（公章）：</w:t>
      </w:r>
      <w:r>
        <w:rPr>
          <w:rFonts w:hint="eastAsia" w:ascii="宋体" w:hAnsi="宋体"/>
          <w:color w:val="auto"/>
          <w:sz w:val="24"/>
          <w:highlight w:val="none"/>
          <w:u w:val="single"/>
        </w:rPr>
        <w:t xml:space="preserve">         　</w:t>
      </w:r>
      <w:r>
        <w:rPr>
          <w:rFonts w:hint="eastAsia" w:ascii="宋体" w:hAnsi="宋体"/>
          <w:color w:val="auto"/>
          <w:sz w:val="24"/>
          <w:highlight w:val="none"/>
        </w:rPr>
        <w:t>项目编号/包号：</w:t>
      </w:r>
      <w:r>
        <w:rPr>
          <w:rFonts w:hint="eastAsia" w:ascii="宋体" w:hAnsi="宋体"/>
          <w:color w:val="auto"/>
          <w:sz w:val="24"/>
          <w:highlight w:val="none"/>
          <w:u w:val="single"/>
        </w:rPr>
        <w:t xml:space="preserve">　　　　　　　　 </w:t>
      </w:r>
    </w:p>
    <w:tbl>
      <w:tblPr>
        <w:tblStyle w:val="11"/>
        <w:tblW w:w="9999" w:type="dxa"/>
        <w:jc w:val="center"/>
        <w:tblLayout w:type="fixed"/>
        <w:tblCellMar>
          <w:top w:w="0" w:type="dxa"/>
          <w:left w:w="28" w:type="dxa"/>
          <w:bottom w:w="0" w:type="dxa"/>
          <w:right w:w="28" w:type="dxa"/>
        </w:tblCellMar>
      </w:tblPr>
      <w:tblGrid>
        <w:gridCol w:w="1924"/>
        <w:gridCol w:w="1517"/>
        <w:gridCol w:w="631"/>
        <w:gridCol w:w="992"/>
        <w:gridCol w:w="1391"/>
        <w:gridCol w:w="1701"/>
        <w:gridCol w:w="1843"/>
      </w:tblGrid>
      <w:tr w14:paraId="1D2C8761">
        <w:tblPrEx>
          <w:tblCellMar>
            <w:top w:w="0" w:type="dxa"/>
            <w:left w:w="28" w:type="dxa"/>
            <w:bottom w:w="0" w:type="dxa"/>
            <w:right w:w="28" w:type="dxa"/>
          </w:tblCellMar>
        </w:tblPrEx>
        <w:trPr>
          <w:trHeight w:val="529" w:hRule="atLeast"/>
          <w:jc w:val="center"/>
        </w:trPr>
        <w:tc>
          <w:tcPr>
            <w:tcW w:w="1924"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26E718D8">
            <w:pPr>
              <w:autoSpaceDE w:val="0"/>
              <w:autoSpaceDN w:val="0"/>
              <w:spacing w:before="100" w:after="100" w:line="400" w:lineRule="exact"/>
              <w:jc w:val="center"/>
              <w:rPr>
                <w:rFonts w:ascii="宋体" w:hAnsi="宋体"/>
                <w:color w:val="auto"/>
                <w:kern w:val="0"/>
                <w:sz w:val="24"/>
                <w:highlight w:val="none"/>
                <w:lang w:val="zh-CN"/>
              </w:rPr>
            </w:pPr>
            <w:r>
              <w:rPr>
                <w:rFonts w:hint="eastAsia" w:ascii="宋体" w:hAnsi="宋体"/>
                <w:color w:val="auto"/>
                <w:kern w:val="0"/>
                <w:sz w:val="24"/>
                <w:highlight w:val="none"/>
                <w:lang w:val="zh-CN"/>
              </w:rPr>
              <w:t>序号</w:t>
            </w:r>
          </w:p>
        </w:tc>
        <w:tc>
          <w:tcPr>
            <w:tcW w:w="2148" w:type="dxa"/>
            <w:gridSpan w:val="2"/>
            <w:tcBorders>
              <w:top w:val="single" w:color="000000" w:sz="8" w:space="0"/>
              <w:left w:val="single" w:color="000000" w:sz="6" w:space="0"/>
              <w:bottom w:val="single" w:color="000000" w:sz="6" w:space="0"/>
              <w:right w:val="single" w:color="000000" w:sz="6" w:space="0"/>
            </w:tcBorders>
            <w:shd w:val="clear" w:color="000000" w:fill="FFFFFF"/>
            <w:vAlign w:val="center"/>
          </w:tcPr>
          <w:p w14:paraId="2A99A161">
            <w:pPr>
              <w:autoSpaceDE w:val="0"/>
              <w:autoSpaceDN w:val="0"/>
              <w:spacing w:before="100" w:after="100" w:line="400" w:lineRule="exact"/>
              <w:jc w:val="center"/>
              <w:rPr>
                <w:rFonts w:ascii="宋体" w:hAnsi="宋体"/>
                <w:color w:val="auto"/>
                <w:kern w:val="0"/>
                <w:sz w:val="24"/>
                <w:highlight w:val="none"/>
                <w:lang w:val="zh-CN"/>
              </w:rPr>
            </w:pPr>
            <w:r>
              <w:rPr>
                <w:rFonts w:hint="eastAsia" w:ascii="宋体" w:hAnsi="宋体"/>
                <w:color w:val="auto"/>
                <w:kern w:val="0"/>
                <w:sz w:val="24"/>
                <w:highlight w:val="none"/>
                <w:lang w:val="zh-CN"/>
              </w:rPr>
              <w:t>项目名称</w:t>
            </w:r>
          </w:p>
        </w:tc>
        <w:tc>
          <w:tcPr>
            <w:tcW w:w="992"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EF80F1A">
            <w:pPr>
              <w:autoSpaceDE w:val="0"/>
              <w:autoSpaceDN w:val="0"/>
              <w:spacing w:before="100" w:after="100" w:line="400" w:lineRule="exact"/>
              <w:jc w:val="center"/>
              <w:rPr>
                <w:rFonts w:ascii="宋体" w:hAnsi="宋体"/>
                <w:color w:val="auto"/>
                <w:kern w:val="0"/>
                <w:sz w:val="24"/>
                <w:highlight w:val="none"/>
              </w:rPr>
            </w:pPr>
            <w:r>
              <w:rPr>
                <w:rFonts w:hint="eastAsia" w:ascii="宋体" w:hAnsi="宋体"/>
                <w:color w:val="auto"/>
                <w:kern w:val="0"/>
                <w:sz w:val="24"/>
                <w:highlight w:val="none"/>
              </w:rPr>
              <w:t>数量</w:t>
            </w:r>
          </w:p>
        </w:tc>
        <w:tc>
          <w:tcPr>
            <w:tcW w:w="1391" w:type="dxa"/>
            <w:tcBorders>
              <w:top w:val="single" w:color="000000" w:sz="8" w:space="0"/>
              <w:left w:val="single" w:color="000000" w:sz="6" w:space="0"/>
              <w:bottom w:val="single" w:color="000000" w:sz="6" w:space="0"/>
              <w:right w:val="single" w:color="000000" w:sz="6" w:space="0"/>
            </w:tcBorders>
            <w:shd w:val="clear" w:color="000000" w:fill="FFFFFF"/>
          </w:tcPr>
          <w:p w14:paraId="3BC7A0DB">
            <w:pPr>
              <w:autoSpaceDE w:val="0"/>
              <w:autoSpaceDN w:val="0"/>
              <w:spacing w:before="100" w:after="100" w:line="400" w:lineRule="exact"/>
              <w:jc w:val="center"/>
              <w:rPr>
                <w:rFonts w:ascii="宋体" w:hAnsi="宋体"/>
                <w:color w:val="auto"/>
                <w:kern w:val="0"/>
                <w:sz w:val="24"/>
                <w:highlight w:val="none"/>
                <w:lang w:val="zh-CN"/>
              </w:rPr>
            </w:pPr>
            <w:r>
              <w:rPr>
                <w:rFonts w:hint="eastAsia" w:ascii="宋体" w:hAnsi="宋体"/>
                <w:color w:val="auto"/>
                <w:kern w:val="0"/>
                <w:sz w:val="24"/>
                <w:highlight w:val="none"/>
                <w:lang w:val="zh-CN"/>
              </w:rPr>
              <w:t>金额</w:t>
            </w:r>
          </w:p>
        </w:tc>
        <w:tc>
          <w:tcPr>
            <w:tcW w:w="1701"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186D227">
            <w:pPr>
              <w:autoSpaceDE w:val="0"/>
              <w:autoSpaceDN w:val="0"/>
              <w:spacing w:before="100" w:after="100" w:line="400" w:lineRule="exact"/>
              <w:jc w:val="center"/>
              <w:rPr>
                <w:rFonts w:ascii="宋体" w:hAnsi="宋体"/>
                <w:color w:val="auto"/>
                <w:kern w:val="0"/>
                <w:sz w:val="24"/>
                <w:highlight w:val="none"/>
                <w:lang w:val="zh-CN"/>
              </w:rPr>
            </w:pPr>
            <w:r>
              <w:rPr>
                <w:rFonts w:hint="eastAsia" w:ascii="宋体" w:hAnsi="宋体"/>
                <w:color w:val="auto"/>
                <w:kern w:val="0"/>
                <w:sz w:val="24"/>
                <w:highlight w:val="none"/>
                <w:lang w:val="zh-CN"/>
              </w:rPr>
              <w:t>合计</w:t>
            </w:r>
          </w:p>
        </w:tc>
        <w:tc>
          <w:tcPr>
            <w:tcW w:w="1843"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24D62B83">
            <w:pPr>
              <w:autoSpaceDE w:val="0"/>
              <w:autoSpaceDN w:val="0"/>
              <w:spacing w:before="100" w:after="100" w:line="400" w:lineRule="exact"/>
              <w:jc w:val="center"/>
              <w:rPr>
                <w:rFonts w:ascii="宋体" w:hAnsi="宋体"/>
                <w:color w:val="auto"/>
                <w:kern w:val="0"/>
                <w:sz w:val="24"/>
                <w:highlight w:val="none"/>
                <w:lang w:val="zh-CN"/>
              </w:rPr>
            </w:pPr>
            <w:r>
              <w:rPr>
                <w:rFonts w:hint="eastAsia" w:ascii="宋体" w:hAnsi="宋体"/>
                <w:color w:val="auto"/>
                <w:kern w:val="0"/>
                <w:sz w:val="24"/>
                <w:highlight w:val="none"/>
                <w:lang w:val="zh-CN"/>
              </w:rPr>
              <w:t>备注</w:t>
            </w:r>
          </w:p>
        </w:tc>
      </w:tr>
      <w:tr w14:paraId="63D86819">
        <w:tblPrEx>
          <w:tblCellMar>
            <w:top w:w="0" w:type="dxa"/>
            <w:left w:w="28" w:type="dxa"/>
            <w:bottom w:w="0" w:type="dxa"/>
            <w:right w:w="28" w:type="dxa"/>
          </w:tblCellMar>
        </w:tblPrEx>
        <w:trPr>
          <w:trHeight w:val="529" w:hRule="atLeast"/>
          <w:jc w:val="center"/>
        </w:trPr>
        <w:tc>
          <w:tcPr>
            <w:tcW w:w="192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04E963A">
            <w:pPr>
              <w:autoSpaceDE w:val="0"/>
              <w:autoSpaceDN w:val="0"/>
              <w:spacing w:before="100" w:after="100" w:line="400" w:lineRule="exact"/>
              <w:ind w:firstLine="199"/>
              <w:jc w:val="center"/>
              <w:rPr>
                <w:rFonts w:ascii="宋体" w:hAnsi="宋体"/>
                <w:color w:val="auto"/>
                <w:kern w:val="0"/>
                <w:sz w:val="24"/>
                <w:highlight w:val="none"/>
                <w:lang w:val="zh-CN"/>
              </w:rPr>
            </w:pPr>
            <w:r>
              <w:rPr>
                <w:rFonts w:hint="eastAsia" w:ascii="宋体" w:hAnsi="宋体"/>
                <w:color w:val="auto"/>
                <w:kern w:val="0"/>
                <w:sz w:val="24"/>
                <w:highlight w:val="none"/>
                <w:lang w:val="zh-CN"/>
              </w:rPr>
              <w:t>1</w:t>
            </w:r>
          </w:p>
        </w:tc>
        <w:tc>
          <w:tcPr>
            <w:tcW w:w="2148"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07D9C0D2">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CE7879">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c>
          <w:tcPr>
            <w:tcW w:w="1391" w:type="dxa"/>
            <w:tcBorders>
              <w:top w:val="single" w:color="000000" w:sz="6" w:space="0"/>
              <w:left w:val="single" w:color="000000" w:sz="6" w:space="0"/>
              <w:bottom w:val="single" w:color="000000" w:sz="6" w:space="0"/>
              <w:right w:val="single" w:color="000000" w:sz="6" w:space="0"/>
            </w:tcBorders>
            <w:shd w:val="clear" w:color="000000" w:fill="FFFFFF"/>
          </w:tcPr>
          <w:p w14:paraId="06B26A78">
            <w:pPr>
              <w:autoSpaceDE w:val="0"/>
              <w:autoSpaceDN w:val="0"/>
              <w:spacing w:before="100" w:after="100" w:line="400" w:lineRule="exact"/>
              <w:ind w:firstLine="480"/>
              <w:jc w:val="center"/>
              <w:rPr>
                <w:rFonts w:ascii="宋体" w:hAnsi="宋体"/>
                <w:color w:val="auto"/>
                <w:kern w:val="0"/>
                <w:sz w:val="22"/>
                <w:szCs w:val="22"/>
                <w:highlight w:val="none"/>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EE7A4D">
            <w:pPr>
              <w:autoSpaceDE w:val="0"/>
              <w:autoSpaceDN w:val="0"/>
              <w:spacing w:before="100" w:after="100" w:line="400" w:lineRule="exact"/>
              <w:ind w:firstLine="480"/>
              <w:jc w:val="center"/>
              <w:rPr>
                <w:rFonts w:ascii="宋体" w:hAnsi="宋体"/>
                <w:color w:val="auto"/>
                <w:kern w:val="0"/>
                <w:sz w:val="22"/>
                <w:szCs w:val="22"/>
                <w:highlight w:val="none"/>
                <w:lang w:val="zh-CN"/>
              </w:rPr>
            </w:pPr>
          </w:p>
        </w:tc>
        <w:tc>
          <w:tcPr>
            <w:tcW w:w="18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4578B5C">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r>
      <w:tr w14:paraId="38CEC9F1">
        <w:tblPrEx>
          <w:tblCellMar>
            <w:top w:w="0" w:type="dxa"/>
            <w:left w:w="28" w:type="dxa"/>
            <w:bottom w:w="0" w:type="dxa"/>
            <w:right w:w="28" w:type="dxa"/>
          </w:tblCellMar>
        </w:tblPrEx>
        <w:trPr>
          <w:trHeight w:val="529" w:hRule="atLeast"/>
          <w:jc w:val="center"/>
        </w:trPr>
        <w:tc>
          <w:tcPr>
            <w:tcW w:w="192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56ABA91">
            <w:pPr>
              <w:autoSpaceDE w:val="0"/>
              <w:autoSpaceDN w:val="0"/>
              <w:spacing w:before="100" w:after="100" w:line="400" w:lineRule="exact"/>
              <w:ind w:firstLine="199"/>
              <w:jc w:val="center"/>
              <w:rPr>
                <w:rFonts w:ascii="宋体" w:hAnsi="宋体"/>
                <w:color w:val="auto"/>
                <w:kern w:val="0"/>
                <w:sz w:val="24"/>
                <w:highlight w:val="none"/>
                <w:lang w:val="zh-CN"/>
              </w:rPr>
            </w:pPr>
            <w:r>
              <w:rPr>
                <w:rFonts w:hint="eastAsia" w:ascii="宋体" w:hAnsi="宋体"/>
                <w:color w:val="auto"/>
                <w:kern w:val="0"/>
                <w:sz w:val="24"/>
                <w:highlight w:val="none"/>
                <w:lang w:val="zh-CN"/>
              </w:rPr>
              <w:t>2</w:t>
            </w:r>
          </w:p>
        </w:tc>
        <w:tc>
          <w:tcPr>
            <w:tcW w:w="2148"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025F7F64">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01776B">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c>
          <w:tcPr>
            <w:tcW w:w="1391" w:type="dxa"/>
            <w:tcBorders>
              <w:top w:val="single" w:color="000000" w:sz="6" w:space="0"/>
              <w:left w:val="single" w:color="000000" w:sz="6" w:space="0"/>
              <w:bottom w:val="single" w:color="000000" w:sz="6" w:space="0"/>
              <w:right w:val="single" w:color="000000" w:sz="6" w:space="0"/>
            </w:tcBorders>
            <w:shd w:val="clear" w:color="000000" w:fill="FFFFFF"/>
          </w:tcPr>
          <w:p w14:paraId="5B182316">
            <w:pPr>
              <w:autoSpaceDE w:val="0"/>
              <w:autoSpaceDN w:val="0"/>
              <w:spacing w:before="100" w:after="100" w:line="400" w:lineRule="exact"/>
              <w:rPr>
                <w:rFonts w:ascii="宋体" w:hAnsi="宋体"/>
                <w:color w:val="auto"/>
                <w:kern w:val="0"/>
                <w:sz w:val="24"/>
                <w:highlight w:val="none"/>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923761">
            <w:pPr>
              <w:autoSpaceDE w:val="0"/>
              <w:autoSpaceDN w:val="0"/>
              <w:spacing w:before="100" w:after="100" w:line="400" w:lineRule="exact"/>
              <w:rPr>
                <w:rFonts w:ascii="宋体" w:hAnsi="宋体"/>
                <w:color w:val="auto"/>
                <w:kern w:val="0"/>
                <w:sz w:val="24"/>
                <w:highlight w:val="none"/>
                <w:lang w:val="zh-CN"/>
              </w:rPr>
            </w:pPr>
            <w:r>
              <w:rPr>
                <w:rFonts w:hint="eastAsia" w:ascii="宋体" w:hAnsi="宋体"/>
                <w:color w:val="auto"/>
                <w:kern w:val="0"/>
                <w:sz w:val="24"/>
                <w:highlight w:val="none"/>
                <w:lang w:val="zh-CN"/>
              </w:rPr>
              <w:t xml:space="preserve">    </w:t>
            </w:r>
          </w:p>
        </w:tc>
        <w:tc>
          <w:tcPr>
            <w:tcW w:w="18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7B22786">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r>
      <w:tr w14:paraId="1132A78B">
        <w:tblPrEx>
          <w:tblCellMar>
            <w:top w:w="0" w:type="dxa"/>
            <w:left w:w="28" w:type="dxa"/>
            <w:bottom w:w="0" w:type="dxa"/>
            <w:right w:w="28" w:type="dxa"/>
          </w:tblCellMar>
        </w:tblPrEx>
        <w:trPr>
          <w:trHeight w:val="529" w:hRule="atLeast"/>
          <w:jc w:val="center"/>
        </w:trPr>
        <w:tc>
          <w:tcPr>
            <w:tcW w:w="192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1CB22E88">
            <w:pPr>
              <w:autoSpaceDE w:val="0"/>
              <w:autoSpaceDN w:val="0"/>
              <w:spacing w:before="100" w:after="100" w:line="400" w:lineRule="exact"/>
              <w:ind w:firstLine="199"/>
              <w:jc w:val="center"/>
              <w:rPr>
                <w:rFonts w:ascii="宋体" w:hAnsi="宋体"/>
                <w:color w:val="auto"/>
                <w:kern w:val="0"/>
                <w:sz w:val="24"/>
                <w:highlight w:val="none"/>
                <w:lang w:val="zh-CN"/>
              </w:rPr>
            </w:pPr>
            <w:r>
              <w:rPr>
                <w:rFonts w:hint="eastAsia" w:ascii="宋体" w:hAnsi="宋体"/>
                <w:color w:val="auto"/>
                <w:kern w:val="0"/>
                <w:sz w:val="24"/>
                <w:highlight w:val="none"/>
                <w:lang w:val="zh-CN"/>
              </w:rPr>
              <w:t>3</w:t>
            </w:r>
          </w:p>
        </w:tc>
        <w:tc>
          <w:tcPr>
            <w:tcW w:w="2148"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02ABF53D">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D241BD">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c>
          <w:tcPr>
            <w:tcW w:w="1391" w:type="dxa"/>
            <w:tcBorders>
              <w:top w:val="single" w:color="000000" w:sz="6" w:space="0"/>
              <w:left w:val="single" w:color="000000" w:sz="6" w:space="0"/>
              <w:bottom w:val="single" w:color="000000" w:sz="6" w:space="0"/>
              <w:right w:val="single" w:color="000000" w:sz="6" w:space="0"/>
            </w:tcBorders>
            <w:shd w:val="clear" w:color="000000" w:fill="FFFFFF"/>
          </w:tcPr>
          <w:p w14:paraId="17B5BD71">
            <w:pPr>
              <w:autoSpaceDE w:val="0"/>
              <w:autoSpaceDN w:val="0"/>
              <w:spacing w:before="100" w:after="100" w:line="400" w:lineRule="exact"/>
              <w:ind w:firstLine="480"/>
              <w:jc w:val="center"/>
              <w:rPr>
                <w:rFonts w:ascii="宋体" w:hAnsi="宋体"/>
                <w:color w:val="auto"/>
                <w:kern w:val="0"/>
                <w:sz w:val="24"/>
                <w:highlight w:val="none"/>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BF13BC">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c>
          <w:tcPr>
            <w:tcW w:w="18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41855F62">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r>
      <w:tr w14:paraId="03689014">
        <w:tblPrEx>
          <w:tblCellMar>
            <w:top w:w="0" w:type="dxa"/>
            <w:left w:w="28" w:type="dxa"/>
            <w:bottom w:w="0" w:type="dxa"/>
            <w:right w:w="28" w:type="dxa"/>
          </w:tblCellMar>
        </w:tblPrEx>
        <w:trPr>
          <w:trHeight w:val="529" w:hRule="atLeast"/>
          <w:jc w:val="center"/>
        </w:trPr>
        <w:tc>
          <w:tcPr>
            <w:tcW w:w="192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F77A953">
            <w:pPr>
              <w:autoSpaceDE w:val="0"/>
              <w:autoSpaceDN w:val="0"/>
              <w:spacing w:before="100" w:after="100" w:line="400" w:lineRule="exact"/>
              <w:ind w:firstLine="199"/>
              <w:jc w:val="center"/>
              <w:rPr>
                <w:rFonts w:ascii="宋体" w:hAnsi="宋体"/>
                <w:color w:val="auto"/>
                <w:kern w:val="0"/>
                <w:sz w:val="24"/>
                <w:highlight w:val="none"/>
                <w:lang w:val="zh-CN"/>
              </w:rPr>
            </w:pPr>
            <w:r>
              <w:rPr>
                <w:rFonts w:hint="eastAsia" w:ascii="宋体" w:hAnsi="宋体"/>
                <w:color w:val="auto"/>
                <w:kern w:val="0"/>
                <w:sz w:val="24"/>
                <w:highlight w:val="none"/>
                <w:lang w:val="zh-CN"/>
              </w:rPr>
              <w:t>4</w:t>
            </w:r>
          </w:p>
        </w:tc>
        <w:tc>
          <w:tcPr>
            <w:tcW w:w="2148"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05BE7193">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8547B2">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c>
          <w:tcPr>
            <w:tcW w:w="1391" w:type="dxa"/>
            <w:tcBorders>
              <w:top w:val="single" w:color="000000" w:sz="6" w:space="0"/>
              <w:left w:val="single" w:color="000000" w:sz="6" w:space="0"/>
              <w:bottom w:val="single" w:color="000000" w:sz="6" w:space="0"/>
              <w:right w:val="single" w:color="000000" w:sz="6" w:space="0"/>
            </w:tcBorders>
            <w:shd w:val="clear" w:color="000000" w:fill="FFFFFF"/>
          </w:tcPr>
          <w:p w14:paraId="75C20552">
            <w:pPr>
              <w:autoSpaceDE w:val="0"/>
              <w:autoSpaceDN w:val="0"/>
              <w:spacing w:before="100" w:after="100" w:line="400" w:lineRule="exact"/>
              <w:ind w:firstLine="480"/>
              <w:jc w:val="center"/>
              <w:rPr>
                <w:rFonts w:ascii="宋体" w:hAnsi="宋体"/>
                <w:color w:val="auto"/>
                <w:kern w:val="0"/>
                <w:sz w:val="24"/>
                <w:highlight w:val="none"/>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BCBFED">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c>
          <w:tcPr>
            <w:tcW w:w="18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1A4DEC9">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r>
      <w:tr w14:paraId="767117F3">
        <w:tblPrEx>
          <w:tblCellMar>
            <w:top w:w="0" w:type="dxa"/>
            <w:left w:w="28" w:type="dxa"/>
            <w:bottom w:w="0" w:type="dxa"/>
            <w:right w:w="28" w:type="dxa"/>
          </w:tblCellMar>
        </w:tblPrEx>
        <w:trPr>
          <w:trHeight w:val="529" w:hRule="atLeast"/>
          <w:jc w:val="center"/>
        </w:trPr>
        <w:tc>
          <w:tcPr>
            <w:tcW w:w="1924"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D2EAA65">
            <w:pPr>
              <w:autoSpaceDE w:val="0"/>
              <w:autoSpaceDN w:val="0"/>
              <w:spacing w:before="100" w:after="100" w:line="400" w:lineRule="exact"/>
              <w:ind w:firstLine="199"/>
              <w:jc w:val="center"/>
              <w:rPr>
                <w:rFonts w:ascii="宋体" w:hAnsi="宋体"/>
                <w:color w:val="auto"/>
                <w:kern w:val="0"/>
                <w:sz w:val="24"/>
                <w:highlight w:val="none"/>
                <w:lang w:val="zh-CN"/>
              </w:rPr>
            </w:pPr>
            <w:r>
              <w:rPr>
                <w:rFonts w:hint="eastAsia" w:ascii="宋体" w:hAnsi="宋体"/>
                <w:color w:val="auto"/>
                <w:kern w:val="0"/>
                <w:sz w:val="24"/>
                <w:highlight w:val="none"/>
                <w:lang w:val="zh-CN"/>
              </w:rPr>
              <w:t>…</w:t>
            </w:r>
          </w:p>
        </w:tc>
        <w:tc>
          <w:tcPr>
            <w:tcW w:w="2148"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3027D990">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1B01FE">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c>
          <w:tcPr>
            <w:tcW w:w="1391" w:type="dxa"/>
            <w:tcBorders>
              <w:top w:val="single" w:color="000000" w:sz="6" w:space="0"/>
              <w:left w:val="single" w:color="000000" w:sz="6" w:space="0"/>
              <w:bottom w:val="single" w:color="000000" w:sz="6" w:space="0"/>
              <w:right w:val="single" w:color="000000" w:sz="6" w:space="0"/>
            </w:tcBorders>
            <w:shd w:val="clear" w:color="000000" w:fill="FFFFFF"/>
          </w:tcPr>
          <w:p w14:paraId="5601EC95">
            <w:pPr>
              <w:autoSpaceDE w:val="0"/>
              <w:autoSpaceDN w:val="0"/>
              <w:spacing w:before="100" w:after="100" w:line="400" w:lineRule="exact"/>
              <w:ind w:firstLine="480"/>
              <w:jc w:val="center"/>
              <w:rPr>
                <w:rFonts w:ascii="宋体" w:hAnsi="宋体"/>
                <w:color w:val="auto"/>
                <w:kern w:val="0"/>
                <w:sz w:val="24"/>
                <w:highlight w:val="none"/>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8C58D1">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c>
          <w:tcPr>
            <w:tcW w:w="18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4DC2D90B">
            <w:pPr>
              <w:autoSpaceDE w:val="0"/>
              <w:autoSpaceDN w:val="0"/>
              <w:spacing w:before="100" w:after="100" w:line="400" w:lineRule="exact"/>
              <w:ind w:firstLine="480"/>
              <w:jc w:val="center"/>
              <w:rPr>
                <w:rFonts w:ascii="宋体" w:hAnsi="宋体"/>
                <w:color w:val="auto"/>
                <w:kern w:val="0"/>
                <w:sz w:val="24"/>
                <w:highlight w:val="none"/>
                <w:lang w:val="zh-CN"/>
              </w:rPr>
            </w:pPr>
            <w:r>
              <w:rPr>
                <w:rFonts w:hint="eastAsia" w:ascii="宋体" w:hAnsi="宋体"/>
                <w:color w:val="auto"/>
                <w:kern w:val="0"/>
                <w:sz w:val="24"/>
                <w:highlight w:val="none"/>
                <w:lang w:val="zh-CN"/>
              </w:rPr>
              <w:t> </w:t>
            </w:r>
          </w:p>
        </w:tc>
      </w:tr>
      <w:tr w14:paraId="5AA92F42">
        <w:tblPrEx>
          <w:tblCellMar>
            <w:top w:w="0" w:type="dxa"/>
            <w:left w:w="28" w:type="dxa"/>
            <w:bottom w:w="0" w:type="dxa"/>
            <w:right w:w="28" w:type="dxa"/>
          </w:tblCellMar>
        </w:tblPrEx>
        <w:trPr>
          <w:trHeight w:val="1067" w:hRule="atLeast"/>
          <w:jc w:val="center"/>
        </w:trPr>
        <w:tc>
          <w:tcPr>
            <w:tcW w:w="9999" w:type="dxa"/>
            <w:gridSpan w:val="7"/>
            <w:tcBorders>
              <w:top w:val="single" w:color="000000" w:sz="6" w:space="0"/>
              <w:left w:val="single" w:color="000000" w:sz="8" w:space="0"/>
              <w:bottom w:val="single" w:color="000000" w:sz="6" w:space="0"/>
              <w:right w:val="single" w:color="000000" w:sz="8" w:space="0"/>
            </w:tcBorders>
            <w:shd w:val="clear" w:color="000000" w:fill="FFFFFF"/>
          </w:tcPr>
          <w:p w14:paraId="2B3D3297">
            <w:pPr>
              <w:autoSpaceDE w:val="0"/>
              <w:autoSpaceDN w:val="0"/>
              <w:spacing w:before="100" w:after="100" w:line="400" w:lineRule="exact"/>
              <w:jc w:val="left"/>
              <w:rPr>
                <w:rFonts w:ascii="宋体" w:hAnsi="宋体"/>
                <w:color w:val="auto"/>
                <w:kern w:val="0"/>
                <w:sz w:val="24"/>
                <w:highlight w:val="none"/>
                <w:lang w:val="zh-CN"/>
              </w:rPr>
            </w:pPr>
            <w:r>
              <w:rPr>
                <w:rFonts w:hint="eastAsia" w:ascii="宋体" w:hAnsi="宋体"/>
                <w:color w:val="auto"/>
                <w:kern w:val="0"/>
                <w:sz w:val="24"/>
                <w:highlight w:val="none"/>
                <w:lang w:val="zh-CN"/>
              </w:rPr>
              <w:t>优惠承诺及其他：</w:t>
            </w:r>
          </w:p>
          <w:p w14:paraId="1710C8AC">
            <w:pPr>
              <w:autoSpaceDE w:val="0"/>
              <w:autoSpaceDN w:val="0"/>
              <w:spacing w:before="100" w:after="100" w:line="400" w:lineRule="exact"/>
              <w:ind w:firstLine="480"/>
              <w:jc w:val="left"/>
              <w:rPr>
                <w:rFonts w:ascii="宋体" w:hAnsi="宋体"/>
                <w:color w:val="auto"/>
                <w:kern w:val="0"/>
                <w:sz w:val="24"/>
                <w:highlight w:val="none"/>
                <w:lang w:val="zh-CN"/>
              </w:rPr>
            </w:pPr>
            <w:r>
              <w:rPr>
                <w:rFonts w:hint="eastAsia" w:ascii="宋体" w:hAnsi="宋体"/>
                <w:color w:val="auto"/>
                <w:kern w:val="0"/>
                <w:sz w:val="24"/>
                <w:highlight w:val="none"/>
                <w:lang w:val="zh-CN"/>
              </w:rPr>
              <w:t> </w:t>
            </w:r>
          </w:p>
        </w:tc>
      </w:tr>
      <w:tr w14:paraId="7084DB52">
        <w:tblPrEx>
          <w:tblCellMar>
            <w:top w:w="0" w:type="dxa"/>
            <w:left w:w="28" w:type="dxa"/>
            <w:bottom w:w="0" w:type="dxa"/>
            <w:right w:w="28" w:type="dxa"/>
          </w:tblCellMar>
        </w:tblPrEx>
        <w:trPr>
          <w:trHeight w:val="529" w:hRule="atLeast"/>
          <w:jc w:val="center"/>
        </w:trPr>
        <w:tc>
          <w:tcPr>
            <w:tcW w:w="3441"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5C01FBA9">
            <w:pPr>
              <w:autoSpaceDE w:val="0"/>
              <w:autoSpaceDN w:val="0"/>
              <w:spacing w:before="100" w:after="100" w:line="400" w:lineRule="exact"/>
              <w:ind w:firstLine="480"/>
              <w:jc w:val="left"/>
              <w:rPr>
                <w:rFonts w:ascii="宋体" w:hAnsi="宋体"/>
                <w:color w:val="auto"/>
                <w:kern w:val="0"/>
                <w:sz w:val="24"/>
                <w:highlight w:val="none"/>
                <w:lang w:val="zh-CN"/>
              </w:rPr>
            </w:pPr>
            <w:r>
              <w:rPr>
                <w:rFonts w:hint="eastAsia" w:ascii="宋体" w:hAnsi="宋体"/>
                <w:color w:val="auto"/>
                <w:kern w:val="0"/>
                <w:sz w:val="24"/>
                <w:highlight w:val="none"/>
                <w:lang w:val="zh-CN"/>
              </w:rPr>
              <w:t>磋商总价</w:t>
            </w:r>
          </w:p>
        </w:tc>
        <w:tc>
          <w:tcPr>
            <w:tcW w:w="6558" w:type="dxa"/>
            <w:gridSpan w:val="5"/>
            <w:tcBorders>
              <w:top w:val="single" w:color="000000" w:sz="6" w:space="0"/>
              <w:left w:val="single" w:color="000000" w:sz="6" w:space="0"/>
              <w:bottom w:val="single" w:color="000000" w:sz="8" w:space="0"/>
              <w:right w:val="single" w:color="000000" w:sz="8" w:space="0"/>
            </w:tcBorders>
            <w:shd w:val="clear" w:color="000000" w:fill="FFFFFF"/>
          </w:tcPr>
          <w:p w14:paraId="35F2DBF3">
            <w:pPr>
              <w:autoSpaceDE w:val="0"/>
              <w:autoSpaceDN w:val="0"/>
              <w:spacing w:line="400" w:lineRule="exact"/>
              <w:jc w:val="left"/>
              <w:rPr>
                <w:rFonts w:ascii="宋体" w:hAnsi="宋体"/>
                <w:color w:val="auto"/>
                <w:kern w:val="0"/>
                <w:sz w:val="24"/>
                <w:highlight w:val="none"/>
                <w:lang w:val="zh-CN"/>
              </w:rPr>
            </w:pPr>
            <w:r>
              <w:rPr>
                <w:rFonts w:hint="eastAsia" w:ascii="宋体" w:hAnsi="宋体"/>
                <w:color w:val="auto"/>
                <w:kern w:val="0"/>
                <w:sz w:val="24"/>
                <w:highlight w:val="none"/>
                <w:lang w:val="zh-CN"/>
              </w:rPr>
              <w:t>大写：               </w:t>
            </w:r>
          </w:p>
          <w:p w14:paraId="5EA1ADC5">
            <w:pPr>
              <w:autoSpaceDE w:val="0"/>
              <w:autoSpaceDN w:val="0"/>
              <w:spacing w:line="400" w:lineRule="exact"/>
              <w:jc w:val="left"/>
              <w:rPr>
                <w:rFonts w:ascii="宋体" w:hAnsi="宋体"/>
                <w:color w:val="auto"/>
                <w:kern w:val="0"/>
                <w:sz w:val="24"/>
                <w:highlight w:val="none"/>
                <w:lang w:val="zh-CN"/>
              </w:rPr>
            </w:pPr>
            <w:r>
              <w:rPr>
                <w:rFonts w:hint="eastAsia" w:ascii="宋体" w:hAnsi="宋体"/>
                <w:color w:val="auto"/>
                <w:kern w:val="0"/>
                <w:sz w:val="24"/>
                <w:highlight w:val="none"/>
                <w:lang w:val="zh-CN"/>
              </w:rPr>
              <w:t>小写：</w:t>
            </w:r>
          </w:p>
        </w:tc>
      </w:tr>
    </w:tbl>
    <w:p w14:paraId="71E2E489">
      <w:pPr>
        <w:spacing w:line="400" w:lineRule="atLeast"/>
        <w:rPr>
          <w:rFonts w:ascii="宋体" w:hAnsi="宋体"/>
          <w:color w:val="auto"/>
          <w:sz w:val="24"/>
          <w:highlight w:val="none"/>
        </w:rPr>
      </w:pPr>
    </w:p>
    <w:p w14:paraId="68D5D27C">
      <w:pPr>
        <w:spacing w:line="400" w:lineRule="atLeast"/>
        <w:rPr>
          <w:rFonts w:ascii="宋体" w:hAnsi="宋体"/>
          <w:color w:val="auto"/>
          <w:sz w:val="24"/>
          <w:highlight w:val="none"/>
        </w:rPr>
      </w:pPr>
    </w:p>
    <w:p w14:paraId="56A72299">
      <w:pPr>
        <w:spacing w:line="400" w:lineRule="atLeast"/>
        <w:ind w:left="2880" w:hanging="2880"/>
        <w:rPr>
          <w:rFonts w:ascii="宋体" w:hAnsi="宋体"/>
          <w:color w:val="auto"/>
          <w:sz w:val="24"/>
          <w:highlight w:val="none"/>
        </w:rPr>
      </w:pPr>
    </w:p>
    <w:p w14:paraId="77D9444E">
      <w:pPr>
        <w:spacing w:line="400" w:lineRule="atLeast"/>
        <w:ind w:left="2880" w:hanging="2880"/>
        <w:rPr>
          <w:rFonts w:ascii="宋体" w:hAnsi="宋体"/>
          <w:color w:val="auto"/>
          <w:sz w:val="24"/>
          <w:highlight w:val="none"/>
        </w:rPr>
      </w:pPr>
    </w:p>
    <w:p w14:paraId="5F834D88">
      <w:pPr>
        <w:spacing w:line="400" w:lineRule="atLeast"/>
        <w:ind w:left="2880" w:hanging="2880"/>
        <w:rPr>
          <w:rFonts w:ascii="宋体" w:hAnsi="宋体"/>
          <w:bCs/>
          <w:color w:val="auto"/>
          <w:kern w:val="0"/>
          <w:sz w:val="24"/>
          <w:highlight w:val="none"/>
        </w:rPr>
      </w:pPr>
      <w:r>
        <w:rPr>
          <w:rFonts w:hint="eastAsia" w:ascii="宋体" w:hAnsi="宋体"/>
          <w:bCs/>
          <w:color w:val="auto"/>
          <w:kern w:val="0"/>
          <w:sz w:val="24"/>
          <w:highlight w:val="none"/>
          <w:lang w:val="zh-CN"/>
        </w:rPr>
        <w:t>法定代表人或委托代理人</w:t>
      </w:r>
      <w:r>
        <w:rPr>
          <w:rFonts w:hint="eastAsia" w:ascii="宋体" w:hAnsi="宋体"/>
          <w:color w:val="auto"/>
          <w:sz w:val="24"/>
          <w:highlight w:val="none"/>
        </w:rPr>
        <w:t>：</w:t>
      </w:r>
      <w:r>
        <w:rPr>
          <w:rFonts w:hint="eastAsia" w:ascii="宋体" w:hAnsi="宋体"/>
          <w:color w:val="auto"/>
          <w:sz w:val="24"/>
          <w:highlight w:val="none"/>
          <w:u w:val="single"/>
        </w:rPr>
        <w:t>　　　　　　　　　　　　　　　</w:t>
      </w:r>
    </w:p>
    <w:p w14:paraId="13196A84">
      <w:pPr>
        <w:spacing w:line="400" w:lineRule="atLeast"/>
        <w:jc w:val="center"/>
        <w:rPr>
          <w:rFonts w:ascii="宋体" w:hAnsi="宋体"/>
          <w:color w:val="auto"/>
          <w:sz w:val="24"/>
          <w:highlight w:val="none"/>
        </w:rPr>
      </w:pPr>
    </w:p>
    <w:p w14:paraId="6B01CFCE">
      <w:pPr>
        <w:spacing w:line="400" w:lineRule="atLeast"/>
        <w:jc w:val="center"/>
        <w:rPr>
          <w:rFonts w:ascii="宋体" w:hAnsi="宋体"/>
          <w:color w:val="auto"/>
          <w:sz w:val="24"/>
          <w:highlight w:val="none"/>
        </w:rPr>
      </w:pPr>
    </w:p>
    <w:p w14:paraId="01157B4E">
      <w:pPr>
        <w:spacing w:line="400" w:lineRule="atLeast"/>
        <w:jc w:val="center"/>
        <w:rPr>
          <w:rFonts w:ascii="宋体" w:hAnsi="宋体"/>
          <w:color w:val="auto"/>
          <w:sz w:val="24"/>
          <w:highlight w:val="none"/>
        </w:rPr>
      </w:pPr>
    </w:p>
    <w:p w14:paraId="20994283">
      <w:pPr>
        <w:spacing w:line="400" w:lineRule="atLeast"/>
        <w:jc w:val="center"/>
        <w:rPr>
          <w:rFonts w:ascii="宋体" w:hAnsi="宋体"/>
          <w:color w:val="auto"/>
          <w:sz w:val="24"/>
          <w:highlight w:val="none"/>
        </w:rPr>
      </w:pPr>
    </w:p>
    <w:p w14:paraId="38735CD4">
      <w:pPr>
        <w:spacing w:line="400" w:lineRule="atLeast"/>
        <w:jc w:val="center"/>
        <w:rPr>
          <w:rFonts w:ascii="宋体" w:hAnsi="宋体"/>
          <w:color w:val="auto"/>
          <w:sz w:val="24"/>
          <w:highlight w:val="none"/>
        </w:rPr>
      </w:pPr>
    </w:p>
    <w:p w14:paraId="733F99CA">
      <w:pPr>
        <w:spacing w:line="400" w:lineRule="atLeast"/>
        <w:jc w:val="center"/>
        <w:rPr>
          <w:rFonts w:ascii="宋体" w:hAnsi="宋体"/>
          <w:color w:val="auto"/>
          <w:sz w:val="24"/>
          <w:highlight w:val="none"/>
        </w:rPr>
      </w:pPr>
    </w:p>
    <w:p w14:paraId="1561F810">
      <w:pPr>
        <w:spacing w:line="400" w:lineRule="atLeast"/>
        <w:jc w:val="center"/>
        <w:rPr>
          <w:rFonts w:ascii="宋体" w:hAnsi="宋体"/>
          <w:color w:val="auto"/>
          <w:sz w:val="24"/>
          <w:highlight w:val="none"/>
        </w:rPr>
      </w:pPr>
    </w:p>
    <w:p w14:paraId="09F358F1">
      <w:pPr>
        <w:spacing w:line="400" w:lineRule="atLeast"/>
        <w:jc w:val="center"/>
        <w:rPr>
          <w:rFonts w:ascii="宋体" w:hAnsi="宋体"/>
          <w:color w:val="auto"/>
          <w:sz w:val="24"/>
          <w:highlight w:val="none"/>
        </w:rPr>
      </w:pPr>
    </w:p>
    <w:p w14:paraId="7B33F56D">
      <w:pPr>
        <w:spacing w:line="400" w:lineRule="atLeast"/>
        <w:jc w:val="center"/>
        <w:rPr>
          <w:rFonts w:ascii="宋体" w:hAnsi="宋体"/>
          <w:color w:val="auto"/>
          <w:sz w:val="24"/>
          <w:highlight w:val="none"/>
        </w:rPr>
      </w:pPr>
    </w:p>
    <w:p w14:paraId="1897A912">
      <w:pPr>
        <w:spacing w:line="400" w:lineRule="atLeast"/>
        <w:jc w:val="center"/>
        <w:rPr>
          <w:rFonts w:ascii="宋体" w:hAnsi="宋体"/>
          <w:color w:val="auto"/>
          <w:sz w:val="24"/>
          <w:highlight w:val="none"/>
        </w:rPr>
      </w:pPr>
    </w:p>
    <w:p w14:paraId="4D778593">
      <w:pPr>
        <w:spacing w:line="400" w:lineRule="atLeast"/>
        <w:jc w:val="center"/>
        <w:rPr>
          <w:rFonts w:ascii="宋体" w:hAnsi="宋体"/>
          <w:color w:val="auto"/>
          <w:sz w:val="24"/>
          <w:highlight w:val="none"/>
        </w:rPr>
      </w:pPr>
    </w:p>
    <w:p w14:paraId="71164A9F">
      <w:pPr>
        <w:spacing w:line="400" w:lineRule="atLeast"/>
        <w:jc w:val="center"/>
        <w:rPr>
          <w:rFonts w:ascii="宋体" w:hAnsi="宋体"/>
          <w:color w:val="auto"/>
          <w:sz w:val="24"/>
          <w:highlight w:val="none"/>
        </w:rPr>
      </w:pPr>
    </w:p>
    <w:p w14:paraId="27B6C529">
      <w:pPr>
        <w:spacing w:line="400" w:lineRule="atLeast"/>
        <w:jc w:val="center"/>
        <w:rPr>
          <w:rFonts w:ascii="宋体" w:hAnsi="宋体"/>
          <w:color w:val="auto"/>
          <w:sz w:val="24"/>
          <w:highlight w:val="none"/>
        </w:rPr>
      </w:pPr>
      <w:r>
        <w:rPr>
          <w:rFonts w:hint="eastAsia" w:ascii="宋体" w:hAnsi="宋体"/>
          <w:color w:val="auto"/>
          <w:sz w:val="24"/>
          <w:highlight w:val="none"/>
        </w:rPr>
        <w:t>4、法定代表人身份证明书</w:t>
      </w:r>
    </w:p>
    <w:p w14:paraId="0EEC3E50">
      <w:pPr>
        <w:snapToGrid w:val="0"/>
        <w:spacing w:line="400" w:lineRule="atLeast"/>
        <w:jc w:val="left"/>
        <w:rPr>
          <w:rFonts w:ascii="宋体" w:hAnsi="宋体"/>
          <w:color w:val="auto"/>
          <w:sz w:val="24"/>
          <w:szCs w:val="24"/>
          <w:highlight w:val="none"/>
        </w:rPr>
      </w:pPr>
    </w:p>
    <w:p w14:paraId="50916BC2">
      <w:pPr>
        <w:snapToGrid w:val="0"/>
        <w:spacing w:line="400" w:lineRule="atLeast"/>
        <w:jc w:val="left"/>
        <w:rPr>
          <w:rFonts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67F7EAA1">
      <w:pPr>
        <w:snapToGrid w:val="0"/>
        <w:spacing w:line="400" w:lineRule="atLeast"/>
        <w:jc w:val="left"/>
        <w:rPr>
          <w:rFonts w:ascii="宋体" w:hAnsi="宋体"/>
          <w:color w:val="auto"/>
          <w:sz w:val="24"/>
          <w:szCs w:val="24"/>
          <w:highlight w:val="non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11CB72AD">
      <w:pPr>
        <w:snapToGrid w:val="0"/>
        <w:spacing w:line="400" w:lineRule="atLeast"/>
        <w:jc w:val="left"/>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75882397">
      <w:pPr>
        <w:snapToGrid w:val="0"/>
        <w:spacing w:line="400" w:lineRule="atLeast"/>
        <w:jc w:val="left"/>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5E49F256">
      <w:pPr>
        <w:snapToGrid w:val="0"/>
        <w:spacing w:line="400" w:lineRule="atLeast"/>
        <w:jc w:val="left"/>
        <w:rPr>
          <w:rFonts w:ascii="宋体" w:hAnsi="宋体"/>
          <w:color w:val="auto"/>
          <w:sz w:val="24"/>
          <w:szCs w:val="24"/>
          <w:highlight w:val="non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p>
    <w:p w14:paraId="57200EC8">
      <w:pPr>
        <w:snapToGrid w:val="0"/>
        <w:spacing w:line="400" w:lineRule="atLeast"/>
        <w:jc w:val="left"/>
        <w:rPr>
          <w:rFonts w:ascii="宋体" w:hAnsi="宋体"/>
          <w:color w:val="auto"/>
          <w:sz w:val="24"/>
          <w:szCs w:val="24"/>
          <w:highlight w:val="none"/>
        </w:rPr>
      </w:pPr>
      <w:r>
        <w:rPr>
          <w:rFonts w:hint="eastAsia" w:ascii="宋体" w:hAnsi="宋体"/>
          <w:color w:val="auto"/>
          <w:sz w:val="24"/>
          <w:szCs w:val="24"/>
          <w:highlight w:val="none"/>
        </w:rPr>
        <w:t>姓    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14:paraId="5A1A05A7">
      <w:pPr>
        <w:snapToGrid w:val="0"/>
        <w:spacing w:line="400" w:lineRule="atLeast"/>
        <w:jc w:val="left"/>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（请随附身份证复印件并加盖申请人单位公章）</w:t>
      </w:r>
      <w:r>
        <w:rPr>
          <w:rFonts w:hint="eastAsia" w:ascii="宋体" w:hAnsi="宋体"/>
          <w:color w:val="auto"/>
          <w:sz w:val="24"/>
          <w:szCs w:val="24"/>
          <w:highlight w:val="none"/>
        </w:rPr>
        <w:t xml:space="preserve"> </w:t>
      </w:r>
    </w:p>
    <w:p w14:paraId="2F1864E1">
      <w:pPr>
        <w:snapToGrid w:val="0"/>
        <w:spacing w:line="400" w:lineRule="atLeast"/>
        <w:jc w:val="left"/>
        <w:rPr>
          <w:rFonts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（申请人单位名称）         </w:t>
      </w:r>
      <w:r>
        <w:rPr>
          <w:rFonts w:hint="eastAsia" w:ascii="宋体" w:hAnsi="宋体"/>
          <w:color w:val="auto"/>
          <w:sz w:val="24"/>
          <w:szCs w:val="24"/>
          <w:highlight w:val="none"/>
        </w:rPr>
        <w:t>的法定代表人。</w:t>
      </w:r>
    </w:p>
    <w:p w14:paraId="3CD1BF4D">
      <w:pPr>
        <w:snapToGrid w:val="0"/>
        <w:spacing w:line="400" w:lineRule="atLeast"/>
        <w:jc w:val="left"/>
        <w:rPr>
          <w:rFonts w:ascii="宋体" w:hAnsi="宋体"/>
          <w:color w:val="auto"/>
          <w:sz w:val="24"/>
          <w:szCs w:val="24"/>
          <w:highlight w:val="none"/>
        </w:rPr>
      </w:pPr>
    </w:p>
    <w:p w14:paraId="083FABC0">
      <w:pPr>
        <w:snapToGrid w:val="0"/>
        <w:spacing w:line="400" w:lineRule="atLeast"/>
        <w:jc w:val="left"/>
        <w:rPr>
          <w:rFonts w:ascii="宋体" w:hAnsi="宋体"/>
          <w:color w:val="auto"/>
          <w:sz w:val="24"/>
          <w:szCs w:val="24"/>
          <w:highlight w:val="none"/>
        </w:rPr>
      </w:pPr>
      <w:r>
        <w:rPr>
          <w:rFonts w:hint="eastAsia" w:ascii="宋体" w:hAnsi="宋体"/>
          <w:color w:val="auto"/>
          <w:sz w:val="24"/>
          <w:szCs w:val="24"/>
          <w:highlight w:val="none"/>
        </w:rPr>
        <w:t>特此证明。</w:t>
      </w:r>
    </w:p>
    <w:p w14:paraId="6CB90A15">
      <w:pPr>
        <w:snapToGrid w:val="0"/>
        <w:spacing w:line="400" w:lineRule="atLeast"/>
        <w:jc w:val="center"/>
        <w:rPr>
          <w:rFonts w:ascii="宋体" w:hAnsi="宋体"/>
          <w:color w:val="auto"/>
          <w:sz w:val="24"/>
          <w:szCs w:val="24"/>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2501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4C94C8C6">
            <w:pPr>
              <w:snapToGrid w:val="0"/>
              <w:spacing w:line="400" w:lineRule="atLeast"/>
              <w:jc w:val="center"/>
              <w:rPr>
                <w:rFonts w:ascii="宋体" w:hAnsi="宋体"/>
                <w:color w:val="auto"/>
                <w:sz w:val="24"/>
                <w:szCs w:val="24"/>
                <w:highlight w:val="none"/>
              </w:rPr>
            </w:pPr>
            <w:r>
              <w:rPr>
                <w:rFonts w:hint="eastAsia" w:ascii="宋体" w:hAnsi="宋体"/>
                <w:color w:val="auto"/>
                <w:sz w:val="24"/>
                <w:szCs w:val="24"/>
                <w:highlight w:val="none"/>
              </w:rPr>
              <w:t>法定代表人身份证（正反面）</w:t>
            </w:r>
          </w:p>
        </w:tc>
      </w:tr>
    </w:tbl>
    <w:p w14:paraId="471F6B12">
      <w:pPr>
        <w:snapToGrid w:val="0"/>
        <w:spacing w:line="400" w:lineRule="atLeast"/>
        <w:jc w:val="center"/>
        <w:rPr>
          <w:rFonts w:ascii="宋体" w:hAnsi="宋体"/>
          <w:color w:val="auto"/>
          <w:sz w:val="24"/>
          <w:szCs w:val="24"/>
          <w:highlight w:val="none"/>
        </w:rPr>
      </w:pPr>
    </w:p>
    <w:p w14:paraId="0E22E544">
      <w:pPr>
        <w:snapToGrid w:val="0"/>
        <w:spacing w:line="400" w:lineRule="atLeast"/>
        <w:jc w:val="center"/>
        <w:rPr>
          <w:rFonts w:ascii="宋体" w:hAnsi="宋体"/>
          <w:color w:val="auto"/>
          <w:sz w:val="24"/>
          <w:szCs w:val="24"/>
          <w:highlight w:val="none"/>
        </w:rPr>
      </w:pPr>
    </w:p>
    <w:p w14:paraId="10C3DE18">
      <w:pPr>
        <w:snapToGrid w:val="0"/>
        <w:spacing w:line="400" w:lineRule="atLeast"/>
        <w:jc w:val="right"/>
        <w:rPr>
          <w:rFonts w:ascii="宋体" w:hAnsi="宋体"/>
          <w:color w:val="auto"/>
          <w:sz w:val="24"/>
          <w:szCs w:val="24"/>
          <w:highlight w:val="none"/>
        </w:rPr>
      </w:pPr>
      <w:r>
        <w:rPr>
          <w:rFonts w:hint="eastAsia" w:ascii="宋体" w:hAnsi="宋体"/>
          <w:color w:val="auto"/>
          <w:sz w:val="24"/>
          <w:szCs w:val="24"/>
          <w:highlight w:val="none"/>
        </w:rPr>
        <w:t>供应商：</w:t>
      </w:r>
      <w:r>
        <w:rPr>
          <w:rFonts w:hint="eastAsia" w:ascii="宋体" w:hAnsi="宋体"/>
          <w:color w:val="auto"/>
          <w:sz w:val="24"/>
          <w:szCs w:val="24"/>
          <w:highlight w:val="none"/>
          <w:u w:val="single"/>
        </w:rPr>
        <w:t xml:space="preserve">   （加盖供应商公章）</w:t>
      </w:r>
    </w:p>
    <w:p w14:paraId="15C2EE1F">
      <w:pPr>
        <w:spacing w:line="400" w:lineRule="atLeast"/>
        <w:ind w:left="2880" w:hanging="2880"/>
        <w:jc w:val="center"/>
        <w:rPr>
          <w:rFonts w:ascii="宋体" w:hAnsi="宋体"/>
          <w:bCs/>
          <w:color w:val="auto"/>
          <w:sz w:val="24"/>
          <w:szCs w:val="24"/>
          <w:highlight w:val="none"/>
        </w:rPr>
        <w:sectPr>
          <w:headerReference r:id="rId15" w:type="default"/>
          <w:pgSz w:w="11906" w:h="16838"/>
          <w:pgMar w:top="1440" w:right="1080" w:bottom="1440" w:left="1080" w:header="851" w:footer="992" w:gutter="0"/>
          <w:cols w:space="720" w:num="1"/>
          <w:docGrid w:type="lines" w:linePitch="409" w:charSpace="0"/>
        </w:sectPr>
      </w:pPr>
      <w:r>
        <w:rPr>
          <w:rFonts w:hint="eastAsia" w:ascii="宋体" w:hAnsi="宋体"/>
          <w:bCs/>
          <w:color w:val="auto"/>
          <w:sz w:val="24"/>
          <w:szCs w:val="24"/>
          <w:highlight w:val="none"/>
        </w:rPr>
        <w:t xml:space="preserve">年   月 </w:t>
      </w:r>
    </w:p>
    <w:p w14:paraId="52B005B4">
      <w:pPr>
        <w:spacing w:line="400" w:lineRule="atLeast"/>
        <w:jc w:val="center"/>
        <w:rPr>
          <w:rFonts w:ascii="宋体" w:hAnsi="宋体"/>
          <w:color w:val="auto"/>
          <w:sz w:val="24"/>
          <w:highlight w:val="none"/>
        </w:rPr>
      </w:pPr>
      <w:r>
        <w:rPr>
          <w:rFonts w:hint="eastAsia" w:ascii="宋体" w:hAnsi="宋体"/>
          <w:color w:val="auto"/>
          <w:sz w:val="24"/>
          <w:highlight w:val="none"/>
        </w:rPr>
        <w:t>5、法人代表授权书格式</w:t>
      </w:r>
    </w:p>
    <w:p w14:paraId="40138387">
      <w:pPr>
        <w:spacing w:line="400" w:lineRule="atLeast"/>
        <w:rPr>
          <w:rFonts w:ascii="宋体" w:hAnsi="宋体"/>
          <w:color w:val="auto"/>
          <w:sz w:val="24"/>
          <w:highlight w:val="none"/>
        </w:rPr>
      </w:pPr>
    </w:p>
    <w:p w14:paraId="7EA29B87">
      <w:pPr>
        <w:spacing w:line="44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本授权书声明：注册于</w:t>
      </w:r>
      <w:r>
        <w:rPr>
          <w:rFonts w:hint="eastAsia" w:ascii="宋体" w:hAnsi="宋体"/>
          <w:color w:val="auto"/>
          <w:sz w:val="24"/>
          <w:szCs w:val="24"/>
          <w:highlight w:val="none"/>
          <w:u w:val="single"/>
        </w:rPr>
        <w:t>（地区的名称</w:t>
      </w:r>
      <w:r>
        <w:rPr>
          <w:rFonts w:hint="eastAsia" w:ascii="宋体" w:hAnsi="宋体"/>
          <w:color w:val="auto"/>
          <w:sz w:val="24"/>
          <w:szCs w:val="24"/>
          <w:highlight w:val="none"/>
        </w:rPr>
        <w:t>）的</w:t>
      </w:r>
      <w:r>
        <w:rPr>
          <w:rFonts w:hint="eastAsia" w:ascii="宋体" w:hAnsi="宋体"/>
          <w:color w:val="auto"/>
          <w:sz w:val="24"/>
          <w:szCs w:val="24"/>
          <w:highlight w:val="none"/>
          <w:u w:val="single"/>
        </w:rPr>
        <w:t>（公司名称</w:t>
      </w:r>
      <w:r>
        <w:rPr>
          <w:rFonts w:hint="eastAsia" w:ascii="宋体" w:hAnsi="宋体"/>
          <w:color w:val="auto"/>
          <w:sz w:val="24"/>
          <w:szCs w:val="24"/>
          <w:highlight w:val="none"/>
        </w:rPr>
        <w:t xml:space="preserve">），在下面签字的法人代表 </w:t>
      </w:r>
      <w:r>
        <w:rPr>
          <w:rFonts w:hint="eastAsia" w:ascii="宋体" w:hAnsi="宋体"/>
          <w:color w:val="auto"/>
          <w:sz w:val="24"/>
          <w:szCs w:val="24"/>
          <w:highlight w:val="none"/>
          <w:u w:val="single"/>
        </w:rPr>
        <w:t>（姓名、职务</w:t>
      </w:r>
      <w:r>
        <w:rPr>
          <w:rFonts w:hint="eastAsia" w:ascii="宋体" w:hAnsi="宋体"/>
          <w:color w:val="auto"/>
          <w:sz w:val="24"/>
          <w:szCs w:val="24"/>
          <w:highlight w:val="none"/>
        </w:rPr>
        <w:t>），代表本公司授权在下面签字的</w:t>
      </w:r>
      <w:r>
        <w:rPr>
          <w:rFonts w:hint="eastAsia" w:ascii="宋体" w:hAnsi="宋体"/>
          <w:color w:val="auto"/>
          <w:sz w:val="24"/>
          <w:szCs w:val="24"/>
          <w:highlight w:val="none"/>
          <w:u w:val="single"/>
        </w:rPr>
        <w:t>（被授权人的姓名、职务</w:t>
      </w:r>
      <w:r>
        <w:rPr>
          <w:rFonts w:hint="eastAsia" w:ascii="宋体" w:hAnsi="宋体"/>
          <w:color w:val="auto"/>
          <w:sz w:val="24"/>
          <w:szCs w:val="24"/>
          <w:highlight w:val="none"/>
        </w:rPr>
        <w:t xml:space="preserve">）为本公司的合法代理人，就 </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的磋商，以本公司的名义处理一切与之有关的事物。</w:t>
      </w:r>
    </w:p>
    <w:p w14:paraId="5002B30A">
      <w:pPr>
        <w:spacing w:line="440" w:lineRule="exact"/>
        <w:jc w:val="left"/>
        <w:rPr>
          <w:rFonts w:ascii="宋体" w:hAnsi="宋体"/>
          <w:color w:val="auto"/>
          <w:sz w:val="24"/>
          <w:szCs w:val="24"/>
          <w:highlight w:val="none"/>
        </w:rPr>
      </w:pPr>
    </w:p>
    <w:p w14:paraId="3BE0BE75">
      <w:pPr>
        <w:spacing w:line="440" w:lineRule="exact"/>
        <w:jc w:val="left"/>
        <w:rPr>
          <w:rFonts w:ascii="宋体" w:hAnsi="宋体"/>
          <w:color w:val="auto"/>
          <w:sz w:val="24"/>
          <w:szCs w:val="24"/>
          <w:highlight w:val="none"/>
        </w:rPr>
      </w:pPr>
      <w:r>
        <w:rPr>
          <w:rFonts w:hint="eastAsia" w:ascii="宋体" w:hAnsi="宋体"/>
          <w:color w:val="auto"/>
          <w:sz w:val="24"/>
          <w:szCs w:val="24"/>
          <w:highlight w:val="none"/>
        </w:rPr>
        <w:t>本授权书于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日签字生效，特此声明！</w:t>
      </w:r>
    </w:p>
    <w:p w14:paraId="39EE1110">
      <w:pPr>
        <w:spacing w:line="440" w:lineRule="exact"/>
        <w:jc w:val="left"/>
        <w:rPr>
          <w:rFonts w:ascii="宋体" w:hAnsi="宋体"/>
          <w:color w:val="auto"/>
          <w:sz w:val="24"/>
          <w:szCs w:val="24"/>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22F1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548EC0B6">
            <w:pPr>
              <w:spacing w:line="440" w:lineRule="exact"/>
              <w:jc w:val="left"/>
              <w:rPr>
                <w:rFonts w:ascii="宋体" w:hAnsi="宋体"/>
                <w:color w:val="auto"/>
                <w:sz w:val="24"/>
                <w:szCs w:val="24"/>
                <w:highlight w:val="none"/>
              </w:rPr>
            </w:pPr>
            <w:r>
              <w:rPr>
                <w:rFonts w:hint="eastAsia" w:ascii="宋体" w:hAnsi="宋体"/>
                <w:color w:val="auto"/>
                <w:sz w:val="24"/>
                <w:szCs w:val="24"/>
                <w:highlight w:val="none"/>
              </w:rPr>
              <w:t>法定代表人身份证（正反面）</w:t>
            </w:r>
          </w:p>
        </w:tc>
      </w:tr>
      <w:tr w14:paraId="7D3E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0" w:hRule="atLeast"/>
          <w:jc w:val="center"/>
        </w:trPr>
        <w:tc>
          <w:tcPr>
            <w:tcW w:w="6102" w:type="dxa"/>
          </w:tcPr>
          <w:p w14:paraId="42B1F3FF">
            <w:pPr>
              <w:spacing w:line="440" w:lineRule="exact"/>
              <w:jc w:val="left"/>
              <w:rPr>
                <w:rFonts w:ascii="宋体" w:hAnsi="宋体"/>
                <w:color w:val="auto"/>
                <w:sz w:val="24"/>
                <w:szCs w:val="24"/>
                <w:highlight w:val="none"/>
              </w:rPr>
            </w:pPr>
            <w:r>
              <w:rPr>
                <w:rFonts w:hint="eastAsia" w:ascii="宋体" w:hAnsi="宋体"/>
                <w:color w:val="auto"/>
                <w:sz w:val="24"/>
                <w:szCs w:val="24"/>
                <w:highlight w:val="none"/>
              </w:rPr>
              <w:t>被授权人的身份证（正反面）</w:t>
            </w:r>
          </w:p>
        </w:tc>
      </w:tr>
    </w:tbl>
    <w:p w14:paraId="13CC8EBB">
      <w:pPr>
        <w:spacing w:line="440" w:lineRule="exact"/>
        <w:jc w:val="left"/>
        <w:rPr>
          <w:rFonts w:ascii="宋体" w:hAnsi="宋体"/>
          <w:color w:val="auto"/>
          <w:sz w:val="24"/>
          <w:szCs w:val="24"/>
          <w:highlight w:val="none"/>
        </w:rPr>
      </w:pPr>
    </w:p>
    <w:p w14:paraId="538A5B66">
      <w:pPr>
        <w:spacing w:line="440" w:lineRule="exact"/>
        <w:jc w:val="right"/>
        <w:rPr>
          <w:rFonts w:ascii="宋体" w:hAnsi="宋体"/>
          <w:color w:val="auto"/>
          <w:sz w:val="24"/>
          <w:szCs w:val="24"/>
          <w:highlight w:val="none"/>
        </w:rPr>
      </w:pPr>
      <w:r>
        <w:rPr>
          <w:rFonts w:hint="eastAsia" w:ascii="宋体" w:hAnsi="宋体"/>
          <w:color w:val="auto"/>
          <w:sz w:val="24"/>
          <w:szCs w:val="24"/>
          <w:highlight w:val="none"/>
        </w:rPr>
        <w:t>法定代表人签字或盖章：</w:t>
      </w:r>
    </w:p>
    <w:p w14:paraId="418E5304">
      <w:pPr>
        <w:spacing w:line="440" w:lineRule="exact"/>
        <w:jc w:val="right"/>
        <w:rPr>
          <w:rFonts w:ascii="宋体" w:hAnsi="宋体"/>
          <w:color w:val="auto"/>
          <w:sz w:val="24"/>
          <w:szCs w:val="24"/>
          <w:highlight w:val="none"/>
        </w:rPr>
      </w:pPr>
      <w:r>
        <w:rPr>
          <w:rFonts w:hint="eastAsia" w:ascii="宋体" w:hAnsi="宋体"/>
          <w:color w:val="auto"/>
          <w:sz w:val="24"/>
          <w:szCs w:val="24"/>
          <w:highlight w:val="none"/>
        </w:rPr>
        <w:t>被授权人签字：</w:t>
      </w:r>
    </w:p>
    <w:p w14:paraId="03A594DB">
      <w:pPr>
        <w:spacing w:line="440" w:lineRule="exact"/>
        <w:jc w:val="right"/>
        <w:rPr>
          <w:rFonts w:ascii="宋体" w:hAnsi="宋体"/>
          <w:color w:val="auto"/>
          <w:sz w:val="24"/>
          <w:szCs w:val="24"/>
          <w:highlight w:val="none"/>
        </w:rPr>
      </w:pPr>
      <w:r>
        <w:rPr>
          <w:rFonts w:hint="eastAsia" w:ascii="宋体" w:hAnsi="宋体"/>
          <w:color w:val="auto"/>
          <w:sz w:val="24"/>
          <w:szCs w:val="24"/>
          <w:highlight w:val="none"/>
        </w:rPr>
        <w:t>公        章：</w:t>
      </w:r>
    </w:p>
    <w:p w14:paraId="2299FCE6">
      <w:pPr>
        <w:spacing w:line="440" w:lineRule="exact"/>
        <w:jc w:val="right"/>
        <w:rPr>
          <w:rFonts w:ascii="宋体" w:hAnsi="宋体"/>
          <w:color w:val="auto"/>
          <w:sz w:val="24"/>
          <w:szCs w:val="24"/>
          <w:highlight w:val="none"/>
        </w:rPr>
      </w:pPr>
    </w:p>
    <w:p w14:paraId="349B0CC2">
      <w:pPr>
        <w:spacing w:line="440" w:lineRule="exact"/>
        <w:jc w:val="right"/>
        <w:rPr>
          <w:rFonts w:ascii="宋体" w:hAnsi="宋体"/>
          <w:bCs/>
          <w:color w:val="auto"/>
          <w:sz w:val="24"/>
          <w:szCs w:val="24"/>
          <w:highlight w:val="none"/>
        </w:rPr>
      </w:pPr>
      <w:r>
        <w:rPr>
          <w:rFonts w:hint="eastAsia" w:ascii="宋体" w:hAnsi="宋体"/>
          <w:bCs/>
          <w:color w:val="auto"/>
          <w:sz w:val="24"/>
          <w:szCs w:val="24"/>
          <w:highlight w:val="none"/>
        </w:rPr>
        <w:t>年   月   日</w:t>
      </w:r>
    </w:p>
    <w:p w14:paraId="36BB2911">
      <w:pPr>
        <w:spacing w:line="400" w:lineRule="atLeast"/>
        <w:jc w:val="center"/>
        <w:rPr>
          <w:rFonts w:ascii="宋体" w:hAnsi="宋体"/>
          <w:color w:val="auto"/>
          <w:sz w:val="24"/>
          <w:szCs w:val="24"/>
          <w:highlight w:val="none"/>
        </w:rPr>
      </w:pPr>
      <w:r>
        <w:rPr>
          <w:rFonts w:hint="eastAsia" w:ascii="宋体" w:hAnsi="宋体"/>
          <w:color w:val="auto"/>
          <w:sz w:val="24"/>
          <w:szCs w:val="24"/>
          <w:highlight w:val="none"/>
        </w:rPr>
        <w:t>注：法人代表本人作为公司代理人前来参加磋商的供应商，可不提供此项证明文件。</w:t>
      </w:r>
    </w:p>
    <w:p w14:paraId="4E5AC61D">
      <w:pPr>
        <w:spacing w:line="400" w:lineRule="atLeast"/>
        <w:jc w:val="center"/>
        <w:rPr>
          <w:rFonts w:ascii="宋体" w:hAnsi="宋体"/>
          <w:color w:val="auto"/>
          <w:sz w:val="24"/>
          <w:highlight w:val="none"/>
        </w:rPr>
      </w:pPr>
    </w:p>
    <w:p w14:paraId="6C50A50C">
      <w:pPr>
        <w:spacing w:line="400" w:lineRule="atLeast"/>
        <w:jc w:val="center"/>
        <w:rPr>
          <w:rFonts w:ascii="宋体" w:hAnsi="宋体"/>
          <w:color w:val="auto"/>
          <w:sz w:val="24"/>
          <w:highlight w:val="none"/>
        </w:rPr>
      </w:pPr>
    </w:p>
    <w:p w14:paraId="2E4FBB6A">
      <w:pPr>
        <w:spacing w:line="400" w:lineRule="atLeast"/>
        <w:jc w:val="center"/>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6、关于资格的声明函</w:t>
      </w:r>
    </w:p>
    <w:p w14:paraId="24380091">
      <w:pPr>
        <w:spacing w:line="400" w:lineRule="atLeast"/>
        <w:rPr>
          <w:rFonts w:ascii="宋体" w:hAnsi="宋体"/>
          <w:color w:val="auto"/>
          <w:sz w:val="24"/>
          <w:highlight w:val="none"/>
        </w:rPr>
      </w:pPr>
    </w:p>
    <w:p w14:paraId="2D22EABD">
      <w:pPr>
        <w:spacing w:line="400" w:lineRule="atLeast"/>
        <w:rPr>
          <w:rFonts w:ascii="宋体" w:hAnsi="宋体"/>
          <w:color w:val="auto"/>
          <w:sz w:val="24"/>
          <w:highlight w:val="none"/>
        </w:rPr>
      </w:pPr>
      <w:r>
        <w:rPr>
          <w:rFonts w:hint="eastAsia" w:ascii="宋体" w:hAnsi="宋体"/>
          <w:color w:val="auto"/>
          <w:sz w:val="24"/>
          <w:highlight w:val="none"/>
        </w:rPr>
        <w:t>致：新疆招标有限公司</w:t>
      </w:r>
    </w:p>
    <w:p w14:paraId="2CA784C4">
      <w:pPr>
        <w:spacing w:line="400" w:lineRule="atLeast"/>
        <w:ind w:firstLine="570"/>
        <w:rPr>
          <w:rFonts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w:t>
      </w:r>
      <w:r>
        <w:rPr>
          <w:rFonts w:hint="eastAsia" w:ascii="宋体" w:hAnsi="宋体"/>
          <w:color w:val="auto"/>
          <w:sz w:val="24"/>
          <w:highlight w:val="none"/>
        </w:rPr>
        <w:t>年</w:t>
      </w:r>
      <w:r>
        <w:rPr>
          <w:rFonts w:hint="eastAsia" w:ascii="宋体" w:hAnsi="宋体"/>
          <w:color w:val="auto"/>
          <w:sz w:val="24"/>
          <w:highlight w:val="none"/>
          <w:u w:val="single"/>
        </w:rPr>
        <w:t>　　</w:t>
      </w:r>
      <w:r>
        <w:rPr>
          <w:rFonts w:hint="eastAsia" w:ascii="宋体" w:hAnsi="宋体"/>
          <w:color w:val="auto"/>
          <w:sz w:val="24"/>
          <w:highlight w:val="none"/>
        </w:rPr>
        <w:t>月</w:t>
      </w:r>
      <w:r>
        <w:rPr>
          <w:rFonts w:hint="eastAsia" w:ascii="宋体" w:hAnsi="宋体"/>
          <w:color w:val="auto"/>
          <w:sz w:val="24"/>
          <w:highlight w:val="none"/>
          <w:u w:val="single"/>
        </w:rPr>
        <w:t>　　</w:t>
      </w:r>
      <w:r>
        <w:rPr>
          <w:rFonts w:hint="eastAsia" w:ascii="宋体" w:hAnsi="宋体"/>
          <w:color w:val="auto"/>
          <w:sz w:val="24"/>
          <w:highlight w:val="none"/>
        </w:rPr>
        <w:t>日 （项目编号）磋商公告，本签字人愿意参加磋商，并有能力提供（项目名称）</w:t>
      </w:r>
      <w:r>
        <w:rPr>
          <w:rFonts w:hint="eastAsia" w:ascii="宋体" w:hAnsi="宋体"/>
          <w:color w:val="auto"/>
          <w:sz w:val="24"/>
          <w:highlight w:val="none"/>
          <w:u w:val="single"/>
        </w:rPr>
        <w:t>　　　</w:t>
      </w:r>
      <w:r>
        <w:rPr>
          <w:rFonts w:hint="eastAsia" w:ascii="宋体" w:hAnsi="宋体"/>
          <w:color w:val="auto"/>
          <w:sz w:val="24"/>
          <w:highlight w:val="none"/>
        </w:rPr>
        <w:t>项目磋商内容及相关服务，并证明所提交的所有文件和说明是准确和真实的。</w:t>
      </w:r>
    </w:p>
    <w:p w14:paraId="7AC12BFA">
      <w:pPr>
        <w:spacing w:line="400" w:lineRule="atLeast"/>
        <w:rPr>
          <w:rFonts w:ascii="宋体" w:hAnsi="宋体"/>
          <w:color w:val="auto"/>
          <w:sz w:val="24"/>
          <w:highlight w:val="none"/>
        </w:rPr>
      </w:pPr>
    </w:p>
    <w:p w14:paraId="1FF5C67B">
      <w:pPr>
        <w:spacing w:line="400" w:lineRule="atLeast"/>
        <w:rPr>
          <w:rFonts w:ascii="宋体" w:hAnsi="宋体"/>
          <w:color w:val="auto"/>
          <w:sz w:val="24"/>
          <w:highlight w:val="none"/>
        </w:rPr>
      </w:pPr>
    </w:p>
    <w:p w14:paraId="64F1DB38">
      <w:pPr>
        <w:spacing w:line="400" w:lineRule="atLeast"/>
        <w:rPr>
          <w:rFonts w:ascii="宋体" w:hAnsi="宋体"/>
          <w:color w:val="auto"/>
          <w:sz w:val="24"/>
          <w:highlight w:val="none"/>
        </w:rPr>
      </w:pPr>
      <w:r>
        <w:rPr>
          <w:rFonts w:hint="eastAsia" w:ascii="宋体" w:hAnsi="宋体"/>
          <w:color w:val="auto"/>
          <w:sz w:val="24"/>
          <w:highlight w:val="none"/>
        </w:rPr>
        <w:t>　本次磋商公司的　　　　　　　受权签署本资格文件人：</w:t>
      </w:r>
    </w:p>
    <w:p w14:paraId="56039DF7">
      <w:pPr>
        <w:spacing w:line="400" w:lineRule="atLeast"/>
        <w:rPr>
          <w:rFonts w:ascii="宋体" w:hAnsi="宋体"/>
          <w:color w:val="auto"/>
          <w:sz w:val="24"/>
          <w:highlight w:val="none"/>
        </w:rPr>
      </w:pPr>
      <w:r>
        <w:rPr>
          <w:rFonts w:hint="eastAsia" w:ascii="宋体" w:hAnsi="宋体"/>
          <w:color w:val="auto"/>
          <w:sz w:val="24"/>
          <w:highlight w:val="none"/>
        </w:rPr>
        <w:t>　名称：　　　　　　　　　　　　　签字：　　　　　　　</w:t>
      </w:r>
    </w:p>
    <w:p w14:paraId="3535E5D4">
      <w:pPr>
        <w:spacing w:line="400" w:lineRule="atLeast"/>
        <w:rPr>
          <w:rFonts w:ascii="宋体" w:hAnsi="宋体"/>
          <w:color w:val="auto"/>
          <w:sz w:val="24"/>
          <w:highlight w:val="none"/>
        </w:rPr>
      </w:pPr>
      <w:r>
        <w:rPr>
          <w:rFonts w:hint="eastAsia" w:ascii="宋体" w:hAnsi="宋体"/>
          <w:color w:val="auto"/>
          <w:sz w:val="24"/>
          <w:highlight w:val="none"/>
        </w:rPr>
        <w:t>　地址：　　　　　　　　　　　　　签字人姓名、职务（印刷体）</w:t>
      </w:r>
    </w:p>
    <w:p w14:paraId="6512D920">
      <w:pPr>
        <w:spacing w:line="400" w:lineRule="atLeast"/>
        <w:rPr>
          <w:rFonts w:ascii="宋体" w:hAnsi="宋体"/>
          <w:color w:val="auto"/>
          <w:sz w:val="24"/>
          <w:highlight w:val="none"/>
        </w:rPr>
      </w:pPr>
      <w:r>
        <w:rPr>
          <w:rFonts w:hint="eastAsia" w:ascii="宋体" w:hAnsi="宋体"/>
          <w:color w:val="auto"/>
          <w:sz w:val="24"/>
          <w:highlight w:val="none"/>
        </w:rPr>
        <w:t>　传真：　　　　　　            　　　　　　　　　　　　　</w:t>
      </w:r>
    </w:p>
    <w:p w14:paraId="55F54A52">
      <w:pPr>
        <w:spacing w:line="400" w:lineRule="atLeast"/>
        <w:rPr>
          <w:rFonts w:ascii="宋体" w:hAnsi="宋体"/>
          <w:color w:val="auto"/>
          <w:sz w:val="24"/>
          <w:highlight w:val="none"/>
        </w:rPr>
      </w:pPr>
      <w:r>
        <w:rPr>
          <w:rFonts w:hint="eastAsia" w:ascii="宋体" w:hAnsi="宋体"/>
          <w:color w:val="auto"/>
          <w:sz w:val="24"/>
          <w:highlight w:val="none"/>
        </w:rPr>
        <w:t>　邮编：　　　　　　　　　　　　　电话：　　　　　　　　</w:t>
      </w:r>
    </w:p>
    <w:p w14:paraId="34F431C1">
      <w:pPr>
        <w:spacing w:line="400" w:lineRule="atLeast"/>
        <w:rPr>
          <w:rFonts w:ascii="宋体" w:hAnsi="宋体"/>
          <w:color w:val="auto"/>
          <w:sz w:val="24"/>
          <w:highlight w:val="none"/>
        </w:rPr>
      </w:pPr>
      <w:r>
        <w:rPr>
          <w:rFonts w:hint="eastAsia" w:ascii="宋体" w:hAnsi="宋体"/>
          <w:color w:val="auto"/>
          <w:sz w:val="24"/>
          <w:highlight w:val="none"/>
        </w:rPr>
        <w:t>　盖章：</w:t>
      </w:r>
    </w:p>
    <w:p w14:paraId="6D3005EE">
      <w:pPr>
        <w:rPr>
          <w:rFonts w:ascii="宋体" w:hAnsi="宋体"/>
          <w:color w:val="auto"/>
          <w:sz w:val="24"/>
          <w:highlight w:val="none"/>
        </w:rPr>
      </w:pPr>
    </w:p>
    <w:p w14:paraId="61520CE3">
      <w:pPr>
        <w:rPr>
          <w:rFonts w:ascii="宋体" w:hAnsi="宋体"/>
          <w:color w:val="auto"/>
          <w:sz w:val="24"/>
          <w:highlight w:val="none"/>
        </w:rPr>
      </w:pPr>
    </w:p>
    <w:p w14:paraId="1723C6BC">
      <w:pPr>
        <w:rPr>
          <w:rFonts w:ascii="宋体" w:hAnsi="宋体"/>
          <w:color w:val="auto"/>
          <w:sz w:val="24"/>
          <w:highlight w:val="none"/>
        </w:rPr>
      </w:pPr>
    </w:p>
    <w:p w14:paraId="41D1D609">
      <w:pPr>
        <w:rPr>
          <w:rFonts w:ascii="宋体" w:hAnsi="宋体"/>
          <w:color w:val="auto"/>
          <w:sz w:val="24"/>
          <w:highlight w:val="none"/>
        </w:rPr>
      </w:pPr>
    </w:p>
    <w:p w14:paraId="26E46981">
      <w:pPr>
        <w:rPr>
          <w:rFonts w:ascii="宋体" w:hAnsi="宋体"/>
          <w:color w:val="auto"/>
          <w:sz w:val="24"/>
          <w:highlight w:val="none"/>
        </w:rPr>
      </w:pPr>
    </w:p>
    <w:p w14:paraId="094B69CD">
      <w:pPr>
        <w:rPr>
          <w:rFonts w:ascii="宋体" w:hAnsi="宋体"/>
          <w:color w:val="auto"/>
          <w:sz w:val="24"/>
          <w:highlight w:val="none"/>
          <w:u w:val="single"/>
        </w:rPr>
      </w:pPr>
    </w:p>
    <w:p w14:paraId="4015B79B">
      <w:pPr>
        <w:spacing w:line="400" w:lineRule="atLeast"/>
        <w:rPr>
          <w:rFonts w:ascii="宋体" w:hAnsi="宋体"/>
          <w:color w:val="auto"/>
          <w:sz w:val="24"/>
          <w:highlight w:val="none"/>
        </w:rPr>
      </w:pPr>
    </w:p>
    <w:p w14:paraId="033E097E">
      <w:pPr>
        <w:jc w:val="center"/>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7、服务需求偏离表</w:t>
      </w:r>
    </w:p>
    <w:p w14:paraId="31727008">
      <w:pPr>
        <w:ind w:firstLine="2640"/>
        <w:rPr>
          <w:rFonts w:ascii="宋体" w:hAnsi="宋体"/>
          <w:color w:val="auto"/>
          <w:sz w:val="24"/>
          <w:highlight w:val="none"/>
        </w:rPr>
      </w:pPr>
    </w:p>
    <w:p w14:paraId="15069CDC">
      <w:pPr>
        <w:rPr>
          <w:rFonts w:ascii="宋体" w:hAnsi="宋体"/>
          <w:color w:val="auto"/>
          <w:sz w:val="24"/>
          <w:highlight w:val="none"/>
        </w:rPr>
      </w:pPr>
      <w:r>
        <w:rPr>
          <w:rFonts w:hint="eastAsia" w:ascii="宋体" w:hAnsi="宋体"/>
          <w:color w:val="auto"/>
          <w:sz w:val="24"/>
          <w:highlight w:val="none"/>
        </w:rPr>
        <w:t>供应商名称（公章）：</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w:t>
      </w:r>
    </w:p>
    <w:tbl>
      <w:tblPr>
        <w:tblStyle w:val="11"/>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438"/>
        <w:gridCol w:w="2552"/>
        <w:gridCol w:w="2835"/>
        <w:gridCol w:w="1984"/>
      </w:tblGrid>
      <w:tr w14:paraId="7002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96" w:type="dxa"/>
            <w:vAlign w:val="center"/>
          </w:tcPr>
          <w:p w14:paraId="54E95131">
            <w:pPr>
              <w:jc w:val="center"/>
              <w:rPr>
                <w:rFonts w:ascii="宋体" w:hAnsi="宋体"/>
                <w:color w:val="auto"/>
                <w:sz w:val="24"/>
                <w:highlight w:val="none"/>
              </w:rPr>
            </w:pPr>
            <w:r>
              <w:rPr>
                <w:rFonts w:hint="eastAsia" w:ascii="宋体" w:hAnsi="宋体"/>
                <w:color w:val="auto"/>
                <w:sz w:val="24"/>
                <w:highlight w:val="none"/>
              </w:rPr>
              <w:t>序号</w:t>
            </w:r>
          </w:p>
        </w:tc>
        <w:tc>
          <w:tcPr>
            <w:tcW w:w="1438" w:type="dxa"/>
            <w:vAlign w:val="center"/>
          </w:tcPr>
          <w:p w14:paraId="13746464">
            <w:pPr>
              <w:jc w:val="center"/>
              <w:rPr>
                <w:rFonts w:ascii="宋体" w:hAnsi="宋体"/>
                <w:color w:val="auto"/>
                <w:sz w:val="24"/>
                <w:highlight w:val="none"/>
              </w:rPr>
            </w:pPr>
            <w:r>
              <w:rPr>
                <w:rFonts w:hint="eastAsia" w:ascii="宋体" w:hAnsi="宋体"/>
                <w:color w:val="auto"/>
                <w:sz w:val="24"/>
                <w:highlight w:val="none"/>
              </w:rPr>
              <w:t>磋商文件</w:t>
            </w:r>
          </w:p>
          <w:p w14:paraId="4BBE1747">
            <w:pPr>
              <w:jc w:val="center"/>
              <w:rPr>
                <w:rFonts w:ascii="宋体" w:hAnsi="宋体"/>
                <w:color w:val="auto"/>
                <w:sz w:val="24"/>
                <w:highlight w:val="none"/>
              </w:rPr>
            </w:pPr>
            <w:r>
              <w:rPr>
                <w:rFonts w:hint="eastAsia" w:ascii="宋体" w:hAnsi="宋体"/>
                <w:color w:val="auto"/>
                <w:sz w:val="24"/>
                <w:highlight w:val="none"/>
              </w:rPr>
              <w:t>条目号</w:t>
            </w:r>
          </w:p>
        </w:tc>
        <w:tc>
          <w:tcPr>
            <w:tcW w:w="2552" w:type="dxa"/>
            <w:vAlign w:val="center"/>
          </w:tcPr>
          <w:p w14:paraId="737B7C30">
            <w:pPr>
              <w:jc w:val="center"/>
              <w:rPr>
                <w:rFonts w:ascii="宋体" w:hAnsi="宋体"/>
                <w:color w:val="auto"/>
                <w:sz w:val="24"/>
                <w:highlight w:val="none"/>
              </w:rPr>
            </w:pPr>
            <w:r>
              <w:rPr>
                <w:rFonts w:hint="eastAsia" w:ascii="宋体" w:hAnsi="宋体"/>
                <w:color w:val="auto"/>
                <w:sz w:val="24"/>
                <w:highlight w:val="none"/>
              </w:rPr>
              <w:t>磋商文件的条款</w:t>
            </w:r>
          </w:p>
        </w:tc>
        <w:tc>
          <w:tcPr>
            <w:tcW w:w="2835" w:type="dxa"/>
            <w:vAlign w:val="center"/>
          </w:tcPr>
          <w:p w14:paraId="38285513">
            <w:pPr>
              <w:jc w:val="center"/>
              <w:rPr>
                <w:rFonts w:ascii="宋体" w:hAnsi="宋体"/>
                <w:color w:val="auto"/>
                <w:sz w:val="24"/>
                <w:highlight w:val="none"/>
              </w:rPr>
            </w:pPr>
            <w:r>
              <w:rPr>
                <w:rFonts w:hint="eastAsia" w:ascii="宋体" w:hAnsi="宋体"/>
                <w:color w:val="auto"/>
                <w:sz w:val="24"/>
                <w:highlight w:val="none"/>
              </w:rPr>
              <w:t>磋商响应文件的条款</w:t>
            </w:r>
          </w:p>
        </w:tc>
        <w:tc>
          <w:tcPr>
            <w:tcW w:w="1984" w:type="dxa"/>
            <w:vAlign w:val="center"/>
          </w:tcPr>
          <w:p w14:paraId="102E0DD7">
            <w:pPr>
              <w:jc w:val="center"/>
              <w:rPr>
                <w:rFonts w:ascii="宋体" w:hAnsi="宋体"/>
                <w:color w:val="auto"/>
                <w:sz w:val="24"/>
                <w:highlight w:val="none"/>
              </w:rPr>
            </w:pPr>
            <w:r>
              <w:rPr>
                <w:rFonts w:hint="eastAsia" w:ascii="宋体" w:hAnsi="宋体"/>
                <w:color w:val="auto"/>
                <w:sz w:val="24"/>
                <w:highlight w:val="none"/>
              </w:rPr>
              <w:t>说明</w:t>
            </w:r>
          </w:p>
        </w:tc>
      </w:tr>
      <w:tr w14:paraId="7201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7ADDAEA3">
            <w:pPr>
              <w:rPr>
                <w:rFonts w:ascii="宋体" w:hAnsi="宋体"/>
                <w:color w:val="auto"/>
                <w:sz w:val="24"/>
                <w:highlight w:val="none"/>
              </w:rPr>
            </w:pPr>
          </w:p>
          <w:p w14:paraId="516A7AE4">
            <w:pPr>
              <w:rPr>
                <w:rFonts w:ascii="宋体" w:hAnsi="宋体"/>
                <w:color w:val="auto"/>
                <w:sz w:val="24"/>
                <w:highlight w:val="none"/>
              </w:rPr>
            </w:pPr>
          </w:p>
        </w:tc>
        <w:tc>
          <w:tcPr>
            <w:tcW w:w="1438" w:type="dxa"/>
            <w:vAlign w:val="center"/>
          </w:tcPr>
          <w:p w14:paraId="4876AA6C">
            <w:pPr>
              <w:widowControl/>
              <w:rPr>
                <w:rFonts w:ascii="宋体" w:hAnsi="宋体"/>
                <w:color w:val="auto"/>
                <w:sz w:val="24"/>
                <w:highlight w:val="none"/>
              </w:rPr>
            </w:pPr>
          </w:p>
          <w:p w14:paraId="70B2CA78">
            <w:pPr>
              <w:rPr>
                <w:rFonts w:ascii="宋体" w:hAnsi="宋体"/>
                <w:color w:val="auto"/>
                <w:sz w:val="24"/>
                <w:highlight w:val="none"/>
              </w:rPr>
            </w:pPr>
          </w:p>
        </w:tc>
        <w:tc>
          <w:tcPr>
            <w:tcW w:w="2552" w:type="dxa"/>
            <w:vAlign w:val="center"/>
          </w:tcPr>
          <w:p w14:paraId="00F0281D">
            <w:pPr>
              <w:rPr>
                <w:rFonts w:ascii="宋体" w:hAnsi="宋体"/>
                <w:color w:val="auto"/>
                <w:sz w:val="24"/>
                <w:highlight w:val="none"/>
              </w:rPr>
            </w:pPr>
          </w:p>
        </w:tc>
        <w:tc>
          <w:tcPr>
            <w:tcW w:w="2835" w:type="dxa"/>
            <w:vAlign w:val="center"/>
          </w:tcPr>
          <w:p w14:paraId="09260D1E">
            <w:pPr>
              <w:rPr>
                <w:rFonts w:ascii="宋体" w:hAnsi="宋体"/>
                <w:color w:val="auto"/>
                <w:sz w:val="24"/>
                <w:highlight w:val="none"/>
              </w:rPr>
            </w:pPr>
          </w:p>
        </w:tc>
        <w:tc>
          <w:tcPr>
            <w:tcW w:w="1984" w:type="dxa"/>
            <w:vAlign w:val="center"/>
          </w:tcPr>
          <w:p w14:paraId="2AB40C09">
            <w:pPr>
              <w:rPr>
                <w:rFonts w:ascii="宋体" w:hAnsi="宋体"/>
                <w:color w:val="auto"/>
                <w:sz w:val="24"/>
                <w:highlight w:val="none"/>
              </w:rPr>
            </w:pPr>
          </w:p>
        </w:tc>
      </w:tr>
      <w:tr w14:paraId="3EEA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0F8494E9">
            <w:pPr>
              <w:rPr>
                <w:rFonts w:ascii="宋体" w:hAnsi="宋体"/>
                <w:color w:val="auto"/>
                <w:sz w:val="24"/>
                <w:highlight w:val="none"/>
              </w:rPr>
            </w:pPr>
          </w:p>
          <w:p w14:paraId="22ACD298">
            <w:pPr>
              <w:rPr>
                <w:rFonts w:ascii="宋体" w:hAnsi="宋体"/>
                <w:color w:val="auto"/>
                <w:sz w:val="24"/>
                <w:highlight w:val="none"/>
              </w:rPr>
            </w:pPr>
          </w:p>
        </w:tc>
        <w:tc>
          <w:tcPr>
            <w:tcW w:w="1438" w:type="dxa"/>
            <w:vAlign w:val="center"/>
          </w:tcPr>
          <w:p w14:paraId="37213A74">
            <w:pPr>
              <w:widowControl/>
              <w:rPr>
                <w:rFonts w:ascii="宋体" w:hAnsi="宋体"/>
                <w:color w:val="auto"/>
                <w:sz w:val="24"/>
                <w:highlight w:val="none"/>
              </w:rPr>
            </w:pPr>
          </w:p>
          <w:p w14:paraId="643F709D">
            <w:pPr>
              <w:rPr>
                <w:rFonts w:ascii="宋体" w:hAnsi="宋体"/>
                <w:color w:val="auto"/>
                <w:sz w:val="24"/>
                <w:highlight w:val="none"/>
              </w:rPr>
            </w:pPr>
          </w:p>
        </w:tc>
        <w:tc>
          <w:tcPr>
            <w:tcW w:w="2552" w:type="dxa"/>
            <w:vAlign w:val="center"/>
          </w:tcPr>
          <w:p w14:paraId="7BA8CA65">
            <w:pPr>
              <w:rPr>
                <w:rFonts w:ascii="宋体" w:hAnsi="宋体"/>
                <w:color w:val="auto"/>
                <w:sz w:val="24"/>
                <w:highlight w:val="none"/>
              </w:rPr>
            </w:pPr>
          </w:p>
        </w:tc>
        <w:tc>
          <w:tcPr>
            <w:tcW w:w="2835" w:type="dxa"/>
            <w:vAlign w:val="center"/>
          </w:tcPr>
          <w:p w14:paraId="634ECFA7">
            <w:pPr>
              <w:rPr>
                <w:rFonts w:ascii="宋体" w:hAnsi="宋体"/>
                <w:color w:val="auto"/>
                <w:sz w:val="24"/>
                <w:highlight w:val="none"/>
              </w:rPr>
            </w:pPr>
          </w:p>
        </w:tc>
        <w:tc>
          <w:tcPr>
            <w:tcW w:w="1984" w:type="dxa"/>
            <w:vAlign w:val="center"/>
          </w:tcPr>
          <w:p w14:paraId="7A05767B">
            <w:pPr>
              <w:rPr>
                <w:rFonts w:ascii="宋体" w:hAnsi="宋体"/>
                <w:color w:val="auto"/>
                <w:sz w:val="24"/>
                <w:highlight w:val="none"/>
              </w:rPr>
            </w:pPr>
          </w:p>
        </w:tc>
      </w:tr>
      <w:tr w14:paraId="7A9F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4632D835">
            <w:pPr>
              <w:rPr>
                <w:rFonts w:ascii="宋体" w:hAnsi="宋体"/>
                <w:color w:val="auto"/>
                <w:sz w:val="24"/>
                <w:highlight w:val="none"/>
              </w:rPr>
            </w:pPr>
          </w:p>
          <w:p w14:paraId="61420B00">
            <w:pPr>
              <w:rPr>
                <w:rFonts w:ascii="宋体" w:hAnsi="宋体"/>
                <w:color w:val="auto"/>
                <w:sz w:val="24"/>
                <w:highlight w:val="none"/>
              </w:rPr>
            </w:pPr>
          </w:p>
        </w:tc>
        <w:tc>
          <w:tcPr>
            <w:tcW w:w="1438" w:type="dxa"/>
            <w:vAlign w:val="center"/>
          </w:tcPr>
          <w:p w14:paraId="2F908BBE">
            <w:pPr>
              <w:widowControl/>
              <w:rPr>
                <w:rFonts w:ascii="宋体" w:hAnsi="宋体"/>
                <w:color w:val="auto"/>
                <w:sz w:val="24"/>
                <w:highlight w:val="none"/>
              </w:rPr>
            </w:pPr>
          </w:p>
          <w:p w14:paraId="646EE391">
            <w:pPr>
              <w:rPr>
                <w:rFonts w:ascii="宋体" w:hAnsi="宋体"/>
                <w:color w:val="auto"/>
                <w:sz w:val="24"/>
                <w:highlight w:val="none"/>
              </w:rPr>
            </w:pPr>
          </w:p>
        </w:tc>
        <w:tc>
          <w:tcPr>
            <w:tcW w:w="2552" w:type="dxa"/>
            <w:vAlign w:val="center"/>
          </w:tcPr>
          <w:p w14:paraId="3891E3D7">
            <w:pPr>
              <w:rPr>
                <w:rFonts w:ascii="宋体" w:hAnsi="宋体"/>
                <w:color w:val="auto"/>
                <w:sz w:val="24"/>
                <w:highlight w:val="none"/>
              </w:rPr>
            </w:pPr>
          </w:p>
        </w:tc>
        <w:tc>
          <w:tcPr>
            <w:tcW w:w="2835" w:type="dxa"/>
            <w:vAlign w:val="center"/>
          </w:tcPr>
          <w:p w14:paraId="5A706575">
            <w:pPr>
              <w:rPr>
                <w:rFonts w:ascii="宋体" w:hAnsi="宋体"/>
                <w:color w:val="auto"/>
                <w:sz w:val="24"/>
                <w:highlight w:val="none"/>
              </w:rPr>
            </w:pPr>
          </w:p>
        </w:tc>
        <w:tc>
          <w:tcPr>
            <w:tcW w:w="1984" w:type="dxa"/>
            <w:vAlign w:val="center"/>
          </w:tcPr>
          <w:p w14:paraId="392E2843">
            <w:pPr>
              <w:rPr>
                <w:rFonts w:ascii="宋体" w:hAnsi="宋体"/>
                <w:color w:val="auto"/>
                <w:sz w:val="24"/>
                <w:highlight w:val="none"/>
              </w:rPr>
            </w:pPr>
          </w:p>
        </w:tc>
      </w:tr>
      <w:tr w14:paraId="451F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0D1F642B">
            <w:pPr>
              <w:rPr>
                <w:rFonts w:ascii="宋体" w:hAnsi="宋体"/>
                <w:color w:val="auto"/>
                <w:sz w:val="24"/>
                <w:highlight w:val="none"/>
              </w:rPr>
            </w:pPr>
          </w:p>
          <w:p w14:paraId="74DB36A5">
            <w:pPr>
              <w:rPr>
                <w:rFonts w:ascii="宋体" w:hAnsi="宋体"/>
                <w:color w:val="auto"/>
                <w:sz w:val="24"/>
                <w:highlight w:val="none"/>
              </w:rPr>
            </w:pPr>
          </w:p>
        </w:tc>
        <w:tc>
          <w:tcPr>
            <w:tcW w:w="1438" w:type="dxa"/>
            <w:vAlign w:val="center"/>
          </w:tcPr>
          <w:p w14:paraId="702FB154">
            <w:pPr>
              <w:widowControl/>
              <w:rPr>
                <w:rFonts w:ascii="宋体" w:hAnsi="宋体"/>
                <w:color w:val="auto"/>
                <w:sz w:val="24"/>
                <w:highlight w:val="none"/>
              </w:rPr>
            </w:pPr>
          </w:p>
          <w:p w14:paraId="0A5DC5C3">
            <w:pPr>
              <w:rPr>
                <w:rFonts w:ascii="宋体" w:hAnsi="宋体"/>
                <w:color w:val="auto"/>
                <w:sz w:val="24"/>
                <w:highlight w:val="none"/>
              </w:rPr>
            </w:pPr>
          </w:p>
        </w:tc>
        <w:tc>
          <w:tcPr>
            <w:tcW w:w="2552" w:type="dxa"/>
            <w:vAlign w:val="center"/>
          </w:tcPr>
          <w:p w14:paraId="67AEB042">
            <w:pPr>
              <w:rPr>
                <w:rFonts w:ascii="宋体" w:hAnsi="宋体"/>
                <w:color w:val="auto"/>
                <w:sz w:val="24"/>
                <w:highlight w:val="none"/>
              </w:rPr>
            </w:pPr>
          </w:p>
        </w:tc>
        <w:tc>
          <w:tcPr>
            <w:tcW w:w="2835" w:type="dxa"/>
            <w:vAlign w:val="center"/>
          </w:tcPr>
          <w:p w14:paraId="5DA70737">
            <w:pPr>
              <w:rPr>
                <w:rFonts w:ascii="宋体" w:hAnsi="宋体"/>
                <w:color w:val="auto"/>
                <w:sz w:val="24"/>
                <w:highlight w:val="none"/>
              </w:rPr>
            </w:pPr>
          </w:p>
        </w:tc>
        <w:tc>
          <w:tcPr>
            <w:tcW w:w="1984" w:type="dxa"/>
            <w:vAlign w:val="center"/>
          </w:tcPr>
          <w:p w14:paraId="59B7B643">
            <w:pPr>
              <w:rPr>
                <w:rFonts w:ascii="宋体" w:hAnsi="宋体"/>
                <w:color w:val="auto"/>
                <w:sz w:val="24"/>
                <w:highlight w:val="none"/>
              </w:rPr>
            </w:pPr>
          </w:p>
        </w:tc>
      </w:tr>
      <w:tr w14:paraId="6A83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17EFEEC3">
            <w:pPr>
              <w:rPr>
                <w:rFonts w:ascii="宋体" w:hAnsi="宋体"/>
                <w:color w:val="auto"/>
                <w:sz w:val="24"/>
                <w:highlight w:val="none"/>
              </w:rPr>
            </w:pPr>
          </w:p>
          <w:p w14:paraId="0639C006">
            <w:pPr>
              <w:rPr>
                <w:rFonts w:ascii="宋体" w:hAnsi="宋体"/>
                <w:color w:val="auto"/>
                <w:sz w:val="24"/>
                <w:highlight w:val="none"/>
              </w:rPr>
            </w:pPr>
          </w:p>
        </w:tc>
        <w:tc>
          <w:tcPr>
            <w:tcW w:w="1438" w:type="dxa"/>
            <w:vAlign w:val="center"/>
          </w:tcPr>
          <w:p w14:paraId="4F47C52B">
            <w:pPr>
              <w:widowControl/>
              <w:rPr>
                <w:rFonts w:ascii="宋体" w:hAnsi="宋体"/>
                <w:color w:val="auto"/>
                <w:sz w:val="24"/>
                <w:highlight w:val="none"/>
              </w:rPr>
            </w:pPr>
          </w:p>
          <w:p w14:paraId="00D3B111">
            <w:pPr>
              <w:rPr>
                <w:rFonts w:ascii="宋体" w:hAnsi="宋体"/>
                <w:color w:val="auto"/>
                <w:sz w:val="24"/>
                <w:highlight w:val="none"/>
              </w:rPr>
            </w:pPr>
          </w:p>
        </w:tc>
        <w:tc>
          <w:tcPr>
            <w:tcW w:w="2552" w:type="dxa"/>
            <w:vAlign w:val="center"/>
          </w:tcPr>
          <w:p w14:paraId="3C986480">
            <w:pPr>
              <w:rPr>
                <w:rFonts w:ascii="宋体" w:hAnsi="宋体"/>
                <w:color w:val="auto"/>
                <w:sz w:val="24"/>
                <w:highlight w:val="none"/>
              </w:rPr>
            </w:pPr>
          </w:p>
        </w:tc>
        <w:tc>
          <w:tcPr>
            <w:tcW w:w="2835" w:type="dxa"/>
            <w:vAlign w:val="center"/>
          </w:tcPr>
          <w:p w14:paraId="03473524">
            <w:pPr>
              <w:rPr>
                <w:rFonts w:ascii="宋体" w:hAnsi="宋体"/>
                <w:color w:val="auto"/>
                <w:sz w:val="24"/>
                <w:highlight w:val="none"/>
              </w:rPr>
            </w:pPr>
          </w:p>
        </w:tc>
        <w:tc>
          <w:tcPr>
            <w:tcW w:w="1984" w:type="dxa"/>
            <w:vAlign w:val="center"/>
          </w:tcPr>
          <w:p w14:paraId="3CD16A01">
            <w:pPr>
              <w:rPr>
                <w:rFonts w:ascii="宋体" w:hAnsi="宋体"/>
                <w:color w:val="auto"/>
                <w:sz w:val="24"/>
                <w:highlight w:val="none"/>
              </w:rPr>
            </w:pPr>
          </w:p>
        </w:tc>
      </w:tr>
      <w:tr w14:paraId="3042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3A6BFFF4">
            <w:pPr>
              <w:rPr>
                <w:rFonts w:ascii="宋体" w:hAnsi="宋体"/>
                <w:color w:val="auto"/>
                <w:sz w:val="24"/>
                <w:highlight w:val="none"/>
              </w:rPr>
            </w:pPr>
          </w:p>
          <w:p w14:paraId="78343145">
            <w:pPr>
              <w:rPr>
                <w:rFonts w:ascii="宋体" w:hAnsi="宋体"/>
                <w:color w:val="auto"/>
                <w:sz w:val="24"/>
                <w:highlight w:val="none"/>
              </w:rPr>
            </w:pPr>
          </w:p>
        </w:tc>
        <w:tc>
          <w:tcPr>
            <w:tcW w:w="1438" w:type="dxa"/>
            <w:vAlign w:val="center"/>
          </w:tcPr>
          <w:p w14:paraId="49CF9067">
            <w:pPr>
              <w:widowControl/>
              <w:rPr>
                <w:rFonts w:ascii="宋体" w:hAnsi="宋体"/>
                <w:color w:val="auto"/>
                <w:sz w:val="24"/>
                <w:highlight w:val="none"/>
              </w:rPr>
            </w:pPr>
          </w:p>
          <w:p w14:paraId="53CAEBA8">
            <w:pPr>
              <w:rPr>
                <w:rFonts w:ascii="宋体" w:hAnsi="宋体"/>
                <w:color w:val="auto"/>
                <w:sz w:val="24"/>
                <w:highlight w:val="none"/>
              </w:rPr>
            </w:pPr>
          </w:p>
        </w:tc>
        <w:tc>
          <w:tcPr>
            <w:tcW w:w="2552" w:type="dxa"/>
            <w:vAlign w:val="center"/>
          </w:tcPr>
          <w:p w14:paraId="4A433D49">
            <w:pPr>
              <w:rPr>
                <w:rFonts w:ascii="宋体" w:hAnsi="宋体"/>
                <w:color w:val="auto"/>
                <w:sz w:val="24"/>
                <w:highlight w:val="none"/>
              </w:rPr>
            </w:pPr>
          </w:p>
        </w:tc>
        <w:tc>
          <w:tcPr>
            <w:tcW w:w="2835" w:type="dxa"/>
            <w:vAlign w:val="center"/>
          </w:tcPr>
          <w:p w14:paraId="5CB4C112">
            <w:pPr>
              <w:rPr>
                <w:rFonts w:ascii="宋体" w:hAnsi="宋体"/>
                <w:color w:val="auto"/>
                <w:sz w:val="24"/>
                <w:highlight w:val="none"/>
              </w:rPr>
            </w:pPr>
          </w:p>
        </w:tc>
        <w:tc>
          <w:tcPr>
            <w:tcW w:w="1984" w:type="dxa"/>
            <w:vAlign w:val="center"/>
          </w:tcPr>
          <w:p w14:paraId="51A6DFFC">
            <w:pPr>
              <w:rPr>
                <w:rFonts w:ascii="宋体" w:hAnsi="宋体"/>
                <w:color w:val="auto"/>
                <w:sz w:val="24"/>
                <w:highlight w:val="none"/>
              </w:rPr>
            </w:pPr>
          </w:p>
        </w:tc>
      </w:tr>
      <w:tr w14:paraId="7628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49DC2F65">
            <w:pPr>
              <w:rPr>
                <w:rFonts w:ascii="宋体" w:hAnsi="宋体"/>
                <w:color w:val="auto"/>
                <w:sz w:val="24"/>
                <w:highlight w:val="none"/>
              </w:rPr>
            </w:pPr>
          </w:p>
          <w:p w14:paraId="35FCCFB6">
            <w:pPr>
              <w:rPr>
                <w:rFonts w:ascii="宋体" w:hAnsi="宋体"/>
                <w:color w:val="auto"/>
                <w:sz w:val="24"/>
                <w:highlight w:val="none"/>
              </w:rPr>
            </w:pPr>
          </w:p>
        </w:tc>
        <w:tc>
          <w:tcPr>
            <w:tcW w:w="1438" w:type="dxa"/>
            <w:vAlign w:val="center"/>
          </w:tcPr>
          <w:p w14:paraId="57988563">
            <w:pPr>
              <w:widowControl/>
              <w:rPr>
                <w:rFonts w:ascii="宋体" w:hAnsi="宋体"/>
                <w:color w:val="auto"/>
                <w:sz w:val="24"/>
                <w:highlight w:val="none"/>
              </w:rPr>
            </w:pPr>
          </w:p>
          <w:p w14:paraId="72E5F37B">
            <w:pPr>
              <w:rPr>
                <w:rFonts w:ascii="宋体" w:hAnsi="宋体"/>
                <w:color w:val="auto"/>
                <w:sz w:val="24"/>
                <w:highlight w:val="none"/>
              </w:rPr>
            </w:pPr>
          </w:p>
        </w:tc>
        <w:tc>
          <w:tcPr>
            <w:tcW w:w="2552" w:type="dxa"/>
            <w:vAlign w:val="center"/>
          </w:tcPr>
          <w:p w14:paraId="6765A653">
            <w:pPr>
              <w:rPr>
                <w:rFonts w:ascii="宋体" w:hAnsi="宋体"/>
                <w:color w:val="auto"/>
                <w:sz w:val="24"/>
                <w:highlight w:val="none"/>
              </w:rPr>
            </w:pPr>
          </w:p>
        </w:tc>
        <w:tc>
          <w:tcPr>
            <w:tcW w:w="2835" w:type="dxa"/>
            <w:vAlign w:val="center"/>
          </w:tcPr>
          <w:p w14:paraId="78567D92">
            <w:pPr>
              <w:rPr>
                <w:rFonts w:ascii="宋体" w:hAnsi="宋体"/>
                <w:color w:val="auto"/>
                <w:sz w:val="24"/>
                <w:highlight w:val="none"/>
              </w:rPr>
            </w:pPr>
          </w:p>
        </w:tc>
        <w:tc>
          <w:tcPr>
            <w:tcW w:w="1984" w:type="dxa"/>
            <w:vAlign w:val="center"/>
          </w:tcPr>
          <w:p w14:paraId="1929B933">
            <w:pPr>
              <w:rPr>
                <w:rFonts w:ascii="宋体" w:hAnsi="宋体"/>
                <w:color w:val="auto"/>
                <w:sz w:val="24"/>
                <w:highlight w:val="none"/>
              </w:rPr>
            </w:pPr>
          </w:p>
        </w:tc>
      </w:tr>
      <w:tr w14:paraId="6B84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1B17A52F">
            <w:pPr>
              <w:rPr>
                <w:rFonts w:ascii="宋体" w:hAnsi="宋体"/>
                <w:color w:val="auto"/>
                <w:sz w:val="24"/>
                <w:highlight w:val="none"/>
              </w:rPr>
            </w:pPr>
          </w:p>
          <w:p w14:paraId="1D29FEE8">
            <w:pPr>
              <w:rPr>
                <w:rFonts w:ascii="宋体" w:hAnsi="宋体"/>
                <w:color w:val="auto"/>
                <w:sz w:val="24"/>
                <w:highlight w:val="none"/>
              </w:rPr>
            </w:pPr>
          </w:p>
        </w:tc>
        <w:tc>
          <w:tcPr>
            <w:tcW w:w="1438" w:type="dxa"/>
            <w:vAlign w:val="center"/>
          </w:tcPr>
          <w:p w14:paraId="1DCAFAD0">
            <w:pPr>
              <w:widowControl/>
              <w:rPr>
                <w:rFonts w:ascii="宋体" w:hAnsi="宋体"/>
                <w:color w:val="auto"/>
                <w:sz w:val="24"/>
                <w:highlight w:val="none"/>
              </w:rPr>
            </w:pPr>
          </w:p>
          <w:p w14:paraId="6F2DDD02">
            <w:pPr>
              <w:rPr>
                <w:rFonts w:ascii="宋体" w:hAnsi="宋体"/>
                <w:color w:val="auto"/>
                <w:sz w:val="24"/>
                <w:highlight w:val="none"/>
              </w:rPr>
            </w:pPr>
          </w:p>
        </w:tc>
        <w:tc>
          <w:tcPr>
            <w:tcW w:w="2552" w:type="dxa"/>
            <w:vAlign w:val="center"/>
          </w:tcPr>
          <w:p w14:paraId="6EBBD512">
            <w:pPr>
              <w:rPr>
                <w:rFonts w:ascii="宋体" w:hAnsi="宋体"/>
                <w:color w:val="auto"/>
                <w:sz w:val="24"/>
                <w:highlight w:val="none"/>
              </w:rPr>
            </w:pPr>
          </w:p>
        </w:tc>
        <w:tc>
          <w:tcPr>
            <w:tcW w:w="2835" w:type="dxa"/>
            <w:vAlign w:val="center"/>
          </w:tcPr>
          <w:p w14:paraId="787A1175">
            <w:pPr>
              <w:rPr>
                <w:rFonts w:ascii="宋体" w:hAnsi="宋体"/>
                <w:color w:val="auto"/>
                <w:sz w:val="24"/>
                <w:highlight w:val="none"/>
              </w:rPr>
            </w:pPr>
          </w:p>
        </w:tc>
        <w:tc>
          <w:tcPr>
            <w:tcW w:w="1984" w:type="dxa"/>
            <w:vAlign w:val="center"/>
          </w:tcPr>
          <w:p w14:paraId="5A032432">
            <w:pPr>
              <w:rPr>
                <w:rFonts w:ascii="宋体" w:hAnsi="宋体"/>
                <w:color w:val="auto"/>
                <w:sz w:val="24"/>
                <w:highlight w:val="none"/>
              </w:rPr>
            </w:pPr>
          </w:p>
        </w:tc>
      </w:tr>
      <w:tr w14:paraId="42A1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02FED58B">
            <w:pPr>
              <w:rPr>
                <w:rFonts w:ascii="宋体" w:hAnsi="宋体"/>
                <w:color w:val="auto"/>
                <w:sz w:val="24"/>
                <w:highlight w:val="none"/>
              </w:rPr>
            </w:pPr>
          </w:p>
          <w:p w14:paraId="4202F2CD">
            <w:pPr>
              <w:rPr>
                <w:rFonts w:ascii="宋体" w:hAnsi="宋体"/>
                <w:color w:val="auto"/>
                <w:sz w:val="24"/>
                <w:highlight w:val="none"/>
              </w:rPr>
            </w:pPr>
          </w:p>
        </w:tc>
        <w:tc>
          <w:tcPr>
            <w:tcW w:w="1438" w:type="dxa"/>
            <w:vAlign w:val="center"/>
          </w:tcPr>
          <w:p w14:paraId="42D83A29">
            <w:pPr>
              <w:widowControl/>
              <w:rPr>
                <w:rFonts w:ascii="宋体" w:hAnsi="宋体"/>
                <w:color w:val="auto"/>
                <w:sz w:val="24"/>
                <w:highlight w:val="none"/>
              </w:rPr>
            </w:pPr>
          </w:p>
          <w:p w14:paraId="06EC13BC">
            <w:pPr>
              <w:rPr>
                <w:rFonts w:ascii="宋体" w:hAnsi="宋体"/>
                <w:color w:val="auto"/>
                <w:sz w:val="24"/>
                <w:highlight w:val="none"/>
              </w:rPr>
            </w:pPr>
          </w:p>
        </w:tc>
        <w:tc>
          <w:tcPr>
            <w:tcW w:w="2552" w:type="dxa"/>
            <w:vAlign w:val="center"/>
          </w:tcPr>
          <w:p w14:paraId="393BFEC5">
            <w:pPr>
              <w:rPr>
                <w:rFonts w:ascii="宋体" w:hAnsi="宋体"/>
                <w:color w:val="auto"/>
                <w:sz w:val="24"/>
                <w:highlight w:val="none"/>
              </w:rPr>
            </w:pPr>
          </w:p>
        </w:tc>
        <w:tc>
          <w:tcPr>
            <w:tcW w:w="2835" w:type="dxa"/>
            <w:vAlign w:val="center"/>
          </w:tcPr>
          <w:p w14:paraId="617CEE34">
            <w:pPr>
              <w:rPr>
                <w:rFonts w:ascii="宋体" w:hAnsi="宋体"/>
                <w:color w:val="auto"/>
                <w:sz w:val="24"/>
                <w:highlight w:val="none"/>
              </w:rPr>
            </w:pPr>
          </w:p>
        </w:tc>
        <w:tc>
          <w:tcPr>
            <w:tcW w:w="1984" w:type="dxa"/>
            <w:vAlign w:val="center"/>
          </w:tcPr>
          <w:p w14:paraId="7F3DC86B">
            <w:pPr>
              <w:rPr>
                <w:rFonts w:ascii="宋体" w:hAnsi="宋体"/>
                <w:color w:val="auto"/>
                <w:sz w:val="24"/>
                <w:highlight w:val="none"/>
              </w:rPr>
            </w:pPr>
          </w:p>
        </w:tc>
      </w:tr>
      <w:tr w14:paraId="5757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0D630886">
            <w:pPr>
              <w:rPr>
                <w:rFonts w:ascii="宋体" w:hAnsi="宋体"/>
                <w:color w:val="auto"/>
                <w:sz w:val="24"/>
                <w:highlight w:val="none"/>
              </w:rPr>
            </w:pPr>
          </w:p>
          <w:p w14:paraId="1D6A149C">
            <w:pPr>
              <w:rPr>
                <w:rFonts w:ascii="宋体" w:hAnsi="宋体"/>
                <w:color w:val="auto"/>
                <w:sz w:val="24"/>
                <w:highlight w:val="none"/>
              </w:rPr>
            </w:pPr>
          </w:p>
        </w:tc>
        <w:tc>
          <w:tcPr>
            <w:tcW w:w="1438" w:type="dxa"/>
            <w:vAlign w:val="center"/>
          </w:tcPr>
          <w:p w14:paraId="55101C4D">
            <w:pPr>
              <w:widowControl/>
              <w:rPr>
                <w:rFonts w:ascii="宋体" w:hAnsi="宋体"/>
                <w:color w:val="auto"/>
                <w:sz w:val="24"/>
                <w:highlight w:val="none"/>
              </w:rPr>
            </w:pPr>
          </w:p>
          <w:p w14:paraId="52F8FA87">
            <w:pPr>
              <w:rPr>
                <w:rFonts w:ascii="宋体" w:hAnsi="宋体"/>
                <w:color w:val="auto"/>
                <w:sz w:val="24"/>
                <w:highlight w:val="none"/>
              </w:rPr>
            </w:pPr>
          </w:p>
        </w:tc>
        <w:tc>
          <w:tcPr>
            <w:tcW w:w="2552" w:type="dxa"/>
            <w:vAlign w:val="center"/>
          </w:tcPr>
          <w:p w14:paraId="36F894B8">
            <w:pPr>
              <w:rPr>
                <w:rFonts w:ascii="宋体" w:hAnsi="宋体"/>
                <w:color w:val="auto"/>
                <w:sz w:val="24"/>
                <w:highlight w:val="none"/>
              </w:rPr>
            </w:pPr>
          </w:p>
        </w:tc>
        <w:tc>
          <w:tcPr>
            <w:tcW w:w="2835" w:type="dxa"/>
            <w:vAlign w:val="center"/>
          </w:tcPr>
          <w:p w14:paraId="7A3CE414">
            <w:pPr>
              <w:rPr>
                <w:rFonts w:ascii="宋体" w:hAnsi="宋体"/>
                <w:color w:val="auto"/>
                <w:sz w:val="24"/>
                <w:highlight w:val="none"/>
              </w:rPr>
            </w:pPr>
          </w:p>
        </w:tc>
        <w:tc>
          <w:tcPr>
            <w:tcW w:w="1984" w:type="dxa"/>
            <w:vAlign w:val="center"/>
          </w:tcPr>
          <w:p w14:paraId="1555AFEB">
            <w:pPr>
              <w:rPr>
                <w:rFonts w:ascii="宋体" w:hAnsi="宋体"/>
                <w:color w:val="auto"/>
                <w:sz w:val="24"/>
                <w:highlight w:val="none"/>
              </w:rPr>
            </w:pPr>
          </w:p>
        </w:tc>
      </w:tr>
      <w:tr w14:paraId="43D9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56CDAD13">
            <w:pPr>
              <w:rPr>
                <w:rFonts w:ascii="宋体" w:hAnsi="宋体"/>
                <w:color w:val="auto"/>
                <w:sz w:val="24"/>
                <w:highlight w:val="none"/>
              </w:rPr>
            </w:pPr>
          </w:p>
          <w:p w14:paraId="2017D0C6">
            <w:pPr>
              <w:rPr>
                <w:rFonts w:ascii="宋体" w:hAnsi="宋体"/>
                <w:color w:val="auto"/>
                <w:sz w:val="24"/>
                <w:highlight w:val="none"/>
              </w:rPr>
            </w:pPr>
          </w:p>
        </w:tc>
        <w:tc>
          <w:tcPr>
            <w:tcW w:w="1438" w:type="dxa"/>
            <w:vAlign w:val="center"/>
          </w:tcPr>
          <w:p w14:paraId="4C35B362">
            <w:pPr>
              <w:widowControl/>
              <w:rPr>
                <w:rFonts w:ascii="宋体" w:hAnsi="宋体"/>
                <w:color w:val="auto"/>
                <w:sz w:val="24"/>
                <w:highlight w:val="none"/>
              </w:rPr>
            </w:pPr>
          </w:p>
          <w:p w14:paraId="60EA6082">
            <w:pPr>
              <w:rPr>
                <w:rFonts w:ascii="宋体" w:hAnsi="宋体"/>
                <w:color w:val="auto"/>
                <w:sz w:val="24"/>
                <w:highlight w:val="none"/>
              </w:rPr>
            </w:pPr>
          </w:p>
        </w:tc>
        <w:tc>
          <w:tcPr>
            <w:tcW w:w="2552" w:type="dxa"/>
            <w:vAlign w:val="center"/>
          </w:tcPr>
          <w:p w14:paraId="45151CE9">
            <w:pPr>
              <w:rPr>
                <w:rFonts w:ascii="宋体" w:hAnsi="宋体"/>
                <w:color w:val="auto"/>
                <w:sz w:val="24"/>
                <w:highlight w:val="none"/>
              </w:rPr>
            </w:pPr>
          </w:p>
        </w:tc>
        <w:tc>
          <w:tcPr>
            <w:tcW w:w="2835" w:type="dxa"/>
            <w:vAlign w:val="center"/>
          </w:tcPr>
          <w:p w14:paraId="17DE673F">
            <w:pPr>
              <w:rPr>
                <w:rFonts w:ascii="宋体" w:hAnsi="宋体"/>
                <w:color w:val="auto"/>
                <w:sz w:val="24"/>
                <w:highlight w:val="none"/>
              </w:rPr>
            </w:pPr>
          </w:p>
        </w:tc>
        <w:tc>
          <w:tcPr>
            <w:tcW w:w="1984" w:type="dxa"/>
            <w:vAlign w:val="center"/>
          </w:tcPr>
          <w:p w14:paraId="27F3DAE4">
            <w:pPr>
              <w:rPr>
                <w:rFonts w:ascii="宋体" w:hAnsi="宋体"/>
                <w:color w:val="auto"/>
                <w:sz w:val="24"/>
                <w:highlight w:val="none"/>
              </w:rPr>
            </w:pPr>
          </w:p>
        </w:tc>
      </w:tr>
      <w:tr w14:paraId="2667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669A4D25">
            <w:pPr>
              <w:rPr>
                <w:rFonts w:ascii="宋体" w:hAnsi="宋体"/>
                <w:color w:val="auto"/>
                <w:sz w:val="24"/>
                <w:highlight w:val="none"/>
              </w:rPr>
            </w:pPr>
          </w:p>
          <w:p w14:paraId="7ED23985">
            <w:pPr>
              <w:rPr>
                <w:rFonts w:ascii="宋体" w:hAnsi="宋体"/>
                <w:color w:val="auto"/>
                <w:sz w:val="24"/>
                <w:highlight w:val="none"/>
              </w:rPr>
            </w:pPr>
          </w:p>
        </w:tc>
        <w:tc>
          <w:tcPr>
            <w:tcW w:w="1438" w:type="dxa"/>
            <w:vAlign w:val="center"/>
          </w:tcPr>
          <w:p w14:paraId="26388B7B">
            <w:pPr>
              <w:widowControl/>
              <w:rPr>
                <w:rFonts w:ascii="宋体" w:hAnsi="宋体"/>
                <w:color w:val="auto"/>
                <w:sz w:val="24"/>
                <w:highlight w:val="none"/>
              </w:rPr>
            </w:pPr>
          </w:p>
          <w:p w14:paraId="7248217C">
            <w:pPr>
              <w:rPr>
                <w:rFonts w:ascii="宋体" w:hAnsi="宋体"/>
                <w:color w:val="auto"/>
                <w:sz w:val="24"/>
                <w:highlight w:val="none"/>
              </w:rPr>
            </w:pPr>
          </w:p>
        </w:tc>
        <w:tc>
          <w:tcPr>
            <w:tcW w:w="2552" w:type="dxa"/>
            <w:vAlign w:val="center"/>
          </w:tcPr>
          <w:p w14:paraId="18DC8B70">
            <w:pPr>
              <w:rPr>
                <w:rFonts w:ascii="宋体" w:hAnsi="宋体"/>
                <w:color w:val="auto"/>
                <w:sz w:val="24"/>
                <w:highlight w:val="none"/>
              </w:rPr>
            </w:pPr>
          </w:p>
        </w:tc>
        <w:tc>
          <w:tcPr>
            <w:tcW w:w="2835" w:type="dxa"/>
            <w:vAlign w:val="center"/>
          </w:tcPr>
          <w:p w14:paraId="587D0A92">
            <w:pPr>
              <w:rPr>
                <w:rFonts w:ascii="宋体" w:hAnsi="宋体"/>
                <w:color w:val="auto"/>
                <w:sz w:val="24"/>
                <w:highlight w:val="none"/>
              </w:rPr>
            </w:pPr>
          </w:p>
        </w:tc>
        <w:tc>
          <w:tcPr>
            <w:tcW w:w="1984" w:type="dxa"/>
            <w:vAlign w:val="center"/>
          </w:tcPr>
          <w:p w14:paraId="3E92AE4C">
            <w:pPr>
              <w:rPr>
                <w:rFonts w:ascii="宋体" w:hAnsi="宋体"/>
                <w:color w:val="auto"/>
                <w:sz w:val="24"/>
                <w:highlight w:val="none"/>
              </w:rPr>
            </w:pPr>
          </w:p>
        </w:tc>
      </w:tr>
      <w:tr w14:paraId="4B54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240966F6">
            <w:pPr>
              <w:rPr>
                <w:rFonts w:ascii="宋体" w:hAnsi="宋体"/>
                <w:color w:val="auto"/>
                <w:sz w:val="24"/>
                <w:highlight w:val="none"/>
              </w:rPr>
            </w:pPr>
          </w:p>
          <w:p w14:paraId="5F487173">
            <w:pPr>
              <w:rPr>
                <w:rFonts w:ascii="宋体" w:hAnsi="宋体"/>
                <w:color w:val="auto"/>
                <w:sz w:val="24"/>
                <w:highlight w:val="none"/>
              </w:rPr>
            </w:pPr>
          </w:p>
        </w:tc>
        <w:tc>
          <w:tcPr>
            <w:tcW w:w="1438" w:type="dxa"/>
            <w:vAlign w:val="center"/>
          </w:tcPr>
          <w:p w14:paraId="50FB933F">
            <w:pPr>
              <w:widowControl/>
              <w:rPr>
                <w:rFonts w:ascii="宋体" w:hAnsi="宋体"/>
                <w:color w:val="auto"/>
                <w:sz w:val="24"/>
                <w:highlight w:val="none"/>
              </w:rPr>
            </w:pPr>
          </w:p>
          <w:p w14:paraId="01A0AFA1">
            <w:pPr>
              <w:rPr>
                <w:rFonts w:ascii="宋体" w:hAnsi="宋体"/>
                <w:color w:val="auto"/>
                <w:sz w:val="24"/>
                <w:highlight w:val="none"/>
              </w:rPr>
            </w:pPr>
          </w:p>
        </w:tc>
        <w:tc>
          <w:tcPr>
            <w:tcW w:w="2552" w:type="dxa"/>
            <w:vAlign w:val="center"/>
          </w:tcPr>
          <w:p w14:paraId="2E732141">
            <w:pPr>
              <w:rPr>
                <w:rFonts w:ascii="宋体" w:hAnsi="宋体"/>
                <w:color w:val="auto"/>
                <w:sz w:val="24"/>
                <w:highlight w:val="none"/>
              </w:rPr>
            </w:pPr>
          </w:p>
        </w:tc>
        <w:tc>
          <w:tcPr>
            <w:tcW w:w="2835" w:type="dxa"/>
            <w:vAlign w:val="center"/>
          </w:tcPr>
          <w:p w14:paraId="538A941A">
            <w:pPr>
              <w:rPr>
                <w:rFonts w:ascii="宋体" w:hAnsi="宋体"/>
                <w:color w:val="auto"/>
                <w:sz w:val="24"/>
                <w:highlight w:val="none"/>
              </w:rPr>
            </w:pPr>
          </w:p>
        </w:tc>
        <w:tc>
          <w:tcPr>
            <w:tcW w:w="1984" w:type="dxa"/>
            <w:vAlign w:val="center"/>
          </w:tcPr>
          <w:p w14:paraId="1A129432">
            <w:pPr>
              <w:rPr>
                <w:rFonts w:ascii="宋体" w:hAnsi="宋体"/>
                <w:color w:val="auto"/>
                <w:sz w:val="24"/>
                <w:highlight w:val="none"/>
              </w:rPr>
            </w:pPr>
          </w:p>
        </w:tc>
      </w:tr>
      <w:tr w14:paraId="2D6A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6214130A">
            <w:pPr>
              <w:rPr>
                <w:rFonts w:ascii="宋体" w:hAnsi="宋体"/>
                <w:color w:val="auto"/>
                <w:sz w:val="24"/>
                <w:highlight w:val="none"/>
              </w:rPr>
            </w:pPr>
          </w:p>
          <w:p w14:paraId="1EF53FD1">
            <w:pPr>
              <w:rPr>
                <w:rFonts w:ascii="宋体" w:hAnsi="宋体"/>
                <w:color w:val="auto"/>
                <w:sz w:val="24"/>
                <w:highlight w:val="none"/>
              </w:rPr>
            </w:pPr>
          </w:p>
        </w:tc>
        <w:tc>
          <w:tcPr>
            <w:tcW w:w="1438" w:type="dxa"/>
            <w:vAlign w:val="center"/>
          </w:tcPr>
          <w:p w14:paraId="2021B178">
            <w:pPr>
              <w:widowControl/>
              <w:rPr>
                <w:rFonts w:ascii="宋体" w:hAnsi="宋体"/>
                <w:color w:val="auto"/>
                <w:sz w:val="24"/>
                <w:highlight w:val="none"/>
              </w:rPr>
            </w:pPr>
          </w:p>
          <w:p w14:paraId="5540BE89">
            <w:pPr>
              <w:rPr>
                <w:rFonts w:ascii="宋体" w:hAnsi="宋体"/>
                <w:color w:val="auto"/>
                <w:sz w:val="24"/>
                <w:highlight w:val="none"/>
              </w:rPr>
            </w:pPr>
          </w:p>
        </w:tc>
        <w:tc>
          <w:tcPr>
            <w:tcW w:w="2552" w:type="dxa"/>
            <w:vAlign w:val="center"/>
          </w:tcPr>
          <w:p w14:paraId="69130823">
            <w:pPr>
              <w:rPr>
                <w:rFonts w:ascii="宋体" w:hAnsi="宋体"/>
                <w:color w:val="auto"/>
                <w:sz w:val="24"/>
                <w:highlight w:val="none"/>
              </w:rPr>
            </w:pPr>
          </w:p>
        </w:tc>
        <w:tc>
          <w:tcPr>
            <w:tcW w:w="2835" w:type="dxa"/>
            <w:vAlign w:val="center"/>
          </w:tcPr>
          <w:p w14:paraId="7B3A95F8">
            <w:pPr>
              <w:rPr>
                <w:rFonts w:ascii="宋体" w:hAnsi="宋体"/>
                <w:color w:val="auto"/>
                <w:sz w:val="24"/>
                <w:highlight w:val="none"/>
              </w:rPr>
            </w:pPr>
          </w:p>
        </w:tc>
        <w:tc>
          <w:tcPr>
            <w:tcW w:w="1984" w:type="dxa"/>
            <w:vAlign w:val="center"/>
          </w:tcPr>
          <w:p w14:paraId="7A017953">
            <w:pPr>
              <w:rPr>
                <w:rFonts w:ascii="宋体" w:hAnsi="宋体"/>
                <w:color w:val="auto"/>
                <w:sz w:val="24"/>
                <w:highlight w:val="none"/>
              </w:rPr>
            </w:pPr>
          </w:p>
        </w:tc>
      </w:tr>
      <w:tr w14:paraId="0C10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6665298F">
            <w:pPr>
              <w:rPr>
                <w:rFonts w:ascii="宋体" w:hAnsi="宋体"/>
                <w:color w:val="auto"/>
                <w:sz w:val="24"/>
                <w:highlight w:val="none"/>
              </w:rPr>
            </w:pPr>
          </w:p>
        </w:tc>
        <w:tc>
          <w:tcPr>
            <w:tcW w:w="1438" w:type="dxa"/>
            <w:vAlign w:val="center"/>
          </w:tcPr>
          <w:p w14:paraId="1A16A92A">
            <w:pPr>
              <w:rPr>
                <w:rFonts w:ascii="宋体" w:hAnsi="宋体"/>
                <w:color w:val="auto"/>
                <w:sz w:val="24"/>
                <w:highlight w:val="none"/>
              </w:rPr>
            </w:pPr>
          </w:p>
        </w:tc>
        <w:tc>
          <w:tcPr>
            <w:tcW w:w="2552" w:type="dxa"/>
            <w:vAlign w:val="center"/>
          </w:tcPr>
          <w:p w14:paraId="463AAA66">
            <w:pPr>
              <w:rPr>
                <w:rFonts w:ascii="宋体" w:hAnsi="宋体"/>
                <w:color w:val="auto"/>
                <w:sz w:val="24"/>
                <w:highlight w:val="none"/>
              </w:rPr>
            </w:pPr>
          </w:p>
        </w:tc>
        <w:tc>
          <w:tcPr>
            <w:tcW w:w="2835" w:type="dxa"/>
            <w:vAlign w:val="center"/>
          </w:tcPr>
          <w:p w14:paraId="40E482CE">
            <w:pPr>
              <w:rPr>
                <w:rFonts w:ascii="宋体" w:hAnsi="宋体"/>
                <w:color w:val="auto"/>
                <w:sz w:val="24"/>
                <w:highlight w:val="none"/>
              </w:rPr>
            </w:pPr>
          </w:p>
        </w:tc>
        <w:tc>
          <w:tcPr>
            <w:tcW w:w="1984" w:type="dxa"/>
            <w:vAlign w:val="center"/>
          </w:tcPr>
          <w:p w14:paraId="42C37DDA">
            <w:pPr>
              <w:rPr>
                <w:rFonts w:ascii="宋体" w:hAnsi="宋体"/>
                <w:color w:val="auto"/>
                <w:sz w:val="24"/>
                <w:highlight w:val="none"/>
              </w:rPr>
            </w:pPr>
          </w:p>
        </w:tc>
      </w:tr>
      <w:tr w14:paraId="63C4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32B37C23">
            <w:pPr>
              <w:rPr>
                <w:rFonts w:ascii="宋体" w:hAnsi="宋体"/>
                <w:color w:val="auto"/>
                <w:sz w:val="24"/>
                <w:highlight w:val="none"/>
              </w:rPr>
            </w:pPr>
          </w:p>
        </w:tc>
        <w:tc>
          <w:tcPr>
            <w:tcW w:w="1438" w:type="dxa"/>
            <w:vAlign w:val="center"/>
          </w:tcPr>
          <w:p w14:paraId="6BE7E9CD">
            <w:pPr>
              <w:rPr>
                <w:rFonts w:ascii="宋体" w:hAnsi="宋体"/>
                <w:color w:val="auto"/>
                <w:sz w:val="24"/>
                <w:highlight w:val="none"/>
              </w:rPr>
            </w:pPr>
          </w:p>
        </w:tc>
        <w:tc>
          <w:tcPr>
            <w:tcW w:w="2552" w:type="dxa"/>
            <w:vAlign w:val="center"/>
          </w:tcPr>
          <w:p w14:paraId="0F5B0146">
            <w:pPr>
              <w:rPr>
                <w:rFonts w:ascii="宋体" w:hAnsi="宋体"/>
                <w:color w:val="auto"/>
                <w:sz w:val="24"/>
                <w:highlight w:val="none"/>
              </w:rPr>
            </w:pPr>
          </w:p>
          <w:p w14:paraId="69ADF385">
            <w:pPr>
              <w:rPr>
                <w:rFonts w:ascii="宋体" w:hAnsi="宋体"/>
                <w:color w:val="auto"/>
                <w:sz w:val="24"/>
                <w:highlight w:val="none"/>
              </w:rPr>
            </w:pPr>
          </w:p>
        </w:tc>
        <w:tc>
          <w:tcPr>
            <w:tcW w:w="2835" w:type="dxa"/>
            <w:vAlign w:val="center"/>
          </w:tcPr>
          <w:p w14:paraId="25FC227C">
            <w:pPr>
              <w:widowControl/>
              <w:rPr>
                <w:rFonts w:ascii="宋体" w:hAnsi="宋体"/>
                <w:color w:val="auto"/>
                <w:sz w:val="24"/>
                <w:highlight w:val="none"/>
              </w:rPr>
            </w:pPr>
          </w:p>
          <w:p w14:paraId="71345665">
            <w:pPr>
              <w:rPr>
                <w:rFonts w:ascii="宋体" w:hAnsi="宋体"/>
                <w:color w:val="auto"/>
                <w:sz w:val="24"/>
                <w:highlight w:val="none"/>
              </w:rPr>
            </w:pPr>
          </w:p>
        </w:tc>
        <w:tc>
          <w:tcPr>
            <w:tcW w:w="1984" w:type="dxa"/>
            <w:vAlign w:val="center"/>
          </w:tcPr>
          <w:p w14:paraId="4096FE90">
            <w:pPr>
              <w:rPr>
                <w:rFonts w:ascii="宋体" w:hAnsi="宋体"/>
                <w:color w:val="auto"/>
                <w:sz w:val="24"/>
                <w:highlight w:val="none"/>
              </w:rPr>
            </w:pPr>
          </w:p>
        </w:tc>
      </w:tr>
      <w:tr w14:paraId="6A26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96" w:type="dxa"/>
            <w:vAlign w:val="center"/>
          </w:tcPr>
          <w:p w14:paraId="26FB7290">
            <w:pPr>
              <w:rPr>
                <w:rFonts w:ascii="宋体" w:hAnsi="宋体"/>
                <w:color w:val="auto"/>
                <w:sz w:val="24"/>
                <w:highlight w:val="none"/>
              </w:rPr>
            </w:pPr>
          </w:p>
        </w:tc>
        <w:tc>
          <w:tcPr>
            <w:tcW w:w="1438" w:type="dxa"/>
            <w:vAlign w:val="center"/>
          </w:tcPr>
          <w:p w14:paraId="5E580A61">
            <w:pPr>
              <w:rPr>
                <w:rFonts w:ascii="宋体" w:hAnsi="宋体"/>
                <w:color w:val="auto"/>
                <w:sz w:val="24"/>
                <w:highlight w:val="none"/>
              </w:rPr>
            </w:pPr>
          </w:p>
        </w:tc>
        <w:tc>
          <w:tcPr>
            <w:tcW w:w="2552" w:type="dxa"/>
            <w:vAlign w:val="center"/>
          </w:tcPr>
          <w:p w14:paraId="26C95A2C">
            <w:pPr>
              <w:rPr>
                <w:rFonts w:ascii="宋体" w:hAnsi="宋体"/>
                <w:color w:val="auto"/>
                <w:sz w:val="24"/>
                <w:highlight w:val="none"/>
              </w:rPr>
            </w:pPr>
          </w:p>
        </w:tc>
        <w:tc>
          <w:tcPr>
            <w:tcW w:w="2835" w:type="dxa"/>
            <w:vAlign w:val="center"/>
          </w:tcPr>
          <w:p w14:paraId="09E9B6CB">
            <w:pPr>
              <w:rPr>
                <w:rFonts w:ascii="宋体" w:hAnsi="宋体"/>
                <w:color w:val="auto"/>
                <w:sz w:val="24"/>
                <w:highlight w:val="none"/>
              </w:rPr>
            </w:pPr>
          </w:p>
        </w:tc>
        <w:tc>
          <w:tcPr>
            <w:tcW w:w="1984" w:type="dxa"/>
            <w:vAlign w:val="center"/>
          </w:tcPr>
          <w:p w14:paraId="176B30BE">
            <w:pPr>
              <w:rPr>
                <w:rFonts w:ascii="宋体" w:hAnsi="宋体"/>
                <w:color w:val="auto"/>
                <w:sz w:val="24"/>
                <w:highlight w:val="none"/>
              </w:rPr>
            </w:pPr>
          </w:p>
        </w:tc>
      </w:tr>
    </w:tbl>
    <w:p w14:paraId="7A0F22DA">
      <w:pPr>
        <w:rPr>
          <w:rFonts w:ascii="宋体" w:hAnsi="宋体"/>
          <w:color w:val="auto"/>
          <w:sz w:val="24"/>
          <w:highlight w:val="none"/>
        </w:rPr>
      </w:pPr>
      <w:r>
        <w:rPr>
          <w:rFonts w:hint="eastAsia" w:ascii="宋体" w:hAnsi="宋体"/>
          <w:color w:val="auto"/>
          <w:sz w:val="24"/>
          <w:highlight w:val="none"/>
        </w:rPr>
        <w:t>　</w:t>
      </w:r>
    </w:p>
    <w:p w14:paraId="67533493">
      <w:pPr>
        <w:pStyle w:val="41"/>
        <w:spacing w:line="400" w:lineRule="atLeast"/>
        <w:ind w:firstLine="480"/>
        <w:jc w:val="center"/>
        <w:rPr>
          <w:rFonts w:hAnsi="宋体"/>
          <w:bCs/>
          <w:color w:val="auto"/>
          <w:kern w:val="0"/>
          <w:sz w:val="24"/>
          <w:highlight w:val="none"/>
          <w:lang w:val="zh-CN"/>
        </w:rPr>
      </w:pPr>
      <w:r>
        <w:rPr>
          <w:rFonts w:hint="eastAsia" w:hAnsi="宋体"/>
          <w:bCs/>
          <w:color w:val="auto"/>
          <w:kern w:val="0"/>
          <w:sz w:val="24"/>
          <w:highlight w:val="none"/>
          <w:lang w:val="zh-CN"/>
        </w:rPr>
        <w:t>法定代表人或委托代理人</w:t>
      </w:r>
      <w:r>
        <w:rPr>
          <w:rFonts w:hint="eastAsia" w:hAnsi="宋体"/>
          <w:color w:val="auto"/>
          <w:sz w:val="24"/>
          <w:highlight w:val="none"/>
        </w:rPr>
        <w:t>：</w:t>
      </w:r>
      <w:r>
        <w:rPr>
          <w:rFonts w:hint="eastAsia" w:hAnsi="宋体"/>
          <w:color w:val="auto"/>
          <w:sz w:val="24"/>
          <w:highlight w:val="none"/>
          <w:u w:val="single"/>
        </w:rPr>
        <w:t>　　　　　　　　　　　　　　　</w:t>
      </w:r>
      <w:r>
        <w:rPr>
          <w:rFonts w:hint="eastAsia" w:hAnsi="宋体"/>
          <w:color w:val="auto"/>
          <w:sz w:val="24"/>
          <w:highlight w:val="none"/>
        </w:rPr>
        <w:t>　</w:t>
      </w:r>
      <w:r>
        <w:rPr>
          <w:rFonts w:hint="eastAsia" w:hAnsi="宋体"/>
          <w:color w:val="auto"/>
          <w:sz w:val="28"/>
          <w:szCs w:val="28"/>
          <w:highlight w:val="none"/>
          <w:u w:val="single"/>
        </w:rPr>
        <w:br w:type="page"/>
      </w:r>
      <w:r>
        <w:rPr>
          <w:rFonts w:hint="eastAsia" w:hAnsi="宋体"/>
          <w:color w:val="auto"/>
          <w:sz w:val="24"/>
          <w:highlight w:val="none"/>
        </w:rPr>
        <w:t>8、近三年类似项目业绩</w:t>
      </w:r>
    </w:p>
    <w:tbl>
      <w:tblPr>
        <w:tblStyle w:val="11"/>
        <w:tblW w:w="0" w:type="auto"/>
        <w:jc w:val="center"/>
        <w:tblLayout w:type="fixed"/>
        <w:tblCellMar>
          <w:top w:w="0" w:type="dxa"/>
          <w:left w:w="108" w:type="dxa"/>
          <w:bottom w:w="0" w:type="dxa"/>
          <w:right w:w="108" w:type="dxa"/>
        </w:tblCellMar>
      </w:tblPr>
      <w:tblGrid>
        <w:gridCol w:w="3030"/>
        <w:gridCol w:w="6147"/>
      </w:tblGrid>
      <w:tr w14:paraId="410E7B6E">
        <w:tblPrEx>
          <w:tblCellMar>
            <w:top w:w="0" w:type="dxa"/>
            <w:left w:w="108" w:type="dxa"/>
            <w:bottom w:w="0" w:type="dxa"/>
            <w:right w:w="108" w:type="dxa"/>
          </w:tblCellMar>
        </w:tblPrEx>
        <w:trPr>
          <w:trHeight w:val="680" w:hRule="atLeast"/>
          <w:jc w:val="center"/>
        </w:trPr>
        <w:tc>
          <w:tcPr>
            <w:tcW w:w="3030" w:type="dxa"/>
            <w:tcBorders>
              <w:top w:val="single" w:color="000000" w:sz="8" w:space="0"/>
              <w:left w:val="single" w:color="000000" w:sz="8" w:space="0"/>
              <w:bottom w:val="single" w:color="000000" w:sz="8" w:space="0"/>
              <w:right w:val="single" w:color="000000" w:sz="8" w:space="0"/>
            </w:tcBorders>
            <w:vAlign w:val="center"/>
          </w:tcPr>
          <w:p w14:paraId="7E4EFBCB">
            <w:pPr>
              <w:pStyle w:val="109"/>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6147" w:type="dxa"/>
            <w:tcBorders>
              <w:top w:val="single" w:color="000000" w:sz="8" w:space="0"/>
              <w:left w:val="single" w:color="000000" w:sz="8" w:space="0"/>
              <w:bottom w:val="single" w:color="000000" w:sz="8" w:space="0"/>
              <w:right w:val="single" w:color="000000" w:sz="8" w:space="0"/>
            </w:tcBorders>
            <w:vAlign w:val="center"/>
          </w:tcPr>
          <w:p w14:paraId="0B5D6048">
            <w:pPr>
              <w:pStyle w:val="109"/>
              <w:spacing w:line="360" w:lineRule="auto"/>
              <w:jc w:val="center"/>
              <w:rPr>
                <w:rFonts w:ascii="宋体" w:hAnsi="宋体"/>
                <w:color w:val="auto"/>
                <w:sz w:val="24"/>
                <w:highlight w:val="none"/>
              </w:rPr>
            </w:pPr>
          </w:p>
        </w:tc>
      </w:tr>
      <w:tr w14:paraId="288E2DC1">
        <w:tblPrEx>
          <w:tblCellMar>
            <w:top w:w="0" w:type="dxa"/>
            <w:left w:w="108" w:type="dxa"/>
            <w:bottom w:w="0" w:type="dxa"/>
            <w:right w:w="108" w:type="dxa"/>
          </w:tblCellMar>
        </w:tblPrEx>
        <w:trPr>
          <w:trHeight w:val="680" w:hRule="atLeast"/>
          <w:jc w:val="center"/>
        </w:trPr>
        <w:tc>
          <w:tcPr>
            <w:tcW w:w="3030" w:type="dxa"/>
            <w:tcBorders>
              <w:top w:val="single" w:color="000000" w:sz="8" w:space="0"/>
              <w:left w:val="single" w:color="000000" w:sz="8" w:space="0"/>
              <w:bottom w:val="single" w:color="000000" w:sz="8" w:space="0"/>
              <w:right w:val="single" w:color="000000" w:sz="8" w:space="0"/>
            </w:tcBorders>
            <w:vAlign w:val="center"/>
          </w:tcPr>
          <w:p w14:paraId="1BBE1CD0">
            <w:pPr>
              <w:pStyle w:val="109"/>
              <w:spacing w:line="360" w:lineRule="auto"/>
              <w:jc w:val="center"/>
              <w:rPr>
                <w:rFonts w:ascii="宋体" w:hAnsi="宋体"/>
                <w:color w:val="auto"/>
                <w:sz w:val="24"/>
                <w:highlight w:val="none"/>
              </w:rPr>
            </w:pPr>
            <w:r>
              <w:rPr>
                <w:rFonts w:hint="eastAsia" w:ascii="宋体" w:hAnsi="宋体"/>
                <w:color w:val="auto"/>
                <w:sz w:val="24"/>
                <w:highlight w:val="none"/>
              </w:rPr>
              <w:t>采购人名称</w:t>
            </w:r>
          </w:p>
        </w:tc>
        <w:tc>
          <w:tcPr>
            <w:tcW w:w="6147" w:type="dxa"/>
            <w:tcBorders>
              <w:top w:val="single" w:color="000000" w:sz="8" w:space="0"/>
              <w:left w:val="single" w:color="000000" w:sz="8" w:space="0"/>
              <w:bottom w:val="single" w:color="000000" w:sz="8" w:space="0"/>
              <w:right w:val="single" w:color="000000" w:sz="8" w:space="0"/>
            </w:tcBorders>
            <w:vAlign w:val="center"/>
          </w:tcPr>
          <w:p w14:paraId="538DE2ED">
            <w:pPr>
              <w:pStyle w:val="109"/>
              <w:spacing w:line="360" w:lineRule="auto"/>
              <w:jc w:val="center"/>
              <w:rPr>
                <w:rFonts w:ascii="宋体" w:hAnsi="宋体"/>
                <w:color w:val="auto"/>
                <w:sz w:val="24"/>
                <w:highlight w:val="none"/>
              </w:rPr>
            </w:pPr>
          </w:p>
        </w:tc>
      </w:tr>
      <w:tr w14:paraId="0EA00635">
        <w:tblPrEx>
          <w:tblCellMar>
            <w:top w:w="0" w:type="dxa"/>
            <w:left w:w="108" w:type="dxa"/>
            <w:bottom w:w="0" w:type="dxa"/>
            <w:right w:w="108" w:type="dxa"/>
          </w:tblCellMar>
        </w:tblPrEx>
        <w:trPr>
          <w:trHeight w:val="680" w:hRule="atLeast"/>
          <w:jc w:val="center"/>
        </w:trPr>
        <w:tc>
          <w:tcPr>
            <w:tcW w:w="3030" w:type="dxa"/>
            <w:tcBorders>
              <w:top w:val="single" w:color="000000" w:sz="8" w:space="0"/>
              <w:left w:val="single" w:color="000000" w:sz="8" w:space="0"/>
              <w:bottom w:val="single" w:color="000000" w:sz="8" w:space="0"/>
              <w:right w:val="single" w:color="000000" w:sz="8" w:space="0"/>
            </w:tcBorders>
            <w:vAlign w:val="center"/>
          </w:tcPr>
          <w:p w14:paraId="582F465A">
            <w:pPr>
              <w:pStyle w:val="109"/>
              <w:spacing w:line="360" w:lineRule="auto"/>
              <w:jc w:val="center"/>
              <w:rPr>
                <w:rFonts w:ascii="宋体" w:hAnsi="宋体"/>
                <w:color w:val="auto"/>
                <w:sz w:val="24"/>
                <w:highlight w:val="none"/>
              </w:rPr>
            </w:pPr>
            <w:r>
              <w:rPr>
                <w:rFonts w:hint="eastAsia" w:ascii="宋体" w:hAnsi="宋体"/>
                <w:color w:val="auto"/>
                <w:sz w:val="24"/>
                <w:highlight w:val="none"/>
              </w:rPr>
              <w:t>采购人地址</w:t>
            </w:r>
          </w:p>
        </w:tc>
        <w:tc>
          <w:tcPr>
            <w:tcW w:w="6147" w:type="dxa"/>
            <w:tcBorders>
              <w:top w:val="single" w:color="000000" w:sz="8" w:space="0"/>
              <w:left w:val="single" w:color="000000" w:sz="8" w:space="0"/>
              <w:bottom w:val="single" w:color="000000" w:sz="8" w:space="0"/>
              <w:right w:val="single" w:color="000000" w:sz="8" w:space="0"/>
            </w:tcBorders>
            <w:vAlign w:val="center"/>
          </w:tcPr>
          <w:p w14:paraId="392809D1">
            <w:pPr>
              <w:pStyle w:val="109"/>
              <w:spacing w:line="360" w:lineRule="auto"/>
              <w:jc w:val="center"/>
              <w:rPr>
                <w:rFonts w:ascii="宋体" w:hAnsi="宋体"/>
                <w:color w:val="auto"/>
                <w:sz w:val="24"/>
                <w:highlight w:val="none"/>
              </w:rPr>
            </w:pPr>
          </w:p>
        </w:tc>
      </w:tr>
      <w:tr w14:paraId="50466D54">
        <w:tblPrEx>
          <w:tblCellMar>
            <w:top w:w="0" w:type="dxa"/>
            <w:left w:w="108" w:type="dxa"/>
            <w:bottom w:w="0" w:type="dxa"/>
            <w:right w:w="108" w:type="dxa"/>
          </w:tblCellMar>
        </w:tblPrEx>
        <w:trPr>
          <w:trHeight w:val="680" w:hRule="atLeast"/>
          <w:jc w:val="center"/>
        </w:trPr>
        <w:tc>
          <w:tcPr>
            <w:tcW w:w="3030" w:type="dxa"/>
            <w:tcBorders>
              <w:top w:val="single" w:color="000000" w:sz="8" w:space="0"/>
              <w:left w:val="single" w:color="000000" w:sz="8" w:space="0"/>
              <w:bottom w:val="single" w:color="000000" w:sz="8" w:space="0"/>
              <w:right w:val="single" w:color="000000" w:sz="8" w:space="0"/>
            </w:tcBorders>
            <w:vAlign w:val="center"/>
          </w:tcPr>
          <w:p w14:paraId="7B05C1FA">
            <w:pPr>
              <w:pStyle w:val="109"/>
              <w:spacing w:line="360" w:lineRule="auto"/>
              <w:jc w:val="center"/>
              <w:rPr>
                <w:rFonts w:ascii="宋体" w:hAnsi="宋体"/>
                <w:color w:val="auto"/>
                <w:sz w:val="24"/>
                <w:highlight w:val="none"/>
              </w:rPr>
            </w:pPr>
            <w:r>
              <w:rPr>
                <w:rFonts w:hint="eastAsia" w:ascii="宋体" w:hAnsi="宋体"/>
                <w:color w:val="auto"/>
                <w:sz w:val="24"/>
                <w:highlight w:val="none"/>
              </w:rPr>
              <w:t>采购人联系人及电话</w:t>
            </w:r>
          </w:p>
        </w:tc>
        <w:tc>
          <w:tcPr>
            <w:tcW w:w="6147" w:type="dxa"/>
            <w:tcBorders>
              <w:top w:val="single" w:color="000000" w:sz="8" w:space="0"/>
              <w:left w:val="single" w:color="000000" w:sz="8" w:space="0"/>
              <w:bottom w:val="single" w:color="000000" w:sz="8" w:space="0"/>
              <w:right w:val="single" w:color="000000" w:sz="8" w:space="0"/>
            </w:tcBorders>
            <w:vAlign w:val="center"/>
          </w:tcPr>
          <w:p w14:paraId="708F29CE">
            <w:pPr>
              <w:pStyle w:val="109"/>
              <w:spacing w:line="360" w:lineRule="auto"/>
              <w:jc w:val="center"/>
              <w:rPr>
                <w:rFonts w:ascii="宋体" w:hAnsi="宋体"/>
                <w:color w:val="auto"/>
                <w:sz w:val="24"/>
                <w:highlight w:val="none"/>
              </w:rPr>
            </w:pPr>
          </w:p>
        </w:tc>
      </w:tr>
      <w:tr w14:paraId="7CBDD3C0">
        <w:tblPrEx>
          <w:tblCellMar>
            <w:top w:w="0" w:type="dxa"/>
            <w:left w:w="108" w:type="dxa"/>
            <w:bottom w:w="0" w:type="dxa"/>
            <w:right w:w="108" w:type="dxa"/>
          </w:tblCellMar>
        </w:tblPrEx>
        <w:trPr>
          <w:trHeight w:val="680" w:hRule="atLeast"/>
          <w:jc w:val="center"/>
        </w:trPr>
        <w:tc>
          <w:tcPr>
            <w:tcW w:w="3030" w:type="dxa"/>
            <w:tcBorders>
              <w:top w:val="single" w:color="000000" w:sz="8" w:space="0"/>
              <w:left w:val="single" w:color="000000" w:sz="8" w:space="0"/>
              <w:bottom w:val="single" w:color="000000" w:sz="8" w:space="0"/>
              <w:right w:val="single" w:color="000000" w:sz="8" w:space="0"/>
            </w:tcBorders>
            <w:vAlign w:val="center"/>
          </w:tcPr>
          <w:p w14:paraId="09890812">
            <w:pPr>
              <w:pStyle w:val="109"/>
              <w:spacing w:line="360" w:lineRule="auto"/>
              <w:jc w:val="center"/>
              <w:rPr>
                <w:rFonts w:ascii="宋体" w:hAnsi="宋体"/>
                <w:color w:val="auto"/>
                <w:sz w:val="24"/>
                <w:highlight w:val="none"/>
              </w:rPr>
            </w:pPr>
            <w:r>
              <w:rPr>
                <w:rFonts w:hint="eastAsia" w:ascii="宋体" w:hAnsi="宋体"/>
                <w:color w:val="auto"/>
                <w:sz w:val="24"/>
                <w:highlight w:val="none"/>
              </w:rPr>
              <w:t>服务内容</w:t>
            </w:r>
          </w:p>
        </w:tc>
        <w:tc>
          <w:tcPr>
            <w:tcW w:w="6147" w:type="dxa"/>
            <w:tcBorders>
              <w:top w:val="single" w:color="000000" w:sz="8" w:space="0"/>
              <w:left w:val="single" w:color="000000" w:sz="8" w:space="0"/>
              <w:bottom w:val="single" w:color="000000" w:sz="8" w:space="0"/>
              <w:right w:val="single" w:color="000000" w:sz="8" w:space="0"/>
            </w:tcBorders>
            <w:vAlign w:val="center"/>
          </w:tcPr>
          <w:p w14:paraId="0B95B430">
            <w:pPr>
              <w:pStyle w:val="109"/>
              <w:spacing w:line="360" w:lineRule="auto"/>
              <w:jc w:val="center"/>
              <w:rPr>
                <w:rFonts w:ascii="宋体" w:hAnsi="宋体"/>
                <w:color w:val="auto"/>
                <w:sz w:val="24"/>
                <w:highlight w:val="none"/>
              </w:rPr>
            </w:pPr>
          </w:p>
        </w:tc>
      </w:tr>
      <w:tr w14:paraId="0CFD0008">
        <w:tblPrEx>
          <w:tblCellMar>
            <w:top w:w="0" w:type="dxa"/>
            <w:left w:w="108" w:type="dxa"/>
            <w:bottom w:w="0" w:type="dxa"/>
            <w:right w:w="108" w:type="dxa"/>
          </w:tblCellMar>
        </w:tblPrEx>
        <w:trPr>
          <w:trHeight w:val="680" w:hRule="atLeast"/>
          <w:jc w:val="center"/>
        </w:trPr>
        <w:tc>
          <w:tcPr>
            <w:tcW w:w="3030" w:type="dxa"/>
            <w:tcBorders>
              <w:top w:val="single" w:color="000000" w:sz="8" w:space="0"/>
              <w:left w:val="single" w:color="000000" w:sz="8" w:space="0"/>
              <w:bottom w:val="single" w:color="000000" w:sz="8" w:space="0"/>
              <w:right w:val="single" w:color="000000" w:sz="8" w:space="0"/>
            </w:tcBorders>
            <w:vAlign w:val="center"/>
          </w:tcPr>
          <w:p w14:paraId="50B148B9">
            <w:pPr>
              <w:pStyle w:val="109"/>
              <w:spacing w:line="360" w:lineRule="auto"/>
              <w:jc w:val="center"/>
              <w:rPr>
                <w:rFonts w:ascii="宋体" w:hAnsi="宋体"/>
                <w:color w:val="auto"/>
                <w:sz w:val="24"/>
                <w:highlight w:val="none"/>
              </w:rPr>
            </w:pPr>
            <w:r>
              <w:rPr>
                <w:rFonts w:hint="eastAsia" w:ascii="宋体" w:hAnsi="宋体"/>
                <w:color w:val="auto"/>
                <w:sz w:val="24"/>
                <w:highlight w:val="none"/>
              </w:rPr>
              <w:t>合同期限</w:t>
            </w:r>
          </w:p>
        </w:tc>
        <w:tc>
          <w:tcPr>
            <w:tcW w:w="6147" w:type="dxa"/>
            <w:tcBorders>
              <w:top w:val="single" w:color="000000" w:sz="8" w:space="0"/>
              <w:left w:val="single" w:color="000000" w:sz="8" w:space="0"/>
              <w:bottom w:val="single" w:color="000000" w:sz="8" w:space="0"/>
              <w:right w:val="single" w:color="000000" w:sz="8" w:space="0"/>
            </w:tcBorders>
            <w:vAlign w:val="center"/>
          </w:tcPr>
          <w:p w14:paraId="609D85DD">
            <w:pPr>
              <w:pStyle w:val="109"/>
              <w:spacing w:line="360" w:lineRule="auto"/>
              <w:jc w:val="center"/>
              <w:rPr>
                <w:rFonts w:ascii="宋体" w:hAnsi="宋体"/>
                <w:color w:val="auto"/>
                <w:sz w:val="24"/>
                <w:highlight w:val="none"/>
              </w:rPr>
            </w:pPr>
          </w:p>
        </w:tc>
      </w:tr>
      <w:tr w14:paraId="6F65B3EB">
        <w:tblPrEx>
          <w:tblCellMar>
            <w:top w:w="0" w:type="dxa"/>
            <w:left w:w="108" w:type="dxa"/>
            <w:bottom w:w="0" w:type="dxa"/>
            <w:right w:w="108" w:type="dxa"/>
          </w:tblCellMar>
        </w:tblPrEx>
        <w:trPr>
          <w:trHeight w:val="680" w:hRule="atLeast"/>
          <w:jc w:val="center"/>
        </w:trPr>
        <w:tc>
          <w:tcPr>
            <w:tcW w:w="3030" w:type="dxa"/>
            <w:tcBorders>
              <w:top w:val="single" w:color="000000" w:sz="8" w:space="0"/>
              <w:left w:val="single" w:color="000000" w:sz="8" w:space="0"/>
              <w:bottom w:val="single" w:color="000000" w:sz="8" w:space="0"/>
              <w:right w:val="single" w:color="000000" w:sz="8" w:space="0"/>
            </w:tcBorders>
            <w:vAlign w:val="center"/>
          </w:tcPr>
          <w:p w14:paraId="7DEF3B75">
            <w:pPr>
              <w:pStyle w:val="109"/>
              <w:spacing w:line="360" w:lineRule="auto"/>
              <w:jc w:val="center"/>
              <w:rPr>
                <w:rFonts w:ascii="宋体" w:hAnsi="宋体"/>
                <w:color w:val="auto"/>
                <w:sz w:val="24"/>
                <w:highlight w:val="none"/>
              </w:rPr>
            </w:pPr>
            <w:r>
              <w:rPr>
                <w:rFonts w:hint="eastAsia" w:ascii="宋体" w:hAnsi="宋体"/>
                <w:color w:val="auto"/>
                <w:sz w:val="24"/>
                <w:highlight w:val="none"/>
              </w:rPr>
              <w:t>合同价格</w:t>
            </w:r>
          </w:p>
        </w:tc>
        <w:tc>
          <w:tcPr>
            <w:tcW w:w="6147" w:type="dxa"/>
            <w:tcBorders>
              <w:top w:val="single" w:color="000000" w:sz="8" w:space="0"/>
              <w:left w:val="single" w:color="000000" w:sz="8" w:space="0"/>
              <w:bottom w:val="single" w:color="000000" w:sz="8" w:space="0"/>
              <w:right w:val="single" w:color="000000" w:sz="8" w:space="0"/>
            </w:tcBorders>
            <w:vAlign w:val="center"/>
          </w:tcPr>
          <w:p w14:paraId="7C732828">
            <w:pPr>
              <w:pStyle w:val="109"/>
              <w:spacing w:line="360" w:lineRule="auto"/>
              <w:jc w:val="center"/>
              <w:rPr>
                <w:rFonts w:ascii="宋体" w:hAnsi="宋体"/>
                <w:color w:val="auto"/>
                <w:sz w:val="24"/>
                <w:highlight w:val="none"/>
              </w:rPr>
            </w:pPr>
          </w:p>
        </w:tc>
      </w:tr>
      <w:tr w14:paraId="570CB339">
        <w:tblPrEx>
          <w:tblCellMar>
            <w:top w:w="0" w:type="dxa"/>
            <w:left w:w="108" w:type="dxa"/>
            <w:bottom w:w="0" w:type="dxa"/>
            <w:right w:w="108" w:type="dxa"/>
          </w:tblCellMar>
        </w:tblPrEx>
        <w:trPr>
          <w:trHeight w:val="680" w:hRule="atLeast"/>
          <w:jc w:val="center"/>
        </w:trPr>
        <w:tc>
          <w:tcPr>
            <w:tcW w:w="3030" w:type="dxa"/>
            <w:tcBorders>
              <w:top w:val="single" w:color="000000" w:sz="8" w:space="0"/>
              <w:left w:val="single" w:color="000000" w:sz="8" w:space="0"/>
              <w:bottom w:val="single" w:color="000000" w:sz="8" w:space="0"/>
              <w:right w:val="single" w:color="000000" w:sz="8" w:space="0"/>
            </w:tcBorders>
            <w:vAlign w:val="center"/>
          </w:tcPr>
          <w:p w14:paraId="6D21EB41">
            <w:pPr>
              <w:pStyle w:val="109"/>
              <w:spacing w:line="360" w:lineRule="auto"/>
              <w:jc w:val="center"/>
              <w:rPr>
                <w:rFonts w:ascii="宋体" w:hAnsi="宋体"/>
                <w:color w:val="auto"/>
                <w:sz w:val="24"/>
                <w:highlight w:val="none"/>
              </w:rPr>
            </w:pPr>
            <w:r>
              <w:rPr>
                <w:rFonts w:hint="eastAsia" w:ascii="宋体" w:hAnsi="宋体"/>
                <w:color w:val="auto"/>
                <w:sz w:val="24"/>
                <w:highlight w:val="none"/>
              </w:rPr>
              <w:t>备注</w:t>
            </w:r>
          </w:p>
        </w:tc>
        <w:tc>
          <w:tcPr>
            <w:tcW w:w="6147" w:type="dxa"/>
            <w:tcBorders>
              <w:top w:val="single" w:color="000000" w:sz="8" w:space="0"/>
              <w:left w:val="single" w:color="000000" w:sz="8" w:space="0"/>
              <w:bottom w:val="single" w:color="000000" w:sz="8" w:space="0"/>
              <w:right w:val="single" w:color="000000" w:sz="8" w:space="0"/>
            </w:tcBorders>
            <w:vAlign w:val="center"/>
          </w:tcPr>
          <w:p w14:paraId="30AA1EB8">
            <w:pPr>
              <w:pStyle w:val="109"/>
              <w:spacing w:line="360" w:lineRule="auto"/>
              <w:jc w:val="center"/>
              <w:rPr>
                <w:rFonts w:ascii="宋体" w:hAnsi="宋体"/>
                <w:color w:val="auto"/>
                <w:sz w:val="24"/>
                <w:highlight w:val="none"/>
              </w:rPr>
            </w:pPr>
          </w:p>
        </w:tc>
      </w:tr>
    </w:tbl>
    <w:p w14:paraId="6395AD4D">
      <w:pPr>
        <w:spacing w:line="400" w:lineRule="atLeast"/>
        <w:rPr>
          <w:rFonts w:ascii="宋体" w:hAnsi="宋体"/>
          <w:color w:val="auto"/>
          <w:sz w:val="24"/>
          <w:highlight w:val="none"/>
        </w:rPr>
      </w:pPr>
    </w:p>
    <w:p w14:paraId="1659C728">
      <w:pPr>
        <w:pStyle w:val="109"/>
        <w:spacing w:line="360" w:lineRule="auto"/>
        <w:rPr>
          <w:rFonts w:ascii="宋体" w:hAnsi="宋体"/>
          <w:color w:val="auto"/>
          <w:sz w:val="24"/>
          <w:highlight w:val="none"/>
        </w:rPr>
      </w:pPr>
      <w:r>
        <w:rPr>
          <w:rFonts w:hint="eastAsia" w:ascii="宋体" w:hAnsi="宋体"/>
          <w:color w:val="auto"/>
          <w:sz w:val="24"/>
          <w:highlight w:val="none"/>
        </w:rPr>
        <w:t>备注：1、本表后须附类似业绩的证明资料（中标通知书或合同复印件）</w:t>
      </w:r>
    </w:p>
    <w:p w14:paraId="52871D5B">
      <w:pPr>
        <w:pStyle w:val="109"/>
        <w:spacing w:line="360" w:lineRule="auto"/>
        <w:jc w:val="left"/>
        <w:rPr>
          <w:rFonts w:ascii="宋体" w:hAnsi="宋体"/>
          <w:color w:val="auto"/>
          <w:sz w:val="24"/>
          <w:highlight w:val="none"/>
        </w:rPr>
      </w:pPr>
      <w:r>
        <w:rPr>
          <w:rFonts w:hint="eastAsia" w:ascii="宋体" w:hAnsi="宋体"/>
          <w:color w:val="auto"/>
          <w:sz w:val="24"/>
          <w:highlight w:val="none"/>
        </w:rPr>
        <w:t>2、具体年份要求：</w:t>
      </w:r>
      <w:r>
        <w:rPr>
          <w:rFonts w:hint="eastAsia" w:ascii="宋体" w:hAnsi="宋体"/>
          <w:color w:val="auto"/>
          <w:sz w:val="24"/>
          <w:highlight w:val="none"/>
          <w:u w:val="single"/>
        </w:rPr>
        <w:t>2022年1月1日-至今</w:t>
      </w:r>
    </w:p>
    <w:p w14:paraId="155B56DA">
      <w:pPr>
        <w:pStyle w:val="109"/>
        <w:spacing w:line="400" w:lineRule="atLeast"/>
        <w:jc w:val="left"/>
        <w:rPr>
          <w:rFonts w:ascii="宋体" w:hAnsi="宋体"/>
          <w:color w:val="auto"/>
          <w:sz w:val="24"/>
          <w:highlight w:val="none"/>
        </w:rPr>
      </w:pPr>
      <w:r>
        <w:rPr>
          <w:rFonts w:hint="eastAsia" w:ascii="宋体" w:hAnsi="宋体"/>
          <w:color w:val="auto"/>
          <w:sz w:val="24"/>
          <w:highlight w:val="none"/>
        </w:rPr>
        <w:t>3、每张表格只填写一个项目的信息，并注明序号。</w:t>
      </w:r>
    </w:p>
    <w:p w14:paraId="7A3291D8">
      <w:pPr>
        <w:spacing w:line="400" w:lineRule="atLeast"/>
        <w:rPr>
          <w:rFonts w:ascii="宋体" w:hAnsi="宋体"/>
          <w:color w:val="auto"/>
          <w:sz w:val="24"/>
          <w:highlight w:val="none"/>
        </w:rPr>
      </w:pPr>
    </w:p>
    <w:p w14:paraId="7A88229B">
      <w:pPr>
        <w:spacing w:line="400" w:lineRule="atLeast"/>
        <w:rPr>
          <w:rFonts w:ascii="宋体" w:hAnsi="宋体"/>
          <w:color w:val="auto"/>
          <w:sz w:val="24"/>
          <w:highlight w:val="none"/>
        </w:rPr>
      </w:pPr>
    </w:p>
    <w:p w14:paraId="6617BD9F">
      <w:pPr>
        <w:spacing w:line="400" w:lineRule="atLeast"/>
        <w:jc w:val="center"/>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9、资格证明文件</w:t>
      </w:r>
    </w:p>
    <w:p w14:paraId="093ED8CE">
      <w:pPr>
        <w:spacing w:line="400" w:lineRule="atLeast"/>
        <w:rPr>
          <w:rFonts w:ascii="宋体" w:hAnsi="宋体"/>
          <w:color w:val="auto"/>
          <w:sz w:val="24"/>
          <w:highlight w:val="none"/>
        </w:rPr>
      </w:pPr>
      <w:r>
        <w:rPr>
          <w:rFonts w:hint="eastAsia" w:ascii="宋体" w:hAnsi="宋体"/>
          <w:color w:val="auto"/>
          <w:sz w:val="24"/>
          <w:highlight w:val="none"/>
        </w:rPr>
        <w:t xml:space="preserve">1、内容见“供应商须知”。 </w:t>
      </w:r>
    </w:p>
    <w:p w14:paraId="2AD7BB51">
      <w:pPr>
        <w:spacing w:line="400" w:lineRule="exact"/>
        <w:rPr>
          <w:rFonts w:ascii="宋体" w:hAnsi="宋体"/>
          <w:color w:val="auto"/>
          <w:sz w:val="24"/>
          <w:highlight w:val="none"/>
        </w:rPr>
      </w:pPr>
      <w:r>
        <w:rPr>
          <w:rFonts w:hint="eastAsia" w:ascii="宋体" w:hAnsi="宋体"/>
          <w:color w:val="auto"/>
          <w:sz w:val="24"/>
          <w:highlight w:val="none"/>
        </w:rPr>
        <w:t>2、其它一切有利于本项目和供应商的证明材料。</w:t>
      </w:r>
    </w:p>
    <w:p w14:paraId="2B753C7F">
      <w:pPr>
        <w:spacing w:line="400" w:lineRule="exact"/>
        <w:rPr>
          <w:rFonts w:ascii="宋体" w:hAnsi="宋体"/>
          <w:color w:val="auto"/>
          <w:sz w:val="24"/>
          <w:highlight w:val="none"/>
        </w:rPr>
      </w:pPr>
    </w:p>
    <w:p w14:paraId="4B1A5C4F">
      <w:pPr>
        <w:spacing w:line="400" w:lineRule="exact"/>
        <w:rPr>
          <w:rFonts w:ascii="宋体" w:hAnsi="宋体"/>
          <w:color w:val="auto"/>
          <w:sz w:val="24"/>
          <w:highlight w:val="none"/>
        </w:rPr>
      </w:pPr>
    </w:p>
    <w:p w14:paraId="5F565A3A">
      <w:pPr>
        <w:spacing w:line="400" w:lineRule="exact"/>
        <w:rPr>
          <w:rFonts w:ascii="宋体" w:hAnsi="宋体"/>
          <w:color w:val="auto"/>
          <w:sz w:val="24"/>
          <w:highlight w:val="none"/>
        </w:rPr>
      </w:pPr>
    </w:p>
    <w:p w14:paraId="55C90C04">
      <w:pPr>
        <w:spacing w:line="400" w:lineRule="exact"/>
        <w:jc w:val="center"/>
        <w:rPr>
          <w:rFonts w:ascii="宋体" w:hAnsi="宋体"/>
          <w:bCs/>
          <w:color w:val="auto"/>
          <w:sz w:val="24"/>
          <w:highlight w:val="none"/>
        </w:rPr>
      </w:pPr>
      <w:r>
        <w:rPr>
          <w:rFonts w:hint="eastAsia" w:ascii="宋体" w:hAnsi="宋体"/>
          <w:bCs/>
          <w:color w:val="auto"/>
          <w:sz w:val="24"/>
          <w:highlight w:val="none"/>
        </w:rPr>
        <w:br w:type="page"/>
      </w:r>
      <w:r>
        <w:rPr>
          <w:rFonts w:hint="eastAsia" w:ascii="宋体" w:hAnsi="宋体"/>
          <w:bCs/>
          <w:color w:val="auto"/>
          <w:sz w:val="24"/>
          <w:highlight w:val="none"/>
        </w:rPr>
        <w:t>10、项目实施方案（格式自拟）</w:t>
      </w:r>
    </w:p>
    <w:p w14:paraId="4237C09E">
      <w:pPr>
        <w:ind w:firstLine="480" w:firstLineChars="200"/>
        <w:rPr>
          <w:rFonts w:ascii="宋体" w:hAnsi="宋体"/>
          <w:color w:val="auto"/>
          <w:sz w:val="24"/>
          <w:highlight w:val="none"/>
        </w:rPr>
      </w:pPr>
      <w:r>
        <w:rPr>
          <w:rFonts w:hint="eastAsia" w:ascii="宋体" w:hAnsi="宋体"/>
          <w:color w:val="auto"/>
          <w:sz w:val="24"/>
          <w:highlight w:val="none"/>
        </w:rPr>
        <w:t>包括但不限于项目需求理解方案、服务方案、质量保障方案、保密措施、项目风险应对措施、售后方案等</w:t>
      </w:r>
    </w:p>
    <w:p w14:paraId="2AE5420C">
      <w:pPr>
        <w:rPr>
          <w:rFonts w:ascii="宋体" w:hAnsi="宋体"/>
          <w:color w:val="auto"/>
          <w:sz w:val="24"/>
          <w:highlight w:val="none"/>
        </w:rPr>
      </w:pPr>
    </w:p>
    <w:p w14:paraId="6595B2E3">
      <w:pPr>
        <w:rPr>
          <w:rFonts w:ascii="宋体" w:hAnsi="宋体"/>
          <w:color w:val="auto"/>
          <w:sz w:val="24"/>
          <w:highlight w:val="none"/>
        </w:rPr>
      </w:pPr>
    </w:p>
    <w:p w14:paraId="466896F2">
      <w:pPr>
        <w:pStyle w:val="58"/>
        <w:ind w:firstLine="240"/>
        <w:rPr>
          <w:rFonts w:ascii="宋体" w:hAnsi="宋体"/>
          <w:color w:val="auto"/>
          <w:sz w:val="24"/>
          <w:highlight w:val="none"/>
        </w:rPr>
      </w:pPr>
    </w:p>
    <w:p w14:paraId="1D6AB3C9">
      <w:pPr>
        <w:pStyle w:val="60"/>
        <w:ind w:firstLine="480"/>
        <w:rPr>
          <w:rFonts w:ascii="宋体" w:eastAsia="宋体"/>
          <w:color w:val="auto"/>
          <w:highlight w:val="none"/>
        </w:rPr>
      </w:pPr>
    </w:p>
    <w:p w14:paraId="5DA148E5">
      <w:pPr>
        <w:pStyle w:val="58"/>
        <w:ind w:firstLine="240"/>
        <w:rPr>
          <w:rFonts w:ascii="宋体" w:hAnsi="宋体"/>
          <w:color w:val="auto"/>
          <w:sz w:val="24"/>
          <w:highlight w:val="none"/>
        </w:rPr>
      </w:pPr>
    </w:p>
    <w:p w14:paraId="432F171D">
      <w:pPr>
        <w:pStyle w:val="60"/>
        <w:ind w:firstLine="480"/>
        <w:rPr>
          <w:rFonts w:ascii="宋体" w:eastAsia="宋体"/>
          <w:color w:val="auto"/>
          <w:highlight w:val="none"/>
        </w:rPr>
      </w:pPr>
    </w:p>
    <w:p w14:paraId="37D722A2">
      <w:pPr>
        <w:spacing w:line="360" w:lineRule="auto"/>
        <w:jc w:val="center"/>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szCs w:val="24"/>
          <w:highlight w:val="none"/>
        </w:rPr>
        <w:t>11、（一）项目负责人基本情况表</w:t>
      </w:r>
    </w:p>
    <w:tbl>
      <w:tblPr>
        <w:tblStyle w:val="11"/>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1"/>
        <w:gridCol w:w="1244"/>
        <w:gridCol w:w="980"/>
        <w:gridCol w:w="801"/>
        <w:gridCol w:w="505"/>
        <w:gridCol w:w="1101"/>
        <w:gridCol w:w="651"/>
        <w:gridCol w:w="2728"/>
      </w:tblGrid>
      <w:tr w14:paraId="28CA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50" w:type="dxa"/>
            <w:gridSpan w:val="2"/>
            <w:vAlign w:val="center"/>
          </w:tcPr>
          <w:p w14:paraId="420B9949">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姓名</w:t>
            </w:r>
          </w:p>
        </w:tc>
        <w:tc>
          <w:tcPr>
            <w:tcW w:w="1244" w:type="dxa"/>
            <w:vAlign w:val="center"/>
          </w:tcPr>
          <w:p w14:paraId="269D799A">
            <w:pPr>
              <w:spacing w:line="360" w:lineRule="auto"/>
              <w:ind w:firstLine="480" w:firstLineChars="200"/>
              <w:jc w:val="left"/>
              <w:rPr>
                <w:rFonts w:ascii="宋体" w:hAnsi="宋体"/>
                <w:color w:val="auto"/>
                <w:sz w:val="24"/>
                <w:szCs w:val="24"/>
                <w:highlight w:val="none"/>
              </w:rPr>
            </w:pPr>
          </w:p>
        </w:tc>
        <w:tc>
          <w:tcPr>
            <w:tcW w:w="980" w:type="dxa"/>
            <w:vAlign w:val="center"/>
          </w:tcPr>
          <w:p w14:paraId="313DE679">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年龄</w:t>
            </w:r>
          </w:p>
        </w:tc>
        <w:tc>
          <w:tcPr>
            <w:tcW w:w="1306" w:type="dxa"/>
            <w:gridSpan w:val="2"/>
            <w:vAlign w:val="center"/>
          </w:tcPr>
          <w:p w14:paraId="2126E0C1">
            <w:pPr>
              <w:spacing w:line="360" w:lineRule="auto"/>
              <w:ind w:firstLine="480" w:firstLineChars="200"/>
              <w:jc w:val="left"/>
              <w:rPr>
                <w:rFonts w:ascii="宋体" w:hAnsi="宋体"/>
                <w:color w:val="auto"/>
                <w:sz w:val="24"/>
                <w:szCs w:val="24"/>
                <w:highlight w:val="none"/>
              </w:rPr>
            </w:pPr>
          </w:p>
        </w:tc>
        <w:tc>
          <w:tcPr>
            <w:tcW w:w="1752" w:type="dxa"/>
            <w:gridSpan w:val="2"/>
            <w:vAlign w:val="center"/>
          </w:tcPr>
          <w:p w14:paraId="23295BAA">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学历</w:t>
            </w:r>
          </w:p>
        </w:tc>
        <w:tc>
          <w:tcPr>
            <w:tcW w:w="2728" w:type="dxa"/>
            <w:vAlign w:val="center"/>
          </w:tcPr>
          <w:p w14:paraId="57ABF0E1">
            <w:pPr>
              <w:spacing w:line="360" w:lineRule="auto"/>
              <w:ind w:firstLine="480" w:firstLineChars="200"/>
              <w:jc w:val="center"/>
              <w:rPr>
                <w:rFonts w:ascii="宋体" w:hAnsi="宋体"/>
                <w:color w:val="auto"/>
                <w:sz w:val="24"/>
                <w:szCs w:val="24"/>
                <w:highlight w:val="none"/>
              </w:rPr>
            </w:pPr>
          </w:p>
        </w:tc>
      </w:tr>
      <w:tr w14:paraId="25B5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0" w:type="dxa"/>
            <w:gridSpan w:val="2"/>
            <w:vAlign w:val="center"/>
          </w:tcPr>
          <w:p w14:paraId="2996268D">
            <w:pPr>
              <w:spacing w:line="360" w:lineRule="auto"/>
              <w:rPr>
                <w:rFonts w:ascii="宋体" w:hAnsi="宋体"/>
                <w:color w:val="auto"/>
                <w:sz w:val="24"/>
                <w:szCs w:val="24"/>
                <w:highlight w:val="none"/>
              </w:rPr>
            </w:pPr>
            <w:r>
              <w:rPr>
                <w:rFonts w:hint="eastAsia" w:ascii="宋体" w:hAnsi="宋体"/>
                <w:color w:val="auto"/>
                <w:sz w:val="24"/>
                <w:szCs w:val="24"/>
                <w:highlight w:val="none"/>
              </w:rPr>
              <w:t>毕业学校</w:t>
            </w:r>
          </w:p>
        </w:tc>
        <w:tc>
          <w:tcPr>
            <w:tcW w:w="8010" w:type="dxa"/>
            <w:gridSpan w:val="7"/>
            <w:vAlign w:val="center"/>
          </w:tcPr>
          <w:p w14:paraId="390E0D9B">
            <w:pPr>
              <w:spacing w:line="360" w:lineRule="auto"/>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年毕业于                 学校         专业</w:t>
            </w:r>
          </w:p>
        </w:tc>
      </w:tr>
      <w:tr w14:paraId="56E6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650" w:type="dxa"/>
            <w:gridSpan w:val="2"/>
            <w:vAlign w:val="center"/>
          </w:tcPr>
          <w:p w14:paraId="597B5AF8">
            <w:pPr>
              <w:spacing w:line="360" w:lineRule="auto"/>
              <w:rPr>
                <w:rFonts w:ascii="宋体" w:hAnsi="宋体"/>
                <w:color w:val="auto"/>
                <w:sz w:val="24"/>
                <w:szCs w:val="24"/>
                <w:highlight w:val="none"/>
              </w:rPr>
            </w:pPr>
            <w:r>
              <w:rPr>
                <w:rFonts w:hint="eastAsia" w:ascii="宋体" w:hAnsi="宋体"/>
                <w:color w:val="auto"/>
                <w:sz w:val="24"/>
                <w:szCs w:val="24"/>
                <w:highlight w:val="none"/>
              </w:rPr>
              <w:t>从事本专业时间</w:t>
            </w:r>
          </w:p>
        </w:tc>
        <w:tc>
          <w:tcPr>
            <w:tcW w:w="3530" w:type="dxa"/>
            <w:gridSpan w:val="4"/>
            <w:vAlign w:val="center"/>
          </w:tcPr>
          <w:p w14:paraId="2EEA12AD">
            <w:pPr>
              <w:spacing w:line="360" w:lineRule="auto"/>
              <w:ind w:firstLine="480" w:firstLineChars="200"/>
              <w:jc w:val="center"/>
              <w:rPr>
                <w:rFonts w:ascii="宋体" w:hAnsi="宋体"/>
                <w:color w:val="auto"/>
                <w:sz w:val="24"/>
                <w:szCs w:val="24"/>
                <w:highlight w:val="none"/>
              </w:rPr>
            </w:pPr>
          </w:p>
        </w:tc>
        <w:tc>
          <w:tcPr>
            <w:tcW w:w="1752" w:type="dxa"/>
            <w:gridSpan w:val="2"/>
            <w:vAlign w:val="center"/>
          </w:tcPr>
          <w:p w14:paraId="0F87DB00">
            <w:pPr>
              <w:spacing w:line="360" w:lineRule="auto"/>
              <w:rPr>
                <w:rFonts w:ascii="宋体" w:hAnsi="宋体"/>
                <w:color w:val="auto"/>
                <w:sz w:val="24"/>
                <w:szCs w:val="24"/>
                <w:highlight w:val="none"/>
              </w:rPr>
            </w:pPr>
            <w:r>
              <w:rPr>
                <w:rFonts w:hint="eastAsia" w:ascii="宋体" w:hAnsi="宋体"/>
                <w:color w:val="auto"/>
                <w:sz w:val="24"/>
                <w:szCs w:val="24"/>
                <w:highlight w:val="none"/>
              </w:rPr>
              <w:t>职    称</w:t>
            </w:r>
          </w:p>
        </w:tc>
        <w:tc>
          <w:tcPr>
            <w:tcW w:w="2728" w:type="dxa"/>
            <w:vAlign w:val="center"/>
          </w:tcPr>
          <w:p w14:paraId="5AF4FC85">
            <w:pPr>
              <w:spacing w:line="360" w:lineRule="auto"/>
              <w:ind w:firstLine="480" w:firstLineChars="200"/>
              <w:jc w:val="center"/>
              <w:rPr>
                <w:rFonts w:ascii="宋体" w:hAnsi="宋体"/>
                <w:color w:val="auto"/>
                <w:sz w:val="24"/>
                <w:szCs w:val="24"/>
                <w:highlight w:val="none"/>
              </w:rPr>
            </w:pPr>
          </w:p>
        </w:tc>
      </w:tr>
      <w:tr w14:paraId="03D8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50" w:type="dxa"/>
            <w:gridSpan w:val="2"/>
            <w:vAlign w:val="center"/>
          </w:tcPr>
          <w:p w14:paraId="2241FA1F">
            <w:pPr>
              <w:spacing w:line="360" w:lineRule="auto"/>
              <w:rPr>
                <w:rFonts w:ascii="宋体" w:hAnsi="宋体"/>
                <w:color w:val="auto"/>
                <w:sz w:val="24"/>
                <w:szCs w:val="24"/>
                <w:highlight w:val="none"/>
              </w:rPr>
            </w:pPr>
            <w:r>
              <w:rPr>
                <w:rFonts w:hint="eastAsia" w:ascii="宋体" w:hAnsi="宋体"/>
                <w:color w:val="auto"/>
                <w:sz w:val="24"/>
                <w:szCs w:val="24"/>
                <w:highlight w:val="none"/>
              </w:rPr>
              <w:t>在本项目中担任任务</w:t>
            </w:r>
          </w:p>
        </w:tc>
        <w:tc>
          <w:tcPr>
            <w:tcW w:w="8010" w:type="dxa"/>
            <w:gridSpan w:val="7"/>
            <w:vAlign w:val="center"/>
          </w:tcPr>
          <w:p w14:paraId="5B094BF6">
            <w:pPr>
              <w:spacing w:line="360" w:lineRule="auto"/>
              <w:ind w:firstLine="480" w:firstLineChars="200"/>
              <w:jc w:val="center"/>
              <w:rPr>
                <w:rFonts w:ascii="宋体" w:hAnsi="宋体"/>
                <w:color w:val="auto"/>
                <w:sz w:val="24"/>
                <w:szCs w:val="24"/>
                <w:highlight w:val="none"/>
              </w:rPr>
            </w:pPr>
          </w:p>
        </w:tc>
      </w:tr>
      <w:tr w14:paraId="0BBA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60" w:type="dxa"/>
            <w:gridSpan w:val="9"/>
            <w:vAlign w:val="center"/>
          </w:tcPr>
          <w:p w14:paraId="2B03D6C3">
            <w:pPr>
              <w:spacing w:line="360" w:lineRule="auto"/>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本人主要成果</w:t>
            </w:r>
          </w:p>
        </w:tc>
      </w:tr>
      <w:tr w14:paraId="0372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9" w:type="dxa"/>
            <w:vAlign w:val="center"/>
          </w:tcPr>
          <w:p w14:paraId="7D88DF00">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时间</w:t>
            </w:r>
          </w:p>
        </w:tc>
        <w:tc>
          <w:tcPr>
            <w:tcW w:w="3536" w:type="dxa"/>
            <w:gridSpan w:val="4"/>
            <w:vAlign w:val="center"/>
          </w:tcPr>
          <w:p w14:paraId="138763E6">
            <w:pPr>
              <w:spacing w:line="360" w:lineRule="auto"/>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参加过的类似项目</w:t>
            </w:r>
          </w:p>
        </w:tc>
        <w:tc>
          <w:tcPr>
            <w:tcW w:w="1606" w:type="dxa"/>
            <w:gridSpan w:val="2"/>
            <w:vAlign w:val="center"/>
          </w:tcPr>
          <w:p w14:paraId="50837C7B">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担任职务</w:t>
            </w:r>
          </w:p>
        </w:tc>
        <w:tc>
          <w:tcPr>
            <w:tcW w:w="3379" w:type="dxa"/>
            <w:gridSpan w:val="2"/>
            <w:vAlign w:val="center"/>
          </w:tcPr>
          <w:p w14:paraId="7269CF93">
            <w:pPr>
              <w:spacing w:line="360" w:lineRule="auto"/>
              <w:rPr>
                <w:rFonts w:ascii="宋体" w:hAnsi="宋体"/>
                <w:color w:val="auto"/>
                <w:sz w:val="24"/>
                <w:szCs w:val="24"/>
                <w:highlight w:val="none"/>
              </w:rPr>
            </w:pPr>
            <w:r>
              <w:rPr>
                <w:rFonts w:hint="eastAsia" w:ascii="宋体" w:hAnsi="宋体"/>
                <w:color w:val="auto"/>
                <w:sz w:val="24"/>
                <w:szCs w:val="24"/>
                <w:highlight w:val="none"/>
              </w:rPr>
              <w:t>采购人及联系电话</w:t>
            </w:r>
          </w:p>
        </w:tc>
      </w:tr>
      <w:tr w14:paraId="7BCD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62429E3D">
            <w:pPr>
              <w:spacing w:line="360" w:lineRule="auto"/>
              <w:jc w:val="center"/>
              <w:rPr>
                <w:rFonts w:ascii="宋体" w:hAnsi="宋体"/>
                <w:color w:val="auto"/>
                <w:sz w:val="24"/>
                <w:szCs w:val="24"/>
                <w:highlight w:val="none"/>
              </w:rPr>
            </w:pPr>
          </w:p>
        </w:tc>
        <w:tc>
          <w:tcPr>
            <w:tcW w:w="3536" w:type="dxa"/>
            <w:gridSpan w:val="4"/>
            <w:vAlign w:val="center"/>
          </w:tcPr>
          <w:p w14:paraId="59A00A6E">
            <w:pPr>
              <w:spacing w:line="360" w:lineRule="auto"/>
              <w:jc w:val="center"/>
              <w:rPr>
                <w:rFonts w:ascii="宋体" w:hAnsi="宋体"/>
                <w:color w:val="auto"/>
                <w:sz w:val="24"/>
                <w:szCs w:val="24"/>
                <w:highlight w:val="none"/>
              </w:rPr>
            </w:pPr>
          </w:p>
        </w:tc>
        <w:tc>
          <w:tcPr>
            <w:tcW w:w="1606" w:type="dxa"/>
            <w:gridSpan w:val="2"/>
            <w:vAlign w:val="center"/>
          </w:tcPr>
          <w:p w14:paraId="066C4EA2">
            <w:pPr>
              <w:spacing w:line="360" w:lineRule="auto"/>
              <w:jc w:val="center"/>
              <w:rPr>
                <w:rFonts w:ascii="宋体" w:hAnsi="宋体"/>
                <w:color w:val="auto"/>
                <w:sz w:val="24"/>
                <w:szCs w:val="24"/>
                <w:highlight w:val="none"/>
              </w:rPr>
            </w:pPr>
          </w:p>
        </w:tc>
        <w:tc>
          <w:tcPr>
            <w:tcW w:w="3379" w:type="dxa"/>
            <w:gridSpan w:val="2"/>
            <w:vAlign w:val="center"/>
          </w:tcPr>
          <w:p w14:paraId="6F5E9B63">
            <w:pPr>
              <w:spacing w:line="360" w:lineRule="auto"/>
              <w:jc w:val="center"/>
              <w:rPr>
                <w:rFonts w:ascii="宋体" w:hAnsi="宋体"/>
                <w:color w:val="auto"/>
                <w:sz w:val="24"/>
                <w:szCs w:val="24"/>
                <w:highlight w:val="none"/>
              </w:rPr>
            </w:pPr>
          </w:p>
        </w:tc>
      </w:tr>
      <w:tr w14:paraId="5448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01C9406D">
            <w:pPr>
              <w:spacing w:line="360" w:lineRule="auto"/>
              <w:jc w:val="center"/>
              <w:rPr>
                <w:rFonts w:ascii="宋体" w:hAnsi="宋体"/>
                <w:color w:val="auto"/>
                <w:sz w:val="24"/>
                <w:szCs w:val="24"/>
                <w:highlight w:val="none"/>
              </w:rPr>
            </w:pPr>
          </w:p>
        </w:tc>
        <w:tc>
          <w:tcPr>
            <w:tcW w:w="3536" w:type="dxa"/>
            <w:gridSpan w:val="4"/>
            <w:vAlign w:val="center"/>
          </w:tcPr>
          <w:p w14:paraId="2B34DF1B">
            <w:pPr>
              <w:spacing w:line="360" w:lineRule="auto"/>
              <w:jc w:val="center"/>
              <w:rPr>
                <w:rFonts w:ascii="宋体" w:hAnsi="宋体"/>
                <w:color w:val="auto"/>
                <w:sz w:val="24"/>
                <w:szCs w:val="24"/>
                <w:highlight w:val="none"/>
              </w:rPr>
            </w:pPr>
          </w:p>
        </w:tc>
        <w:tc>
          <w:tcPr>
            <w:tcW w:w="1606" w:type="dxa"/>
            <w:gridSpan w:val="2"/>
            <w:vAlign w:val="center"/>
          </w:tcPr>
          <w:p w14:paraId="5CD53CE9">
            <w:pPr>
              <w:spacing w:line="360" w:lineRule="auto"/>
              <w:jc w:val="center"/>
              <w:rPr>
                <w:rFonts w:ascii="宋体" w:hAnsi="宋体"/>
                <w:color w:val="auto"/>
                <w:sz w:val="24"/>
                <w:szCs w:val="24"/>
                <w:highlight w:val="none"/>
              </w:rPr>
            </w:pPr>
          </w:p>
        </w:tc>
        <w:tc>
          <w:tcPr>
            <w:tcW w:w="3379" w:type="dxa"/>
            <w:gridSpan w:val="2"/>
            <w:vAlign w:val="center"/>
          </w:tcPr>
          <w:p w14:paraId="211D7813">
            <w:pPr>
              <w:spacing w:line="360" w:lineRule="auto"/>
              <w:jc w:val="center"/>
              <w:rPr>
                <w:rFonts w:ascii="宋体" w:hAnsi="宋体"/>
                <w:color w:val="auto"/>
                <w:sz w:val="24"/>
                <w:szCs w:val="24"/>
                <w:highlight w:val="none"/>
              </w:rPr>
            </w:pPr>
          </w:p>
        </w:tc>
      </w:tr>
      <w:tr w14:paraId="4E5F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3001E43C">
            <w:pPr>
              <w:spacing w:line="360" w:lineRule="auto"/>
              <w:jc w:val="center"/>
              <w:rPr>
                <w:rFonts w:ascii="宋体" w:hAnsi="宋体"/>
                <w:color w:val="auto"/>
                <w:sz w:val="24"/>
                <w:szCs w:val="24"/>
                <w:highlight w:val="none"/>
              </w:rPr>
            </w:pPr>
          </w:p>
        </w:tc>
        <w:tc>
          <w:tcPr>
            <w:tcW w:w="3536" w:type="dxa"/>
            <w:gridSpan w:val="4"/>
            <w:vAlign w:val="center"/>
          </w:tcPr>
          <w:p w14:paraId="79D5903B">
            <w:pPr>
              <w:spacing w:line="360" w:lineRule="auto"/>
              <w:jc w:val="center"/>
              <w:rPr>
                <w:rFonts w:ascii="宋体" w:hAnsi="宋体"/>
                <w:color w:val="auto"/>
                <w:sz w:val="24"/>
                <w:szCs w:val="24"/>
                <w:highlight w:val="none"/>
              </w:rPr>
            </w:pPr>
          </w:p>
        </w:tc>
        <w:tc>
          <w:tcPr>
            <w:tcW w:w="1606" w:type="dxa"/>
            <w:gridSpan w:val="2"/>
            <w:vAlign w:val="center"/>
          </w:tcPr>
          <w:p w14:paraId="44144133">
            <w:pPr>
              <w:spacing w:line="360" w:lineRule="auto"/>
              <w:jc w:val="center"/>
              <w:rPr>
                <w:rFonts w:ascii="宋体" w:hAnsi="宋体"/>
                <w:color w:val="auto"/>
                <w:sz w:val="24"/>
                <w:szCs w:val="24"/>
                <w:highlight w:val="none"/>
              </w:rPr>
            </w:pPr>
          </w:p>
        </w:tc>
        <w:tc>
          <w:tcPr>
            <w:tcW w:w="3379" w:type="dxa"/>
            <w:gridSpan w:val="2"/>
            <w:vAlign w:val="center"/>
          </w:tcPr>
          <w:p w14:paraId="71D77296">
            <w:pPr>
              <w:spacing w:line="360" w:lineRule="auto"/>
              <w:jc w:val="center"/>
              <w:rPr>
                <w:rFonts w:ascii="宋体" w:hAnsi="宋体"/>
                <w:color w:val="auto"/>
                <w:sz w:val="24"/>
                <w:szCs w:val="24"/>
                <w:highlight w:val="none"/>
              </w:rPr>
            </w:pPr>
          </w:p>
        </w:tc>
      </w:tr>
      <w:tr w14:paraId="58B6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37488FF6">
            <w:pPr>
              <w:spacing w:line="360" w:lineRule="auto"/>
              <w:jc w:val="center"/>
              <w:rPr>
                <w:rFonts w:ascii="宋体" w:hAnsi="宋体"/>
                <w:color w:val="auto"/>
                <w:sz w:val="24"/>
                <w:szCs w:val="24"/>
                <w:highlight w:val="none"/>
              </w:rPr>
            </w:pPr>
          </w:p>
        </w:tc>
        <w:tc>
          <w:tcPr>
            <w:tcW w:w="3536" w:type="dxa"/>
            <w:gridSpan w:val="4"/>
            <w:vAlign w:val="center"/>
          </w:tcPr>
          <w:p w14:paraId="0970EB51">
            <w:pPr>
              <w:spacing w:line="360" w:lineRule="auto"/>
              <w:jc w:val="center"/>
              <w:rPr>
                <w:rFonts w:ascii="宋体" w:hAnsi="宋体"/>
                <w:color w:val="auto"/>
                <w:sz w:val="24"/>
                <w:szCs w:val="24"/>
                <w:highlight w:val="none"/>
              </w:rPr>
            </w:pPr>
          </w:p>
        </w:tc>
        <w:tc>
          <w:tcPr>
            <w:tcW w:w="1606" w:type="dxa"/>
            <w:gridSpan w:val="2"/>
            <w:vAlign w:val="center"/>
          </w:tcPr>
          <w:p w14:paraId="7ADC77C2">
            <w:pPr>
              <w:spacing w:line="360" w:lineRule="auto"/>
              <w:jc w:val="center"/>
              <w:rPr>
                <w:rFonts w:ascii="宋体" w:hAnsi="宋体"/>
                <w:color w:val="auto"/>
                <w:sz w:val="24"/>
                <w:szCs w:val="24"/>
                <w:highlight w:val="none"/>
              </w:rPr>
            </w:pPr>
          </w:p>
        </w:tc>
        <w:tc>
          <w:tcPr>
            <w:tcW w:w="3379" w:type="dxa"/>
            <w:gridSpan w:val="2"/>
            <w:vAlign w:val="center"/>
          </w:tcPr>
          <w:p w14:paraId="4D14499F">
            <w:pPr>
              <w:spacing w:line="360" w:lineRule="auto"/>
              <w:jc w:val="center"/>
              <w:rPr>
                <w:rFonts w:ascii="宋体" w:hAnsi="宋体"/>
                <w:color w:val="auto"/>
                <w:sz w:val="24"/>
                <w:szCs w:val="24"/>
                <w:highlight w:val="none"/>
              </w:rPr>
            </w:pPr>
          </w:p>
        </w:tc>
      </w:tr>
      <w:tr w14:paraId="62C0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7D79ED39">
            <w:pPr>
              <w:spacing w:line="360" w:lineRule="auto"/>
              <w:jc w:val="center"/>
              <w:rPr>
                <w:rFonts w:ascii="宋体" w:hAnsi="宋体"/>
                <w:color w:val="auto"/>
                <w:sz w:val="24"/>
                <w:szCs w:val="24"/>
                <w:highlight w:val="none"/>
              </w:rPr>
            </w:pPr>
          </w:p>
        </w:tc>
        <w:tc>
          <w:tcPr>
            <w:tcW w:w="3536" w:type="dxa"/>
            <w:gridSpan w:val="4"/>
            <w:vAlign w:val="center"/>
          </w:tcPr>
          <w:p w14:paraId="68FEA173">
            <w:pPr>
              <w:spacing w:line="360" w:lineRule="auto"/>
              <w:jc w:val="center"/>
              <w:rPr>
                <w:rFonts w:ascii="宋体" w:hAnsi="宋体"/>
                <w:color w:val="auto"/>
                <w:sz w:val="24"/>
                <w:szCs w:val="24"/>
                <w:highlight w:val="none"/>
              </w:rPr>
            </w:pPr>
          </w:p>
        </w:tc>
        <w:tc>
          <w:tcPr>
            <w:tcW w:w="1606" w:type="dxa"/>
            <w:gridSpan w:val="2"/>
            <w:vAlign w:val="center"/>
          </w:tcPr>
          <w:p w14:paraId="0A9E4CFF">
            <w:pPr>
              <w:spacing w:line="360" w:lineRule="auto"/>
              <w:jc w:val="center"/>
              <w:rPr>
                <w:rFonts w:ascii="宋体" w:hAnsi="宋体"/>
                <w:color w:val="auto"/>
                <w:sz w:val="24"/>
                <w:szCs w:val="24"/>
                <w:highlight w:val="none"/>
              </w:rPr>
            </w:pPr>
          </w:p>
        </w:tc>
        <w:tc>
          <w:tcPr>
            <w:tcW w:w="3379" w:type="dxa"/>
            <w:gridSpan w:val="2"/>
            <w:vAlign w:val="center"/>
          </w:tcPr>
          <w:p w14:paraId="748ECC5E">
            <w:pPr>
              <w:spacing w:line="360" w:lineRule="auto"/>
              <w:jc w:val="center"/>
              <w:rPr>
                <w:rFonts w:ascii="宋体" w:hAnsi="宋体"/>
                <w:color w:val="auto"/>
                <w:sz w:val="24"/>
                <w:szCs w:val="24"/>
                <w:highlight w:val="none"/>
              </w:rPr>
            </w:pPr>
          </w:p>
        </w:tc>
      </w:tr>
      <w:tr w14:paraId="77F1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75C053E9">
            <w:pPr>
              <w:spacing w:line="360" w:lineRule="auto"/>
              <w:jc w:val="center"/>
              <w:rPr>
                <w:rFonts w:ascii="宋体" w:hAnsi="宋体"/>
                <w:color w:val="auto"/>
                <w:sz w:val="24"/>
                <w:szCs w:val="24"/>
                <w:highlight w:val="none"/>
              </w:rPr>
            </w:pPr>
          </w:p>
        </w:tc>
        <w:tc>
          <w:tcPr>
            <w:tcW w:w="3536" w:type="dxa"/>
            <w:gridSpan w:val="4"/>
            <w:vAlign w:val="center"/>
          </w:tcPr>
          <w:p w14:paraId="005F5361">
            <w:pPr>
              <w:spacing w:line="360" w:lineRule="auto"/>
              <w:jc w:val="center"/>
              <w:rPr>
                <w:rFonts w:ascii="宋体" w:hAnsi="宋体"/>
                <w:color w:val="auto"/>
                <w:sz w:val="24"/>
                <w:szCs w:val="24"/>
                <w:highlight w:val="none"/>
              </w:rPr>
            </w:pPr>
          </w:p>
        </w:tc>
        <w:tc>
          <w:tcPr>
            <w:tcW w:w="1606" w:type="dxa"/>
            <w:gridSpan w:val="2"/>
            <w:vAlign w:val="center"/>
          </w:tcPr>
          <w:p w14:paraId="44421434">
            <w:pPr>
              <w:spacing w:line="360" w:lineRule="auto"/>
              <w:jc w:val="center"/>
              <w:rPr>
                <w:rFonts w:ascii="宋体" w:hAnsi="宋体"/>
                <w:color w:val="auto"/>
                <w:sz w:val="24"/>
                <w:szCs w:val="24"/>
                <w:highlight w:val="none"/>
              </w:rPr>
            </w:pPr>
          </w:p>
        </w:tc>
        <w:tc>
          <w:tcPr>
            <w:tcW w:w="3379" w:type="dxa"/>
            <w:gridSpan w:val="2"/>
            <w:vAlign w:val="center"/>
          </w:tcPr>
          <w:p w14:paraId="745F41A4">
            <w:pPr>
              <w:spacing w:line="360" w:lineRule="auto"/>
              <w:jc w:val="center"/>
              <w:rPr>
                <w:rFonts w:ascii="宋体" w:hAnsi="宋体"/>
                <w:color w:val="auto"/>
                <w:sz w:val="24"/>
                <w:szCs w:val="24"/>
                <w:highlight w:val="none"/>
              </w:rPr>
            </w:pPr>
          </w:p>
        </w:tc>
      </w:tr>
      <w:tr w14:paraId="1CDA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34427231">
            <w:pPr>
              <w:spacing w:line="360" w:lineRule="auto"/>
              <w:jc w:val="center"/>
              <w:rPr>
                <w:rFonts w:ascii="宋体" w:hAnsi="宋体"/>
                <w:color w:val="auto"/>
                <w:sz w:val="24"/>
                <w:szCs w:val="24"/>
                <w:highlight w:val="none"/>
              </w:rPr>
            </w:pPr>
          </w:p>
        </w:tc>
        <w:tc>
          <w:tcPr>
            <w:tcW w:w="3536" w:type="dxa"/>
            <w:gridSpan w:val="4"/>
            <w:vAlign w:val="center"/>
          </w:tcPr>
          <w:p w14:paraId="5D155EE1">
            <w:pPr>
              <w:spacing w:line="360" w:lineRule="auto"/>
              <w:jc w:val="center"/>
              <w:rPr>
                <w:rFonts w:ascii="宋体" w:hAnsi="宋体"/>
                <w:color w:val="auto"/>
                <w:sz w:val="24"/>
                <w:szCs w:val="24"/>
                <w:highlight w:val="none"/>
              </w:rPr>
            </w:pPr>
          </w:p>
        </w:tc>
        <w:tc>
          <w:tcPr>
            <w:tcW w:w="1606" w:type="dxa"/>
            <w:gridSpan w:val="2"/>
            <w:vAlign w:val="center"/>
          </w:tcPr>
          <w:p w14:paraId="56E54A15">
            <w:pPr>
              <w:spacing w:line="360" w:lineRule="auto"/>
              <w:jc w:val="center"/>
              <w:rPr>
                <w:rFonts w:ascii="宋体" w:hAnsi="宋体"/>
                <w:color w:val="auto"/>
                <w:sz w:val="24"/>
                <w:szCs w:val="24"/>
                <w:highlight w:val="none"/>
              </w:rPr>
            </w:pPr>
          </w:p>
        </w:tc>
        <w:tc>
          <w:tcPr>
            <w:tcW w:w="3379" w:type="dxa"/>
            <w:gridSpan w:val="2"/>
            <w:vAlign w:val="center"/>
          </w:tcPr>
          <w:p w14:paraId="406D6E17">
            <w:pPr>
              <w:spacing w:line="360" w:lineRule="auto"/>
              <w:jc w:val="center"/>
              <w:rPr>
                <w:rFonts w:ascii="宋体" w:hAnsi="宋体"/>
                <w:color w:val="auto"/>
                <w:sz w:val="24"/>
                <w:szCs w:val="24"/>
                <w:highlight w:val="none"/>
              </w:rPr>
            </w:pPr>
          </w:p>
        </w:tc>
      </w:tr>
      <w:tr w14:paraId="3283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29A39D6E">
            <w:pPr>
              <w:spacing w:line="360" w:lineRule="auto"/>
              <w:jc w:val="center"/>
              <w:rPr>
                <w:rFonts w:ascii="宋体" w:hAnsi="宋体"/>
                <w:color w:val="auto"/>
                <w:sz w:val="24"/>
                <w:szCs w:val="24"/>
                <w:highlight w:val="none"/>
              </w:rPr>
            </w:pPr>
          </w:p>
        </w:tc>
        <w:tc>
          <w:tcPr>
            <w:tcW w:w="3536" w:type="dxa"/>
            <w:gridSpan w:val="4"/>
            <w:vAlign w:val="center"/>
          </w:tcPr>
          <w:p w14:paraId="0C767924">
            <w:pPr>
              <w:spacing w:line="360" w:lineRule="auto"/>
              <w:jc w:val="center"/>
              <w:rPr>
                <w:rFonts w:ascii="宋体" w:hAnsi="宋体"/>
                <w:color w:val="auto"/>
                <w:sz w:val="24"/>
                <w:szCs w:val="24"/>
                <w:highlight w:val="none"/>
              </w:rPr>
            </w:pPr>
          </w:p>
        </w:tc>
        <w:tc>
          <w:tcPr>
            <w:tcW w:w="1606" w:type="dxa"/>
            <w:gridSpan w:val="2"/>
            <w:vAlign w:val="center"/>
          </w:tcPr>
          <w:p w14:paraId="50A5B1F7">
            <w:pPr>
              <w:spacing w:line="360" w:lineRule="auto"/>
              <w:jc w:val="center"/>
              <w:rPr>
                <w:rFonts w:ascii="宋体" w:hAnsi="宋体"/>
                <w:color w:val="auto"/>
                <w:sz w:val="24"/>
                <w:szCs w:val="24"/>
                <w:highlight w:val="none"/>
              </w:rPr>
            </w:pPr>
          </w:p>
        </w:tc>
        <w:tc>
          <w:tcPr>
            <w:tcW w:w="3379" w:type="dxa"/>
            <w:gridSpan w:val="2"/>
            <w:vAlign w:val="center"/>
          </w:tcPr>
          <w:p w14:paraId="3BA7AF46">
            <w:pPr>
              <w:spacing w:line="360" w:lineRule="auto"/>
              <w:jc w:val="center"/>
              <w:rPr>
                <w:rFonts w:ascii="宋体" w:hAnsi="宋体"/>
                <w:color w:val="auto"/>
                <w:sz w:val="24"/>
                <w:szCs w:val="24"/>
                <w:highlight w:val="none"/>
              </w:rPr>
            </w:pPr>
          </w:p>
        </w:tc>
      </w:tr>
      <w:tr w14:paraId="54CD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3EB43547">
            <w:pPr>
              <w:spacing w:line="360" w:lineRule="auto"/>
              <w:jc w:val="center"/>
              <w:rPr>
                <w:rFonts w:ascii="宋体" w:hAnsi="宋体"/>
                <w:color w:val="auto"/>
                <w:sz w:val="24"/>
                <w:szCs w:val="24"/>
                <w:highlight w:val="none"/>
              </w:rPr>
            </w:pPr>
          </w:p>
        </w:tc>
        <w:tc>
          <w:tcPr>
            <w:tcW w:w="3536" w:type="dxa"/>
            <w:gridSpan w:val="4"/>
            <w:vAlign w:val="center"/>
          </w:tcPr>
          <w:p w14:paraId="5FEAF13D">
            <w:pPr>
              <w:spacing w:line="360" w:lineRule="auto"/>
              <w:jc w:val="center"/>
              <w:rPr>
                <w:rFonts w:ascii="宋体" w:hAnsi="宋体"/>
                <w:color w:val="auto"/>
                <w:sz w:val="24"/>
                <w:szCs w:val="24"/>
                <w:highlight w:val="none"/>
              </w:rPr>
            </w:pPr>
          </w:p>
        </w:tc>
        <w:tc>
          <w:tcPr>
            <w:tcW w:w="1606" w:type="dxa"/>
            <w:gridSpan w:val="2"/>
            <w:vAlign w:val="center"/>
          </w:tcPr>
          <w:p w14:paraId="39063861">
            <w:pPr>
              <w:spacing w:line="360" w:lineRule="auto"/>
              <w:jc w:val="center"/>
              <w:rPr>
                <w:rFonts w:ascii="宋体" w:hAnsi="宋体"/>
                <w:color w:val="auto"/>
                <w:sz w:val="24"/>
                <w:szCs w:val="24"/>
                <w:highlight w:val="none"/>
              </w:rPr>
            </w:pPr>
          </w:p>
        </w:tc>
        <w:tc>
          <w:tcPr>
            <w:tcW w:w="3379" w:type="dxa"/>
            <w:gridSpan w:val="2"/>
            <w:vAlign w:val="center"/>
          </w:tcPr>
          <w:p w14:paraId="1011E76D">
            <w:pPr>
              <w:spacing w:line="360" w:lineRule="auto"/>
              <w:jc w:val="center"/>
              <w:rPr>
                <w:rFonts w:ascii="宋体" w:hAnsi="宋体"/>
                <w:color w:val="auto"/>
                <w:sz w:val="24"/>
                <w:szCs w:val="24"/>
                <w:highlight w:val="none"/>
              </w:rPr>
            </w:pPr>
          </w:p>
        </w:tc>
      </w:tr>
      <w:tr w14:paraId="00EB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29BA744B">
            <w:pPr>
              <w:spacing w:line="360" w:lineRule="auto"/>
              <w:jc w:val="center"/>
              <w:rPr>
                <w:rFonts w:ascii="宋体" w:hAnsi="宋体"/>
                <w:color w:val="auto"/>
                <w:sz w:val="24"/>
                <w:szCs w:val="24"/>
                <w:highlight w:val="none"/>
              </w:rPr>
            </w:pPr>
          </w:p>
        </w:tc>
        <w:tc>
          <w:tcPr>
            <w:tcW w:w="3536" w:type="dxa"/>
            <w:gridSpan w:val="4"/>
            <w:vAlign w:val="center"/>
          </w:tcPr>
          <w:p w14:paraId="59887E63">
            <w:pPr>
              <w:spacing w:line="360" w:lineRule="auto"/>
              <w:jc w:val="center"/>
              <w:rPr>
                <w:rFonts w:ascii="宋体" w:hAnsi="宋体"/>
                <w:color w:val="auto"/>
                <w:sz w:val="24"/>
                <w:szCs w:val="24"/>
                <w:highlight w:val="none"/>
              </w:rPr>
            </w:pPr>
          </w:p>
        </w:tc>
        <w:tc>
          <w:tcPr>
            <w:tcW w:w="1606" w:type="dxa"/>
            <w:gridSpan w:val="2"/>
            <w:vAlign w:val="center"/>
          </w:tcPr>
          <w:p w14:paraId="724D54BA">
            <w:pPr>
              <w:spacing w:line="360" w:lineRule="auto"/>
              <w:jc w:val="center"/>
              <w:rPr>
                <w:rFonts w:ascii="宋体" w:hAnsi="宋体"/>
                <w:color w:val="auto"/>
                <w:sz w:val="24"/>
                <w:szCs w:val="24"/>
                <w:highlight w:val="none"/>
              </w:rPr>
            </w:pPr>
          </w:p>
        </w:tc>
        <w:tc>
          <w:tcPr>
            <w:tcW w:w="3379" w:type="dxa"/>
            <w:gridSpan w:val="2"/>
            <w:vAlign w:val="center"/>
          </w:tcPr>
          <w:p w14:paraId="220DA9C1">
            <w:pPr>
              <w:spacing w:line="360" w:lineRule="auto"/>
              <w:jc w:val="center"/>
              <w:rPr>
                <w:rFonts w:ascii="宋体" w:hAnsi="宋体"/>
                <w:color w:val="auto"/>
                <w:sz w:val="24"/>
                <w:szCs w:val="24"/>
                <w:highlight w:val="none"/>
              </w:rPr>
            </w:pPr>
          </w:p>
        </w:tc>
      </w:tr>
      <w:tr w14:paraId="4E09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vAlign w:val="center"/>
          </w:tcPr>
          <w:p w14:paraId="44816CDD">
            <w:pPr>
              <w:spacing w:line="360" w:lineRule="auto"/>
              <w:jc w:val="center"/>
              <w:rPr>
                <w:rFonts w:ascii="宋体" w:hAnsi="宋体"/>
                <w:color w:val="auto"/>
                <w:sz w:val="24"/>
                <w:szCs w:val="24"/>
                <w:highlight w:val="none"/>
              </w:rPr>
            </w:pPr>
          </w:p>
        </w:tc>
        <w:tc>
          <w:tcPr>
            <w:tcW w:w="3536" w:type="dxa"/>
            <w:gridSpan w:val="4"/>
            <w:vAlign w:val="center"/>
          </w:tcPr>
          <w:p w14:paraId="7E282B99">
            <w:pPr>
              <w:spacing w:line="360" w:lineRule="auto"/>
              <w:jc w:val="center"/>
              <w:rPr>
                <w:rFonts w:ascii="宋体" w:hAnsi="宋体"/>
                <w:color w:val="auto"/>
                <w:sz w:val="24"/>
                <w:szCs w:val="24"/>
                <w:highlight w:val="none"/>
              </w:rPr>
            </w:pPr>
          </w:p>
        </w:tc>
        <w:tc>
          <w:tcPr>
            <w:tcW w:w="1606" w:type="dxa"/>
            <w:gridSpan w:val="2"/>
            <w:vAlign w:val="center"/>
          </w:tcPr>
          <w:p w14:paraId="2D3F5777">
            <w:pPr>
              <w:spacing w:line="360" w:lineRule="auto"/>
              <w:jc w:val="center"/>
              <w:rPr>
                <w:rFonts w:ascii="宋体" w:hAnsi="宋体"/>
                <w:color w:val="auto"/>
                <w:sz w:val="24"/>
                <w:szCs w:val="24"/>
                <w:highlight w:val="none"/>
              </w:rPr>
            </w:pPr>
          </w:p>
        </w:tc>
        <w:tc>
          <w:tcPr>
            <w:tcW w:w="3379" w:type="dxa"/>
            <w:gridSpan w:val="2"/>
            <w:vAlign w:val="center"/>
          </w:tcPr>
          <w:p w14:paraId="2368B64F">
            <w:pPr>
              <w:spacing w:line="360" w:lineRule="auto"/>
              <w:jc w:val="center"/>
              <w:rPr>
                <w:rFonts w:ascii="宋体" w:hAnsi="宋体"/>
                <w:color w:val="auto"/>
                <w:sz w:val="24"/>
                <w:szCs w:val="24"/>
                <w:highlight w:val="none"/>
              </w:rPr>
            </w:pPr>
          </w:p>
        </w:tc>
      </w:tr>
    </w:tbl>
    <w:p w14:paraId="1756FCA5">
      <w:pPr>
        <w:jc w:val="center"/>
        <w:rPr>
          <w:rFonts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b/>
          <w:bCs/>
          <w:color w:val="auto"/>
          <w:sz w:val="24"/>
          <w:szCs w:val="24"/>
          <w:highlight w:val="none"/>
        </w:rPr>
        <w:t>提供证明文件复印件并加盖公章。</w:t>
      </w:r>
      <w:r>
        <w:rPr>
          <w:rFonts w:hint="eastAsia" w:ascii="宋体" w:hAnsi="宋体"/>
          <w:color w:val="auto"/>
          <w:sz w:val="24"/>
          <w:szCs w:val="24"/>
          <w:highlight w:val="none"/>
        </w:rPr>
        <w:t>佐证材料应提供人员须提供证书复印件、身份证正反面复印件证明材料。退休返聘人员提供退休证明。</w:t>
      </w:r>
    </w:p>
    <w:p w14:paraId="7B459342">
      <w:pPr>
        <w:jc w:val="center"/>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（二）拟投入本项目的主要成员表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468"/>
        <w:gridCol w:w="1467"/>
        <w:gridCol w:w="1814"/>
        <w:gridCol w:w="1112"/>
        <w:gridCol w:w="1986"/>
      </w:tblGrid>
      <w:tr w14:paraId="4134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550" w:type="dxa"/>
            <w:vAlign w:val="center"/>
          </w:tcPr>
          <w:p w14:paraId="211429AA">
            <w:pPr>
              <w:spacing w:line="440" w:lineRule="exact"/>
              <w:jc w:val="center"/>
              <w:rPr>
                <w:rFonts w:ascii="宋体" w:hAnsi="宋体"/>
                <w:color w:val="auto"/>
                <w:sz w:val="24"/>
                <w:highlight w:val="none"/>
              </w:rPr>
            </w:pPr>
            <w:r>
              <w:rPr>
                <w:rFonts w:hint="eastAsia" w:ascii="宋体" w:hAnsi="宋体"/>
                <w:color w:val="auto"/>
                <w:sz w:val="24"/>
                <w:highlight w:val="none"/>
              </w:rPr>
              <w:t>序号</w:t>
            </w:r>
          </w:p>
        </w:tc>
        <w:tc>
          <w:tcPr>
            <w:tcW w:w="1468" w:type="dxa"/>
            <w:vAlign w:val="center"/>
          </w:tcPr>
          <w:p w14:paraId="2E54521B">
            <w:pPr>
              <w:spacing w:line="440" w:lineRule="exact"/>
              <w:jc w:val="center"/>
              <w:rPr>
                <w:rFonts w:ascii="宋体" w:hAnsi="宋体"/>
                <w:color w:val="auto"/>
                <w:sz w:val="24"/>
                <w:highlight w:val="none"/>
              </w:rPr>
            </w:pPr>
            <w:r>
              <w:rPr>
                <w:rFonts w:hint="eastAsia" w:ascii="宋体" w:hAnsi="宋体"/>
                <w:color w:val="auto"/>
                <w:sz w:val="24"/>
                <w:highlight w:val="none"/>
              </w:rPr>
              <w:t>姓名</w:t>
            </w:r>
          </w:p>
        </w:tc>
        <w:tc>
          <w:tcPr>
            <w:tcW w:w="1467" w:type="dxa"/>
            <w:vAlign w:val="center"/>
          </w:tcPr>
          <w:p w14:paraId="69F4A582">
            <w:pPr>
              <w:spacing w:line="440" w:lineRule="exact"/>
              <w:jc w:val="center"/>
              <w:rPr>
                <w:rFonts w:ascii="宋体" w:hAnsi="宋体"/>
                <w:color w:val="auto"/>
                <w:sz w:val="24"/>
                <w:highlight w:val="none"/>
              </w:rPr>
            </w:pPr>
            <w:r>
              <w:rPr>
                <w:rFonts w:hint="eastAsia" w:ascii="宋体" w:hAnsi="宋体"/>
                <w:color w:val="auto"/>
                <w:sz w:val="24"/>
                <w:highlight w:val="none"/>
              </w:rPr>
              <w:t>性别</w:t>
            </w:r>
          </w:p>
        </w:tc>
        <w:tc>
          <w:tcPr>
            <w:tcW w:w="1814" w:type="dxa"/>
            <w:vAlign w:val="center"/>
          </w:tcPr>
          <w:p w14:paraId="73F545AE">
            <w:pPr>
              <w:spacing w:line="440" w:lineRule="exact"/>
              <w:jc w:val="center"/>
              <w:rPr>
                <w:rFonts w:ascii="宋体" w:hAnsi="宋体"/>
                <w:color w:val="auto"/>
                <w:sz w:val="24"/>
                <w:highlight w:val="none"/>
              </w:rPr>
            </w:pPr>
            <w:r>
              <w:rPr>
                <w:rFonts w:hint="eastAsia" w:ascii="宋体" w:hAnsi="宋体"/>
                <w:color w:val="auto"/>
                <w:sz w:val="24"/>
                <w:highlight w:val="none"/>
              </w:rPr>
              <w:t>身份证号</w:t>
            </w:r>
          </w:p>
        </w:tc>
        <w:tc>
          <w:tcPr>
            <w:tcW w:w="1112" w:type="dxa"/>
            <w:vAlign w:val="center"/>
          </w:tcPr>
          <w:p w14:paraId="6A723AAE">
            <w:pPr>
              <w:spacing w:line="440" w:lineRule="exact"/>
              <w:jc w:val="center"/>
              <w:rPr>
                <w:rFonts w:ascii="宋体" w:hAnsi="宋体"/>
                <w:color w:val="auto"/>
                <w:sz w:val="24"/>
                <w:highlight w:val="none"/>
              </w:rPr>
            </w:pPr>
            <w:r>
              <w:rPr>
                <w:rFonts w:hint="eastAsia" w:ascii="宋体" w:hAnsi="宋体"/>
                <w:color w:val="auto"/>
                <w:sz w:val="24"/>
                <w:highlight w:val="none"/>
              </w:rPr>
              <w:t>证书</w:t>
            </w:r>
          </w:p>
        </w:tc>
        <w:tc>
          <w:tcPr>
            <w:tcW w:w="1986" w:type="dxa"/>
            <w:vAlign w:val="center"/>
          </w:tcPr>
          <w:p w14:paraId="0894EB11">
            <w:pPr>
              <w:spacing w:line="440" w:lineRule="exact"/>
              <w:jc w:val="center"/>
              <w:rPr>
                <w:rFonts w:ascii="宋体" w:hAnsi="宋体"/>
                <w:color w:val="auto"/>
                <w:sz w:val="24"/>
                <w:highlight w:val="none"/>
              </w:rPr>
            </w:pPr>
            <w:r>
              <w:rPr>
                <w:rFonts w:hint="eastAsia" w:ascii="宋体" w:hAnsi="宋体"/>
                <w:color w:val="auto"/>
                <w:sz w:val="24"/>
                <w:highlight w:val="none"/>
              </w:rPr>
              <w:t>专业</w:t>
            </w:r>
          </w:p>
        </w:tc>
      </w:tr>
      <w:tr w14:paraId="7D3A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0" w:type="dxa"/>
          </w:tcPr>
          <w:p w14:paraId="54DFD826">
            <w:pPr>
              <w:spacing w:line="440" w:lineRule="exact"/>
              <w:jc w:val="center"/>
              <w:rPr>
                <w:rFonts w:ascii="宋体" w:hAnsi="宋体"/>
                <w:color w:val="auto"/>
                <w:sz w:val="24"/>
                <w:highlight w:val="none"/>
              </w:rPr>
            </w:pPr>
            <w:r>
              <w:rPr>
                <w:rFonts w:hint="eastAsia" w:ascii="宋体" w:hAnsi="宋体"/>
                <w:color w:val="auto"/>
                <w:sz w:val="24"/>
                <w:highlight w:val="none"/>
              </w:rPr>
              <w:t>1</w:t>
            </w:r>
          </w:p>
        </w:tc>
        <w:tc>
          <w:tcPr>
            <w:tcW w:w="1468" w:type="dxa"/>
          </w:tcPr>
          <w:p w14:paraId="746BED9A">
            <w:pPr>
              <w:spacing w:line="440" w:lineRule="exact"/>
              <w:jc w:val="center"/>
              <w:rPr>
                <w:rFonts w:ascii="宋体" w:hAnsi="宋体"/>
                <w:color w:val="auto"/>
                <w:sz w:val="24"/>
                <w:highlight w:val="none"/>
              </w:rPr>
            </w:pPr>
          </w:p>
        </w:tc>
        <w:tc>
          <w:tcPr>
            <w:tcW w:w="1467" w:type="dxa"/>
          </w:tcPr>
          <w:p w14:paraId="6347C357">
            <w:pPr>
              <w:spacing w:line="440" w:lineRule="exact"/>
              <w:jc w:val="center"/>
              <w:rPr>
                <w:rFonts w:ascii="宋体" w:hAnsi="宋体"/>
                <w:color w:val="auto"/>
                <w:sz w:val="24"/>
                <w:highlight w:val="none"/>
              </w:rPr>
            </w:pPr>
          </w:p>
        </w:tc>
        <w:tc>
          <w:tcPr>
            <w:tcW w:w="1814" w:type="dxa"/>
          </w:tcPr>
          <w:p w14:paraId="32D3A619">
            <w:pPr>
              <w:spacing w:line="440" w:lineRule="exact"/>
              <w:jc w:val="center"/>
              <w:rPr>
                <w:rFonts w:ascii="宋体" w:hAnsi="宋体"/>
                <w:color w:val="auto"/>
                <w:sz w:val="24"/>
                <w:highlight w:val="none"/>
              </w:rPr>
            </w:pPr>
          </w:p>
        </w:tc>
        <w:tc>
          <w:tcPr>
            <w:tcW w:w="1112" w:type="dxa"/>
          </w:tcPr>
          <w:p w14:paraId="005104C6">
            <w:pPr>
              <w:spacing w:line="440" w:lineRule="exact"/>
              <w:jc w:val="center"/>
              <w:rPr>
                <w:rFonts w:ascii="宋体" w:hAnsi="宋体"/>
                <w:color w:val="auto"/>
                <w:sz w:val="24"/>
                <w:highlight w:val="none"/>
              </w:rPr>
            </w:pPr>
          </w:p>
        </w:tc>
        <w:tc>
          <w:tcPr>
            <w:tcW w:w="1986" w:type="dxa"/>
          </w:tcPr>
          <w:p w14:paraId="42A64B63">
            <w:pPr>
              <w:spacing w:line="440" w:lineRule="exact"/>
              <w:jc w:val="center"/>
              <w:rPr>
                <w:rFonts w:ascii="宋体" w:hAnsi="宋体"/>
                <w:color w:val="auto"/>
                <w:sz w:val="24"/>
                <w:highlight w:val="none"/>
              </w:rPr>
            </w:pPr>
          </w:p>
        </w:tc>
      </w:tr>
      <w:tr w14:paraId="5E5D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0" w:type="dxa"/>
          </w:tcPr>
          <w:p w14:paraId="4EE1845F">
            <w:pPr>
              <w:spacing w:line="440" w:lineRule="exact"/>
              <w:jc w:val="center"/>
              <w:rPr>
                <w:rFonts w:ascii="宋体" w:hAnsi="宋体"/>
                <w:color w:val="auto"/>
                <w:sz w:val="24"/>
                <w:highlight w:val="none"/>
              </w:rPr>
            </w:pPr>
            <w:r>
              <w:rPr>
                <w:rFonts w:hint="eastAsia" w:ascii="宋体" w:hAnsi="宋体"/>
                <w:color w:val="auto"/>
                <w:sz w:val="24"/>
                <w:highlight w:val="none"/>
              </w:rPr>
              <w:t>2</w:t>
            </w:r>
          </w:p>
        </w:tc>
        <w:tc>
          <w:tcPr>
            <w:tcW w:w="1468" w:type="dxa"/>
          </w:tcPr>
          <w:p w14:paraId="7507B736">
            <w:pPr>
              <w:spacing w:line="440" w:lineRule="exact"/>
              <w:jc w:val="center"/>
              <w:rPr>
                <w:rFonts w:ascii="宋体" w:hAnsi="宋体"/>
                <w:color w:val="auto"/>
                <w:sz w:val="24"/>
                <w:highlight w:val="none"/>
              </w:rPr>
            </w:pPr>
          </w:p>
        </w:tc>
        <w:tc>
          <w:tcPr>
            <w:tcW w:w="1467" w:type="dxa"/>
          </w:tcPr>
          <w:p w14:paraId="709C653B">
            <w:pPr>
              <w:spacing w:line="440" w:lineRule="exact"/>
              <w:jc w:val="center"/>
              <w:rPr>
                <w:rFonts w:ascii="宋体" w:hAnsi="宋体"/>
                <w:color w:val="auto"/>
                <w:sz w:val="24"/>
                <w:highlight w:val="none"/>
              </w:rPr>
            </w:pPr>
          </w:p>
        </w:tc>
        <w:tc>
          <w:tcPr>
            <w:tcW w:w="1814" w:type="dxa"/>
          </w:tcPr>
          <w:p w14:paraId="4EE84943">
            <w:pPr>
              <w:spacing w:line="440" w:lineRule="exact"/>
              <w:jc w:val="center"/>
              <w:rPr>
                <w:rFonts w:ascii="宋体" w:hAnsi="宋体"/>
                <w:color w:val="auto"/>
                <w:sz w:val="24"/>
                <w:highlight w:val="none"/>
              </w:rPr>
            </w:pPr>
          </w:p>
        </w:tc>
        <w:tc>
          <w:tcPr>
            <w:tcW w:w="1112" w:type="dxa"/>
          </w:tcPr>
          <w:p w14:paraId="456CB0CA">
            <w:pPr>
              <w:spacing w:line="440" w:lineRule="exact"/>
              <w:jc w:val="center"/>
              <w:rPr>
                <w:rFonts w:ascii="宋体" w:hAnsi="宋体"/>
                <w:color w:val="auto"/>
                <w:sz w:val="24"/>
                <w:highlight w:val="none"/>
              </w:rPr>
            </w:pPr>
          </w:p>
        </w:tc>
        <w:tc>
          <w:tcPr>
            <w:tcW w:w="1986" w:type="dxa"/>
          </w:tcPr>
          <w:p w14:paraId="0FEA201B">
            <w:pPr>
              <w:spacing w:line="440" w:lineRule="exact"/>
              <w:jc w:val="center"/>
              <w:rPr>
                <w:rFonts w:ascii="宋体" w:hAnsi="宋体"/>
                <w:color w:val="auto"/>
                <w:sz w:val="24"/>
                <w:highlight w:val="none"/>
              </w:rPr>
            </w:pPr>
          </w:p>
        </w:tc>
      </w:tr>
      <w:tr w14:paraId="37C2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0" w:type="dxa"/>
          </w:tcPr>
          <w:p w14:paraId="44F48A7B">
            <w:pPr>
              <w:spacing w:line="440" w:lineRule="exact"/>
              <w:jc w:val="center"/>
              <w:rPr>
                <w:rFonts w:ascii="宋体" w:hAnsi="宋体"/>
                <w:color w:val="auto"/>
                <w:sz w:val="24"/>
                <w:highlight w:val="none"/>
              </w:rPr>
            </w:pPr>
            <w:r>
              <w:rPr>
                <w:rFonts w:hint="eastAsia" w:ascii="宋体" w:hAnsi="宋体"/>
                <w:color w:val="auto"/>
                <w:sz w:val="24"/>
                <w:highlight w:val="none"/>
              </w:rPr>
              <w:t>3</w:t>
            </w:r>
          </w:p>
        </w:tc>
        <w:tc>
          <w:tcPr>
            <w:tcW w:w="1468" w:type="dxa"/>
          </w:tcPr>
          <w:p w14:paraId="4FF87382">
            <w:pPr>
              <w:spacing w:line="440" w:lineRule="exact"/>
              <w:jc w:val="center"/>
              <w:rPr>
                <w:rFonts w:ascii="宋体" w:hAnsi="宋体"/>
                <w:color w:val="auto"/>
                <w:sz w:val="24"/>
                <w:highlight w:val="none"/>
              </w:rPr>
            </w:pPr>
          </w:p>
        </w:tc>
        <w:tc>
          <w:tcPr>
            <w:tcW w:w="1467" w:type="dxa"/>
          </w:tcPr>
          <w:p w14:paraId="21DA9534">
            <w:pPr>
              <w:spacing w:line="440" w:lineRule="exact"/>
              <w:jc w:val="center"/>
              <w:rPr>
                <w:rFonts w:ascii="宋体" w:hAnsi="宋体"/>
                <w:color w:val="auto"/>
                <w:sz w:val="24"/>
                <w:highlight w:val="none"/>
              </w:rPr>
            </w:pPr>
          </w:p>
        </w:tc>
        <w:tc>
          <w:tcPr>
            <w:tcW w:w="1814" w:type="dxa"/>
          </w:tcPr>
          <w:p w14:paraId="2D881218">
            <w:pPr>
              <w:spacing w:line="440" w:lineRule="exact"/>
              <w:jc w:val="center"/>
              <w:rPr>
                <w:rFonts w:ascii="宋体" w:hAnsi="宋体"/>
                <w:color w:val="auto"/>
                <w:sz w:val="24"/>
                <w:highlight w:val="none"/>
              </w:rPr>
            </w:pPr>
          </w:p>
        </w:tc>
        <w:tc>
          <w:tcPr>
            <w:tcW w:w="1112" w:type="dxa"/>
          </w:tcPr>
          <w:p w14:paraId="41E158EE">
            <w:pPr>
              <w:spacing w:line="440" w:lineRule="exact"/>
              <w:jc w:val="center"/>
              <w:rPr>
                <w:rFonts w:ascii="宋体" w:hAnsi="宋体"/>
                <w:color w:val="auto"/>
                <w:sz w:val="24"/>
                <w:highlight w:val="none"/>
              </w:rPr>
            </w:pPr>
          </w:p>
        </w:tc>
        <w:tc>
          <w:tcPr>
            <w:tcW w:w="1986" w:type="dxa"/>
          </w:tcPr>
          <w:p w14:paraId="4B6DF12B">
            <w:pPr>
              <w:spacing w:line="440" w:lineRule="exact"/>
              <w:jc w:val="center"/>
              <w:rPr>
                <w:rFonts w:ascii="宋体" w:hAnsi="宋体"/>
                <w:color w:val="auto"/>
                <w:sz w:val="24"/>
                <w:highlight w:val="none"/>
              </w:rPr>
            </w:pPr>
          </w:p>
        </w:tc>
      </w:tr>
      <w:tr w14:paraId="20A5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50" w:type="dxa"/>
          </w:tcPr>
          <w:p w14:paraId="01A8A910">
            <w:pPr>
              <w:spacing w:line="440" w:lineRule="exact"/>
              <w:jc w:val="center"/>
              <w:rPr>
                <w:rFonts w:ascii="宋体" w:hAnsi="宋体"/>
                <w:color w:val="auto"/>
                <w:sz w:val="24"/>
                <w:highlight w:val="none"/>
              </w:rPr>
            </w:pPr>
            <w:r>
              <w:rPr>
                <w:rFonts w:hint="eastAsia" w:ascii="宋体" w:hAnsi="宋体"/>
                <w:color w:val="auto"/>
                <w:sz w:val="24"/>
                <w:highlight w:val="none"/>
              </w:rPr>
              <w:t>…</w:t>
            </w:r>
          </w:p>
        </w:tc>
        <w:tc>
          <w:tcPr>
            <w:tcW w:w="1468" w:type="dxa"/>
          </w:tcPr>
          <w:p w14:paraId="126EF433">
            <w:pPr>
              <w:spacing w:line="440" w:lineRule="exact"/>
              <w:jc w:val="center"/>
              <w:rPr>
                <w:rFonts w:ascii="宋体" w:hAnsi="宋体"/>
                <w:color w:val="auto"/>
                <w:sz w:val="24"/>
                <w:highlight w:val="none"/>
              </w:rPr>
            </w:pPr>
          </w:p>
        </w:tc>
        <w:tc>
          <w:tcPr>
            <w:tcW w:w="1467" w:type="dxa"/>
          </w:tcPr>
          <w:p w14:paraId="65A477D0">
            <w:pPr>
              <w:spacing w:line="440" w:lineRule="exact"/>
              <w:jc w:val="center"/>
              <w:rPr>
                <w:rFonts w:ascii="宋体" w:hAnsi="宋体"/>
                <w:color w:val="auto"/>
                <w:sz w:val="24"/>
                <w:highlight w:val="none"/>
              </w:rPr>
            </w:pPr>
          </w:p>
        </w:tc>
        <w:tc>
          <w:tcPr>
            <w:tcW w:w="1814" w:type="dxa"/>
          </w:tcPr>
          <w:p w14:paraId="4565F766">
            <w:pPr>
              <w:spacing w:line="440" w:lineRule="exact"/>
              <w:jc w:val="center"/>
              <w:rPr>
                <w:rFonts w:ascii="宋体" w:hAnsi="宋体"/>
                <w:color w:val="auto"/>
                <w:sz w:val="24"/>
                <w:highlight w:val="none"/>
              </w:rPr>
            </w:pPr>
          </w:p>
        </w:tc>
        <w:tc>
          <w:tcPr>
            <w:tcW w:w="1112" w:type="dxa"/>
          </w:tcPr>
          <w:p w14:paraId="1557E055">
            <w:pPr>
              <w:spacing w:line="440" w:lineRule="exact"/>
              <w:jc w:val="center"/>
              <w:rPr>
                <w:rFonts w:ascii="宋体" w:hAnsi="宋体"/>
                <w:color w:val="auto"/>
                <w:sz w:val="24"/>
                <w:highlight w:val="none"/>
              </w:rPr>
            </w:pPr>
          </w:p>
        </w:tc>
        <w:tc>
          <w:tcPr>
            <w:tcW w:w="1986" w:type="dxa"/>
          </w:tcPr>
          <w:p w14:paraId="4ABAE293">
            <w:pPr>
              <w:spacing w:line="440" w:lineRule="exact"/>
              <w:jc w:val="center"/>
              <w:rPr>
                <w:rFonts w:ascii="宋体" w:hAnsi="宋体"/>
                <w:color w:val="auto"/>
                <w:sz w:val="24"/>
                <w:highlight w:val="none"/>
              </w:rPr>
            </w:pPr>
          </w:p>
        </w:tc>
      </w:tr>
    </w:tbl>
    <w:p w14:paraId="40CC4CBA">
      <w:pPr>
        <w:pStyle w:val="109"/>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注：</w:t>
      </w:r>
      <w:r>
        <w:rPr>
          <w:rFonts w:hint="eastAsia" w:ascii="宋体" w:hAnsi="宋体"/>
          <w:color w:val="auto"/>
          <w:sz w:val="24"/>
          <w:highlight w:val="none"/>
        </w:rPr>
        <w:t>1、项目服务人员由供应商自行确定，但应能够满足本项目的基本需求。</w:t>
      </w:r>
    </w:p>
    <w:p w14:paraId="5CA73347">
      <w:pPr>
        <w:pStyle w:val="109"/>
        <w:numPr>
          <w:ilvl w:val="0"/>
          <w:numId w:val="9"/>
        </w:numPr>
        <w:spacing w:line="400" w:lineRule="atLeast"/>
        <w:jc w:val="left"/>
        <w:rPr>
          <w:rFonts w:ascii="宋体" w:hAnsi="宋体"/>
          <w:color w:val="auto"/>
          <w:sz w:val="24"/>
          <w:highlight w:val="none"/>
        </w:rPr>
      </w:pPr>
      <w:r>
        <w:rPr>
          <w:rFonts w:hint="eastAsia" w:ascii="宋体" w:hAnsi="宋体"/>
          <w:color w:val="auto"/>
          <w:sz w:val="24"/>
          <w:highlight w:val="none"/>
        </w:rPr>
        <w:t>上述人员应附</w:t>
      </w:r>
      <w:r>
        <w:rPr>
          <w:rFonts w:hint="eastAsia" w:ascii="宋体" w:hAnsi="宋体"/>
          <w:bCs/>
          <w:color w:val="auto"/>
          <w:sz w:val="24"/>
          <w:highlight w:val="none"/>
        </w:rPr>
        <w:t>证书及其它一切有利于项目服务人员的证明材料</w:t>
      </w:r>
      <w:r>
        <w:rPr>
          <w:rFonts w:hint="eastAsia" w:ascii="宋体" w:hAnsi="宋体"/>
          <w:color w:val="auto"/>
          <w:sz w:val="24"/>
          <w:highlight w:val="none"/>
        </w:rPr>
        <w:t>。</w:t>
      </w:r>
    </w:p>
    <w:p w14:paraId="0A5333F9">
      <w:pPr>
        <w:pStyle w:val="109"/>
        <w:spacing w:line="400" w:lineRule="atLeast"/>
        <w:jc w:val="left"/>
        <w:rPr>
          <w:rFonts w:ascii="宋体" w:hAnsi="宋体"/>
          <w:color w:val="auto"/>
          <w:sz w:val="24"/>
          <w:highlight w:val="none"/>
        </w:rPr>
      </w:pPr>
      <w:r>
        <w:rPr>
          <w:rFonts w:hint="eastAsia" w:ascii="宋体" w:hAnsi="宋体"/>
          <w:color w:val="auto"/>
          <w:sz w:val="24"/>
          <w:highlight w:val="none"/>
        </w:rPr>
        <w:t>3、提供承诺函（未经采购人同意，不得随意更换以上人员，格式自拟）</w:t>
      </w:r>
    </w:p>
    <w:p w14:paraId="3C4C23A5">
      <w:pPr>
        <w:jc w:val="center"/>
        <w:rPr>
          <w:rFonts w:ascii="宋体" w:hAnsi="宋体"/>
          <w:color w:val="auto"/>
          <w:highlight w:val="none"/>
        </w:rPr>
      </w:pPr>
      <w:r>
        <w:rPr>
          <w:rFonts w:hint="eastAsia" w:ascii="宋体" w:hAnsi="宋体"/>
          <w:color w:val="auto"/>
          <w:highlight w:val="none"/>
        </w:rPr>
        <w:br w:type="page"/>
      </w:r>
      <w:r>
        <w:rPr>
          <w:rFonts w:hint="eastAsia"/>
          <w:color w:val="auto"/>
          <w:highlight w:val="none"/>
        </w:rPr>
        <w:t>12、</w:t>
      </w:r>
      <w:r>
        <w:rPr>
          <w:rFonts w:hint="eastAsia" w:ascii="宋体" w:hAnsi="宋体"/>
          <w:color w:val="auto"/>
          <w:sz w:val="24"/>
          <w:szCs w:val="24"/>
          <w:highlight w:val="none"/>
        </w:rPr>
        <w:t>供应商诚信承诺书</w:t>
      </w:r>
    </w:p>
    <w:p w14:paraId="7CF1ABF3">
      <w:pPr>
        <w:autoSpaceDE w:val="0"/>
        <w:autoSpaceDN w:val="0"/>
        <w:spacing w:line="400" w:lineRule="exact"/>
        <w:ind w:firstLine="480"/>
        <w:rPr>
          <w:rFonts w:ascii="宋体" w:hAnsi="宋体"/>
          <w:color w:val="auto"/>
          <w:kern w:val="0"/>
          <w:sz w:val="24"/>
          <w:highlight w:val="none"/>
          <w:lang w:val="zh-CN"/>
        </w:rPr>
      </w:pPr>
      <w:r>
        <w:rPr>
          <w:rFonts w:hint="eastAsia" w:ascii="宋体" w:hAnsi="宋体"/>
          <w:color w:val="auto"/>
          <w:kern w:val="0"/>
          <w:sz w:val="24"/>
          <w:highlight w:val="none"/>
          <w:lang w:val="zh-CN"/>
        </w:rPr>
        <w:t>为了诚实、客观、有序地参与</w:t>
      </w:r>
      <w:r>
        <w:rPr>
          <w:rFonts w:hint="eastAsia" w:ascii="宋体" w:hAnsi="宋体"/>
          <w:color w:val="auto"/>
          <w:sz w:val="24"/>
          <w:szCs w:val="24"/>
          <w:highlight w:val="none"/>
        </w:rPr>
        <w:t>新疆维吾尔自治区建设职工教育培训中心</w:t>
      </w:r>
      <w:r>
        <w:rPr>
          <w:rFonts w:hint="eastAsia" w:ascii="宋体" w:hAnsi="宋体"/>
          <w:color w:val="auto"/>
          <w:kern w:val="0"/>
          <w:sz w:val="24"/>
          <w:highlight w:val="none"/>
          <w:lang w:val="zh-CN"/>
        </w:rPr>
        <w:t>采购活动，愿就以下内容作出承诺：</w:t>
      </w:r>
    </w:p>
    <w:p w14:paraId="0BA12F7A">
      <w:pPr>
        <w:autoSpaceDE w:val="0"/>
        <w:autoSpaceDN w:val="0"/>
        <w:spacing w:line="400" w:lineRule="exact"/>
        <w:ind w:firstLine="480"/>
        <w:rPr>
          <w:rFonts w:ascii="宋体" w:hAnsi="宋体"/>
          <w:color w:val="auto"/>
          <w:kern w:val="0"/>
          <w:sz w:val="24"/>
          <w:highlight w:val="none"/>
          <w:lang w:val="zh-CN"/>
        </w:rPr>
      </w:pPr>
      <w:r>
        <w:rPr>
          <w:rFonts w:hint="eastAsia" w:ascii="宋体" w:hAnsi="宋体"/>
          <w:color w:val="auto"/>
          <w:kern w:val="0"/>
          <w:sz w:val="24"/>
          <w:highlight w:val="none"/>
          <w:lang w:val="zh-CN"/>
        </w:rPr>
        <w:t>一、自觉遵守各项法律、法规、规章、制度以及社会公德，维护廉洁环境，与同场竞争的供应商平等参加招采购活动。</w:t>
      </w:r>
    </w:p>
    <w:p w14:paraId="60977467">
      <w:pPr>
        <w:autoSpaceDE w:val="0"/>
        <w:autoSpaceDN w:val="0"/>
        <w:spacing w:line="400" w:lineRule="exact"/>
        <w:ind w:firstLine="480"/>
        <w:rPr>
          <w:rFonts w:ascii="宋体" w:hAnsi="宋体"/>
          <w:color w:val="auto"/>
          <w:kern w:val="0"/>
          <w:sz w:val="24"/>
          <w:highlight w:val="none"/>
          <w:lang w:val="zh-CN"/>
        </w:rPr>
      </w:pPr>
      <w:r>
        <w:rPr>
          <w:rFonts w:hint="eastAsia" w:ascii="宋体" w:hAnsi="宋体"/>
          <w:color w:val="auto"/>
          <w:kern w:val="0"/>
          <w:sz w:val="24"/>
          <w:highlight w:val="none"/>
          <w:lang w:val="zh-CN"/>
        </w:rPr>
        <w:t>二、参加采购代理机构组织的采购活动时，严格按照磋商文件的规定和要求提供所需的相关材料，并对所提供的各类资料的真实性负责，不虚假应标，不虚列业绩。</w:t>
      </w:r>
    </w:p>
    <w:p w14:paraId="3D8FA564">
      <w:pPr>
        <w:autoSpaceDE w:val="0"/>
        <w:autoSpaceDN w:val="0"/>
        <w:spacing w:line="400" w:lineRule="exact"/>
        <w:ind w:firstLine="480"/>
        <w:rPr>
          <w:rFonts w:ascii="宋体" w:hAnsi="宋体"/>
          <w:color w:val="auto"/>
          <w:kern w:val="0"/>
          <w:sz w:val="24"/>
          <w:highlight w:val="none"/>
          <w:lang w:val="zh-CN"/>
        </w:rPr>
      </w:pPr>
      <w:r>
        <w:rPr>
          <w:rFonts w:hint="eastAsia" w:ascii="宋体" w:hAnsi="宋体"/>
          <w:color w:val="auto"/>
          <w:kern w:val="0"/>
          <w:sz w:val="24"/>
          <w:highlight w:val="none"/>
          <w:lang w:val="zh-CN"/>
        </w:rPr>
        <w:t>三、尊重参与采购活动各相关方的合法行为，接受采购活动依法形成的意见、结果。</w:t>
      </w:r>
    </w:p>
    <w:p w14:paraId="23AE014A">
      <w:pPr>
        <w:autoSpaceDE w:val="0"/>
        <w:autoSpaceDN w:val="0"/>
        <w:spacing w:line="400" w:lineRule="exact"/>
        <w:ind w:firstLine="480"/>
        <w:rPr>
          <w:rFonts w:ascii="宋体" w:hAnsi="宋体"/>
          <w:color w:val="auto"/>
          <w:kern w:val="0"/>
          <w:sz w:val="24"/>
          <w:highlight w:val="none"/>
          <w:lang w:val="zh-CN"/>
        </w:rPr>
      </w:pPr>
      <w:r>
        <w:rPr>
          <w:rFonts w:hint="eastAsia" w:ascii="宋体" w:hAnsi="宋体"/>
          <w:color w:val="auto"/>
          <w:kern w:val="0"/>
          <w:sz w:val="24"/>
          <w:highlight w:val="none"/>
          <w:lang w:val="zh-CN"/>
        </w:rPr>
        <w:t>四、依法参加采购活动，不围标、串标，维护市场秩序，不提供“三无”产品、以次充好。</w:t>
      </w:r>
    </w:p>
    <w:p w14:paraId="4E9F4B80">
      <w:pPr>
        <w:autoSpaceDE w:val="0"/>
        <w:autoSpaceDN w:val="0"/>
        <w:spacing w:line="400" w:lineRule="exact"/>
        <w:ind w:firstLine="480"/>
        <w:rPr>
          <w:rFonts w:ascii="宋体" w:hAnsi="宋体"/>
          <w:color w:val="auto"/>
          <w:kern w:val="0"/>
          <w:sz w:val="24"/>
          <w:highlight w:val="none"/>
          <w:lang w:val="zh-CN"/>
        </w:rPr>
      </w:pPr>
      <w:r>
        <w:rPr>
          <w:rFonts w:hint="eastAsia" w:ascii="宋体" w:hAnsi="宋体"/>
          <w:color w:val="auto"/>
          <w:kern w:val="0"/>
          <w:sz w:val="24"/>
          <w:highlight w:val="none"/>
          <w:lang w:val="zh-CN"/>
        </w:rPr>
        <w:t>五、积极推动采购活动健康开展，对采购活动有疑问、异议时，按法律规定的程序实名（加盖单位章和法定代表人签名）反映情况，不恶意中伤、无事生非，以和谐、平等的心态参加采购活动。</w:t>
      </w:r>
    </w:p>
    <w:p w14:paraId="70DB7288">
      <w:pPr>
        <w:autoSpaceDE w:val="0"/>
        <w:autoSpaceDN w:val="0"/>
        <w:spacing w:line="400" w:lineRule="exact"/>
        <w:ind w:firstLine="480"/>
        <w:rPr>
          <w:rFonts w:ascii="宋体" w:hAnsi="宋体"/>
          <w:color w:val="auto"/>
          <w:kern w:val="0"/>
          <w:sz w:val="24"/>
          <w:highlight w:val="none"/>
          <w:lang w:val="zh-CN"/>
        </w:rPr>
      </w:pPr>
      <w:r>
        <w:rPr>
          <w:rFonts w:hint="eastAsia" w:ascii="宋体" w:hAnsi="宋体"/>
          <w:color w:val="auto"/>
          <w:kern w:val="0"/>
          <w:sz w:val="24"/>
          <w:highlight w:val="none"/>
          <w:lang w:val="zh-CN"/>
        </w:rPr>
        <w:t>六、认真履行成交人应承担的责任和义务，全面执行采购合同规定的各项内容，保质保量地按时提供采购物品。</w:t>
      </w:r>
    </w:p>
    <w:p w14:paraId="381F157D">
      <w:pPr>
        <w:autoSpaceDE w:val="0"/>
        <w:autoSpaceDN w:val="0"/>
        <w:spacing w:line="400" w:lineRule="exact"/>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若本企业（单位）发生有悖于上述承诺的行为，愿意接受《政府采购法》等有关法律法规中对供应商的相关处理。</w:t>
      </w:r>
    </w:p>
    <w:p w14:paraId="2F04F068">
      <w:pPr>
        <w:autoSpaceDE w:val="0"/>
        <w:autoSpaceDN w:val="0"/>
        <w:spacing w:line="400" w:lineRule="exact"/>
        <w:rPr>
          <w:rFonts w:ascii="宋体" w:hAnsi="宋体"/>
          <w:color w:val="auto"/>
          <w:kern w:val="0"/>
          <w:sz w:val="24"/>
          <w:highlight w:val="none"/>
          <w:lang w:val="zh-CN"/>
        </w:rPr>
      </w:pPr>
      <w:r>
        <w:rPr>
          <w:rFonts w:hint="eastAsia" w:ascii="宋体" w:hAnsi="宋体"/>
          <w:color w:val="auto"/>
          <w:kern w:val="0"/>
          <w:sz w:val="24"/>
          <w:highlight w:val="none"/>
          <w:lang w:val="zh-CN"/>
        </w:rPr>
        <w:t>本承诺是采购项目磋商响应文件的组成部分。</w:t>
      </w:r>
    </w:p>
    <w:p w14:paraId="36825C76">
      <w:pPr>
        <w:autoSpaceDE w:val="0"/>
        <w:autoSpaceDN w:val="0"/>
        <w:spacing w:line="400" w:lineRule="exact"/>
        <w:rPr>
          <w:rFonts w:ascii="宋体" w:hAnsi="宋体"/>
          <w:color w:val="auto"/>
          <w:kern w:val="0"/>
          <w:sz w:val="24"/>
          <w:highlight w:val="none"/>
          <w:lang w:val="zh-CN"/>
        </w:rPr>
      </w:pPr>
    </w:p>
    <w:p w14:paraId="7AB6963B">
      <w:pPr>
        <w:autoSpaceDE w:val="0"/>
        <w:autoSpaceDN w:val="0"/>
        <w:spacing w:line="400" w:lineRule="exact"/>
        <w:ind w:firstLine="4435" w:firstLineChars="1848"/>
        <w:rPr>
          <w:rFonts w:ascii="宋体" w:hAnsi="宋体"/>
          <w:bCs/>
          <w:color w:val="auto"/>
          <w:kern w:val="0"/>
          <w:sz w:val="24"/>
          <w:highlight w:val="none"/>
          <w:lang w:val="zh-CN"/>
        </w:rPr>
      </w:pPr>
      <w:r>
        <w:rPr>
          <w:rFonts w:hint="eastAsia" w:ascii="宋体" w:hAnsi="宋体"/>
          <w:bCs/>
          <w:color w:val="auto"/>
          <w:kern w:val="0"/>
          <w:sz w:val="24"/>
          <w:highlight w:val="none"/>
          <w:lang w:val="zh-CN"/>
        </w:rPr>
        <w:t>供应商：             （公章）</w:t>
      </w:r>
    </w:p>
    <w:p w14:paraId="682DF876">
      <w:pPr>
        <w:autoSpaceDE w:val="0"/>
        <w:autoSpaceDN w:val="0"/>
        <w:spacing w:line="400" w:lineRule="exact"/>
        <w:rPr>
          <w:rFonts w:ascii="宋体" w:hAnsi="宋体"/>
          <w:bCs/>
          <w:color w:val="auto"/>
          <w:kern w:val="0"/>
          <w:sz w:val="24"/>
          <w:highlight w:val="none"/>
          <w:lang w:val="zh-CN"/>
        </w:rPr>
      </w:pPr>
      <w:r>
        <w:rPr>
          <w:rFonts w:hint="eastAsia" w:ascii="宋体" w:hAnsi="宋体"/>
          <w:bCs/>
          <w:color w:val="auto"/>
          <w:kern w:val="0"/>
          <w:sz w:val="24"/>
          <w:highlight w:val="none"/>
          <w:lang w:val="zh-CN"/>
        </w:rPr>
        <w:t xml:space="preserve">                     法定代表人或委托代理人：             （签字）</w:t>
      </w:r>
    </w:p>
    <w:p w14:paraId="4EAB51B5">
      <w:pPr>
        <w:rPr>
          <w:rFonts w:ascii="宋体" w:hAnsi="宋体"/>
          <w:bCs/>
          <w:color w:val="auto"/>
          <w:kern w:val="0"/>
          <w:sz w:val="24"/>
          <w:highlight w:val="none"/>
          <w:lang w:val="zh-CN"/>
        </w:rPr>
      </w:pPr>
      <w:r>
        <w:rPr>
          <w:rFonts w:hint="eastAsia" w:ascii="宋体" w:hAnsi="宋体"/>
          <w:bCs/>
          <w:color w:val="auto"/>
          <w:kern w:val="0"/>
          <w:sz w:val="24"/>
          <w:highlight w:val="none"/>
          <w:lang w:val="zh-CN"/>
        </w:rPr>
        <w:t xml:space="preserve">                                         年   月   日</w:t>
      </w:r>
    </w:p>
    <w:p w14:paraId="26219B32">
      <w:pPr>
        <w:rPr>
          <w:rFonts w:ascii="宋体" w:hAnsi="宋体"/>
          <w:color w:val="auto"/>
          <w:sz w:val="24"/>
          <w:highlight w:val="none"/>
        </w:rPr>
      </w:pPr>
      <w:r>
        <w:rPr>
          <w:rFonts w:hint="eastAsia" w:ascii="宋体" w:hAnsi="宋体"/>
          <w:color w:val="auto"/>
          <w:sz w:val="24"/>
          <w:highlight w:val="none"/>
        </w:rPr>
        <w:br w:type="page"/>
      </w:r>
      <w:r>
        <w:rPr>
          <w:rFonts w:hint="eastAsia" w:ascii="宋体" w:hAnsi="宋体"/>
          <w:b/>
          <w:color w:val="auto"/>
          <w:sz w:val="24"/>
          <w:highlight w:val="none"/>
        </w:rPr>
        <w:t>13、</w:t>
      </w:r>
      <w:r>
        <w:rPr>
          <w:rFonts w:hint="eastAsia" w:ascii="宋体" w:hAnsi="宋体"/>
          <w:bCs/>
          <w:color w:val="auto"/>
          <w:kern w:val="0"/>
          <w:sz w:val="24"/>
          <w:szCs w:val="24"/>
          <w:highlight w:val="none"/>
          <w:lang w:val="zh-CN"/>
        </w:rPr>
        <w:t>监狱企业证明文件（如有）、残疾人福利性单位声明函（如有）、</w:t>
      </w:r>
      <w:r>
        <w:rPr>
          <w:rFonts w:hint="eastAsia" w:ascii="宋体" w:hAnsi="宋体"/>
          <w:color w:val="auto"/>
          <w:sz w:val="24"/>
          <w:szCs w:val="24"/>
          <w:highlight w:val="none"/>
        </w:rPr>
        <w:t>中小企业</w:t>
      </w:r>
      <w:r>
        <w:rPr>
          <w:rFonts w:hint="eastAsia" w:ascii="宋体" w:hAnsi="宋体"/>
          <w:color w:val="auto"/>
          <w:kern w:val="0"/>
          <w:sz w:val="24"/>
          <w:szCs w:val="24"/>
          <w:highlight w:val="none"/>
          <w:lang w:bidi="ar"/>
        </w:rPr>
        <w:t>声</w:t>
      </w:r>
      <w:r>
        <w:rPr>
          <w:rFonts w:hint="eastAsia" w:ascii="宋体" w:hAnsi="宋体"/>
          <w:color w:val="auto"/>
          <w:sz w:val="24"/>
          <w:szCs w:val="24"/>
          <w:highlight w:val="none"/>
        </w:rPr>
        <w:t>明函</w:t>
      </w:r>
      <w:r>
        <w:rPr>
          <w:rFonts w:hint="eastAsia" w:ascii="宋体" w:hAnsi="宋体"/>
          <w:color w:val="auto"/>
          <w:kern w:val="0"/>
          <w:sz w:val="24"/>
          <w:szCs w:val="24"/>
          <w:highlight w:val="none"/>
          <w:lang w:bidi="ar"/>
        </w:rPr>
        <w:t>（服务）</w:t>
      </w:r>
      <w:r>
        <w:rPr>
          <w:rFonts w:hint="eastAsia" w:ascii="宋体" w:hAnsi="宋体"/>
          <w:bCs/>
          <w:color w:val="auto"/>
          <w:kern w:val="0"/>
          <w:sz w:val="24"/>
          <w:szCs w:val="24"/>
          <w:highlight w:val="none"/>
          <w:lang w:val="zh-CN"/>
        </w:rPr>
        <w:t>。</w:t>
      </w:r>
    </w:p>
    <w:p w14:paraId="766AD5F9">
      <w:pPr>
        <w:numPr>
          <w:ilvl w:val="3"/>
          <w:numId w:val="10"/>
        </w:numPr>
        <w:tabs>
          <w:tab w:val="clear" w:pos="1680"/>
        </w:tabs>
        <w:snapToGrid w:val="0"/>
        <w:spacing w:line="300" w:lineRule="atLeast"/>
        <w:ind w:hanging="1680"/>
        <w:jc w:val="center"/>
        <w:rPr>
          <w:rFonts w:ascii="宋体" w:hAnsi="宋体"/>
          <w:color w:val="auto"/>
          <w:sz w:val="24"/>
          <w:szCs w:val="24"/>
          <w:highlight w:val="none"/>
        </w:rPr>
      </w:pPr>
      <w:r>
        <w:rPr>
          <w:rFonts w:hint="eastAsia" w:ascii="宋体" w:hAnsi="宋体"/>
          <w:color w:val="auto"/>
          <w:sz w:val="24"/>
          <w:szCs w:val="24"/>
          <w:highlight w:val="none"/>
        </w:rPr>
        <w:t>监狱企业证明文件</w:t>
      </w:r>
    </w:p>
    <w:p w14:paraId="2C0F2558">
      <w:pPr>
        <w:snapToGrid w:val="0"/>
        <w:spacing w:line="300" w:lineRule="atLeast"/>
        <w:ind w:left="1680"/>
        <w:rPr>
          <w:rFonts w:ascii="宋体" w:hAnsi="宋体"/>
          <w:color w:val="auto"/>
          <w:sz w:val="24"/>
          <w:szCs w:val="24"/>
          <w:highlight w:val="none"/>
        </w:rPr>
      </w:pPr>
    </w:p>
    <w:p w14:paraId="7AB5BD14">
      <w:pPr>
        <w:snapToGrid w:val="0"/>
        <w:spacing w:line="300" w:lineRule="atLeast"/>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2.残疾人福利性单位声明函</w:t>
      </w:r>
    </w:p>
    <w:p w14:paraId="3A75E128">
      <w:pPr>
        <w:snapToGrid w:val="0"/>
        <w:spacing w:line="300" w:lineRule="atLeas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本公司郑重声明，根据《财政部 民政部 中国残疾人联合会关于促进残疾人就业政府采购政策的通知》（财库（2017）141号）的规定，本单位为符合条件的残疾人福利性单位，且本单位参加的</w:t>
      </w:r>
    </w:p>
    <w:p w14:paraId="41C40F25">
      <w:pPr>
        <w:snapToGrid w:val="0"/>
        <w:spacing w:line="300" w:lineRule="atLeas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 xml:space="preserve">                 单位的                        </w:t>
      </w:r>
      <w:r>
        <w:rPr>
          <w:rFonts w:hint="eastAsia" w:ascii="宋体" w:hAnsi="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D85EA91">
      <w:pPr>
        <w:snapToGrid w:val="0"/>
        <w:spacing w:line="300" w:lineRule="atLeas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本单位对上述声明的真实性负责，如有虚假，将依法承担相应责任。</w:t>
      </w:r>
    </w:p>
    <w:p w14:paraId="0AB73186">
      <w:pPr>
        <w:snapToGrid w:val="0"/>
        <w:spacing w:line="300" w:lineRule="atLeast"/>
        <w:ind w:firstLine="480" w:firstLineChars="200"/>
        <w:jc w:val="center"/>
        <w:rPr>
          <w:rFonts w:ascii="宋体" w:hAnsi="宋体"/>
          <w:color w:val="auto"/>
          <w:sz w:val="24"/>
          <w:szCs w:val="24"/>
          <w:highlight w:val="none"/>
        </w:rPr>
      </w:pPr>
    </w:p>
    <w:p w14:paraId="4C07FABA">
      <w:pPr>
        <w:snapToGrid w:val="0"/>
        <w:spacing w:line="300" w:lineRule="atLeast"/>
        <w:jc w:val="right"/>
        <w:rPr>
          <w:rFonts w:ascii="宋体" w:hAnsi="宋体"/>
          <w:color w:val="auto"/>
          <w:sz w:val="24"/>
          <w:szCs w:val="24"/>
          <w:highlight w:val="none"/>
        </w:rPr>
      </w:pPr>
      <w:r>
        <w:rPr>
          <w:rFonts w:hint="eastAsia" w:ascii="宋体" w:hAnsi="宋体"/>
          <w:color w:val="auto"/>
          <w:sz w:val="24"/>
          <w:szCs w:val="24"/>
          <w:highlight w:val="none"/>
        </w:rPr>
        <w:t>企业名称（公章）：</w:t>
      </w:r>
    </w:p>
    <w:p w14:paraId="08E79646">
      <w:pPr>
        <w:snapToGrid w:val="0"/>
        <w:spacing w:line="300" w:lineRule="atLeas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日  期：</w:t>
      </w:r>
    </w:p>
    <w:p w14:paraId="7B0756CB">
      <w:pPr>
        <w:snapToGrid w:val="0"/>
        <w:spacing w:line="300" w:lineRule="atLeast"/>
        <w:ind w:firstLine="480" w:firstLineChars="200"/>
        <w:jc w:val="center"/>
        <w:rPr>
          <w:rFonts w:ascii="宋体" w:hAnsi="宋体"/>
          <w:color w:val="auto"/>
          <w:sz w:val="24"/>
          <w:szCs w:val="24"/>
          <w:highlight w:val="none"/>
        </w:rPr>
      </w:pPr>
    </w:p>
    <w:p w14:paraId="57D17F80">
      <w:pPr>
        <w:snapToGrid w:val="0"/>
        <w:spacing w:line="300" w:lineRule="atLeast"/>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3.中小企业</w:t>
      </w:r>
      <w:r>
        <w:rPr>
          <w:rFonts w:hint="eastAsia" w:ascii="宋体" w:hAnsi="宋体"/>
          <w:color w:val="auto"/>
          <w:kern w:val="0"/>
          <w:sz w:val="24"/>
          <w:szCs w:val="24"/>
          <w:highlight w:val="none"/>
          <w:lang w:bidi="ar"/>
        </w:rPr>
        <w:t>声</w:t>
      </w:r>
      <w:r>
        <w:rPr>
          <w:rFonts w:hint="eastAsia" w:ascii="宋体" w:hAnsi="宋体"/>
          <w:color w:val="auto"/>
          <w:sz w:val="24"/>
          <w:szCs w:val="24"/>
          <w:highlight w:val="none"/>
        </w:rPr>
        <w:t>明函</w:t>
      </w:r>
      <w:r>
        <w:rPr>
          <w:rFonts w:hint="eastAsia" w:ascii="宋体" w:hAnsi="宋体"/>
          <w:color w:val="auto"/>
          <w:kern w:val="0"/>
          <w:sz w:val="24"/>
          <w:szCs w:val="24"/>
          <w:highlight w:val="none"/>
          <w:lang w:bidi="ar"/>
        </w:rPr>
        <w:t>（服务）</w:t>
      </w:r>
    </w:p>
    <w:p w14:paraId="08652A34">
      <w:pPr>
        <w:autoSpaceDE w:val="0"/>
        <w:autoSpaceDN w:val="0"/>
        <w:spacing w:line="400" w:lineRule="exact"/>
        <w:ind w:firstLine="420" w:firstLineChars="200"/>
        <w:rPr>
          <w:rFonts w:ascii="宋体" w:hAnsi="宋体"/>
          <w:color w:val="auto"/>
          <w:highlight w:val="none"/>
        </w:rPr>
      </w:pPr>
      <w:r>
        <w:rPr>
          <w:rFonts w:hint="eastAsia" w:ascii="宋体" w:hAnsi="宋体"/>
          <w:color w:val="auto"/>
          <w:highlight w:val="none"/>
        </w:rPr>
        <w:t xml:space="preserve"> 本公司（联合体）郑重声明，根据《政府采购促进中小企业发展管理办法》（财库﹝2020﹞46 号）的规定，本公司 （联合体）参加</w:t>
      </w:r>
      <w:r>
        <w:rPr>
          <w:rFonts w:hint="eastAsia" w:ascii="宋体" w:hAnsi="宋体"/>
          <w:color w:val="auto"/>
          <w:highlight w:val="none"/>
          <w:u w:val="single"/>
        </w:rPr>
        <w:t>（单位名称）</w:t>
      </w:r>
      <w:r>
        <w:rPr>
          <w:rFonts w:hint="eastAsia" w:ascii="宋体" w:hAnsi="宋体"/>
          <w:color w:val="auto"/>
          <w:highlight w:val="none"/>
        </w:rPr>
        <w:t>的</w:t>
      </w:r>
      <w:r>
        <w:rPr>
          <w:rFonts w:hint="eastAsia" w:ascii="宋体" w:hAnsi="宋体"/>
          <w:color w:val="auto"/>
          <w:highlight w:val="none"/>
          <w:u w:val="single"/>
        </w:rPr>
        <w:t>（项目名称）</w:t>
      </w:r>
      <w:r>
        <w:rPr>
          <w:rFonts w:hint="eastAsia" w:ascii="宋体" w:hAnsi="宋体"/>
          <w:color w:val="auto"/>
          <w:highlight w:val="none"/>
        </w:rPr>
        <w:t>采购活动，服务全部由符合政策要求的中小企业承接。相关企业（含联合 体中的中小企业、签订分包意向协议的中小企业）的具体情 况如下：</w:t>
      </w:r>
    </w:p>
    <w:p w14:paraId="2CC366D3">
      <w:pPr>
        <w:autoSpaceDE w:val="0"/>
        <w:autoSpaceDN w:val="0"/>
        <w:spacing w:line="400" w:lineRule="exact"/>
        <w:ind w:firstLine="420" w:firstLineChars="200"/>
        <w:rPr>
          <w:rFonts w:ascii="宋体" w:hAnsi="宋体"/>
          <w:color w:val="auto"/>
          <w:highlight w:val="none"/>
        </w:rPr>
      </w:pPr>
      <w:r>
        <w:rPr>
          <w:rFonts w:hint="eastAsia" w:ascii="宋体" w:hAnsi="宋体"/>
          <w:color w:val="auto"/>
          <w:highlight w:val="none"/>
        </w:rPr>
        <w:t xml:space="preserve"> 1. </w:t>
      </w:r>
      <w:r>
        <w:rPr>
          <w:rFonts w:hint="eastAsia" w:ascii="宋体" w:hAnsi="宋体"/>
          <w:color w:val="auto"/>
          <w:highlight w:val="none"/>
          <w:u w:val="single"/>
        </w:rPr>
        <w:t>（标的名称）</w:t>
      </w:r>
      <w:r>
        <w:rPr>
          <w:rFonts w:hint="eastAsia" w:ascii="宋体" w:hAnsi="宋体"/>
          <w:color w:val="auto"/>
          <w:highlight w:val="none"/>
        </w:rPr>
        <w:t xml:space="preserve"> ，属于</w:t>
      </w:r>
      <w:r>
        <w:rPr>
          <w:rFonts w:hint="eastAsia" w:ascii="宋体" w:hAnsi="宋体"/>
          <w:color w:val="auto"/>
          <w:highlight w:val="none"/>
          <w:u w:val="single"/>
        </w:rPr>
        <w:t>（采购文件中明确的所属行业）</w:t>
      </w:r>
      <w:r>
        <w:rPr>
          <w:rFonts w:hint="eastAsia" w:ascii="宋体" w:hAnsi="宋体"/>
          <w:color w:val="auto"/>
          <w:highlight w:val="none"/>
        </w:rPr>
        <w:t>； 承建（承接）企业为</w:t>
      </w:r>
      <w:r>
        <w:rPr>
          <w:rFonts w:hint="eastAsia" w:ascii="宋体" w:hAnsi="宋体"/>
          <w:color w:val="auto"/>
          <w:highlight w:val="none"/>
          <w:u w:val="single"/>
        </w:rPr>
        <w:t>（企业名称）</w:t>
      </w:r>
      <w:r>
        <w:rPr>
          <w:rFonts w:hint="eastAsia" w:ascii="宋体" w:hAnsi="宋体"/>
          <w:color w:val="auto"/>
          <w:highlight w:val="none"/>
        </w:rPr>
        <w:t>，从业人员</w:t>
      </w:r>
      <w:r>
        <w:rPr>
          <w:rFonts w:hint="eastAsia" w:ascii="宋体" w:hAnsi="宋体"/>
          <w:color w:val="auto"/>
          <w:highlight w:val="none"/>
          <w:u w:val="single"/>
        </w:rPr>
        <w:t xml:space="preserve">   </w:t>
      </w:r>
      <w:r>
        <w:rPr>
          <w:rFonts w:hint="eastAsia" w:ascii="宋体" w:hAnsi="宋体"/>
          <w:color w:val="auto"/>
          <w:highlight w:val="none"/>
        </w:rPr>
        <w:t>人，营业收入为</w:t>
      </w:r>
      <w:r>
        <w:rPr>
          <w:rFonts w:hint="eastAsia" w:ascii="宋体" w:hAnsi="宋体"/>
          <w:color w:val="auto"/>
          <w:highlight w:val="none"/>
          <w:u w:val="single"/>
        </w:rPr>
        <w:t xml:space="preserve">    </w:t>
      </w:r>
      <w:r>
        <w:rPr>
          <w:rFonts w:hint="eastAsia" w:ascii="宋体" w:hAnsi="宋体"/>
          <w:color w:val="auto"/>
          <w:highlight w:val="none"/>
        </w:rPr>
        <w:t>万元，资产总额为</w:t>
      </w:r>
      <w:r>
        <w:rPr>
          <w:rFonts w:hint="eastAsia" w:ascii="宋体" w:hAnsi="宋体"/>
          <w:color w:val="auto"/>
          <w:highlight w:val="none"/>
          <w:u w:val="single"/>
        </w:rPr>
        <w:t xml:space="preserve">   </w:t>
      </w:r>
      <w:r>
        <w:rPr>
          <w:rFonts w:hint="eastAsia" w:ascii="宋体" w:hAnsi="宋体"/>
          <w:color w:val="auto"/>
          <w:highlight w:val="none"/>
        </w:rPr>
        <w:t>万元，属于（</w:t>
      </w:r>
      <w:r>
        <w:rPr>
          <w:rFonts w:hint="eastAsia" w:ascii="宋体" w:hAnsi="宋体"/>
          <w:color w:val="auto"/>
          <w:highlight w:val="none"/>
          <w:u w:val="single"/>
        </w:rPr>
        <w:t>中型企业、小型企业、微型企业</w:t>
      </w:r>
      <w:r>
        <w:rPr>
          <w:rFonts w:hint="eastAsia" w:ascii="宋体" w:hAnsi="宋体"/>
          <w:color w:val="auto"/>
          <w:highlight w:val="none"/>
        </w:rPr>
        <w:t>）；</w:t>
      </w:r>
    </w:p>
    <w:p w14:paraId="599D4A0C">
      <w:pPr>
        <w:autoSpaceDE w:val="0"/>
        <w:autoSpaceDN w:val="0"/>
        <w:spacing w:line="400" w:lineRule="exact"/>
        <w:ind w:firstLine="420" w:firstLineChars="200"/>
        <w:rPr>
          <w:rFonts w:ascii="宋体" w:hAnsi="宋体"/>
          <w:color w:val="auto"/>
          <w:highlight w:val="none"/>
        </w:rPr>
      </w:pPr>
      <w:r>
        <w:rPr>
          <w:rFonts w:hint="eastAsia" w:ascii="宋体" w:hAnsi="宋体"/>
          <w:color w:val="auto"/>
          <w:highlight w:val="none"/>
        </w:rPr>
        <w:t xml:space="preserve"> 2. </w:t>
      </w:r>
      <w:r>
        <w:rPr>
          <w:rFonts w:hint="eastAsia" w:ascii="宋体" w:hAnsi="宋体"/>
          <w:color w:val="auto"/>
          <w:highlight w:val="none"/>
          <w:u w:val="single"/>
        </w:rPr>
        <w:t>（标的名称）</w:t>
      </w:r>
      <w:r>
        <w:rPr>
          <w:rFonts w:hint="eastAsia" w:ascii="宋体" w:hAnsi="宋体"/>
          <w:color w:val="auto"/>
          <w:highlight w:val="none"/>
        </w:rPr>
        <w:t xml:space="preserve"> ，属于</w:t>
      </w:r>
      <w:r>
        <w:rPr>
          <w:rFonts w:hint="eastAsia" w:ascii="宋体" w:hAnsi="宋体"/>
          <w:color w:val="auto"/>
          <w:highlight w:val="none"/>
          <w:u w:val="single"/>
        </w:rPr>
        <w:t>（采购文件中明确的所属行业）</w:t>
      </w:r>
      <w:r>
        <w:rPr>
          <w:rFonts w:hint="eastAsia" w:ascii="宋体" w:hAnsi="宋体"/>
          <w:color w:val="auto"/>
          <w:highlight w:val="none"/>
        </w:rPr>
        <w:t>； 承建（承接）企业为</w:t>
      </w:r>
      <w:r>
        <w:rPr>
          <w:rFonts w:hint="eastAsia" w:ascii="宋体" w:hAnsi="宋体"/>
          <w:color w:val="auto"/>
          <w:highlight w:val="none"/>
          <w:u w:val="single"/>
        </w:rPr>
        <w:t>（企业名称）</w:t>
      </w:r>
      <w:r>
        <w:rPr>
          <w:rFonts w:hint="eastAsia" w:ascii="宋体" w:hAnsi="宋体"/>
          <w:color w:val="auto"/>
          <w:highlight w:val="none"/>
        </w:rPr>
        <w:t>，从业人员</w:t>
      </w:r>
      <w:r>
        <w:rPr>
          <w:rFonts w:hint="eastAsia" w:ascii="宋体" w:hAnsi="宋体"/>
          <w:color w:val="auto"/>
          <w:highlight w:val="none"/>
          <w:u w:val="single"/>
        </w:rPr>
        <w:t xml:space="preserve">   </w:t>
      </w:r>
      <w:r>
        <w:rPr>
          <w:rFonts w:hint="eastAsia" w:ascii="宋体" w:hAnsi="宋体"/>
          <w:color w:val="auto"/>
          <w:highlight w:val="none"/>
        </w:rPr>
        <w:t>人，营业收入为</w:t>
      </w:r>
      <w:r>
        <w:rPr>
          <w:rFonts w:hint="eastAsia" w:ascii="宋体" w:hAnsi="宋体"/>
          <w:color w:val="auto"/>
          <w:highlight w:val="none"/>
          <w:u w:val="single"/>
        </w:rPr>
        <w:t xml:space="preserve">   </w:t>
      </w:r>
      <w:r>
        <w:rPr>
          <w:rFonts w:hint="eastAsia" w:ascii="宋体" w:hAnsi="宋体"/>
          <w:color w:val="auto"/>
          <w:highlight w:val="none"/>
        </w:rPr>
        <w:t>万元，资产总额为</w:t>
      </w:r>
      <w:r>
        <w:rPr>
          <w:rFonts w:hint="eastAsia" w:ascii="宋体" w:hAnsi="宋体"/>
          <w:color w:val="auto"/>
          <w:highlight w:val="none"/>
          <w:u w:val="single"/>
        </w:rPr>
        <w:t xml:space="preserve">    </w:t>
      </w:r>
      <w:r>
        <w:rPr>
          <w:rFonts w:hint="eastAsia" w:ascii="宋体" w:hAnsi="宋体"/>
          <w:color w:val="auto"/>
          <w:highlight w:val="none"/>
        </w:rPr>
        <w:t>万元，属于</w:t>
      </w:r>
      <w:r>
        <w:rPr>
          <w:rFonts w:hint="eastAsia" w:ascii="宋体" w:hAnsi="宋体"/>
          <w:color w:val="auto"/>
          <w:highlight w:val="none"/>
          <w:u w:val="single"/>
        </w:rPr>
        <w:t>（中型企业、 小型企业、微型企业）</w:t>
      </w:r>
      <w:r>
        <w:rPr>
          <w:rFonts w:hint="eastAsia" w:ascii="宋体" w:hAnsi="宋体"/>
          <w:color w:val="auto"/>
          <w:highlight w:val="none"/>
        </w:rPr>
        <w:t>；</w:t>
      </w:r>
    </w:p>
    <w:p w14:paraId="42C75209">
      <w:pPr>
        <w:autoSpaceDE w:val="0"/>
        <w:autoSpaceDN w:val="0"/>
        <w:spacing w:line="400" w:lineRule="exact"/>
        <w:ind w:firstLine="420" w:firstLineChars="200"/>
        <w:rPr>
          <w:rFonts w:ascii="宋体" w:hAnsi="宋体"/>
          <w:color w:val="auto"/>
          <w:highlight w:val="none"/>
        </w:rPr>
      </w:pPr>
      <w:r>
        <w:rPr>
          <w:rFonts w:hint="eastAsia" w:ascii="宋体" w:hAnsi="宋体"/>
          <w:color w:val="auto"/>
          <w:highlight w:val="none"/>
        </w:rPr>
        <w:t xml:space="preserve"> …… </w:t>
      </w:r>
    </w:p>
    <w:p w14:paraId="7769149D">
      <w:pPr>
        <w:autoSpaceDE w:val="0"/>
        <w:autoSpaceDN w:val="0"/>
        <w:spacing w:line="400" w:lineRule="exact"/>
        <w:ind w:firstLine="420" w:firstLineChars="200"/>
        <w:rPr>
          <w:rFonts w:ascii="宋体" w:hAnsi="宋体"/>
          <w:color w:val="auto"/>
          <w:highlight w:val="none"/>
        </w:rPr>
      </w:pPr>
      <w:r>
        <w:rPr>
          <w:rFonts w:hint="eastAsia" w:ascii="宋体" w:hAnsi="宋体"/>
          <w:color w:val="auto"/>
          <w:highlight w:val="none"/>
        </w:rPr>
        <w:t xml:space="preserve">以上企业，不属于大企业的分支机构，不存在控股股东 为大企业的情形，也不存在与大企业的负责人为同一人的情形。 </w:t>
      </w:r>
    </w:p>
    <w:p w14:paraId="324490E7">
      <w:pPr>
        <w:autoSpaceDE w:val="0"/>
        <w:autoSpaceDN w:val="0"/>
        <w:spacing w:line="400" w:lineRule="exact"/>
        <w:ind w:firstLine="420" w:firstLineChars="200"/>
        <w:rPr>
          <w:rFonts w:ascii="宋体" w:hAnsi="宋体"/>
          <w:color w:val="auto"/>
          <w:highlight w:val="none"/>
        </w:rPr>
      </w:pPr>
      <w:r>
        <w:rPr>
          <w:rFonts w:hint="eastAsia" w:ascii="宋体" w:hAnsi="宋体"/>
          <w:color w:val="auto"/>
          <w:highlight w:val="none"/>
        </w:rPr>
        <w:t>本企业对上述声明内容的真实性负责。如有虚假，将依 法承担相应责任。</w:t>
      </w:r>
    </w:p>
    <w:p w14:paraId="2A35CC0D">
      <w:pPr>
        <w:autoSpaceDE w:val="0"/>
        <w:autoSpaceDN w:val="0"/>
        <w:spacing w:line="400" w:lineRule="exact"/>
        <w:ind w:firstLine="420" w:firstLineChars="200"/>
        <w:rPr>
          <w:rFonts w:ascii="宋体" w:hAnsi="宋体"/>
          <w:color w:val="auto"/>
          <w:highlight w:val="none"/>
        </w:rPr>
      </w:pPr>
    </w:p>
    <w:p w14:paraId="60F6FFE9">
      <w:pPr>
        <w:autoSpaceDE w:val="0"/>
        <w:autoSpaceDN w:val="0"/>
        <w:spacing w:line="400" w:lineRule="exact"/>
        <w:ind w:firstLine="420" w:firstLineChars="200"/>
        <w:rPr>
          <w:rFonts w:ascii="宋体" w:hAnsi="宋体"/>
          <w:color w:val="auto"/>
          <w:highlight w:val="none"/>
        </w:rPr>
      </w:pPr>
    </w:p>
    <w:p w14:paraId="10937096">
      <w:pPr>
        <w:autoSpaceDE w:val="0"/>
        <w:autoSpaceDN w:val="0"/>
        <w:spacing w:line="400" w:lineRule="exact"/>
        <w:ind w:firstLine="4410" w:firstLineChars="2100"/>
        <w:jc w:val="right"/>
        <w:rPr>
          <w:rFonts w:ascii="宋体" w:hAnsi="宋体"/>
          <w:color w:val="auto"/>
          <w:szCs w:val="21"/>
          <w:highlight w:val="none"/>
        </w:rPr>
      </w:pPr>
      <w:r>
        <w:rPr>
          <w:rFonts w:hint="eastAsia" w:ascii="宋体" w:hAnsi="宋体"/>
          <w:color w:val="auto"/>
          <w:szCs w:val="21"/>
          <w:highlight w:val="none"/>
        </w:rPr>
        <w:t>企业名称（盖章）：   日   期</w:t>
      </w:r>
    </w:p>
    <w:p w14:paraId="19F652A3">
      <w:pPr>
        <w:jc w:val="right"/>
        <w:rPr>
          <w:rFonts w:ascii="宋体" w:hAnsi="宋体"/>
          <w:bCs/>
          <w:color w:val="auto"/>
          <w:szCs w:val="21"/>
          <w:highlight w:val="none"/>
          <w:lang w:val="zh-CN"/>
        </w:rPr>
      </w:pPr>
      <w:r>
        <w:rPr>
          <w:rFonts w:hint="eastAsia" w:ascii="宋体" w:hAnsi="宋体"/>
          <w:bCs/>
          <w:color w:val="auto"/>
          <w:szCs w:val="21"/>
          <w:highlight w:val="none"/>
          <w:lang w:val="zh-CN"/>
        </w:rPr>
        <w:t xml:space="preserve">                                         </w:t>
      </w:r>
      <w:r>
        <w:rPr>
          <w:rFonts w:hint="eastAsia" w:ascii="宋体" w:hAnsi="宋体"/>
          <w:bCs/>
          <w:color w:val="auto"/>
          <w:szCs w:val="21"/>
          <w:highlight w:val="none"/>
        </w:rPr>
        <w:t xml:space="preserve">           </w:t>
      </w:r>
      <w:r>
        <w:rPr>
          <w:rFonts w:hint="eastAsia" w:ascii="宋体" w:hAnsi="宋体"/>
          <w:bCs/>
          <w:color w:val="auto"/>
          <w:szCs w:val="21"/>
          <w:highlight w:val="none"/>
          <w:lang w:val="zh-CN"/>
        </w:rPr>
        <w:t>年    月    日</w:t>
      </w:r>
    </w:p>
    <w:p w14:paraId="610A0620">
      <w:pPr>
        <w:rPr>
          <w:rFonts w:ascii="宋体" w:hAnsi="宋体"/>
          <w:b/>
          <w:color w:val="auto"/>
          <w:sz w:val="32"/>
          <w:szCs w:val="32"/>
          <w:highlight w:val="none"/>
        </w:rPr>
      </w:pPr>
    </w:p>
    <w:p w14:paraId="3DEBDC0E">
      <w:pPr>
        <w:rPr>
          <w:rFonts w:ascii="宋体" w:hAnsi="宋体"/>
          <w:b/>
          <w:color w:val="auto"/>
          <w:sz w:val="32"/>
          <w:szCs w:val="32"/>
          <w:highlight w:val="none"/>
        </w:rPr>
      </w:pPr>
    </w:p>
    <w:p w14:paraId="137ED24D">
      <w:pPr>
        <w:rPr>
          <w:rFonts w:ascii="宋体" w:hAnsi="宋体"/>
          <w:b/>
          <w:color w:val="auto"/>
          <w:sz w:val="32"/>
          <w:szCs w:val="32"/>
          <w:highlight w:val="none"/>
        </w:rPr>
      </w:pPr>
    </w:p>
    <w:p w14:paraId="045E8720">
      <w:pPr>
        <w:rPr>
          <w:rFonts w:ascii="宋体" w:hAnsi="宋体"/>
          <w:color w:val="auto"/>
          <w:sz w:val="28"/>
          <w:szCs w:val="21"/>
          <w:highlight w:val="none"/>
        </w:rPr>
      </w:pPr>
      <w:r>
        <w:rPr>
          <w:rFonts w:hint="eastAsia" w:ascii="宋体" w:hAnsi="宋体"/>
          <w:color w:val="auto"/>
          <w:sz w:val="28"/>
          <w:szCs w:val="21"/>
          <w:highlight w:val="none"/>
        </w:rPr>
        <w:br w:type="page"/>
      </w:r>
    </w:p>
    <w:p w14:paraId="759604E9">
      <w:pPr>
        <w:snapToGrid w:val="0"/>
        <w:spacing w:line="336" w:lineRule="auto"/>
        <w:jc w:val="center"/>
        <w:rPr>
          <w:rFonts w:ascii="宋体" w:hAnsi="宋体"/>
          <w:color w:val="auto"/>
          <w:sz w:val="28"/>
          <w:szCs w:val="21"/>
          <w:highlight w:val="none"/>
        </w:rPr>
      </w:pPr>
      <w:r>
        <w:rPr>
          <w:rFonts w:hint="eastAsia" w:ascii="宋体" w:hAnsi="宋体"/>
          <w:color w:val="auto"/>
          <w:sz w:val="28"/>
          <w:szCs w:val="21"/>
          <w:highlight w:val="none"/>
        </w:rPr>
        <w:t>退款及开票信息</w:t>
      </w:r>
    </w:p>
    <w:p w14:paraId="2BFF7FD9">
      <w:pPr>
        <w:snapToGrid w:val="0"/>
        <w:spacing w:line="336" w:lineRule="auto"/>
        <w:rPr>
          <w:rFonts w:ascii="宋体" w:hAnsi="宋体"/>
          <w:color w:val="auto"/>
          <w:sz w:val="28"/>
          <w:szCs w:val="21"/>
          <w:highlight w:val="none"/>
        </w:rPr>
      </w:pPr>
      <w:r>
        <w:rPr>
          <w:rFonts w:hint="eastAsia" w:ascii="宋体" w:hAnsi="宋体"/>
          <w:color w:val="auto"/>
          <w:sz w:val="28"/>
          <w:szCs w:val="21"/>
          <w:highlight w:val="none"/>
        </w:rPr>
        <w:t>响应文件中提供以下资料：</w:t>
      </w:r>
    </w:p>
    <w:p w14:paraId="3E2F2BDF">
      <w:pPr>
        <w:snapToGrid w:val="0"/>
        <w:spacing w:line="336" w:lineRule="auto"/>
        <w:rPr>
          <w:rFonts w:ascii="Calibri" w:hAnsi="Calibri" w:eastAsia="华文仿宋"/>
          <w:bCs/>
          <w:color w:val="auto"/>
          <w:sz w:val="24"/>
          <w:szCs w:val="24"/>
          <w:highlight w:val="none"/>
        </w:rPr>
      </w:pPr>
      <w:r>
        <w:rPr>
          <w:rFonts w:hint="eastAsia" w:ascii="Calibri" w:hAnsi="Calibri" w:eastAsia="华文仿宋"/>
          <w:bCs/>
          <w:color w:val="auto"/>
          <w:sz w:val="24"/>
          <w:szCs w:val="24"/>
          <w:highlight w:val="none"/>
        </w:rPr>
        <w:t>1、银行出具的基本存款账户信息或</w:t>
      </w:r>
      <w:r>
        <w:rPr>
          <w:rFonts w:ascii="Calibri" w:hAnsi="Calibri" w:eastAsia="华文仿宋"/>
          <w:bCs/>
          <w:color w:val="auto"/>
          <w:sz w:val="24"/>
          <w:szCs w:val="24"/>
          <w:highlight w:val="none"/>
        </w:rPr>
        <w:t>开户许可证</w:t>
      </w:r>
    </w:p>
    <w:p w14:paraId="3DFCD9AA">
      <w:pPr>
        <w:snapToGrid w:val="0"/>
        <w:spacing w:line="336" w:lineRule="auto"/>
        <w:rPr>
          <w:rFonts w:ascii="Calibri" w:hAnsi="Calibri" w:eastAsia="华文仿宋"/>
          <w:bCs/>
          <w:color w:val="auto"/>
          <w:sz w:val="24"/>
          <w:szCs w:val="24"/>
          <w:highlight w:val="none"/>
        </w:rPr>
      </w:pPr>
      <w:r>
        <w:rPr>
          <w:rFonts w:hint="eastAsia" w:ascii="Calibri" w:hAnsi="Calibri" w:eastAsia="华文仿宋"/>
          <w:bCs/>
          <w:color w:val="auto"/>
          <w:sz w:val="24"/>
          <w:szCs w:val="24"/>
          <w:highlight w:val="none"/>
        </w:rPr>
        <w:t>2、</w:t>
      </w:r>
      <w:r>
        <w:rPr>
          <w:rFonts w:ascii="Calibri" w:hAnsi="Calibri" w:eastAsia="华文仿宋"/>
          <w:bCs/>
          <w:color w:val="auto"/>
          <w:sz w:val="24"/>
          <w:szCs w:val="24"/>
          <w:highlight w:val="none"/>
        </w:rPr>
        <w:t>开票信息</w:t>
      </w:r>
    </w:p>
    <w:p w14:paraId="0BCDB569">
      <w:pPr>
        <w:snapToGrid w:val="0"/>
        <w:spacing w:line="336" w:lineRule="auto"/>
        <w:rPr>
          <w:rFonts w:ascii="Calibri" w:hAnsi="Calibri" w:eastAsia="华文仿宋"/>
          <w:bCs/>
          <w:color w:val="auto"/>
          <w:sz w:val="24"/>
          <w:szCs w:val="24"/>
          <w:highlight w:val="none"/>
        </w:rPr>
      </w:pPr>
      <w:r>
        <w:rPr>
          <w:rFonts w:ascii="Calibri" w:hAnsi="Calibri" w:eastAsia="华文仿宋"/>
          <w:bCs/>
          <w:color w:val="auto"/>
          <w:sz w:val="24"/>
          <w:szCs w:val="24"/>
          <w:highlight w:val="none"/>
        </w:rPr>
        <w:t>致：</w:t>
      </w:r>
      <w:r>
        <w:rPr>
          <w:rFonts w:ascii="Calibri" w:hAnsi="Calibri" w:eastAsia="华文仿宋"/>
          <w:bCs/>
          <w:color w:val="auto"/>
          <w:sz w:val="24"/>
          <w:szCs w:val="24"/>
          <w:highlight w:val="none"/>
          <w:u w:val="single"/>
        </w:rPr>
        <w:t>新疆招标有限公司</w:t>
      </w:r>
    </w:p>
    <w:p w14:paraId="10303B7E">
      <w:pPr>
        <w:snapToGrid w:val="0"/>
        <w:spacing w:line="336" w:lineRule="auto"/>
        <w:rPr>
          <w:rFonts w:ascii="Calibri" w:hAnsi="Calibri" w:eastAsia="华文仿宋"/>
          <w:bCs/>
          <w:color w:val="auto"/>
          <w:sz w:val="24"/>
          <w:szCs w:val="24"/>
          <w:highlight w:val="none"/>
        </w:rPr>
      </w:pPr>
      <w:r>
        <w:rPr>
          <w:rFonts w:ascii="Calibri" w:hAnsi="Calibri" w:eastAsia="华文仿宋"/>
          <w:bCs/>
          <w:color w:val="auto"/>
          <w:sz w:val="24"/>
          <w:szCs w:val="24"/>
          <w:highlight w:val="none"/>
        </w:rPr>
        <w:t>请按以下开票信息出具增值税：□增值税专用发票     □增值税普通发票</w:t>
      </w:r>
    </w:p>
    <w:p w14:paraId="1004238F">
      <w:pPr>
        <w:snapToGrid w:val="0"/>
        <w:spacing w:line="336" w:lineRule="auto"/>
        <w:rPr>
          <w:rFonts w:ascii="Calibri" w:hAnsi="Calibri" w:eastAsia="华文仿宋"/>
          <w:bCs/>
          <w:color w:val="auto"/>
          <w:sz w:val="24"/>
          <w:szCs w:val="24"/>
          <w:highlight w:val="none"/>
        </w:rPr>
      </w:pPr>
      <w:r>
        <w:rPr>
          <w:rFonts w:ascii="Calibri" w:hAnsi="Calibri" w:eastAsia="华文仿宋"/>
          <w:bCs/>
          <w:color w:val="auto"/>
          <w:sz w:val="24"/>
          <w:szCs w:val="24"/>
          <w:highlight w:val="none"/>
        </w:rPr>
        <w:t>项目名称：</w:t>
      </w:r>
      <w:r>
        <w:rPr>
          <w:rFonts w:ascii="Calibri" w:hAnsi="Calibri" w:eastAsia="华文仿宋"/>
          <w:bCs/>
          <w:color w:val="auto"/>
          <w:sz w:val="24"/>
          <w:szCs w:val="24"/>
          <w:highlight w:val="none"/>
          <w:u w:val="single"/>
        </w:rPr>
        <w:t xml:space="preserve">                                                    </w:t>
      </w:r>
    </w:p>
    <w:p w14:paraId="7EB45B0C">
      <w:pPr>
        <w:snapToGrid w:val="0"/>
        <w:spacing w:line="336" w:lineRule="auto"/>
        <w:rPr>
          <w:rFonts w:ascii="Calibri" w:hAnsi="Calibri" w:eastAsia="华文仿宋"/>
          <w:bCs/>
          <w:color w:val="auto"/>
          <w:sz w:val="24"/>
          <w:szCs w:val="24"/>
          <w:highlight w:val="none"/>
        </w:rPr>
      </w:pPr>
      <w:r>
        <w:rPr>
          <w:rFonts w:hint="eastAsia" w:ascii="Calibri" w:hAnsi="Calibri" w:eastAsia="华文仿宋"/>
          <w:bCs/>
          <w:color w:val="auto"/>
          <w:sz w:val="24"/>
          <w:szCs w:val="24"/>
          <w:highlight w:val="none"/>
        </w:rPr>
        <w:t>项目编号</w:t>
      </w:r>
      <w:r>
        <w:rPr>
          <w:rFonts w:ascii="Calibri" w:hAnsi="Calibri" w:eastAsia="华文仿宋"/>
          <w:bCs/>
          <w:color w:val="auto"/>
          <w:sz w:val="24"/>
          <w:szCs w:val="24"/>
          <w:highlight w:val="none"/>
        </w:rPr>
        <w:t xml:space="preserve">： </w:t>
      </w:r>
    </w:p>
    <w:p w14:paraId="494FE00F">
      <w:pPr>
        <w:snapToGrid w:val="0"/>
        <w:spacing w:line="336" w:lineRule="auto"/>
        <w:rPr>
          <w:rFonts w:ascii="Calibri" w:hAnsi="Calibri" w:eastAsia="华文仿宋"/>
          <w:bCs/>
          <w:color w:val="auto"/>
          <w:sz w:val="24"/>
          <w:szCs w:val="24"/>
          <w:highlight w:val="none"/>
        </w:rPr>
      </w:pPr>
      <w:r>
        <w:rPr>
          <w:rFonts w:ascii="Calibri" w:hAnsi="Calibri" w:eastAsia="华文仿宋"/>
          <w:bCs/>
          <w:color w:val="auto"/>
          <w:sz w:val="24"/>
          <w:szCs w:val="24"/>
          <w:highlight w:val="none"/>
        </w:rPr>
        <w:t>开票单位名称：</w:t>
      </w:r>
      <w:r>
        <w:rPr>
          <w:rFonts w:ascii="Calibri" w:hAnsi="Calibri" w:eastAsia="华文仿宋"/>
          <w:bCs/>
          <w:color w:val="auto"/>
          <w:sz w:val="24"/>
          <w:szCs w:val="24"/>
          <w:highlight w:val="none"/>
          <w:u w:val="single"/>
        </w:rPr>
        <w:t xml:space="preserve">                                                </w:t>
      </w:r>
    </w:p>
    <w:p w14:paraId="0CAC63D2">
      <w:pPr>
        <w:snapToGrid w:val="0"/>
        <w:spacing w:line="336" w:lineRule="auto"/>
        <w:rPr>
          <w:rFonts w:ascii="Calibri" w:hAnsi="Calibri" w:eastAsia="华文仿宋"/>
          <w:bCs/>
          <w:color w:val="auto"/>
          <w:sz w:val="24"/>
          <w:szCs w:val="24"/>
          <w:highlight w:val="none"/>
        </w:rPr>
      </w:pPr>
      <w:r>
        <w:rPr>
          <w:rFonts w:ascii="Calibri" w:hAnsi="Calibri" w:eastAsia="华文仿宋"/>
          <w:bCs/>
          <w:color w:val="auto"/>
          <w:sz w:val="24"/>
          <w:szCs w:val="24"/>
          <w:highlight w:val="none"/>
        </w:rPr>
        <w:t>统一社会信用代码：</w:t>
      </w:r>
      <w:r>
        <w:rPr>
          <w:rFonts w:ascii="Calibri" w:hAnsi="Calibri" w:eastAsia="华文仿宋"/>
          <w:bCs/>
          <w:color w:val="auto"/>
          <w:sz w:val="24"/>
          <w:szCs w:val="24"/>
          <w:highlight w:val="none"/>
          <w:u w:val="single"/>
        </w:rPr>
        <w:t xml:space="preserve">                                            </w:t>
      </w:r>
    </w:p>
    <w:p w14:paraId="3035DCBC">
      <w:pPr>
        <w:snapToGrid w:val="0"/>
        <w:spacing w:line="336" w:lineRule="auto"/>
        <w:rPr>
          <w:rFonts w:ascii="Calibri" w:hAnsi="Calibri" w:eastAsia="华文仿宋"/>
          <w:bCs/>
          <w:color w:val="auto"/>
          <w:sz w:val="24"/>
          <w:szCs w:val="24"/>
          <w:highlight w:val="none"/>
        </w:rPr>
      </w:pPr>
      <w:r>
        <w:rPr>
          <w:rFonts w:ascii="Calibri" w:hAnsi="Calibri" w:eastAsia="华文仿宋"/>
          <w:bCs/>
          <w:color w:val="auto"/>
          <w:sz w:val="24"/>
          <w:szCs w:val="24"/>
          <w:highlight w:val="none"/>
        </w:rPr>
        <w:t>地址：</w:t>
      </w:r>
      <w:r>
        <w:rPr>
          <w:rFonts w:ascii="Calibri" w:hAnsi="Calibri" w:eastAsia="华文仿宋"/>
          <w:bCs/>
          <w:color w:val="auto"/>
          <w:sz w:val="24"/>
          <w:szCs w:val="24"/>
          <w:highlight w:val="none"/>
          <w:u w:val="single"/>
        </w:rPr>
        <w:t xml:space="preserve">                                                        </w:t>
      </w:r>
    </w:p>
    <w:p w14:paraId="141009B6">
      <w:pPr>
        <w:snapToGrid w:val="0"/>
        <w:spacing w:line="336" w:lineRule="auto"/>
        <w:rPr>
          <w:rFonts w:ascii="Calibri" w:hAnsi="Calibri" w:eastAsia="华文仿宋"/>
          <w:bCs/>
          <w:color w:val="auto"/>
          <w:sz w:val="24"/>
          <w:szCs w:val="24"/>
          <w:highlight w:val="none"/>
        </w:rPr>
      </w:pPr>
      <w:r>
        <w:rPr>
          <w:rFonts w:ascii="Calibri" w:hAnsi="Calibri" w:eastAsia="华文仿宋"/>
          <w:bCs/>
          <w:color w:val="auto"/>
          <w:sz w:val="24"/>
          <w:szCs w:val="24"/>
          <w:highlight w:val="none"/>
        </w:rPr>
        <w:t>开票信息备案电话：</w:t>
      </w:r>
      <w:r>
        <w:rPr>
          <w:rFonts w:ascii="Calibri" w:hAnsi="Calibri" w:eastAsia="华文仿宋"/>
          <w:bCs/>
          <w:color w:val="auto"/>
          <w:sz w:val="24"/>
          <w:szCs w:val="24"/>
          <w:highlight w:val="none"/>
          <w:u w:val="single"/>
        </w:rPr>
        <w:t xml:space="preserve">                                            </w:t>
      </w:r>
    </w:p>
    <w:p w14:paraId="20D23E0B">
      <w:pPr>
        <w:snapToGrid w:val="0"/>
        <w:spacing w:line="336" w:lineRule="auto"/>
        <w:rPr>
          <w:rFonts w:ascii="Calibri" w:hAnsi="Calibri" w:eastAsia="华文仿宋"/>
          <w:bCs/>
          <w:color w:val="auto"/>
          <w:sz w:val="24"/>
          <w:szCs w:val="24"/>
          <w:highlight w:val="none"/>
        </w:rPr>
      </w:pPr>
      <w:r>
        <w:rPr>
          <w:rFonts w:ascii="Calibri" w:hAnsi="Calibri" w:eastAsia="华文仿宋"/>
          <w:bCs/>
          <w:color w:val="auto"/>
          <w:sz w:val="24"/>
          <w:szCs w:val="24"/>
          <w:highlight w:val="none"/>
        </w:rPr>
        <w:t>开户行：</w:t>
      </w:r>
      <w:r>
        <w:rPr>
          <w:rFonts w:ascii="Calibri" w:hAnsi="Calibri" w:eastAsia="华文仿宋"/>
          <w:bCs/>
          <w:color w:val="auto"/>
          <w:sz w:val="24"/>
          <w:szCs w:val="24"/>
          <w:highlight w:val="none"/>
          <w:u w:val="single"/>
        </w:rPr>
        <w:t xml:space="preserve">                                                      </w:t>
      </w:r>
    </w:p>
    <w:p w14:paraId="557B51F5">
      <w:pPr>
        <w:snapToGrid w:val="0"/>
        <w:spacing w:line="336" w:lineRule="auto"/>
        <w:rPr>
          <w:rFonts w:ascii="Calibri" w:hAnsi="Calibri" w:eastAsia="华文仿宋"/>
          <w:bCs/>
          <w:color w:val="auto"/>
          <w:sz w:val="24"/>
          <w:szCs w:val="24"/>
          <w:highlight w:val="none"/>
        </w:rPr>
      </w:pPr>
      <w:r>
        <w:rPr>
          <w:rFonts w:ascii="Calibri" w:hAnsi="Calibri" w:eastAsia="华文仿宋"/>
          <w:bCs/>
          <w:color w:val="auto"/>
          <w:sz w:val="24"/>
          <w:szCs w:val="24"/>
          <w:highlight w:val="none"/>
        </w:rPr>
        <w:t>账号：</w:t>
      </w:r>
      <w:r>
        <w:rPr>
          <w:rFonts w:ascii="Calibri" w:hAnsi="Calibri" w:eastAsia="华文仿宋"/>
          <w:bCs/>
          <w:color w:val="auto"/>
          <w:sz w:val="24"/>
          <w:szCs w:val="24"/>
          <w:highlight w:val="none"/>
          <w:u w:val="single"/>
        </w:rPr>
        <w:t xml:space="preserve">                                                         </w:t>
      </w:r>
    </w:p>
    <w:p w14:paraId="3D125AFC">
      <w:pPr>
        <w:snapToGrid w:val="0"/>
        <w:spacing w:line="336" w:lineRule="auto"/>
        <w:rPr>
          <w:rFonts w:ascii="Calibri" w:hAnsi="Calibri" w:eastAsia="华文仿宋"/>
          <w:bCs/>
          <w:color w:val="auto"/>
          <w:sz w:val="24"/>
          <w:szCs w:val="24"/>
          <w:highlight w:val="none"/>
        </w:rPr>
      </w:pPr>
      <w:r>
        <w:rPr>
          <w:rFonts w:ascii="Calibri" w:hAnsi="Calibri" w:eastAsia="华文仿宋"/>
          <w:bCs/>
          <w:color w:val="auto"/>
          <w:sz w:val="24"/>
          <w:szCs w:val="24"/>
          <w:highlight w:val="none"/>
        </w:rPr>
        <w:t>发票接收邮箱：</w:t>
      </w:r>
      <w:r>
        <w:rPr>
          <w:rFonts w:ascii="Calibri" w:hAnsi="Calibri" w:eastAsia="华文仿宋"/>
          <w:bCs/>
          <w:color w:val="auto"/>
          <w:sz w:val="24"/>
          <w:szCs w:val="24"/>
          <w:highlight w:val="none"/>
          <w:u w:val="single"/>
        </w:rPr>
        <w:t xml:space="preserve">                                         </w:t>
      </w:r>
    </w:p>
    <w:p w14:paraId="75468C09">
      <w:pPr>
        <w:snapToGrid w:val="0"/>
        <w:spacing w:line="336" w:lineRule="auto"/>
        <w:rPr>
          <w:rFonts w:ascii="Calibri" w:hAnsi="Calibri" w:eastAsia="华文仿宋"/>
          <w:bCs/>
          <w:color w:val="auto"/>
          <w:sz w:val="24"/>
          <w:szCs w:val="24"/>
          <w:highlight w:val="none"/>
        </w:rPr>
      </w:pPr>
      <w:r>
        <w:rPr>
          <w:rFonts w:ascii="Calibri" w:hAnsi="Calibri" w:eastAsia="华文仿宋"/>
          <w:bCs/>
          <w:color w:val="auto"/>
          <w:sz w:val="24"/>
          <w:szCs w:val="24"/>
          <w:highlight w:val="none"/>
        </w:rPr>
        <w:t>联系人：</w:t>
      </w:r>
      <w:r>
        <w:rPr>
          <w:rFonts w:ascii="Calibri" w:hAnsi="Calibri" w:eastAsia="华文仿宋"/>
          <w:bCs/>
          <w:color w:val="auto"/>
          <w:sz w:val="24"/>
          <w:szCs w:val="24"/>
          <w:highlight w:val="none"/>
          <w:u w:val="single"/>
        </w:rPr>
        <w:t xml:space="preserve">                                                       </w:t>
      </w:r>
    </w:p>
    <w:p w14:paraId="486181AC">
      <w:pPr>
        <w:snapToGrid w:val="0"/>
        <w:spacing w:line="336" w:lineRule="auto"/>
        <w:rPr>
          <w:rFonts w:ascii="Calibri" w:hAnsi="Calibri" w:eastAsia="华文仿宋"/>
          <w:bCs/>
          <w:color w:val="auto"/>
          <w:sz w:val="24"/>
          <w:szCs w:val="24"/>
          <w:highlight w:val="none"/>
        </w:rPr>
      </w:pPr>
      <w:r>
        <w:rPr>
          <w:rFonts w:ascii="Calibri" w:hAnsi="Calibri" w:eastAsia="华文仿宋"/>
          <w:bCs/>
          <w:color w:val="auto"/>
          <w:sz w:val="24"/>
          <w:szCs w:val="24"/>
          <w:highlight w:val="none"/>
        </w:rPr>
        <w:t>联系电话：</w:t>
      </w:r>
      <w:r>
        <w:rPr>
          <w:rFonts w:ascii="Calibri" w:hAnsi="Calibri" w:eastAsia="华文仿宋"/>
          <w:bCs/>
          <w:color w:val="auto"/>
          <w:sz w:val="24"/>
          <w:szCs w:val="24"/>
          <w:highlight w:val="none"/>
          <w:u w:val="single"/>
        </w:rPr>
        <w:t xml:space="preserve">                                                     </w:t>
      </w:r>
    </w:p>
    <w:p w14:paraId="681AA06D">
      <w:pPr>
        <w:snapToGrid w:val="0"/>
        <w:spacing w:line="336" w:lineRule="auto"/>
        <w:rPr>
          <w:rFonts w:ascii="Calibri" w:hAnsi="Calibri" w:eastAsia="华文仿宋"/>
          <w:bCs/>
          <w:color w:val="auto"/>
          <w:sz w:val="24"/>
          <w:szCs w:val="24"/>
          <w:highlight w:val="none"/>
        </w:rPr>
      </w:pPr>
      <w:r>
        <w:rPr>
          <w:rFonts w:hint="eastAsia" w:ascii="Calibri" w:hAnsi="Calibri" w:eastAsia="华文仿宋"/>
          <w:bCs/>
          <w:color w:val="auto"/>
          <w:sz w:val="24"/>
          <w:szCs w:val="24"/>
          <w:highlight w:val="none"/>
        </w:rPr>
        <w:t>供应商</w:t>
      </w:r>
      <w:r>
        <w:rPr>
          <w:rFonts w:ascii="Calibri" w:hAnsi="Calibri" w:eastAsia="华文仿宋"/>
          <w:bCs/>
          <w:color w:val="auto"/>
          <w:sz w:val="24"/>
          <w:szCs w:val="24"/>
          <w:highlight w:val="none"/>
        </w:rPr>
        <w:t>名称：</w:t>
      </w:r>
      <w:r>
        <w:rPr>
          <w:rFonts w:ascii="Calibri" w:hAnsi="Calibri" w:eastAsia="华文仿宋"/>
          <w:bCs/>
          <w:color w:val="auto"/>
          <w:sz w:val="24"/>
          <w:szCs w:val="24"/>
          <w:highlight w:val="none"/>
          <w:u w:val="single"/>
        </w:rPr>
        <w:t xml:space="preserve">          </w:t>
      </w:r>
      <w:r>
        <w:rPr>
          <w:rFonts w:ascii="Calibri" w:hAnsi="Calibri" w:eastAsia="华文仿宋"/>
          <w:b/>
          <w:bCs/>
          <w:color w:val="auto"/>
          <w:sz w:val="24"/>
          <w:szCs w:val="24"/>
          <w:highlight w:val="none"/>
          <w:u w:val="single"/>
        </w:rPr>
        <w:t xml:space="preserve">                                         </w:t>
      </w:r>
      <w:r>
        <w:rPr>
          <w:rFonts w:ascii="Calibri" w:hAnsi="Calibri" w:eastAsia="华文仿宋"/>
          <w:b/>
          <w:bCs/>
          <w:color w:val="auto"/>
          <w:sz w:val="24"/>
          <w:szCs w:val="24"/>
          <w:highlight w:val="none"/>
        </w:rPr>
        <w:t xml:space="preserve"> </w:t>
      </w:r>
    </w:p>
    <w:p w14:paraId="554939A7">
      <w:pPr>
        <w:snapToGrid w:val="0"/>
        <w:spacing w:line="336" w:lineRule="auto"/>
        <w:rPr>
          <w:rFonts w:ascii="Calibri" w:hAnsi="Calibri" w:eastAsia="华文仿宋"/>
          <w:b/>
          <w:bCs/>
          <w:color w:val="auto"/>
          <w:sz w:val="24"/>
          <w:szCs w:val="24"/>
          <w:highlight w:val="none"/>
        </w:rPr>
      </w:pPr>
      <w:r>
        <w:rPr>
          <w:rFonts w:ascii="Calibri" w:hAnsi="Calibri" w:eastAsia="华文仿宋"/>
          <w:b/>
          <w:bCs/>
          <w:color w:val="auto"/>
          <w:sz w:val="24"/>
          <w:szCs w:val="24"/>
          <w:highlight w:val="none"/>
        </w:rPr>
        <w:t xml:space="preserve">                       </w:t>
      </w:r>
    </w:p>
    <w:p w14:paraId="6E8CB13E">
      <w:pPr>
        <w:snapToGrid w:val="0"/>
        <w:spacing w:line="336" w:lineRule="auto"/>
        <w:rPr>
          <w:rFonts w:ascii="Calibri" w:hAnsi="Calibri" w:eastAsia="楷体"/>
          <w:b/>
          <w:bCs/>
          <w:color w:val="auto"/>
          <w:sz w:val="24"/>
          <w:szCs w:val="24"/>
          <w:highlight w:val="none"/>
        </w:rPr>
      </w:pPr>
      <w:r>
        <w:rPr>
          <w:rFonts w:ascii="Calibri" w:hAnsi="Calibri" w:eastAsia="楷体"/>
          <w:b/>
          <w:bCs/>
          <w:color w:val="auto"/>
          <w:sz w:val="24"/>
          <w:szCs w:val="24"/>
          <w:highlight w:val="none"/>
        </w:rPr>
        <w:t xml:space="preserve">                                                   </w:t>
      </w:r>
    </w:p>
    <w:p w14:paraId="43D4B154">
      <w:pPr>
        <w:snapToGrid w:val="0"/>
        <w:spacing w:line="336" w:lineRule="auto"/>
        <w:rPr>
          <w:rFonts w:ascii="Calibri" w:hAnsi="Calibri" w:eastAsia="楷体"/>
          <w:b/>
          <w:bCs/>
          <w:color w:val="auto"/>
          <w:sz w:val="24"/>
          <w:szCs w:val="24"/>
          <w:highlight w:val="none"/>
        </w:rPr>
      </w:pPr>
    </w:p>
    <w:p w14:paraId="617A389B">
      <w:pPr>
        <w:snapToGrid w:val="0"/>
        <w:spacing w:line="336" w:lineRule="auto"/>
        <w:rPr>
          <w:rFonts w:ascii="Calibri" w:hAnsi="Calibri" w:eastAsia="楷体"/>
          <w:b/>
          <w:bCs/>
          <w:color w:val="auto"/>
          <w:sz w:val="24"/>
          <w:szCs w:val="24"/>
          <w:highlight w:val="none"/>
        </w:rPr>
      </w:pPr>
    </w:p>
    <w:p w14:paraId="0EB780C4">
      <w:pPr>
        <w:snapToGrid w:val="0"/>
        <w:spacing w:line="336" w:lineRule="auto"/>
        <w:rPr>
          <w:rFonts w:ascii="Calibri" w:hAnsi="Calibri" w:eastAsia="华文仿宋"/>
          <w:bCs/>
          <w:color w:val="auto"/>
          <w:sz w:val="24"/>
          <w:szCs w:val="24"/>
          <w:highlight w:val="none"/>
        </w:rPr>
      </w:pPr>
      <w:r>
        <w:rPr>
          <w:rFonts w:hint="eastAsia" w:ascii="Calibri" w:hAnsi="Calibri" w:eastAsia="华文仿宋"/>
          <w:bCs/>
          <w:color w:val="auto"/>
          <w:sz w:val="24"/>
          <w:szCs w:val="24"/>
          <w:highlight w:val="none"/>
        </w:rPr>
        <w:t xml:space="preserve">注：1、以上开票信息必须由经响应单位财务部门确认。如开票信息有误，后果自负。     </w:t>
      </w:r>
    </w:p>
    <w:p w14:paraId="0910DF2C">
      <w:pPr>
        <w:snapToGrid w:val="0"/>
        <w:spacing w:line="336" w:lineRule="auto"/>
        <w:rPr>
          <w:rFonts w:ascii="Calibri" w:hAnsi="Calibri" w:eastAsia="华文仿宋"/>
          <w:bCs/>
          <w:color w:val="auto"/>
          <w:sz w:val="24"/>
          <w:szCs w:val="24"/>
          <w:highlight w:val="none"/>
        </w:rPr>
      </w:pPr>
      <w:r>
        <w:rPr>
          <w:rFonts w:hint="eastAsia" w:ascii="Calibri" w:hAnsi="Calibri" w:eastAsia="华文仿宋"/>
          <w:bCs/>
          <w:color w:val="auto"/>
          <w:sz w:val="24"/>
          <w:szCs w:val="24"/>
          <w:highlight w:val="none"/>
        </w:rPr>
        <w:t xml:space="preserve"> 2、新疆招标有限公司邮箱：2023882878@qq.com（也可将开票和退款信息按照要求发至邮箱）</w:t>
      </w:r>
    </w:p>
    <w:p w14:paraId="17040A6C">
      <w:pPr>
        <w:rPr>
          <w:rFonts w:ascii="宋体" w:hAnsi="宋体"/>
          <w:b/>
          <w:color w:val="auto"/>
          <w:sz w:val="32"/>
          <w:szCs w:val="32"/>
          <w:highlight w:val="none"/>
        </w:rPr>
      </w:pPr>
    </w:p>
    <w:sectPr>
      <w:headerReference r:id="rId16" w:type="default"/>
      <w:pgSz w:w="11907" w:h="16840"/>
      <w:pgMar w:top="1440" w:right="1080" w:bottom="1440" w:left="1080" w:header="851" w:footer="68" w:gutter="0"/>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細明體">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6E9B4">
    <w:pPr>
      <w:pStyle w:val="47"/>
      <w:tabs>
        <w:tab w:val="clear" w:pos="4153"/>
        <w:tab w:val="clear" w:pos="8306"/>
      </w:tabs>
      <w:ind w:right="360"/>
      <w:jc w:val="right"/>
      <w:rPr>
        <w:lang w:val="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19687">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9B19687">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lang w:val="zh-CN"/>
      </w:rPr>
      <w:t xml:space="preserve">  </w:t>
    </w:r>
  </w:p>
  <w:p w14:paraId="38D97A6F">
    <w:pPr>
      <w:pStyle w:val="47"/>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C8C">
    <w:pPr>
      <w:pStyle w:val="47"/>
      <w:framePr w:wrap="around" w:vAnchor="text" w:hAnchor="margin" w:xAlign="right" w:y="1"/>
      <w:tabs>
        <w:tab w:val="clear" w:pos="4153"/>
        <w:tab w:val="clear" w:pos="8306"/>
      </w:tabs>
    </w:pPr>
    <w:r>
      <w:fldChar w:fldCharType="begin"/>
    </w:r>
    <w:r>
      <w:rPr>
        <w:rStyle w:val="63"/>
      </w:rPr>
      <w:instrText xml:space="preserve">PAGE  </w:instrText>
    </w:r>
    <w:r>
      <w:fldChar w:fldCharType="end"/>
    </w:r>
  </w:p>
  <w:p w14:paraId="04FD238E">
    <w:pPr>
      <w:pStyle w:val="47"/>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F6F70">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F644B">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C7F644B">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B99A4">
    <w:pPr>
      <w:pStyle w:val="47"/>
      <w:tabs>
        <w:tab w:val="clear" w:pos="4153"/>
        <w:tab w:val="clear" w:pos="8306"/>
      </w:tabs>
      <w:ind w:right="360"/>
      <w:jc w:val="right"/>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2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6EBDAD9">
                          <w:pPr>
                            <w:pStyle w:val="47"/>
                            <w:tabs>
                              <w:tab w:val="clear" w:pos="4153"/>
                              <w:tab w:val="clear" w:pos="8306"/>
                            </w:tabs>
                          </w:pPr>
                          <w:r>
                            <w:fldChar w:fldCharType="begin"/>
                          </w:r>
                          <w:r>
                            <w:instrText xml:space="preserve"> PAGE  \* MERGEFORMAT </w:instrText>
                          </w:r>
                          <w:r>
                            <w:fldChar w:fldCharType="separate"/>
                          </w:r>
                          <w:r>
                            <w:t>6</w:t>
                          </w:r>
                          <w:r>
                            <w:fldChar w:fldCharType="end"/>
                          </w:r>
                        </w:p>
                        <w:p w14:paraId="3573DDD6"/>
                      </w:txbxContent>
                    </wps:txbx>
                    <wps:bodyPr rot="0" vert="horz" wrap="square" lIns="0" tIns="0" rIns="0" bIns="0" anchor="t" anchorCtr="0"/>
                  </wps:wsp>
                </a:graphicData>
              </a:graphic>
            </wp:anchor>
          </w:drawing>
        </mc:Choice>
        <mc:Fallback>
          <w:pict>
            <v:rect id="_x0000_s1029"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B8XZWx&#10;sAEAAHYDAAAOAAAAAAAAAAEAIAAAACIBAABkcnMvZTJvRG9jLnhtbFBLBQYAAAAABgAGAFkBAABE&#10;BQAAAAA=&#10;">
              <v:fill on="f" focussize="0,0"/>
              <v:stroke on="f"/>
              <v:imagedata o:title=""/>
              <o:lock v:ext="edit" aspectratio="f"/>
              <v:textbox inset="0mm,0mm,0mm,0mm">
                <w:txbxContent>
                  <w:p w14:paraId="06EBDAD9">
                    <w:pPr>
                      <w:pStyle w:val="47"/>
                      <w:tabs>
                        <w:tab w:val="clear" w:pos="4153"/>
                        <w:tab w:val="clear" w:pos="8306"/>
                      </w:tabs>
                    </w:pPr>
                    <w:r>
                      <w:fldChar w:fldCharType="begin"/>
                    </w:r>
                    <w:r>
                      <w:instrText xml:space="preserve"> PAGE  \* MERGEFORMAT </w:instrText>
                    </w:r>
                    <w:r>
                      <w:fldChar w:fldCharType="separate"/>
                    </w:r>
                    <w:r>
                      <w:t>6</w:t>
                    </w:r>
                    <w:r>
                      <w:fldChar w:fldCharType="end"/>
                    </w:r>
                  </w:p>
                  <w:p w14:paraId="3573DDD6"/>
                </w:txbxContent>
              </v:textbox>
            </v:rect>
          </w:pict>
        </mc:Fallback>
      </mc:AlternateContent>
    </w:r>
    <w:r>
      <w:rPr>
        <w:lang w:val="zh-CN"/>
      </w:rPr>
      <w:t xml:space="preserve">  </w:t>
    </w:r>
  </w:p>
  <w:p w14:paraId="1487C137">
    <w:pPr>
      <w:pStyle w:val="47"/>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AD2C2">
    <w:pPr>
      <w:pStyle w:val="47"/>
      <w:tabs>
        <w:tab w:val="clear" w:pos="4153"/>
        <w:tab w:val="clear" w:pos="8306"/>
      </w:tabs>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103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2268A4E">
                          <w:pPr>
                            <w:pStyle w:val="47"/>
                            <w:tabs>
                              <w:tab w:val="clear" w:pos="4153"/>
                              <w:tab w:val="clear" w:pos="8306"/>
                            </w:tabs>
                          </w:pPr>
                          <w:r>
                            <w:fldChar w:fldCharType="begin"/>
                          </w:r>
                          <w:r>
                            <w:instrText xml:space="preserve"> PAGE  \* MERGEFORMAT </w:instrText>
                          </w:r>
                          <w:r>
                            <w:fldChar w:fldCharType="separate"/>
                          </w:r>
                          <w:r>
                            <w:t>3</w:t>
                          </w:r>
                          <w:r>
                            <w:fldChar w:fldCharType="end"/>
                          </w:r>
                        </w:p>
                        <w:p w14:paraId="4865DC27"/>
                      </w:txbxContent>
                    </wps:txbx>
                    <wps:bodyPr rot="0" vert="horz" wrap="square" lIns="0" tIns="0" rIns="0" bIns="0" anchor="t" anchorCtr="0"/>
                  </wps:wsp>
                </a:graphicData>
              </a:graphic>
            </wp:anchor>
          </w:drawing>
        </mc:Choice>
        <mc:Fallback>
          <w:pict>
            <v:rect id="_x0000_s1030"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a2Y8tMAAAAF&#10;AQAADwAAAAAAAAABACAAAAAiAAAAZHJzL2Rvd25yZXYueG1sUEsBAhQAFAAAAAgAh07iQIPj8dav&#10;AQAAdgMAAA4AAAAAAAAAAQAgAAAAIgEAAGRycy9lMm9Eb2MueG1sUEsFBgAAAAAGAAYAWQEAAEMF&#10;AAAAAA==&#10;">
              <v:fill on="f" focussize="0,0"/>
              <v:stroke on="f"/>
              <v:imagedata o:title=""/>
              <o:lock v:ext="edit" aspectratio="f"/>
              <v:textbox inset="0mm,0mm,0mm,0mm">
                <w:txbxContent>
                  <w:p w14:paraId="72268A4E">
                    <w:pPr>
                      <w:pStyle w:val="47"/>
                      <w:tabs>
                        <w:tab w:val="clear" w:pos="4153"/>
                        <w:tab w:val="clear" w:pos="8306"/>
                      </w:tabs>
                    </w:pPr>
                    <w:r>
                      <w:fldChar w:fldCharType="begin"/>
                    </w:r>
                    <w:r>
                      <w:instrText xml:space="preserve"> PAGE  \* MERGEFORMAT </w:instrText>
                    </w:r>
                    <w:r>
                      <w:fldChar w:fldCharType="separate"/>
                    </w:r>
                    <w:r>
                      <w:t>3</w:t>
                    </w:r>
                    <w:r>
                      <w:fldChar w:fldCharType="end"/>
                    </w:r>
                  </w:p>
                  <w:p w14:paraId="4865DC27"/>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795BB">
    <w:pPr>
      <w:pStyle w:val="37"/>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F0B65">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B7F0B65">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A714">
    <w:pPr>
      <w:pStyle w:val="47"/>
      <w:tabs>
        <w:tab w:val="clear" w:pos="4153"/>
        <w:tab w:val="clear" w:pos="8306"/>
      </w:tabs>
      <w:ind w:right="360"/>
      <w:jc w:val="righ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1025"/>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4D77B6D">
                          <w:pPr>
                            <w:pStyle w:val="47"/>
                            <w:tabs>
                              <w:tab w:val="clear" w:pos="4153"/>
                              <w:tab w:val="clear" w:pos="8306"/>
                            </w:tabs>
                          </w:pPr>
                          <w:r>
                            <w:fldChar w:fldCharType="begin"/>
                          </w:r>
                          <w:r>
                            <w:instrText xml:space="preserve"> PAGE  \* MERGEFORMAT </w:instrText>
                          </w:r>
                          <w:r>
                            <w:fldChar w:fldCharType="separate"/>
                          </w:r>
                          <w:r>
                            <w:t>55</w:t>
                          </w:r>
                          <w:r>
                            <w:fldChar w:fldCharType="end"/>
                          </w:r>
                        </w:p>
                        <w:p w14:paraId="11A92AE0"/>
                      </w:txbxContent>
                    </wps:txbx>
                    <wps:bodyPr rot="0" vert="horz" wrap="square" lIns="0" tIns="0" rIns="0" bIns="0" anchor="t" anchorCtr="0"/>
                  </wps:wsp>
                </a:graphicData>
              </a:graphic>
            </wp:anchor>
          </w:drawing>
        </mc:Choice>
        <mc:Fallback>
          <w:pict>
            <v:rect id="_x0000_s1025"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BxNk+0&#10;sAEAAHYDAAAOAAAAAAAAAAEAIAAAACIBAABkcnMvZTJvRG9jLnhtbFBLBQYAAAAABgAGAFkBAABE&#10;BQAAAAA=&#10;">
              <v:fill on="f" focussize="0,0"/>
              <v:stroke on="f"/>
              <v:imagedata o:title=""/>
              <o:lock v:ext="edit" aspectratio="f"/>
              <v:textbox inset="0mm,0mm,0mm,0mm">
                <w:txbxContent>
                  <w:p w14:paraId="44D77B6D">
                    <w:pPr>
                      <w:pStyle w:val="47"/>
                      <w:tabs>
                        <w:tab w:val="clear" w:pos="4153"/>
                        <w:tab w:val="clear" w:pos="8306"/>
                      </w:tabs>
                    </w:pPr>
                    <w:r>
                      <w:fldChar w:fldCharType="begin"/>
                    </w:r>
                    <w:r>
                      <w:instrText xml:space="preserve"> PAGE  \* MERGEFORMAT </w:instrText>
                    </w:r>
                    <w:r>
                      <w:fldChar w:fldCharType="separate"/>
                    </w:r>
                    <w:r>
                      <w:t>55</w:t>
                    </w:r>
                    <w:r>
                      <w:fldChar w:fldCharType="end"/>
                    </w:r>
                  </w:p>
                  <w:p w14:paraId="11A92AE0"/>
                </w:txbxContent>
              </v:textbox>
            </v:rect>
          </w:pict>
        </mc:Fallback>
      </mc:AlternateContent>
    </w:r>
    <w:r>
      <w:rPr>
        <w:lang w:val="zh-CN"/>
      </w:rPr>
      <w:t xml:space="preserve">  </w:t>
    </w:r>
  </w:p>
  <w:p w14:paraId="30ACD502">
    <w:pPr>
      <w:pStyle w:val="47"/>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B7D04">
    <w:pPr>
      <w:pStyle w:val="47"/>
      <w:tabs>
        <w:tab w:val="clear" w:pos="4153"/>
        <w:tab w:val="clear" w:pos="8306"/>
      </w:tabs>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66D264C">
                          <w:pPr>
                            <w:pStyle w:val="47"/>
                            <w:tabs>
                              <w:tab w:val="clear" w:pos="4153"/>
                              <w:tab w:val="clear" w:pos="8306"/>
                            </w:tabs>
                          </w:pPr>
                          <w:r>
                            <w:fldChar w:fldCharType="begin"/>
                          </w:r>
                          <w:r>
                            <w:instrText xml:space="preserve"> PAGE  \* MERGEFORMAT </w:instrText>
                          </w:r>
                          <w:r>
                            <w:fldChar w:fldCharType="separate"/>
                          </w:r>
                          <w:r>
                            <w:t>45</w:t>
                          </w:r>
                          <w:r>
                            <w:fldChar w:fldCharType="end"/>
                          </w:r>
                        </w:p>
                        <w:p w14:paraId="1A29232D"/>
                      </w:txbxContent>
                    </wps:txbx>
                    <wps:bodyPr rot="0" vert="horz" wrap="square" lIns="0" tIns="0" rIns="0" bIns="0" anchor="t" anchorCtr="0"/>
                  </wps:wsp>
                </a:graphicData>
              </a:graphic>
            </wp:anchor>
          </w:drawing>
        </mc:Choice>
        <mc:Fallback>
          <w:pict>
            <v:rect id="_x0000_s1026" o:spid="_x0000_s1026" o:spt="1"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5dxhY&#10;sAEAAHYDAAAOAAAAAAAAAAEAIAAAACIBAABkcnMvZTJvRG9jLnhtbFBLBQYAAAAABgAGAFkBAABE&#10;BQAAAAA=&#10;">
              <v:fill on="f" focussize="0,0"/>
              <v:stroke on="f"/>
              <v:imagedata o:title=""/>
              <o:lock v:ext="edit" aspectratio="f"/>
              <v:textbox inset="0mm,0mm,0mm,0mm">
                <w:txbxContent>
                  <w:p w14:paraId="066D264C">
                    <w:pPr>
                      <w:pStyle w:val="47"/>
                      <w:tabs>
                        <w:tab w:val="clear" w:pos="4153"/>
                        <w:tab w:val="clear" w:pos="8306"/>
                      </w:tabs>
                    </w:pPr>
                    <w:r>
                      <w:fldChar w:fldCharType="begin"/>
                    </w:r>
                    <w:r>
                      <w:instrText xml:space="preserve"> PAGE  \* MERGEFORMAT </w:instrText>
                    </w:r>
                    <w:r>
                      <w:fldChar w:fldCharType="separate"/>
                    </w:r>
                    <w:r>
                      <w:t>45</w:t>
                    </w:r>
                    <w:r>
                      <w:fldChar w:fldCharType="end"/>
                    </w:r>
                  </w:p>
                  <w:p w14:paraId="1A29232D"/>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01BCD">
    <w:pPr>
      <w:pStyle w:val="49"/>
      <w:tabs>
        <w:tab w:val="clear" w:pos="4153"/>
        <w:tab w:val="clear" w:pos="8306"/>
      </w:tabs>
      <w:rPr>
        <w:b/>
      </w:rPr>
    </w:pPr>
    <w:r>
      <w:rPr>
        <w:rFonts w:hint="eastAsia"/>
        <w:b/>
      </w:rPr>
      <w:t xml:space="preserve">磋商文件   　　　　　　                  　　　　　　　　　　　　　　　新疆招标有限公司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B118B">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A996C">
    <w:pPr>
      <w:pStyle w:val="49"/>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87D91">
    <w:pPr>
      <w:pStyle w:val="49"/>
      <w:pBdr>
        <w:bottom w:val="none" w:color="auto" w:sz="0" w:space="0"/>
      </w:pBdr>
      <w:tabs>
        <w:tab w:val="clear" w:pos="4153"/>
        <w:tab w:val="clear" w:pos="8306"/>
      </w:tabs>
      <w:jc w:val="right"/>
      <w:rPr>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2E95C">
    <w:pPr>
      <w:pStyle w:val="49"/>
      <w:tabs>
        <w:tab w:val="clear" w:pos="4153"/>
        <w:tab w:val="clear" w:pos="8306"/>
      </w:tabs>
      <w:rPr>
        <w:sz w:val="21"/>
      </w:rPr>
    </w:pPr>
    <w:r>
      <w:rPr>
        <w:rFonts w:hint="eastAsia"/>
        <w:sz w:val="21"/>
      </w:rPr>
      <w:t xml:space="preserve">招标文件                                                       新疆招标有限公司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2C08E">
    <w:pPr>
      <w:pStyle w:val="49"/>
      <w:tabs>
        <w:tab w:val="clear" w:pos="4153"/>
        <w:tab w:val="clear" w:pos="8306"/>
      </w:tabs>
      <w:rPr>
        <w:sz w:val="21"/>
      </w:rPr>
    </w:pPr>
    <w:r>
      <w:rPr>
        <w:rFonts w:hint="eastAsia"/>
        <w:sz w:val="21"/>
      </w:rPr>
      <w:t xml:space="preserve">磋商文件                                                       新疆招标有限公司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7261B"/>
    <w:multiLevelType w:val="singleLevel"/>
    <w:tmpl w:val="F9E7261B"/>
    <w:lvl w:ilvl="0" w:tentative="0">
      <w:start w:val="2"/>
      <w:numFmt w:val="decimal"/>
      <w:suff w:val="nothing"/>
      <w:lvlText w:val="%1、"/>
      <w:lvlJc w:val="left"/>
    </w:lvl>
  </w:abstractNum>
  <w:abstractNum w:abstractNumId="1">
    <w:nsid w:val="157561C5"/>
    <w:multiLevelType w:val="multilevel"/>
    <w:tmpl w:val="157561C5"/>
    <w:lvl w:ilvl="0" w:tentative="0">
      <w:start w:val="1"/>
      <w:numFmt w:val="bullet"/>
      <w:pStyle w:val="91"/>
      <w:lvlText w:val=""/>
      <w:lvlJc w:val="left"/>
      <w:pPr>
        <w:ind w:left="900" w:hanging="420"/>
      </w:pPr>
      <w:rPr>
        <w:rFonts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5812A10"/>
    <w:multiLevelType w:val="multilevel"/>
    <w:tmpl w:val="15812A10"/>
    <w:lvl w:ilvl="0" w:tentative="0">
      <w:start w:val="1"/>
      <w:numFmt w:val="upperLetter"/>
      <w:pStyle w:val="1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D2F48D5"/>
    <w:multiLevelType w:val="multilevel"/>
    <w:tmpl w:val="1D2F48D5"/>
    <w:lvl w:ilvl="0" w:tentative="0">
      <w:start w:val="1"/>
      <w:numFmt w:val="decimal"/>
      <w:pStyle w:val="76"/>
      <w:lvlText w:val="图%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E475BE"/>
    <w:multiLevelType w:val="multilevel"/>
    <w:tmpl w:val="2FE475BE"/>
    <w:lvl w:ilvl="0" w:tentative="0">
      <w:start w:val="1"/>
      <w:numFmt w:val="chineseCountingThousand"/>
      <w:lvlText w:val="%1、"/>
      <w:lvlJc w:val="left"/>
      <w:pPr>
        <w:tabs>
          <w:tab w:val="left" w:pos="960"/>
        </w:tabs>
        <w:ind w:left="960" w:hanging="720"/>
      </w:pPr>
      <w:rPr>
        <w:rFonts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04696C3"/>
    <w:multiLevelType w:val="singleLevel"/>
    <w:tmpl w:val="304696C3"/>
    <w:lvl w:ilvl="0" w:tentative="0">
      <w:start w:val="4"/>
      <w:numFmt w:val="chineseCounting"/>
      <w:suff w:val="space"/>
      <w:lvlText w:val="第%1部分"/>
      <w:lvlJc w:val="left"/>
      <w:rPr>
        <w:rFonts w:hint="eastAsia"/>
      </w:rPr>
    </w:lvl>
  </w:abstractNum>
  <w:abstractNum w:abstractNumId="6">
    <w:nsid w:val="38E72660"/>
    <w:multiLevelType w:val="multilevel"/>
    <w:tmpl w:val="38E72660"/>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1800"/>
        </w:tabs>
        <w:ind w:left="1800" w:hanging="1800"/>
      </w:pPr>
    </w:lvl>
  </w:abstractNum>
  <w:abstractNum w:abstractNumId="7">
    <w:nsid w:val="455B68EC"/>
    <w:multiLevelType w:val="multilevel"/>
    <w:tmpl w:val="455B68EC"/>
    <w:lvl w:ilvl="0" w:tentative="0">
      <w:start w:val="1"/>
      <w:numFmt w:val="upperLetter"/>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E760602"/>
    <w:multiLevelType w:val="multilevel"/>
    <w:tmpl w:val="6E760602"/>
    <w:lvl w:ilvl="0" w:tentative="0">
      <w:start w:val="1"/>
      <w:numFmt w:val="bullet"/>
      <w:pStyle w:val="32"/>
      <w:lvlText w:val=""/>
      <w:lvlJc w:val="left"/>
      <w:pPr>
        <w:ind w:left="620" w:hanging="420"/>
      </w:pPr>
      <w:rPr>
        <w:rFonts w:ascii="Wingdings" w:hAnsi="Wingdings"/>
      </w:rPr>
    </w:lvl>
    <w:lvl w:ilvl="1" w:tentative="0">
      <w:start w:val="1"/>
      <w:numFmt w:val="bullet"/>
      <w:lvlText w:val=""/>
      <w:lvlJc w:val="left"/>
      <w:pPr>
        <w:ind w:left="1040" w:hanging="420"/>
      </w:pPr>
      <w:rPr>
        <w:rFonts w:ascii="Wingdings" w:hAnsi="Wingdings"/>
      </w:rPr>
    </w:lvl>
    <w:lvl w:ilvl="2" w:tentative="0">
      <w:start w:val="1"/>
      <w:numFmt w:val="bullet"/>
      <w:lvlText w:val=""/>
      <w:lvlJc w:val="left"/>
      <w:pPr>
        <w:ind w:left="1460" w:hanging="420"/>
      </w:pPr>
      <w:rPr>
        <w:rFonts w:ascii="Wingdings" w:hAnsi="Wingdings"/>
      </w:rPr>
    </w:lvl>
    <w:lvl w:ilvl="3" w:tentative="0">
      <w:start w:val="1"/>
      <w:numFmt w:val="bullet"/>
      <w:lvlText w:val=""/>
      <w:lvlJc w:val="left"/>
      <w:pPr>
        <w:ind w:left="1880" w:hanging="420"/>
      </w:pPr>
      <w:rPr>
        <w:rFonts w:ascii="Wingdings" w:hAnsi="Wingdings"/>
      </w:rPr>
    </w:lvl>
    <w:lvl w:ilvl="4" w:tentative="0">
      <w:start w:val="1"/>
      <w:numFmt w:val="bullet"/>
      <w:lvlText w:val=""/>
      <w:lvlJc w:val="left"/>
      <w:pPr>
        <w:ind w:left="2300" w:hanging="420"/>
      </w:pPr>
      <w:rPr>
        <w:rFonts w:ascii="Wingdings" w:hAnsi="Wingdings"/>
      </w:rPr>
    </w:lvl>
    <w:lvl w:ilvl="5" w:tentative="0">
      <w:start w:val="1"/>
      <w:numFmt w:val="bullet"/>
      <w:lvlText w:val=""/>
      <w:lvlJc w:val="left"/>
      <w:pPr>
        <w:ind w:left="2720" w:hanging="420"/>
      </w:pPr>
      <w:rPr>
        <w:rFonts w:ascii="Wingdings" w:hAnsi="Wingdings"/>
      </w:rPr>
    </w:lvl>
    <w:lvl w:ilvl="6" w:tentative="0">
      <w:start w:val="1"/>
      <w:numFmt w:val="bullet"/>
      <w:lvlText w:val=""/>
      <w:lvlJc w:val="left"/>
      <w:pPr>
        <w:ind w:left="3140" w:hanging="420"/>
      </w:pPr>
      <w:rPr>
        <w:rFonts w:ascii="Wingdings" w:hAnsi="Wingdings"/>
      </w:rPr>
    </w:lvl>
    <w:lvl w:ilvl="7" w:tentative="0">
      <w:start w:val="1"/>
      <w:numFmt w:val="bullet"/>
      <w:lvlText w:val=""/>
      <w:lvlJc w:val="left"/>
      <w:pPr>
        <w:ind w:left="3560" w:hanging="420"/>
      </w:pPr>
      <w:rPr>
        <w:rFonts w:ascii="Wingdings" w:hAnsi="Wingdings"/>
      </w:rPr>
    </w:lvl>
    <w:lvl w:ilvl="8" w:tentative="0">
      <w:start w:val="1"/>
      <w:numFmt w:val="bullet"/>
      <w:lvlText w:val=""/>
      <w:lvlJc w:val="left"/>
      <w:pPr>
        <w:ind w:left="3980" w:hanging="420"/>
      </w:pPr>
      <w:rPr>
        <w:rFonts w:ascii="Wingdings" w:hAnsi="Wingdings"/>
      </w:rPr>
    </w:lvl>
  </w:abstractNum>
  <w:abstractNum w:abstractNumId="9">
    <w:nsid w:val="7A612D68"/>
    <w:multiLevelType w:val="multilevel"/>
    <w:tmpl w:val="7A612D68"/>
    <w:lvl w:ilvl="0" w:tentative="0">
      <w:start w:val="1"/>
      <w:numFmt w:val="decimal"/>
      <w:pStyle w:val="106"/>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7"/>
  </w:num>
  <w:num w:numId="7">
    <w:abstractNumId w:val="6"/>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characterSpacingControl w:val="compressPunctuation"/>
  <w:compat>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NzRmZjI4OTMyM2ZhNjk4YzUzMDQ4NDlkYzRkMzUifQ=="/>
    <w:docVar w:name="KSO_WPS_MARK_KEY" w:val="803bc0a6-8790-49e0-a6de-86c3f52db7b7"/>
  </w:docVars>
  <w:rsids>
    <w:rsidRoot w:val="00D85E5D"/>
    <w:rsid w:val="003A43C8"/>
    <w:rsid w:val="00567447"/>
    <w:rsid w:val="00723E44"/>
    <w:rsid w:val="00D07DDE"/>
    <w:rsid w:val="00D85E5D"/>
    <w:rsid w:val="021A10E9"/>
    <w:rsid w:val="03882DB2"/>
    <w:rsid w:val="03F62DA4"/>
    <w:rsid w:val="04182B69"/>
    <w:rsid w:val="09BF5091"/>
    <w:rsid w:val="0B882E7B"/>
    <w:rsid w:val="0C105729"/>
    <w:rsid w:val="0D7C6A10"/>
    <w:rsid w:val="1398350B"/>
    <w:rsid w:val="13F45AA0"/>
    <w:rsid w:val="14E971CE"/>
    <w:rsid w:val="155D0ED5"/>
    <w:rsid w:val="15B86855"/>
    <w:rsid w:val="17E7EE07"/>
    <w:rsid w:val="18576B04"/>
    <w:rsid w:val="18693455"/>
    <w:rsid w:val="194064AC"/>
    <w:rsid w:val="19C6235B"/>
    <w:rsid w:val="1A6E31BC"/>
    <w:rsid w:val="1AFF0FDF"/>
    <w:rsid w:val="1C93130C"/>
    <w:rsid w:val="1F4E188E"/>
    <w:rsid w:val="1F7B1DAA"/>
    <w:rsid w:val="212136FE"/>
    <w:rsid w:val="242D3EC5"/>
    <w:rsid w:val="24BB3370"/>
    <w:rsid w:val="259A11D8"/>
    <w:rsid w:val="2602623B"/>
    <w:rsid w:val="26A5092E"/>
    <w:rsid w:val="279F0387"/>
    <w:rsid w:val="27EB3F6C"/>
    <w:rsid w:val="29A138B4"/>
    <w:rsid w:val="2CAF3C8C"/>
    <w:rsid w:val="2D2344E2"/>
    <w:rsid w:val="2D992479"/>
    <w:rsid w:val="2DA24B51"/>
    <w:rsid w:val="2DA8254F"/>
    <w:rsid w:val="2EE23DA1"/>
    <w:rsid w:val="2F0E3844"/>
    <w:rsid w:val="34FC7034"/>
    <w:rsid w:val="35B71AE4"/>
    <w:rsid w:val="361F7B3A"/>
    <w:rsid w:val="38CA4224"/>
    <w:rsid w:val="39166472"/>
    <w:rsid w:val="3BA8315F"/>
    <w:rsid w:val="3CD63197"/>
    <w:rsid w:val="3DB957E0"/>
    <w:rsid w:val="3EB76FF8"/>
    <w:rsid w:val="420267DC"/>
    <w:rsid w:val="48B002C0"/>
    <w:rsid w:val="48D216A4"/>
    <w:rsid w:val="49260D69"/>
    <w:rsid w:val="4BAD025E"/>
    <w:rsid w:val="4BCD5CF3"/>
    <w:rsid w:val="4D0E24D9"/>
    <w:rsid w:val="4D4A6F0F"/>
    <w:rsid w:val="4FFA0AF3"/>
    <w:rsid w:val="51174C5D"/>
    <w:rsid w:val="51BD002A"/>
    <w:rsid w:val="51F322D3"/>
    <w:rsid w:val="52046E9E"/>
    <w:rsid w:val="522075CE"/>
    <w:rsid w:val="53A7580B"/>
    <w:rsid w:val="54280325"/>
    <w:rsid w:val="577F705B"/>
    <w:rsid w:val="578E204B"/>
    <w:rsid w:val="57A01DCE"/>
    <w:rsid w:val="590050C5"/>
    <w:rsid w:val="59691965"/>
    <w:rsid w:val="5F1E5D42"/>
    <w:rsid w:val="5F4104EC"/>
    <w:rsid w:val="60EC7F93"/>
    <w:rsid w:val="60ED6C7F"/>
    <w:rsid w:val="62823DD0"/>
    <w:rsid w:val="6654739D"/>
    <w:rsid w:val="6672290A"/>
    <w:rsid w:val="667B10FA"/>
    <w:rsid w:val="681D386C"/>
    <w:rsid w:val="69A811A1"/>
    <w:rsid w:val="6ADC5C78"/>
    <w:rsid w:val="6BCF0C2E"/>
    <w:rsid w:val="6C165A05"/>
    <w:rsid w:val="6C607558"/>
    <w:rsid w:val="6CB87914"/>
    <w:rsid w:val="6F8C01F8"/>
    <w:rsid w:val="6FF949C3"/>
    <w:rsid w:val="731A7D4F"/>
    <w:rsid w:val="745B7503"/>
    <w:rsid w:val="76142D94"/>
    <w:rsid w:val="778A4EE2"/>
    <w:rsid w:val="7841362B"/>
    <w:rsid w:val="787768D5"/>
    <w:rsid w:val="791B3704"/>
    <w:rsid w:val="7B003B56"/>
    <w:rsid w:val="7B73597D"/>
    <w:rsid w:val="7DBC3708"/>
    <w:rsid w:val="7E6B4634"/>
    <w:rsid w:val="7F1A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4">
    <w:name w:val="Block Text"/>
    <w:basedOn w:val="1"/>
    <w:next w:val="5"/>
    <w:qFormat/>
    <w:uiPriority w:val="9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ind w:left="240" w:right="-1005"/>
    </w:pPr>
    <w:rPr>
      <w:rFonts w:ascii="MingLiU" w:hAnsi="MingLiU" w:eastAsia="MingLiU"/>
      <w:kern w:val="0"/>
      <w:sz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3">
    <w:name w:val="标题 11"/>
    <w:basedOn w:val="1"/>
    <w:link w:val="25"/>
    <w:qFormat/>
    <w:uiPriority w:val="0"/>
    <w:pPr>
      <w:keepNext/>
      <w:numPr>
        <w:ilvl w:val="0"/>
        <w:numId w:val="1"/>
      </w:numPr>
      <w:tabs>
        <w:tab w:val="clear" w:pos="360"/>
      </w:tabs>
      <w:outlineLvl w:val="0"/>
    </w:pPr>
    <w:rPr>
      <w:b/>
    </w:rPr>
  </w:style>
  <w:style w:type="paragraph" w:customStyle="1" w:styleId="14">
    <w:name w:val="标题 21"/>
    <w:basedOn w:val="1"/>
    <w:link w:val="26"/>
    <w:qFormat/>
    <w:uiPriority w:val="0"/>
    <w:pPr>
      <w:keepNext/>
      <w:keepLines/>
      <w:spacing w:before="260" w:after="260" w:line="416" w:lineRule="auto"/>
      <w:outlineLvl w:val="1"/>
    </w:pPr>
    <w:rPr>
      <w:rFonts w:ascii="Arial" w:hAnsi="Arial" w:eastAsia="黑体"/>
      <w:b/>
      <w:sz w:val="32"/>
    </w:rPr>
  </w:style>
  <w:style w:type="paragraph" w:customStyle="1" w:styleId="15">
    <w:name w:val="标题 31"/>
    <w:basedOn w:val="1"/>
    <w:qFormat/>
    <w:uiPriority w:val="0"/>
    <w:pPr>
      <w:keepNext/>
      <w:keepLines/>
      <w:spacing w:before="260" w:after="260" w:line="416" w:lineRule="auto"/>
      <w:outlineLvl w:val="2"/>
    </w:pPr>
    <w:rPr>
      <w:b/>
      <w:bCs/>
      <w:sz w:val="32"/>
      <w:szCs w:val="32"/>
    </w:rPr>
  </w:style>
  <w:style w:type="paragraph" w:customStyle="1" w:styleId="16">
    <w:name w:val="标题 41"/>
    <w:basedOn w:val="1"/>
    <w:qFormat/>
    <w:uiPriority w:val="0"/>
    <w:pPr>
      <w:keepNext/>
      <w:keepLines/>
      <w:spacing w:before="280" w:after="290" w:line="376" w:lineRule="auto"/>
      <w:outlineLvl w:val="3"/>
    </w:pPr>
    <w:rPr>
      <w:rFonts w:ascii="Arial" w:hAnsi="Arial" w:eastAsia="黑体"/>
      <w:b/>
      <w:bCs/>
      <w:sz w:val="28"/>
      <w:szCs w:val="28"/>
    </w:rPr>
  </w:style>
  <w:style w:type="paragraph" w:customStyle="1" w:styleId="17">
    <w:name w:val="标题 51"/>
    <w:basedOn w:val="1"/>
    <w:link w:val="27"/>
    <w:qFormat/>
    <w:uiPriority w:val="0"/>
    <w:pPr>
      <w:keepNext/>
      <w:keepLines/>
      <w:tabs>
        <w:tab w:val="left" w:pos="1440"/>
      </w:tabs>
      <w:spacing w:before="280" w:after="290" w:line="372" w:lineRule="auto"/>
      <w:ind w:left="1440" w:hanging="900"/>
      <w:outlineLvl w:val="4"/>
    </w:pPr>
    <w:rPr>
      <w:b/>
      <w:sz w:val="28"/>
    </w:rPr>
  </w:style>
  <w:style w:type="paragraph" w:customStyle="1" w:styleId="18">
    <w:name w:val="标题 61"/>
    <w:basedOn w:val="1"/>
    <w:link w:val="28"/>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customStyle="1" w:styleId="19">
    <w:name w:val="标题 71"/>
    <w:basedOn w:val="1"/>
    <w:link w:val="29"/>
    <w:qFormat/>
    <w:uiPriority w:val="0"/>
    <w:pPr>
      <w:keepNext/>
      <w:keepLines/>
      <w:tabs>
        <w:tab w:val="left" w:pos="1440"/>
      </w:tabs>
      <w:spacing w:before="240" w:after="64" w:line="317" w:lineRule="auto"/>
      <w:ind w:left="1440" w:hanging="900"/>
      <w:outlineLvl w:val="6"/>
    </w:pPr>
    <w:rPr>
      <w:b/>
      <w:sz w:val="24"/>
    </w:rPr>
  </w:style>
  <w:style w:type="paragraph" w:customStyle="1" w:styleId="20">
    <w:name w:val="标题 81"/>
    <w:basedOn w:val="1"/>
    <w:link w:val="30"/>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customStyle="1" w:styleId="21">
    <w:name w:val="标题 91"/>
    <w:basedOn w:val="1"/>
    <w:link w:val="31"/>
    <w:qFormat/>
    <w:uiPriority w:val="0"/>
    <w:pPr>
      <w:keepNext/>
      <w:keepLines/>
      <w:tabs>
        <w:tab w:val="left" w:pos="1440"/>
      </w:tabs>
      <w:spacing w:before="240" w:after="64" w:line="317" w:lineRule="auto"/>
      <w:ind w:left="1440" w:hanging="900"/>
      <w:outlineLvl w:val="8"/>
    </w:pPr>
    <w:rPr>
      <w:rFonts w:ascii="Arial" w:hAnsi="Arial" w:eastAsia="黑体"/>
    </w:rPr>
  </w:style>
  <w:style w:type="character" w:customStyle="1" w:styleId="22">
    <w:name w:val="默认段落字体1"/>
    <w:semiHidden/>
    <w:qFormat/>
    <w:uiPriority w:val="0"/>
  </w:style>
  <w:style w:type="table" w:customStyle="1" w:styleId="23">
    <w:name w:val="普通表格1"/>
    <w:semiHidden/>
    <w:qFormat/>
    <w:uiPriority w:val="0"/>
    <w:tblPr>
      <w:tblCellMar>
        <w:top w:w="0" w:type="dxa"/>
        <w:left w:w="0" w:type="dxa"/>
        <w:bottom w:w="0" w:type="dxa"/>
        <w:right w:w="0" w:type="dxa"/>
      </w:tblCellMar>
    </w:tblPr>
  </w:style>
  <w:style w:type="paragraph" w:customStyle="1" w:styleId="24">
    <w:name w:val="正文缩进11"/>
    <w:basedOn w:val="1"/>
    <w:qFormat/>
    <w:uiPriority w:val="0"/>
    <w:pPr>
      <w:ind w:firstLine="420" w:firstLineChars="200"/>
    </w:pPr>
    <w:rPr>
      <w:szCs w:val="24"/>
    </w:rPr>
  </w:style>
  <w:style w:type="character" w:customStyle="1" w:styleId="25">
    <w:name w:val="标题 1 Char"/>
    <w:link w:val="13"/>
    <w:qFormat/>
    <w:uiPriority w:val="0"/>
    <w:rPr>
      <w:b/>
      <w:kern w:val="2"/>
      <w:sz w:val="21"/>
    </w:rPr>
  </w:style>
  <w:style w:type="character" w:customStyle="1" w:styleId="26">
    <w:name w:val="标题 2 Char"/>
    <w:link w:val="14"/>
    <w:qFormat/>
    <w:uiPriority w:val="0"/>
    <w:rPr>
      <w:rFonts w:ascii="Arial" w:hAnsi="Arial" w:eastAsia="黑体"/>
      <w:b/>
      <w:kern w:val="2"/>
      <w:sz w:val="32"/>
    </w:rPr>
  </w:style>
  <w:style w:type="character" w:customStyle="1" w:styleId="27">
    <w:name w:val="标题 5 Char"/>
    <w:link w:val="17"/>
    <w:qFormat/>
    <w:uiPriority w:val="0"/>
    <w:rPr>
      <w:b/>
      <w:kern w:val="2"/>
      <w:sz w:val="28"/>
    </w:rPr>
  </w:style>
  <w:style w:type="character" w:customStyle="1" w:styleId="28">
    <w:name w:val="标题 6 Char"/>
    <w:link w:val="18"/>
    <w:qFormat/>
    <w:uiPriority w:val="0"/>
    <w:rPr>
      <w:rFonts w:ascii="Arial" w:hAnsi="Arial" w:eastAsia="黑体"/>
      <w:b/>
      <w:kern w:val="2"/>
      <w:sz w:val="24"/>
    </w:rPr>
  </w:style>
  <w:style w:type="character" w:customStyle="1" w:styleId="29">
    <w:name w:val="标题 7 Char"/>
    <w:link w:val="19"/>
    <w:qFormat/>
    <w:uiPriority w:val="0"/>
    <w:rPr>
      <w:b/>
      <w:kern w:val="2"/>
      <w:sz w:val="24"/>
    </w:rPr>
  </w:style>
  <w:style w:type="character" w:customStyle="1" w:styleId="30">
    <w:name w:val="标题 8 Char"/>
    <w:link w:val="20"/>
    <w:qFormat/>
    <w:uiPriority w:val="0"/>
    <w:rPr>
      <w:rFonts w:ascii="Arial" w:hAnsi="Arial" w:eastAsia="黑体"/>
      <w:kern w:val="2"/>
      <w:sz w:val="24"/>
    </w:rPr>
  </w:style>
  <w:style w:type="character" w:customStyle="1" w:styleId="31">
    <w:name w:val="标题 9 Char"/>
    <w:link w:val="21"/>
    <w:qFormat/>
    <w:uiPriority w:val="0"/>
    <w:rPr>
      <w:rFonts w:ascii="Arial" w:hAnsi="Arial" w:eastAsia="黑体"/>
      <w:kern w:val="2"/>
      <w:sz w:val="21"/>
    </w:rPr>
  </w:style>
  <w:style w:type="paragraph" w:customStyle="1" w:styleId="32">
    <w:name w:val="列表编号 21"/>
    <w:basedOn w:val="1"/>
    <w:qFormat/>
    <w:uiPriority w:val="0"/>
    <w:pPr>
      <w:numPr>
        <w:ilvl w:val="0"/>
        <w:numId w:val="2"/>
      </w:numPr>
      <w:spacing w:line="360" w:lineRule="auto"/>
      <w:ind w:firstLine="200" w:firstLineChars="200"/>
      <w:contextualSpacing/>
    </w:pPr>
    <w:rPr>
      <w:sz w:val="24"/>
      <w:szCs w:val="22"/>
    </w:rPr>
  </w:style>
  <w:style w:type="paragraph" w:customStyle="1" w:styleId="33">
    <w:name w:val="文档结构图1"/>
    <w:basedOn w:val="1"/>
    <w:link w:val="34"/>
    <w:qFormat/>
    <w:uiPriority w:val="0"/>
    <w:pPr>
      <w:shd w:val="clear" w:color="auto" w:fill="000080"/>
    </w:pPr>
  </w:style>
  <w:style w:type="character" w:customStyle="1" w:styleId="34">
    <w:name w:val="文档结构图 Char"/>
    <w:link w:val="33"/>
    <w:qFormat/>
    <w:uiPriority w:val="0"/>
    <w:rPr>
      <w:kern w:val="2"/>
      <w:sz w:val="21"/>
      <w:shd w:val="clear" w:color="auto" w:fill="000080"/>
    </w:rPr>
  </w:style>
  <w:style w:type="paragraph" w:customStyle="1" w:styleId="35">
    <w:name w:val="索引 61"/>
    <w:basedOn w:val="1"/>
    <w:qFormat/>
    <w:uiPriority w:val="0"/>
    <w:pPr>
      <w:ind w:left="2100"/>
    </w:pPr>
  </w:style>
  <w:style w:type="paragraph" w:customStyle="1" w:styleId="36">
    <w:name w:val="称呼1"/>
    <w:basedOn w:val="1"/>
    <w:qFormat/>
    <w:uiPriority w:val="0"/>
    <w:rPr>
      <w:rFonts w:ascii="宋体"/>
      <w:b/>
      <w:sz w:val="28"/>
    </w:rPr>
  </w:style>
  <w:style w:type="paragraph" w:customStyle="1" w:styleId="37">
    <w:name w:val="正文文本12"/>
    <w:basedOn w:val="1"/>
    <w:link w:val="38"/>
    <w:qFormat/>
    <w:uiPriority w:val="0"/>
    <w:rPr>
      <w:rFonts w:ascii="Arial" w:hAnsi="Arial"/>
      <w:sz w:val="24"/>
    </w:rPr>
  </w:style>
  <w:style w:type="character" w:customStyle="1" w:styleId="38">
    <w:name w:val="正文文本 Char"/>
    <w:link w:val="37"/>
    <w:qFormat/>
    <w:uiPriority w:val="0"/>
    <w:rPr>
      <w:rFonts w:ascii="Arial" w:hAnsi="Arial"/>
      <w:kern w:val="2"/>
      <w:sz w:val="24"/>
    </w:rPr>
  </w:style>
  <w:style w:type="paragraph" w:customStyle="1" w:styleId="39">
    <w:name w:val="正文文本缩进1"/>
    <w:basedOn w:val="1"/>
    <w:qFormat/>
    <w:uiPriority w:val="0"/>
    <w:pPr>
      <w:ind w:firstLine="480"/>
    </w:pPr>
    <w:rPr>
      <w:rFonts w:ascii="宋体" w:hAnsi="宋体"/>
      <w:sz w:val="24"/>
    </w:rPr>
  </w:style>
  <w:style w:type="paragraph" w:customStyle="1" w:styleId="40">
    <w:name w:val="目录 31"/>
    <w:basedOn w:val="1"/>
    <w:qFormat/>
    <w:uiPriority w:val="0"/>
    <w:pPr>
      <w:ind w:left="840" w:leftChars="400"/>
    </w:pPr>
  </w:style>
  <w:style w:type="paragraph" w:customStyle="1" w:styleId="41">
    <w:name w:val="纯文本11"/>
    <w:basedOn w:val="1"/>
    <w:link w:val="42"/>
    <w:qFormat/>
    <w:uiPriority w:val="0"/>
    <w:rPr>
      <w:rFonts w:ascii="宋体" w:hAnsi="Courier New"/>
    </w:rPr>
  </w:style>
  <w:style w:type="character" w:customStyle="1" w:styleId="42">
    <w:name w:val="纯文本 Char"/>
    <w:link w:val="41"/>
    <w:qFormat/>
    <w:uiPriority w:val="0"/>
    <w:rPr>
      <w:rFonts w:ascii="宋体" w:hAnsi="Courier New" w:eastAsia="宋体"/>
      <w:kern w:val="2"/>
      <w:sz w:val="21"/>
      <w:lang w:val="en-US" w:eastAsia="zh-CN" w:bidi="ar-SA"/>
    </w:rPr>
  </w:style>
  <w:style w:type="paragraph" w:customStyle="1" w:styleId="43">
    <w:name w:val="日期1"/>
    <w:basedOn w:val="1"/>
    <w:link w:val="44"/>
    <w:qFormat/>
    <w:uiPriority w:val="0"/>
    <w:pPr>
      <w:ind w:left="100"/>
    </w:pPr>
    <w:rPr>
      <w:sz w:val="24"/>
    </w:rPr>
  </w:style>
  <w:style w:type="character" w:customStyle="1" w:styleId="44">
    <w:name w:val="日期 Char"/>
    <w:link w:val="43"/>
    <w:qFormat/>
    <w:uiPriority w:val="0"/>
    <w:rPr>
      <w:kern w:val="2"/>
      <w:sz w:val="24"/>
    </w:rPr>
  </w:style>
  <w:style w:type="paragraph" w:customStyle="1" w:styleId="45">
    <w:name w:val="正文文本缩进 21"/>
    <w:basedOn w:val="1"/>
    <w:qFormat/>
    <w:uiPriority w:val="0"/>
    <w:pPr>
      <w:ind w:firstLine="435"/>
    </w:pPr>
    <w:rPr>
      <w:rFonts w:ascii="宋体" w:hAnsi="宋体"/>
      <w:sz w:val="24"/>
    </w:rPr>
  </w:style>
  <w:style w:type="paragraph" w:customStyle="1" w:styleId="46">
    <w:name w:val="批注框文本1"/>
    <w:basedOn w:val="1"/>
    <w:semiHidden/>
    <w:qFormat/>
    <w:uiPriority w:val="0"/>
    <w:rPr>
      <w:sz w:val="18"/>
      <w:szCs w:val="18"/>
    </w:rPr>
  </w:style>
  <w:style w:type="paragraph" w:customStyle="1" w:styleId="47">
    <w:name w:val="页脚1"/>
    <w:basedOn w:val="1"/>
    <w:link w:val="48"/>
    <w:qFormat/>
    <w:uiPriority w:val="0"/>
    <w:pPr>
      <w:tabs>
        <w:tab w:val="center" w:pos="4153"/>
        <w:tab w:val="right" w:pos="8306"/>
      </w:tabs>
      <w:snapToGrid w:val="0"/>
      <w:jc w:val="left"/>
    </w:pPr>
    <w:rPr>
      <w:sz w:val="18"/>
    </w:rPr>
  </w:style>
  <w:style w:type="character" w:customStyle="1" w:styleId="48">
    <w:name w:val="页脚 Char"/>
    <w:link w:val="47"/>
    <w:qFormat/>
    <w:uiPriority w:val="0"/>
    <w:rPr>
      <w:kern w:val="2"/>
      <w:sz w:val="18"/>
    </w:rPr>
  </w:style>
  <w:style w:type="paragraph" w:customStyle="1" w:styleId="49">
    <w:name w:val="页眉1"/>
    <w:basedOn w:val="1"/>
    <w:link w:val="50"/>
    <w:qFormat/>
    <w:uiPriority w:val="0"/>
    <w:pPr>
      <w:pBdr>
        <w:bottom w:val="single" w:color="auto" w:sz="6" w:space="1"/>
      </w:pBdr>
      <w:tabs>
        <w:tab w:val="center" w:pos="4153"/>
        <w:tab w:val="right" w:pos="8306"/>
      </w:tabs>
      <w:snapToGrid w:val="0"/>
      <w:jc w:val="center"/>
    </w:pPr>
    <w:rPr>
      <w:sz w:val="18"/>
    </w:rPr>
  </w:style>
  <w:style w:type="character" w:customStyle="1" w:styleId="50">
    <w:name w:val="页眉 Char"/>
    <w:link w:val="49"/>
    <w:qFormat/>
    <w:uiPriority w:val="0"/>
    <w:rPr>
      <w:kern w:val="2"/>
      <w:sz w:val="18"/>
    </w:rPr>
  </w:style>
  <w:style w:type="paragraph" w:customStyle="1" w:styleId="51">
    <w:name w:val="目录 11"/>
    <w:basedOn w:val="1"/>
    <w:qFormat/>
    <w:uiPriority w:val="0"/>
  </w:style>
  <w:style w:type="paragraph" w:customStyle="1" w:styleId="52">
    <w:name w:val="正文文本缩进 31"/>
    <w:basedOn w:val="1"/>
    <w:qFormat/>
    <w:uiPriority w:val="0"/>
    <w:pPr>
      <w:ind w:left="471" w:hanging="471" w:hangingChars="200"/>
    </w:pPr>
    <w:rPr>
      <w:rFonts w:ascii="Arial" w:hAnsi="Arial"/>
      <w:b/>
      <w:bCs/>
      <w:sz w:val="24"/>
    </w:rPr>
  </w:style>
  <w:style w:type="paragraph" w:customStyle="1" w:styleId="53">
    <w:name w:val="目录 21"/>
    <w:basedOn w:val="1"/>
    <w:qFormat/>
    <w:uiPriority w:val="0"/>
    <w:pPr>
      <w:ind w:left="420" w:leftChars="200"/>
    </w:pPr>
  </w:style>
  <w:style w:type="paragraph" w:customStyle="1" w:styleId="54">
    <w:name w:val="正文文本 21"/>
    <w:basedOn w:val="1"/>
    <w:qFormat/>
    <w:uiPriority w:val="0"/>
    <w:pPr>
      <w:spacing w:line="360" w:lineRule="auto"/>
    </w:pPr>
    <w:rPr>
      <w:b/>
      <w:sz w:val="28"/>
      <w:szCs w:val="21"/>
    </w:rPr>
  </w:style>
  <w:style w:type="paragraph" w:customStyle="1" w:styleId="55">
    <w:name w:val="普通(网站)1"/>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customStyle="1" w:styleId="56">
    <w:name w:val="标题1"/>
    <w:basedOn w:val="1"/>
    <w:link w:val="57"/>
    <w:qFormat/>
    <w:uiPriority w:val="0"/>
    <w:pPr>
      <w:spacing w:before="240" w:after="60"/>
      <w:jc w:val="center"/>
      <w:outlineLvl w:val="0"/>
    </w:pPr>
    <w:rPr>
      <w:rFonts w:ascii="Cambria" w:hAnsi="Cambria"/>
      <w:b/>
      <w:bCs/>
      <w:sz w:val="36"/>
      <w:szCs w:val="32"/>
    </w:rPr>
  </w:style>
  <w:style w:type="character" w:customStyle="1" w:styleId="57">
    <w:name w:val="标题 Char"/>
    <w:link w:val="56"/>
    <w:qFormat/>
    <w:uiPriority w:val="0"/>
    <w:rPr>
      <w:rFonts w:ascii="Cambria" w:hAnsi="Cambria"/>
      <w:b/>
      <w:bCs/>
      <w:kern w:val="2"/>
      <w:sz w:val="36"/>
      <w:szCs w:val="32"/>
    </w:rPr>
  </w:style>
  <w:style w:type="paragraph" w:customStyle="1" w:styleId="58">
    <w:name w:val="正文首行缩进1"/>
    <w:basedOn w:val="37"/>
    <w:link w:val="59"/>
    <w:qFormat/>
    <w:uiPriority w:val="0"/>
    <w:pPr>
      <w:spacing w:after="120"/>
      <w:ind w:firstLine="420" w:firstLineChars="100"/>
    </w:pPr>
    <w:rPr>
      <w:rFonts w:ascii="Times New Roman" w:hAnsi="Times New Roman"/>
      <w:sz w:val="21"/>
    </w:rPr>
  </w:style>
  <w:style w:type="character" w:customStyle="1" w:styleId="59">
    <w:name w:val="正文首行缩进 Char"/>
    <w:link w:val="58"/>
    <w:qFormat/>
    <w:uiPriority w:val="0"/>
  </w:style>
  <w:style w:type="paragraph" w:customStyle="1" w:styleId="60">
    <w:name w:val="正文首行缩进 21"/>
    <w:basedOn w:val="39"/>
    <w:qFormat/>
    <w:uiPriority w:val="0"/>
    <w:pPr>
      <w:spacing w:after="120"/>
      <w:ind w:left="420" w:leftChars="200" w:firstLine="420" w:firstLineChars="200"/>
    </w:pPr>
    <w:rPr>
      <w:rFonts w:ascii="仿宋_GB2312" w:eastAsia="仿宋_GB2312"/>
      <w:szCs w:val="24"/>
    </w:rPr>
  </w:style>
  <w:style w:type="table" w:customStyle="1" w:styleId="61">
    <w:name w:val="网格型1"/>
    <w:basedOn w:val="23"/>
    <w:qFormat/>
    <w:uiPriority w:val="0"/>
    <w:pPr>
      <w:widowControl w:val="0"/>
      <w:jc w:val="both"/>
    </w:pPr>
    <w:tblPr>
      <w:tblCellMar>
        <w:top w:w="0" w:type="dxa"/>
        <w:left w:w="0" w:type="dxa"/>
        <w:bottom w:w="0" w:type="dxa"/>
        <w:right w:w="0" w:type="dxa"/>
      </w:tblCellMar>
    </w:tblPr>
  </w:style>
  <w:style w:type="character" w:customStyle="1" w:styleId="62">
    <w:name w:val="要点1"/>
    <w:qFormat/>
    <w:uiPriority w:val="0"/>
    <w:rPr>
      <w:b/>
      <w:bCs/>
    </w:rPr>
  </w:style>
  <w:style w:type="character" w:customStyle="1" w:styleId="63">
    <w:name w:val="页码1"/>
    <w:qFormat/>
    <w:uiPriority w:val="0"/>
  </w:style>
  <w:style w:type="character" w:customStyle="1" w:styleId="64">
    <w:name w:val="已访问的超链接1"/>
    <w:qFormat/>
    <w:uiPriority w:val="0"/>
    <w:rPr>
      <w:color w:val="800080"/>
      <w:u w:val="single"/>
    </w:rPr>
  </w:style>
  <w:style w:type="character" w:customStyle="1" w:styleId="65">
    <w:name w:val="强调1"/>
    <w:qFormat/>
    <w:uiPriority w:val="0"/>
    <w:rPr>
      <w:color w:val="CC0033"/>
    </w:rPr>
  </w:style>
  <w:style w:type="character" w:customStyle="1" w:styleId="66">
    <w:name w:val="超链接1"/>
    <w:qFormat/>
    <w:uiPriority w:val="0"/>
    <w:rPr>
      <w:color w:val="0000FF"/>
      <w:u w:val="single"/>
    </w:rPr>
  </w:style>
  <w:style w:type="character" w:customStyle="1" w:styleId="67">
    <w:name w:val="脚注引用1"/>
    <w:qFormat/>
    <w:uiPriority w:val="0"/>
    <w:rPr>
      <w:rFonts w:ascii="方正仿宋_GBK" w:hAnsi="仿宋" w:eastAsia="方正仿宋_GBK"/>
      <w:b/>
      <w:sz w:val="32"/>
      <w:vertAlign w:val="superscript"/>
    </w:rPr>
  </w:style>
  <w:style w:type="paragraph" w:customStyle="1" w:styleId="68">
    <w:name w:val="style4"/>
    <w:basedOn w:val="1"/>
    <w:qFormat/>
    <w:uiPriority w:val="0"/>
    <w:pPr>
      <w:widowControl/>
      <w:spacing w:before="280" w:after="280"/>
    </w:pPr>
    <w:rPr>
      <w:rFonts w:ascii="宋体"/>
      <w:sz w:val="18"/>
    </w:rPr>
  </w:style>
  <w:style w:type="paragraph" w:customStyle="1" w:styleId="69">
    <w:name w:val="2"/>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0">
    <w:name w:val="目录 53"/>
    <w:basedOn w:val="1"/>
    <w:qFormat/>
    <w:uiPriority w:val="0"/>
    <w:pPr>
      <w:ind w:left="840"/>
    </w:pPr>
    <w:rPr>
      <w:sz w:val="18"/>
    </w:rPr>
  </w:style>
  <w:style w:type="paragraph" w:customStyle="1" w:styleId="71">
    <w:name w:val="正文文本11"/>
    <w:basedOn w:val="72"/>
    <w:qFormat/>
    <w:uiPriority w:val="0"/>
    <w:rPr>
      <w:rFonts w:ascii="Arial" w:hAnsi="Arial"/>
      <w:sz w:val="24"/>
    </w:rPr>
  </w:style>
  <w:style w:type="paragraph" w:customStyle="1" w:styleId="72">
    <w:name w:val="正文112"/>
    <w:qFormat/>
    <w:uiPriority w:val="0"/>
    <w:pPr>
      <w:widowControl w:val="0"/>
      <w:jc w:val="both"/>
    </w:pPr>
    <w:rPr>
      <w:rFonts w:ascii="Calibri" w:hAnsi="Calibri" w:eastAsia="宋体" w:cs="Times New Roman"/>
      <w:sz w:val="21"/>
      <w:szCs w:val="22"/>
      <w:lang w:val="en-US" w:eastAsia="zh-CN" w:bidi="ar-SA"/>
    </w:rPr>
  </w:style>
  <w:style w:type="character" w:customStyle="1" w:styleId="73">
    <w:name w:val="列出段落 Char"/>
    <w:link w:val="74"/>
    <w:qFormat/>
    <w:uiPriority w:val="0"/>
    <w:rPr>
      <w:rFonts w:ascii="Calibri" w:hAnsi="Calibri"/>
      <w:kern w:val="2"/>
      <w:sz w:val="21"/>
      <w:szCs w:val="22"/>
    </w:rPr>
  </w:style>
  <w:style w:type="paragraph" w:customStyle="1" w:styleId="74">
    <w:name w:val="列出段落1"/>
    <w:basedOn w:val="1"/>
    <w:link w:val="73"/>
    <w:qFormat/>
    <w:uiPriority w:val="0"/>
    <w:pPr>
      <w:ind w:firstLine="420" w:firstLineChars="200"/>
    </w:pPr>
    <w:rPr>
      <w:rFonts w:ascii="Calibri" w:hAnsi="Calibri"/>
      <w:szCs w:val="22"/>
    </w:rPr>
  </w:style>
  <w:style w:type="character" w:customStyle="1" w:styleId="75">
    <w:name w:val="图片标题 Char"/>
    <w:link w:val="76"/>
    <w:qFormat/>
    <w:uiPriority w:val="0"/>
    <w:rPr>
      <w:rFonts w:ascii="宋体" w:hAnsi="宋体" w:eastAsia="黑体"/>
      <w:b/>
      <w:kern w:val="2"/>
      <w:sz w:val="21"/>
      <w:szCs w:val="21"/>
    </w:rPr>
  </w:style>
  <w:style w:type="paragraph" w:customStyle="1" w:styleId="76">
    <w:name w:val="图片标题"/>
    <w:basedOn w:val="1"/>
    <w:link w:val="75"/>
    <w:qFormat/>
    <w:uiPriority w:val="0"/>
    <w:pPr>
      <w:numPr>
        <w:ilvl w:val="0"/>
        <w:numId w:val="3"/>
      </w:numPr>
      <w:spacing w:line="360" w:lineRule="auto"/>
      <w:ind w:firstLine="0"/>
      <w:jc w:val="center"/>
    </w:pPr>
    <w:rPr>
      <w:rFonts w:ascii="宋体" w:hAnsi="宋体" w:eastAsia="黑体"/>
      <w:b/>
      <w:szCs w:val="21"/>
    </w:rPr>
  </w:style>
  <w:style w:type="character" w:customStyle="1" w:styleId="77">
    <w:name w:val="书籍标题1"/>
    <w:qFormat/>
    <w:uiPriority w:val="0"/>
    <w:rPr>
      <w:b/>
      <w:bCs/>
      <w:spacing w:val="5"/>
    </w:rPr>
  </w:style>
  <w:style w:type="character" w:customStyle="1" w:styleId="78">
    <w:name w:val="grame"/>
    <w:qFormat/>
    <w:uiPriority w:val="0"/>
  </w:style>
  <w:style w:type="character" w:customStyle="1" w:styleId="79">
    <w:name w:val="样式 正文缩进 + 首行缩进:  2 字符 Char"/>
    <w:link w:val="80"/>
    <w:qFormat/>
    <w:uiPriority w:val="0"/>
    <w:rPr>
      <w:sz w:val="24"/>
    </w:rPr>
  </w:style>
  <w:style w:type="paragraph" w:customStyle="1" w:styleId="80">
    <w:name w:val="样式 正文缩进 + 首行缩进:  2 字符"/>
    <w:basedOn w:val="24"/>
    <w:link w:val="79"/>
    <w:qFormat/>
    <w:uiPriority w:val="0"/>
    <w:pPr>
      <w:spacing w:line="360" w:lineRule="auto"/>
      <w:ind w:firstLine="200"/>
    </w:pPr>
    <w:rPr>
      <w:kern w:val="0"/>
      <w:sz w:val="24"/>
      <w:szCs w:val="20"/>
    </w:rPr>
  </w:style>
  <w:style w:type="character" w:customStyle="1" w:styleId="81">
    <w:name w:val="unnamed1"/>
    <w:qFormat/>
    <w:uiPriority w:val="0"/>
  </w:style>
  <w:style w:type="character" w:customStyle="1" w:styleId="82">
    <w:name w:val="列表段落 字符"/>
    <w:qFormat/>
    <w:uiPriority w:val="0"/>
    <w:rPr>
      <w:rFonts w:ascii="Calibri" w:hAnsi="Calibri"/>
      <w:kern w:val="2"/>
      <w:sz w:val="21"/>
      <w:szCs w:val="22"/>
    </w:rPr>
  </w:style>
  <w:style w:type="character" w:customStyle="1" w:styleId="83">
    <w:name w:val="正文文字 Char"/>
    <w:qFormat/>
    <w:uiPriority w:val="0"/>
    <w:rPr>
      <w:rFonts w:ascii="Arial" w:hAnsi="Arial" w:eastAsia="宋体"/>
      <w:kern w:val="2"/>
      <w:sz w:val="24"/>
      <w:lang w:val="en-US" w:eastAsia="zh-CN" w:bidi="ar-SA"/>
    </w:rPr>
  </w:style>
  <w:style w:type="character" w:customStyle="1" w:styleId="84">
    <w:name w:val="图片 Char"/>
    <w:link w:val="85"/>
    <w:qFormat/>
    <w:uiPriority w:val="0"/>
    <w:rPr>
      <w:rFonts w:ascii="宋体" w:hAnsi="宋体"/>
      <w:kern w:val="2"/>
      <w:sz w:val="24"/>
      <w:szCs w:val="24"/>
    </w:rPr>
  </w:style>
  <w:style w:type="paragraph" w:customStyle="1" w:styleId="85">
    <w:name w:val="图片"/>
    <w:basedOn w:val="1"/>
    <w:link w:val="84"/>
    <w:qFormat/>
    <w:uiPriority w:val="0"/>
    <w:pPr>
      <w:spacing w:line="360" w:lineRule="auto"/>
      <w:jc w:val="center"/>
    </w:pPr>
    <w:rPr>
      <w:rFonts w:ascii="宋体" w:hAnsi="宋体"/>
      <w:sz w:val="24"/>
      <w:szCs w:val="24"/>
    </w:rPr>
  </w:style>
  <w:style w:type="character" w:customStyle="1" w:styleId="86">
    <w:name w:val="正文文字 Char1"/>
    <w:link w:val="87"/>
    <w:qFormat/>
    <w:uiPriority w:val="0"/>
    <w:rPr>
      <w:rFonts w:ascii="宋体" w:eastAsia="宋体"/>
      <w:color w:val="000000"/>
      <w:sz w:val="28"/>
      <w:lang w:val="en-US" w:eastAsia="zh-CN" w:bidi="ar-SA"/>
    </w:rPr>
  </w:style>
  <w:style w:type="paragraph" w:customStyle="1" w:styleId="87">
    <w:name w:val="正文文字"/>
    <w:basedOn w:val="1"/>
    <w:link w:val="86"/>
    <w:qFormat/>
    <w:uiPriority w:val="0"/>
    <w:pPr>
      <w:widowControl/>
      <w:spacing w:line="2375" w:lineRule="atLeast"/>
      <w:ind w:firstLine="419"/>
    </w:pPr>
    <w:rPr>
      <w:rFonts w:ascii="宋体"/>
      <w:color w:val="000000"/>
      <w:kern w:val="0"/>
      <w:sz w:val="28"/>
    </w:rPr>
  </w:style>
  <w:style w:type="character" w:customStyle="1" w:styleId="88">
    <w:name w:val="列表格式 Char"/>
    <w:link w:val="89"/>
    <w:qFormat/>
    <w:uiPriority w:val="0"/>
    <w:rPr>
      <w:rFonts w:eastAsia="宋体"/>
      <w:kern w:val="2"/>
      <w:sz w:val="24"/>
      <w:szCs w:val="24"/>
    </w:rPr>
  </w:style>
  <w:style w:type="paragraph" w:customStyle="1" w:styleId="89">
    <w:name w:val="列表格式"/>
    <w:basedOn w:val="32"/>
    <w:link w:val="88"/>
    <w:qFormat/>
    <w:uiPriority w:val="0"/>
    <w:pPr>
      <w:ind w:firstLine="0" w:firstLineChars="0"/>
      <w:jc w:val="left"/>
    </w:pPr>
    <w:rPr>
      <w:szCs w:val="24"/>
    </w:rPr>
  </w:style>
  <w:style w:type="character" w:customStyle="1" w:styleId="90">
    <w:name w:val="三角形编号 Char"/>
    <w:link w:val="91"/>
    <w:qFormat/>
    <w:uiPriority w:val="0"/>
    <w:rPr>
      <w:kern w:val="2"/>
      <w:sz w:val="24"/>
      <w:szCs w:val="24"/>
    </w:rPr>
  </w:style>
  <w:style w:type="paragraph" w:customStyle="1" w:styleId="91">
    <w:name w:val="三角形编号"/>
    <w:basedOn w:val="1"/>
    <w:link w:val="90"/>
    <w:qFormat/>
    <w:uiPriority w:val="0"/>
    <w:pPr>
      <w:numPr>
        <w:ilvl w:val="0"/>
        <w:numId w:val="4"/>
      </w:numPr>
      <w:spacing w:line="360" w:lineRule="auto"/>
      <w:ind w:firstLine="0"/>
    </w:pPr>
    <w:rPr>
      <w:sz w:val="24"/>
      <w:szCs w:val="24"/>
    </w:rPr>
  </w:style>
  <w:style w:type="character" w:customStyle="1" w:styleId="92">
    <w:name w:val="纯文本 Char Char Char Char Char Char"/>
    <w:qFormat/>
    <w:uiPriority w:val="0"/>
    <w:rPr>
      <w:rFonts w:ascii="宋体" w:hAnsi="Courier New" w:eastAsia="宋体"/>
      <w:kern w:val="2"/>
      <w:sz w:val="21"/>
      <w:lang w:val="en-US" w:eastAsia="zh-CN" w:bidi="ar-SA"/>
    </w:rPr>
  </w:style>
  <w:style w:type="character" w:customStyle="1" w:styleId="93">
    <w:name w:val="marklong"/>
    <w:qFormat/>
    <w:uiPriority w:val="0"/>
  </w:style>
  <w:style w:type="character" w:customStyle="1" w:styleId="94">
    <w:name w:val="明显参考1"/>
    <w:qFormat/>
    <w:uiPriority w:val="0"/>
    <w:rPr>
      <w:b/>
      <w:bCs/>
      <w:color w:val="C0504D"/>
      <w:spacing w:val="5"/>
      <w:u w:val="single"/>
    </w:rPr>
  </w:style>
  <w:style w:type="character" w:customStyle="1" w:styleId="95">
    <w:name w:val="p21"/>
    <w:qFormat/>
    <w:uiPriority w:val="0"/>
    <w:rPr>
      <w:rFonts w:ascii="Arial" w:hAnsi="Arial"/>
      <w:color w:val="333333"/>
      <w:sz w:val="18"/>
      <w:szCs w:val="18"/>
      <w:u w:val="none"/>
    </w:rPr>
  </w:style>
  <w:style w:type="character" w:customStyle="1" w:styleId="96">
    <w:name w:val="css21"/>
    <w:qFormat/>
    <w:uiPriority w:val="0"/>
    <w:rPr>
      <w:sz w:val="18"/>
      <w:szCs w:val="18"/>
    </w:rPr>
  </w:style>
  <w:style w:type="character" w:customStyle="1" w:styleId="97">
    <w:name w:val="普通 (Web) Char"/>
    <w:link w:val="98"/>
    <w:qFormat/>
    <w:uiPriority w:val="0"/>
    <w:rPr>
      <w:rFonts w:ascii="宋体" w:hAnsi="宋体"/>
      <w:sz w:val="24"/>
      <w:szCs w:val="24"/>
    </w:rPr>
  </w:style>
  <w:style w:type="paragraph" w:customStyle="1" w:styleId="98">
    <w:name w:val="普通 (Web)"/>
    <w:basedOn w:val="1"/>
    <w:link w:val="97"/>
    <w:qFormat/>
    <w:uiPriority w:val="0"/>
    <w:pPr>
      <w:widowControl/>
      <w:spacing w:before="100" w:beforeAutospacing="1" w:after="100" w:afterAutospacing="1"/>
      <w:jc w:val="left"/>
    </w:pPr>
    <w:rPr>
      <w:rFonts w:ascii="宋体" w:hAnsi="宋体"/>
      <w:kern w:val="0"/>
      <w:sz w:val="24"/>
      <w:szCs w:val="24"/>
    </w:rPr>
  </w:style>
  <w:style w:type="character" w:customStyle="1" w:styleId="99">
    <w:name w:val="Default Text Char"/>
    <w:link w:val="100"/>
    <w:qFormat/>
    <w:uiPriority w:val="0"/>
    <w:rPr>
      <w:color w:val="000000"/>
      <w:sz w:val="24"/>
      <w:szCs w:val="24"/>
      <w:lang w:val="en-US" w:eastAsia="zh-CN" w:bidi="ar-SA"/>
    </w:rPr>
  </w:style>
  <w:style w:type="paragraph" w:customStyle="1" w:styleId="100">
    <w:name w:val="Default Text"/>
    <w:link w:val="99"/>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101">
    <w:name w:val="正文111"/>
    <w:qFormat/>
    <w:uiPriority w:val="0"/>
    <w:pPr>
      <w:widowControl w:val="0"/>
      <w:jc w:val="both"/>
    </w:pPr>
    <w:rPr>
      <w:rFonts w:ascii="Times New Roman" w:hAnsi="Times New Roman" w:eastAsia="宋体" w:cs="Times New Roman"/>
      <w:sz w:val="21"/>
      <w:szCs w:val="22"/>
      <w:lang w:val="en-US" w:eastAsia="zh-CN" w:bidi="hi-IN"/>
    </w:rPr>
  </w:style>
  <w:style w:type="paragraph" w:customStyle="1" w:styleId="10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Char"/>
    <w:basedOn w:val="1"/>
    <w:semiHidden/>
    <w:qFormat/>
    <w:uiPriority w:val="0"/>
    <w:rPr>
      <w:rFonts w:ascii="Tahoma" w:hAnsi="Tahoma"/>
      <w:sz w:val="24"/>
      <w:szCs w:val="28"/>
    </w:rPr>
  </w:style>
  <w:style w:type="paragraph" w:customStyle="1" w:styleId="104">
    <w:name w:val="正文内容"/>
    <w:basedOn w:val="1"/>
    <w:qFormat/>
    <w:uiPriority w:val="0"/>
    <w:pPr>
      <w:spacing w:line="360" w:lineRule="auto"/>
      <w:ind w:firstLine="480" w:firstLineChars="200"/>
    </w:pPr>
    <w:rPr>
      <w:sz w:val="24"/>
    </w:rPr>
  </w:style>
  <w:style w:type="paragraph" w:customStyle="1" w:styleId="105">
    <w:name w:val="Default"/>
    <w:qFormat/>
    <w:uiPriority w:val="0"/>
    <w:pPr>
      <w:widowControl w:val="0"/>
      <w:autoSpaceDE w:val="0"/>
      <w:autoSpaceDN w:val="0"/>
    </w:pPr>
    <w:rPr>
      <w:rFonts w:ascii="Helvetica" w:hAnsi="Helvetica" w:eastAsia="宋体" w:cs="Times New Roman"/>
      <w:color w:val="000000"/>
      <w:sz w:val="24"/>
      <w:szCs w:val="24"/>
      <w:lang w:val="en-US" w:eastAsia="zh-CN" w:bidi="ar-SA"/>
    </w:rPr>
  </w:style>
  <w:style w:type="paragraph" w:customStyle="1" w:styleId="106">
    <w:name w:val="样式1"/>
    <w:basedOn w:val="1"/>
    <w:qFormat/>
    <w:uiPriority w:val="0"/>
    <w:pPr>
      <w:numPr>
        <w:ilvl w:val="0"/>
        <w:numId w:val="5"/>
      </w:numPr>
      <w:tabs>
        <w:tab w:val="left" w:pos="709"/>
      </w:tabs>
    </w:pPr>
    <w:rPr>
      <w:rFonts w:ascii="宋体" w:hAnsi="宋体"/>
      <w:kern w:val="0"/>
      <w:szCs w:val="21"/>
    </w:rPr>
  </w:style>
  <w:style w:type="paragraph" w:customStyle="1" w:styleId="107">
    <w:name w:val="列出段落11"/>
    <w:basedOn w:val="1"/>
    <w:qFormat/>
    <w:uiPriority w:val="0"/>
    <w:pPr>
      <w:ind w:firstLine="420" w:firstLineChars="200"/>
    </w:pPr>
    <w:rPr>
      <w:rFonts w:ascii="Calibri" w:hAnsi="Calibri"/>
      <w:szCs w:val="22"/>
    </w:rPr>
  </w:style>
  <w:style w:type="paragraph" w:customStyle="1" w:styleId="108">
    <w:name w:val="列出段落2"/>
    <w:basedOn w:val="1"/>
    <w:qFormat/>
    <w:uiPriority w:val="0"/>
    <w:pPr>
      <w:spacing w:line="360" w:lineRule="auto"/>
      <w:ind w:left="-2" w:leftChars="-1" w:firstLine="427" w:firstLineChars="200"/>
    </w:pPr>
    <w:rPr>
      <w:rFonts w:ascii="宋体" w:hAnsi="宋体"/>
      <w:bCs/>
      <w:kern w:val="0"/>
      <w:sz w:val="24"/>
      <w:szCs w:val="22"/>
    </w:rPr>
  </w:style>
  <w:style w:type="paragraph" w:customStyle="1" w:styleId="109">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缩进1"/>
    <w:basedOn w:val="111"/>
    <w:qFormat/>
    <w:uiPriority w:val="0"/>
    <w:pPr>
      <w:ind w:firstLine="420" w:firstLineChars="200"/>
    </w:pPr>
  </w:style>
  <w:style w:type="paragraph" w:customStyle="1" w:styleId="111">
    <w:name w:val="正文12"/>
    <w:qFormat/>
    <w:uiPriority w:val="0"/>
    <w:pPr>
      <w:widowControl w:val="0"/>
      <w:jc w:val="both"/>
    </w:pPr>
    <w:rPr>
      <w:rFonts w:ascii="Calibri" w:hAnsi="Calibri" w:eastAsia="新宋体" w:cs="Times New Roman"/>
      <w:lang w:val="en-US" w:eastAsia="zh-CN" w:bidi="hi-IN"/>
    </w:rPr>
  </w:style>
  <w:style w:type="paragraph" w:customStyle="1" w:styleId="112">
    <w:name w:val="p0"/>
    <w:basedOn w:val="1"/>
    <w:qFormat/>
    <w:uiPriority w:val="0"/>
    <w:pPr>
      <w:widowControl/>
    </w:pPr>
    <w:rPr>
      <w:kern w:val="0"/>
      <w:szCs w:val="21"/>
    </w:rPr>
  </w:style>
  <w:style w:type="paragraph" w:customStyle="1" w:styleId="113">
    <w:name w:val="È±Ê¡ÎÄ±¾"/>
    <w:basedOn w:val="1"/>
    <w:qFormat/>
    <w:uiPriority w:val="0"/>
    <w:pPr>
      <w:widowControl/>
      <w:overflowPunct w:val="0"/>
      <w:autoSpaceDE w:val="0"/>
      <w:autoSpaceDN w:val="0"/>
      <w:jc w:val="left"/>
    </w:pPr>
    <w:rPr>
      <w:kern w:val="0"/>
      <w:sz w:val="24"/>
    </w:rPr>
  </w:style>
  <w:style w:type="paragraph" w:customStyle="1" w:styleId="114">
    <w:name w:val="正文（首行缩进2字符）"/>
    <w:basedOn w:val="1"/>
    <w:qFormat/>
    <w:uiPriority w:val="0"/>
    <w:pPr>
      <w:widowControl/>
      <w:ind w:left="420" w:firstLine="420"/>
    </w:pPr>
    <w:rPr>
      <w:szCs w:val="21"/>
    </w:rPr>
  </w:style>
  <w:style w:type="paragraph" w:customStyle="1" w:styleId="115">
    <w:name w:val="1 Char Char Char Char"/>
    <w:basedOn w:val="1"/>
    <w:qFormat/>
    <w:uiPriority w:val="0"/>
    <w:rPr>
      <w:rFonts w:ascii="Tahoma" w:hAnsi="Tahoma"/>
      <w:sz w:val="24"/>
    </w:rPr>
  </w:style>
  <w:style w:type="paragraph" w:customStyle="1" w:styleId="116">
    <w:name w:val="条目3"/>
    <w:basedOn w:val="41"/>
    <w:qFormat/>
    <w:uiPriority w:val="0"/>
    <w:pPr>
      <w:tabs>
        <w:tab w:val="left" w:pos="960"/>
        <w:tab w:val="left" w:pos="2940"/>
      </w:tabs>
      <w:spacing w:line="360" w:lineRule="auto"/>
      <w:ind w:left="2940" w:hanging="420"/>
    </w:pPr>
    <w:rPr>
      <w:color w:val="000000"/>
      <w:sz w:val="30"/>
    </w:rPr>
  </w:style>
  <w:style w:type="paragraph" w:customStyle="1" w:styleId="117">
    <w:name w:val="缺省文本"/>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118">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8"/>
      <w:szCs w:val="28"/>
    </w:rPr>
  </w:style>
  <w:style w:type="paragraph" w:customStyle="1" w:styleId="119">
    <w:name w:val="Char1"/>
    <w:basedOn w:val="1"/>
    <w:qFormat/>
    <w:uiPriority w:val="0"/>
    <w:pPr>
      <w:widowControl/>
      <w:spacing w:after="160" w:line="240" w:lineRule="exact"/>
      <w:jc w:val="left"/>
    </w:pPr>
    <w:rPr>
      <w:rFonts w:ascii="Verdana" w:hAnsi="Verdana"/>
      <w:kern w:val="0"/>
      <w:sz w:val="20"/>
      <w:lang w:eastAsia="en-US"/>
    </w:rPr>
  </w:style>
  <w:style w:type="paragraph" w:customStyle="1" w:styleId="120">
    <w:name w:val="列出段落3"/>
    <w:basedOn w:val="1"/>
    <w:qFormat/>
    <w:uiPriority w:val="0"/>
    <w:pPr>
      <w:ind w:firstLine="420" w:firstLineChars="200"/>
    </w:pPr>
  </w:style>
  <w:style w:type="paragraph" w:customStyle="1" w:styleId="121">
    <w:name w:val="标题二、"/>
    <w:basedOn w:val="1"/>
    <w:qFormat/>
    <w:uiPriority w:val="0"/>
    <w:pPr>
      <w:spacing w:line="360" w:lineRule="auto"/>
      <w:ind w:firstLine="200" w:firstLineChars="200"/>
      <w:outlineLvl w:val="2"/>
    </w:pPr>
    <w:rPr>
      <w:rFonts w:ascii="宋体" w:hAnsi="宋体"/>
      <w:b/>
      <w:szCs w:val="21"/>
    </w:rPr>
  </w:style>
  <w:style w:type="paragraph" w:styleId="122">
    <w:name w:val="List Paragraph"/>
    <w:basedOn w:val="1"/>
    <w:qFormat/>
    <w:uiPriority w:val="0"/>
    <w:pPr>
      <w:ind w:firstLine="420" w:firstLineChars="200"/>
    </w:pPr>
  </w:style>
  <w:style w:type="paragraph" w:customStyle="1" w:styleId="123">
    <w:name w:val="条目2"/>
    <w:basedOn w:val="41"/>
    <w:qFormat/>
    <w:uiPriority w:val="0"/>
    <w:pPr>
      <w:tabs>
        <w:tab w:val="left" w:pos="420"/>
      </w:tabs>
      <w:spacing w:line="360" w:lineRule="auto"/>
      <w:ind w:left="420" w:hanging="420"/>
    </w:pPr>
    <w:rPr>
      <w:color w:val="000000"/>
      <w:sz w:val="30"/>
    </w:rPr>
  </w:style>
  <w:style w:type="paragraph" w:customStyle="1" w:styleId="124">
    <w:name w:val="CSS1级正文 Char"/>
    <w:basedOn w:val="37"/>
    <w:qFormat/>
    <w:uiPriority w:val="0"/>
    <w:pPr>
      <w:snapToGrid w:val="0"/>
      <w:spacing w:line="360" w:lineRule="auto"/>
      <w:ind w:firstLine="480"/>
    </w:pPr>
    <w:rPr>
      <w:szCs w:val="24"/>
    </w:rPr>
  </w:style>
  <w:style w:type="paragraph" w:customStyle="1" w:styleId="125">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126">
    <w:name w:val="表格正文段落（紧凑型）"/>
    <w:basedOn w:val="1"/>
    <w:qFormat/>
    <w:uiPriority w:val="0"/>
    <w:pPr>
      <w:widowControl/>
      <w:snapToGrid w:val="0"/>
      <w:jc w:val="left"/>
    </w:pPr>
    <w:rPr>
      <w:kern w:val="0"/>
      <w:sz w:val="22"/>
      <w:szCs w:val="22"/>
      <w:lang w:val="en-GB"/>
    </w:rPr>
  </w:style>
  <w:style w:type="character" w:customStyle="1" w:styleId="127">
    <w:name w:val="NormalCharacter"/>
    <w:qFormat/>
    <w:uiPriority w:val="0"/>
  </w:style>
  <w:style w:type="paragraph" w:customStyle="1" w:styleId="128">
    <w:name w:val="_Style 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4h"/>
    <w:basedOn w:val="1"/>
    <w:qFormat/>
    <w:uiPriority w:val="0"/>
    <w:pPr>
      <w:topLinePunct/>
      <w:spacing w:after="156" w:line="720" w:lineRule="auto"/>
      <w:jc w:val="center"/>
    </w:pPr>
    <w:rPr>
      <w:rFonts w:eastAsia="黑体"/>
      <w:kern w:val="21"/>
      <w:sz w:val="28"/>
    </w:rPr>
  </w:style>
  <w:style w:type="paragraph" w:customStyle="1" w:styleId="130">
    <w:name w:val="普通(网站)2"/>
    <w:basedOn w:val="1"/>
    <w:qFormat/>
    <w:uiPriority w:val="0"/>
    <w:pPr>
      <w:widowControl/>
      <w:spacing w:before="100" w:beforeAutospacing="1" w:after="100" w:afterAutospacing="1"/>
      <w:jc w:val="left"/>
    </w:pPr>
    <w:rPr>
      <w:rFonts w:ascii="宋体" w:hAnsi="宋体"/>
      <w:kern w:val="0"/>
      <w:sz w:val="24"/>
    </w:rPr>
  </w:style>
  <w:style w:type="paragraph" w:customStyle="1" w:styleId="131">
    <w:name w:val="正文+首行缩进2字符"/>
    <w:basedOn w:val="1"/>
    <w:qFormat/>
    <w:uiPriority w:val="0"/>
    <w:pPr>
      <w:ind w:firstLine="200" w:firstLineChars="200"/>
    </w:pPr>
  </w:style>
  <w:style w:type="paragraph" w:customStyle="1" w:styleId="132">
    <w:name w:val="标准文本"/>
    <w:basedOn w:val="1"/>
    <w:qFormat/>
    <w:uiPriority w:val="0"/>
    <w:pPr>
      <w:spacing w:line="360" w:lineRule="auto"/>
      <w:ind w:firstLine="480" w:firstLineChars="200"/>
    </w:pPr>
    <w:rPr>
      <w:sz w:val="28"/>
      <w:szCs w:val="24"/>
    </w:rPr>
  </w:style>
  <w:style w:type="paragraph" w:customStyle="1" w:styleId="133">
    <w:name w:val="正文文本1"/>
    <w:basedOn w:val="1"/>
    <w:qFormat/>
    <w:uiPriority w:val="0"/>
    <w:rPr>
      <w:rFonts w:ascii="Arial" w:hAnsi="Arial"/>
      <w:sz w:val="24"/>
    </w:rPr>
  </w:style>
  <w:style w:type="paragraph" w:customStyle="1" w:styleId="134">
    <w:name w:val="UserStyle_0"/>
    <w:basedOn w:val="1"/>
    <w:qFormat/>
    <w:uiPriority w:val="0"/>
    <w:pPr>
      <w:ind w:firstLine="420" w:firstLineChars="200"/>
    </w:pPr>
    <w:rPr>
      <w:kern w:val="0"/>
      <w:sz w:val="20"/>
      <w:szCs w:val="24"/>
    </w:rPr>
  </w:style>
  <w:style w:type="paragraph" w:customStyle="1" w:styleId="135">
    <w:name w:val="普通正文"/>
    <w:basedOn w:val="1"/>
    <w:qFormat/>
    <w:uiPriority w:val="0"/>
    <w:pPr>
      <w:spacing w:before="120" w:after="120" w:line="360" w:lineRule="auto"/>
      <w:ind w:firstLine="480"/>
      <w:jc w:val="left"/>
    </w:pPr>
    <w:rPr>
      <w:rFonts w:ascii="Arial" w:hAnsi="Arial"/>
      <w:kern w:val="0"/>
      <w:sz w:val="24"/>
      <w:szCs w:val="24"/>
    </w:rPr>
  </w:style>
  <w:style w:type="paragraph" w:customStyle="1" w:styleId="136">
    <w:name w:val="正文11"/>
    <w:qFormat/>
    <w:uiPriority w:val="0"/>
    <w:pPr>
      <w:widowControl w:val="0"/>
      <w:jc w:val="both"/>
    </w:pPr>
    <w:rPr>
      <w:rFonts w:ascii="Times New Roman" w:hAnsi="Times New Roman" w:eastAsia="宋体" w:cs="Times New Roman"/>
      <w:lang w:val="en-US" w:eastAsia="zh-CN" w:bidi="ar-SA"/>
    </w:rPr>
  </w:style>
  <w:style w:type="paragraph" w:customStyle="1" w:styleId="137">
    <w:name w:val="索引 11"/>
    <w:basedOn w:val="1"/>
    <w:qFormat/>
    <w:uiPriority w:val="0"/>
    <w:pPr>
      <w:spacing w:line="360" w:lineRule="auto"/>
    </w:pPr>
    <w:rPr>
      <w:rFonts w:ascii="仿宋_GB2312" w:eastAsia="仿宋_GB2312"/>
      <w:sz w:val="24"/>
    </w:rPr>
  </w:style>
  <w:style w:type="paragraph" w:customStyle="1" w:styleId="138">
    <w:name w:val="纯文本1"/>
    <w:basedOn w:val="1"/>
    <w:qFormat/>
    <w:uiPriority w:val="0"/>
    <w:rPr>
      <w:rFonts w:ascii="宋体" w:hAnsi="Courier New"/>
      <w:kern w:val="0"/>
      <w:sz w:val="24"/>
    </w:rPr>
  </w:style>
  <w:style w:type="character" w:customStyle="1" w:styleId="139">
    <w:name w:val="bookmark-item"/>
    <w:qFormat/>
    <w:uiPriority w:val="0"/>
  </w:style>
  <w:style w:type="table" w:customStyle="1" w:styleId="140">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7032</Words>
  <Characters>7808</Characters>
  <Lines>244</Lines>
  <Paragraphs>68</Paragraphs>
  <TotalTime>6</TotalTime>
  <ScaleCrop>false</ScaleCrop>
  <LinksUpToDate>false</LinksUpToDate>
  <CharactersWithSpaces>8058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2025-03-22T17:29:00Z</dcterms:created>
  <dc:creator>朱柯蔚</dc:creator>
  <cp:lastModifiedBy>铁木归来｜李云飞</cp:lastModifiedBy>
  <dcterms:modified xsi:type="dcterms:W3CDTF">2025-06-23T10:41:15Z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96C3B0E1DE9F41659CD9C86A0C9BF96D_13</vt:lpwstr>
  </property>
  <property fmtid="{D5CDD505-2E9C-101B-9397-08002B2CF9AE}" pid="4" name="KSOTemplateDocerSaveRecord">
    <vt:lpwstr>eyJoZGlkIjoiN2YzNjBkOTgyNWQ1YTMxYzM3MzMwNWFiODNmOWIzYWMiLCJ1c2VySWQiOiI1MjkwMjQwMzQifQ==</vt:lpwstr>
  </property>
</Properties>
</file>