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A5463">
      <w:pPr>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lang w:val="en-US" w:eastAsia="zh-CN"/>
        </w:rPr>
        <w:t xml:space="preserve">                                </w:t>
      </w:r>
    </w:p>
    <w:p w14:paraId="22ADBCED">
      <w:pPr>
        <w:pStyle w:val="42"/>
        <w:keepNext w:val="0"/>
        <w:keepLines w:val="0"/>
        <w:pageBreakBefore w:val="0"/>
        <w:widowControl w:val="0"/>
        <w:kinsoku/>
        <w:wordWrap/>
        <w:overflowPunct/>
        <w:topLinePunct w:val="0"/>
        <w:autoSpaceDE w:val="0"/>
        <w:autoSpaceDN w:val="0"/>
        <w:bidi w:val="0"/>
        <w:adjustRightInd w:val="0"/>
        <w:snapToGrid w:val="0"/>
        <w:spacing w:line="240" w:lineRule="auto"/>
        <w:ind w:left="-4" w:leftChars="-95" w:hanging="195" w:hangingChars="27"/>
        <w:jc w:val="center"/>
        <w:textAlignment w:val="auto"/>
        <w:rPr>
          <w:rFonts w:hint="eastAsia" w:ascii="宋体" w:hAnsi="宋体" w:eastAsia="宋体" w:cs="宋体"/>
          <w:b/>
          <w:bCs/>
          <w:color w:val="auto"/>
          <w:sz w:val="52"/>
          <w:szCs w:val="52"/>
          <w:highlight w:val="none"/>
          <w:lang w:eastAsia="zh-CN"/>
        </w:rPr>
      </w:pPr>
      <w:r>
        <w:rPr>
          <w:rFonts w:hint="eastAsia" w:ascii="宋体" w:hAnsi="宋体" w:cs="宋体"/>
          <w:b/>
          <w:bCs/>
          <w:color w:val="auto"/>
          <w:sz w:val="72"/>
          <w:szCs w:val="72"/>
          <w:highlight w:val="none"/>
          <w:lang w:eastAsia="zh-CN"/>
        </w:rPr>
        <w:t>新疆维吾尔自治区退役军人事务厅新闻媒体合作项目</w:t>
      </w:r>
    </w:p>
    <w:p w14:paraId="23BACB06">
      <w:pPr>
        <w:pStyle w:val="4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color w:val="auto"/>
          <w:sz w:val="72"/>
          <w:szCs w:val="72"/>
          <w:highlight w:val="none"/>
        </w:rPr>
      </w:pPr>
    </w:p>
    <w:p w14:paraId="7232C4D4">
      <w:pPr>
        <w:pStyle w:val="4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竞争性磋商文件</w:t>
      </w:r>
    </w:p>
    <w:p w14:paraId="1CB424EA">
      <w:pPr>
        <w:pStyle w:val="42"/>
        <w:spacing w:line="360" w:lineRule="auto"/>
        <w:jc w:val="center"/>
        <w:rPr>
          <w:rFonts w:hint="eastAsia" w:ascii="宋体" w:hAnsi="宋体" w:eastAsia="宋体" w:cs="宋体"/>
          <w:b/>
          <w:bCs/>
          <w:color w:val="auto"/>
          <w:sz w:val="72"/>
          <w:szCs w:val="72"/>
          <w:highlight w:val="none"/>
          <w:lang w:eastAsia="zh-CN"/>
        </w:rPr>
      </w:pPr>
    </w:p>
    <w:p w14:paraId="14213962">
      <w:pPr>
        <w:pStyle w:val="42"/>
        <w:spacing w:line="360" w:lineRule="auto"/>
        <w:jc w:val="center"/>
        <w:rPr>
          <w:rFonts w:hint="eastAsia" w:ascii="宋体" w:hAnsi="宋体" w:eastAsia="宋体" w:cs="宋体"/>
          <w:b/>
          <w:bCs/>
          <w:color w:val="auto"/>
          <w:sz w:val="52"/>
          <w:szCs w:val="52"/>
          <w:highlight w:val="none"/>
          <w:lang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INCLUDEPICTURE "H:\\Documents and Settings\\Administrator\\My Documents\\Tencent Files\\348424112\\Image\\C2C\\[35@IDDQEUL@STM3E(G${UT.jpg" \* MERGEFORMAT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highlight w:val="none"/>
        </w:rPr>
        <w:drawing>
          <wp:inline distT="0" distB="0" distL="114300" distR="114300">
            <wp:extent cx="2202180" cy="2806065"/>
            <wp:effectExtent l="0" t="0" r="762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7"/>
                    <a:stretch>
                      <a:fillRect/>
                    </a:stretch>
                  </pic:blipFill>
                  <pic:spPr>
                    <a:xfrm>
                      <a:off x="0" y="0"/>
                      <a:ext cx="1704975" cy="2171700"/>
                    </a:xfrm>
                    <a:prstGeom prst="rect">
                      <a:avLst/>
                    </a:prstGeom>
                    <a:noFill/>
                    <a:ln w="9525">
                      <a:noFill/>
                      <a:miter/>
                    </a:ln>
                    <a:effectLst/>
                  </pic:spPr>
                </pic:pic>
              </a:graphicData>
            </a:graphic>
          </wp:inline>
        </w:drawing>
      </w:r>
      <w:r>
        <w:rPr>
          <w:rFonts w:hint="eastAsia" w:ascii="宋体" w:hAnsi="宋体" w:eastAsia="宋体" w:cs="宋体"/>
          <w:color w:val="auto"/>
          <w:highlight w:val="none"/>
        </w:rPr>
        <w:fldChar w:fldCharType="end"/>
      </w:r>
    </w:p>
    <w:p w14:paraId="61040CFE">
      <w:pPr>
        <w:pStyle w:val="92"/>
        <w:spacing w:line="360" w:lineRule="auto"/>
        <w:rPr>
          <w:rFonts w:hint="eastAsia" w:ascii="宋体" w:hAnsi="宋体" w:eastAsia="宋体" w:cs="宋体"/>
          <w:b/>
          <w:color w:val="auto"/>
          <w:sz w:val="32"/>
          <w:szCs w:val="31"/>
          <w:highlight w:val="none"/>
          <w:lang w:val="en-US" w:eastAsia="zh-CN"/>
        </w:rPr>
      </w:pPr>
      <w:r>
        <w:rPr>
          <w:rFonts w:hint="eastAsia" w:ascii="宋体" w:hAnsi="宋体" w:eastAsia="宋体" w:cs="宋体"/>
          <w:b/>
          <w:color w:val="auto"/>
          <w:sz w:val="32"/>
          <w:szCs w:val="31"/>
          <w:highlight w:val="none"/>
        </w:rPr>
        <w:t>项目编号</w:t>
      </w:r>
      <w:r>
        <w:rPr>
          <w:rFonts w:hint="eastAsia" w:ascii="宋体" w:hAnsi="宋体" w:eastAsia="宋体" w:cs="宋体"/>
          <w:b/>
          <w:color w:val="auto"/>
          <w:sz w:val="32"/>
          <w:szCs w:val="31"/>
          <w:highlight w:val="none"/>
          <w:lang w:eastAsia="zh-CN"/>
        </w:rPr>
        <w:t>：</w:t>
      </w:r>
      <w:r>
        <w:rPr>
          <w:rFonts w:hint="eastAsia" w:ascii="宋体" w:hAnsi="宋体" w:cs="宋体"/>
          <w:b/>
          <w:color w:val="auto"/>
          <w:sz w:val="32"/>
          <w:szCs w:val="31"/>
          <w:highlight w:val="none"/>
          <w:lang w:val="en-US" w:eastAsia="zh-CN"/>
        </w:rPr>
        <w:t>HYZB-2025-0625</w:t>
      </w:r>
    </w:p>
    <w:p w14:paraId="55DA35EF">
      <w:pPr>
        <w:pStyle w:val="92"/>
        <w:spacing w:line="360" w:lineRule="auto"/>
        <w:rPr>
          <w:rFonts w:hint="eastAsia" w:ascii="宋体" w:hAnsi="宋体" w:eastAsia="宋体" w:cs="宋体"/>
          <w:b/>
          <w:bCs/>
          <w:color w:val="auto"/>
          <w:sz w:val="30"/>
          <w:szCs w:val="30"/>
          <w:highlight w:val="none"/>
        </w:rPr>
      </w:pPr>
      <w:r>
        <w:rPr>
          <w:rFonts w:hint="eastAsia" w:ascii="宋体" w:hAnsi="宋体" w:eastAsia="宋体" w:cs="宋体"/>
          <w:b/>
          <w:color w:val="auto"/>
          <w:sz w:val="32"/>
          <w:szCs w:val="31"/>
          <w:highlight w:val="none"/>
        </w:rPr>
        <w:t>采购人：</w:t>
      </w:r>
      <w:r>
        <w:rPr>
          <w:rFonts w:hint="eastAsia" w:ascii="宋体" w:hAnsi="宋体" w:cs="宋体"/>
          <w:b/>
          <w:color w:val="auto"/>
          <w:sz w:val="32"/>
          <w:szCs w:val="31"/>
          <w:highlight w:val="none"/>
          <w:lang w:eastAsia="zh-CN"/>
        </w:rPr>
        <w:t>新疆维吾尔自治区退役军人事务厅</w:t>
      </w:r>
    </w:p>
    <w:p w14:paraId="01FA1516">
      <w:pPr>
        <w:pStyle w:val="92"/>
        <w:spacing w:line="360" w:lineRule="auto"/>
        <w:rPr>
          <w:rFonts w:hint="eastAsia" w:ascii="宋体" w:hAnsi="宋体" w:eastAsia="宋体" w:cs="宋体"/>
          <w:b/>
          <w:color w:val="auto"/>
          <w:sz w:val="32"/>
          <w:szCs w:val="31"/>
          <w:highlight w:val="none"/>
          <w:lang w:eastAsia="zh-CN"/>
        </w:rPr>
      </w:pPr>
      <w:r>
        <w:rPr>
          <w:rFonts w:hint="eastAsia" w:ascii="宋体" w:hAnsi="宋体" w:eastAsia="宋体" w:cs="宋体"/>
          <w:b/>
          <w:color w:val="auto"/>
          <w:sz w:val="32"/>
          <w:szCs w:val="31"/>
          <w:highlight w:val="none"/>
        </w:rPr>
        <w:t>采购代理机构：</w:t>
      </w:r>
      <w:r>
        <w:rPr>
          <w:rFonts w:hint="eastAsia" w:ascii="宋体" w:hAnsi="宋体" w:eastAsia="宋体" w:cs="宋体"/>
          <w:b/>
          <w:color w:val="auto"/>
          <w:sz w:val="32"/>
          <w:szCs w:val="31"/>
          <w:highlight w:val="none"/>
          <w:lang w:eastAsia="zh-CN"/>
        </w:rPr>
        <w:t>新疆华域建设工程项目管理咨询有限公司</w:t>
      </w:r>
    </w:p>
    <w:p w14:paraId="158D0E4A">
      <w:pPr>
        <w:pStyle w:val="42"/>
        <w:spacing w:line="360" w:lineRule="auto"/>
        <w:jc w:val="center"/>
        <w:rPr>
          <w:rFonts w:hint="eastAsia" w:ascii="宋体" w:hAnsi="宋体" w:eastAsia="宋体" w:cs="宋体"/>
          <w:b/>
          <w:bCs/>
          <w:color w:val="auto"/>
          <w:sz w:val="52"/>
          <w:szCs w:val="52"/>
          <w:highlight w:val="none"/>
          <w:lang w:eastAsia="zh-CN"/>
        </w:rPr>
      </w:pPr>
      <w:r>
        <w:rPr>
          <w:rFonts w:hint="eastAsia" w:ascii="宋体" w:hAnsi="宋体" w:eastAsia="宋体" w:cs="宋体"/>
          <w:b/>
          <w:color w:val="auto"/>
          <w:sz w:val="32"/>
          <w:szCs w:val="31"/>
          <w:highlight w:val="none"/>
        </w:rPr>
        <w:t>202</w:t>
      </w:r>
      <w:r>
        <w:rPr>
          <w:rFonts w:hint="eastAsia" w:ascii="宋体" w:hAnsi="宋体" w:cs="宋体"/>
          <w:b/>
          <w:color w:val="auto"/>
          <w:sz w:val="32"/>
          <w:szCs w:val="31"/>
          <w:highlight w:val="none"/>
          <w:lang w:val="en-US" w:eastAsia="zh-CN"/>
        </w:rPr>
        <w:t>5</w:t>
      </w:r>
      <w:r>
        <w:rPr>
          <w:rFonts w:hint="eastAsia" w:ascii="宋体" w:hAnsi="宋体" w:eastAsia="宋体" w:cs="宋体"/>
          <w:b/>
          <w:color w:val="auto"/>
          <w:sz w:val="32"/>
          <w:szCs w:val="31"/>
          <w:highlight w:val="none"/>
        </w:rPr>
        <w:t>年</w:t>
      </w:r>
      <w:r>
        <w:rPr>
          <w:rFonts w:hint="eastAsia" w:ascii="宋体" w:hAnsi="宋体" w:eastAsia="宋体" w:cs="宋体"/>
          <w:b/>
          <w:color w:val="auto"/>
          <w:sz w:val="32"/>
          <w:szCs w:val="31"/>
          <w:highlight w:val="none"/>
          <w:lang w:val="en-US" w:eastAsia="zh-CN"/>
        </w:rPr>
        <w:t>6</w:t>
      </w:r>
      <w:r>
        <w:rPr>
          <w:rFonts w:hint="eastAsia" w:ascii="宋体" w:hAnsi="宋体" w:eastAsia="宋体" w:cs="宋体"/>
          <w:b/>
          <w:color w:val="auto"/>
          <w:sz w:val="32"/>
          <w:szCs w:val="31"/>
          <w:highlight w:val="none"/>
        </w:rPr>
        <w:t>月</w:t>
      </w:r>
    </w:p>
    <w:p w14:paraId="5C63846B">
      <w:pPr>
        <w:rPr>
          <w:rFonts w:hint="eastAsia" w:ascii="宋体" w:hAnsi="宋体" w:eastAsia="宋体" w:cs="宋体"/>
          <w:b/>
          <w:color w:val="auto"/>
          <w:spacing w:val="160"/>
          <w:sz w:val="28"/>
          <w:szCs w:val="28"/>
          <w:highlight w:val="none"/>
        </w:rPr>
      </w:pPr>
      <w:r>
        <w:rPr>
          <w:rFonts w:hint="eastAsia" w:ascii="宋体" w:hAnsi="宋体" w:eastAsia="宋体" w:cs="宋体"/>
          <w:b/>
          <w:color w:val="auto"/>
          <w:spacing w:val="160"/>
          <w:sz w:val="28"/>
          <w:szCs w:val="28"/>
          <w:highlight w:val="none"/>
        </w:rPr>
        <w:br w:type="page"/>
      </w:r>
    </w:p>
    <w:p w14:paraId="4D1F3C5A">
      <w:pPr>
        <w:rPr>
          <w:rFonts w:hint="eastAsia" w:ascii="宋体" w:hAnsi="宋体" w:eastAsia="宋体" w:cs="宋体"/>
          <w:b/>
          <w:color w:val="auto"/>
          <w:spacing w:val="160"/>
          <w:sz w:val="28"/>
          <w:szCs w:val="28"/>
          <w:highlight w:val="none"/>
        </w:rPr>
      </w:pPr>
      <w:r>
        <w:rPr>
          <w:rFonts w:hint="eastAsia" w:ascii="宋体" w:hAnsi="宋体" w:eastAsia="宋体" w:cs="宋体"/>
          <w:b/>
          <w:color w:val="auto"/>
          <w:spacing w:val="160"/>
          <w:sz w:val="28"/>
          <w:szCs w:val="28"/>
          <w:highlight w:val="none"/>
        </w:rPr>
        <w:br w:type="page"/>
      </w:r>
    </w:p>
    <w:p w14:paraId="7FEAA462">
      <w:pPr>
        <w:pStyle w:val="42"/>
        <w:spacing w:line="360" w:lineRule="auto"/>
        <w:jc w:val="center"/>
        <w:rPr>
          <w:rFonts w:hint="eastAsia" w:ascii="宋体" w:hAnsi="宋体" w:eastAsia="宋体" w:cs="宋体"/>
          <w:b/>
          <w:color w:val="auto"/>
          <w:spacing w:val="160"/>
          <w:sz w:val="28"/>
          <w:szCs w:val="28"/>
          <w:highlight w:val="none"/>
        </w:rPr>
      </w:pPr>
      <w:r>
        <w:rPr>
          <w:rFonts w:hint="eastAsia" w:ascii="宋体" w:hAnsi="宋体" w:eastAsia="宋体" w:cs="宋体"/>
          <w:b/>
          <w:color w:val="auto"/>
          <w:spacing w:val="160"/>
          <w:sz w:val="28"/>
          <w:szCs w:val="28"/>
          <w:highlight w:val="none"/>
        </w:rPr>
        <w:t>目录</w:t>
      </w:r>
    </w:p>
    <w:p w14:paraId="70617E17">
      <w:pPr>
        <w:pStyle w:val="20"/>
        <w:tabs>
          <w:tab w:val="right" w:leader="dot" w:pos="8279"/>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"1-3"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_Toc5154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 竞争性磋商公告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_Toc5154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86F9E63">
      <w:pPr>
        <w:pStyle w:val="20"/>
        <w:tabs>
          <w:tab w:val="right" w:leader="dot" w:pos="8279"/>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_Toc18843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供应商须知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_Toc18843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23B3217">
      <w:pPr>
        <w:pStyle w:val="20"/>
        <w:tabs>
          <w:tab w:val="right" w:leader="dot" w:pos="8279"/>
        </w:tabs>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_Toc7252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en-US" w:eastAsia="zh-CN"/>
        </w:rPr>
        <w:t>第三章 评审方法（综合评分法）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4</w:t>
      </w:r>
    </w:p>
    <w:p w14:paraId="6725EDC5">
      <w:pPr>
        <w:pStyle w:val="20"/>
        <w:tabs>
          <w:tab w:val="right" w:leader="dot" w:pos="8279"/>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_Toc30232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en-US" w:eastAsia="zh-CN"/>
        </w:rPr>
        <w:t>第四章  政府采购合同格式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_Toc30232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F11B014">
      <w:pPr>
        <w:pStyle w:val="20"/>
        <w:tabs>
          <w:tab w:val="right" w:leader="dot" w:pos="8279"/>
        </w:tabs>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_Toc16084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en-US" w:eastAsia="zh-CN"/>
        </w:rPr>
        <w:t>第五章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t>6</w:t>
      </w:r>
    </w:p>
    <w:p w14:paraId="596152E6">
      <w:pPr>
        <w:pStyle w:val="20"/>
        <w:tabs>
          <w:tab w:val="right" w:leader="dot" w:pos="8279"/>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_Toc22819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en-US" w:eastAsia="zh-CN"/>
        </w:rPr>
        <w:t xml:space="preserve">第六章 </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_Toc25776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lang w:val="en-US" w:eastAsia="zh-CN"/>
        </w:rPr>
        <w:t>响应文件格式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_Toc25776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569936A">
      <w:pPr>
        <w:pStyle w:val="23"/>
        <w:tabs>
          <w:tab w:val="right" w:leader="dot" w:pos="8279"/>
        </w:tabs>
        <w:spacing w:line="360" w:lineRule="auto"/>
        <w:rPr>
          <w:rFonts w:hint="eastAsia" w:ascii="宋体" w:hAnsi="宋体" w:eastAsia="宋体" w:cs="宋体"/>
          <w:color w:val="auto"/>
          <w:sz w:val="28"/>
          <w:szCs w:val="28"/>
          <w:highlight w:val="none"/>
          <w:lang w:val="en-US" w:eastAsia="zh-CN" w:bidi="ar-SA"/>
        </w:rPr>
      </w:pPr>
    </w:p>
    <w:p w14:paraId="146A79AE">
      <w:pPr>
        <w:autoSpaceDE w:val="0"/>
        <w:autoSpaceDN w:val="0"/>
        <w:adjustRightInd w:val="0"/>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end"/>
      </w:r>
    </w:p>
    <w:p w14:paraId="785FEFB3">
      <w:pPr>
        <w:autoSpaceDE w:val="0"/>
        <w:autoSpaceDN w:val="0"/>
        <w:adjustRightInd w:val="0"/>
        <w:snapToGrid w:val="0"/>
        <w:spacing w:line="360" w:lineRule="auto"/>
        <w:jc w:val="center"/>
        <w:rPr>
          <w:rFonts w:hint="eastAsia" w:ascii="宋体" w:hAnsi="宋体" w:eastAsia="宋体" w:cs="宋体"/>
          <w:b/>
          <w:bCs/>
          <w:color w:val="auto"/>
          <w:sz w:val="28"/>
          <w:szCs w:val="28"/>
          <w:highlight w:val="none"/>
        </w:rPr>
        <w:sectPr>
          <w:headerReference r:id="rId5" w:type="first"/>
          <w:footerReference r:id="rId7" w:type="first"/>
          <w:headerReference r:id="rId3" w:type="default"/>
          <w:headerReference r:id="rId4" w:type="even"/>
          <w:footerReference r:id="rId6" w:type="even"/>
          <w:pgSz w:w="11907" w:h="16840"/>
          <w:pgMar w:top="1474" w:right="1473" w:bottom="1474" w:left="1814" w:header="851" w:footer="851" w:gutter="0"/>
          <w:pgBorders>
            <w:top w:val="none" w:sz="0" w:space="0"/>
            <w:left w:val="none" w:sz="0" w:space="0"/>
            <w:bottom w:val="none" w:sz="0" w:space="0"/>
            <w:right w:val="none" w:sz="0" w:space="0"/>
          </w:pgBorders>
          <w:pgNumType w:fmt="decimal" w:start="1"/>
          <w:cols w:space="720" w:num="1"/>
          <w:docGrid w:linePitch="462" w:charSpace="0"/>
        </w:sectPr>
      </w:pPr>
      <w:bookmarkStart w:id="0" w:name="_Toc21314"/>
      <w:bookmarkStart w:id="1" w:name="_Toc26928"/>
    </w:p>
    <w:p w14:paraId="0AD35AD6">
      <w:pPr>
        <w:spacing w:line="360" w:lineRule="auto"/>
        <w:jc w:val="center"/>
        <w:outlineLvl w:val="0"/>
        <w:rPr>
          <w:rStyle w:val="32"/>
          <w:rFonts w:hint="eastAsia" w:ascii="宋体" w:hAnsi="宋体" w:eastAsia="宋体" w:cs="宋体"/>
          <w:color w:val="auto"/>
          <w:sz w:val="32"/>
          <w:szCs w:val="32"/>
          <w:highlight w:val="none"/>
        </w:rPr>
      </w:pPr>
      <w:bookmarkStart w:id="2" w:name="_Toc9738"/>
      <w:bookmarkStart w:id="3" w:name="_Toc7533"/>
      <w:bookmarkStart w:id="4" w:name="_Toc5154"/>
      <w:r>
        <w:rPr>
          <w:rFonts w:hint="eastAsia" w:ascii="宋体" w:hAnsi="宋体" w:eastAsia="宋体" w:cs="宋体"/>
          <w:b/>
          <w:color w:val="auto"/>
          <w:sz w:val="32"/>
          <w:szCs w:val="32"/>
          <w:highlight w:val="none"/>
        </w:rPr>
        <w:t>第一章 竞争性磋商公告</w:t>
      </w:r>
      <w:bookmarkEnd w:id="0"/>
      <w:bookmarkEnd w:id="1"/>
      <w:bookmarkEnd w:id="2"/>
      <w:bookmarkEnd w:id="3"/>
      <w:bookmarkEnd w:id="4"/>
    </w:p>
    <w:p w14:paraId="56753597">
      <w:pPr>
        <w:pStyle w:val="25"/>
        <w:keepNext w:val="0"/>
        <w:keepLines w:val="0"/>
        <w:widowControl/>
        <w:suppressLineNumbers w:val="0"/>
        <w:spacing w:before="204" w:beforeAutospacing="0" w:after="204" w:afterAutospacing="0" w:line="360" w:lineRule="atLeast"/>
        <w:ind w:left="-197" w:leftChars="-94" w:right="0" w:firstLine="0" w:firstLineChars="0"/>
        <w:jc w:val="both"/>
        <w:rPr>
          <w:rFonts w:hint="eastAsia" w:ascii="宋体" w:hAnsi="宋体" w:eastAsia="宋体" w:cs="宋体"/>
          <w:color w:val="auto"/>
          <w:sz w:val="28"/>
          <w:szCs w:val="28"/>
          <w:highlight w:val="none"/>
        </w:rPr>
      </w:pPr>
      <w:r>
        <w:rPr>
          <w:rStyle w:val="32"/>
          <w:rFonts w:hint="eastAsia" w:ascii="宋体" w:hAnsi="宋体" w:eastAsia="宋体" w:cs="宋体"/>
          <w:color w:val="auto"/>
          <w:sz w:val="28"/>
          <w:szCs w:val="28"/>
          <w:highlight w:val="none"/>
        </w:rPr>
        <w:t>一、项目基本情况</w:t>
      </w:r>
    </w:p>
    <w:p w14:paraId="6B146D49">
      <w:pPr>
        <w:pStyle w:val="25"/>
        <w:keepNext w:val="0"/>
        <w:keepLines w:val="0"/>
        <w:pageBreakBefore w:val="0"/>
        <w:widowControl/>
        <w:suppressLineNumbers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项目编号：</w:t>
      </w:r>
      <w:r>
        <w:rPr>
          <w:rFonts w:hint="eastAsia" w:cs="宋体"/>
          <w:color w:val="auto"/>
          <w:sz w:val="28"/>
          <w:szCs w:val="28"/>
          <w:highlight w:val="none"/>
          <w:lang w:val="en-US" w:eastAsia="zh-CN"/>
        </w:rPr>
        <w:t>HYZB-2025-0625</w:t>
      </w:r>
    </w:p>
    <w:p w14:paraId="227AE613">
      <w:pPr>
        <w:pStyle w:val="25"/>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r>
        <w:rPr>
          <w:rFonts w:hint="eastAsia" w:cs="宋体"/>
          <w:color w:val="auto"/>
          <w:sz w:val="28"/>
          <w:szCs w:val="28"/>
          <w:highlight w:val="none"/>
          <w:lang w:eastAsia="zh-CN"/>
        </w:rPr>
        <w:t>新疆维吾尔自治区退役军人事务厅新闻媒体合作项目</w:t>
      </w:r>
      <w:r>
        <w:rPr>
          <w:rFonts w:hint="eastAsia" w:ascii="宋体" w:hAnsi="宋体" w:eastAsia="宋体" w:cs="宋体"/>
          <w:color w:val="auto"/>
          <w:sz w:val="28"/>
          <w:szCs w:val="28"/>
          <w:highlight w:val="none"/>
        </w:rPr>
        <w:t xml:space="preserve">    </w:t>
      </w:r>
    </w:p>
    <w:p w14:paraId="1DCC3260">
      <w:pPr>
        <w:pStyle w:val="25"/>
        <w:keepNext w:val="0"/>
        <w:keepLines w:val="0"/>
        <w:pageBreakBefore w:val="0"/>
        <w:widowControl/>
        <w:suppressLineNumbers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采购方式：竞争性磋商 </w:t>
      </w:r>
    </w:p>
    <w:p w14:paraId="43634C50">
      <w:pPr>
        <w:pStyle w:val="25"/>
        <w:keepNext w:val="0"/>
        <w:keepLines w:val="0"/>
        <w:pageBreakBefore w:val="0"/>
        <w:widowControl/>
        <w:suppressLineNumbers w:val="0"/>
        <w:kinsoku/>
        <w:wordWrap/>
        <w:overflowPunct/>
        <w:topLinePunct w:val="0"/>
        <w:autoSpaceDE/>
        <w:autoSpaceDN/>
        <w:bidi w:val="0"/>
        <w:adjustRightInd/>
        <w:snapToGrid/>
        <w:spacing w:line="240" w:lineRule="atLeast"/>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预算金额（元）：</w:t>
      </w:r>
      <w:r>
        <w:rPr>
          <w:rFonts w:hint="eastAsia" w:cs="宋体"/>
          <w:color w:val="auto"/>
          <w:sz w:val="28"/>
          <w:szCs w:val="28"/>
          <w:highlight w:val="none"/>
          <w:lang w:val="en-US" w:eastAsia="zh-CN"/>
        </w:rPr>
        <w:t>428000</w:t>
      </w:r>
    </w:p>
    <w:p w14:paraId="48D12E36">
      <w:pPr>
        <w:pStyle w:val="25"/>
        <w:keepNext w:val="0"/>
        <w:keepLines w:val="0"/>
        <w:pageBreakBefore w:val="0"/>
        <w:widowControl/>
        <w:suppressLineNumbers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rPr>
        <w:t>最高限价（元）：</w:t>
      </w:r>
      <w:r>
        <w:rPr>
          <w:rFonts w:hint="eastAsia" w:cs="宋体"/>
          <w:color w:val="auto"/>
          <w:sz w:val="28"/>
          <w:szCs w:val="28"/>
          <w:highlight w:val="none"/>
          <w:lang w:val="en-US" w:eastAsia="zh-CN"/>
        </w:rPr>
        <w:t>428000</w:t>
      </w:r>
    </w:p>
    <w:p w14:paraId="497220E1">
      <w:pPr>
        <w:pStyle w:val="25"/>
        <w:keepNext w:val="0"/>
        <w:keepLines w:val="0"/>
        <w:pageBreakBefore w:val="0"/>
        <w:widowControl/>
        <w:suppressLineNumbers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采购需求：</w:t>
      </w:r>
    </w:p>
    <w:p w14:paraId="37EB8B57">
      <w:pPr>
        <w:pStyle w:val="25"/>
        <w:keepNext w:val="0"/>
        <w:keepLines w:val="0"/>
        <w:pageBreakBefore w:val="0"/>
        <w:widowControl/>
        <w:suppressLineNumbers w:val="0"/>
        <w:kinsoku/>
        <w:wordWrap/>
        <w:overflowPunct/>
        <w:topLinePunct w:val="0"/>
        <w:autoSpaceDE/>
        <w:autoSpaceDN/>
        <w:bidi w:val="0"/>
        <w:adjustRightInd/>
        <w:snapToGrid/>
        <w:spacing w:line="240" w:lineRule="atLeas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标项1：</w:t>
      </w:r>
    </w:p>
    <w:p w14:paraId="408E341E">
      <w:pPr>
        <w:pStyle w:val="25"/>
        <w:keepNext w:val="0"/>
        <w:keepLines w:val="0"/>
        <w:pageBreakBefore w:val="0"/>
        <w:widowControl/>
        <w:suppressLineNumbers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标项名称</w:t>
      </w:r>
      <w:r>
        <w:rPr>
          <w:rFonts w:hint="eastAsia" w:cs="宋体"/>
          <w:color w:val="auto"/>
          <w:sz w:val="28"/>
          <w:szCs w:val="28"/>
          <w:highlight w:val="none"/>
          <w:lang w:eastAsia="zh-CN"/>
        </w:rPr>
        <w:t>：新疆维吾尔自治区退役军人事务厅新闻媒体合作项目（专题报道）</w:t>
      </w:r>
    </w:p>
    <w:p w14:paraId="242BBAF9">
      <w:pPr>
        <w:pStyle w:val="25"/>
        <w:keepNext w:val="0"/>
        <w:keepLines w:val="0"/>
        <w:pageBreakBefore w:val="0"/>
        <w:widowControl/>
        <w:suppressLineNumbers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数量</w:t>
      </w:r>
      <w:r>
        <w:rPr>
          <w:rFonts w:hint="eastAsia" w:cs="宋体"/>
          <w:color w:val="auto"/>
          <w:sz w:val="28"/>
          <w:szCs w:val="28"/>
          <w:highlight w:val="none"/>
          <w:lang w:eastAsia="zh-CN"/>
        </w:rPr>
        <w:t>：</w:t>
      </w:r>
      <w:r>
        <w:rPr>
          <w:rFonts w:hint="eastAsia" w:ascii="宋体" w:hAnsi="宋体" w:eastAsia="宋体" w:cs="宋体"/>
          <w:color w:val="auto"/>
          <w:sz w:val="28"/>
          <w:szCs w:val="28"/>
          <w:highlight w:val="none"/>
        </w:rPr>
        <w:t>1批</w:t>
      </w:r>
    </w:p>
    <w:p w14:paraId="0B9401CD">
      <w:pPr>
        <w:pStyle w:val="25"/>
        <w:keepNext w:val="0"/>
        <w:keepLines w:val="0"/>
        <w:pageBreakBefore w:val="0"/>
        <w:widowControl/>
        <w:suppressLineNumbers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预算金额（元）</w:t>
      </w:r>
      <w:r>
        <w:rPr>
          <w:rFonts w:hint="eastAsia" w:cs="宋体"/>
          <w:color w:val="auto"/>
          <w:sz w:val="28"/>
          <w:szCs w:val="28"/>
          <w:highlight w:val="none"/>
          <w:lang w:eastAsia="zh-CN"/>
        </w:rPr>
        <w:t>：</w:t>
      </w:r>
      <w:r>
        <w:rPr>
          <w:rFonts w:hint="eastAsia" w:cs="宋体"/>
          <w:color w:val="auto"/>
          <w:sz w:val="28"/>
          <w:szCs w:val="28"/>
          <w:highlight w:val="none"/>
          <w:lang w:val="en-US" w:eastAsia="zh-CN"/>
        </w:rPr>
        <w:t>105000</w:t>
      </w:r>
      <w:r>
        <w:rPr>
          <w:rFonts w:hint="eastAsia" w:ascii="宋体" w:hAnsi="宋体" w:eastAsia="宋体" w:cs="宋体"/>
          <w:color w:val="auto"/>
          <w:sz w:val="28"/>
          <w:szCs w:val="28"/>
          <w:highlight w:val="none"/>
        </w:rPr>
        <w:t xml:space="preserve">.00 </w:t>
      </w:r>
    </w:p>
    <w:p w14:paraId="5459F382">
      <w:pPr>
        <w:pStyle w:val="25"/>
        <w:keepNext w:val="0"/>
        <w:keepLines w:val="0"/>
        <w:pageBreakBefore w:val="0"/>
        <w:widowControl/>
        <w:suppressLineNumbers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简要规格描述或项目基本概况介绍、用途：借助中央媒体驻疆机构宣传平台开展退役军人工作宣传</w:t>
      </w:r>
      <w:r>
        <w:rPr>
          <w:rFonts w:hint="eastAsia" w:cs="宋体"/>
          <w:color w:val="auto"/>
          <w:sz w:val="28"/>
          <w:szCs w:val="28"/>
          <w:highlight w:val="none"/>
          <w:lang w:eastAsia="zh-CN"/>
        </w:rPr>
        <w:t>。</w:t>
      </w:r>
      <w:r>
        <w:rPr>
          <w:rFonts w:hint="eastAsia" w:ascii="宋体" w:hAnsi="宋体" w:eastAsia="宋体" w:cs="宋体"/>
          <w:color w:val="auto"/>
          <w:sz w:val="28"/>
          <w:szCs w:val="28"/>
          <w:highlight w:val="none"/>
        </w:rPr>
        <w:t>具体内容详见采购文件。</w:t>
      </w:r>
    </w:p>
    <w:p w14:paraId="29912DE3">
      <w:pPr>
        <w:pStyle w:val="25"/>
        <w:keepNext w:val="0"/>
        <w:keepLines w:val="0"/>
        <w:pageBreakBefore w:val="0"/>
        <w:widowControl/>
        <w:suppressLineNumbers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标项2：</w:t>
      </w:r>
    </w:p>
    <w:p w14:paraId="72D80678">
      <w:pPr>
        <w:pStyle w:val="25"/>
        <w:keepNext w:val="0"/>
        <w:keepLines w:val="0"/>
        <w:pageBreakBefore w:val="0"/>
        <w:widowControl/>
        <w:suppressLineNumbers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标项名称</w:t>
      </w:r>
      <w:r>
        <w:rPr>
          <w:rFonts w:hint="eastAsia" w:cs="宋体"/>
          <w:color w:val="auto"/>
          <w:sz w:val="28"/>
          <w:szCs w:val="28"/>
          <w:highlight w:val="none"/>
          <w:lang w:eastAsia="zh-CN"/>
        </w:rPr>
        <w:t>：新疆维吾尔自治区退役军人事务厅新闻媒体合作项目（新闻媒体宣传合作）</w:t>
      </w:r>
    </w:p>
    <w:p w14:paraId="2C48EEE4">
      <w:pPr>
        <w:pStyle w:val="25"/>
        <w:keepNext w:val="0"/>
        <w:keepLines w:val="0"/>
        <w:pageBreakBefore w:val="0"/>
        <w:widowControl/>
        <w:suppressLineNumbers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数量</w:t>
      </w:r>
      <w:r>
        <w:rPr>
          <w:rFonts w:hint="eastAsia" w:cs="宋体"/>
          <w:color w:val="auto"/>
          <w:sz w:val="28"/>
          <w:szCs w:val="28"/>
          <w:highlight w:val="none"/>
          <w:lang w:eastAsia="zh-CN"/>
        </w:rPr>
        <w:t>：</w:t>
      </w:r>
      <w:r>
        <w:rPr>
          <w:rFonts w:hint="eastAsia" w:ascii="宋体" w:hAnsi="宋体" w:eastAsia="宋体" w:cs="宋体"/>
          <w:color w:val="auto"/>
          <w:sz w:val="28"/>
          <w:szCs w:val="28"/>
          <w:highlight w:val="none"/>
        </w:rPr>
        <w:t>1批</w:t>
      </w:r>
    </w:p>
    <w:p w14:paraId="1B6D4C1A">
      <w:pPr>
        <w:pStyle w:val="25"/>
        <w:keepNext w:val="0"/>
        <w:keepLines w:val="0"/>
        <w:pageBreakBefore w:val="0"/>
        <w:widowControl/>
        <w:suppressLineNumbers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预算金额（元）</w:t>
      </w:r>
      <w:r>
        <w:rPr>
          <w:rFonts w:hint="eastAsia" w:cs="宋体"/>
          <w:color w:val="auto"/>
          <w:sz w:val="28"/>
          <w:szCs w:val="28"/>
          <w:highlight w:val="none"/>
          <w:lang w:eastAsia="zh-CN"/>
        </w:rPr>
        <w:t>：</w:t>
      </w:r>
      <w:r>
        <w:rPr>
          <w:rFonts w:hint="eastAsia" w:cs="宋体"/>
          <w:color w:val="auto"/>
          <w:sz w:val="28"/>
          <w:szCs w:val="28"/>
          <w:highlight w:val="none"/>
          <w:lang w:val="en-US" w:eastAsia="zh-CN"/>
        </w:rPr>
        <w:t>125000</w:t>
      </w:r>
      <w:r>
        <w:rPr>
          <w:rFonts w:hint="eastAsia" w:ascii="宋体" w:hAnsi="宋体" w:eastAsia="宋体" w:cs="宋体"/>
          <w:color w:val="auto"/>
          <w:sz w:val="28"/>
          <w:szCs w:val="28"/>
          <w:highlight w:val="none"/>
        </w:rPr>
        <w:t xml:space="preserve">.00 </w:t>
      </w:r>
    </w:p>
    <w:p w14:paraId="10A30EB5">
      <w:pPr>
        <w:pStyle w:val="25"/>
        <w:keepNext w:val="0"/>
        <w:keepLines w:val="0"/>
        <w:pageBreakBefore w:val="0"/>
        <w:widowControl/>
        <w:suppressLineNumbers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简要规格描述或项目基本概况介绍、用途：在自治区主流媒体进行专版策划宣传，用于退役军人重点工作和重大活动和的集中推介宣传。具体内容详见采购文件。</w:t>
      </w:r>
    </w:p>
    <w:p w14:paraId="77AA136C">
      <w:pPr>
        <w:pStyle w:val="25"/>
        <w:keepNext w:val="0"/>
        <w:keepLines w:val="0"/>
        <w:pageBreakBefore w:val="0"/>
        <w:widowControl/>
        <w:suppressLineNumbers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标项</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w:t>
      </w:r>
    </w:p>
    <w:p w14:paraId="1037B687">
      <w:pPr>
        <w:pStyle w:val="25"/>
        <w:keepNext w:val="0"/>
        <w:keepLines w:val="0"/>
        <w:pageBreakBefore w:val="0"/>
        <w:widowControl/>
        <w:suppressLineNumbers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标项名称</w:t>
      </w:r>
      <w:r>
        <w:rPr>
          <w:rFonts w:hint="eastAsia" w:ascii="宋体" w:hAnsi="宋体" w:eastAsia="宋体" w:cs="宋体"/>
          <w:color w:val="auto"/>
          <w:sz w:val="28"/>
          <w:szCs w:val="28"/>
          <w:highlight w:val="none"/>
          <w:lang w:eastAsia="zh-CN"/>
        </w:rPr>
        <w:t>：</w:t>
      </w:r>
      <w:r>
        <w:rPr>
          <w:rFonts w:hint="eastAsia" w:cs="宋体"/>
          <w:color w:val="auto"/>
          <w:sz w:val="28"/>
          <w:szCs w:val="28"/>
          <w:highlight w:val="none"/>
          <w:lang w:eastAsia="zh-CN"/>
        </w:rPr>
        <w:t>新疆维吾尔自治区退役军人事务厅新闻媒体合作项目（第三方重点新闻宣传合作）</w:t>
      </w:r>
    </w:p>
    <w:p w14:paraId="58086F95">
      <w:pPr>
        <w:pStyle w:val="25"/>
        <w:keepNext w:val="0"/>
        <w:keepLines w:val="0"/>
        <w:pageBreakBefore w:val="0"/>
        <w:widowControl/>
        <w:suppressLineNumbers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数量</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1批</w:t>
      </w:r>
    </w:p>
    <w:p w14:paraId="497B89E8">
      <w:pPr>
        <w:pStyle w:val="25"/>
        <w:keepNext w:val="0"/>
        <w:keepLines w:val="0"/>
        <w:pageBreakBefore w:val="0"/>
        <w:widowControl/>
        <w:suppressLineNumbers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预算金额（元）</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198000</w:t>
      </w:r>
      <w:r>
        <w:rPr>
          <w:rFonts w:hint="eastAsia" w:ascii="宋体" w:hAnsi="宋体" w:eastAsia="宋体" w:cs="宋体"/>
          <w:color w:val="auto"/>
          <w:sz w:val="28"/>
          <w:szCs w:val="28"/>
          <w:highlight w:val="none"/>
        </w:rPr>
        <w:t xml:space="preserve">.00 </w:t>
      </w:r>
    </w:p>
    <w:p w14:paraId="5428A43C">
      <w:pPr>
        <w:rPr>
          <w:rFonts w:hint="eastAsia"/>
        </w:rPr>
      </w:pPr>
      <w:r>
        <w:rPr>
          <w:rFonts w:hint="eastAsia" w:ascii="宋体" w:hAnsi="宋体" w:eastAsia="宋体" w:cs="宋体"/>
          <w:color w:val="auto"/>
          <w:sz w:val="28"/>
          <w:szCs w:val="28"/>
          <w:highlight w:val="none"/>
        </w:rPr>
        <w:t>简要规格描述或项目基本概况介绍、用途：按照全年重要节点，保障大型活动和典型人物视频拍摄。具体内容详见采购文件。</w:t>
      </w:r>
    </w:p>
    <w:p w14:paraId="2926A742">
      <w:pPr>
        <w:pStyle w:val="25"/>
        <w:keepNext w:val="0"/>
        <w:keepLines w:val="0"/>
        <w:pageBreakBefore w:val="0"/>
        <w:widowControl/>
        <w:suppressLineNumbers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w:t>
      </w:r>
    </w:p>
    <w:p w14:paraId="2B4A790B">
      <w:pPr>
        <w:pStyle w:val="25"/>
        <w:keepNext w:val="0"/>
        <w:keepLines w:val="0"/>
        <w:pageBreakBefore w:val="0"/>
        <w:widowControl/>
        <w:suppressLineNumbers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合同履约期限：标项 1、2</w:t>
      </w:r>
      <w:r>
        <w:rPr>
          <w:rFonts w:hint="eastAsia" w:cs="宋体"/>
          <w:color w:val="auto"/>
          <w:sz w:val="28"/>
          <w:szCs w:val="28"/>
          <w:highlight w:val="none"/>
          <w:lang w:eastAsia="zh-CN"/>
        </w:rPr>
        <w:t>、</w:t>
      </w:r>
      <w:r>
        <w:rPr>
          <w:rFonts w:hint="eastAsia" w:cs="宋体"/>
          <w:color w:val="auto"/>
          <w:sz w:val="28"/>
          <w:szCs w:val="28"/>
          <w:highlight w:val="none"/>
          <w:lang w:val="en-US" w:eastAsia="zh-CN"/>
        </w:rPr>
        <w:t>3</w:t>
      </w:r>
      <w:r>
        <w:rPr>
          <w:rFonts w:hint="eastAsia" w:ascii="宋体" w:hAnsi="宋体" w:eastAsia="宋体" w:cs="宋体"/>
          <w:color w:val="auto"/>
          <w:sz w:val="28"/>
          <w:szCs w:val="28"/>
          <w:highlight w:val="none"/>
        </w:rPr>
        <w:t>，暂定一年（具体以签订合同为准）</w:t>
      </w:r>
      <w:r>
        <w:rPr>
          <w:rFonts w:hint="eastAsia" w:cs="宋体"/>
          <w:color w:val="auto"/>
          <w:sz w:val="28"/>
          <w:szCs w:val="28"/>
          <w:highlight w:val="none"/>
          <w:lang w:eastAsia="zh-CN"/>
        </w:rPr>
        <w:t>。</w:t>
      </w:r>
    </w:p>
    <w:p w14:paraId="1DC2C7DC">
      <w:pPr>
        <w:pStyle w:val="25"/>
        <w:keepNext w:val="0"/>
        <w:keepLines w:val="0"/>
        <w:pageBreakBefore w:val="0"/>
        <w:widowControl/>
        <w:suppressLineNumbers w:val="0"/>
        <w:kinsoku/>
        <w:wordWrap/>
        <w:overflowPunct/>
        <w:topLinePunct w:val="0"/>
        <w:autoSpaceDE/>
        <w:autoSpaceDN/>
        <w:bidi w:val="0"/>
        <w:adjustRightInd/>
        <w:snapToGrid/>
        <w:spacing w:line="240" w:lineRule="atLeas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本项目（否）接受联合体投标。  </w:t>
      </w:r>
    </w:p>
    <w:p w14:paraId="325A709D">
      <w:pPr>
        <w:pStyle w:val="25"/>
        <w:keepNext w:val="0"/>
        <w:keepLines w:val="0"/>
        <w:widowControl/>
        <w:suppressLineNumbers w:val="0"/>
        <w:spacing w:before="204" w:beforeAutospacing="0" w:after="204" w:afterAutospacing="0" w:line="360" w:lineRule="atLeast"/>
        <w:ind w:left="0" w:right="0"/>
        <w:jc w:val="both"/>
        <w:rPr>
          <w:rFonts w:hint="eastAsia" w:ascii="宋体" w:hAnsi="宋体" w:eastAsia="宋体" w:cs="宋体"/>
          <w:color w:val="auto"/>
          <w:sz w:val="28"/>
          <w:szCs w:val="28"/>
          <w:highlight w:val="none"/>
        </w:rPr>
      </w:pPr>
      <w:r>
        <w:rPr>
          <w:rStyle w:val="32"/>
          <w:rFonts w:hint="eastAsia" w:ascii="宋体" w:hAnsi="宋体" w:eastAsia="宋体" w:cs="宋体"/>
          <w:color w:val="auto"/>
          <w:sz w:val="28"/>
          <w:szCs w:val="28"/>
          <w:highlight w:val="none"/>
        </w:rPr>
        <w:t>二、申请人的资格要求：</w:t>
      </w:r>
    </w:p>
    <w:p w14:paraId="4CDBD767">
      <w:pPr>
        <w:pStyle w:val="25"/>
        <w:keepNext w:val="0"/>
        <w:keepLines w:val="0"/>
        <w:pageBreakBefore w:val="0"/>
        <w:widowControl/>
        <w:suppressLineNumbers w:val="0"/>
        <w:kinsoku/>
        <w:wordWrap/>
        <w:overflowPunct/>
        <w:topLinePunct w:val="0"/>
        <w:autoSpaceDE/>
        <w:autoSpaceDN/>
        <w:bidi w:val="0"/>
        <w:adjustRightInd/>
        <w:snapToGrid/>
        <w:spacing w:line="24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1.满足《中华人民共和国政府采购法》第二十二条规定；</w:t>
      </w:r>
    </w:p>
    <w:p w14:paraId="7DA239A4">
      <w:pPr>
        <w:pStyle w:val="25"/>
        <w:keepNext w:val="0"/>
        <w:keepLines w:val="0"/>
        <w:pageBreakBefore w:val="0"/>
        <w:widowControl/>
        <w:suppressLineNumbers w:val="0"/>
        <w:kinsoku/>
        <w:wordWrap/>
        <w:overflowPunct/>
        <w:topLinePunct w:val="0"/>
        <w:autoSpaceDE/>
        <w:autoSpaceDN/>
        <w:bidi w:val="0"/>
        <w:adjustRightInd/>
        <w:snapToGrid/>
        <w:spacing w:line="24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2.落实政府采购政策需满足的资格要求：</w:t>
      </w:r>
      <w:r>
        <w:rPr>
          <w:rFonts w:hint="eastAsia" w:cs="宋体"/>
          <w:color w:val="auto"/>
          <w:sz w:val="28"/>
          <w:szCs w:val="28"/>
          <w:highlight w:val="none"/>
          <w:lang w:eastAsia="zh-CN"/>
        </w:rPr>
        <w:t>标项</w:t>
      </w:r>
      <w:r>
        <w:rPr>
          <w:rFonts w:hint="eastAsia" w:cs="宋体"/>
          <w:color w:val="auto"/>
          <w:sz w:val="28"/>
          <w:szCs w:val="28"/>
          <w:highlight w:val="none"/>
          <w:lang w:val="en-US" w:eastAsia="zh-CN"/>
        </w:rPr>
        <w:t>1：面向中小企业；标项2、标项3：面向小微企业。</w:t>
      </w:r>
      <w:r>
        <w:rPr>
          <w:rFonts w:hint="eastAsia" w:ascii="宋体" w:hAnsi="宋体" w:eastAsia="宋体" w:cs="宋体"/>
          <w:color w:val="auto"/>
          <w:sz w:val="28"/>
          <w:szCs w:val="28"/>
          <w:highlight w:val="none"/>
        </w:rPr>
        <w:t> </w:t>
      </w:r>
    </w:p>
    <w:p w14:paraId="00583F7B">
      <w:pPr>
        <w:pStyle w:val="25"/>
        <w:keepNext w:val="0"/>
        <w:keepLines w:val="0"/>
        <w:pageBreakBefore w:val="0"/>
        <w:widowControl/>
        <w:suppressLineNumbers w:val="0"/>
        <w:kinsoku/>
        <w:wordWrap/>
        <w:overflowPunct/>
        <w:topLinePunct w:val="0"/>
        <w:autoSpaceDE/>
        <w:autoSpaceDN/>
        <w:bidi w:val="0"/>
        <w:adjustRightInd/>
        <w:snapToGrid/>
        <w:spacing w:line="240" w:lineRule="atLeas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3.本项目的特定资格要求：</w:t>
      </w:r>
      <w:r>
        <w:rPr>
          <w:rFonts w:hint="eastAsia" w:cs="宋体"/>
          <w:color w:val="auto"/>
          <w:sz w:val="28"/>
          <w:szCs w:val="28"/>
          <w:highlight w:val="none"/>
          <w:lang w:val="en-US" w:eastAsia="zh-CN"/>
        </w:rPr>
        <w:t>/</w:t>
      </w:r>
    </w:p>
    <w:p w14:paraId="5ED2650D">
      <w:pPr>
        <w:pStyle w:val="25"/>
        <w:keepNext w:val="0"/>
        <w:keepLines w:val="0"/>
        <w:widowControl/>
        <w:suppressLineNumbers w:val="0"/>
        <w:spacing w:before="204" w:beforeAutospacing="0" w:after="204" w:afterAutospacing="0" w:line="360" w:lineRule="atLeast"/>
        <w:ind w:left="0" w:right="0"/>
        <w:jc w:val="both"/>
        <w:rPr>
          <w:rFonts w:hint="eastAsia" w:ascii="宋体" w:hAnsi="宋体" w:eastAsia="宋体" w:cs="宋体"/>
          <w:color w:val="auto"/>
          <w:sz w:val="28"/>
          <w:szCs w:val="28"/>
          <w:highlight w:val="none"/>
        </w:rPr>
      </w:pPr>
      <w:r>
        <w:rPr>
          <w:rStyle w:val="32"/>
          <w:rFonts w:hint="eastAsia" w:ascii="宋体" w:hAnsi="宋体" w:eastAsia="宋体" w:cs="宋体"/>
          <w:color w:val="auto"/>
          <w:sz w:val="28"/>
          <w:szCs w:val="28"/>
          <w:highlight w:val="none"/>
        </w:rPr>
        <w:t>三、获取采购文件</w:t>
      </w:r>
    </w:p>
    <w:p w14:paraId="6A8C0239">
      <w:pPr>
        <w:pStyle w:val="25"/>
        <w:keepNext w:val="0"/>
        <w:keepLines w:val="0"/>
        <w:pageBreakBefore w:val="0"/>
        <w:widowControl/>
        <w:suppressLineNumbers w:val="0"/>
        <w:kinsoku/>
        <w:wordWrap/>
        <w:overflowPunct/>
        <w:topLinePunct w:val="0"/>
        <w:autoSpaceDE/>
        <w:autoSpaceDN/>
        <w:bidi w:val="0"/>
        <w:adjustRightInd/>
        <w:snapToGrid/>
        <w:spacing w:line="240" w:lineRule="atLeast"/>
        <w:ind w:firstLine="560" w:firstLineChars="200"/>
        <w:textAlignment w:val="auto"/>
        <w:rPr>
          <w:rFonts w:hint="eastAsia" w:ascii="宋体" w:hAnsi="宋体" w:eastAsia="宋体" w:cs="宋体"/>
          <w:color w:val="auto"/>
          <w:sz w:val="28"/>
          <w:szCs w:val="28"/>
          <w:highlight w:val="none"/>
          <w:u w:val="none"/>
          <w:lang w:eastAsia="zh-CN"/>
        </w:rPr>
      </w:pPr>
      <w:r>
        <w:rPr>
          <w:rFonts w:hint="eastAsia" w:ascii="宋体" w:hAnsi="宋体" w:eastAsia="宋体" w:cs="宋体"/>
          <w:color w:val="auto"/>
          <w:sz w:val="28"/>
          <w:szCs w:val="28"/>
          <w:highlight w:val="none"/>
          <w:u w:val="none"/>
        </w:rPr>
        <w:t>时间：202</w:t>
      </w:r>
      <w:r>
        <w:rPr>
          <w:rFonts w:hint="eastAsia" w:cs="宋体"/>
          <w:color w:val="auto"/>
          <w:sz w:val="28"/>
          <w:szCs w:val="28"/>
          <w:highlight w:val="none"/>
          <w:u w:val="none"/>
          <w:lang w:val="en-US" w:eastAsia="zh-CN"/>
        </w:rPr>
        <w:t>5</w:t>
      </w:r>
      <w:r>
        <w:rPr>
          <w:rFonts w:hint="eastAsia" w:ascii="宋体" w:hAnsi="宋体" w:eastAsia="宋体" w:cs="宋体"/>
          <w:color w:val="auto"/>
          <w:sz w:val="28"/>
          <w:szCs w:val="28"/>
          <w:highlight w:val="none"/>
          <w:u w:val="none"/>
        </w:rPr>
        <w:t>年</w:t>
      </w:r>
      <w:r>
        <w:rPr>
          <w:rFonts w:hint="eastAsia" w:cs="宋体"/>
          <w:color w:val="auto"/>
          <w:sz w:val="28"/>
          <w:szCs w:val="28"/>
          <w:highlight w:val="none"/>
          <w:u w:val="none"/>
          <w:lang w:val="en-US" w:eastAsia="zh-CN"/>
        </w:rPr>
        <w:t>7</w:t>
      </w:r>
      <w:r>
        <w:rPr>
          <w:rFonts w:hint="eastAsia" w:ascii="宋体" w:hAnsi="宋体" w:eastAsia="宋体" w:cs="宋体"/>
          <w:color w:val="auto"/>
          <w:sz w:val="28"/>
          <w:szCs w:val="28"/>
          <w:highlight w:val="none"/>
          <w:u w:val="none"/>
        </w:rPr>
        <w:t>月</w:t>
      </w:r>
      <w:r>
        <w:rPr>
          <w:rFonts w:hint="eastAsia" w:cs="宋体"/>
          <w:color w:val="auto"/>
          <w:sz w:val="28"/>
          <w:szCs w:val="28"/>
          <w:highlight w:val="none"/>
          <w:u w:val="none"/>
          <w:lang w:val="en-US" w:eastAsia="zh-CN"/>
        </w:rPr>
        <w:t>15</w:t>
      </w:r>
      <w:r>
        <w:rPr>
          <w:rFonts w:hint="eastAsia" w:ascii="宋体" w:hAnsi="宋体" w:eastAsia="宋体" w:cs="宋体"/>
          <w:color w:val="auto"/>
          <w:sz w:val="28"/>
          <w:szCs w:val="28"/>
          <w:highlight w:val="none"/>
          <w:u w:val="none"/>
        </w:rPr>
        <w:t>日至</w:t>
      </w:r>
      <w:r>
        <w:rPr>
          <w:rFonts w:hint="eastAsia" w:ascii="宋体" w:hAnsi="宋体" w:eastAsia="宋体" w:cs="宋体"/>
          <w:color w:val="auto"/>
          <w:sz w:val="28"/>
          <w:szCs w:val="28"/>
          <w:highlight w:val="none"/>
          <w:u w:val="none"/>
          <w:lang w:eastAsia="zh-CN"/>
        </w:rPr>
        <w:t>202</w:t>
      </w:r>
      <w:r>
        <w:rPr>
          <w:rFonts w:hint="eastAsia" w:cs="宋体"/>
          <w:color w:val="auto"/>
          <w:sz w:val="28"/>
          <w:szCs w:val="28"/>
          <w:highlight w:val="none"/>
          <w:u w:val="none"/>
          <w:lang w:val="en-US" w:eastAsia="zh-CN"/>
        </w:rPr>
        <w:t>5</w:t>
      </w:r>
      <w:r>
        <w:rPr>
          <w:rFonts w:hint="eastAsia" w:ascii="宋体" w:hAnsi="宋体" w:eastAsia="宋体" w:cs="宋体"/>
          <w:color w:val="auto"/>
          <w:sz w:val="28"/>
          <w:szCs w:val="28"/>
          <w:highlight w:val="none"/>
          <w:u w:val="none"/>
          <w:lang w:eastAsia="zh-CN"/>
        </w:rPr>
        <w:t>年</w:t>
      </w:r>
      <w:r>
        <w:rPr>
          <w:rFonts w:hint="eastAsia" w:cs="宋体"/>
          <w:color w:val="auto"/>
          <w:sz w:val="28"/>
          <w:szCs w:val="28"/>
          <w:highlight w:val="none"/>
          <w:u w:val="none"/>
          <w:lang w:val="en-US" w:eastAsia="zh-CN"/>
        </w:rPr>
        <w:t>7</w:t>
      </w:r>
      <w:r>
        <w:rPr>
          <w:rFonts w:hint="eastAsia" w:ascii="宋体" w:hAnsi="宋体" w:eastAsia="宋体" w:cs="宋体"/>
          <w:color w:val="auto"/>
          <w:sz w:val="28"/>
          <w:szCs w:val="28"/>
          <w:highlight w:val="none"/>
          <w:u w:val="none"/>
          <w:lang w:eastAsia="zh-CN"/>
        </w:rPr>
        <w:t>月</w:t>
      </w:r>
      <w:r>
        <w:rPr>
          <w:rFonts w:hint="eastAsia" w:cs="宋体"/>
          <w:color w:val="auto"/>
          <w:sz w:val="28"/>
          <w:szCs w:val="28"/>
          <w:highlight w:val="none"/>
          <w:u w:val="none"/>
          <w:lang w:val="en-US" w:eastAsia="zh-CN"/>
        </w:rPr>
        <w:t>22</w:t>
      </w:r>
      <w:r>
        <w:rPr>
          <w:rFonts w:hint="eastAsia" w:ascii="宋体" w:hAnsi="宋体" w:eastAsia="宋体" w:cs="宋体"/>
          <w:color w:val="auto"/>
          <w:sz w:val="28"/>
          <w:szCs w:val="28"/>
          <w:highlight w:val="none"/>
          <w:u w:val="none"/>
          <w:lang w:eastAsia="zh-CN"/>
        </w:rPr>
        <w:t>日</w:t>
      </w:r>
    </w:p>
    <w:p w14:paraId="41D00558">
      <w:pPr>
        <w:pStyle w:val="25"/>
        <w:keepNext w:val="0"/>
        <w:keepLines w:val="0"/>
        <w:pageBreakBefore w:val="0"/>
        <w:widowControl/>
        <w:suppressLineNumbers w:val="0"/>
        <w:kinsoku/>
        <w:wordWrap/>
        <w:overflowPunct/>
        <w:topLinePunct w:val="0"/>
        <w:autoSpaceDE/>
        <w:autoSpaceDN/>
        <w:bidi w:val="0"/>
        <w:adjustRightInd/>
        <w:snapToGrid/>
        <w:spacing w:line="24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地点：新疆政采云平台https</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 xml:space="preserve">//www.zcygov.cn/ </w:t>
      </w:r>
    </w:p>
    <w:p w14:paraId="178A1804">
      <w:pPr>
        <w:pStyle w:val="25"/>
        <w:keepNext w:val="0"/>
        <w:keepLines w:val="0"/>
        <w:pageBreakBefore w:val="0"/>
        <w:widowControl/>
        <w:suppressLineNumbers w:val="0"/>
        <w:kinsoku/>
        <w:wordWrap/>
        <w:overflowPunct/>
        <w:topLinePunct w:val="0"/>
        <w:autoSpaceDE/>
        <w:autoSpaceDN/>
        <w:bidi w:val="0"/>
        <w:adjustRightInd/>
        <w:snapToGrid/>
        <w:spacing w:line="24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方式：线上获取。供应商登录政采云平台https</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//www.zcygov.cn/在线申请获取招标文件（进入“项目采购”应用，在获取招标文件菜单中选择项目，申请获取招标文件）  </w:t>
      </w:r>
    </w:p>
    <w:p w14:paraId="4A0111DD">
      <w:pPr>
        <w:pStyle w:val="25"/>
        <w:keepNext w:val="0"/>
        <w:keepLines w:val="0"/>
        <w:pageBreakBefore w:val="0"/>
        <w:widowControl/>
        <w:suppressLineNumbers w:val="0"/>
        <w:kinsoku/>
        <w:wordWrap/>
        <w:overflowPunct/>
        <w:topLinePunct w:val="0"/>
        <w:autoSpaceDE/>
        <w:autoSpaceDN/>
        <w:bidi w:val="0"/>
        <w:adjustRightInd/>
        <w:snapToGrid/>
        <w:spacing w:line="240" w:lineRule="atLeas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售价（元）：</w:t>
      </w:r>
      <w:r>
        <w:rPr>
          <w:rFonts w:hint="eastAsia" w:ascii="宋体" w:hAnsi="宋体" w:eastAsia="宋体" w:cs="宋体"/>
          <w:color w:val="auto"/>
          <w:sz w:val="28"/>
          <w:szCs w:val="28"/>
          <w:highlight w:val="none"/>
          <w:lang w:val="en-US" w:eastAsia="zh-CN"/>
        </w:rPr>
        <w:t>0</w:t>
      </w:r>
    </w:p>
    <w:p w14:paraId="658F6233">
      <w:pPr>
        <w:pStyle w:val="25"/>
        <w:keepNext w:val="0"/>
        <w:keepLines w:val="0"/>
        <w:widowControl/>
        <w:suppressLineNumbers w:val="0"/>
        <w:spacing w:before="204" w:beforeAutospacing="0" w:after="204" w:afterAutospacing="0" w:line="360" w:lineRule="atLeast"/>
        <w:ind w:left="0" w:right="0"/>
        <w:jc w:val="both"/>
        <w:rPr>
          <w:rFonts w:hint="eastAsia" w:ascii="宋体" w:hAnsi="宋体" w:eastAsia="宋体" w:cs="宋体"/>
          <w:color w:val="auto"/>
          <w:sz w:val="28"/>
          <w:szCs w:val="28"/>
          <w:highlight w:val="none"/>
        </w:rPr>
      </w:pPr>
      <w:r>
        <w:rPr>
          <w:rStyle w:val="32"/>
          <w:rFonts w:hint="eastAsia" w:ascii="宋体" w:hAnsi="宋体" w:eastAsia="宋体" w:cs="宋体"/>
          <w:color w:val="auto"/>
          <w:sz w:val="28"/>
          <w:szCs w:val="28"/>
          <w:highlight w:val="none"/>
        </w:rPr>
        <w:t>四、响应文件提交</w:t>
      </w:r>
      <w:r>
        <w:rPr>
          <w:rFonts w:hint="eastAsia" w:ascii="宋体" w:hAnsi="宋体" w:eastAsia="宋体" w:cs="宋体"/>
          <w:color w:val="auto"/>
          <w:sz w:val="28"/>
          <w:szCs w:val="28"/>
          <w:highlight w:val="none"/>
        </w:rPr>
        <w:t> </w:t>
      </w:r>
    </w:p>
    <w:p w14:paraId="56C2167C">
      <w:pPr>
        <w:pStyle w:val="25"/>
        <w:keepNext w:val="0"/>
        <w:keepLines w:val="0"/>
        <w:pageBreakBefore w:val="0"/>
        <w:widowControl/>
        <w:suppressLineNumbers w:val="0"/>
        <w:kinsoku/>
        <w:wordWrap/>
        <w:overflowPunct/>
        <w:topLinePunct w:val="0"/>
        <w:autoSpaceDE/>
        <w:autoSpaceDN/>
        <w:bidi w:val="0"/>
        <w:adjustRightInd/>
        <w:snapToGrid/>
        <w:spacing w:line="24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截止时间：</w:t>
      </w:r>
      <w:r>
        <w:rPr>
          <w:rFonts w:hint="eastAsia" w:ascii="宋体" w:hAnsi="宋体" w:eastAsia="宋体" w:cs="宋体"/>
          <w:color w:val="auto"/>
          <w:sz w:val="28"/>
          <w:szCs w:val="28"/>
          <w:highlight w:val="none"/>
          <w:lang w:eastAsia="zh-CN"/>
        </w:rPr>
        <w:t>202</w:t>
      </w:r>
      <w:r>
        <w:rPr>
          <w:rFonts w:hint="eastAsia"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年</w:t>
      </w:r>
      <w:r>
        <w:rPr>
          <w:rFonts w:hint="eastAsia" w:cs="宋体"/>
          <w:color w:val="auto"/>
          <w:sz w:val="28"/>
          <w:szCs w:val="28"/>
          <w:highlight w:val="none"/>
          <w:lang w:val="en-US" w:eastAsia="zh-CN"/>
        </w:rPr>
        <w:t>7</w:t>
      </w:r>
      <w:r>
        <w:rPr>
          <w:rFonts w:hint="eastAsia" w:ascii="宋体" w:hAnsi="宋体" w:eastAsia="宋体" w:cs="宋体"/>
          <w:color w:val="auto"/>
          <w:sz w:val="28"/>
          <w:szCs w:val="28"/>
          <w:highlight w:val="none"/>
          <w:lang w:eastAsia="zh-CN"/>
        </w:rPr>
        <w:t>月</w:t>
      </w:r>
      <w:r>
        <w:rPr>
          <w:rFonts w:hint="eastAsia" w:cs="宋体"/>
          <w:color w:val="auto"/>
          <w:sz w:val="28"/>
          <w:szCs w:val="28"/>
          <w:highlight w:val="none"/>
          <w:lang w:val="en-US" w:eastAsia="zh-CN"/>
        </w:rPr>
        <w:t>28</w:t>
      </w:r>
      <w:r>
        <w:rPr>
          <w:rFonts w:hint="eastAsia" w:ascii="宋体" w:hAnsi="宋体" w:eastAsia="宋体" w:cs="宋体"/>
          <w:color w:val="auto"/>
          <w:sz w:val="28"/>
          <w:szCs w:val="28"/>
          <w:highlight w:val="none"/>
          <w:lang w:eastAsia="zh-CN"/>
        </w:rPr>
        <w:t>日</w:t>
      </w:r>
      <w:r>
        <w:rPr>
          <w:rFonts w:hint="eastAsia" w:cs="宋体"/>
          <w:color w:val="auto"/>
          <w:sz w:val="28"/>
          <w:szCs w:val="28"/>
          <w:highlight w:val="none"/>
          <w:lang w:val="en-US" w:eastAsia="zh-CN"/>
        </w:rPr>
        <w:t>11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00（北京时间）</w:t>
      </w:r>
    </w:p>
    <w:p w14:paraId="6F8C8017">
      <w:pPr>
        <w:pStyle w:val="25"/>
        <w:keepNext w:val="0"/>
        <w:keepLines w:val="0"/>
        <w:pageBreakBefore w:val="0"/>
        <w:widowControl/>
        <w:suppressLineNumbers w:val="0"/>
        <w:kinsoku/>
        <w:wordWrap/>
        <w:overflowPunct/>
        <w:topLinePunct w:val="0"/>
        <w:autoSpaceDE/>
        <w:autoSpaceDN/>
        <w:bidi w:val="0"/>
        <w:adjustRightInd/>
        <w:snapToGrid/>
        <w:spacing w:line="24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地点：将投标文件上传至政采云平台https</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//www.zcygov.cn/对应位置（逾期未上传的或不符合规定的投标文件将被拒绝接收）。  </w:t>
      </w:r>
    </w:p>
    <w:p w14:paraId="1766F5B6">
      <w:pPr>
        <w:pStyle w:val="25"/>
        <w:keepNext w:val="0"/>
        <w:keepLines w:val="0"/>
        <w:widowControl/>
        <w:suppressLineNumbers w:val="0"/>
        <w:spacing w:before="204" w:beforeAutospacing="0" w:after="204" w:afterAutospacing="0" w:line="360" w:lineRule="atLeast"/>
        <w:ind w:left="0" w:right="0"/>
        <w:jc w:val="both"/>
        <w:rPr>
          <w:rFonts w:hint="eastAsia" w:ascii="宋体" w:hAnsi="宋体" w:eastAsia="宋体" w:cs="宋体"/>
          <w:color w:val="auto"/>
          <w:sz w:val="28"/>
          <w:szCs w:val="28"/>
          <w:highlight w:val="none"/>
        </w:rPr>
      </w:pPr>
      <w:r>
        <w:rPr>
          <w:rStyle w:val="32"/>
          <w:rFonts w:hint="eastAsia" w:ascii="宋体" w:hAnsi="宋体" w:eastAsia="宋体" w:cs="宋体"/>
          <w:color w:val="auto"/>
          <w:sz w:val="28"/>
          <w:szCs w:val="28"/>
          <w:highlight w:val="none"/>
        </w:rPr>
        <w:t>五、响应文件开启</w:t>
      </w:r>
      <w:r>
        <w:rPr>
          <w:rFonts w:hint="eastAsia" w:ascii="宋体" w:hAnsi="宋体" w:eastAsia="宋体" w:cs="宋体"/>
          <w:color w:val="auto"/>
          <w:sz w:val="28"/>
          <w:szCs w:val="28"/>
          <w:highlight w:val="none"/>
        </w:rPr>
        <w:t> </w:t>
      </w:r>
    </w:p>
    <w:p w14:paraId="1E84A339">
      <w:pPr>
        <w:pStyle w:val="25"/>
        <w:keepNext w:val="0"/>
        <w:keepLines w:val="0"/>
        <w:pageBreakBefore w:val="0"/>
        <w:widowControl/>
        <w:suppressLineNumbers w:val="0"/>
        <w:kinsoku/>
        <w:wordWrap/>
        <w:overflowPunct/>
        <w:topLinePunct w:val="0"/>
        <w:autoSpaceDE/>
        <w:autoSpaceDN/>
        <w:bidi w:val="0"/>
        <w:adjustRightInd/>
        <w:snapToGrid/>
        <w:spacing w:line="24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开启时间：</w:t>
      </w:r>
      <w:r>
        <w:rPr>
          <w:rFonts w:hint="eastAsia" w:ascii="宋体" w:hAnsi="宋体" w:eastAsia="宋体" w:cs="宋体"/>
          <w:color w:val="auto"/>
          <w:sz w:val="28"/>
          <w:szCs w:val="28"/>
          <w:highlight w:val="none"/>
          <w:lang w:eastAsia="zh-CN"/>
        </w:rPr>
        <w:t>202</w:t>
      </w:r>
      <w:r>
        <w:rPr>
          <w:rFonts w:hint="eastAsia"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年</w:t>
      </w:r>
      <w:r>
        <w:rPr>
          <w:rFonts w:hint="eastAsia" w:cs="宋体"/>
          <w:color w:val="auto"/>
          <w:sz w:val="28"/>
          <w:szCs w:val="28"/>
          <w:highlight w:val="none"/>
          <w:lang w:val="en-US" w:eastAsia="zh-CN"/>
        </w:rPr>
        <w:t>7</w:t>
      </w:r>
      <w:r>
        <w:rPr>
          <w:rFonts w:hint="eastAsia" w:ascii="宋体" w:hAnsi="宋体" w:eastAsia="宋体" w:cs="宋体"/>
          <w:color w:val="auto"/>
          <w:sz w:val="28"/>
          <w:szCs w:val="28"/>
          <w:highlight w:val="none"/>
          <w:lang w:val="en-US" w:eastAsia="zh-CN"/>
        </w:rPr>
        <w:t>月</w:t>
      </w:r>
      <w:r>
        <w:rPr>
          <w:rFonts w:hint="eastAsia" w:cs="宋体"/>
          <w:color w:val="auto"/>
          <w:sz w:val="28"/>
          <w:szCs w:val="28"/>
          <w:highlight w:val="none"/>
          <w:lang w:val="en-US" w:eastAsia="zh-CN"/>
        </w:rPr>
        <w:t>28</w:t>
      </w:r>
      <w:r>
        <w:rPr>
          <w:rFonts w:hint="eastAsia" w:ascii="宋体" w:hAnsi="宋体" w:eastAsia="宋体" w:cs="宋体"/>
          <w:color w:val="auto"/>
          <w:sz w:val="28"/>
          <w:szCs w:val="28"/>
          <w:highlight w:val="none"/>
          <w:lang w:eastAsia="zh-CN"/>
        </w:rPr>
        <w:t>日</w:t>
      </w:r>
      <w:r>
        <w:rPr>
          <w:rFonts w:hint="eastAsia" w:cs="宋体"/>
          <w:color w:val="auto"/>
          <w:sz w:val="28"/>
          <w:szCs w:val="28"/>
          <w:highlight w:val="none"/>
          <w:lang w:val="en-US" w:eastAsia="zh-CN"/>
        </w:rPr>
        <w:t>11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00（北京时间）</w:t>
      </w:r>
    </w:p>
    <w:p w14:paraId="09491140">
      <w:pPr>
        <w:pStyle w:val="25"/>
        <w:keepNext w:val="0"/>
        <w:keepLines w:val="0"/>
        <w:pageBreakBefore w:val="0"/>
        <w:widowControl/>
        <w:suppressLineNumbers w:val="0"/>
        <w:kinsoku/>
        <w:wordWrap/>
        <w:overflowPunct/>
        <w:topLinePunct w:val="0"/>
        <w:autoSpaceDE/>
        <w:autoSpaceDN/>
        <w:bidi w:val="0"/>
        <w:adjustRightInd/>
        <w:snapToGrid/>
        <w:spacing w:line="24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地点：新疆华域建设工程项目管理咨询有限公司会议室（政采云不见面开标）。 </w:t>
      </w:r>
    </w:p>
    <w:p w14:paraId="69E00554">
      <w:pPr>
        <w:pStyle w:val="25"/>
        <w:keepNext w:val="0"/>
        <w:keepLines w:val="0"/>
        <w:widowControl/>
        <w:suppressLineNumbers w:val="0"/>
        <w:spacing w:before="204" w:beforeAutospacing="0" w:after="204" w:afterAutospacing="0" w:line="360" w:lineRule="atLeast"/>
        <w:ind w:left="0" w:right="0"/>
        <w:jc w:val="both"/>
        <w:rPr>
          <w:rFonts w:hint="eastAsia" w:ascii="宋体" w:hAnsi="宋体" w:eastAsia="宋体" w:cs="宋体"/>
          <w:color w:val="auto"/>
          <w:sz w:val="28"/>
          <w:szCs w:val="28"/>
          <w:highlight w:val="none"/>
        </w:rPr>
      </w:pPr>
      <w:r>
        <w:rPr>
          <w:rStyle w:val="32"/>
          <w:rFonts w:hint="eastAsia" w:ascii="宋体" w:hAnsi="宋体" w:eastAsia="宋体" w:cs="宋体"/>
          <w:color w:val="auto"/>
          <w:sz w:val="28"/>
          <w:szCs w:val="28"/>
          <w:highlight w:val="none"/>
        </w:rPr>
        <w:t>六、公告期限</w:t>
      </w:r>
    </w:p>
    <w:p w14:paraId="0A2E8A76">
      <w:pPr>
        <w:pStyle w:val="25"/>
        <w:keepNext w:val="0"/>
        <w:keepLines w:val="0"/>
        <w:widowControl/>
        <w:suppressLineNumbers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自本公告发布之日起</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个工作日。</w:t>
      </w:r>
    </w:p>
    <w:p w14:paraId="3DD987EF">
      <w:pPr>
        <w:pStyle w:val="25"/>
        <w:keepNext w:val="0"/>
        <w:keepLines w:val="0"/>
        <w:widowControl/>
        <w:suppressLineNumbers w:val="0"/>
        <w:spacing w:before="204" w:beforeAutospacing="0" w:after="204" w:afterAutospacing="0" w:line="360" w:lineRule="atLeast"/>
        <w:ind w:left="0" w:right="0"/>
        <w:jc w:val="both"/>
        <w:rPr>
          <w:rFonts w:hint="eastAsia" w:ascii="宋体" w:hAnsi="宋体" w:eastAsia="宋体" w:cs="宋体"/>
          <w:color w:val="auto"/>
          <w:sz w:val="28"/>
          <w:szCs w:val="28"/>
          <w:highlight w:val="none"/>
        </w:rPr>
      </w:pPr>
      <w:r>
        <w:rPr>
          <w:rStyle w:val="32"/>
          <w:rFonts w:hint="eastAsia" w:ascii="宋体" w:hAnsi="宋体" w:eastAsia="宋体" w:cs="宋体"/>
          <w:color w:val="auto"/>
          <w:sz w:val="28"/>
          <w:szCs w:val="28"/>
          <w:highlight w:val="none"/>
        </w:rPr>
        <w:t>七、其他补充事宜</w:t>
      </w:r>
      <w:r>
        <w:rPr>
          <w:rFonts w:hint="eastAsia" w:ascii="宋体" w:hAnsi="宋体" w:eastAsia="宋体" w:cs="宋体"/>
          <w:color w:val="auto"/>
          <w:sz w:val="28"/>
          <w:szCs w:val="28"/>
          <w:highlight w:val="none"/>
        </w:rPr>
        <w:t> </w:t>
      </w:r>
    </w:p>
    <w:p w14:paraId="5B3D3A26">
      <w:pPr>
        <w:pStyle w:val="26"/>
        <w:spacing w:before="80" w:line="440" w:lineRule="exact"/>
        <w:ind w:firstLine="560" w:firstLineChars="200"/>
        <w:rPr>
          <w:rFonts w:hint="eastAsia" w:ascii="宋体" w:hAnsi="宋体" w:eastAsia="宋体" w:cs="宋体"/>
          <w:b w:val="0"/>
          <w:bCs/>
          <w:color w:val="auto"/>
          <w:kern w:val="1"/>
          <w:sz w:val="28"/>
          <w:szCs w:val="28"/>
          <w:highlight w:val="none"/>
        </w:rPr>
      </w:pPr>
      <w:r>
        <w:rPr>
          <w:rFonts w:hint="eastAsia" w:ascii="宋体" w:hAnsi="宋体" w:eastAsia="宋体" w:cs="宋体"/>
          <w:b w:val="0"/>
          <w:bCs/>
          <w:color w:val="auto"/>
          <w:kern w:val="1"/>
          <w:sz w:val="28"/>
          <w:szCs w:val="28"/>
          <w:highlight w:val="none"/>
        </w:rPr>
        <w:t>1.本项目为电子招投标项目，投标人需要使用CA 加密设备，凡参加本项目投标人可通过新疆数字证书认证中心官网（https</w:t>
      </w:r>
      <w:r>
        <w:rPr>
          <w:rFonts w:hint="eastAsia" w:ascii="宋体" w:hAnsi="宋体" w:eastAsia="宋体" w:cs="宋体"/>
          <w:b w:val="0"/>
          <w:bCs/>
          <w:color w:val="auto"/>
          <w:kern w:val="1"/>
          <w:sz w:val="28"/>
          <w:szCs w:val="28"/>
          <w:highlight w:val="none"/>
          <w:lang w:eastAsia="zh-CN"/>
        </w:rPr>
        <w:t>：</w:t>
      </w:r>
      <w:r>
        <w:rPr>
          <w:rFonts w:hint="eastAsia" w:ascii="宋体" w:hAnsi="宋体" w:eastAsia="宋体" w:cs="宋体"/>
          <w:b w:val="0"/>
          <w:bCs/>
          <w:color w:val="auto"/>
          <w:kern w:val="1"/>
          <w:sz w:val="28"/>
          <w:szCs w:val="28"/>
          <w:highlight w:val="none"/>
        </w:rPr>
        <w:t>//www.xjca.com.cn/）或下载“新疆政务通”APP 自行进行线上申领。如有操作性问题可与政采云在线客服进行咨询。</w:t>
      </w:r>
    </w:p>
    <w:p w14:paraId="136A3E5A">
      <w:pPr>
        <w:pStyle w:val="26"/>
        <w:spacing w:before="80" w:line="440" w:lineRule="exact"/>
        <w:ind w:firstLine="560" w:firstLineChars="200"/>
        <w:rPr>
          <w:rFonts w:hint="eastAsia" w:ascii="宋体" w:hAnsi="宋体" w:eastAsia="宋体" w:cs="宋体"/>
          <w:b w:val="0"/>
          <w:bCs/>
          <w:color w:val="auto"/>
          <w:kern w:val="1"/>
          <w:sz w:val="28"/>
          <w:szCs w:val="28"/>
          <w:highlight w:val="none"/>
        </w:rPr>
      </w:pPr>
      <w:r>
        <w:rPr>
          <w:rFonts w:hint="eastAsia" w:ascii="宋体" w:hAnsi="宋体" w:eastAsia="宋体" w:cs="宋体"/>
          <w:b w:val="0"/>
          <w:bCs/>
          <w:color w:val="auto"/>
          <w:kern w:val="1"/>
          <w:sz w:val="28"/>
          <w:szCs w:val="28"/>
          <w:highlight w:val="none"/>
        </w:rPr>
        <w:t>2.本项目实行网上投标，采用电子响应文件，若供应商参与采购，应自行承担采购一切费用。</w:t>
      </w:r>
    </w:p>
    <w:p w14:paraId="68D84024">
      <w:pPr>
        <w:pStyle w:val="26"/>
        <w:spacing w:before="80" w:line="440" w:lineRule="exact"/>
        <w:ind w:firstLine="560" w:firstLineChars="200"/>
        <w:rPr>
          <w:rFonts w:hint="eastAsia" w:ascii="宋体" w:hAnsi="宋体" w:eastAsia="宋体" w:cs="宋体"/>
          <w:b w:val="0"/>
          <w:bCs/>
          <w:color w:val="auto"/>
          <w:kern w:val="1"/>
          <w:sz w:val="28"/>
          <w:szCs w:val="28"/>
          <w:highlight w:val="none"/>
        </w:rPr>
      </w:pPr>
      <w:r>
        <w:rPr>
          <w:rFonts w:hint="eastAsia" w:ascii="宋体" w:hAnsi="宋体" w:eastAsia="宋体" w:cs="宋体"/>
          <w:b w:val="0"/>
          <w:bCs/>
          <w:color w:val="auto"/>
          <w:kern w:val="1"/>
          <w:sz w:val="28"/>
          <w:szCs w:val="28"/>
          <w:highlight w:val="none"/>
        </w:rPr>
        <w:t>3.投标人应在采购前应确保成为新疆政府采购网正式注册入库供应商，并完成CA 数字证书申领。因未注册入库、未办理CA 数字证书等原因造成无法投标或投标失败等后果由供应商自行承担。</w:t>
      </w:r>
    </w:p>
    <w:p w14:paraId="5CAD4D47">
      <w:pPr>
        <w:pStyle w:val="26"/>
        <w:spacing w:before="80" w:line="440" w:lineRule="exact"/>
        <w:ind w:firstLine="560" w:firstLineChars="200"/>
        <w:rPr>
          <w:rFonts w:hint="eastAsia" w:ascii="宋体" w:hAnsi="宋体" w:eastAsia="宋体" w:cs="宋体"/>
          <w:b w:val="0"/>
          <w:bCs/>
          <w:color w:val="auto"/>
          <w:kern w:val="1"/>
          <w:sz w:val="28"/>
          <w:szCs w:val="28"/>
          <w:highlight w:val="none"/>
        </w:rPr>
      </w:pPr>
      <w:r>
        <w:rPr>
          <w:rFonts w:hint="eastAsia" w:ascii="宋体" w:hAnsi="宋体" w:eastAsia="宋体" w:cs="宋体"/>
          <w:b w:val="0"/>
          <w:bCs/>
          <w:color w:val="auto"/>
          <w:kern w:val="1"/>
          <w:sz w:val="28"/>
          <w:szCs w:val="28"/>
          <w:highlight w:val="none"/>
        </w:rPr>
        <w:t>4.投标人应使用最新版本的CA 驱动和政采云投标客户端，客户端下载、安装完成后，可通过账号密码或CA 登录客户端进行响应文件制作。在使用政采云投标客户端时，建议使用谷歌浏览器，电脑配置满足win7+64 位以上操作系统（不能用mac或者linux 系统）。客户端请至新疆政府采购网（www.ccgp-xinjiang.gov.cn）下载专区查看，如有问题可拨打政采云客户服务热线进行咨询。</w:t>
      </w:r>
    </w:p>
    <w:p w14:paraId="3B4795EC">
      <w:pPr>
        <w:pStyle w:val="26"/>
        <w:spacing w:before="80" w:line="440" w:lineRule="exact"/>
        <w:ind w:firstLine="560" w:firstLineChars="200"/>
        <w:rPr>
          <w:rFonts w:hint="eastAsia" w:ascii="宋体" w:hAnsi="宋体" w:eastAsia="宋体" w:cs="宋体"/>
          <w:b w:val="0"/>
          <w:bCs/>
          <w:color w:val="auto"/>
          <w:kern w:val="1"/>
          <w:sz w:val="28"/>
          <w:szCs w:val="28"/>
          <w:highlight w:val="none"/>
        </w:rPr>
      </w:pPr>
      <w:r>
        <w:rPr>
          <w:rFonts w:hint="eastAsia" w:ascii="宋体" w:hAnsi="宋体" w:eastAsia="宋体" w:cs="宋体"/>
          <w:b w:val="0"/>
          <w:bCs/>
          <w:color w:val="auto"/>
          <w:kern w:val="1"/>
          <w:sz w:val="28"/>
          <w:szCs w:val="28"/>
          <w:highlight w:val="none"/>
        </w:rPr>
        <w:t>5.投标人应当在递交响应文件截止时间前，将生成的“电子加密响应文件”上传递交至“政府采购云平台”，递交响应文件截止时间后上传递交的响应文件将被“政府采购云平台”拒收。</w:t>
      </w:r>
    </w:p>
    <w:p w14:paraId="309E47E8">
      <w:pPr>
        <w:pStyle w:val="26"/>
        <w:spacing w:before="80" w:line="440" w:lineRule="exact"/>
        <w:ind w:firstLine="560" w:firstLineChars="200"/>
        <w:rPr>
          <w:rFonts w:hint="eastAsia" w:ascii="宋体" w:hAnsi="宋体" w:eastAsia="宋体" w:cs="宋体"/>
          <w:b w:val="0"/>
          <w:bCs/>
          <w:color w:val="auto"/>
          <w:kern w:val="1"/>
          <w:sz w:val="28"/>
          <w:szCs w:val="28"/>
          <w:highlight w:val="none"/>
        </w:rPr>
      </w:pPr>
      <w:r>
        <w:rPr>
          <w:rFonts w:hint="eastAsia" w:ascii="宋体" w:hAnsi="宋体" w:eastAsia="宋体" w:cs="宋体"/>
          <w:b w:val="0"/>
          <w:bCs/>
          <w:color w:val="auto"/>
          <w:kern w:val="1"/>
          <w:sz w:val="28"/>
          <w:szCs w:val="28"/>
          <w:highlight w:val="none"/>
        </w:rPr>
        <w:t>6.供应商登录政采云平台，在开标时间后30 分钟内用“项目采购-开标评标”功能进行解密响应文件。若供应商在规定时间内未按时解密的，视为无效响应。解密与加密响应文件须使用同一个CA。</w:t>
      </w:r>
    </w:p>
    <w:p w14:paraId="5C22EA38">
      <w:pPr>
        <w:pStyle w:val="26"/>
        <w:spacing w:before="80" w:line="440" w:lineRule="exact"/>
        <w:ind w:firstLine="560" w:firstLineChars="200"/>
        <w:rPr>
          <w:rFonts w:hint="eastAsia" w:ascii="宋体" w:hAnsi="宋体" w:eastAsia="宋体" w:cs="宋体"/>
          <w:b w:val="0"/>
          <w:bCs/>
          <w:color w:val="auto"/>
          <w:kern w:val="1"/>
          <w:sz w:val="28"/>
          <w:szCs w:val="28"/>
          <w:highlight w:val="none"/>
        </w:rPr>
      </w:pPr>
      <w:r>
        <w:rPr>
          <w:rFonts w:hint="eastAsia" w:ascii="宋体" w:hAnsi="宋体" w:eastAsia="宋体" w:cs="宋体"/>
          <w:b w:val="0"/>
          <w:bCs/>
          <w:color w:val="auto"/>
          <w:kern w:val="1"/>
          <w:sz w:val="28"/>
          <w:szCs w:val="28"/>
          <w:highlight w:val="none"/>
        </w:rPr>
        <w:t>7.投标人在政府采购云平台实行不见面开标操作指南：请潜在供应商自行登录观看政府采购云平台供应商电子标培训视频教程。如因供应商自身原因导致在规定时间内无法正常解密的（如：浏览器故障、未安装相关驱动、网络故障、加密CA与解密CA不一致等），视为供应商自动弃标。</w:t>
      </w:r>
    </w:p>
    <w:p w14:paraId="3290D97C">
      <w:pPr>
        <w:pStyle w:val="26"/>
        <w:spacing w:before="80" w:line="440" w:lineRule="exact"/>
        <w:ind w:firstLine="560" w:firstLineChars="200"/>
        <w:rPr>
          <w:rFonts w:hint="eastAsia" w:ascii="宋体" w:hAnsi="宋体" w:eastAsia="宋体" w:cs="宋体"/>
          <w:b w:val="0"/>
          <w:bCs/>
          <w:color w:val="auto"/>
          <w:kern w:val="1"/>
          <w:sz w:val="28"/>
          <w:szCs w:val="28"/>
          <w:highlight w:val="none"/>
        </w:rPr>
      </w:pPr>
      <w:r>
        <w:rPr>
          <w:rFonts w:hint="eastAsia" w:ascii="宋体" w:hAnsi="宋体" w:eastAsia="宋体" w:cs="宋体"/>
          <w:b w:val="0"/>
          <w:bCs/>
          <w:color w:val="auto"/>
          <w:kern w:val="1"/>
          <w:sz w:val="28"/>
          <w:szCs w:val="28"/>
          <w:highlight w:val="none"/>
        </w:rPr>
        <w:t>8.开标当天，投标人应在开标前登录并在评标结束后才能退出政府采购云平台投标客户端，因投标文件在线解密、报价文件开标记录在线确认、评审专家在线提问等都需要投标人在政府采购云平台投标客户端操作响应，如投标人提前退出政府采购云平台投标客户端，后果自负。</w:t>
      </w:r>
    </w:p>
    <w:p w14:paraId="7DEAE836">
      <w:pPr>
        <w:pStyle w:val="25"/>
        <w:keepNext w:val="0"/>
        <w:keepLines w:val="0"/>
        <w:widowControl/>
        <w:suppressLineNumbers w:val="0"/>
        <w:spacing w:before="204" w:beforeAutospacing="0" w:after="204" w:afterAutospacing="0" w:line="384" w:lineRule="atLeast"/>
        <w:ind w:left="0" w:right="0"/>
        <w:jc w:val="both"/>
        <w:rPr>
          <w:rFonts w:hint="eastAsia" w:ascii="宋体" w:hAnsi="宋体" w:eastAsia="宋体" w:cs="宋体"/>
          <w:color w:val="auto"/>
          <w:sz w:val="28"/>
          <w:szCs w:val="28"/>
          <w:highlight w:val="none"/>
        </w:rPr>
      </w:pPr>
      <w:r>
        <w:rPr>
          <w:rStyle w:val="32"/>
          <w:rFonts w:hint="eastAsia" w:ascii="宋体" w:hAnsi="宋体" w:eastAsia="宋体" w:cs="宋体"/>
          <w:color w:val="auto"/>
          <w:sz w:val="28"/>
          <w:szCs w:val="28"/>
          <w:highlight w:val="none"/>
        </w:rPr>
        <w:t>八、凡对本次招标提出询问，请按以下方式联系</w:t>
      </w:r>
    </w:p>
    <w:p w14:paraId="65AB1E3D">
      <w:pPr>
        <w:pStyle w:val="26"/>
        <w:spacing w:before="80" w:line="440" w:lineRule="exact"/>
        <w:ind w:firstLine="560" w:firstLineChars="200"/>
        <w:rPr>
          <w:rFonts w:hint="eastAsia" w:ascii="宋体" w:hAnsi="宋体" w:eastAsia="宋体" w:cs="宋体"/>
          <w:b w:val="0"/>
          <w:bCs/>
          <w:color w:val="auto"/>
          <w:kern w:val="1"/>
          <w:sz w:val="28"/>
          <w:szCs w:val="28"/>
          <w:highlight w:val="none"/>
          <w:lang w:val="en-US" w:eastAsia="zh-CN"/>
        </w:rPr>
      </w:pPr>
      <w:r>
        <w:rPr>
          <w:rFonts w:hint="eastAsia" w:ascii="宋体" w:hAnsi="宋体" w:eastAsia="宋体" w:cs="宋体"/>
          <w:b w:val="0"/>
          <w:bCs/>
          <w:color w:val="auto"/>
          <w:kern w:val="1"/>
          <w:sz w:val="28"/>
          <w:szCs w:val="28"/>
          <w:highlight w:val="none"/>
          <w:lang w:val="en-US" w:eastAsia="zh-CN"/>
        </w:rPr>
        <w:t>1.采购人信息</w:t>
      </w:r>
    </w:p>
    <w:p w14:paraId="7B69ABE2">
      <w:pPr>
        <w:pStyle w:val="26"/>
        <w:spacing w:before="80" w:line="440" w:lineRule="exact"/>
        <w:ind w:firstLine="560" w:firstLineChars="200"/>
        <w:rPr>
          <w:rFonts w:hint="eastAsia" w:ascii="宋体" w:hAnsi="宋体" w:eastAsia="宋体" w:cs="宋体"/>
          <w:b w:val="0"/>
          <w:bCs/>
          <w:color w:val="auto"/>
          <w:kern w:val="1"/>
          <w:sz w:val="28"/>
          <w:szCs w:val="28"/>
          <w:highlight w:val="none"/>
          <w:lang w:val="en-US" w:eastAsia="zh-CN"/>
        </w:rPr>
      </w:pPr>
      <w:r>
        <w:rPr>
          <w:rFonts w:hint="eastAsia" w:ascii="宋体" w:hAnsi="宋体" w:eastAsia="宋体" w:cs="宋体"/>
          <w:b w:val="0"/>
          <w:bCs/>
          <w:color w:val="auto"/>
          <w:kern w:val="1"/>
          <w:sz w:val="28"/>
          <w:szCs w:val="28"/>
          <w:highlight w:val="none"/>
          <w:lang w:val="en-US" w:eastAsia="zh-CN"/>
        </w:rPr>
        <w:t>名   称：</w:t>
      </w:r>
      <w:r>
        <w:rPr>
          <w:rFonts w:hint="eastAsia" w:cs="宋体"/>
          <w:b w:val="0"/>
          <w:bCs/>
          <w:color w:val="auto"/>
          <w:kern w:val="1"/>
          <w:sz w:val="28"/>
          <w:szCs w:val="28"/>
          <w:highlight w:val="none"/>
          <w:lang w:val="en-US" w:eastAsia="zh-CN"/>
        </w:rPr>
        <w:t>新疆维吾尔自治区退役军人事务厅</w:t>
      </w:r>
    </w:p>
    <w:p w14:paraId="23BA6D9F">
      <w:pPr>
        <w:pStyle w:val="26"/>
        <w:spacing w:before="80" w:line="440" w:lineRule="exact"/>
        <w:ind w:firstLine="560" w:firstLineChars="200"/>
        <w:rPr>
          <w:rFonts w:hint="eastAsia" w:ascii="宋体" w:hAnsi="宋体" w:eastAsia="宋体" w:cs="宋体"/>
          <w:b w:val="0"/>
          <w:bCs/>
          <w:color w:val="auto"/>
          <w:kern w:val="1"/>
          <w:sz w:val="28"/>
          <w:szCs w:val="28"/>
          <w:highlight w:val="none"/>
          <w:lang w:val="en-US" w:eastAsia="zh-CN"/>
        </w:rPr>
      </w:pPr>
      <w:r>
        <w:rPr>
          <w:rFonts w:hint="eastAsia" w:ascii="宋体" w:hAnsi="宋体" w:eastAsia="宋体" w:cs="宋体"/>
          <w:b w:val="0"/>
          <w:bCs/>
          <w:color w:val="auto"/>
          <w:kern w:val="1"/>
          <w:sz w:val="28"/>
          <w:szCs w:val="28"/>
          <w:highlight w:val="none"/>
          <w:lang w:val="en-US" w:eastAsia="zh-CN"/>
        </w:rPr>
        <w:t>地   址：乌鲁木齐市天山区碱泉一街780号</w:t>
      </w:r>
    </w:p>
    <w:p w14:paraId="6631565B">
      <w:pPr>
        <w:pStyle w:val="26"/>
        <w:spacing w:before="80" w:line="440" w:lineRule="exact"/>
        <w:ind w:firstLine="560" w:firstLineChars="200"/>
        <w:rPr>
          <w:rFonts w:hint="eastAsia" w:ascii="宋体" w:hAnsi="宋体" w:eastAsia="宋体" w:cs="宋体"/>
          <w:b w:val="0"/>
          <w:bCs/>
          <w:color w:val="auto"/>
          <w:kern w:val="1"/>
          <w:sz w:val="28"/>
          <w:szCs w:val="28"/>
          <w:highlight w:val="none"/>
          <w:lang w:val="en-US" w:eastAsia="zh-CN"/>
        </w:rPr>
      </w:pPr>
      <w:r>
        <w:rPr>
          <w:rFonts w:hint="eastAsia" w:ascii="宋体" w:hAnsi="宋体" w:eastAsia="宋体" w:cs="宋体"/>
          <w:b w:val="0"/>
          <w:bCs/>
          <w:color w:val="auto"/>
          <w:kern w:val="1"/>
          <w:sz w:val="28"/>
          <w:szCs w:val="28"/>
          <w:highlight w:val="none"/>
          <w:lang w:val="en-US" w:eastAsia="zh-CN"/>
        </w:rPr>
        <w:t>联系人：</w:t>
      </w:r>
      <w:r>
        <w:rPr>
          <w:rFonts w:hint="eastAsia" w:cs="宋体"/>
          <w:b w:val="0"/>
          <w:bCs/>
          <w:color w:val="auto"/>
          <w:kern w:val="1"/>
          <w:sz w:val="28"/>
          <w:szCs w:val="28"/>
          <w:highlight w:val="none"/>
          <w:lang w:val="en-US" w:eastAsia="zh-CN"/>
        </w:rPr>
        <w:t>郭女士</w:t>
      </w:r>
    </w:p>
    <w:p w14:paraId="4C33886F">
      <w:pPr>
        <w:pStyle w:val="26"/>
        <w:spacing w:before="80" w:line="440" w:lineRule="exact"/>
        <w:ind w:firstLine="560" w:firstLineChars="200"/>
        <w:rPr>
          <w:rFonts w:hint="eastAsia" w:ascii="宋体" w:hAnsi="宋体" w:eastAsia="宋体" w:cs="宋体"/>
          <w:b w:val="0"/>
          <w:bCs/>
          <w:color w:val="auto"/>
          <w:kern w:val="1"/>
          <w:sz w:val="28"/>
          <w:szCs w:val="28"/>
          <w:highlight w:val="none"/>
          <w:lang w:val="en-US" w:eastAsia="zh-CN"/>
        </w:rPr>
      </w:pPr>
      <w:r>
        <w:rPr>
          <w:rFonts w:hint="eastAsia" w:ascii="宋体" w:hAnsi="宋体" w:eastAsia="宋体" w:cs="宋体"/>
          <w:b w:val="0"/>
          <w:bCs/>
          <w:color w:val="auto"/>
          <w:kern w:val="1"/>
          <w:sz w:val="28"/>
          <w:szCs w:val="28"/>
          <w:highlight w:val="none"/>
          <w:lang w:val="en-US" w:eastAsia="zh-CN"/>
        </w:rPr>
        <w:t>电话：18609910716</w:t>
      </w:r>
    </w:p>
    <w:p w14:paraId="312CAFD3">
      <w:pPr>
        <w:pStyle w:val="26"/>
        <w:spacing w:before="80" w:line="440" w:lineRule="exact"/>
        <w:ind w:firstLine="560" w:firstLineChars="200"/>
        <w:rPr>
          <w:rFonts w:hint="eastAsia" w:ascii="宋体" w:hAnsi="宋体" w:eastAsia="宋体" w:cs="宋体"/>
          <w:b w:val="0"/>
          <w:bCs/>
          <w:color w:val="auto"/>
          <w:kern w:val="1"/>
          <w:sz w:val="28"/>
          <w:szCs w:val="28"/>
          <w:highlight w:val="none"/>
          <w:lang w:val="en-US" w:eastAsia="zh-CN"/>
        </w:rPr>
      </w:pPr>
      <w:r>
        <w:rPr>
          <w:rFonts w:hint="eastAsia" w:ascii="宋体" w:hAnsi="宋体" w:eastAsia="宋体" w:cs="宋体"/>
          <w:b w:val="0"/>
          <w:bCs/>
          <w:color w:val="auto"/>
          <w:kern w:val="1"/>
          <w:sz w:val="28"/>
          <w:szCs w:val="28"/>
          <w:highlight w:val="none"/>
          <w:lang w:val="en-US" w:eastAsia="zh-CN"/>
        </w:rPr>
        <w:t>2.采购代理机构信息</w:t>
      </w:r>
    </w:p>
    <w:p w14:paraId="1579E1AA">
      <w:pPr>
        <w:pStyle w:val="26"/>
        <w:spacing w:before="80" w:line="440" w:lineRule="exact"/>
        <w:ind w:firstLine="560" w:firstLineChars="200"/>
        <w:rPr>
          <w:rFonts w:hint="eastAsia" w:ascii="宋体" w:hAnsi="宋体" w:eastAsia="宋体" w:cs="宋体"/>
          <w:b w:val="0"/>
          <w:bCs/>
          <w:color w:val="auto"/>
          <w:kern w:val="1"/>
          <w:sz w:val="28"/>
          <w:szCs w:val="28"/>
          <w:highlight w:val="none"/>
          <w:lang w:val="en-US" w:eastAsia="zh-CN"/>
        </w:rPr>
      </w:pPr>
      <w:r>
        <w:rPr>
          <w:rFonts w:hint="eastAsia" w:ascii="宋体" w:hAnsi="宋体" w:eastAsia="宋体" w:cs="宋体"/>
          <w:b w:val="0"/>
          <w:bCs/>
          <w:color w:val="auto"/>
          <w:kern w:val="1"/>
          <w:sz w:val="28"/>
          <w:szCs w:val="28"/>
          <w:highlight w:val="none"/>
          <w:lang w:val="en-US" w:eastAsia="zh-CN"/>
        </w:rPr>
        <w:t>名  称：新疆华域建设工程项目管理咨询有限公司　　　　　　　　　　　　</w:t>
      </w:r>
    </w:p>
    <w:p w14:paraId="094FF322">
      <w:pPr>
        <w:pStyle w:val="26"/>
        <w:spacing w:before="80" w:line="440" w:lineRule="exact"/>
        <w:ind w:firstLine="560" w:firstLineChars="200"/>
        <w:rPr>
          <w:rFonts w:hint="eastAsia" w:ascii="宋体" w:hAnsi="宋体" w:eastAsia="宋体" w:cs="宋体"/>
          <w:b w:val="0"/>
          <w:bCs/>
          <w:color w:val="auto"/>
          <w:kern w:val="1"/>
          <w:sz w:val="28"/>
          <w:szCs w:val="28"/>
          <w:highlight w:val="none"/>
          <w:lang w:val="en-US" w:eastAsia="zh-CN"/>
        </w:rPr>
      </w:pPr>
      <w:r>
        <w:rPr>
          <w:rFonts w:hint="eastAsia" w:ascii="宋体" w:hAnsi="宋体" w:eastAsia="宋体" w:cs="宋体"/>
          <w:b w:val="0"/>
          <w:bCs/>
          <w:color w:val="auto"/>
          <w:kern w:val="1"/>
          <w:sz w:val="28"/>
          <w:szCs w:val="28"/>
          <w:highlight w:val="none"/>
          <w:lang w:val="en-US" w:eastAsia="zh-CN"/>
        </w:rPr>
        <w:t>地　址：乌鲁木齐市五星北路194号新地园大厦1401　　　　　　　　　　　　</w:t>
      </w:r>
    </w:p>
    <w:p w14:paraId="18BBC434">
      <w:pPr>
        <w:pStyle w:val="26"/>
        <w:spacing w:before="80" w:line="440" w:lineRule="exact"/>
        <w:ind w:firstLine="560" w:firstLineChars="200"/>
        <w:rPr>
          <w:rFonts w:hint="eastAsia" w:ascii="宋体" w:hAnsi="宋体" w:eastAsia="宋体" w:cs="宋体"/>
          <w:b w:val="0"/>
          <w:bCs/>
          <w:color w:val="auto"/>
          <w:kern w:val="1"/>
          <w:sz w:val="28"/>
          <w:szCs w:val="28"/>
          <w:highlight w:val="none"/>
          <w:lang w:val="en-US" w:eastAsia="zh-CN"/>
        </w:rPr>
      </w:pPr>
      <w:r>
        <w:rPr>
          <w:rFonts w:hint="eastAsia" w:ascii="宋体" w:hAnsi="宋体" w:eastAsia="宋体" w:cs="宋体"/>
          <w:b w:val="0"/>
          <w:bCs/>
          <w:color w:val="auto"/>
          <w:kern w:val="1"/>
          <w:sz w:val="28"/>
          <w:szCs w:val="28"/>
          <w:highlight w:val="none"/>
          <w:lang w:val="en-US" w:eastAsia="zh-CN"/>
        </w:rPr>
        <w:t>联系人：</w:t>
      </w:r>
      <w:r>
        <w:rPr>
          <w:rFonts w:hint="eastAsia" w:cs="宋体"/>
          <w:b w:val="0"/>
          <w:bCs/>
          <w:color w:val="auto"/>
          <w:kern w:val="1"/>
          <w:sz w:val="28"/>
          <w:szCs w:val="28"/>
          <w:highlight w:val="none"/>
          <w:lang w:val="en-US" w:eastAsia="zh-CN"/>
        </w:rPr>
        <w:t>梁雪燕</w:t>
      </w:r>
      <w:r>
        <w:rPr>
          <w:rFonts w:hint="eastAsia" w:ascii="宋体" w:hAnsi="宋体" w:eastAsia="宋体" w:cs="宋体"/>
          <w:b w:val="0"/>
          <w:bCs/>
          <w:color w:val="auto"/>
          <w:kern w:val="1"/>
          <w:sz w:val="28"/>
          <w:szCs w:val="28"/>
          <w:highlight w:val="none"/>
          <w:lang w:val="en-US" w:eastAsia="zh-CN"/>
        </w:rPr>
        <w:t xml:space="preserve"> </w:t>
      </w:r>
    </w:p>
    <w:p w14:paraId="1650D709">
      <w:pPr>
        <w:pStyle w:val="26"/>
        <w:spacing w:before="80" w:line="440" w:lineRule="exact"/>
        <w:ind w:firstLine="560" w:firstLineChars="200"/>
        <w:rPr>
          <w:rFonts w:hint="eastAsia" w:ascii="宋体" w:hAnsi="宋体" w:eastAsia="宋体" w:cs="宋体"/>
          <w:b w:val="0"/>
          <w:bCs/>
          <w:color w:val="auto"/>
          <w:kern w:val="1"/>
          <w:sz w:val="28"/>
          <w:szCs w:val="28"/>
          <w:highlight w:val="none"/>
          <w:lang w:val="en-US" w:eastAsia="zh-CN"/>
        </w:rPr>
      </w:pPr>
      <w:r>
        <w:rPr>
          <w:rFonts w:hint="eastAsia" w:ascii="宋体" w:hAnsi="宋体" w:eastAsia="宋体" w:cs="宋体"/>
          <w:b w:val="0"/>
          <w:bCs/>
          <w:color w:val="auto"/>
          <w:kern w:val="1"/>
          <w:sz w:val="28"/>
          <w:szCs w:val="28"/>
          <w:highlight w:val="none"/>
          <w:lang w:val="en-US" w:eastAsia="zh-CN"/>
        </w:rPr>
        <w:t>联系方式：</w:t>
      </w:r>
      <w:r>
        <w:rPr>
          <w:rFonts w:hint="eastAsia" w:cs="宋体"/>
          <w:b w:val="0"/>
          <w:bCs/>
          <w:color w:val="auto"/>
          <w:kern w:val="1"/>
          <w:sz w:val="28"/>
          <w:szCs w:val="28"/>
          <w:highlight w:val="none"/>
          <w:lang w:val="en-US" w:eastAsia="zh-CN"/>
        </w:rPr>
        <w:t>17690710616</w:t>
      </w:r>
      <w:r>
        <w:rPr>
          <w:rFonts w:hint="eastAsia" w:ascii="宋体" w:hAnsi="宋体" w:eastAsia="宋体" w:cs="宋体"/>
          <w:b w:val="0"/>
          <w:bCs/>
          <w:color w:val="auto"/>
          <w:kern w:val="1"/>
          <w:sz w:val="28"/>
          <w:szCs w:val="28"/>
          <w:highlight w:val="none"/>
          <w:lang w:val="en-US" w:eastAsia="zh-CN"/>
        </w:rPr>
        <w:t>　　　　　　　　　　　</w:t>
      </w:r>
    </w:p>
    <w:p w14:paraId="32138E4A">
      <w:pPr>
        <w:pStyle w:val="26"/>
        <w:spacing w:before="80" w:line="440" w:lineRule="exact"/>
        <w:ind w:firstLine="560" w:firstLineChars="200"/>
        <w:rPr>
          <w:rFonts w:hint="eastAsia" w:ascii="宋体" w:hAnsi="宋体" w:eastAsia="宋体" w:cs="宋体"/>
          <w:b w:val="0"/>
          <w:bCs/>
          <w:color w:val="auto"/>
          <w:kern w:val="1"/>
          <w:sz w:val="28"/>
          <w:szCs w:val="28"/>
          <w:highlight w:val="none"/>
          <w:lang w:val="en-US" w:eastAsia="zh-CN"/>
        </w:rPr>
      </w:pPr>
      <w:r>
        <w:rPr>
          <w:rFonts w:hint="eastAsia" w:ascii="宋体" w:hAnsi="宋体" w:eastAsia="宋体" w:cs="宋体"/>
          <w:b w:val="0"/>
          <w:bCs/>
          <w:color w:val="auto"/>
          <w:kern w:val="1"/>
          <w:sz w:val="28"/>
          <w:szCs w:val="28"/>
          <w:highlight w:val="none"/>
          <w:lang w:val="en-US" w:eastAsia="zh-CN"/>
        </w:rPr>
        <w:t>3.项目联系方式</w:t>
      </w:r>
    </w:p>
    <w:p w14:paraId="7F14D1FF">
      <w:pPr>
        <w:pStyle w:val="26"/>
        <w:spacing w:before="80" w:line="440" w:lineRule="exact"/>
        <w:ind w:firstLine="560" w:firstLineChars="200"/>
        <w:rPr>
          <w:rFonts w:hint="eastAsia" w:ascii="宋体" w:hAnsi="宋体" w:eastAsia="宋体" w:cs="宋体"/>
          <w:b w:val="0"/>
          <w:bCs/>
          <w:color w:val="auto"/>
          <w:kern w:val="1"/>
          <w:sz w:val="28"/>
          <w:szCs w:val="28"/>
          <w:highlight w:val="none"/>
          <w:lang w:val="en-US" w:eastAsia="zh-CN"/>
        </w:rPr>
      </w:pPr>
      <w:r>
        <w:rPr>
          <w:rFonts w:hint="eastAsia" w:ascii="宋体" w:hAnsi="宋体" w:eastAsia="宋体" w:cs="宋体"/>
          <w:b w:val="0"/>
          <w:bCs/>
          <w:color w:val="auto"/>
          <w:kern w:val="1"/>
          <w:sz w:val="28"/>
          <w:szCs w:val="28"/>
          <w:highlight w:val="none"/>
          <w:lang w:val="en-US" w:eastAsia="zh-CN"/>
        </w:rPr>
        <w:t>项目联系人：</w:t>
      </w:r>
      <w:r>
        <w:rPr>
          <w:rFonts w:hint="eastAsia" w:cs="宋体"/>
          <w:b w:val="0"/>
          <w:bCs/>
          <w:color w:val="auto"/>
          <w:kern w:val="1"/>
          <w:sz w:val="28"/>
          <w:szCs w:val="28"/>
          <w:highlight w:val="none"/>
          <w:lang w:val="en-US" w:eastAsia="zh-CN"/>
        </w:rPr>
        <w:t>梁雪燕</w:t>
      </w:r>
    </w:p>
    <w:p w14:paraId="2D4D17D7">
      <w:pPr>
        <w:pStyle w:val="26"/>
        <w:spacing w:before="80" w:line="440" w:lineRule="exact"/>
        <w:ind w:firstLine="560" w:firstLineChars="200"/>
        <w:rPr>
          <w:rFonts w:hint="eastAsia" w:ascii="宋体" w:hAnsi="宋体" w:eastAsia="宋体" w:cs="宋体"/>
          <w:b w:val="0"/>
          <w:bCs/>
          <w:color w:val="auto"/>
          <w:kern w:val="1"/>
          <w:sz w:val="28"/>
          <w:szCs w:val="28"/>
          <w:highlight w:val="none"/>
          <w:lang w:eastAsia="zh-CN"/>
        </w:rPr>
      </w:pPr>
      <w:r>
        <w:rPr>
          <w:rFonts w:hint="eastAsia" w:ascii="宋体" w:hAnsi="宋体" w:eastAsia="宋体" w:cs="宋体"/>
          <w:b w:val="0"/>
          <w:bCs/>
          <w:color w:val="auto"/>
          <w:kern w:val="1"/>
          <w:sz w:val="28"/>
          <w:szCs w:val="28"/>
          <w:highlight w:val="none"/>
          <w:lang w:val="en-US" w:eastAsia="zh-CN"/>
        </w:rPr>
        <w:t>电　话：</w:t>
      </w:r>
      <w:r>
        <w:rPr>
          <w:rFonts w:hint="eastAsia" w:cs="宋体"/>
          <w:b w:val="0"/>
          <w:bCs/>
          <w:color w:val="auto"/>
          <w:kern w:val="1"/>
          <w:sz w:val="28"/>
          <w:szCs w:val="28"/>
          <w:highlight w:val="none"/>
          <w:lang w:val="en-US" w:eastAsia="zh-CN"/>
        </w:rPr>
        <w:t>17690710616</w:t>
      </w:r>
    </w:p>
    <w:p w14:paraId="07959747">
      <w:pPr>
        <w:rPr>
          <w:rFonts w:hint="eastAsia" w:ascii="宋体" w:hAnsi="宋体" w:eastAsia="宋体" w:cs="宋体"/>
          <w:color w:val="auto"/>
          <w:sz w:val="28"/>
          <w:szCs w:val="28"/>
          <w:highlight w:val="none"/>
        </w:rPr>
      </w:pPr>
    </w:p>
    <w:p w14:paraId="495498A4">
      <w:pPr>
        <w:pStyle w:val="27"/>
        <w:ind w:left="0" w:leftChars="0" w:firstLine="0" w:firstLine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bookmarkStart w:id="5" w:name="_Toc3846"/>
      <w:bookmarkStart w:id="6" w:name="_Toc3973"/>
      <w:bookmarkStart w:id="7" w:name="_Toc18843"/>
      <w:bookmarkStart w:id="8" w:name="_Toc8062"/>
      <w:bookmarkStart w:id="9" w:name="_Toc6138"/>
      <w:r>
        <w:rPr>
          <w:rFonts w:hint="eastAsia" w:ascii="宋体" w:hAnsi="宋体" w:eastAsia="宋体" w:cs="宋体"/>
          <w:b/>
          <w:color w:val="auto"/>
          <w:kern w:val="2"/>
          <w:sz w:val="32"/>
          <w:szCs w:val="32"/>
          <w:highlight w:val="none"/>
          <w:lang w:val="en-US" w:eastAsia="zh-CN" w:bidi="ar-SA"/>
        </w:rPr>
        <w:t>第二章  供应商须知</w:t>
      </w:r>
      <w:bookmarkEnd w:id="5"/>
      <w:bookmarkEnd w:id="6"/>
      <w:bookmarkEnd w:id="7"/>
      <w:bookmarkEnd w:id="8"/>
      <w:bookmarkEnd w:id="9"/>
    </w:p>
    <w:p w14:paraId="2EA794D5">
      <w:pPr>
        <w:pStyle w:val="12"/>
        <w:spacing w:line="360" w:lineRule="auto"/>
        <w:jc w:val="center"/>
        <w:outlineLvl w:val="1"/>
        <w:rPr>
          <w:rFonts w:hint="eastAsia" w:ascii="宋体" w:hAnsi="宋体" w:eastAsia="宋体" w:cs="宋体"/>
          <w:b/>
          <w:color w:val="auto"/>
          <w:kern w:val="2"/>
          <w:sz w:val="28"/>
          <w:szCs w:val="28"/>
          <w:highlight w:val="none"/>
          <w:lang w:val="en-US" w:eastAsia="zh-CN" w:bidi="ar-SA"/>
        </w:rPr>
      </w:pPr>
      <w:bookmarkStart w:id="10" w:name="_Toc13602"/>
      <w:bookmarkStart w:id="11" w:name="_Toc8813"/>
      <w:r>
        <w:rPr>
          <w:rFonts w:hint="eastAsia" w:ascii="宋体" w:hAnsi="宋体" w:eastAsia="宋体" w:cs="宋体"/>
          <w:b/>
          <w:color w:val="auto"/>
          <w:kern w:val="2"/>
          <w:sz w:val="28"/>
          <w:szCs w:val="28"/>
          <w:highlight w:val="none"/>
          <w:lang w:val="en-US" w:eastAsia="zh-CN" w:bidi="ar-SA"/>
        </w:rPr>
        <w:t>磋商须知前附表</w:t>
      </w:r>
      <w:bookmarkEnd w:id="10"/>
      <w:bookmarkEnd w:id="11"/>
    </w:p>
    <w:tbl>
      <w:tblPr>
        <w:tblStyle w:val="29"/>
        <w:tblW w:w="9472" w:type="dxa"/>
        <w:jc w:val="center"/>
        <w:tblLayout w:type="fixed"/>
        <w:tblCellMar>
          <w:top w:w="0" w:type="dxa"/>
          <w:left w:w="108" w:type="dxa"/>
          <w:bottom w:w="0" w:type="dxa"/>
          <w:right w:w="108" w:type="dxa"/>
        </w:tblCellMar>
      </w:tblPr>
      <w:tblGrid>
        <w:gridCol w:w="708"/>
        <w:gridCol w:w="2004"/>
        <w:gridCol w:w="6760"/>
      </w:tblGrid>
      <w:tr w14:paraId="754AD859">
        <w:tblPrEx>
          <w:tblCellMar>
            <w:top w:w="0" w:type="dxa"/>
            <w:left w:w="108" w:type="dxa"/>
            <w:bottom w:w="0" w:type="dxa"/>
            <w:right w:w="108" w:type="dxa"/>
          </w:tblCellMar>
        </w:tblPrEx>
        <w:trPr>
          <w:trHeight w:val="505"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3E7C51FC">
            <w:pPr>
              <w:adjustRightInd w:val="0"/>
              <w:snapToGrid w:val="0"/>
              <w:spacing w:line="24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条款号</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2D8C8811">
            <w:pPr>
              <w:adjustRightInd w:val="0"/>
              <w:snapToGrid w:val="0"/>
              <w:spacing w:line="24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条  款  名  称</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518D3B30">
            <w:pPr>
              <w:adjustRightInd w:val="0"/>
              <w:snapToGrid w:val="0"/>
              <w:spacing w:line="24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编  列  内  容</w:t>
            </w:r>
          </w:p>
        </w:tc>
      </w:tr>
      <w:tr w14:paraId="2EC87328">
        <w:tblPrEx>
          <w:tblCellMar>
            <w:top w:w="0" w:type="dxa"/>
            <w:left w:w="108" w:type="dxa"/>
            <w:bottom w:w="0" w:type="dxa"/>
            <w:right w:w="108" w:type="dxa"/>
          </w:tblCellMar>
        </w:tblPrEx>
        <w:trPr>
          <w:trHeight w:val="505"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00D9D486">
            <w:pPr>
              <w:adjustRightInd w:val="0"/>
              <w:snapToGrid w:val="0"/>
              <w:spacing w:line="24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23A396E8">
            <w:pPr>
              <w:adjustRightInd w:val="0"/>
              <w:snapToGrid w:val="0"/>
              <w:spacing w:line="240" w:lineRule="auto"/>
              <w:jc w:val="center"/>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项目名称</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6FF03A88">
            <w:pPr>
              <w:snapToGrid w:val="0"/>
              <w:spacing w:line="240" w:lineRule="auto"/>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新疆维吾尔自治区退役军人事务厅新闻媒体合作项目</w:t>
            </w:r>
          </w:p>
        </w:tc>
      </w:tr>
      <w:tr w14:paraId="47B2A675">
        <w:tblPrEx>
          <w:tblCellMar>
            <w:top w:w="0" w:type="dxa"/>
            <w:left w:w="108" w:type="dxa"/>
            <w:bottom w:w="0" w:type="dxa"/>
            <w:right w:w="108" w:type="dxa"/>
          </w:tblCellMar>
        </w:tblPrEx>
        <w:trPr>
          <w:trHeight w:val="1284"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24E8F4B3">
            <w:pPr>
              <w:adjustRightInd w:val="0"/>
              <w:snapToGrid w:val="0"/>
              <w:spacing w:line="24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211F7680">
            <w:pPr>
              <w:adjustRightInd w:val="0"/>
              <w:snapToGrid w:val="0"/>
              <w:spacing w:line="240" w:lineRule="auto"/>
              <w:jc w:val="center"/>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采购人</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4B246A04">
            <w:pPr>
              <w:snapToGrid w:val="0"/>
              <w:spacing w:line="24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名称</w:t>
            </w:r>
            <w:r>
              <w:rPr>
                <w:rFonts w:hint="eastAsia" w:ascii="宋体" w:hAnsi="宋体" w:eastAsia="宋体" w:cs="宋体"/>
                <w:color w:val="auto"/>
                <w:sz w:val="28"/>
                <w:szCs w:val="28"/>
                <w:highlight w:val="none"/>
                <w:lang w:eastAsia="zh-CN"/>
              </w:rPr>
              <w:t>：</w:t>
            </w:r>
            <w:r>
              <w:rPr>
                <w:rFonts w:hint="eastAsia" w:ascii="宋体" w:hAnsi="宋体" w:cs="宋体"/>
                <w:color w:val="auto"/>
                <w:sz w:val="28"/>
                <w:szCs w:val="28"/>
                <w:highlight w:val="none"/>
                <w:lang w:eastAsia="zh-CN"/>
              </w:rPr>
              <w:t>新疆维吾尔自治区退役军人事务厅</w:t>
            </w:r>
          </w:p>
          <w:p w14:paraId="6B06A593">
            <w:pPr>
              <w:snapToGrid w:val="0"/>
              <w:spacing w:line="24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eastAsia="zh-CN"/>
              </w:rPr>
              <w:t>郭女士</w:t>
            </w:r>
          </w:p>
          <w:p w14:paraId="241A5BBD">
            <w:pPr>
              <w:snapToGrid w:val="0"/>
              <w:spacing w:line="24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联系方式</w:t>
            </w:r>
            <w:r>
              <w:rPr>
                <w:rFonts w:hint="eastAsia" w:ascii="宋体" w:hAnsi="宋体" w:eastAsia="宋体" w:cs="宋体"/>
                <w:color w:val="auto"/>
                <w:sz w:val="28"/>
                <w:szCs w:val="28"/>
                <w:highlight w:val="none"/>
                <w:lang w:eastAsia="zh-CN"/>
              </w:rPr>
              <w:t>：</w:t>
            </w:r>
            <w:r>
              <w:rPr>
                <w:rFonts w:hint="eastAsia" w:ascii="宋体" w:hAnsi="宋体" w:cs="宋体"/>
                <w:color w:val="auto"/>
                <w:sz w:val="28"/>
                <w:szCs w:val="28"/>
                <w:highlight w:val="none"/>
                <w:lang w:val="en-US" w:eastAsia="zh-CN"/>
              </w:rPr>
              <w:t>18609910716</w:t>
            </w:r>
          </w:p>
        </w:tc>
      </w:tr>
      <w:tr w14:paraId="61780D56">
        <w:tblPrEx>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24C28E7A">
            <w:pPr>
              <w:adjustRightInd w:val="0"/>
              <w:snapToGrid w:val="0"/>
              <w:spacing w:line="24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5B561037">
            <w:pPr>
              <w:adjustRightInd w:val="0"/>
              <w:snapToGrid w:val="0"/>
              <w:spacing w:line="24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采购代理机构</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49D58C7B">
            <w:pPr>
              <w:snapToGrid w:val="0"/>
              <w:spacing w:line="24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名称：新疆华域建设工程项目管理咨询有限公司</w:t>
            </w:r>
          </w:p>
          <w:p w14:paraId="35B437D3">
            <w:pPr>
              <w:snapToGrid w:val="0"/>
              <w:spacing w:line="24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地址：新疆</w:t>
            </w:r>
            <w:r>
              <w:rPr>
                <w:rFonts w:hint="eastAsia" w:ascii="宋体" w:hAnsi="宋体" w:eastAsia="宋体" w:cs="宋体"/>
                <w:color w:val="auto"/>
                <w:sz w:val="28"/>
                <w:szCs w:val="28"/>
                <w:highlight w:val="none"/>
                <w:lang w:val="en-US" w:eastAsia="zh-CN"/>
              </w:rPr>
              <w:t>乌鲁木齐市五星北路194号新地园大厦1401</w:t>
            </w:r>
          </w:p>
          <w:p w14:paraId="436E9A50">
            <w:pPr>
              <w:snapToGrid w:val="0"/>
              <w:spacing w:line="24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项目联系人：</w:t>
            </w:r>
            <w:r>
              <w:rPr>
                <w:rFonts w:hint="eastAsia" w:ascii="宋体" w:hAnsi="宋体" w:cs="宋体"/>
                <w:color w:val="auto"/>
                <w:sz w:val="28"/>
                <w:szCs w:val="28"/>
                <w:highlight w:val="none"/>
                <w:lang w:eastAsia="zh-CN"/>
              </w:rPr>
              <w:t>梁雪燕</w:t>
            </w:r>
            <w:r>
              <w:rPr>
                <w:rFonts w:hint="eastAsia" w:ascii="宋体" w:hAnsi="宋体" w:eastAsia="宋体" w:cs="宋体"/>
                <w:color w:val="auto"/>
                <w:sz w:val="28"/>
                <w:szCs w:val="28"/>
                <w:highlight w:val="none"/>
                <w:lang w:eastAsia="zh-CN"/>
              </w:rPr>
              <w:t xml:space="preserve"> </w:t>
            </w:r>
          </w:p>
          <w:p w14:paraId="274C1266">
            <w:pPr>
              <w:snapToGrid w:val="0"/>
              <w:spacing w:line="24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项目联系方式：</w:t>
            </w:r>
            <w:r>
              <w:rPr>
                <w:rFonts w:hint="eastAsia" w:ascii="宋体" w:hAnsi="宋体" w:cs="宋体"/>
                <w:color w:val="auto"/>
                <w:sz w:val="28"/>
                <w:szCs w:val="28"/>
                <w:highlight w:val="none"/>
                <w:lang w:val="en-US" w:eastAsia="zh-CN"/>
              </w:rPr>
              <w:t>17690710616</w:t>
            </w:r>
          </w:p>
        </w:tc>
      </w:tr>
      <w:tr w14:paraId="33DE9346">
        <w:tblPrEx>
          <w:tblCellMar>
            <w:top w:w="0" w:type="dxa"/>
            <w:left w:w="108" w:type="dxa"/>
            <w:bottom w:w="0" w:type="dxa"/>
            <w:right w:w="108" w:type="dxa"/>
          </w:tblCellMar>
        </w:tblPrEx>
        <w:trPr>
          <w:trHeight w:val="472"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5068ADBE">
            <w:pPr>
              <w:adjustRightInd w:val="0"/>
              <w:snapToGrid w:val="0"/>
              <w:spacing w:line="24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13D3113D">
            <w:pPr>
              <w:adjustRightInd w:val="0"/>
              <w:snapToGrid w:val="0"/>
              <w:spacing w:line="240" w:lineRule="auto"/>
              <w:jc w:val="center"/>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所属行业</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419DC97D">
            <w:pPr>
              <w:snapToGrid w:val="0"/>
              <w:spacing w:line="24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本项目根据《关于印发中小企业划型标准规定的通知》工信部联企业【2011】300号文件，所属行业划分为</w:t>
            </w:r>
            <w:r>
              <w:rPr>
                <w:rFonts w:hint="eastAsia" w:ascii="宋体" w:hAnsi="宋体" w:eastAsia="宋体" w:cs="宋体"/>
                <w:b/>
                <w:bCs/>
                <w:color w:val="auto"/>
                <w:sz w:val="28"/>
                <w:szCs w:val="28"/>
                <w:highlight w:val="none"/>
                <w:u w:val="single"/>
                <w:lang w:val="en-US" w:eastAsia="zh-CN"/>
              </w:rPr>
              <w:t>其他未列明行业。</w:t>
            </w:r>
          </w:p>
        </w:tc>
      </w:tr>
      <w:tr w14:paraId="5C60C59E">
        <w:tblPrEx>
          <w:tblCellMar>
            <w:top w:w="0" w:type="dxa"/>
            <w:left w:w="108" w:type="dxa"/>
            <w:bottom w:w="0" w:type="dxa"/>
            <w:right w:w="108" w:type="dxa"/>
          </w:tblCellMar>
        </w:tblPrEx>
        <w:trPr>
          <w:trHeight w:val="658"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5F1F9A56">
            <w:pPr>
              <w:adjustRightInd w:val="0"/>
              <w:snapToGrid w:val="0"/>
              <w:spacing w:line="24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5</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0FB525C6">
            <w:pPr>
              <w:adjustRightInd w:val="0"/>
              <w:snapToGrid w:val="0"/>
              <w:spacing w:line="240" w:lineRule="auto"/>
              <w:jc w:val="center"/>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项目预算</w:t>
            </w: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lang w:val="en-US" w:eastAsia="zh-CN"/>
              </w:rPr>
              <w:t>最高限价</w:t>
            </w:r>
            <w:r>
              <w:rPr>
                <w:rFonts w:hint="eastAsia" w:ascii="宋体" w:hAnsi="宋体" w:eastAsia="宋体" w:cs="宋体"/>
                <w:bCs/>
                <w:color w:val="auto"/>
                <w:sz w:val="28"/>
                <w:szCs w:val="28"/>
                <w:highlight w:val="none"/>
                <w:lang w:eastAsia="zh-CN"/>
              </w:rPr>
              <w:t>）</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6A717F30">
            <w:pPr>
              <w:snapToGrid w:val="0"/>
              <w:spacing w:line="240" w:lineRule="auto"/>
              <w:rPr>
                <w:rFonts w:hint="eastAsia" w:ascii="宋体" w:hAnsi="宋体" w:eastAsia="宋体" w:cs="宋体"/>
                <w:color w:val="auto"/>
                <w:sz w:val="28"/>
                <w:szCs w:val="28"/>
                <w:highlight w:val="none"/>
                <w:lang w:val="en-US"/>
              </w:rPr>
            </w:pPr>
            <w:r>
              <w:rPr>
                <w:rFonts w:hint="eastAsia" w:ascii="宋体" w:hAnsi="宋体" w:cs="宋体"/>
                <w:color w:val="auto"/>
                <w:sz w:val="28"/>
                <w:szCs w:val="28"/>
                <w:highlight w:val="none"/>
                <w:lang w:val="en-US" w:eastAsia="zh-CN"/>
              </w:rPr>
              <w:t>42.8</w:t>
            </w:r>
            <w:r>
              <w:rPr>
                <w:rFonts w:hint="eastAsia" w:ascii="宋体" w:hAnsi="宋体" w:eastAsia="宋体" w:cs="宋体"/>
                <w:color w:val="auto"/>
                <w:sz w:val="28"/>
                <w:szCs w:val="28"/>
                <w:highlight w:val="none"/>
                <w:lang w:val="en-US" w:eastAsia="zh-CN"/>
              </w:rPr>
              <w:t>万元</w:t>
            </w:r>
            <w:r>
              <w:rPr>
                <w:rFonts w:hint="eastAsia" w:ascii="宋体" w:hAnsi="宋体" w:cs="宋体"/>
                <w:color w:val="auto"/>
                <w:sz w:val="28"/>
                <w:szCs w:val="28"/>
                <w:highlight w:val="none"/>
                <w:lang w:val="en-US" w:eastAsia="zh-CN"/>
              </w:rPr>
              <w:t>（其中标项一：10.5万元；标项二：12.5万元；标项三：19.8万元）。</w:t>
            </w:r>
          </w:p>
        </w:tc>
      </w:tr>
      <w:tr w14:paraId="6AAD5418">
        <w:tblPrEx>
          <w:tblCellMar>
            <w:top w:w="0" w:type="dxa"/>
            <w:left w:w="108" w:type="dxa"/>
            <w:bottom w:w="0" w:type="dxa"/>
            <w:right w:w="108" w:type="dxa"/>
          </w:tblCellMar>
        </w:tblPrEx>
        <w:trPr>
          <w:trHeight w:val="468"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193C8190">
            <w:pPr>
              <w:adjustRightInd w:val="0"/>
              <w:snapToGrid w:val="0"/>
              <w:spacing w:line="24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6</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04ACC49F">
            <w:pPr>
              <w:adjustRightInd w:val="0"/>
              <w:snapToGrid w:val="0"/>
              <w:spacing w:line="24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资金来源</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1C440ACE">
            <w:pPr>
              <w:snapToGrid w:val="0"/>
              <w:spacing w:line="240" w:lineRule="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财政资金。</w:t>
            </w:r>
          </w:p>
        </w:tc>
      </w:tr>
      <w:tr w14:paraId="35964B26">
        <w:tblPrEx>
          <w:tblCellMar>
            <w:top w:w="0" w:type="dxa"/>
            <w:left w:w="108" w:type="dxa"/>
            <w:bottom w:w="0" w:type="dxa"/>
            <w:right w:w="108" w:type="dxa"/>
          </w:tblCellMar>
        </w:tblPrEx>
        <w:trPr>
          <w:trHeight w:val="623"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4584AD8F">
            <w:pPr>
              <w:adjustRightInd w:val="0"/>
              <w:snapToGrid w:val="0"/>
              <w:spacing w:line="24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7</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1F5E3B98">
            <w:pPr>
              <w:adjustRightInd w:val="0"/>
              <w:snapToGrid w:val="0"/>
              <w:spacing w:line="24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供应商资格条件</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371BA9E5">
            <w:pPr>
              <w:pStyle w:val="25"/>
              <w:keepNext w:val="0"/>
              <w:keepLines w:val="0"/>
              <w:widowControl/>
              <w:suppressLineNumbers w:val="0"/>
              <w:spacing w:line="240" w:lineRule="atLeas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1.满足《中华人民共和国政府采购法》第二十二条规定；</w:t>
            </w:r>
          </w:p>
          <w:p w14:paraId="285E068F">
            <w:pPr>
              <w:pStyle w:val="25"/>
              <w:keepNext w:val="0"/>
              <w:keepLines w:val="0"/>
              <w:widowControl/>
              <w:suppressLineNumbers w:val="0"/>
              <w:spacing w:line="240" w:lineRule="atLeas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2.落实政府采购政策需满足的资格要求：</w:t>
            </w:r>
            <w:r>
              <w:rPr>
                <w:rFonts w:hint="eastAsia" w:cs="宋体"/>
                <w:color w:val="auto"/>
                <w:sz w:val="28"/>
                <w:szCs w:val="28"/>
                <w:highlight w:val="none"/>
                <w:lang w:val="en-US" w:eastAsia="zh-CN"/>
              </w:rPr>
              <w:t>面向中小企业；标项2、标项3：面向小微企业。</w:t>
            </w:r>
            <w:r>
              <w:rPr>
                <w:rFonts w:hint="eastAsia" w:ascii="宋体" w:hAnsi="宋体" w:eastAsia="宋体" w:cs="宋体"/>
                <w:color w:val="auto"/>
                <w:sz w:val="28"/>
                <w:szCs w:val="28"/>
                <w:highlight w:val="none"/>
              </w:rPr>
              <w:t> </w:t>
            </w:r>
            <w:r>
              <w:rPr>
                <w:rFonts w:hint="eastAsia" w:ascii="宋体" w:hAnsi="宋体" w:eastAsia="宋体" w:cs="宋体"/>
                <w:color w:val="auto"/>
                <w:kern w:val="2"/>
                <w:sz w:val="28"/>
                <w:szCs w:val="28"/>
                <w:highlight w:val="none"/>
                <w:lang w:val="en-US" w:eastAsia="zh-CN" w:bidi="ar-SA"/>
              </w:rPr>
              <w:t> </w:t>
            </w:r>
          </w:p>
          <w:p w14:paraId="6FE777F7">
            <w:pPr>
              <w:pStyle w:val="25"/>
              <w:keepNext w:val="0"/>
              <w:keepLines w:val="0"/>
              <w:widowControl/>
              <w:suppressLineNumbers w:val="0"/>
              <w:spacing w:line="240" w:lineRule="atLeas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3.本项目的特定资格要求：</w:t>
            </w:r>
            <w:r>
              <w:rPr>
                <w:rFonts w:hint="eastAsia" w:cs="宋体"/>
                <w:color w:val="auto"/>
                <w:kern w:val="2"/>
                <w:sz w:val="28"/>
                <w:szCs w:val="28"/>
                <w:highlight w:val="none"/>
                <w:lang w:val="en-US" w:eastAsia="zh-CN" w:bidi="ar-SA"/>
              </w:rPr>
              <w:t>/</w:t>
            </w:r>
          </w:p>
        </w:tc>
      </w:tr>
      <w:tr w14:paraId="4C41832D">
        <w:tblPrEx>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14DBCED0">
            <w:pPr>
              <w:adjustRightInd w:val="0"/>
              <w:snapToGrid w:val="0"/>
              <w:spacing w:line="24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8</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6C6B3020">
            <w:pPr>
              <w:adjustRightInd w:val="0"/>
              <w:snapToGrid w:val="0"/>
              <w:spacing w:line="24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联合体投标</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6AF4F2BD">
            <w:pPr>
              <w:adjustRightInd w:val="0"/>
              <w:snapToGrid w:val="0"/>
              <w:spacing w:line="240" w:lineRule="auto"/>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sym w:font="Wingdings" w:char="00FE"/>
            </w:r>
            <w:r>
              <w:rPr>
                <w:rFonts w:hint="eastAsia" w:ascii="宋体" w:hAnsi="宋体" w:eastAsia="宋体" w:cs="宋体"/>
                <w:bCs/>
                <w:color w:val="auto"/>
                <w:sz w:val="28"/>
                <w:szCs w:val="28"/>
                <w:highlight w:val="none"/>
              </w:rPr>
              <w:t xml:space="preserve">不接受 </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sym w:font="Wingdings" w:char="00A8"/>
            </w:r>
            <w:r>
              <w:rPr>
                <w:rFonts w:hint="eastAsia" w:ascii="宋体" w:hAnsi="宋体" w:eastAsia="宋体" w:cs="宋体"/>
                <w:bCs/>
                <w:color w:val="auto"/>
                <w:sz w:val="28"/>
                <w:szCs w:val="28"/>
                <w:highlight w:val="none"/>
              </w:rPr>
              <w:t>接受</w:t>
            </w:r>
          </w:p>
          <w:p w14:paraId="43BF4964">
            <w:pPr>
              <w:adjustRightInd w:val="0"/>
              <w:snapToGrid w:val="0"/>
              <w:spacing w:line="240" w:lineRule="auto"/>
              <w:jc w:val="left"/>
              <w:rPr>
                <w:rFonts w:hint="eastAsia" w:ascii="宋体" w:hAnsi="宋体" w:eastAsia="宋体" w:cs="宋体"/>
                <w:color w:val="auto"/>
                <w:sz w:val="28"/>
                <w:szCs w:val="28"/>
                <w:highlight w:val="none"/>
                <w:lang w:val="en-US" w:eastAsia="zh-CN"/>
              </w:rPr>
            </w:pPr>
            <w:r>
              <w:rPr>
                <w:rFonts w:hint="eastAsia" w:ascii="宋体" w:hAnsi="宋体" w:eastAsia="宋体" w:cs="宋体"/>
                <w:bCs/>
                <w:color w:val="auto"/>
                <w:sz w:val="28"/>
                <w:szCs w:val="28"/>
                <w:highlight w:val="none"/>
              </w:rPr>
              <w:t>应满足要求：</w:t>
            </w:r>
            <w:r>
              <w:rPr>
                <w:rFonts w:hint="eastAsia" w:ascii="宋体" w:hAnsi="宋体" w:eastAsia="宋体" w:cs="宋体"/>
                <w:bCs/>
                <w:color w:val="auto"/>
                <w:sz w:val="28"/>
                <w:szCs w:val="28"/>
                <w:highlight w:val="none"/>
                <w:lang w:val="en-US" w:eastAsia="zh-CN"/>
              </w:rPr>
              <w:t>/</w:t>
            </w:r>
          </w:p>
        </w:tc>
      </w:tr>
      <w:tr w14:paraId="028207BA">
        <w:tblPrEx>
          <w:tblCellMar>
            <w:top w:w="0" w:type="dxa"/>
            <w:left w:w="108" w:type="dxa"/>
            <w:bottom w:w="0" w:type="dxa"/>
            <w:right w:w="108" w:type="dxa"/>
          </w:tblCellMar>
        </w:tblPrEx>
        <w:trPr>
          <w:trHeight w:val="658"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2CA80394">
            <w:pPr>
              <w:adjustRightInd w:val="0"/>
              <w:snapToGrid w:val="0"/>
              <w:spacing w:line="24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9</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78EE65C2">
            <w:pPr>
              <w:adjustRightInd w:val="0"/>
              <w:snapToGrid w:val="0"/>
              <w:spacing w:line="24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现场踏勘</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74421137">
            <w:pPr>
              <w:adjustRightInd w:val="0"/>
              <w:snapToGrid w:val="0"/>
              <w:spacing w:line="240" w:lineRule="auto"/>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sym w:font="Wingdings" w:char="00FE"/>
            </w:r>
            <w:r>
              <w:rPr>
                <w:rFonts w:hint="eastAsia" w:ascii="宋体" w:hAnsi="宋体" w:eastAsia="宋体" w:cs="宋体"/>
                <w:bCs/>
                <w:color w:val="auto"/>
                <w:sz w:val="28"/>
                <w:szCs w:val="28"/>
                <w:highlight w:val="none"/>
              </w:rPr>
              <w:t>不组织</w:t>
            </w:r>
          </w:p>
          <w:p w14:paraId="15AE0FAC">
            <w:pPr>
              <w:adjustRightInd w:val="0"/>
              <w:snapToGrid w:val="0"/>
              <w:spacing w:line="240" w:lineRule="auto"/>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sym w:font="Wingdings" w:char="00A8"/>
            </w:r>
            <w:r>
              <w:rPr>
                <w:rFonts w:hint="eastAsia" w:ascii="宋体" w:hAnsi="宋体" w:eastAsia="宋体" w:cs="宋体"/>
                <w:bCs/>
                <w:color w:val="auto"/>
                <w:sz w:val="28"/>
                <w:szCs w:val="28"/>
                <w:highlight w:val="none"/>
              </w:rPr>
              <w:t>组织</w:t>
            </w:r>
          </w:p>
        </w:tc>
      </w:tr>
      <w:tr w14:paraId="7AAA72F2">
        <w:tblPrEx>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1BAA551A">
            <w:pPr>
              <w:adjustRightInd w:val="0"/>
              <w:snapToGrid w:val="0"/>
              <w:spacing w:line="24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10</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0A7CC9F0">
            <w:pPr>
              <w:adjustRightInd w:val="0"/>
              <w:snapToGrid w:val="0"/>
              <w:spacing w:line="24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是否允许递交备选投标方案</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18FE9E12">
            <w:pPr>
              <w:adjustRightInd w:val="0"/>
              <w:snapToGrid w:val="0"/>
              <w:spacing w:line="240" w:lineRule="auto"/>
              <w:jc w:val="left"/>
              <w:rPr>
                <w:rFonts w:hint="eastAsia" w:ascii="宋体" w:hAnsi="宋体" w:eastAsia="宋体" w:cs="宋体"/>
                <w:bCs/>
                <w:color w:val="auto"/>
                <w:sz w:val="28"/>
                <w:szCs w:val="28"/>
                <w:highlight w:val="none"/>
              </w:rPr>
            </w:pP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 eq \o\ac(</w:instrText>
            </w:r>
            <w:r>
              <w:rPr>
                <w:rFonts w:hint="eastAsia" w:ascii="宋体" w:hAnsi="宋体" w:eastAsia="宋体" w:cs="宋体"/>
                <w:b/>
                <w:color w:val="auto"/>
                <w:position w:val="-5"/>
                <w:sz w:val="42"/>
                <w:szCs w:val="28"/>
                <w:highlight w:val="none"/>
              </w:rPr>
              <w:instrText xml:space="preserve">□</w:instrText>
            </w:r>
            <w:r>
              <w:rPr>
                <w:rFonts w:hint="eastAsia" w:ascii="宋体" w:hAnsi="宋体" w:eastAsia="宋体" w:cs="宋体"/>
                <w:b/>
                <w:color w:val="auto"/>
                <w:position w:val="0"/>
                <w:sz w:val="28"/>
                <w:szCs w:val="28"/>
                <w:highlight w:val="none"/>
              </w:rPr>
              <w:instrText xml:space="preserve">,√)</w:instrText>
            </w:r>
            <w:r>
              <w:rPr>
                <w:rFonts w:hint="eastAsia" w:ascii="宋体" w:hAnsi="宋体" w:eastAsia="宋体" w:cs="宋体"/>
                <w:b/>
                <w:color w:val="auto"/>
                <w:sz w:val="28"/>
                <w:szCs w:val="28"/>
                <w:highlight w:val="none"/>
              </w:rPr>
              <w:fldChar w:fldCharType="end"/>
            </w:r>
            <w:r>
              <w:rPr>
                <w:rFonts w:hint="eastAsia" w:ascii="宋体" w:hAnsi="宋体" w:eastAsia="宋体" w:cs="宋体"/>
                <w:bCs/>
                <w:color w:val="auto"/>
                <w:sz w:val="28"/>
                <w:szCs w:val="28"/>
                <w:highlight w:val="none"/>
              </w:rPr>
              <w:t>不允许</w:t>
            </w:r>
          </w:p>
          <w:p w14:paraId="215F5295">
            <w:pPr>
              <w:adjustRightInd w:val="0"/>
              <w:snapToGrid w:val="0"/>
              <w:spacing w:line="240" w:lineRule="auto"/>
              <w:jc w:val="left"/>
              <w:rPr>
                <w:rFonts w:hint="eastAsia" w:ascii="宋体" w:hAnsi="宋体" w:eastAsia="宋体" w:cs="宋体"/>
                <w:bCs/>
                <w:color w:val="auto"/>
                <w:sz w:val="28"/>
                <w:szCs w:val="28"/>
                <w:highlight w:val="none"/>
              </w:rPr>
            </w:pPr>
            <w:r>
              <w:rPr>
                <w:rFonts w:hint="eastAsia" w:ascii="宋体" w:hAnsi="宋体" w:eastAsia="宋体" w:cs="宋体"/>
                <w:b/>
                <w:color w:val="auto"/>
                <w:sz w:val="28"/>
                <w:szCs w:val="28"/>
                <w:highlight w:val="none"/>
              </w:rPr>
              <w:t>□</w:t>
            </w:r>
            <w:r>
              <w:rPr>
                <w:rFonts w:hint="eastAsia" w:ascii="宋体" w:hAnsi="宋体" w:eastAsia="宋体" w:cs="宋体"/>
                <w:bCs/>
                <w:color w:val="auto"/>
                <w:sz w:val="28"/>
                <w:szCs w:val="28"/>
                <w:highlight w:val="none"/>
              </w:rPr>
              <w:t>允许</w:t>
            </w:r>
          </w:p>
        </w:tc>
      </w:tr>
      <w:tr w14:paraId="408F1CAC">
        <w:tblPrEx>
          <w:tblCellMar>
            <w:top w:w="0" w:type="dxa"/>
            <w:left w:w="108" w:type="dxa"/>
            <w:bottom w:w="0" w:type="dxa"/>
            <w:right w:w="108" w:type="dxa"/>
          </w:tblCellMar>
        </w:tblPrEx>
        <w:trPr>
          <w:trHeight w:val="43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48DC55F1">
            <w:pPr>
              <w:adjustRightInd w:val="0"/>
              <w:snapToGrid w:val="0"/>
              <w:spacing w:line="24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11</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19AB51D5">
            <w:pPr>
              <w:adjustRightInd w:val="0"/>
              <w:snapToGrid w:val="0"/>
              <w:spacing w:line="240" w:lineRule="auto"/>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响应文件有效期</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69913BD1">
            <w:pPr>
              <w:adjustRightInd w:val="0"/>
              <w:snapToGrid w:val="0"/>
              <w:spacing w:line="240" w:lineRule="auto"/>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提交响应文件的截止之日起90天</w:t>
            </w:r>
          </w:p>
        </w:tc>
      </w:tr>
      <w:tr w14:paraId="770EFC2D">
        <w:tblPrEx>
          <w:tblCellMar>
            <w:top w:w="0" w:type="dxa"/>
            <w:left w:w="108" w:type="dxa"/>
            <w:bottom w:w="0" w:type="dxa"/>
            <w:right w:w="108" w:type="dxa"/>
          </w:tblCellMar>
        </w:tblPrEx>
        <w:trPr>
          <w:trHeight w:val="353"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6F0F2B1C">
            <w:pPr>
              <w:adjustRightInd w:val="0"/>
              <w:snapToGrid w:val="0"/>
              <w:spacing w:line="24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12</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34C71C80">
            <w:pPr>
              <w:adjustRightInd w:val="0"/>
              <w:snapToGrid w:val="0"/>
              <w:spacing w:line="24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评标标准及方法</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2CF08FC9">
            <w:pPr>
              <w:adjustRightInd w:val="0"/>
              <w:snapToGrid w:val="0"/>
              <w:spacing w:line="240" w:lineRule="auto"/>
              <w:jc w:val="left"/>
              <w:rPr>
                <w:rFonts w:hint="eastAsia" w:ascii="宋体" w:hAnsi="宋体" w:eastAsia="宋体" w:cs="宋体"/>
                <w:color w:val="auto"/>
                <w:sz w:val="28"/>
                <w:szCs w:val="28"/>
                <w:highlight w:val="none"/>
                <w:lang w:eastAsia="zh-CN"/>
              </w:rPr>
            </w:pPr>
            <w:r>
              <w:rPr>
                <w:rFonts w:hint="eastAsia" w:ascii="宋体" w:hAnsi="宋体" w:eastAsia="宋体" w:cs="宋体"/>
                <w:bCs/>
                <w:color w:val="auto"/>
                <w:sz w:val="28"/>
                <w:szCs w:val="28"/>
                <w:highlight w:val="none"/>
              </w:rPr>
              <w:t>综合评分法</w:t>
            </w:r>
          </w:p>
        </w:tc>
      </w:tr>
      <w:tr w14:paraId="4F05FC16">
        <w:tblPrEx>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7C0BAB1E">
            <w:pPr>
              <w:adjustRightInd w:val="0"/>
              <w:snapToGrid w:val="0"/>
              <w:spacing w:line="24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13</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205CFA1F">
            <w:pPr>
              <w:adjustRightInd w:val="0"/>
              <w:snapToGrid w:val="0"/>
              <w:spacing w:line="24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质量要求</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29F5E72E">
            <w:pPr>
              <w:adjustRightInd w:val="0"/>
              <w:snapToGrid w:val="0"/>
              <w:spacing w:line="24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符合现行国家有关规范和标准</w:t>
            </w:r>
          </w:p>
        </w:tc>
      </w:tr>
      <w:tr w14:paraId="6B95A25B">
        <w:tblPrEx>
          <w:tblCellMar>
            <w:top w:w="0" w:type="dxa"/>
            <w:left w:w="108" w:type="dxa"/>
            <w:bottom w:w="0" w:type="dxa"/>
            <w:right w:w="108" w:type="dxa"/>
          </w:tblCellMar>
        </w:tblPrEx>
        <w:trPr>
          <w:trHeight w:val="35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11105EE0">
            <w:pPr>
              <w:adjustRightInd w:val="0"/>
              <w:snapToGrid w:val="0"/>
              <w:spacing w:line="240" w:lineRule="auto"/>
              <w:jc w:val="center"/>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1</w:t>
            </w:r>
            <w:r>
              <w:rPr>
                <w:rFonts w:hint="eastAsia" w:ascii="宋体" w:hAnsi="宋体" w:eastAsia="宋体" w:cs="宋体"/>
                <w:bCs/>
                <w:color w:val="auto"/>
                <w:sz w:val="28"/>
                <w:szCs w:val="28"/>
                <w:highlight w:val="none"/>
                <w:lang w:val="en-US" w:eastAsia="zh-CN"/>
              </w:rPr>
              <w:t>4</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40207B3F">
            <w:pPr>
              <w:adjustRightInd w:val="0"/>
              <w:snapToGrid w:val="0"/>
              <w:spacing w:line="24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项目地点</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603FE618">
            <w:pPr>
              <w:adjustRightInd w:val="0"/>
              <w:snapToGrid w:val="0"/>
              <w:spacing w:line="240" w:lineRule="auto"/>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eastAsia="zh-CN"/>
              </w:rPr>
              <w:t>采购人指定地点</w:t>
            </w:r>
          </w:p>
        </w:tc>
      </w:tr>
      <w:tr w14:paraId="5D5487C6">
        <w:tblPrEx>
          <w:tblCellMar>
            <w:top w:w="0" w:type="dxa"/>
            <w:left w:w="108" w:type="dxa"/>
            <w:bottom w:w="0" w:type="dxa"/>
            <w:right w:w="108" w:type="dxa"/>
          </w:tblCellMar>
        </w:tblPrEx>
        <w:trPr>
          <w:trHeight w:val="419"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5FD71F35">
            <w:pPr>
              <w:adjustRightInd w:val="0"/>
              <w:snapToGrid w:val="0"/>
              <w:spacing w:line="240" w:lineRule="auto"/>
              <w:jc w:val="center"/>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1</w:t>
            </w:r>
            <w:r>
              <w:rPr>
                <w:rFonts w:hint="eastAsia" w:ascii="宋体" w:hAnsi="宋体" w:eastAsia="宋体" w:cs="宋体"/>
                <w:bCs/>
                <w:color w:val="auto"/>
                <w:sz w:val="28"/>
                <w:szCs w:val="28"/>
                <w:highlight w:val="none"/>
                <w:lang w:val="en-US" w:eastAsia="zh-CN"/>
              </w:rPr>
              <w:t>5</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7B141F6F">
            <w:pPr>
              <w:adjustRightInd w:val="0"/>
              <w:snapToGrid w:val="0"/>
              <w:spacing w:line="240" w:lineRule="auto"/>
              <w:jc w:val="center"/>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eastAsia="zh-CN"/>
              </w:rPr>
              <w:t>合同履约期限（</w:t>
            </w:r>
            <w:r>
              <w:rPr>
                <w:rFonts w:hint="eastAsia" w:ascii="宋体" w:hAnsi="宋体" w:eastAsia="宋体" w:cs="宋体"/>
                <w:bCs/>
                <w:color w:val="auto"/>
                <w:sz w:val="28"/>
                <w:szCs w:val="28"/>
                <w:highlight w:val="none"/>
                <w:lang w:val="en-US" w:eastAsia="zh-CN"/>
              </w:rPr>
              <w:t>工期</w:t>
            </w:r>
            <w:r>
              <w:rPr>
                <w:rFonts w:hint="eastAsia" w:ascii="宋体" w:hAnsi="宋体" w:eastAsia="宋体" w:cs="宋体"/>
                <w:bCs/>
                <w:color w:val="auto"/>
                <w:sz w:val="28"/>
                <w:szCs w:val="28"/>
                <w:highlight w:val="none"/>
                <w:lang w:eastAsia="zh-CN"/>
              </w:rPr>
              <w:t>）</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24BAA639">
            <w:pPr>
              <w:adjustRightInd w:val="0"/>
              <w:snapToGrid w:val="0"/>
              <w:spacing w:line="240" w:lineRule="auto"/>
              <w:jc w:val="both"/>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暂定一年（具体以签订合同为准）</w:t>
            </w:r>
          </w:p>
        </w:tc>
      </w:tr>
      <w:tr w14:paraId="39B477D8">
        <w:tblPrEx>
          <w:tblCellMar>
            <w:top w:w="0" w:type="dxa"/>
            <w:left w:w="108" w:type="dxa"/>
            <w:bottom w:w="0" w:type="dxa"/>
            <w:right w:w="108" w:type="dxa"/>
          </w:tblCellMar>
        </w:tblPrEx>
        <w:trPr>
          <w:trHeight w:val="398"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627B87D3">
            <w:pPr>
              <w:adjustRightInd w:val="0"/>
              <w:snapToGrid w:val="0"/>
              <w:spacing w:line="240" w:lineRule="auto"/>
              <w:jc w:val="center"/>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1</w:t>
            </w:r>
            <w:r>
              <w:rPr>
                <w:rFonts w:hint="eastAsia" w:ascii="宋体" w:hAnsi="宋体" w:eastAsia="宋体" w:cs="宋体"/>
                <w:bCs/>
                <w:color w:val="auto"/>
                <w:sz w:val="28"/>
                <w:szCs w:val="28"/>
                <w:highlight w:val="none"/>
                <w:lang w:val="en-US" w:eastAsia="zh-CN"/>
              </w:rPr>
              <w:t>6</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3A1161BB">
            <w:pPr>
              <w:adjustRightInd w:val="0"/>
              <w:snapToGrid w:val="0"/>
              <w:spacing w:line="24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投标报价</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42A0380C">
            <w:pPr>
              <w:adjustRightInd w:val="0"/>
              <w:snapToGrid w:val="0"/>
              <w:spacing w:line="24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投标报价包括采购范围内所有项目包含的全部费用。</w:t>
            </w:r>
          </w:p>
        </w:tc>
      </w:tr>
      <w:tr w14:paraId="6ED5C1C6">
        <w:tblPrEx>
          <w:tblCellMar>
            <w:top w:w="0" w:type="dxa"/>
            <w:left w:w="108" w:type="dxa"/>
            <w:bottom w:w="0" w:type="dxa"/>
            <w:right w:w="108" w:type="dxa"/>
          </w:tblCellMar>
        </w:tblPrEx>
        <w:trPr>
          <w:trHeight w:val="598"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767331FA">
            <w:pPr>
              <w:tabs>
                <w:tab w:val="left" w:pos="215"/>
              </w:tabs>
              <w:adjustRightInd w:val="0"/>
              <w:snapToGrid w:val="0"/>
              <w:spacing w:line="240" w:lineRule="auto"/>
              <w:jc w:val="center"/>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1</w:t>
            </w:r>
            <w:r>
              <w:rPr>
                <w:rFonts w:hint="eastAsia" w:ascii="宋体" w:hAnsi="宋体" w:eastAsia="宋体" w:cs="宋体"/>
                <w:bCs/>
                <w:color w:val="auto"/>
                <w:sz w:val="28"/>
                <w:szCs w:val="28"/>
                <w:highlight w:val="none"/>
                <w:lang w:val="en-US" w:eastAsia="zh-CN"/>
              </w:rPr>
              <w:t>7</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6FFABA39">
            <w:pPr>
              <w:adjustRightInd w:val="0"/>
              <w:snapToGrid w:val="0"/>
              <w:spacing w:line="24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履约保证金</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044D960C">
            <w:pPr>
              <w:adjustRightInd w:val="0"/>
              <w:snapToGrid w:val="0"/>
              <w:spacing w:line="240" w:lineRule="auto"/>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val="en-US" w:eastAsia="zh-CN"/>
              </w:rPr>
              <w:t>/</w:t>
            </w:r>
          </w:p>
        </w:tc>
      </w:tr>
      <w:tr w14:paraId="451864A5">
        <w:tblPrEx>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5D869B00">
            <w:pPr>
              <w:tabs>
                <w:tab w:val="left" w:pos="215"/>
              </w:tabs>
              <w:adjustRightInd w:val="0"/>
              <w:snapToGrid w:val="0"/>
              <w:spacing w:line="240" w:lineRule="auto"/>
              <w:jc w:val="center"/>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18</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78EA5613">
            <w:pPr>
              <w:adjustRightInd w:val="0"/>
              <w:snapToGrid w:val="0"/>
              <w:spacing w:line="240" w:lineRule="auto"/>
              <w:jc w:val="center"/>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付款方式</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13F0A513">
            <w:pPr>
              <w:adjustRightInd w:val="0"/>
              <w:snapToGrid w:val="0"/>
              <w:spacing w:line="240" w:lineRule="auto"/>
              <w:jc w:val="left"/>
              <w:rPr>
                <w:rFonts w:hint="eastAsia" w:ascii="宋体" w:hAnsi="宋体" w:eastAsia="宋体" w:cs="宋体"/>
                <w:bCs/>
                <w:color w:val="auto"/>
                <w:sz w:val="28"/>
                <w:szCs w:val="28"/>
                <w:highlight w:val="none"/>
                <w:lang w:val="en-US" w:eastAsia="zh-CN"/>
              </w:rPr>
            </w:pPr>
            <w:r>
              <w:rPr>
                <w:rFonts w:hint="eastAsia" w:ascii="宋体" w:hAnsi="宋体" w:eastAsia="宋体" w:cs="宋体"/>
                <w:spacing w:val="-2"/>
                <w:sz w:val="28"/>
                <w:szCs w:val="28"/>
                <w:highlight w:val="none"/>
              </w:rPr>
              <w:t>具体以签订合同为准</w:t>
            </w:r>
          </w:p>
        </w:tc>
      </w:tr>
      <w:tr w14:paraId="040B51BE">
        <w:tblPrEx>
          <w:tblCellMar>
            <w:top w:w="0" w:type="dxa"/>
            <w:left w:w="108" w:type="dxa"/>
            <w:bottom w:w="0" w:type="dxa"/>
            <w:right w:w="108" w:type="dxa"/>
          </w:tblCellMar>
        </w:tblPrEx>
        <w:trPr>
          <w:trHeight w:val="319"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1F31D62D">
            <w:pPr>
              <w:adjustRightInd w:val="0"/>
              <w:snapToGrid w:val="0"/>
              <w:spacing w:line="240" w:lineRule="auto"/>
              <w:jc w:val="center"/>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19</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41C98A17">
            <w:pPr>
              <w:adjustRightInd w:val="0"/>
              <w:snapToGrid w:val="0"/>
              <w:spacing w:line="240" w:lineRule="auto"/>
              <w:jc w:val="center"/>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sz w:val="28"/>
                <w:szCs w:val="28"/>
                <w:highlight w:val="none"/>
              </w:rPr>
              <w:t>磋商小组的组建及评审专家的确定方式</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01CF2864">
            <w:pPr>
              <w:pStyle w:val="25"/>
              <w:spacing w:before="75" w:after="75" w:line="240" w:lineRule="auto"/>
              <w:ind w:left="0" w:leftChars="0" w:firstLine="0" w:firstLineChars="0"/>
              <w:rPr>
                <w:rFonts w:hint="eastAsia" w:ascii="宋体" w:hAnsi="宋体" w:eastAsia="宋体" w:cs="宋体"/>
                <w:bCs/>
                <w:color w:val="auto"/>
                <w:kern w:val="0"/>
                <w:sz w:val="28"/>
                <w:szCs w:val="28"/>
                <w:highlight w:val="none"/>
                <w:lang w:val="en-US" w:eastAsia="zh-CN" w:bidi="ar-SA"/>
              </w:rPr>
            </w:pPr>
            <w:r>
              <w:rPr>
                <w:rFonts w:hint="eastAsia" w:ascii="宋体" w:hAnsi="宋体" w:eastAsia="宋体" w:cs="宋体"/>
                <w:color w:val="auto"/>
                <w:sz w:val="28"/>
                <w:szCs w:val="28"/>
                <w:highlight w:val="none"/>
              </w:rPr>
              <w:t>依法组建磋商小组</w:t>
            </w:r>
            <w:r>
              <w:rPr>
                <w:rFonts w:hint="eastAsia" w:ascii="宋体" w:hAnsi="宋体" w:eastAsia="宋体" w:cs="宋体"/>
                <w:color w:val="auto"/>
                <w:sz w:val="28"/>
                <w:szCs w:val="28"/>
                <w:highlight w:val="none"/>
                <w:lang w:val="en-US" w:eastAsia="zh-CN"/>
              </w:rPr>
              <w:t>至少</w:t>
            </w:r>
            <w:r>
              <w:rPr>
                <w:rFonts w:hint="eastAsia" w:ascii="宋体" w:hAnsi="宋体" w:eastAsia="宋体" w:cs="宋体"/>
                <w:color w:val="auto"/>
                <w:sz w:val="28"/>
                <w:szCs w:val="28"/>
                <w:highlight w:val="none"/>
              </w:rPr>
              <w:t>3人</w:t>
            </w:r>
            <w:r>
              <w:rPr>
                <w:rFonts w:hint="eastAsia" w:ascii="宋体" w:hAnsi="宋体" w:eastAsia="宋体" w:cs="宋体"/>
                <w:color w:val="auto"/>
                <w:sz w:val="28"/>
                <w:szCs w:val="28"/>
                <w:highlight w:val="none"/>
                <w:lang w:eastAsia="zh-CN"/>
              </w:rPr>
              <w:t>及</w:t>
            </w:r>
            <w:r>
              <w:rPr>
                <w:rFonts w:hint="eastAsia" w:ascii="宋体" w:hAnsi="宋体" w:eastAsia="宋体" w:cs="宋体"/>
                <w:color w:val="auto"/>
                <w:sz w:val="28"/>
                <w:szCs w:val="28"/>
                <w:highlight w:val="none"/>
                <w:lang w:val="en-US" w:eastAsia="zh-CN"/>
              </w:rPr>
              <w:t>以上</w:t>
            </w:r>
            <w:r>
              <w:rPr>
                <w:rFonts w:hint="eastAsia" w:ascii="宋体" w:hAnsi="宋体" w:eastAsia="宋体" w:cs="宋体"/>
                <w:color w:val="auto"/>
                <w:sz w:val="28"/>
                <w:szCs w:val="28"/>
                <w:highlight w:val="none"/>
              </w:rPr>
              <w:t>组成。</w:t>
            </w:r>
          </w:p>
        </w:tc>
      </w:tr>
      <w:tr w14:paraId="747B8882">
        <w:tblPrEx>
          <w:tblCellMar>
            <w:top w:w="0" w:type="dxa"/>
            <w:left w:w="108" w:type="dxa"/>
            <w:bottom w:w="0" w:type="dxa"/>
            <w:right w:w="108" w:type="dxa"/>
          </w:tblCellMar>
        </w:tblPrEx>
        <w:trPr>
          <w:trHeight w:val="1443"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52A2CEB0">
            <w:pPr>
              <w:adjustRightInd w:val="0"/>
              <w:snapToGrid w:val="0"/>
              <w:spacing w:line="240" w:lineRule="auto"/>
              <w:jc w:val="center"/>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20</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59FED60D">
            <w:pPr>
              <w:pStyle w:val="43"/>
              <w:spacing w:line="240" w:lineRule="auto"/>
              <w:jc w:val="center"/>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sz w:val="28"/>
                <w:szCs w:val="28"/>
                <w:highlight w:val="none"/>
              </w:rPr>
              <w:t>投标保证金</w:t>
            </w:r>
          </w:p>
        </w:tc>
        <w:tc>
          <w:tcPr>
            <w:tcW w:w="6760" w:type="dxa"/>
            <w:tcBorders>
              <w:top w:val="single" w:color="auto" w:sz="4" w:space="0"/>
              <w:left w:val="single" w:color="auto" w:sz="4" w:space="0"/>
              <w:bottom w:val="single" w:color="auto" w:sz="4" w:space="0"/>
              <w:right w:val="single" w:color="auto" w:sz="4" w:space="0"/>
            </w:tcBorders>
            <w:noWrap w:val="0"/>
            <w:vAlign w:val="top"/>
          </w:tcPr>
          <w:p w14:paraId="246861D7">
            <w:pPr>
              <w:numPr>
                <w:ilvl w:val="0"/>
                <w:numId w:val="0"/>
              </w:numPr>
              <w:adjustRightInd w:val="0"/>
              <w:snapToGrid w:val="0"/>
              <w:spacing w:line="360" w:lineRule="auto"/>
              <w:rPr>
                <w:rFonts w:hint="eastAsia" w:ascii="宋体" w:hAnsi="宋体" w:eastAsia="宋体" w:cs="宋体"/>
                <w:bCs/>
                <w:color w:val="auto"/>
                <w:sz w:val="28"/>
                <w:szCs w:val="28"/>
                <w:highlight w:val="none"/>
                <w:lang w:bidi="ar"/>
              </w:rPr>
            </w:pPr>
            <w:r>
              <w:rPr>
                <w:rFonts w:hint="eastAsia" w:ascii="宋体" w:hAnsi="宋体" w:eastAsia="宋体" w:cs="宋体"/>
                <w:bCs/>
                <w:color w:val="auto"/>
                <w:kern w:val="2"/>
                <w:sz w:val="28"/>
                <w:szCs w:val="28"/>
                <w:lang w:val="en-US" w:eastAsia="zh-CN" w:bidi="ar"/>
              </w:rPr>
              <w:t>一、</w:t>
            </w:r>
            <w:r>
              <w:rPr>
                <w:rFonts w:hint="eastAsia" w:ascii="宋体" w:hAnsi="宋体" w:eastAsia="宋体" w:cs="宋体"/>
                <w:bCs/>
                <w:color w:val="auto"/>
                <w:sz w:val="28"/>
                <w:szCs w:val="28"/>
                <w:highlight w:val="none"/>
                <w:lang w:bidi="ar"/>
              </w:rPr>
              <w:t>投标保证金：</w:t>
            </w:r>
          </w:p>
          <w:p w14:paraId="7C4EF722">
            <w:pPr>
              <w:numPr>
                <w:ilvl w:val="0"/>
                <w:numId w:val="0"/>
              </w:numPr>
              <w:adjustRightInd w:val="0"/>
              <w:snapToGrid w:val="0"/>
              <w:spacing w:line="360" w:lineRule="auto"/>
              <w:rPr>
                <w:rFonts w:hint="eastAsia" w:ascii="宋体" w:hAnsi="宋体" w:cs="宋体"/>
                <w:bCs/>
                <w:color w:val="auto"/>
                <w:sz w:val="28"/>
                <w:szCs w:val="28"/>
                <w:highlight w:val="none"/>
                <w:lang w:val="en-US" w:eastAsia="zh-CN" w:bidi="ar"/>
              </w:rPr>
            </w:pPr>
            <w:r>
              <w:rPr>
                <w:rFonts w:hint="eastAsia" w:ascii="宋体" w:hAnsi="宋体" w:cs="宋体"/>
                <w:bCs/>
                <w:color w:val="auto"/>
                <w:sz w:val="28"/>
                <w:szCs w:val="28"/>
                <w:highlight w:val="none"/>
                <w:lang w:val="en-US" w:eastAsia="zh-CN" w:bidi="ar"/>
              </w:rPr>
              <w:t>小写：标项一：1050.00元；标项二：1250.00元；标项三：1980.00元</w:t>
            </w:r>
          </w:p>
          <w:p w14:paraId="6A0EB068">
            <w:pPr>
              <w:numPr>
                <w:ilvl w:val="0"/>
                <w:numId w:val="0"/>
              </w:numPr>
              <w:adjustRightInd w:val="0"/>
              <w:snapToGrid w:val="0"/>
              <w:spacing w:line="360" w:lineRule="auto"/>
              <w:rPr>
                <w:rFonts w:hint="eastAsia" w:ascii="宋体" w:hAnsi="宋体" w:eastAsia="宋体" w:cs="宋体"/>
                <w:bCs/>
                <w:color w:val="auto"/>
                <w:sz w:val="28"/>
                <w:szCs w:val="28"/>
                <w:highlight w:val="none"/>
                <w:lang w:bidi="ar"/>
              </w:rPr>
            </w:pPr>
            <w:r>
              <w:rPr>
                <w:rFonts w:hint="eastAsia" w:ascii="宋体" w:hAnsi="宋体" w:eastAsia="宋体" w:cs="宋体"/>
                <w:bCs/>
                <w:color w:val="auto"/>
                <w:sz w:val="28"/>
                <w:szCs w:val="28"/>
                <w:highlight w:val="none"/>
              </w:rPr>
              <w:t>大写：</w:t>
            </w:r>
            <w:r>
              <w:rPr>
                <w:rFonts w:hint="eastAsia" w:ascii="宋体" w:hAnsi="宋体" w:cs="宋体"/>
                <w:bCs/>
                <w:color w:val="auto"/>
                <w:sz w:val="28"/>
                <w:szCs w:val="28"/>
                <w:highlight w:val="none"/>
                <w:lang w:eastAsia="zh-CN"/>
              </w:rPr>
              <w:t>标项一：壹仟零伍拾元整；标项二：壹仟贰佰伍拾元整；标项三：壹仟玖佰捌拾元整</w:t>
            </w:r>
            <w:r>
              <w:rPr>
                <w:rFonts w:hint="eastAsia" w:ascii="宋体" w:hAnsi="宋体" w:eastAsia="宋体" w:cs="宋体"/>
                <w:bCs/>
                <w:color w:val="auto"/>
                <w:sz w:val="28"/>
                <w:szCs w:val="28"/>
                <w:highlight w:val="none"/>
              </w:rPr>
              <w:t>。</w:t>
            </w:r>
          </w:p>
          <w:p w14:paraId="4DE65778">
            <w:pPr>
              <w:adjustRightInd w:val="0"/>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bidi="ar"/>
              </w:rPr>
              <w:t>二、</w:t>
            </w:r>
            <w:r>
              <w:rPr>
                <w:rFonts w:hint="eastAsia" w:ascii="宋体" w:hAnsi="宋体" w:eastAsia="宋体" w:cs="宋体"/>
                <w:bCs/>
                <w:color w:val="auto"/>
                <w:sz w:val="28"/>
                <w:szCs w:val="28"/>
                <w:highlight w:val="none"/>
                <w:lang w:val="en-US" w:eastAsia="zh-CN" w:bidi="ar"/>
              </w:rPr>
              <w:t>缴纳方式：电汇、网银转账</w:t>
            </w:r>
            <w:bookmarkStart w:id="95" w:name="_GoBack"/>
            <w:bookmarkEnd w:id="95"/>
            <w:r>
              <w:rPr>
                <w:rFonts w:hint="eastAsia" w:ascii="宋体" w:hAnsi="宋体" w:eastAsia="宋体" w:cs="宋体"/>
                <w:bCs/>
                <w:color w:val="auto"/>
                <w:sz w:val="28"/>
                <w:szCs w:val="28"/>
                <w:highlight w:val="none"/>
                <w:lang w:val="en-US" w:eastAsia="zh-CN" w:bidi="ar"/>
              </w:rPr>
              <w:t>、保函等非现金方式三、采用电汇或网银转账</w:t>
            </w:r>
            <w:r>
              <w:rPr>
                <w:rFonts w:hint="eastAsia" w:ascii="宋体" w:hAnsi="宋体" w:eastAsia="宋体" w:cs="宋体"/>
                <w:bCs/>
                <w:color w:val="auto"/>
                <w:sz w:val="28"/>
                <w:szCs w:val="28"/>
                <w:highlight w:val="none"/>
                <w:lang w:bidi="ar"/>
              </w:rPr>
              <w:t>的形式</w:t>
            </w:r>
            <w:r>
              <w:rPr>
                <w:rFonts w:hint="eastAsia" w:ascii="宋体" w:hAnsi="宋体" w:eastAsia="宋体" w:cs="宋体"/>
                <w:bCs/>
                <w:color w:val="auto"/>
                <w:sz w:val="28"/>
                <w:szCs w:val="28"/>
                <w:highlight w:val="none"/>
                <w:lang w:eastAsia="zh-CN" w:bidi="ar"/>
              </w:rPr>
              <w:t>应</w:t>
            </w:r>
            <w:r>
              <w:rPr>
                <w:rFonts w:hint="eastAsia" w:ascii="宋体" w:hAnsi="宋体" w:eastAsia="宋体" w:cs="宋体"/>
                <w:bCs/>
                <w:color w:val="auto"/>
                <w:sz w:val="28"/>
                <w:szCs w:val="28"/>
                <w:highlight w:val="none"/>
                <w:lang w:bidi="ar"/>
              </w:rPr>
              <w:t>由投标人</w:t>
            </w:r>
            <w:r>
              <w:rPr>
                <w:rFonts w:hint="eastAsia" w:ascii="宋体" w:hAnsi="宋体" w:eastAsia="宋体" w:cs="宋体"/>
                <w:bCs/>
                <w:color w:val="auto"/>
                <w:sz w:val="28"/>
                <w:szCs w:val="28"/>
                <w:highlight w:val="none"/>
                <w:lang w:eastAsia="zh-CN" w:bidi="ar"/>
              </w:rPr>
              <w:t>基本户</w:t>
            </w:r>
            <w:r>
              <w:rPr>
                <w:rFonts w:hint="eastAsia" w:ascii="宋体" w:hAnsi="宋体" w:eastAsia="宋体" w:cs="宋体"/>
                <w:bCs/>
                <w:color w:val="auto"/>
                <w:sz w:val="28"/>
                <w:szCs w:val="28"/>
                <w:highlight w:val="none"/>
                <w:lang w:bidi="ar"/>
              </w:rPr>
              <w:t>汇出，并汇入指定帐户；</w:t>
            </w:r>
          </w:p>
          <w:p w14:paraId="69CF55E6">
            <w:pPr>
              <w:adjustRightInd w:val="0"/>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bidi="ar"/>
              </w:rPr>
              <w:t>开户银行及账号如下：</w:t>
            </w:r>
          </w:p>
          <w:p w14:paraId="7CB70F5F">
            <w:pPr>
              <w:adjustRightInd w:val="0"/>
              <w:snapToGrid w:val="0"/>
              <w:spacing w:line="360" w:lineRule="auto"/>
              <w:rPr>
                <w:rFonts w:hint="eastAsia" w:ascii="宋体" w:hAnsi="宋体" w:eastAsia="宋体" w:cs="宋体"/>
                <w:color w:val="auto"/>
                <w:kern w:val="0"/>
                <w:sz w:val="28"/>
                <w:szCs w:val="28"/>
                <w:highlight w:val="none"/>
                <w:u w:val="none"/>
                <w:lang w:val="en-US" w:eastAsia="zh-CN" w:bidi="ar-SA"/>
              </w:rPr>
            </w:pPr>
            <w:r>
              <w:rPr>
                <w:rFonts w:hint="eastAsia" w:ascii="宋体" w:hAnsi="宋体" w:eastAsia="宋体" w:cs="宋体"/>
                <w:color w:val="auto"/>
                <w:kern w:val="0"/>
                <w:sz w:val="28"/>
                <w:szCs w:val="28"/>
                <w:highlight w:val="none"/>
                <w:u w:val="none"/>
                <w:lang w:val="en-US" w:eastAsia="zh-CN" w:bidi="ar-SA"/>
              </w:rPr>
              <w:t>开户名称：新疆华域建设工程项目管理咨询有限公司</w:t>
            </w:r>
          </w:p>
          <w:p w14:paraId="1EF97ECC">
            <w:pPr>
              <w:adjustRightInd w:val="0"/>
              <w:snapToGrid w:val="0"/>
              <w:spacing w:line="360" w:lineRule="auto"/>
              <w:rPr>
                <w:rFonts w:hint="eastAsia" w:ascii="宋体" w:hAnsi="宋体" w:eastAsia="宋体" w:cs="宋体"/>
                <w:color w:val="auto"/>
                <w:kern w:val="0"/>
                <w:sz w:val="28"/>
                <w:szCs w:val="28"/>
                <w:highlight w:val="none"/>
                <w:u w:val="none"/>
                <w:lang w:val="en-US" w:eastAsia="zh-CN" w:bidi="ar-SA"/>
              </w:rPr>
            </w:pPr>
            <w:r>
              <w:rPr>
                <w:rFonts w:hint="eastAsia" w:ascii="宋体" w:hAnsi="宋体" w:eastAsia="宋体" w:cs="宋体"/>
                <w:color w:val="auto"/>
                <w:kern w:val="0"/>
                <w:sz w:val="28"/>
                <w:szCs w:val="28"/>
                <w:highlight w:val="none"/>
                <w:u w:val="none"/>
                <w:lang w:val="en-US" w:eastAsia="zh-CN" w:bidi="ar-SA"/>
              </w:rPr>
              <w:t>开户银行：中国银行乌鲁木齐南湖东路支行</w:t>
            </w:r>
          </w:p>
          <w:p w14:paraId="53921BD1">
            <w:pPr>
              <w:adjustRightInd w:val="0"/>
              <w:snapToGrid w:val="0"/>
              <w:spacing w:line="360" w:lineRule="auto"/>
              <w:rPr>
                <w:rFonts w:hint="eastAsia" w:ascii="宋体" w:hAnsi="宋体" w:eastAsia="宋体" w:cs="宋体"/>
                <w:color w:val="auto"/>
                <w:kern w:val="0"/>
                <w:sz w:val="28"/>
                <w:szCs w:val="28"/>
                <w:highlight w:val="none"/>
                <w:u w:val="none"/>
                <w:lang w:val="en-US" w:eastAsia="zh-CN" w:bidi="ar-SA"/>
              </w:rPr>
            </w:pPr>
            <w:r>
              <w:rPr>
                <w:rFonts w:hint="eastAsia" w:ascii="宋体" w:hAnsi="宋体" w:eastAsia="宋体" w:cs="宋体"/>
                <w:color w:val="auto"/>
                <w:kern w:val="0"/>
                <w:sz w:val="28"/>
                <w:szCs w:val="28"/>
                <w:highlight w:val="none"/>
                <w:u w:val="none"/>
                <w:lang w:val="en-US" w:eastAsia="zh-CN" w:bidi="ar-SA"/>
              </w:rPr>
              <w:t xml:space="preserve">开户行行号：104881006151 </w:t>
            </w:r>
          </w:p>
          <w:p w14:paraId="5FA40287">
            <w:pPr>
              <w:adjustRightInd w:val="0"/>
              <w:snapToGrid w:val="0"/>
              <w:spacing w:line="360" w:lineRule="auto"/>
              <w:rPr>
                <w:rFonts w:hint="eastAsia" w:ascii="宋体" w:hAnsi="宋体" w:eastAsia="宋体" w:cs="宋体"/>
                <w:color w:val="auto"/>
                <w:kern w:val="0"/>
                <w:sz w:val="28"/>
                <w:szCs w:val="28"/>
                <w:highlight w:val="none"/>
                <w:u w:val="none"/>
                <w:lang w:val="en-US" w:eastAsia="zh-CN" w:bidi="ar-SA"/>
              </w:rPr>
            </w:pPr>
            <w:r>
              <w:rPr>
                <w:rFonts w:hint="eastAsia" w:ascii="宋体" w:hAnsi="宋体" w:eastAsia="宋体" w:cs="宋体"/>
                <w:color w:val="auto"/>
                <w:kern w:val="0"/>
                <w:sz w:val="28"/>
                <w:szCs w:val="28"/>
                <w:highlight w:val="none"/>
                <w:u w:val="none"/>
                <w:lang w:val="en-US" w:eastAsia="zh-CN" w:bidi="ar-SA"/>
              </w:rPr>
              <w:t>账   号： 107083025521</w:t>
            </w:r>
          </w:p>
          <w:p w14:paraId="4E125022">
            <w:pPr>
              <w:adjustRightInd w:val="0"/>
              <w:snapToGrid w:val="0"/>
              <w:spacing w:line="360" w:lineRule="auto"/>
              <w:rPr>
                <w:rFonts w:hint="eastAsia" w:ascii="宋体" w:hAnsi="宋体" w:eastAsia="宋体" w:cs="宋体"/>
                <w:color w:val="auto"/>
                <w:kern w:val="0"/>
                <w:sz w:val="28"/>
                <w:szCs w:val="28"/>
                <w:highlight w:val="none"/>
                <w:u w:val="none"/>
                <w:lang w:val="en-US" w:eastAsia="zh-CN" w:bidi="ar-SA"/>
              </w:rPr>
            </w:pPr>
            <w:r>
              <w:rPr>
                <w:rFonts w:hint="eastAsia" w:ascii="宋体" w:hAnsi="宋体" w:eastAsia="宋体" w:cs="宋体"/>
                <w:color w:val="auto"/>
                <w:kern w:val="0"/>
                <w:sz w:val="28"/>
                <w:szCs w:val="28"/>
                <w:highlight w:val="none"/>
                <w:u w:val="none"/>
                <w:lang w:val="en-US" w:eastAsia="zh-CN" w:bidi="ar-SA"/>
              </w:rPr>
              <w:t>注：汇款单上需注明项目编号或项目名称。（如有字符限制可自行简写）</w:t>
            </w:r>
          </w:p>
          <w:p w14:paraId="6703E911">
            <w:pPr>
              <w:adjustRightInd w:val="0"/>
              <w:snapToGrid w:val="0"/>
              <w:spacing w:line="360" w:lineRule="auto"/>
              <w:rPr>
                <w:rFonts w:hint="eastAsia" w:ascii="宋体" w:hAnsi="宋体" w:eastAsia="宋体" w:cs="宋体"/>
                <w:color w:val="auto"/>
                <w:kern w:val="0"/>
                <w:sz w:val="28"/>
                <w:szCs w:val="28"/>
                <w:highlight w:val="none"/>
                <w:u w:val="none"/>
                <w:lang w:val="en-US" w:eastAsia="zh-CN" w:bidi="ar-SA"/>
              </w:rPr>
            </w:pPr>
            <w:r>
              <w:rPr>
                <w:rFonts w:hint="eastAsia" w:ascii="宋体" w:hAnsi="宋体" w:eastAsia="宋体" w:cs="宋体"/>
                <w:color w:val="auto"/>
                <w:kern w:val="0"/>
                <w:sz w:val="28"/>
                <w:szCs w:val="28"/>
                <w:highlight w:val="none"/>
                <w:u w:val="none"/>
                <w:lang w:val="en-US" w:eastAsia="zh-CN" w:bidi="ar-SA"/>
              </w:rPr>
              <w:t>保证金缴纳期限：凡拟参加本次采购的供应商，必须在投标文件递交截止时间前将保证金汇入指定账户。</w:t>
            </w:r>
          </w:p>
          <w:p w14:paraId="2E703233">
            <w:pPr>
              <w:adjustRightInd w:val="0"/>
              <w:snapToGrid w:val="0"/>
              <w:spacing w:line="360" w:lineRule="auto"/>
              <w:rPr>
                <w:rFonts w:hint="eastAsia" w:ascii="宋体" w:hAnsi="宋体" w:eastAsia="宋体" w:cs="宋体"/>
                <w:color w:val="auto"/>
                <w:kern w:val="0"/>
                <w:sz w:val="28"/>
                <w:szCs w:val="28"/>
                <w:highlight w:val="none"/>
                <w:u w:val="none"/>
                <w:lang w:val="en-US" w:eastAsia="zh-CN" w:bidi="ar-SA"/>
              </w:rPr>
            </w:pPr>
            <w:r>
              <w:rPr>
                <w:rFonts w:hint="eastAsia" w:ascii="宋体" w:hAnsi="宋体" w:eastAsia="宋体" w:cs="宋体"/>
                <w:color w:val="auto"/>
                <w:kern w:val="0"/>
                <w:sz w:val="28"/>
                <w:szCs w:val="28"/>
                <w:highlight w:val="none"/>
                <w:u w:val="none"/>
                <w:lang w:val="en-US" w:eastAsia="zh-CN" w:bidi="ar-SA"/>
              </w:rPr>
              <w:t>注：汇款单上需备注项目名称、包号（若有）。保证金于投标文件首次递交截止时间之前确认到账，若供应商未按照上述规定缴纳保证金,投标文件将被拒绝评审。</w:t>
            </w:r>
          </w:p>
          <w:p w14:paraId="793BEFBE">
            <w:pPr>
              <w:adjustRightInd w:val="0"/>
              <w:snapToGrid w:val="0"/>
              <w:spacing w:line="360" w:lineRule="auto"/>
              <w:rPr>
                <w:rFonts w:hint="eastAsia" w:ascii="宋体" w:hAnsi="宋体" w:eastAsia="宋体" w:cs="宋体"/>
                <w:color w:val="auto"/>
                <w:kern w:val="0"/>
                <w:sz w:val="28"/>
                <w:szCs w:val="28"/>
                <w:highlight w:val="none"/>
                <w:u w:val="single"/>
                <w:lang w:val="en-US" w:eastAsia="zh-CN" w:bidi="ar-SA"/>
              </w:rPr>
            </w:pPr>
            <w:r>
              <w:rPr>
                <w:rFonts w:hint="eastAsia" w:ascii="宋体" w:hAnsi="宋体" w:eastAsia="宋体" w:cs="宋体"/>
                <w:color w:val="auto"/>
                <w:kern w:val="0"/>
                <w:sz w:val="28"/>
                <w:szCs w:val="28"/>
                <w:highlight w:val="none"/>
                <w:u w:val="none"/>
                <w:lang w:val="en-US" w:eastAsia="zh-CN" w:bidi="ar-SA"/>
              </w:rPr>
              <w:t>退还保证金时，请携带法人授权委托书及委托人的身份证复印件（加盖公章及法人章）、汇款凭证复印件，找采购文件中的项目负责人签字办理。</w:t>
            </w:r>
          </w:p>
        </w:tc>
      </w:tr>
      <w:tr w14:paraId="40CF65E9">
        <w:tblPrEx>
          <w:tblCellMar>
            <w:top w:w="0" w:type="dxa"/>
            <w:left w:w="108" w:type="dxa"/>
            <w:bottom w:w="0" w:type="dxa"/>
            <w:right w:w="108" w:type="dxa"/>
          </w:tblCellMar>
        </w:tblPrEx>
        <w:trPr>
          <w:trHeight w:val="1023"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237E9E79">
            <w:pPr>
              <w:adjustRightInd w:val="0"/>
              <w:snapToGrid w:val="0"/>
              <w:spacing w:line="240" w:lineRule="auto"/>
              <w:jc w:val="center"/>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2</w:t>
            </w:r>
            <w:r>
              <w:rPr>
                <w:rFonts w:hint="eastAsia" w:ascii="宋体" w:hAnsi="宋体" w:eastAsia="宋体" w:cs="宋体"/>
                <w:bCs/>
                <w:color w:val="auto"/>
                <w:sz w:val="28"/>
                <w:szCs w:val="28"/>
                <w:highlight w:val="none"/>
                <w:lang w:val="en-US" w:eastAsia="zh-CN"/>
              </w:rPr>
              <w:t>1</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1B50D9C1">
            <w:pPr>
              <w:adjustRightInd w:val="0"/>
              <w:snapToGrid w:val="0"/>
              <w:spacing w:line="240" w:lineRule="auto"/>
              <w:jc w:val="center"/>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sz w:val="28"/>
                <w:szCs w:val="28"/>
                <w:highlight w:val="none"/>
              </w:rPr>
              <w:t>竞争性磋商文件领取</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71EDBF47">
            <w:pPr>
              <w:adjustRightInd w:val="0"/>
              <w:snapToGrid w:val="0"/>
              <w:spacing w:line="240" w:lineRule="auto"/>
              <w:jc w:val="left"/>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sz w:val="28"/>
                <w:szCs w:val="28"/>
                <w:highlight w:val="none"/>
                <w:lang w:val="en-US" w:eastAsia="zh-CN"/>
              </w:rPr>
              <w:t>线上获取采购文件</w:t>
            </w:r>
          </w:p>
        </w:tc>
      </w:tr>
      <w:tr w14:paraId="20B1B663">
        <w:tblPrEx>
          <w:tblCellMar>
            <w:top w:w="0" w:type="dxa"/>
            <w:left w:w="108" w:type="dxa"/>
            <w:bottom w:w="0" w:type="dxa"/>
            <w:right w:w="108" w:type="dxa"/>
          </w:tblCellMar>
        </w:tblPrEx>
        <w:trPr>
          <w:trHeight w:val="664"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4EFB6670">
            <w:pPr>
              <w:adjustRightInd w:val="0"/>
              <w:snapToGrid w:val="0"/>
              <w:spacing w:line="240" w:lineRule="auto"/>
              <w:jc w:val="center"/>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2</w:t>
            </w:r>
            <w:r>
              <w:rPr>
                <w:rFonts w:hint="eastAsia" w:ascii="宋体" w:hAnsi="宋体" w:eastAsia="宋体" w:cs="宋体"/>
                <w:bCs/>
                <w:color w:val="auto"/>
                <w:sz w:val="28"/>
                <w:szCs w:val="28"/>
                <w:highlight w:val="none"/>
                <w:lang w:val="en-US" w:eastAsia="zh-CN"/>
              </w:rPr>
              <w:t>2</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7E253289">
            <w:pPr>
              <w:adjustRightInd w:val="0"/>
              <w:snapToGrid w:val="0"/>
              <w:spacing w:line="240" w:lineRule="auto"/>
              <w:jc w:val="center"/>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sz w:val="28"/>
                <w:szCs w:val="28"/>
                <w:highlight w:val="none"/>
              </w:rPr>
              <w:t>是否允许递交备选投标方案</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7D987BAC">
            <w:pPr>
              <w:adjustRightInd w:val="0"/>
              <w:snapToGrid w:val="0"/>
              <w:spacing w:line="24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√不允许</w:t>
            </w:r>
          </w:p>
          <w:p w14:paraId="5E0A7CA5">
            <w:pPr>
              <w:snapToGrid w:val="0"/>
              <w:spacing w:line="240" w:lineRule="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sz w:val="28"/>
                <w:szCs w:val="28"/>
                <w:highlight w:val="none"/>
              </w:rPr>
              <w:t>□允许</w:t>
            </w:r>
          </w:p>
        </w:tc>
      </w:tr>
      <w:tr w14:paraId="3B90C147">
        <w:tblPrEx>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3E2D7781">
            <w:pPr>
              <w:adjustRightInd w:val="0"/>
              <w:snapToGrid w:val="0"/>
              <w:spacing w:line="240" w:lineRule="auto"/>
              <w:jc w:val="center"/>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2</w:t>
            </w:r>
            <w:r>
              <w:rPr>
                <w:rFonts w:hint="eastAsia" w:ascii="宋体" w:hAnsi="宋体" w:eastAsia="宋体" w:cs="宋体"/>
                <w:bCs/>
                <w:color w:val="auto"/>
                <w:sz w:val="28"/>
                <w:szCs w:val="28"/>
                <w:highlight w:val="none"/>
                <w:lang w:val="en-US" w:eastAsia="zh-CN"/>
              </w:rPr>
              <w:t>3</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1E46D358">
            <w:pPr>
              <w:adjustRightInd w:val="0"/>
              <w:snapToGrid w:val="0"/>
              <w:spacing w:line="240" w:lineRule="auto"/>
              <w:jc w:val="center"/>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sz w:val="28"/>
                <w:szCs w:val="28"/>
                <w:highlight w:val="none"/>
              </w:rPr>
              <w:t>签字和（或）盖章要求</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1B102199">
            <w:pPr>
              <w:snapToGrid w:val="0"/>
              <w:spacing w:line="240" w:lineRule="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sz w:val="28"/>
                <w:szCs w:val="28"/>
                <w:highlight w:val="none"/>
              </w:rPr>
              <w:t>企业公章、法人章</w:t>
            </w:r>
            <w:r>
              <w:rPr>
                <w:rFonts w:hint="eastAsia" w:ascii="宋体" w:hAnsi="宋体" w:eastAsia="宋体" w:cs="宋体"/>
                <w:bCs/>
                <w:color w:val="auto"/>
                <w:sz w:val="28"/>
                <w:szCs w:val="28"/>
                <w:highlight w:val="none"/>
                <w:lang w:val="en-US" w:eastAsia="zh-CN"/>
              </w:rPr>
              <w:t>及</w:t>
            </w:r>
            <w:r>
              <w:rPr>
                <w:rFonts w:hint="eastAsia" w:ascii="宋体" w:hAnsi="宋体" w:eastAsia="宋体" w:cs="宋体"/>
                <w:bCs/>
                <w:color w:val="auto"/>
                <w:sz w:val="28"/>
                <w:szCs w:val="28"/>
                <w:highlight w:val="none"/>
              </w:rPr>
              <w:t>企业法定代表人或其委托代理人签字</w:t>
            </w:r>
          </w:p>
        </w:tc>
      </w:tr>
      <w:tr w14:paraId="2C7BC202">
        <w:tblPrEx>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0DC7E173">
            <w:pPr>
              <w:adjustRightInd w:val="0"/>
              <w:snapToGrid w:val="0"/>
              <w:spacing w:line="240" w:lineRule="auto"/>
              <w:jc w:val="center"/>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2</w:t>
            </w:r>
            <w:r>
              <w:rPr>
                <w:rFonts w:hint="eastAsia" w:ascii="宋体" w:hAnsi="宋体" w:eastAsia="宋体" w:cs="宋体"/>
                <w:bCs/>
                <w:color w:val="auto"/>
                <w:sz w:val="28"/>
                <w:szCs w:val="28"/>
                <w:highlight w:val="none"/>
                <w:lang w:val="en-US" w:eastAsia="zh-CN"/>
              </w:rPr>
              <w:t>4</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6157EF06">
            <w:pPr>
              <w:adjustRightInd w:val="0"/>
              <w:snapToGrid w:val="0"/>
              <w:spacing w:line="240" w:lineRule="auto"/>
              <w:jc w:val="center"/>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 w:val="0"/>
                <w:bCs/>
                <w:i w:val="0"/>
                <w:caps w:val="0"/>
                <w:color w:val="auto"/>
                <w:spacing w:val="0"/>
                <w:w w:val="100"/>
                <w:sz w:val="28"/>
                <w:szCs w:val="28"/>
                <w:highlight w:val="none"/>
                <w:lang w:eastAsia="zh-CN"/>
              </w:rPr>
              <w:t>开标</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52A12847">
            <w:pPr>
              <w:snapToGrid w:val="0"/>
              <w:spacing w:line="24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时间：</w:t>
            </w:r>
            <w:r>
              <w:rPr>
                <w:rFonts w:hint="eastAsia" w:ascii="宋体" w:hAnsi="宋体" w:eastAsia="宋体" w:cs="宋体"/>
                <w:color w:val="auto"/>
                <w:sz w:val="28"/>
                <w:szCs w:val="28"/>
                <w:highlight w:val="none"/>
                <w:lang w:val="en-US" w:eastAsia="zh-CN"/>
              </w:rPr>
              <w:t>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年</w:t>
            </w: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lang w:val="en-US" w:eastAsia="zh-CN"/>
              </w:rPr>
              <w:t>月</w:t>
            </w:r>
            <w:r>
              <w:rPr>
                <w:rFonts w:hint="eastAsia" w:ascii="宋体" w:hAnsi="宋体" w:cs="宋体"/>
                <w:color w:val="auto"/>
                <w:sz w:val="28"/>
                <w:szCs w:val="28"/>
                <w:highlight w:val="none"/>
                <w:lang w:val="en-US" w:eastAsia="zh-CN"/>
              </w:rPr>
              <w:t>28</w:t>
            </w:r>
            <w:r>
              <w:rPr>
                <w:rFonts w:hint="eastAsia" w:ascii="宋体" w:hAnsi="宋体" w:eastAsia="宋体" w:cs="宋体"/>
                <w:color w:val="auto"/>
                <w:sz w:val="28"/>
                <w:szCs w:val="28"/>
                <w:highlight w:val="none"/>
                <w:lang w:val="en-US" w:eastAsia="zh-CN"/>
              </w:rPr>
              <w:t>日1</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00（北京时间）</w:t>
            </w:r>
          </w:p>
          <w:p w14:paraId="248AEDF6">
            <w:pPr>
              <w:snapToGrid w:val="0"/>
              <w:spacing w:line="24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地点：政采云网上不见面开标系统</w:t>
            </w:r>
          </w:p>
          <w:p w14:paraId="4C8796DA">
            <w:pPr>
              <w:snapToGrid w:val="0"/>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采用不见面开标：</w:t>
            </w:r>
          </w:p>
          <w:p w14:paraId="5FD2AB11">
            <w:pPr>
              <w:adjustRightInd w:val="0"/>
              <w:snapToGrid w:val="0"/>
              <w:spacing w:line="240" w:lineRule="auto"/>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1、本次采购采用电子交易方式，电子交易平台为“政府采购云平台（www.zcygov.cn）”。供应商参与本项目电子交易活动前，应注册成为政府采购云平台供应商。编制电子投标文件前还需申领CA证书并绑定帐号。供应商应充分考虑完成平台注册、申领CA证书等所需的时间。因未注册入库、未办理CA数字证书等原因造成无法响应或响应失败等后果由供应商自行承担。</w:t>
            </w:r>
          </w:p>
          <w:p w14:paraId="17DF06F1">
            <w:pPr>
              <w:adjustRightInd w:val="0"/>
              <w:snapToGrid w:val="0"/>
              <w:spacing w:line="240" w:lineRule="auto"/>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2、供应商须在在提交投标文件截止时间前通过CA在政采云平台上传加密的电子投标文件。供应商在开标时须使用制作加密电子投标文件所使用的CA锁解密，供应商须提前配置好浏览器（建议使用360浏览器或谷歌浏览器），并确保开标期间电脑网络环境畅通，以便开标时解密。本项目解密时间定为30分钟，如因供应商自身原因导致无法正常解密，后果由供应商自行承担。</w:t>
            </w:r>
          </w:p>
          <w:p w14:paraId="076C973E">
            <w:pPr>
              <w:adjustRightInd w:val="0"/>
              <w:snapToGrid w:val="0"/>
              <w:spacing w:line="240" w:lineRule="auto"/>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参与电子投标供应商，“不见面开标”大厅操作提示：①开标前一小时在系统进行在线签到②30分钟内完成在线解密③开标结束后30分钟内完成“开标一览表”在线签章。注意：如未在规定时间进行以上操作，将导致投标（响应）无效。</w:t>
            </w:r>
          </w:p>
          <w:p w14:paraId="414828C9">
            <w:pPr>
              <w:adjustRightInd w:val="0"/>
              <w:snapToGrid w:val="0"/>
              <w:spacing w:line="240" w:lineRule="auto"/>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4、各供应商对不见面开评标系统的技术操作咨询，可通过https</w:t>
            </w:r>
            <w:r>
              <w:rPr>
                <w:rFonts w:hint="eastAsia" w:ascii="宋体" w:hAnsi="宋体" w:cs="宋体"/>
                <w:color w:val="auto"/>
                <w:kern w:val="2"/>
                <w:sz w:val="28"/>
                <w:szCs w:val="28"/>
                <w:highlight w:val="none"/>
                <w:lang w:val="en-US" w:eastAsia="zh-CN" w:bidi="ar-SA"/>
              </w:rPr>
              <w:t>：</w:t>
            </w:r>
            <w:r>
              <w:rPr>
                <w:rFonts w:hint="eastAsia" w:ascii="宋体" w:hAnsi="宋体" w:eastAsia="宋体" w:cs="宋体"/>
                <w:color w:val="auto"/>
                <w:kern w:val="2"/>
                <w:sz w:val="28"/>
                <w:szCs w:val="28"/>
                <w:highlight w:val="none"/>
                <w:lang w:val="en-US" w:eastAsia="zh-CN" w:bidi="ar-SA"/>
              </w:rPr>
              <w:t>//edu.zcygov.cn/luban/xinjiang-e-biding自助查询，也可在政采云帮助中心常见问题解答和操作流程讲解视频中自助查询，网址为：https</w:t>
            </w:r>
            <w:r>
              <w:rPr>
                <w:rFonts w:hint="eastAsia" w:ascii="宋体" w:hAnsi="宋体" w:cs="宋体"/>
                <w:color w:val="auto"/>
                <w:kern w:val="2"/>
                <w:sz w:val="28"/>
                <w:szCs w:val="28"/>
                <w:highlight w:val="none"/>
                <w:lang w:val="en-US" w:eastAsia="zh-CN" w:bidi="ar-SA"/>
              </w:rPr>
              <w:t>：</w:t>
            </w:r>
            <w:r>
              <w:rPr>
                <w:rFonts w:hint="eastAsia" w:ascii="宋体" w:hAnsi="宋体" w:eastAsia="宋体" w:cs="宋体"/>
                <w:color w:val="auto"/>
                <w:kern w:val="2"/>
                <w:sz w:val="28"/>
                <w:szCs w:val="28"/>
                <w:highlight w:val="none"/>
                <w:lang w:val="en-US" w:eastAsia="zh-CN" w:bidi="ar-SA"/>
              </w:rPr>
              <w:t>//service.zcygov.cn/#/help，“项目采购”—“操作流程-电子招投标”—“政府采购项目电子交易管理操作指南-供应商”版面获取操作指南，同时对自助查询无法解决的问题可通过钉钉群及政采云在线客服获取服务支持。</w:t>
            </w:r>
          </w:p>
        </w:tc>
      </w:tr>
      <w:tr w14:paraId="32949E15">
        <w:tblPrEx>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6AEF87D5">
            <w:pPr>
              <w:adjustRightInd w:val="0"/>
              <w:snapToGrid w:val="0"/>
              <w:spacing w:line="240" w:lineRule="auto"/>
              <w:jc w:val="center"/>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25</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3A4E5438">
            <w:pPr>
              <w:adjustRightInd w:val="0"/>
              <w:snapToGrid w:val="0"/>
              <w:spacing w:line="240" w:lineRule="auto"/>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投标文件份数</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7BDB8F2F">
            <w:pPr>
              <w:adjustRightInd w:val="0"/>
              <w:snapToGrid w:val="0"/>
              <w:spacing w:line="240" w:lineRule="auto"/>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1）加密的电子投标文件在投标文件递交截止时间前通过CA在政采云平台上传，加密的电子投标文件为使用政采云电子投标客户端制作生成的加密版投标文件。供应商未按上述要求提供加密的电子投标文件的，将导致投标无效。</w:t>
            </w:r>
          </w:p>
          <w:p w14:paraId="635EFCC7">
            <w:pPr>
              <w:adjustRightInd w:val="0"/>
              <w:snapToGrid w:val="0"/>
              <w:spacing w:line="240" w:lineRule="auto"/>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（2）未加密的纸质版投标文件须在本项目中标通知书发出后3个工作日内提供。中标单位须提供纸质版投标文件</w:t>
            </w:r>
            <w:r>
              <w:rPr>
                <w:rFonts w:hint="eastAsia" w:ascii="宋体" w:hAnsi="宋体" w:cs="宋体"/>
                <w:color w:val="auto"/>
                <w:kern w:val="2"/>
                <w:sz w:val="28"/>
                <w:szCs w:val="28"/>
                <w:highlight w:val="none"/>
                <w:lang w:val="en-US" w:eastAsia="zh-CN" w:bidi="ar-SA"/>
              </w:rPr>
              <w:t>4</w:t>
            </w:r>
            <w:r>
              <w:rPr>
                <w:rFonts w:hint="eastAsia" w:ascii="宋体" w:hAnsi="宋体" w:eastAsia="宋体" w:cs="宋体"/>
                <w:color w:val="auto"/>
                <w:kern w:val="2"/>
                <w:sz w:val="28"/>
                <w:szCs w:val="28"/>
                <w:highlight w:val="none"/>
                <w:lang w:val="en-US" w:eastAsia="zh-CN" w:bidi="ar-SA"/>
              </w:rPr>
              <w:t>份。</w:t>
            </w:r>
          </w:p>
          <w:p w14:paraId="242D7887">
            <w:pPr>
              <w:adjustRightInd w:val="0"/>
              <w:snapToGrid w:val="0"/>
              <w:spacing w:line="240" w:lineRule="auto"/>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说明：</w:t>
            </w:r>
          </w:p>
          <w:p w14:paraId="7F11ED63">
            <w:pPr>
              <w:adjustRightInd w:val="0"/>
              <w:snapToGrid w:val="0"/>
              <w:spacing w:line="240" w:lineRule="auto"/>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（1）未加密的纸质版投标文件应与加密的电子投标文件内容一致。</w:t>
            </w:r>
          </w:p>
          <w:p w14:paraId="4B90678E">
            <w:pPr>
              <w:adjustRightInd w:val="0"/>
              <w:snapToGrid w:val="0"/>
              <w:spacing w:line="240" w:lineRule="auto"/>
              <w:jc w:val="lef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（2）纸质版投标文件递交或邮寄至：地址：乌鲁木齐市水磨沟区五星北路194号新地园大厦1401室；收件人及联系电话：</w:t>
            </w:r>
            <w:r>
              <w:rPr>
                <w:rFonts w:hint="eastAsia" w:ascii="宋体" w:hAnsi="宋体" w:cs="宋体"/>
                <w:color w:val="auto"/>
                <w:kern w:val="2"/>
                <w:sz w:val="28"/>
                <w:szCs w:val="28"/>
                <w:highlight w:val="none"/>
                <w:lang w:val="en-US" w:eastAsia="zh-CN" w:bidi="ar-SA"/>
              </w:rPr>
              <w:t>梁雪燕17690710616</w:t>
            </w:r>
          </w:p>
        </w:tc>
      </w:tr>
      <w:tr w14:paraId="3212B542">
        <w:tblPrEx>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06C129D9">
            <w:pPr>
              <w:adjustRightInd w:val="0"/>
              <w:snapToGrid w:val="0"/>
              <w:spacing w:line="240" w:lineRule="auto"/>
              <w:jc w:val="center"/>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2</w:t>
            </w:r>
            <w:r>
              <w:rPr>
                <w:rFonts w:hint="eastAsia" w:ascii="宋体" w:hAnsi="宋体" w:eastAsia="宋体" w:cs="宋体"/>
                <w:bCs/>
                <w:color w:val="auto"/>
                <w:sz w:val="28"/>
                <w:szCs w:val="28"/>
                <w:highlight w:val="none"/>
                <w:lang w:val="en-US" w:eastAsia="zh-CN"/>
              </w:rPr>
              <w:t>6</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016C52DB">
            <w:pPr>
              <w:adjustRightInd w:val="0"/>
              <w:snapToGrid w:val="0"/>
              <w:spacing w:line="240" w:lineRule="auto"/>
              <w:jc w:val="center"/>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sz w:val="28"/>
                <w:szCs w:val="28"/>
                <w:highlight w:val="none"/>
              </w:rPr>
              <w:t>评标标准及方法</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60202EC7">
            <w:pPr>
              <w:adjustRightInd w:val="0"/>
              <w:snapToGrid w:val="0"/>
              <w:spacing w:line="240" w:lineRule="auto"/>
              <w:jc w:val="left"/>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sz w:val="28"/>
                <w:szCs w:val="28"/>
                <w:highlight w:val="none"/>
              </w:rPr>
              <w:t>综合评分法（本项目采用竞争性磋商方式招标）</w:t>
            </w:r>
          </w:p>
        </w:tc>
      </w:tr>
      <w:tr w14:paraId="64C33D43">
        <w:tblPrEx>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25415FB9">
            <w:pPr>
              <w:adjustRightInd w:val="0"/>
              <w:snapToGrid w:val="0"/>
              <w:spacing w:line="240" w:lineRule="auto"/>
              <w:jc w:val="center"/>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2</w:t>
            </w:r>
            <w:r>
              <w:rPr>
                <w:rFonts w:hint="eastAsia" w:ascii="宋体" w:hAnsi="宋体" w:eastAsia="宋体" w:cs="宋体"/>
                <w:bCs/>
                <w:color w:val="auto"/>
                <w:sz w:val="28"/>
                <w:szCs w:val="28"/>
                <w:highlight w:val="none"/>
                <w:lang w:val="en-US" w:eastAsia="zh-CN"/>
              </w:rPr>
              <w:t>7</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544D0121">
            <w:pPr>
              <w:adjustRightInd w:val="0"/>
              <w:snapToGrid w:val="0"/>
              <w:spacing w:line="240" w:lineRule="auto"/>
              <w:jc w:val="center"/>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sz w:val="28"/>
                <w:szCs w:val="28"/>
                <w:highlight w:val="none"/>
              </w:rPr>
              <w:t>是否退还投标文件</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681A18EF">
            <w:pPr>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sym w:font="Wingdings" w:char="00FE"/>
            </w:r>
            <w:r>
              <w:rPr>
                <w:rFonts w:hint="eastAsia" w:ascii="宋体" w:hAnsi="宋体" w:eastAsia="宋体" w:cs="宋体"/>
                <w:color w:val="auto"/>
                <w:sz w:val="28"/>
                <w:szCs w:val="28"/>
                <w:highlight w:val="none"/>
              </w:rPr>
              <w:t>否</w:t>
            </w:r>
          </w:p>
          <w:p w14:paraId="5422D878">
            <w:pPr>
              <w:snapToGrid w:val="0"/>
              <w:spacing w:line="240" w:lineRule="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sz w:val="28"/>
                <w:szCs w:val="28"/>
                <w:highlight w:val="none"/>
              </w:rPr>
              <w:t>□是</w:t>
            </w:r>
          </w:p>
        </w:tc>
      </w:tr>
      <w:tr w14:paraId="52033073">
        <w:tblPrEx>
          <w:tblCellMar>
            <w:top w:w="0" w:type="dxa"/>
            <w:left w:w="108" w:type="dxa"/>
            <w:bottom w:w="0" w:type="dxa"/>
            <w:right w:w="108" w:type="dxa"/>
          </w:tblCellMar>
        </w:tblPrEx>
        <w:trPr>
          <w:trHeight w:val="379"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51E64D77">
            <w:pPr>
              <w:adjustRightInd w:val="0"/>
              <w:snapToGrid w:val="0"/>
              <w:spacing w:line="240" w:lineRule="auto"/>
              <w:jc w:val="center"/>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28</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42BAB35D">
            <w:pPr>
              <w:adjustRightInd w:val="0"/>
              <w:snapToGrid w:val="0"/>
              <w:spacing w:line="240" w:lineRule="auto"/>
              <w:jc w:val="center"/>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sz w:val="28"/>
                <w:szCs w:val="28"/>
                <w:highlight w:val="none"/>
              </w:rPr>
              <w:t>知识产权</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681FC2C0">
            <w:pPr>
              <w:snapToGrid w:val="0"/>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投标人须保证，采购人在中华人民共和国境内使用投标设施设备、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14:paraId="2726F2C1">
            <w:pPr>
              <w:snapToGrid w:val="0"/>
              <w:spacing w:line="240" w:lineRule="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color w:val="auto"/>
                <w:sz w:val="28"/>
                <w:szCs w:val="28"/>
                <w:highlight w:val="none"/>
              </w:rPr>
              <w:t>2投标人如欲在项目实施过程中采用自有知识成果，须在投标文件中声明，并提供相关知识产权证明文件。使用该知识成果后，投标人须提供开发接口和开发手册等技术文档。</w:t>
            </w:r>
          </w:p>
        </w:tc>
      </w:tr>
      <w:tr w14:paraId="5AF0584D">
        <w:tblPrEx>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40FE439F">
            <w:pPr>
              <w:adjustRightInd w:val="0"/>
              <w:snapToGrid w:val="0"/>
              <w:spacing w:line="240" w:lineRule="auto"/>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29</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3BECD4F1">
            <w:pPr>
              <w:adjustRightInd w:val="0"/>
              <w:snapToGrid w:val="0"/>
              <w:spacing w:line="240" w:lineRule="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sz w:val="28"/>
                <w:szCs w:val="28"/>
                <w:highlight w:val="none"/>
              </w:rPr>
              <w:t>代理服务费</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70E7393B">
            <w:pPr>
              <w:adjustRightInd w:val="0"/>
              <w:snapToGrid w:val="0"/>
              <w:spacing w:line="240" w:lineRule="auto"/>
              <w:jc w:val="left"/>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交纳金额：</w:t>
            </w:r>
            <w:bookmarkStart w:id="12" w:name="EB08acd175b39d48b299ea518ca053ce1b"/>
            <w:bookmarkEnd w:id="12"/>
            <w:r>
              <w:rPr>
                <w:rFonts w:hint="eastAsia" w:ascii="宋体" w:hAnsi="宋体" w:eastAsia="宋体" w:cs="宋体"/>
                <w:bCs/>
                <w:color w:val="auto"/>
                <w:kern w:val="2"/>
                <w:sz w:val="28"/>
                <w:szCs w:val="28"/>
                <w:highlight w:val="none"/>
                <w:lang w:val="en-US" w:eastAsia="zh-CN" w:bidi="ar-SA"/>
              </w:rPr>
              <w:t>依照国家发改委计价格[2002]1980号文及规定，由中标单位缴纳招标代理服务费。</w:t>
            </w:r>
          </w:p>
        </w:tc>
      </w:tr>
      <w:tr w14:paraId="7F8B42BD">
        <w:tblPrEx>
          <w:tblCellMar>
            <w:top w:w="0" w:type="dxa"/>
            <w:left w:w="108" w:type="dxa"/>
            <w:bottom w:w="0" w:type="dxa"/>
            <w:right w:w="108" w:type="dxa"/>
          </w:tblCellMar>
        </w:tblPrEx>
        <w:trPr>
          <w:trHeight w:val="1615"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4B1C221B">
            <w:pPr>
              <w:pStyle w:val="44"/>
              <w:adjustRightInd w:val="0"/>
              <w:snapToGrid w:val="0"/>
              <w:spacing w:before="120" w:beforeLines="50" w:line="240" w:lineRule="auto"/>
              <w:jc w:val="center"/>
              <w:rPr>
                <w:rFonts w:hint="eastAsia" w:ascii="宋体" w:hAnsi="宋体" w:eastAsia="宋体" w:cs="宋体"/>
                <w:bCs/>
                <w:color w:val="auto"/>
                <w:sz w:val="28"/>
                <w:szCs w:val="28"/>
                <w:highlight w:val="none"/>
                <w:lang w:val="en-US" w:eastAsia="zh-CN"/>
              </w:rPr>
            </w:pPr>
            <w:r>
              <w:rPr>
                <w:rFonts w:hint="eastAsia" w:ascii="宋体" w:hAnsi="宋体" w:eastAsia="宋体" w:cs="宋体"/>
                <w:color w:val="auto"/>
                <w:sz w:val="28"/>
                <w:szCs w:val="28"/>
                <w:highlight w:val="none"/>
                <w:lang w:val="en-US" w:eastAsia="zh-CN"/>
              </w:rPr>
              <w:t>30</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3E939FC4">
            <w:pPr>
              <w:adjustRightInd w:val="0"/>
              <w:snapToGrid w:val="0"/>
              <w:spacing w:line="240" w:lineRule="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sz w:val="28"/>
                <w:szCs w:val="28"/>
                <w:highlight w:val="none"/>
              </w:rPr>
              <w:t>中小微型等企业有关政策</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7F2111F7">
            <w:pPr>
              <w:adjustRightInd w:val="0"/>
              <w:snapToGrid w:val="0"/>
              <w:spacing w:line="240" w:lineRule="auto"/>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sz w:val="28"/>
                <w:szCs w:val="28"/>
                <w:highlight w:val="none"/>
              </w:rPr>
              <w:t>（1）按照《财政部工业和信息化部关于印发&lt;政府采购促进中小企业发展暂行办法&gt;的通知》（财库〔2020〕46号）的规定，落实促进中小企业发展政策；（2）按照《财政部、司法部关于政府采购支持监狱企业发展有关问题的通知》（财库〔2014〕68号）的规定，落实支持监狱企业发展政策；（3）按照《三部门联合发布关于促进残疾人就业政府采购政策的通知》（财库〔2017〕141号）的规定，落实支持残疾人福利性单位发展政策。（4）《关于调整优化节能产品、环境标志产品政府采购执行机制的通知》（财库[2019]9号）的规定。</w:t>
            </w:r>
          </w:p>
        </w:tc>
      </w:tr>
      <w:tr w14:paraId="44A7E2E7">
        <w:tblPrEx>
          <w:tblCellMar>
            <w:top w:w="0" w:type="dxa"/>
            <w:left w:w="108" w:type="dxa"/>
            <w:bottom w:w="0" w:type="dxa"/>
            <w:right w:w="108" w:type="dxa"/>
          </w:tblCellMar>
        </w:tblPrEx>
        <w:trPr>
          <w:trHeight w:val="675"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6E2AF891">
            <w:pPr>
              <w:pStyle w:val="44"/>
              <w:adjustRightInd w:val="0"/>
              <w:snapToGrid w:val="0"/>
              <w:spacing w:before="120" w:beforeLines="50" w:line="240" w:lineRule="auto"/>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31</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04C07CC4">
            <w:pPr>
              <w:adjustRightInd w:val="0"/>
              <w:snapToGrid w:val="0"/>
              <w:spacing w:line="240" w:lineRule="auto"/>
              <w:jc w:val="center"/>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sz w:val="28"/>
                <w:szCs w:val="28"/>
                <w:highlight w:val="none"/>
              </w:rPr>
              <w:t>解释权</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7E00D606">
            <w:pPr>
              <w:adjustRightInd w:val="0"/>
              <w:snapToGrid w:val="0"/>
              <w:spacing w:line="240" w:lineRule="auto"/>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构成磋商文件的各个组成文件应互为解释，互为说明；除磋商文件中有特别规定外，按磋商邀请、磋商须知、响应文件格式的先后顺序解释；同一组成文件中就同一事项的规定或约定不一致的，以编排顺序在后者为准；按本款前述规定仍不能形成结论的，由采购代理机构和采购人负责解释。</w:t>
            </w:r>
          </w:p>
          <w:p w14:paraId="7F437A0C">
            <w:pPr>
              <w:adjustRightInd w:val="0"/>
              <w:snapToGrid w:val="0"/>
              <w:spacing w:line="240" w:lineRule="auto"/>
              <w:jc w:val="left"/>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
                <w:color w:val="auto"/>
                <w:sz w:val="28"/>
                <w:szCs w:val="28"/>
                <w:highlight w:val="none"/>
              </w:rPr>
              <w:t>如对招标文件有疑惑，请联系代理机构。</w:t>
            </w:r>
          </w:p>
        </w:tc>
      </w:tr>
      <w:tr w14:paraId="689BAB47">
        <w:tblPrEx>
          <w:tblCellMar>
            <w:top w:w="0" w:type="dxa"/>
            <w:left w:w="108" w:type="dxa"/>
            <w:bottom w:w="0" w:type="dxa"/>
            <w:right w:w="108" w:type="dxa"/>
          </w:tblCellMar>
        </w:tblPrEx>
        <w:trPr>
          <w:trHeight w:val="1123"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33AF8223">
            <w:pPr>
              <w:adjustRightInd w:val="0"/>
              <w:snapToGrid w:val="0"/>
              <w:spacing w:line="240" w:lineRule="auto"/>
              <w:jc w:val="center"/>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3</w:t>
            </w:r>
            <w:r>
              <w:rPr>
                <w:rFonts w:hint="eastAsia" w:ascii="宋体" w:hAnsi="宋体" w:eastAsia="宋体" w:cs="宋体"/>
                <w:bCs/>
                <w:color w:val="auto"/>
                <w:sz w:val="28"/>
                <w:szCs w:val="28"/>
                <w:highlight w:val="none"/>
                <w:lang w:val="en-US" w:eastAsia="zh-CN"/>
              </w:rPr>
              <w:t>2</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43922503">
            <w:pPr>
              <w:adjustRightInd w:val="0"/>
              <w:snapToGrid w:val="0"/>
              <w:spacing w:line="240" w:lineRule="auto"/>
              <w:jc w:val="center"/>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sz w:val="28"/>
                <w:szCs w:val="28"/>
                <w:highlight w:val="none"/>
              </w:rPr>
              <w:t>其他</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7764B9CE">
            <w:pPr>
              <w:snapToGrid w:val="0"/>
              <w:spacing w:line="240" w:lineRule="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供应商认为采购过程和中标结果使自己的权益受到损害的，可以在知道或者应知其权益受到损害之日起七个工作日内，按照政府采购质疑和投诉办法（中华人民共和国财政部令94号）以书面形式向采购人和采购代理机构提出质疑（邮寄件、传真件不予受理），逾期不再接收。</w:t>
            </w:r>
          </w:p>
          <w:p w14:paraId="62D0D278">
            <w:pPr>
              <w:adjustRightInd w:val="0"/>
              <w:snapToGrid w:val="0"/>
              <w:spacing w:line="240" w:lineRule="auto"/>
              <w:jc w:val="left"/>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在法定质疑期内供应商针对同一采购程序环节的质疑应当一次性提出。</w:t>
            </w:r>
          </w:p>
        </w:tc>
      </w:tr>
      <w:tr w14:paraId="2A30EF3A">
        <w:tblPrEx>
          <w:tblCellMar>
            <w:top w:w="0" w:type="dxa"/>
            <w:left w:w="108" w:type="dxa"/>
            <w:bottom w:w="0" w:type="dxa"/>
            <w:right w:w="108" w:type="dxa"/>
          </w:tblCellMar>
        </w:tblPrEx>
        <w:trPr>
          <w:trHeight w:val="602"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034A91E9">
            <w:pPr>
              <w:adjustRightInd w:val="0"/>
              <w:snapToGrid w:val="0"/>
              <w:spacing w:line="240" w:lineRule="auto"/>
              <w:jc w:val="center"/>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33</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005CA19E">
            <w:pPr>
              <w:adjustRightInd w:val="0"/>
              <w:snapToGrid w:val="0"/>
              <w:spacing w:before="120" w:beforeLines="50"/>
              <w:jc w:val="center"/>
              <w:rPr>
                <w:rFonts w:hint="eastAsia" w:ascii="宋体" w:hAnsi="宋体" w:eastAsia="宋体" w:cs="宋体"/>
                <w:bCs/>
                <w:color w:val="auto"/>
                <w:sz w:val="28"/>
                <w:szCs w:val="28"/>
                <w:highlight w:val="none"/>
              </w:rPr>
            </w:pPr>
            <w:r>
              <w:rPr>
                <w:rFonts w:hint="eastAsia" w:ascii="宋体" w:hAnsi="宋体" w:eastAsia="宋体" w:cs="宋体"/>
                <w:b/>
                <w:bCs/>
                <w:color w:val="auto"/>
                <w:sz w:val="28"/>
                <w:szCs w:val="28"/>
                <w:highlight w:val="none"/>
              </w:rPr>
              <w:t>其他要求</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5A502DFD">
            <w:pPr>
              <w:snapToGrid w:val="0"/>
              <w:spacing w:line="24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1、签字盖章要求：</w:t>
            </w:r>
          </w:p>
          <w:p w14:paraId="091262A5">
            <w:pPr>
              <w:snapToGrid w:val="0"/>
              <w:spacing w:line="24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(1)供应商资格证明材料、法定代表人身份证明或授权书应加盖公章；</w:t>
            </w:r>
          </w:p>
          <w:p w14:paraId="0D1056CC">
            <w:pPr>
              <w:snapToGrid w:val="0"/>
              <w:spacing w:line="24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(2)其他证明供应商资格的文件或证明材料应为加盖单位公章，样式可参照“投标文件格式”编制；</w:t>
            </w:r>
          </w:p>
          <w:p w14:paraId="510615FB">
            <w:pPr>
              <w:snapToGrid w:val="0"/>
              <w:spacing w:line="24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(3)本文件中明确要求盖章或签字的，须盖章或签字。</w:t>
            </w:r>
          </w:p>
          <w:p w14:paraId="5BC9FAB6">
            <w:pPr>
              <w:snapToGrid w:val="0"/>
              <w:spacing w:line="24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2、投标人提供的投标文件应当使用磋商文件所提供投标文件格式（表格可按照同样格式扩展）。未提供格式的，需要时由投标人用文字或者表格、图片等其它形式提供。</w:t>
            </w:r>
          </w:p>
          <w:p w14:paraId="69D360B5">
            <w:pPr>
              <w:snapToGrid w:val="0"/>
              <w:spacing w:line="240" w:lineRule="auto"/>
              <w:rPr>
                <w:rFonts w:hint="eastAsia" w:ascii="宋体" w:hAnsi="宋体" w:eastAsia="宋体" w:cs="宋体"/>
                <w:bCs/>
                <w:color w:val="auto"/>
                <w:sz w:val="28"/>
                <w:szCs w:val="28"/>
                <w:highlight w:val="none"/>
              </w:rPr>
            </w:pPr>
            <w:r>
              <w:rPr>
                <w:rFonts w:hint="eastAsia" w:ascii="宋体" w:hAnsi="宋体" w:eastAsia="宋体" w:cs="宋体"/>
                <w:b/>
                <w:bCs/>
                <w:color w:val="auto"/>
                <w:sz w:val="28"/>
                <w:szCs w:val="28"/>
                <w:highlight w:val="none"/>
              </w:rPr>
              <w:t>3、</w:t>
            </w:r>
            <w:r>
              <w:rPr>
                <w:rFonts w:hint="eastAsia" w:ascii="宋体" w:hAnsi="宋体" w:eastAsia="宋体" w:cs="宋体"/>
                <w:b/>
                <w:bCs/>
                <w:color w:val="auto"/>
                <w:sz w:val="28"/>
                <w:szCs w:val="28"/>
                <w:highlight w:val="none"/>
                <w:lang w:val="zh-CN"/>
              </w:rPr>
              <w:t>在结果公示结束后</w:t>
            </w:r>
            <w:r>
              <w:rPr>
                <w:rFonts w:hint="eastAsia" w:ascii="宋体" w:hAnsi="宋体" w:eastAsia="宋体" w:cs="宋体"/>
                <w:b/>
                <w:bCs/>
                <w:color w:val="auto"/>
                <w:sz w:val="28"/>
                <w:szCs w:val="28"/>
                <w:highlight w:val="none"/>
              </w:rPr>
              <w:t>，成交供应商需向代理机构提供本项目一正</w:t>
            </w:r>
            <w:r>
              <w:rPr>
                <w:rFonts w:hint="eastAsia" w:ascii="宋体" w:hAnsi="宋体" w:cs="宋体"/>
                <w:b/>
                <w:bCs/>
                <w:color w:val="auto"/>
                <w:sz w:val="28"/>
                <w:szCs w:val="28"/>
                <w:highlight w:val="none"/>
                <w:lang w:val="en-US" w:eastAsia="zh-CN"/>
              </w:rPr>
              <w:t>两</w:t>
            </w:r>
            <w:r>
              <w:rPr>
                <w:rFonts w:hint="eastAsia" w:ascii="宋体" w:hAnsi="宋体" w:eastAsia="宋体" w:cs="宋体"/>
                <w:b/>
                <w:bCs/>
                <w:color w:val="auto"/>
                <w:sz w:val="28"/>
                <w:szCs w:val="28"/>
                <w:highlight w:val="none"/>
              </w:rPr>
              <w:t>副</w:t>
            </w:r>
            <w:r>
              <w:rPr>
                <w:rFonts w:hint="eastAsia" w:ascii="宋体" w:hAnsi="宋体" w:eastAsia="宋体" w:cs="宋体"/>
                <w:b/>
                <w:bCs/>
                <w:color w:val="auto"/>
                <w:sz w:val="28"/>
                <w:szCs w:val="28"/>
                <w:highlight w:val="none"/>
                <w:lang w:val="zh-CN"/>
              </w:rPr>
              <w:t>纸质响应文件，纸质响应文件</w:t>
            </w:r>
            <w:r>
              <w:rPr>
                <w:rFonts w:hint="eastAsia" w:ascii="宋体" w:hAnsi="宋体" w:eastAsia="宋体" w:cs="宋体"/>
                <w:b/>
                <w:bCs/>
                <w:color w:val="auto"/>
                <w:sz w:val="28"/>
                <w:szCs w:val="28"/>
                <w:highlight w:val="none"/>
              </w:rPr>
              <w:t>须</w:t>
            </w:r>
            <w:r>
              <w:rPr>
                <w:rFonts w:hint="eastAsia" w:ascii="宋体" w:hAnsi="宋体" w:eastAsia="宋体" w:cs="宋体"/>
                <w:b/>
                <w:bCs/>
                <w:color w:val="auto"/>
                <w:sz w:val="28"/>
                <w:szCs w:val="28"/>
                <w:highlight w:val="none"/>
                <w:lang w:val="zh-CN"/>
              </w:rPr>
              <w:t>与网上提交的电子</w:t>
            </w:r>
            <w:r>
              <w:rPr>
                <w:rFonts w:hint="eastAsia" w:ascii="宋体" w:hAnsi="宋体" w:eastAsia="宋体" w:cs="宋体"/>
                <w:b/>
                <w:bCs/>
                <w:color w:val="auto"/>
                <w:sz w:val="28"/>
                <w:szCs w:val="28"/>
                <w:highlight w:val="none"/>
              </w:rPr>
              <w:t>投标</w:t>
            </w:r>
            <w:r>
              <w:rPr>
                <w:rFonts w:hint="eastAsia" w:ascii="宋体" w:hAnsi="宋体" w:eastAsia="宋体" w:cs="宋体"/>
                <w:b/>
                <w:bCs/>
                <w:color w:val="auto"/>
                <w:sz w:val="28"/>
                <w:szCs w:val="28"/>
                <w:highlight w:val="none"/>
                <w:lang w:val="zh-CN"/>
              </w:rPr>
              <w:t>文件一致。</w:t>
            </w:r>
          </w:p>
        </w:tc>
      </w:tr>
      <w:tr w14:paraId="59E01358">
        <w:tblPrEx>
          <w:tblCellMar>
            <w:top w:w="0" w:type="dxa"/>
            <w:left w:w="108" w:type="dxa"/>
            <w:bottom w:w="0" w:type="dxa"/>
            <w:right w:w="108" w:type="dxa"/>
          </w:tblCellMar>
        </w:tblPrEx>
        <w:trPr>
          <w:trHeight w:val="602"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69A44025">
            <w:pPr>
              <w:adjustRightInd w:val="0"/>
              <w:snapToGrid w:val="0"/>
              <w:spacing w:line="240" w:lineRule="auto"/>
              <w:jc w:val="center"/>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34</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391232F3">
            <w:pPr>
              <w:adjustRightInd w:val="0"/>
              <w:snapToGrid w:val="0"/>
              <w:spacing w:line="240" w:lineRule="auto"/>
              <w:jc w:val="center"/>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解密时长</w:t>
            </w:r>
          </w:p>
        </w:tc>
        <w:tc>
          <w:tcPr>
            <w:tcW w:w="6760" w:type="dxa"/>
            <w:tcBorders>
              <w:top w:val="single" w:color="auto" w:sz="4" w:space="0"/>
              <w:left w:val="single" w:color="auto" w:sz="4" w:space="0"/>
              <w:bottom w:val="single" w:color="auto" w:sz="4" w:space="0"/>
              <w:right w:val="single" w:color="auto" w:sz="4" w:space="0"/>
            </w:tcBorders>
            <w:noWrap w:val="0"/>
            <w:vAlign w:val="center"/>
          </w:tcPr>
          <w:p w14:paraId="6D7810A2">
            <w:pPr>
              <w:adjustRightInd w:val="0"/>
              <w:snapToGrid w:val="0"/>
              <w:spacing w:line="240" w:lineRule="auto"/>
              <w:jc w:val="left"/>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解密时长：30分钟（过时未进行解密的投标文件，开标现场不进行解密时间延长。）</w:t>
            </w:r>
          </w:p>
          <w:p w14:paraId="51826879">
            <w:pPr>
              <w:adjustRightInd w:val="0"/>
              <w:snapToGrid w:val="0"/>
              <w:spacing w:line="240" w:lineRule="auto"/>
              <w:jc w:val="left"/>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开标当日仅需在任意地点通过政采云平台不见面开标系统（登录地址详见网站操作手册）完成远程解密、提疑澄清、开标唱标、结果公布等交互环节。供应商必须在规定的时间内使用能正确解密投标文件的“CA锁”完成远程解密，因供应商原因未能解密、解密失败或解密超时，视为供应商撤销其投标文件，系统内投标文件将被退回；因网上招投标平台发生故障，导致无法按时完成投标文件解密或开、评标工作无法进行的，可根据实际情况相应延迟解密时间或调整开、评标时间。</w:t>
            </w:r>
          </w:p>
          <w:p w14:paraId="4A78C5E4">
            <w:pPr>
              <w:adjustRightInd w:val="0"/>
              <w:snapToGrid w:val="0"/>
              <w:spacing w:line="240" w:lineRule="auto"/>
              <w:jc w:val="left"/>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（友情提示：若供应商已领取副锁（含多把副锁）请注意正副锁的使用差别，务必使用生成投标文件的那把锁解密）</w:t>
            </w:r>
          </w:p>
        </w:tc>
      </w:tr>
      <w:tr w14:paraId="6CD2BAB4">
        <w:tblPrEx>
          <w:tblCellMar>
            <w:top w:w="0" w:type="dxa"/>
            <w:left w:w="108" w:type="dxa"/>
            <w:bottom w:w="0" w:type="dxa"/>
            <w:right w:w="108"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A9A63B1">
            <w:pPr>
              <w:adjustRightInd w:val="0"/>
              <w:snapToGrid w:val="0"/>
              <w:spacing w:line="240" w:lineRule="auto"/>
              <w:jc w:val="center"/>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35</w:t>
            </w:r>
          </w:p>
        </w:tc>
        <w:tc>
          <w:tcPr>
            <w:tcW w:w="0" w:type="auto"/>
            <w:tcBorders>
              <w:top w:val="single" w:color="auto" w:sz="4" w:space="0"/>
              <w:left w:val="single" w:color="auto" w:sz="4" w:space="0"/>
              <w:bottom w:val="single" w:color="auto" w:sz="4" w:space="0"/>
              <w:right w:val="single" w:color="auto" w:sz="4" w:space="0"/>
            </w:tcBorders>
            <w:vAlign w:val="center"/>
          </w:tcPr>
          <w:p w14:paraId="412DA9A2">
            <w:pPr>
              <w:adjustRightInd w:val="0"/>
              <w:snapToGrid w:val="0"/>
              <w:spacing w:line="240" w:lineRule="auto"/>
              <w:jc w:val="center"/>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投标文件编制注意1</w:t>
            </w:r>
          </w:p>
          <w:p w14:paraId="3A00CAED">
            <w:pPr>
              <w:adjustRightInd w:val="0"/>
              <w:snapToGrid w:val="0"/>
              <w:spacing w:line="240" w:lineRule="auto"/>
              <w:jc w:val="center"/>
              <w:rPr>
                <w:rFonts w:hint="eastAsia" w:ascii="宋体" w:hAnsi="宋体" w:eastAsia="宋体" w:cs="宋体"/>
                <w:bCs/>
                <w:color w:val="auto"/>
                <w:kern w:val="2"/>
                <w:sz w:val="28"/>
                <w:szCs w:val="28"/>
                <w:highlight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14:paraId="1FC5BDB8">
            <w:pPr>
              <w:adjustRightInd w:val="0"/>
              <w:snapToGrid w:val="0"/>
              <w:spacing w:line="240" w:lineRule="auto"/>
              <w:jc w:val="left"/>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1、在采购文件领取截止时间前，使用办理的CA数字证书，通过政采云平台（https</w:t>
            </w:r>
            <w:r>
              <w:rPr>
                <w:rFonts w:hint="eastAsia" w:ascii="宋体" w:hAnsi="宋体" w:cs="宋体"/>
                <w:bCs/>
                <w:color w:val="auto"/>
                <w:kern w:val="2"/>
                <w:sz w:val="28"/>
                <w:szCs w:val="28"/>
                <w:highlight w:val="none"/>
                <w:lang w:val="en-US" w:eastAsia="zh-CN" w:bidi="ar-SA"/>
              </w:rPr>
              <w:t>：</w:t>
            </w:r>
            <w:r>
              <w:rPr>
                <w:rFonts w:hint="eastAsia" w:ascii="宋体" w:hAnsi="宋体" w:eastAsia="宋体" w:cs="宋体"/>
                <w:bCs/>
                <w:color w:val="auto"/>
                <w:kern w:val="2"/>
                <w:sz w:val="28"/>
                <w:szCs w:val="28"/>
                <w:highlight w:val="none"/>
                <w:lang w:val="en-US" w:eastAsia="zh-CN" w:bidi="ar-SA"/>
              </w:rPr>
              <w:t>//www.zcygov.cn/）窗口下载所投项目的采购文件。</w:t>
            </w:r>
          </w:p>
          <w:p w14:paraId="6FC1A3E6">
            <w:pPr>
              <w:adjustRightInd w:val="0"/>
              <w:snapToGrid w:val="0"/>
              <w:spacing w:line="240" w:lineRule="auto"/>
              <w:jc w:val="left"/>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2、供应商需在新疆政府采购网（http</w:t>
            </w:r>
            <w:r>
              <w:rPr>
                <w:rFonts w:hint="eastAsia" w:ascii="宋体" w:hAnsi="宋体" w:cs="宋体"/>
                <w:bCs/>
                <w:color w:val="auto"/>
                <w:kern w:val="2"/>
                <w:sz w:val="28"/>
                <w:szCs w:val="28"/>
                <w:highlight w:val="none"/>
                <w:lang w:val="en-US" w:eastAsia="zh-CN" w:bidi="ar-SA"/>
              </w:rPr>
              <w:t>：</w:t>
            </w:r>
            <w:r>
              <w:rPr>
                <w:rFonts w:hint="eastAsia" w:ascii="宋体" w:hAnsi="宋体" w:eastAsia="宋体" w:cs="宋体"/>
                <w:bCs/>
                <w:color w:val="auto"/>
                <w:kern w:val="2"/>
                <w:sz w:val="28"/>
                <w:szCs w:val="28"/>
                <w:highlight w:val="none"/>
                <w:lang w:val="en-US" w:eastAsia="zh-CN" w:bidi="ar-SA"/>
              </w:rPr>
              <w:t>//www.ccgp-xinjiang.gov.cn/）下载专区自行下载政采云电子投标客户端。在电子投标客户端内制作对应的投标文件。投标文件制作完成后在投标截止时间前上传至政采云平台对应项目即可。</w:t>
            </w:r>
          </w:p>
          <w:p w14:paraId="1C2DE084">
            <w:pPr>
              <w:adjustRightInd w:val="0"/>
              <w:snapToGrid w:val="0"/>
              <w:spacing w:line="240" w:lineRule="auto"/>
              <w:jc w:val="left"/>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3、采购文件规定：不接受投标文件中出现的可选择或可调整的投标方案和报价，任何有选择的或可调整的投标方案和报价将被视为不响应采购文件，其投标将被拒绝。</w:t>
            </w:r>
          </w:p>
          <w:p w14:paraId="6B6A372B">
            <w:pPr>
              <w:adjustRightInd w:val="0"/>
              <w:snapToGrid w:val="0"/>
              <w:spacing w:line="240" w:lineRule="auto"/>
              <w:jc w:val="left"/>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特别声明：供应商在制作投标文件时，不得弄虚作假，不得使用各种手段伪造、变造本不属于供应商本身的响应材料。（如假证书、假业绩、假合同、假授权、故意隐瞒不良行为记录、夸大荣誉、使用非供应商在职员工的相关证件及其他不符合《中华人民共和国政府采购法》等规定的条款）；如在采购过程中发现有供应商出现此类问题，将按照《中华人民共和国政府采购法》等相关规定进行处理，并将其列入政府采购黑名单库。</w:t>
            </w:r>
          </w:p>
        </w:tc>
      </w:tr>
      <w:tr w14:paraId="2137CCA2">
        <w:tblPrEx>
          <w:tblCellMar>
            <w:top w:w="0" w:type="dxa"/>
            <w:left w:w="108" w:type="dxa"/>
            <w:bottom w:w="0" w:type="dxa"/>
            <w:right w:w="108"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57B61D00">
            <w:pPr>
              <w:adjustRightInd w:val="0"/>
              <w:snapToGrid w:val="0"/>
              <w:spacing w:line="240" w:lineRule="auto"/>
              <w:jc w:val="center"/>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36</w:t>
            </w:r>
          </w:p>
        </w:tc>
        <w:tc>
          <w:tcPr>
            <w:tcW w:w="0" w:type="auto"/>
            <w:tcBorders>
              <w:top w:val="single" w:color="auto" w:sz="4" w:space="0"/>
              <w:left w:val="single" w:color="auto" w:sz="4" w:space="0"/>
              <w:bottom w:val="single" w:color="auto" w:sz="4" w:space="0"/>
              <w:right w:val="single" w:color="auto" w:sz="4" w:space="0"/>
            </w:tcBorders>
            <w:vAlign w:val="center"/>
          </w:tcPr>
          <w:p w14:paraId="60F39240">
            <w:pPr>
              <w:adjustRightInd w:val="0"/>
              <w:snapToGrid w:val="0"/>
              <w:spacing w:line="240" w:lineRule="auto"/>
              <w:jc w:val="center"/>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投标文件编制注意2</w:t>
            </w:r>
          </w:p>
          <w:p w14:paraId="092745DB">
            <w:pPr>
              <w:adjustRightInd w:val="0"/>
              <w:snapToGrid w:val="0"/>
              <w:spacing w:line="240" w:lineRule="auto"/>
              <w:jc w:val="center"/>
              <w:rPr>
                <w:rFonts w:hint="eastAsia" w:ascii="宋体" w:hAnsi="宋体" w:eastAsia="宋体" w:cs="宋体"/>
                <w:bCs/>
                <w:color w:val="auto"/>
                <w:kern w:val="2"/>
                <w:sz w:val="28"/>
                <w:szCs w:val="28"/>
                <w:highlight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14:paraId="26283892">
            <w:pPr>
              <w:adjustRightInd w:val="0"/>
              <w:snapToGrid w:val="0"/>
              <w:spacing w:line="240" w:lineRule="auto"/>
              <w:jc w:val="left"/>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1、各供应商必须针对每包项目分别制作投标文件并报价，每包的投标文件均必须满足采购文件份数与制作等要求，否则将导致投标被拒绝。</w:t>
            </w:r>
          </w:p>
          <w:p w14:paraId="21C411C2">
            <w:pPr>
              <w:adjustRightInd w:val="0"/>
              <w:snapToGrid w:val="0"/>
              <w:spacing w:line="240" w:lineRule="auto"/>
              <w:jc w:val="left"/>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2、当出现下列情形之一，投标文件将予以退回：</w:t>
            </w:r>
          </w:p>
          <w:p w14:paraId="36E275F2">
            <w:pPr>
              <w:adjustRightInd w:val="0"/>
              <w:snapToGrid w:val="0"/>
              <w:spacing w:line="240" w:lineRule="auto"/>
              <w:jc w:val="left"/>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（1）供应商在投标文件递交截止时间前未成功上传加密电子投标文件；</w:t>
            </w:r>
          </w:p>
          <w:p w14:paraId="4A0DB20F">
            <w:pPr>
              <w:adjustRightInd w:val="0"/>
              <w:snapToGrid w:val="0"/>
              <w:spacing w:line="240" w:lineRule="auto"/>
              <w:jc w:val="left"/>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（2）供应商使用解密的CA数字证书与上传加密投标文件使用的CA数字证书不一致；</w:t>
            </w:r>
          </w:p>
          <w:p w14:paraId="43E34090">
            <w:pPr>
              <w:adjustRightInd w:val="0"/>
              <w:snapToGrid w:val="0"/>
              <w:spacing w:line="240" w:lineRule="auto"/>
              <w:jc w:val="left"/>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（3）供应商解密时CA数字证书已过期，导致无法正常解密；</w:t>
            </w:r>
          </w:p>
          <w:p w14:paraId="66B79753">
            <w:pPr>
              <w:adjustRightInd w:val="0"/>
              <w:snapToGrid w:val="0"/>
              <w:spacing w:line="240" w:lineRule="auto"/>
              <w:jc w:val="left"/>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（4）加密投标文件时，CA数字证书未过期，解密时，显示CA数字证书已过期，导致无法正常解密；</w:t>
            </w:r>
          </w:p>
          <w:p w14:paraId="5CD76A17">
            <w:pPr>
              <w:adjustRightInd w:val="0"/>
              <w:snapToGrid w:val="0"/>
              <w:spacing w:line="240" w:lineRule="auto"/>
              <w:jc w:val="left"/>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（5）未在规定的投标文件解密时间内进行解密的；</w:t>
            </w:r>
          </w:p>
          <w:p w14:paraId="628B973B">
            <w:pPr>
              <w:adjustRightInd w:val="0"/>
              <w:snapToGrid w:val="0"/>
              <w:spacing w:line="240" w:lineRule="auto"/>
              <w:jc w:val="left"/>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 xml:space="preserve">（6）供应商个人原因导致无法解密的其他情形。 </w:t>
            </w:r>
          </w:p>
          <w:p w14:paraId="5FA7C5EE">
            <w:pPr>
              <w:adjustRightInd w:val="0"/>
              <w:snapToGrid w:val="0"/>
              <w:spacing w:line="240" w:lineRule="auto"/>
              <w:jc w:val="left"/>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3、供应商应在投标截止时间前将投标时使用的计算机安装相关的浏览器（推荐使用谷歌浏览器）、CA驱动等软件，方便投标文件解密时能够正常解密。</w:t>
            </w:r>
          </w:p>
          <w:p w14:paraId="3683F732">
            <w:pPr>
              <w:adjustRightInd w:val="0"/>
              <w:snapToGrid w:val="0"/>
              <w:spacing w:line="240" w:lineRule="auto"/>
              <w:jc w:val="left"/>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4、供应商需在磋商投标文件递交截止时间前自行测试开标时使用的计算机，如因供应商自身原因导致投标文件解密失败的，由供应商自行承担相应后果。</w:t>
            </w:r>
          </w:p>
        </w:tc>
      </w:tr>
      <w:tr w14:paraId="59F7D6DB">
        <w:tblPrEx>
          <w:tblCellMar>
            <w:top w:w="0" w:type="dxa"/>
            <w:left w:w="108" w:type="dxa"/>
            <w:bottom w:w="0" w:type="dxa"/>
            <w:right w:w="108"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13223198">
            <w:pPr>
              <w:adjustRightInd w:val="0"/>
              <w:snapToGrid w:val="0"/>
              <w:spacing w:line="240" w:lineRule="auto"/>
              <w:jc w:val="center"/>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37</w:t>
            </w:r>
          </w:p>
        </w:tc>
        <w:tc>
          <w:tcPr>
            <w:tcW w:w="0" w:type="auto"/>
            <w:tcBorders>
              <w:top w:val="single" w:color="auto" w:sz="4" w:space="0"/>
              <w:left w:val="single" w:color="auto" w:sz="4" w:space="0"/>
              <w:bottom w:val="single" w:color="auto" w:sz="4" w:space="0"/>
              <w:right w:val="single" w:color="auto" w:sz="4" w:space="0"/>
            </w:tcBorders>
            <w:vAlign w:val="center"/>
          </w:tcPr>
          <w:p w14:paraId="1AB9DA52">
            <w:pPr>
              <w:adjustRightInd w:val="0"/>
              <w:snapToGrid w:val="0"/>
              <w:spacing w:line="240" w:lineRule="auto"/>
              <w:jc w:val="center"/>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投标文件编制注意3</w:t>
            </w:r>
          </w:p>
          <w:p w14:paraId="5D1EE3E7">
            <w:pPr>
              <w:adjustRightInd w:val="0"/>
              <w:snapToGrid w:val="0"/>
              <w:spacing w:line="240" w:lineRule="auto"/>
              <w:jc w:val="center"/>
              <w:rPr>
                <w:rFonts w:hint="eastAsia" w:ascii="宋体" w:hAnsi="宋体" w:eastAsia="宋体" w:cs="宋体"/>
                <w:bCs/>
                <w:color w:val="auto"/>
                <w:kern w:val="2"/>
                <w:sz w:val="28"/>
                <w:szCs w:val="28"/>
                <w:highlight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14:paraId="5881F6D4">
            <w:pPr>
              <w:adjustRightInd w:val="0"/>
              <w:snapToGrid w:val="0"/>
              <w:spacing w:line="240" w:lineRule="auto"/>
              <w:jc w:val="left"/>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1、无论何种原因，在投标文件中未提供相应材料的，将视同其未提供。</w:t>
            </w:r>
          </w:p>
          <w:p w14:paraId="1604ED33">
            <w:pPr>
              <w:adjustRightInd w:val="0"/>
              <w:snapToGrid w:val="0"/>
              <w:spacing w:line="240" w:lineRule="auto"/>
              <w:jc w:val="left"/>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2、各供应商应在开标前应确保成为新疆政府采购网正式注册入库供应商，并完成CA数字证书（符合国密标准）申领。如需咨询，请联系新疆CA服务热线0991-2819290；</w:t>
            </w:r>
          </w:p>
          <w:p w14:paraId="42EBF8AC">
            <w:pPr>
              <w:adjustRightInd w:val="0"/>
              <w:snapToGrid w:val="0"/>
              <w:spacing w:line="240" w:lineRule="auto"/>
              <w:jc w:val="left"/>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3、供应商将政采云电子交易客户端下载、安装完成后，可通过账号密码或CA登录客户端进行投标文件的制作。在使用政采云投标客户端时，建议使用WIN7及以上操作系统。客户端请至新疆政府采购网（http</w:t>
            </w:r>
            <w:r>
              <w:rPr>
                <w:rFonts w:hint="eastAsia" w:ascii="宋体" w:hAnsi="宋体" w:cs="宋体"/>
                <w:bCs/>
                <w:color w:val="auto"/>
                <w:kern w:val="2"/>
                <w:sz w:val="28"/>
                <w:szCs w:val="28"/>
                <w:highlight w:val="none"/>
                <w:lang w:val="en-US" w:eastAsia="zh-CN" w:bidi="ar-SA"/>
              </w:rPr>
              <w:t>：</w:t>
            </w:r>
            <w:r>
              <w:rPr>
                <w:rFonts w:hint="eastAsia" w:ascii="宋体" w:hAnsi="宋体" w:eastAsia="宋体" w:cs="宋体"/>
                <w:bCs/>
                <w:color w:val="auto"/>
                <w:kern w:val="2"/>
                <w:sz w:val="28"/>
                <w:szCs w:val="28"/>
                <w:highlight w:val="none"/>
                <w:lang w:val="en-US" w:eastAsia="zh-CN" w:bidi="ar-SA"/>
              </w:rPr>
              <w:t>//www.ccgp-xinjiang.gov.cn/）下载专区查看，如有问题可拨打政采云客户服务热线95763进行咨询。</w:t>
            </w:r>
          </w:p>
          <w:p w14:paraId="7CEC42FC">
            <w:pPr>
              <w:adjustRightInd w:val="0"/>
              <w:snapToGrid w:val="0"/>
              <w:spacing w:line="240" w:lineRule="auto"/>
              <w:jc w:val="left"/>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4、供应商首次参加政府采购活动的，可前往新疆政府采购网（ http</w:t>
            </w:r>
            <w:r>
              <w:rPr>
                <w:rFonts w:hint="eastAsia" w:ascii="宋体" w:hAnsi="宋体" w:cs="宋体"/>
                <w:bCs/>
                <w:color w:val="auto"/>
                <w:kern w:val="2"/>
                <w:sz w:val="28"/>
                <w:szCs w:val="28"/>
                <w:highlight w:val="none"/>
                <w:lang w:val="en-US" w:eastAsia="zh-CN" w:bidi="ar-SA"/>
              </w:rPr>
              <w:t>：</w:t>
            </w:r>
            <w:r>
              <w:rPr>
                <w:rFonts w:hint="eastAsia" w:ascii="宋体" w:hAnsi="宋体" w:eastAsia="宋体" w:cs="宋体"/>
                <w:bCs/>
                <w:color w:val="auto"/>
                <w:kern w:val="2"/>
                <w:sz w:val="28"/>
                <w:szCs w:val="28"/>
                <w:highlight w:val="none"/>
                <w:lang w:val="en-US" w:eastAsia="zh-CN" w:bidi="ar-SA"/>
              </w:rPr>
              <w:t>//www.ccgp-xinjiang.gov.cn/）下载操作指南。（步骤：进入新疆政府采购网（</w:t>
            </w:r>
            <w:r>
              <w:rPr>
                <w:rFonts w:hint="eastAsia" w:ascii="宋体" w:hAnsi="宋体" w:eastAsia="宋体" w:cs="宋体"/>
                <w:bCs/>
                <w:color w:val="auto"/>
                <w:kern w:val="2"/>
                <w:sz w:val="28"/>
                <w:szCs w:val="28"/>
                <w:highlight w:val="none"/>
                <w:lang w:val="en-US" w:eastAsia="zh-CN" w:bidi="ar-SA"/>
              </w:rPr>
              <w:fldChar w:fldCharType="begin"/>
            </w:r>
            <w:r>
              <w:rPr>
                <w:rFonts w:hint="eastAsia" w:ascii="宋体" w:hAnsi="宋体" w:eastAsia="宋体" w:cs="宋体"/>
                <w:bCs/>
                <w:color w:val="auto"/>
                <w:kern w:val="2"/>
                <w:sz w:val="28"/>
                <w:szCs w:val="28"/>
                <w:highlight w:val="none"/>
                <w:lang w:val="en-US" w:eastAsia="zh-CN" w:bidi="ar-SA"/>
              </w:rPr>
              <w:instrText xml:space="preserve"> HYPERLINK "http://www.ccgp-xinjiang.gov.cn/" </w:instrText>
            </w:r>
            <w:r>
              <w:rPr>
                <w:rFonts w:hint="eastAsia" w:ascii="宋体" w:hAnsi="宋体" w:eastAsia="宋体" w:cs="宋体"/>
                <w:bCs/>
                <w:color w:val="auto"/>
                <w:kern w:val="2"/>
                <w:sz w:val="28"/>
                <w:szCs w:val="28"/>
                <w:highlight w:val="none"/>
                <w:lang w:val="en-US" w:eastAsia="zh-CN" w:bidi="ar-SA"/>
              </w:rPr>
              <w:fldChar w:fldCharType="separate"/>
            </w:r>
            <w:r>
              <w:rPr>
                <w:rFonts w:hint="eastAsia" w:ascii="宋体" w:hAnsi="宋体" w:eastAsia="宋体" w:cs="宋体"/>
                <w:bCs/>
                <w:color w:val="auto"/>
                <w:kern w:val="2"/>
                <w:sz w:val="28"/>
                <w:szCs w:val="28"/>
                <w:highlight w:val="none"/>
                <w:lang w:val="en-US" w:eastAsia="zh-CN" w:bidi="ar-SA"/>
              </w:rPr>
              <w:t>http</w:t>
            </w:r>
            <w:r>
              <w:rPr>
                <w:rFonts w:hint="eastAsia" w:ascii="宋体" w:hAnsi="宋体" w:cs="宋体"/>
                <w:bCs/>
                <w:color w:val="auto"/>
                <w:kern w:val="2"/>
                <w:sz w:val="28"/>
                <w:szCs w:val="28"/>
                <w:highlight w:val="none"/>
                <w:lang w:val="en-US" w:eastAsia="zh-CN" w:bidi="ar-SA"/>
              </w:rPr>
              <w:t>：</w:t>
            </w:r>
            <w:r>
              <w:rPr>
                <w:rFonts w:hint="eastAsia" w:ascii="宋体" w:hAnsi="宋体" w:eastAsia="宋体" w:cs="宋体"/>
                <w:bCs/>
                <w:color w:val="auto"/>
                <w:kern w:val="2"/>
                <w:sz w:val="28"/>
                <w:szCs w:val="28"/>
                <w:highlight w:val="none"/>
                <w:lang w:val="en-US" w:eastAsia="zh-CN" w:bidi="ar-SA"/>
              </w:rPr>
              <w:t>//www.ccgp-xinjiang.gov.cn/</w:t>
            </w:r>
            <w:r>
              <w:rPr>
                <w:rFonts w:hint="eastAsia" w:ascii="宋体" w:hAnsi="宋体" w:eastAsia="宋体" w:cs="宋体"/>
                <w:bCs/>
                <w:color w:val="auto"/>
                <w:kern w:val="2"/>
                <w:sz w:val="28"/>
                <w:szCs w:val="28"/>
                <w:highlight w:val="none"/>
                <w:lang w:val="en-US" w:eastAsia="zh-CN" w:bidi="ar-SA"/>
              </w:rPr>
              <w:fldChar w:fldCharType="end"/>
            </w:r>
            <w:r>
              <w:rPr>
                <w:rFonts w:hint="eastAsia" w:ascii="宋体" w:hAnsi="宋体" w:eastAsia="宋体" w:cs="宋体"/>
                <w:bCs/>
                <w:color w:val="auto"/>
                <w:kern w:val="2"/>
                <w:sz w:val="28"/>
                <w:szCs w:val="28"/>
                <w:highlight w:val="none"/>
                <w:lang w:val="en-US" w:eastAsia="zh-CN" w:bidi="ar-SA"/>
              </w:rPr>
              <w:t>）点击主页面的办事指南—选择并下载供应商政采云平台操作指南。）</w:t>
            </w:r>
          </w:p>
        </w:tc>
      </w:tr>
      <w:tr w14:paraId="0D4BBE1A">
        <w:tblPrEx>
          <w:tblCellMar>
            <w:top w:w="0" w:type="dxa"/>
            <w:left w:w="108" w:type="dxa"/>
            <w:bottom w:w="0" w:type="dxa"/>
            <w:right w:w="108"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1428D8F7">
            <w:pPr>
              <w:adjustRightInd w:val="0"/>
              <w:snapToGrid w:val="0"/>
              <w:spacing w:line="240" w:lineRule="auto"/>
              <w:jc w:val="left"/>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备注</w:t>
            </w:r>
          </w:p>
        </w:tc>
        <w:tc>
          <w:tcPr>
            <w:tcW w:w="8764" w:type="dxa"/>
            <w:gridSpan w:val="2"/>
            <w:tcBorders>
              <w:top w:val="single" w:color="auto" w:sz="4" w:space="0"/>
              <w:left w:val="single" w:color="auto" w:sz="4" w:space="0"/>
              <w:bottom w:val="single" w:color="auto" w:sz="4" w:space="0"/>
            </w:tcBorders>
            <w:vAlign w:val="center"/>
          </w:tcPr>
          <w:p w14:paraId="3468A58F">
            <w:pPr>
              <w:adjustRightInd w:val="0"/>
              <w:snapToGrid w:val="0"/>
              <w:spacing w:line="240" w:lineRule="auto"/>
              <w:jc w:val="left"/>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1、采购文件中部分加粗、标★、加下划线、废标、无效标、投标被拒绝字样的条款，为招标的重要条件，着重提醒各投标人注意，并认真查看采购文件中的每一个条款及要求，因误读采购文件而造成的后果，招标人概不负责。</w:t>
            </w:r>
          </w:p>
          <w:p w14:paraId="378C1BDD">
            <w:pPr>
              <w:adjustRightInd w:val="0"/>
              <w:snapToGrid w:val="0"/>
              <w:spacing w:line="240" w:lineRule="auto"/>
              <w:jc w:val="left"/>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2、投标文件中有弄虚作假的内容，其投标文件作废。（如假证书、假业绩、隐瞒不良行为记录、夸大荣誉、使用非本单位在职员工的相关证件及不符合采购文件规定的条款等）；在签订合同之前，投标人如发现投标人的投标文件有弄虚作假内容，招标人可拒绝与其签订合同。并将其列入政府采购黑名单库。</w:t>
            </w:r>
          </w:p>
        </w:tc>
      </w:tr>
      <w:tr w14:paraId="2A8A2101">
        <w:tblPrEx>
          <w:tblCellMar>
            <w:top w:w="0" w:type="dxa"/>
            <w:left w:w="108" w:type="dxa"/>
            <w:bottom w:w="0" w:type="dxa"/>
            <w:right w:w="108" w:type="dxa"/>
          </w:tblCellMar>
        </w:tblPrEx>
        <w:trPr>
          <w:trHeight w:val="602" w:hRule="atLeast"/>
          <w:jc w:val="center"/>
        </w:trPr>
        <w:tc>
          <w:tcPr>
            <w:tcW w:w="9472" w:type="dxa"/>
            <w:gridSpan w:val="3"/>
            <w:tcBorders>
              <w:top w:val="single" w:color="auto" w:sz="4" w:space="0"/>
              <w:left w:val="single" w:color="auto" w:sz="4" w:space="0"/>
              <w:bottom w:val="single" w:color="auto" w:sz="4" w:space="0"/>
            </w:tcBorders>
            <w:vAlign w:val="center"/>
          </w:tcPr>
          <w:p w14:paraId="31522EDF">
            <w:pPr>
              <w:adjustRightInd w:val="0"/>
              <w:snapToGrid w:val="0"/>
              <w:spacing w:line="240" w:lineRule="auto"/>
              <w:jc w:val="left"/>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实施。</w:t>
            </w:r>
          </w:p>
          <w:p w14:paraId="38DF28A8">
            <w:pPr>
              <w:adjustRightInd w:val="0"/>
              <w:snapToGrid w:val="0"/>
              <w:spacing w:line="240" w:lineRule="auto"/>
              <w:jc w:val="left"/>
              <w:rPr>
                <w:rFonts w:hint="eastAsia"/>
                <w:lang w:val="en-US" w:eastAsia="zh-CN"/>
              </w:rPr>
            </w:pPr>
            <w:r>
              <w:rPr>
                <w:rFonts w:hint="eastAsia" w:ascii="宋体" w:hAnsi="宋体" w:eastAsia="宋体" w:cs="宋体"/>
                <w:b/>
                <w:bCs w:val="0"/>
                <w:color w:val="auto"/>
                <w:kern w:val="2"/>
                <w:sz w:val="28"/>
                <w:szCs w:val="28"/>
                <w:highlight w:val="none"/>
                <w:lang w:val="en-US" w:eastAsia="zh-CN" w:bidi="ar-SA"/>
              </w:rPr>
              <w:t>三个标项可兼投，但不兼中兼得。中标顺序按照标项顺序。</w:t>
            </w:r>
          </w:p>
        </w:tc>
      </w:tr>
    </w:tbl>
    <w:p w14:paraId="3FD0E001">
      <w:pPr>
        <w:pStyle w:val="42"/>
        <w:spacing w:line="360" w:lineRule="auto"/>
        <w:jc w:val="center"/>
        <w:rPr>
          <w:rFonts w:hint="eastAsia" w:ascii="宋体" w:hAnsi="宋体" w:eastAsia="宋体" w:cs="宋体"/>
          <w:b/>
          <w:color w:val="auto"/>
          <w:sz w:val="28"/>
          <w:szCs w:val="28"/>
          <w:highlight w:val="none"/>
        </w:rPr>
      </w:pPr>
    </w:p>
    <w:p w14:paraId="464E3800">
      <w:pPr>
        <w:pStyle w:val="42"/>
        <w:spacing w:line="360" w:lineRule="auto"/>
        <w:jc w:val="both"/>
        <w:rPr>
          <w:rFonts w:hint="eastAsia" w:ascii="宋体" w:hAnsi="宋体" w:eastAsia="宋体" w:cs="宋体"/>
          <w:b/>
          <w:color w:val="auto"/>
          <w:sz w:val="28"/>
          <w:szCs w:val="28"/>
          <w:highlight w:val="none"/>
          <w:lang w:eastAsia="zh-CN"/>
        </w:rPr>
      </w:pPr>
    </w:p>
    <w:p w14:paraId="41FD0B59">
      <w:pPr>
        <w:rPr>
          <w:rFonts w:hint="eastAsia" w:ascii="宋体" w:hAnsi="宋体" w:eastAsia="宋体" w:cs="宋体"/>
          <w:b/>
          <w:bCs/>
          <w:color w:val="auto"/>
          <w:sz w:val="28"/>
          <w:szCs w:val="28"/>
          <w:highlight w:val="none"/>
        </w:rPr>
      </w:pPr>
      <w:bookmarkStart w:id="13" w:name="_Toc5724"/>
      <w:bookmarkStart w:id="14" w:name="_Toc256000014"/>
      <w:bookmarkStart w:id="15" w:name="_Toc937"/>
      <w:bookmarkStart w:id="16" w:name="_Toc256000005"/>
      <w:bookmarkStart w:id="17" w:name="_Toc25893"/>
      <w:r>
        <w:rPr>
          <w:rFonts w:hint="eastAsia" w:ascii="宋体" w:hAnsi="宋体" w:eastAsia="宋体" w:cs="宋体"/>
          <w:b/>
          <w:bCs/>
          <w:color w:val="auto"/>
          <w:sz w:val="28"/>
          <w:szCs w:val="28"/>
          <w:highlight w:val="none"/>
        </w:rPr>
        <w:br w:type="page"/>
      </w:r>
    </w:p>
    <w:p w14:paraId="499D38BE">
      <w:pPr>
        <w:pStyle w:val="52"/>
        <w:jc w:val="center"/>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一、说明</w:t>
      </w:r>
      <w:bookmarkEnd w:id="13"/>
      <w:bookmarkEnd w:id="14"/>
      <w:bookmarkEnd w:id="15"/>
      <w:bookmarkEnd w:id="16"/>
      <w:bookmarkEnd w:id="17"/>
    </w:p>
    <w:p w14:paraId="10625AB0">
      <w:pPr>
        <w:pStyle w:val="54"/>
        <w:adjustRightInd w:val="0"/>
        <w:snapToGrid w:val="0"/>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1.1  适用范围</w:t>
      </w:r>
    </w:p>
    <w:p w14:paraId="7150EE66">
      <w:pPr>
        <w:pStyle w:val="54"/>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1.1本磋商文件仅适用于本磋商邀请中所叙述的采购项目。</w:t>
      </w:r>
    </w:p>
    <w:p w14:paraId="71CD33CB">
      <w:pPr>
        <w:pStyle w:val="54"/>
        <w:adjustRightInd w:val="0"/>
        <w:snapToGrid w:val="0"/>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1.2  项目概况</w:t>
      </w:r>
    </w:p>
    <w:p w14:paraId="6CD29BAD">
      <w:pPr>
        <w:pStyle w:val="54"/>
        <w:adjustRightInd w:val="0"/>
        <w:snapToGrid w:val="0"/>
        <w:spacing w:line="360" w:lineRule="auto"/>
        <w:ind w:firstLine="562" w:firstLineChars="20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见磋商须知前附表1</w:t>
      </w:r>
      <w:r>
        <w:rPr>
          <w:rFonts w:hint="eastAsia" w:ascii="宋体" w:hAnsi="宋体" w:eastAsia="宋体" w:cs="宋体"/>
          <w:color w:val="auto"/>
          <w:sz w:val="28"/>
          <w:szCs w:val="28"/>
          <w:highlight w:val="none"/>
        </w:rPr>
        <w:t>。</w:t>
      </w:r>
    </w:p>
    <w:p w14:paraId="03F6190F">
      <w:pPr>
        <w:pStyle w:val="54"/>
        <w:adjustRightInd w:val="0"/>
        <w:snapToGrid w:val="0"/>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1.3  合格的供应商</w:t>
      </w:r>
    </w:p>
    <w:p w14:paraId="76FD7254">
      <w:pPr>
        <w:pStyle w:val="54"/>
        <w:adjustRightInd w:val="0"/>
        <w:snapToGrid w:val="0"/>
        <w:spacing w:line="360" w:lineRule="auto"/>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Cs/>
          <w:color w:val="auto"/>
          <w:sz w:val="28"/>
          <w:szCs w:val="28"/>
          <w:highlight w:val="none"/>
        </w:rPr>
        <w:t>1.3.1 供应商的资格要求见</w:t>
      </w:r>
      <w:r>
        <w:rPr>
          <w:rFonts w:hint="eastAsia" w:ascii="宋体" w:hAnsi="宋体" w:eastAsia="宋体" w:cs="宋体"/>
          <w:b/>
          <w:color w:val="auto"/>
          <w:sz w:val="28"/>
          <w:szCs w:val="28"/>
          <w:highlight w:val="none"/>
        </w:rPr>
        <w:t>磋商须知前附表</w:t>
      </w:r>
      <w:r>
        <w:rPr>
          <w:rFonts w:hint="eastAsia" w:ascii="宋体" w:hAnsi="宋体" w:eastAsia="宋体" w:cs="宋体"/>
          <w:color w:val="auto"/>
          <w:sz w:val="28"/>
          <w:szCs w:val="28"/>
          <w:highlight w:val="none"/>
        </w:rPr>
        <w:t>；</w:t>
      </w:r>
    </w:p>
    <w:p w14:paraId="3A7105B2">
      <w:pPr>
        <w:pStyle w:val="54"/>
        <w:spacing w:line="360" w:lineRule="auto"/>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1.3.2一个供应商只能提交一个响应文件。但如果不同供应商之间的单位负责人为同一人或者存在直接控股、管理关系的，均作无效报价处理。</w:t>
      </w:r>
    </w:p>
    <w:p w14:paraId="599BD1A1">
      <w:pPr>
        <w:pStyle w:val="54"/>
        <w:spacing w:line="360" w:lineRule="auto"/>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供应商存在下列情形之一的，将被认定为串通报价行为并作无效报价处理：</w:t>
      </w:r>
    </w:p>
    <w:p w14:paraId="5A0BAA36">
      <w:pPr>
        <w:pStyle w:val="54"/>
        <w:spacing w:line="360" w:lineRule="auto"/>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（1）不同供应商的响应文件错、漏之处一致或雷同，且不能合理解释的；</w:t>
      </w:r>
    </w:p>
    <w:p w14:paraId="5DE2A5C8">
      <w:pPr>
        <w:pStyle w:val="54"/>
        <w:spacing w:line="360" w:lineRule="auto"/>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（2）由同一人或分别由几个有利害关系的人携带两个以上（含两个）供应商的企业资料参与资格审查、领取磋商资料，或代表两个以上（含两个）供应商参加磋商答疑会、交纳或退还磋商保证金、开标的；</w:t>
      </w:r>
    </w:p>
    <w:p w14:paraId="73CD4E32">
      <w:pPr>
        <w:pStyle w:val="54"/>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（3）有关法律、法规或规章规定的其他串通报价行为。</w:t>
      </w:r>
    </w:p>
    <w:p w14:paraId="784A5AB4">
      <w:pPr>
        <w:pStyle w:val="54"/>
        <w:adjustRightInd w:val="0"/>
        <w:snapToGrid w:val="0"/>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1.4 参与磋商的费用 </w:t>
      </w:r>
    </w:p>
    <w:p w14:paraId="75CBC95B">
      <w:pPr>
        <w:pStyle w:val="54"/>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无论磋商的结果如何，供应商应自行承担所有与</w:t>
      </w:r>
      <w:r>
        <w:rPr>
          <w:rFonts w:hint="eastAsia" w:ascii="宋体" w:hAnsi="宋体" w:eastAsia="宋体" w:cs="宋体"/>
          <w:color w:val="auto"/>
          <w:kern w:val="0"/>
          <w:sz w:val="28"/>
          <w:szCs w:val="28"/>
          <w:highlight w:val="none"/>
        </w:rPr>
        <w:t>磋商</w:t>
      </w:r>
      <w:r>
        <w:rPr>
          <w:rFonts w:hint="eastAsia" w:ascii="宋体" w:hAnsi="宋体" w:eastAsia="宋体" w:cs="宋体"/>
          <w:color w:val="auto"/>
          <w:kern w:val="0"/>
          <w:sz w:val="28"/>
          <w:szCs w:val="28"/>
          <w:highlight w:val="none"/>
          <w:lang w:val="zh-CN"/>
        </w:rPr>
        <w:t>采购活动</w:t>
      </w:r>
      <w:r>
        <w:rPr>
          <w:rFonts w:hint="eastAsia" w:ascii="宋体" w:hAnsi="宋体" w:eastAsia="宋体" w:cs="宋体"/>
          <w:color w:val="auto"/>
          <w:sz w:val="28"/>
          <w:szCs w:val="28"/>
          <w:highlight w:val="none"/>
        </w:rPr>
        <w:t>有关的全部费用。</w:t>
      </w:r>
    </w:p>
    <w:p w14:paraId="6E6DDF79">
      <w:pPr>
        <w:pStyle w:val="52"/>
        <w:jc w:val="center"/>
        <w:outlineLvl w:val="1"/>
        <w:rPr>
          <w:rFonts w:hint="eastAsia" w:ascii="宋体" w:hAnsi="宋体" w:eastAsia="宋体" w:cs="宋体"/>
          <w:b/>
          <w:bCs/>
          <w:color w:val="auto"/>
          <w:sz w:val="28"/>
          <w:szCs w:val="28"/>
          <w:highlight w:val="none"/>
        </w:rPr>
      </w:pPr>
      <w:bookmarkStart w:id="18" w:name="_Toc20876"/>
      <w:bookmarkStart w:id="19" w:name="_Toc23764"/>
      <w:bookmarkStart w:id="20" w:name="_Toc256000006"/>
      <w:bookmarkStart w:id="21" w:name="_Toc256000015"/>
      <w:bookmarkStart w:id="22" w:name="_Toc31239"/>
      <w:r>
        <w:rPr>
          <w:rFonts w:hint="eastAsia" w:ascii="宋体" w:hAnsi="宋体" w:eastAsia="宋体" w:cs="宋体"/>
          <w:b/>
          <w:bCs/>
          <w:color w:val="auto"/>
          <w:sz w:val="28"/>
          <w:szCs w:val="28"/>
          <w:highlight w:val="none"/>
        </w:rPr>
        <w:t>二、磋商文件</w:t>
      </w:r>
      <w:bookmarkEnd w:id="18"/>
      <w:bookmarkEnd w:id="19"/>
      <w:bookmarkEnd w:id="20"/>
      <w:bookmarkEnd w:id="21"/>
      <w:bookmarkEnd w:id="22"/>
    </w:p>
    <w:p w14:paraId="7AB6D7EE">
      <w:pPr>
        <w:pStyle w:val="54"/>
        <w:adjustRightInd w:val="0"/>
        <w:snapToGrid w:val="0"/>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2.1  磋商文件的组成</w:t>
      </w:r>
    </w:p>
    <w:p w14:paraId="45A764E7">
      <w:pPr>
        <w:pStyle w:val="54"/>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（1）磋商邀请；</w:t>
      </w:r>
    </w:p>
    <w:p w14:paraId="1E1880E3">
      <w:pPr>
        <w:pStyle w:val="54"/>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（2）供应商须知；</w:t>
      </w:r>
    </w:p>
    <w:p w14:paraId="4AE77811">
      <w:pPr>
        <w:pStyle w:val="54"/>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（3）服务需求及技术要求；</w:t>
      </w:r>
    </w:p>
    <w:p w14:paraId="36A0E161">
      <w:pPr>
        <w:pStyle w:val="54"/>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（4）合同一般条款；</w:t>
      </w:r>
    </w:p>
    <w:p w14:paraId="3789EA04">
      <w:pPr>
        <w:pStyle w:val="54"/>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（5）范本格式。</w:t>
      </w:r>
    </w:p>
    <w:p w14:paraId="220F6144">
      <w:pPr>
        <w:pStyle w:val="54"/>
        <w:adjustRightInd w:val="0"/>
        <w:snapToGrid w:val="0"/>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2.2 磋商文件的澄清</w:t>
      </w:r>
      <w:r>
        <w:rPr>
          <w:rFonts w:hint="eastAsia" w:ascii="宋体" w:hAnsi="宋体" w:eastAsia="宋体" w:cs="宋体"/>
          <w:b/>
          <w:color w:val="auto"/>
          <w:kern w:val="0"/>
          <w:sz w:val="28"/>
          <w:szCs w:val="28"/>
          <w:highlight w:val="none"/>
          <w:lang w:val="zh-CN"/>
        </w:rPr>
        <w:t>或者</w:t>
      </w:r>
      <w:r>
        <w:rPr>
          <w:rFonts w:hint="eastAsia" w:ascii="宋体" w:hAnsi="宋体" w:eastAsia="宋体" w:cs="宋体"/>
          <w:b/>
          <w:bCs/>
          <w:color w:val="auto"/>
          <w:sz w:val="28"/>
          <w:szCs w:val="28"/>
          <w:highlight w:val="none"/>
        </w:rPr>
        <w:t>修改</w:t>
      </w:r>
    </w:p>
    <w:p w14:paraId="313B739A">
      <w:pPr>
        <w:pStyle w:val="54"/>
        <w:adjustRightInd w:val="0"/>
        <w:snapToGrid w:val="0"/>
        <w:spacing w:line="360" w:lineRule="auto"/>
        <w:ind w:right="-105" w:rightChars="-5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2.2.1</w:t>
      </w:r>
      <w:r>
        <w:rPr>
          <w:rFonts w:hint="eastAsia" w:ascii="宋体" w:hAnsi="宋体" w:eastAsia="宋体" w:cs="宋体"/>
          <w:color w:val="auto"/>
          <w:sz w:val="28"/>
          <w:szCs w:val="28"/>
          <w:highlight w:val="none"/>
          <w:lang w:val="zh-CN"/>
        </w:rPr>
        <w:t>供应商在收到</w:t>
      </w:r>
      <w:r>
        <w:rPr>
          <w:rFonts w:hint="eastAsia" w:ascii="宋体" w:hAnsi="宋体" w:eastAsia="宋体" w:cs="宋体"/>
          <w:color w:val="auto"/>
          <w:sz w:val="28"/>
          <w:szCs w:val="28"/>
          <w:highlight w:val="none"/>
        </w:rPr>
        <w:t>磋商</w:t>
      </w:r>
      <w:r>
        <w:rPr>
          <w:rFonts w:hint="eastAsia" w:ascii="宋体" w:hAnsi="宋体" w:eastAsia="宋体" w:cs="宋体"/>
          <w:color w:val="auto"/>
          <w:sz w:val="28"/>
          <w:szCs w:val="28"/>
          <w:highlight w:val="none"/>
          <w:lang w:val="zh-CN"/>
        </w:rPr>
        <w:t>文件后，若有疑问需要澄清，应于收到</w:t>
      </w:r>
      <w:r>
        <w:rPr>
          <w:rFonts w:hint="eastAsia" w:ascii="宋体" w:hAnsi="宋体" w:eastAsia="宋体" w:cs="宋体"/>
          <w:color w:val="auto"/>
          <w:sz w:val="28"/>
          <w:szCs w:val="28"/>
          <w:highlight w:val="none"/>
        </w:rPr>
        <w:t>磋商</w:t>
      </w:r>
      <w:r>
        <w:rPr>
          <w:rFonts w:hint="eastAsia" w:ascii="宋体" w:hAnsi="宋体" w:eastAsia="宋体" w:cs="宋体"/>
          <w:color w:val="auto"/>
          <w:sz w:val="28"/>
          <w:szCs w:val="28"/>
          <w:highlight w:val="none"/>
          <w:lang w:val="zh-CN"/>
        </w:rPr>
        <w:t>文件后二日内以书面形式（包括书面文字、传真、电子邮件等）向采购人或采购代理机构（以下统称采购机构）提出，采购机构将以书面形式予以解答，解答内容将送达所有参与</w:t>
      </w:r>
      <w:r>
        <w:rPr>
          <w:rFonts w:hint="eastAsia" w:ascii="宋体" w:hAnsi="宋体" w:eastAsia="宋体" w:cs="宋体"/>
          <w:color w:val="auto"/>
          <w:sz w:val="28"/>
          <w:szCs w:val="28"/>
          <w:highlight w:val="none"/>
        </w:rPr>
        <w:t>磋商采购活动</w:t>
      </w:r>
      <w:r>
        <w:rPr>
          <w:rFonts w:hint="eastAsia" w:ascii="宋体" w:hAnsi="宋体" w:eastAsia="宋体" w:cs="宋体"/>
          <w:color w:val="auto"/>
          <w:sz w:val="28"/>
          <w:szCs w:val="28"/>
          <w:highlight w:val="none"/>
          <w:lang w:val="zh-CN"/>
        </w:rPr>
        <w:t>的供应商。</w:t>
      </w:r>
    </w:p>
    <w:p w14:paraId="1654A6FE">
      <w:pPr>
        <w:pStyle w:val="54"/>
        <w:adjustRightInd w:val="0"/>
        <w:snapToGrid w:val="0"/>
        <w:spacing w:line="360" w:lineRule="auto"/>
        <w:ind w:right="-105" w:rightChars="-50" w:firstLine="560" w:firstLineChars="200"/>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2.2.2提交首次响应文件截止之日前，采购机构或者磋商小组可以对已发出的磋商文件进行必要的澄清或者修改，澄清或者修改的内容作为磋商文件的组成部分。澄清或者修改的内容可能影响响应文件编制的，采购机构或者磋商小组应当在提交首次响应文件截止之日5日前，以书面形式通知所有接收磋商文件的供应商，不足5日的，应当顺延提交首次响应文件的截止日期。</w:t>
      </w:r>
      <w:bookmarkStart w:id="23" w:name="_Toc17421"/>
      <w:bookmarkStart w:id="24" w:name="_Toc256000007"/>
      <w:bookmarkStart w:id="25" w:name="_Toc29250"/>
      <w:bookmarkStart w:id="26" w:name="_Toc5778"/>
      <w:bookmarkStart w:id="27" w:name="_Toc256000016"/>
    </w:p>
    <w:p w14:paraId="084ABC77">
      <w:pPr>
        <w:pStyle w:val="52"/>
        <w:jc w:val="center"/>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三、响应文件</w:t>
      </w:r>
      <w:bookmarkEnd w:id="23"/>
      <w:bookmarkEnd w:id="24"/>
      <w:bookmarkEnd w:id="25"/>
      <w:bookmarkEnd w:id="26"/>
      <w:bookmarkEnd w:id="27"/>
    </w:p>
    <w:p w14:paraId="1FFEF347">
      <w:pPr>
        <w:pStyle w:val="54"/>
        <w:adjustRightInd w:val="0"/>
        <w:snapToGrid w:val="0"/>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3.1 一般要求</w:t>
      </w:r>
    </w:p>
    <w:p w14:paraId="10E1F957">
      <w:pPr>
        <w:pStyle w:val="54"/>
        <w:adjustRightInd w:val="0"/>
        <w:snapToGrid w:val="0"/>
        <w:spacing w:line="360" w:lineRule="auto"/>
        <w:ind w:right="-105" w:rightChars="-5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3.1.1 供应商应按本文件第七章“响应文件格式”的要求编制响应文件。</w:t>
      </w:r>
    </w:p>
    <w:p w14:paraId="4FE0D0D4">
      <w:pPr>
        <w:pStyle w:val="54"/>
        <w:adjustRightInd w:val="0"/>
        <w:snapToGrid w:val="0"/>
        <w:spacing w:line="360" w:lineRule="auto"/>
        <w:ind w:right="-105" w:rightChars="-5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3.1.2计量单位应使用我国法定计量单位。</w:t>
      </w:r>
    </w:p>
    <w:p w14:paraId="5723DBC1">
      <w:pPr>
        <w:pStyle w:val="54"/>
        <w:adjustRightInd w:val="0"/>
        <w:snapToGrid w:val="0"/>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3.2 </w:t>
      </w:r>
      <w:r>
        <w:rPr>
          <w:rFonts w:hint="eastAsia" w:ascii="宋体" w:hAnsi="宋体" w:eastAsia="宋体" w:cs="宋体"/>
          <w:b/>
          <w:color w:val="auto"/>
          <w:sz w:val="28"/>
          <w:szCs w:val="28"/>
          <w:highlight w:val="none"/>
        </w:rPr>
        <w:t>响应文件</w:t>
      </w:r>
      <w:r>
        <w:rPr>
          <w:rFonts w:hint="eastAsia" w:ascii="宋体" w:hAnsi="宋体" w:eastAsia="宋体" w:cs="宋体"/>
          <w:b/>
          <w:bCs/>
          <w:color w:val="auto"/>
          <w:sz w:val="28"/>
          <w:szCs w:val="28"/>
          <w:highlight w:val="none"/>
        </w:rPr>
        <w:t>的组成</w:t>
      </w:r>
    </w:p>
    <w:p w14:paraId="4B089047">
      <w:pPr>
        <w:numPr>
          <w:ilvl w:val="0"/>
          <w:numId w:val="0"/>
        </w:numPr>
        <w:tabs>
          <w:tab w:val="left" w:pos="540"/>
          <w:tab w:val="left" w:pos="900"/>
          <w:tab w:val="left" w:pos="1080"/>
        </w:tabs>
        <w:spacing w:line="400" w:lineRule="atLeast"/>
        <w:ind w:left="720" w:leftChars="0" w:hanging="360" w:firstLineChars="0"/>
        <w:rPr>
          <w:rFonts w:hint="eastAsia" w:ascii="宋体" w:hAnsi="宋体" w:eastAsia="宋体" w:cs="宋体"/>
          <w:color w:val="auto"/>
          <w:kern w:val="2"/>
          <w:sz w:val="28"/>
          <w:szCs w:val="28"/>
          <w:highlight w:val="none"/>
          <w:lang w:val="zh-CN" w:eastAsia="zh-CN" w:bidi="ar-SA"/>
        </w:rPr>
      </w:pPr>
      <w:r>
        <w:rPr>
          <w:rFonts w:hint="eastAsia" w:ascii="宋体" w:hAnsi="宋体" w:eastAsia="宋体" w:cs="宋体"/>
          <w:color w:val="auto"/>
          <w:kern w:val="2"/>
          <w:sz w:val="28"/>
          <w:szCs w:val="28"/>
          <w:highlight w:val="none"/>
          <w:lang w:val="en-US" w:eastAsia="zh-CN" w:bidi="ar-SA"/>
        </w:rPr>
        <w:t>（1）</w:t>
      </w:r>
      <w:r>
        <w:rPr>
          <w:rFonts w:hint="eastAsia" w:ascii="宋体" w:hAnsi="宋体" w:eastAsia="宋体" w:cs="宋体"/>
          <w:color w:val="auto"/>
          <w:kern w:val="2"/>
          <w:sz w:val="28"/>
          <w:szCs w:val="28"/>
          <w:highlight w:val="none"/>
          <w:lang w:val="zh-CN" w:eastAsia="zh-CN" w:bidi="ar-SA"/>
        </w:rPr>
        <w:t>磋商响应书、报价一览表、分项报价表；</w:t>
      </w:r>
    </w:p>
    <w:p w14:paraId="26C99736">
      <w:pPr>
        <w:numPr>
          <w:ilvl w:val="0"/>
          <w:numId w:val="0"/>
        </w:numPr>
        <w:tabs>
          <w:tab w:val="left" w:pos="540"/>
          <w:tab w:val="left" w:pos="900"/>
          <w:tab w:val="left" w:pos="1080"/>
        </w:tabs>
        <w:spacing w:line="400" w:lineRule="atLeast"/>
        <w:ind w:left="720" w:leftChars="0" w:hanging="360" w:firstLineChars="0"/>
        <w:rPr>
          <w:rFonts w:hint="eastAsia" w:ascii="宋体" w:hAnsi="宋体" w:eastAsia="宋体" w:cs="宋体"/>
          <w:color w:val="auto"/>
          <w:kern w:val="2"/>
          <w:sz w:val="28"/>
          <w:szCs w:val="28"/>
          <w:highlight w:val="none"/>
          <w:lang w:val="zh-CN" w:eastAsia="zh-CN" w:bidi="ar-SA"/>
        </w:rPr>
      </w:pPr>
      <w:r>
        <w:rPr>
          <w:rFonts w:hint="eastAsia" w:ascii="宋体" w:hAnsi="宋体" w:eastAsia="宋体" w:cs="宋体"/>
          <w:color w:val="auto"/>
          <w:kern w:val="2"/>
          <w:sz w:val="28"/>
          <w:szCs w:val="28"/>
          <w:highlight w:val="none"/>
          <w:lang w:val="en-US" w:eastAsia="zh-CN" w:bidi="ar-SA"/>
        </w:rPr>
        <w:t>（2）</w:t>
      </w:r>
      <w:r>
        <w:rPr>
          <w:rFonts w:hint="eastAsia" w:ascii="宋体" w:hAnsi="宋体" w:eastAsia="宋体" w:cs="宋体"/>
          <w:color w:val="auto"/>
          <w:kern w:val="2"/>
          <w:sz w:val="28"/>
          <w:szCs w:val="28"/>
          <w:highlight w:val="none"/>
          <w:lang w:val="zh-CN" w:eastAsia="zh-CN" w:bidi="ar-SA"/>
        </w:rPr>
        <w:t>资格证明文件</w:t>
      </w:r>
    </w:p>
    <w:p w14:paraId="3C2C50E1">
      <w:pPr>
        <w:numPr>
          <w:ilvl w:val="0"/>
          <w:numId w:val="0"/>
        </w:numPr>
        <w:tabs>
          <w:tab w:val="left" w:pos="540"/>
          <w:tab w:val="left" w:pos="900"/>
          <w:tab w:val="left" w:pos="1080"/>
        </w:tabs>
        <w:spacing w:line="400" w:lineRule="atLeast"/>
        <w:ind w:left="720" w:leftChars="0" w:hanging="360" w:firstLineChars="0"/>
        <w:rPr>
          <w:rFonts w:hint="eastAsia" w:ascii="宋体" w:hAnsi="宋体" w:eastAsia="宋体" w:cs="宋体"/>
          <w:color w:val="auto"/>
          <w:kern w:val="2"/>
          <w:sz w:val="28"/>
          <w:szCs w:val="28"/>
          <w:highlight w:val="none"/>
          <w:lang w:val="zh-CN" w:eastAsia="zh-CN" w:bidi="ar-SA"/>
        </w:rPr>
      </w:pPr>
      <w:r>
        <w:rPr>
          <w:rFonts w:hint="eastAsia" w:ascii="宋体" w:hAnsi="宋体" w:eastAsia="宋体" w:cs="宋体"/>
          <w:color w:val="auto"/>
          <w:kern w:val="2"/>
          <w:sz w:val="28"/>
          <w:szCs w:val="28"/>
          <w:highlight w:val="none"/>
          <w:lang w:val="en-US" w:eastAsia="zh-CN" w:bidi="ar-SA"/>
        </w:rPr>
        <w:t>（3）</w:t>
      </w:r>
      <w:r>
        <w:rPr>
          <w:rFonts w:hint="eastAsia" w:ascii="宋体" w:hAnsi="宋体" w:eastAsia="宋体" w:cs="宋体"/>
          <w:color w:val="auto"/>
          <w:kern w:val="2"/>
          <w:sz w:val="28"/>
          <w:szCs w:val="28"/>
          <w:highlight w:val="none"/>
          <w:lang w:val="zh-CN" w:eastAsia="zh-CN" w:bidi="ar-SA"/>
        </w:rPr>
        <w:t>所投服务的相关技术/证明资料（包括服务方案）；</w:t>
      </w:r>
    </w:p>
    <w:p w14:paraId="41C56722">
      <w:pPr>
        <w:numPr>
          <w:ilvl w:val="0"/>
          <w:numId w:val="0"/>
        </w:numPr>
        <w:tabs>
          <w:tab w:val="left" w:pos="540"/>
          <w:tab w:val="left" w:pos="900"/>
          <w:tab w:val="left" w:pos="1080"/>
        </w:tabs>
        <w:spacing w:line="400" w:lineRule="atLeast"/>
        <w:ind w:left="720" w:leftChars="0" w:hanging="360" w:firstLineChars="0"/>
        <w:rPr>
          <w:rFonts w:hint="eastAsia" w:ascii="宋体" w:hAnsi="宋体" w:eastAsia="宋体" w:cs="宋体"/>
          <w:color w:val="auto"/>
          <w:kern w:val="2"/>
          <w:sz w:val="28"/>
          <w:szCs w:val="28"/>
          <w:highlight w:val="none"/>
          <w:lang w:val="zh-CN" w:eastAsia="zh-CN" w:bidi="ar-SA"/>
        </w:rPr>
      </w:pPr>
      <w:r>
        <w:rPr>
          <w:rFonts w:hint="eastAsia" w:ascii="宋体" w:hAnsi="宋体" w:eastAsia="宋体" w:cs="宋体"/>
          <w:color w:val="auto"/>
          <w:kern w:val="2"/>
          <w:sz w:val="28"/>
          <w:szCs w:val="28"/>
          <w:highlight w:val="none"/>
          <w:lang w:val="en-US" w:eastAsia="zh-CN" w:bidi="ar-SA"/>
        </w:rPr>
        <w:t>（4）</w:t>
      </w:r>
      <w:r>
        <w:rPr>
          <w:rFonts w:hint="eastAsia" w:ascii="宋体" w:hAnsi="宋体" w:eastAsia="宋体" w:cs="宋体"/>
          <w:color w:val="auto"/>
          <w:kern w:val="2"/>
          <w:sz w:val="28"/>
          <w:szCs w:val="28"/>
          <w:highlight w:val="none"/>
          <w:lang w:val="zh-CN" w:eastAsia="zh-CN" w:bidi="ar-SA"/>
        </w:rPr>
        <w:t>磋商文件服务需求及技术规格、合同特殊条款中要求提交的文件资料。</w:t>
      </w:r>
    </w:p>
    <w:p w14:paraId="1DD6ED90">
      <w:pPr>
        <w:numPr>
          <w:ilvl w:val="0"/>
          <w:numId w:val="0"/>
        </w:numPr>
        <w:tabs>
          <w:tab w:val="left" w:pos="540"/>
          <w:tab w:val="left" w:pos="900"/>
          <w:tab w:val="left" w:pos="1080"/>
        </w:tabs>
        <w:spacing w:line="400" w:lineRule="atLeast"/>
        <w:ind w:left="720" w:leftChars="0" w:hanging="360" w:firstLineChars="0"/>
        <w:rPr>
          <w:rFonts w:hint="eastAsia" w:ascii="宋体" w:hAnsi="宋体" w:eastAsia="宋体" w:cs="宋体"/>
          <w:color w:val="auto"/>
          <w:kern w:val="2"/>
          <w:sz w:val="28"/>
          <w:szCs w:val="28"/>
          <w:highlight w:val="none"/>
          <w:lang w:val="zh-CN" w:eastAsia="zh-CN" w:bidi="ar-SA"/>
        </w:rPr>
      </w:pPr>
      <w:r>
        <w:rPr>
          <w:rFonts w:hint="eastAsia" w:ascii="宋体" w:hAnsi="宋体" w:eastAsia="宋体" w:cs="宋体"/>
          <w:color w:val="auto"/>
          <w:kern w:val="2"/>
          <w:sz w:val="28"/>
          <w:szCs w:val="28"/>
          <w:highlight w:val="none"/>
          <w:lang w:val="en-US" w:eastAsia="zh-CN" w:bidi="ar-SA"/>
        </w:rPr>
        <w:t>（5）</w:t>
      </w:r>
      <w:r>
        <w:rPr>
          <w:rFonts w:hint="eastAsia" w:ascii="宋体" w:hAnsi="宋体" w:eastAsia="宋体" w:cs="宋体"/>
          <w:color w:val="auto"/>
          <w:kern w:val="2"/>
          <w:sz w:val="28"/>
          <w:szCs w:val="28"/>
          <w:highlight w:val="none"/>
          <w:lang w:val="zh-CN" w:eastAsia="zh-CN" w:bidi="ar-SA"/>
        </w:rPr>
        <w:t xml:space="preserve">授权委托书及受委托人身份证原件扫描件； </w:t>
      </w:r>
    </w:p>
    <w:p w14:paraId="20455074">
      <w:pPr>
        <w:numPr>
          <w:ilvl w:val="0"/>
          <w:numId w:val="0"/>
        </w:numPr>
        <w:tabs>
          <w:tab w:val="left" w:pos="540"/>
          <w:tab w:val="left" w:pos="900"/>
          <w:tab w:val="left" w:pos="1080"/>
        </w:tabs>
        <w:spacing w:line="400" w:lineRule="atLeast"/>
        <w:ind w:left="720" w:leftChars="0" w:hanging="360" w:firstLineChars="0"/>
        <w:rPr>
          <w:rFonts w:hint="eastAsia" w:ascii="宋体" w:hAnsi="宋体" w:eastAsia="宋体" w:cs="宋体"/>
          <w:color w:val="auto"/>
          <w:kern w:val="2"/>
          <w:sz w:val="28"/>
          <w:szCs w:val="28"/>
          <w:highlight w:val="none"/>
          <w:lang w:val="zh-CN" w:eastAsia="zh-CN" w:bidi="ar-SA"/>
        </w:rPr>
      </w:pPr>
      <w:r>
        <w:rPr>
          <w:rFonts w:hint="eastAsia" w:ascii="宋体" w:hAnsi="宋体" w:eastAsia="宋体" w:cs="宋体"/>
          <w:color w:val="auto"/>
          <w:kern w:val="2"/>
          <w:sz w:val="28"/>
          <w:szCs w:val="28"/>
          <w:highlight w:val="none"/>
          <w:lang w:val="en-US" w:eastAsia="zh-CN" w:bidi="ar-SA"/>
        </w:rPr>
        <w:t>（6）</w:t>
      </w:r>
      <w:r>
        <w:rPr>
          <w:rFonts w:hint="eastAsia" w:ascii="宋体" w:hAnsi="宋体" w:eastAsia="宋体" w:cs="宋体"/>
          <w:color w:val="auto"/>
          <w:kern w:val="2"/>
          <w:sz w:val="28"/>
          <w:szCs w:val="28"/>
          <w:highlight w:val="none"/>
          <w:lang w:val="zh-CN" w:eastAsia="zh-CN" w:bidi="ar-SA"/>
        </w:rPr>
        <w:t xml:space="preserve">商务条款偏离表； </w:t>
      </w:r>
    </w:p>
    <w:p w14:paraId="2591CADC">
      <w:pPr>
        <w:numPr>
          <w:ilvl w:val="0"/>
          <w:numId w:val="0"/>
        </w:numPr>
        <w:tabs>
          <w:tab w:val="left" w:pos="540"/>
          <w:tab w:val="left" w:pos="900"/>
          <w:tab w:val="left" w:pos="1080"/>
        </w:tabs>
        <w:spacing w:line="400" w:lineRule="atLeast"/>
        <w:ind w:left="720" w:leftChars="0" w:hanging="360" w:firstLineChars="0"/>
        <w:rPr>
          <w:rFonts w:hint="eastAsia" w:ascii="宋体" w:hAnsi="宋体" w:eastAsia="宋体" w:cs="宋体"/>
          <w:color w:val="auto"/>
          <w:kern w:val="2"/>
          <w:sz w:val="28"/>
          <w:szCs w:val="28"/>
          <w:highlight w:val="none"/>
          <w:lang w:val="zh-CN" w:eastAsia="zh-CN" w:bidi="ar-SA"/>
        </w:rPr>
      </w:pPr>
      <w:r>
        <w:rPr>
          <w:rFonts w:hint="eastAsia" w:ascii="宋体" w:hAnsi="宋体" w:eastAsia="宋体" w:cs="宋体"/>
          <w:color w:val="auto"/>
          <w:kern w:val="2"/>
          <w:sz w:val="28"/>
          <w:szCs w:val="28"/>
          <w:highlight w:val="none"/>
          <w:lang w:val="en-US" w:eastAsia="zh-CN" w:bidi="ar-SA"/>
        </w:rPr>
        <w:t>（7）</w:t>
      </w:r>
      <w:r>
        <w:rPr>
          <w:rFonts w:hint="eastAsia" w:ascii="宋体" w:hAnsi="宋体" w:eastAsia="宋体" w:cs="宋体"/>
          <w:color w:val="auto"/>
          <w:kern w:val="2"/>
          <w:sz w:val="28"/>
          <w:szCs w:val="28"/>
          <w:highlight w:val="none"/>
          <w:lang w:val="zh-CN" w:eastAsia="zh-CN" w:bidi="ar-SA"/>
        </w:rPr>
        <w:t xml:space="preserve">供应商近3年同类业绩； </w:t>
      </w:r>
    </w:p>
    <w:p w14:paraId="77EC04BD">
      <w:pPr>
        <w:numPr>
          <w:ilvl w:val="0"/>
          <w:numId w:val="0"/>
        </w:numPr>
        <w:tabs>
          <w:tab w:val="left" w:pos="540"/>
          <w:tab w:val="left" w:pos="900"/>
          <w:tab w:val="left" w:pos="1080"/>
        </w:tabs>
        <w:spacing w:line="400" w:lineRule="atLeast"/>
        <w:ind w:left="720" w:leftChars="0" w:hanging="360" w:firstLineChars="0"/>
        <w:rPr>
          <w:rFonts w:hint="eastAsia" w:ascii="宋体" w:hAnsi="宋体" w:eastAsia="宋体" w:cs="宋体"/>
          <w:color w:val="auto"/>
          <w:kern w:val="2"/>
          <w:sz w:val="28"/>
          <w:szCs w:val="28"/>
          <w:highlight w:val="none"/>
          <w:lang w:val="zh-CN" w:eastAsia="zh-CN" w:bidi="ar-SA"/>
        </w:rPr>
      </w:pPr>
      <w:r>
        <w:rPr>
          <w:rFonts w:hint="eastAsia" w:ascii="宋体" w:hAnsi="宋体" w:eastAsia="宋体" w:cs="宋体"/>
          <w:color w:val="auto"/>
          <w:kern w:val="2"/>
          <w:sz w:val="28"/>
          <w:szCs w:val="28"/>
          <w:highlight w:val="none"/>
          <w:lang w:val="en-US" w:eastAsia="zh-CN" w:bidi="ar-SA"/>
        </w:rPr>
        <w:t>（8）</w:t>
      </w:r>
      <w:r>
        <w:rPr>
          <w:rFonts w:hint="eastAsia" w:ascii="宋体" w:hAnsi="宋体" w:eastAsia="宋体" w:cs="宋体"/>
          <w:color w:val="auto"/>
          <w:kern w:val="2"/>
          <w:sz w:val="28"/>
          <w:szCs w:val="28"/>
          <w:highlight w:val="none"/>
          <w:lang w:val="zh-CN" w:eastAsia="zh-CN" w:bidi="ar-SA"/>
        </w:rPr>
        <w:t>供应商基本情况表；</w:t>
      </w:r>
    </w:p>
    <w:p w14:paraId="0BF9D37E">
      <w:pPr>
        <w:numPr>
          <w:ilvl w:val="0"/>
          <w:numId w:val="0"/>
        </w:numPr>
        <w:tabs>
          <w:tab w:val="left" w:pos="540"/>
          <w:tab w:val="left" w:pos="900"/>
          <w:tab w:val="left" w:pos="1080"/>
        </w:tabs>
        <w:spacing w:line="400" w:lineRule="atLeast"/>
        <w:ind w:left="720" w:leftChars="0" w:hanging="360" w:firstLineChars="0"/>
        <w:rPr>
          <w:rFonts w:hint="eastAsia" w:ascii="宋体" w:hAnsi="宋体" w:eastAsia="宋体" w:cs="宋体"/>
          <w:color w:val="auto"/>
          <w:kern w:val="2"/>
          <w:sz w:val="28"/>
          <w:szCs w:val="28"/>
          <w:highlight w:val="none"/>
          <w:lang w:val="zh-CN" w:eastAsia="zh-CN" w:bidi="ar-SA"/>
        </w:rPr>
      </w:pPr>
      <w:r>
        <w:rPr>
          <w:rFonts w:hint="eastAsia" w:ascii="宋体" w:hAnsi="宋体" w:eastAsia="宋体" w:cs="宋体"/>
          <w:color w:val="auto"/>
          <w:kern w:val="2"/>
          <w:sz w:val="28"/>
          <w:szCs w:val="28"/>
          <w:highlight w:val="none"/>
          <w:lang w:val="en-US" w:eastAsia="zh-CN" w:bidi="ar-SA"/>
        </w:rPr>
        <w:t>（9）</w:t>
      </w:r>
      <w:r>
        <w:rPr>
          <w:rFonts w:hint="eastAsia" w:ascii="宋体" w:hAnsi="宋体" w:eastAsia="宋体" w:cs="宋体"/>
          <w:color w:val="auto"/>
          <w:kern w:val="2"/>
          <w:sz w:val="28"/>
          <w:szCs w:val="28"/>
          <w:highlight w:val="none"/>
          <w:lang w:val="zh-CN" w:eastAsia="zh-CN" w:bidi="ar-SA"/>
        </w:rPr>
        <w:t>项目负责人及成员情况表；</w:t>
      </w:r>
    </w:p>
    <w:p w14:paraId="105FBF18">
      <w:pPr>
        <w:pStyle w:val="54"/>
        <w:autoSpaceDE w:val="0"/>
        <w:autoSpaceDN w:val="0"/>
        <w:adjustRightInd w:val="0"/>
        <w:spacing w:line="360" w:lineRule="auto"/>
        <w:ind w:firstLine="560" w:firstLineChars="200"/>
        <w:jc w:val="left"/>
        <w:rPr>
          <w:rFonts w:hint="eastAsia" w:ascii="宋体" w:hAnsi="宋体" w:eastAsia="宋体" w:cs="宋体"/>
          <w:color w:val="auto"/>
          <w:kern w:val="2"/>
          <w:sz w:val="28"/>
          <w:szCs w:val="28"/>
          <w:highlight w:val="none"/>
          <w:lang w:val="zh-CN" w:eastAsia="zh-CN" w:bidi="ar-SA"/>
        </w:rPr>
      </w:pPr>
      <w:r>
        <w:rPr>
          <w:rFonts w:hint="eastAsia" w:ascii="宋体" w:hAnsi="宋体" w:eastAsia="宋体" w:cs="宋体"/>
          <w:color w:val="auto"/>
          <w:kern w:val="2"/>
          <w:sz w:val="28"/>
          <w:szCs w:val="28"/>
          <w:highlight w:val="none"/>
          <w:lang w:val="zh-CN" w:eastAsia="zh-CN" w:bidi="ar-SA"/>
        </w:rPr>
        <w:t>（10）供应商诚信承诺书。</w:t>
      </w:r>
    </w:p>
    <w:p w14:paraId="2EEB59ED">
      <w:pPr>
        <w:pStyle w:val="54"/>
        <w:adjustRightInd w:val="0"/>
        <w:snapToGrid w:val="0"/>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3.3 报价要求</w:t>
      </w:r>
    </w:p>
    <w:p w14:paraId="4A9A669B">
      <w:pPr>
        <w:pStyle w:val="54"/>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3.3.1</w:t>
      </w:r>
      <w:r>
        <w:rPr>
          <w:rFonts w:hint="eastAsia" w:ascii="宋体" w:hAnsi="宋体" w:eastAsia="宋体" w:cs="宋体"/>
          <w:color w:val="auto"/>
          <w:sz w:val="28"/>
          <w:szCs w:val="28"/>
          <w:highlight w:val="none"/>
          <w:lang w:val="zh-CN"/>
        </w:rPr>
        <w:t>供应商应根据所提供的工程项目清单的要求编制单价、合价和总价</w:t>
      </w:r>
      <w:r>
        <w:rPr>
          <w:rFonts w:hint="eastAsia" w:ascii="宋体" w:hAnsi="宋体" w:eastAsia="宋体" w:cs="宋体"/>
          <w:color w:val="auto"/>
          <w:sz w:val="28"/>
          <w:szCs w:val="28"/>
          <w:highlight w:val="none"/>
        </w:rPr>
        <w:t>，且只允许有一个报价</w:t>
      </w:r>
      <w:r>
        <w:rPr>
          <w:rFonts w:hint="eastAsia" w:ascii="宋体" w:hAnsi="宋体" w:eastAsia="宋体" w:cs="宋体"/>
          <w:color w:val="auto"/>
          <w:sz w:val="28"/>
          <w:szCs w:val="28"/>
          <w:highlight w:val="none"/>
          <w:lang w:val="zh-CN"/>
        </w:rPr>
        <w:t>。</w:t>
      </w:r>
    </w:p>
    <w:p w14:paraId="047994A5">
      <w:pPr>
        <w:pStyle w:val="54"/>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3.3.2</w:t>
      </w:r>
      <w:r>
        <w:rPr>
          <w:rFonts w:hint="eastAsia" w:ascii="宋体" w:hAnsi="宋体" w:eastAsia="宋体" w:cs="宋体"/>
          <w:color w:val="auto"/>
          <w:sz w:val="28"/>
          <w:szCs w:val="28"/>
          <w:highlight w:val="none"/>
          <w:lang w:val="zh-CN"/>
        </w:rPr>
        <w:t>报价应是本磋商文件所确定的全部工作内容的价格体现。其应包括施工设备、劳务、管理、材料、安装、维护、检验、利润、税金及政策性文件规定的各项应有费用，以及施工中的水、电费、合同履行中人工及材料涨价因素和其它风险产生的各项费用。</w:t>
      </w:r>
    </w:p>
    <w:p w14:paraId="74BC50BF">
      <w:pPr>
        <w:pStyle w:val="54"/>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3.3.3响应文件中标明的价格在合同执行过程中是固定不变的，不得以任何理由予以变更。以可变动价格提交的报价将被认为是非实质响应采购要求而被拒绝。</w:t>
      </w:r>
    </w:p>
    <w:p w14:paraId="7BAF01A9">
      <w:pPr>
        <w:pStyle w:val="57"/>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3.3.4采购项目预算</w:t>
      </w:r>
      <w:r>
        <w:rPr>
          <w:rFonts w:hint="eastAsia" w:ascii="宋体" w:hAnsi="宋体" w:eastAsia="宋体" w:cs="宋体"/>
          <w:color w:val="auto"/>
          <w:sz w:val="28"/>
          <w:szCs w:val="28"/>
          <w:highlight w:val="none"/>
          <w:lang w:val="en-US" w:eastAsia="zh-CN"/>
        </w:rPr>
        <w:t>/最高限价</w:t>
      </w:r>
      <w:r>
        <w:rPr>
          <w:rFonts w:hint="eastAsia" w:ascii="宋体" w:hAnsi="宋体" w:eastAsia="宋体" w:cs="宋体"/>
          <w:b/>
          <w:color w:val="auto"/>
          <w:sz w:val="28"/>
          <w:szCs w:val="28"/>
          <w:highlight w:val="none"/>
        </w:rPr>
        <w:t>见磋商须知前附表</w:t>
      </w:r>
      <w:r>
        <w:rPr>
          <w:rFonts w:hint="eastAsia" w:ascii="宋体" w:hAnsi="宋体" w:eastAsia="宋体" w:cs="宋体"/>
          <w:color w:val="auto"/>
          <w:sz w:val="28"/>
          <w:szCs w:val="28"/>
          <w:highlight w:val="none"/>
        </w:rPr>
        <w:t>，</w:t>
      </w:r>
      <w:r>
        <w:rPr>
          <w:rFonts w:hint="eastAsia" w:ascii="宋体" w:hAnsi="宋体" w:eastAsia="宋体" w:cs="宋体"/>
          <w:color w:val="auto"/>
          <w:kern w:val="0"/>
          <w:sz w:val="28"/>
          <w:szCs w:val="28"/>
          <w:highlight w:val="none"/>
          <w:lang w:val="zh-CN"/>
        </w:rPr>
        <w:t>供应商</w:t>
      </w:r>
      <w:r>
        <w:rPr>
          <w:rFonts w:hint="eastAsia" w:ascii="宋体" w:hAnsi="宋体" w:eastAsia="宋体" w:cs="宋体"/>
          <w:color w:val="auto"/>
          <w:sz w:val="28"/>
          <w:szCs w:val="28"/>
          <w:highlight w:val="none"/>
        </w:rPr>
        <w:t>的报价不得超过</w:t>
      </w:r>
      <w:r>
        <w:rPr>
          <w:rFonts w:hint="eastAsia" w:ascii="宋体" w:hAnsi="宋体" w:eastAsia="宋体" w:cs="宋体"/>
          <w:color w:val="auto"/>
          <w:sz w:val="28"/>
          <w:szCs w:val="28"/>
          <w:highlight w:val="none"/>
          <w:lang w:val="en-US" w:eastAsia="zh-CN"/>
        </w:rPr>
        <w:t>最高限价</w:t>
      </w:r>
      <w:r>
        <w:rPr>
          <w:rFonts w:hint="eastAsia" w:ascii="宋体" w:hAnsi="宋体" w:eastAsia="宋体" w:cs="宋体"/>
          <w:color w:val="auto"/>
          <w:sz w:val="28"/>
          <w:szCs w:val="28"/>
          <w:highlight w:val="none"/>
        </w:rPr>
        <w:t>。否则，按无效报价处理。</w:t>
      </w:r>
    </w:p>
    <w:p w14:paraId="7D44EE86">
      <w:pPr>
        <w:pStyle w:val="54"/>
        <w:adjustRightInd w:val="0"/>
        <w:snapToGrid w:val="0"/>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3.4 证明供应商资格的文件</w:t>
      </w:r>
    </w:p>
    <w:p w14:paraId="4303E19D">
      <w:pPr>
        <w:pStyle w:val="57"/>
        <w:adjustRightInd w:val="0"/>
        <w:snapToGrid w:val="0"/>
        <w:spacing w:line="360" w:lineRule="auto"/>
        <w:ind w:firstLine="560" w:firstLineChars="200"/>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供应商</w:t>
      </w:r>
      <w:r>
        <w:rPr>
          <w:rFonts w:hint="eastAsia" w:ascii="宋体" w:hAnsi="宋体" w:eastAsia="宋体" w:cs="宋体"/>
          <w:color w:val="auto"/>
          <w:sz w:val="28"/>
          <w:szCs w:val="28"/>
          <w:highlight w:val="none"/>
        </w:rPr>
        <w:t>应提交满足本章第1.3</w:t>
      </w:r>
      <w:r>
        <w:rPr>
          <w:rFonts w:hint="eastAsia" w:ascii="宋体" w:hAnsi="宋体" w:eastAsia="宋体" w:cs="宋体"/>
          <w:color w:val="auto"/>
          <w:kern w:val="0"/>
          <w:sz w:val="28"/>
          <w:szCs w:val="28"/>
          <w:highlight w:val="none"/>
          <w:lang w:val="zh-CN"/>
        </w:rPr>
        <w:t>款</w:t>
      </w:r>
      <w:r>
        <w:rPr>
          <w:rFonts w:hint="eastAsia" w:ascii="宋体" w:hAnsi="宋体" w:eastAsia="宋体" w:cs="宋体"/>
          <w:color w:val="auto"/>
          <w:sz w:val="28"/>
          <w:szCs w:val="28"/>
          <w:highlight w:val="none"/>
        </w:rPr>
        <w:t>规定的资格条件要求的证明文件,该证明文件作为响应文件的一部分。</w:t>
      </w:r>
    </w:p>
    <w:p w14:paraId="5972B007">
      <w:pPr>
        <w:pStyle w:val="54"/>
        <w:adjustRightInd w:val="0"/>
        <w:snapToGrid w:val="0"/>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3.5磋商保证金</w:t>
      </w:r>
    </w:p>
    <w:p w14:paraId="09A913F6">
      <w:pPr>
        <w:pStyle w:val="57"/>
        <w:adjustRightInd w:val="0"/>
        <w:snapToGrid w:val="0"/>
        <w:spacing w:line="360" w:lineRule="auto"/>
        <w:ind w:firstLine="560" w:firstLineChars="200"/>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3.5.1供应商应按</w:t>
      </w:r>
      <w:r>
        <w:rPr>
          <w:rFonts w:hint="eastAsia" w:ascii="宋体" w:hAnsi="宋体" w:eastAsia="宋体" w:cs="宋体"/>
          <w:b/>
          <w:color w:val="auto"/>
          <w:sz w:val="28"/>
          <w:szCs w:val="28"/>
          <w:highlight w:val="none"/>
        </w:rPr>
        <w:t>磋商须知前附表</w:t>
      </w:r>
      <w:r>
        <w:rPr>
          <w:rFonts w:hint="eastAsia" w:ascii="宋体" w:hAnsi="宋体" w:eastAsia="宋体" w:cs="宋体"/>
          <w:color w:val="auto"/>
          <w:sz w:val="28"/>
          <w:szCs w:val="28"/>
          <w:highlight w:val="none"/>
        </w:rPr>
        <w:t>的规定提交磋商保证金，并作为响应文件的一部分。</w:t>
      </w:r>
    </w:p>
    <w:p w14:paraId="5E486B9C">
      <w:pPr>
        <w:pStyle w:val="57"/>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3.5.2 未按磋商文件规定提交磋商保证金的响应文件，将被视为非实质响应而被拒绝。</w:t>
      </w:r>
    </w:p>
    <w:p w14:paraId="0B074024">
      <w:pPr>
        <w:pStyle w:val="57"/>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3.5.3 未成交供应商的磋商保证金在成交通知书发出后五个工作日内退还；成交供应商的磋商保证金在采购合同签定后五个工作日内退还。</w:t>
      </w:r>
    </w:p>
    <w:p w14:paraId="4D24B27A">
      <w:pPr>
        <w:pStyle w:val="57"/>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3.5.4发生以下情况磋商保证金将不予退还：</w:t>
      </w:r>
    </w:p>
    <w:p w14:paraId="5B9C33AC">
      <w:pPr>
        <w:pStyle w:val="57"/>
        <w:adjustRightInd w:val="0"/>
        <w:snapToGrid w:val="0"/>
        <w:spacing w:line="360" w:lineRule="auto"/>
        <w:ind w:firstLine="560" w:firstLineChars="200"/>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（一）供应商在提交响应文件截止时间后撤回响应文件的；</w:t>
      </w:r>
    </w:p>
    <w:p w14:paraId="6F674568">
      <w:pPr>
        <w:pStyle w:val="57"/>
        <w:adjustRightInd w:val="0"/>
        <w:snapToGrid w:val="0"/>
        <w:spacing w:line="360" w:lineRule="auto"/>
        <w:ind w:firstLine="560" w:firstLineChars="200"/>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（二）供应商在响应文件中提供虚假材料的；</w:t>
      </w:r>
    </w:p>
    <w:p w14:paraId="052D74F4">
      <w:pPr>
        <w:pStyle w:val="57"/>
        <w:adjustRightInd w:val="0"/>
        <w:snapToGrid w:val="0"/>
        <w:spacing w:line="360" w:lineRule="auto"/>
        <w:ind w:firstLine="560" w:firstLineChars="200"/>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（三）除因不可抗力或磋商文件认可的情形以外，成交供应商不与采购人签订合同的；</w:t>
      </w:r>
    </w:p>
    <w:p w14:paraId="2E35F3D3">
      <w:pPr>
        <w:pStyle w:val="57"/>
        <w:adjustRightInd w:val="0"/>
        <w:snapToGrid w:val="0"/>
        <w:spacing w:line="360" w:lineRule="auto"/>
        <w:ind w:firstLine="560" w:firstLineChars="200"/>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（四）供应商与采购人、其他供应商或者采购代理机构恶意串通的；</w:t>
      </w:r>
    </w:p>
    <w:p w14:paraId="124EA88D">
      <w:pPr>
        <w:pStyle w:val="57"/>
        <w:adjustRightInd w:val="0"/>
        <w:snapToGrid w:val="0"/>
        <w:spacing w:line="360" w:lineRule="auto"/>
        <w:ind w:firstLine="560" w:firstLineChars="200"/>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（五）磋商文件规定的其他情形。</w:t>
      </w:r>
    </w:p>
    <w:p w14:paraId="301F9A00">
      <w:pPr>
        <w:pStyle w:val="57"/>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3.5.5如开标时投标人对本单位投标保证金缴纳情况有疑义，投标人应在开标结束前向招标人提交书面申请核实保证金缴纳情况。由银行或保险公司核实后出具书面材料予以答复。</w:t>
      </w:r>
    </w:p>
    <w:p w14:paraId="0E4533E1">
      <w:pPr>
        <w:pStyle w:val="57"/>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3.5.6开标结束后，转账、电汇、网银形式缴纳的保证金由招标代理或招标人统一办理中标人和未中标人的保证金退还事宜。如本项目招标中遇质疑，投诉，复议等特殊情况，保证金退还时间按相关规定执行。银行保函、保险保函等形式缴纳的投标保证金按协议执行，无需办理退款手续。</w:t>
      </w:r>
    </w:p>
    <w:p w14:paraId="4A7CF23C">
      <w:pPr>
        <w:pStyle w:val="54"/>
        <w:adjustRightInd w:val="0"/>
        <w:snapToGrid w:val="0"/>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3.6 </w:t>
      </w:r>
      <w:r>
        <w:rPr>
          <w:rFonts w:hint="eastAsia" w:ascii="宋体" w:hAnsi="宋体" w:eastAsia="宋体" w:cs="宋体"/>
          <w:color w:val="auto"/>
          <w:sz w:val="28"/>
          <w:szCs w:val="28"/>
          <w:highlight w:val="none"/>
        </w:rPr>
        <w:t xml:space="preserve"> </w:t>
      </w:r>
      <w:r>
        <w:rPr>
          <w:rFonts w:hint="eastAsia" w:ascii="宋体" w:hAnsi="宋体" w:eastAsia="宋体" w:cs="宋体"/>
          <w:b/>
          <w:color w:val="auto"/>
          <w:sz w:val="28"/>
          <w:szCs w:val="28"/>
          <w:highlight w:val="none"/>
        </w:rPr>
        <w:t>响应文件有效期</w:t>
      </w:r>
    </w:p>
    <w:p w14:paraId="03DC315C">
      <w:pPr>
        <w:pStyle w:val="54"/>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3.6.1响应文件有效期</w:t>
      </w:r>
      <w:r>
        <w:rPr>
          <w:rFonts w:hint="eastAsia" w:ascii="宋体" w:hAnsi="宋体" w:eastAsia="宋体" w:cs="宋体"/>
          <w:b/>
          <w:color w:val="auto"/>
          <w:sz w:val="28"/>
          <w:szCs w:val="28"/>
          <w:highlight w:val="none"/>
        </w:rPr>
        <w:t>见磋商须知前附表</w:t>
      </w:r>
      <w:r>
        <w:rPr>
          <w:rFonts w:hint="eastAsia" w:ascii="宋体" w:hAnsi="宋体" w:eastAsia="宋体" w:cs="宋体"/>
          <w:color w:val="auto"/>
          <w:sz w:val="28"/>
          <w:szCs w:val="28"/>
          <w:highlight w:val="none"/>
        </w:rPr>
        <w:t>，响应文件有效期不足的将被视为无效响应，并予以拒绝。</w:t>
      </w:r>
    </w:p>
    <w:p w14:paraId="36F8B818">
      <w:pPr>
        <w:pStyle w:val="54"/>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3.6.2特殊情况下，采购代理机构可于响应文件有效期满之前要求供应商同意延长有效期，要求与答复均应为书面形式。供应商可以拒绝上述要求而其磋商保证金不被没收。对于同意该要求的供应商，既不要求也不允许其修改响应文件，但将要求其相应延长磋商保证金的有效期。有关退还和没收磋商保证金的规定在响应文件有效期的延长期内继续有效。</w:t>
      </w:r>
    </w:p>
    <w:p w14:paraId="3E8481D4">
      <w:pPr>
        <w:pStyle w:val="54"/>
        <w:adjustRightInd w:val="0"/>
        <w:snapToGrid w:val="0"/>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3.7 响应文件的签署及规定</w:t>
      </w:r>
    </w:p>
    <w:p w14:paraId="2E3B0B3F">
      <w:pPr>
        <w:pStyle w:val="57"/>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3.7.1供应商应提供响应文件份数</w:t>
      </w:r>
      <w:r>
        <w:rPr>
          <w:rFonts w:hint="eastAsia" w:ascii="宋体" w:hAnsi="宋体" w:eastAsia="宋体" w:cs="宋体"/>
          <w:b/>
          <w:color w:val="auto"/>
          <w:sz w:val="28"/>
          <w:szCs w:val="28"/>
          <w:highlight w:val="none"/>
        </w:rPr>
        <w:t>见磋商须知前附表</w:t>
      </w:r>
      <w:r>
        <w:rPr>
          <w:rFonts w:hint="eastAsia" w:ascii="宋体" w:hAnsi="宋体" w:eastAsia="宋体" w:cs="宋体"/>
          <w:color w:val="auto"/>
          <w:sz w:val="28"/>
          <w:szCs w:val="28"/>
          <w:highlight w:val="none"/>
        </w:rPr>
        <w:t>。</w:t>
      </w:r>
    </w:p>
    <w:p w14:paraId="2F2C2A87">
      <w:pPr>
        <w:pStyle w:val="54"/>
        <w:spacing w:line="360" w:lineRule="auto"/>
        <w:ind w:firstLine="560" w:firstLineChars="200"/>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lang w:val="zh-CN"/>
        </w:rPr>
        <w:t xml:space="preserve">3.7.2 </w:t>
      </w:r>
      <w:r>
        <w:rPr>
          <w:rFonts w:hint="eastAsia" w:ascii="宋体" w:hAnsi="宋体" w:eastAsia="宋体" w:cs="宋体"/>
          <w:color w:val="auto"/>
          <w:sz w:val="28"/>
          <w:szCs w:val="28"/>
          <w:highlight w:val="none"/>
        </w:rPr>
        <w:t>投标人在投标文件及相关文件的签订、履行、通知等事项的文件中的单位盖章、印章、公章等处均指与当事人全称相一致的签章或标准公章，不得使用其他形式（如带有“专用章”等字样的印章）。不符合本条规定的按无效投标处理。</w:t>
      </w:r>
    </w:p>
    <w:p w14:paraId="2747D042">
      <w:pPr>
        <w:pStyle w:val="52"/>
        <w:jc w:val="center"/>
        <w:outlineLvl w:val="1"/>
        <w:rPr>
          <w:rFonts w:hint="eastAsia" w:ascii="宋体" w:hAnsi="宋体" w:eastAsia="宋体" w:cs="宋体"/>
          <w:b/>
          <w:bCs/>
          <w:color w:val="auto"/>
          <w:sz w:val="28"/>
          <w:szCs w:val="28"/>
          <w:highlight w:val="none"/>
        </w:rPr>
      </w:pPr>
      <w:bookmarkStart w:id="28" w:name="_Toc256000008"/>
      <w:bookmarkStart w:id="29" w:name="_Toc4490"/>
      <w:bookmarkStart w:id="30" w:name="_Toc1343"/>
      <w:bookmarkStart w:id="31" w:name="_Toc256000017"/>
      <w:bookmarkStart w:id="32" w:name="_Toc31717"/>
      <w:r>
        <w:rPr>
          <w:rFonts w:hint="eastAsia" w:ascii="宋体" w:hAnsi="宋体" w:eastAsia="宋体" w:cs="宋体"/>
          <w:b/>
          <w:bCs/>
          <w:color w:val="auto"/>
          <w:sz w:val="28"/>
          <w:szCs w:val="28"/>
          <w:highlight w:val="none"/>
        </w:rPr>
        <w:t>四、响应文件的递交</w:t>
      </w:r>
      <w:bookmarkEnd w:id="28"/>
      <w:bookmarkEnd w:id="29"/>
      <w:bookmarkEnd w:id="30"/>
      <w:bookmarkEnd w:id="31"/>
      <w:bookmarkEnd w:id="32"/>
    </w:p>
    <w:p w14:paraId="0BAC9EC9">
      <w:pPr>
        <w:pStyle w:val="54"/>
        <w:adjustRightInd w:val="0"/>
        <w:snapToGrid w:val="0"/>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4.1 </w:t>
      </w:r>
      <w:r>
        <w:rPr>
          <w:rFonts w:hint="eastAsia" w:ascii="宋体" w:hAnsi="宋体" w:eastAsia="宋体" w:cs="宋体"/>
          <w:b/>
          <w:color w:val="auto"/>
          <w:sz w:val="28"/>
          <w:szCs w:val="28"/>
          <w:highlight w:val="none"/>
        </w:rPr>
        <w:t>响应文件</w:t>
      </w:r>
      <w:r>
        <w:rPr>
          <w:rFonts w:hint="eastAsia" w:ascii="宋体" w:hAnsi="宋体" w:eastAsia="宋体" w:cs="宋体"/>
          <w:b/>
          <w:bCs/>
          <w:color w:val="auto"/>
          <w:sz w:val="28"/>
          <w:szCs w:val="28"/>
          <w:highlight w:val="none"/>
        </w:rPr>
        <w:t>的密封和标记</w:t>
      </w:r>
    </w:p>
    <w:p w14:paraId="70A7A8C5">
      <w:pPr>
        <w:pStyle w:val="54"/>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4.1.1响应文件的密封：电子响应文件的密封和标记。电子响应文件的内容通过数字证书进行加密并签章。未按要求加密和数字证书认证的响应文件，电子开标软件将无法接受, 采购代理机构不予受理。</w:t>
      </w:r>
    </w:p>
    <w:p w14:paraId="1BBDDFA3">
      <w:pPr>
        <w:pStyle w:val="54"/>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4.1.2由于不可抗拒的原因或无法控制的事件而导致丢失或损坏投标包装体内的响应文件，采购人将不负责任。</w:t>
      </w:r>
    </w:p>
    <w:p w14:paraId="50292A9D">
      <w:pPr>
        <w:pStyle w:val="54"/>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4.1.3电子响应文件的密封和标记。电子响应文件的内容通过数字证书进行加密并签章。未按要求加密和数字证书认证的响应文件，电子开标软件将无法接受, 采购代理机构不予受理。</w:t>
      </w:r>
    </w:p>
    <w:p w14:paraId="447EA116">
      <w:pPr>
        <w:pStyle w:val="54"/>
        <w:adjustRightInd w:val="0"/>
        <w:snapToGrid w:val="0"/>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4.2响应文件的递交</w:t>
      </w:r>
    </w:p>
    <w:p w14:paraId="3A6E1E18">
      <w:pPr>
        <w:pStyle w:val="54"/>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4.2.1电子响应文件的提交。供应商应在规定的响应文件递交截止时间内，将电子响应文件上传到指定网站的指定栏目。未在响应文件递交截止时间内完成上传的电子响应文件视为逾期送达。逾期上传或未按规定方式上传的电子响应文件，采购代理机构不予受理。</w:t>
      </w:r>
    </w:p>
    <w:p w14:paraId="657B9C2C">
      <w:pPr>
        <w:pStyle w:val="54"/>
        <w:adjustRightInd w:val="0"/>
        <w:snapToGrid w:val="0"/>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4.3响应文件的</w:t>
      </w:r>
      <w:r>
        <w:rPr>
          <w:rFonts w:hint="eastAsia" w:ascii="宋体" w:hAnsi="宋体" w:eastAsia="宋体" w:cs="宋体"/>
          <w:b/>
          <w:color w:val="auto"/>
          <w:kern w:val="0"/>
          <w:sz w:val="28"/>
          <w:szCs w:val="28"/>
          <w:highlight w:val="none"/>
          <w:lang w:val="zh-CN"/>
        </w:rPr>
        <w:t>补充、修改或者撤回</w:t>
      </w:r>
    </w:p>
    <w:p w14:paraId="0866CC98">
      <w:pPr>
        <w:pStyle w:val="57"/>
        <w:adjustRightInd w:val="0"/>
        <w:snapToGrid w:val="0"/>
        <w:spacing w:line="360" w:lineRule="auto"/>
        <w:ind w:firstLine="560" w:firstLineChars="200"/>
        <w:rPr>
          <w:rFonts w:hint="eastAsia" w:ascii="宋体" w:hAnsi="宋体" w:eastAsia="宋体" w:cs="宋体"/>
          <w:color w:val="auto"/>
          <w:kern w:val="0"/>
          <w:sz w:val="28"/>
          <w:szCs w:val="28"/>
          <w:highlight w:val="none"/>
          <w:lang w:val="zh-CN"/>
        </w:rPr>
      </w:pPr>
      <w:r>
        <w:rPr>
          <w:rFonts w:hint="eastAsia" w:ascii="宋体" w:hAnsi="宋体" w:eastAsia="宋体" w:cs="宋体"/>
          <w:color w:val="auto"/>
          <w:sz w:val="28"/>
          <w:szCs w:val="28"/>
          <w:highlight w:val="none"/>
        </w:rPr>
        <w:t>4.3.1投标人在递交投标文件后，可以修改或撤回其投标，但这种修改和撤回，必须在规定的投标截止时间前。在投标截止时间后，投标人不得要求修改或撤回其投标文件。</w:t>
      </w:r>
    </w:p>
    <w:p w14:paraId="19FBAA18">
      <w:pPr>
        <w:pStyle w:val="57"/>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4.3.2在递交响应文件截止时间后，供应商不得对响应文件</w:t>
      </w:r>
      <w:r>
        <w:rPr>
          <w:rFonts w:hint="eastAsia" w:ascii="宋体" w:hAnsi="宋体" w:eastAsia="宋体" w:cs="宋体"/>
          <w:color w:val="auto"/>
          <w:kern w:val="0"/>
          <w:sz w:val="28"/>
          <w:szCs w:val="28"/>
          <w:highlight w:val="none"/>
          <w:lang w:val="zh-CN"/>
        </w:rPr>
        <w:t>补充、修改或者撤回，但属于本须知5.4.2款规定的情形除外</w:t>
      </w:r>
      <w:r>
        <w:rPr>
          <w:rFonts w:hint="eastAsia" w:ascii="宋体" w:hAnsi="宋体" w:eastAsia="宋体" w:cs="宋体"/>
          <w:color w:val="auto"/>
          <w:sz w:val="28"/>
          <w:szCs w:val="28"/>
          <w:highlight w:val="none"/>
        </w:rPr>
        <w:t>。</w:t>
      </w:r>
    </w:p>
    <w:p w14:paraId="5FF21D10">
      <w:pPr>
        <w:pStyle w:val="52"/>
        <w:jc w:val="center"/>
        <w:outlineLvl w:val="1"/>
        <w:rPr>
          <w:rFonts w:hint="eastAsia" w:ascii="宋体" w:hAnsi="宋体" w:eastAsia="宋体" w:cs="宋体"/>
          <w:b/>
          <w:bCs/>
          <w:color w:val="auto"/>
          <w:sz w:val="28"/>
          <w:szCs w:val="28"/>
          <w:highlight w:val="none"/>
        </w:rPr>
      </w:pPr>
      <w:bookmarkStart w:id="33" w:name="_Toc12287"/>
      <w:bookmarkStart w:id="34" w:name="_Toc256000009"/>
      <w:bookmarkStart w:id="35" w:name="_Toc13285"/>
      <w:bookmarkStart w:id="36" w:name="_Toc256000018"/>
      <w:bookmarkStart w:id="37" w:name="_Toc18508"/>
      <w:r>
        <w:rPr>
          <w:rFonts w:hint="eastAsia" w:ascii="宋体" w:hAnsi="宋体" w:eastAsia="宋体" w:cs="宋体"/>
          <w:b/>
          <w:bCs/>
          <w:color w:val="auto"/>
          <w:sz w:val="28"/>
          <w:szCs w:val="28"/>
          <w:highlight w:val="none"/>
        </w:rPr>
        <w:t>五、磋商和评审</w:t>
      </w:r>
      <w:bookmarkEnd w:id="33"/>
      <w:bookmarkEnd w:id="34"/>
      <w:bookmarkEnd w:id="35"/>
      <w:bookmarkEnd w:id="36"/>
      <w:bookmarkEnd w:id="37"/>
    </w:p>
    <w:p w14:paraId="75CC59F0">
      <w:pPr>
        <w:pStyle w:val="54"/>
        <w:adjustRightInd w:val="0"/>
        <w:snapToGrid w:val="0"/>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5.1 磋商仪式</w:t>
      </w:r>
    </w:p>
    <w:p w14:paraId="585E38A6">
      <w:pPr>
        <w:pStyle w:val="57"/>
        <w:adjustRightInd w:val="0"/>
        <w:snapToGrid w:val="0"/>
        <w:spacing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5.1.1采用不见面开标方式</w:t>
      </w:r>
    </w:p>
    <w:p w14:paraId="1D82A024">
      <w:pPr>
        <w:pStyle w:val="57"/>
        <w:adjustRightInd w:val="0"/>
        <w:snapToGrid w:val="0"/>
        <w:spacing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采购单位在规定的投标截止时间（开标时间）和投标供应商须知前附表规定的地点开标。投标供应商的法定代表人或其委托代理人无需到达开标现场，仅需在任意地点通过新疆政府采购网政采云平台http</w:t>
      </w: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rPr>
        <w:t>//www.ccgp-xinjiang.gov.cn/登录开标界面，使用CA密钥完成远程解密、提疑澄清、开标唱标、结果公布等交互环节。</w:t>
      </w:r>
    </w:p>
    <w:p w14:paraId="10DE8C27">
      <w:pPr>
        <w:pStyle w:val="57"/>
        <w:adjustRightInd w:val="0"/>
        <w:snapToGrid w:val="0"/>
        <w:spacing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法定代表人或法定代表人授权委托人参与远程交互，中途不得更换，在废标、澄清、提疑、传送文件等特殊情况下需要交互时，投标供应商一端参与交互的人员将均被视为是投标供应商的授权委托人或法人代表，投标供应商不得以不承认交互人员的资格或身份等为借口推脱，投标供应商自行承担随意更换人员所导致的一切后果。</w:t>
      </w:r>
    </w:p>
    <w:p w14:paraId="6998E969">
      <w:pPr>
        <w:pStyle w:val="54"/>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5.1.2</w:t>
      </w:r>
      <w:r>
        <w:rPr>
          <w:rFonts w:hint="eastAsia" w:ascii="宋体" w:hAnsi="宋体" w:eastAsia="宋体" w:cs="宋体"/>
          <w:color w:val="auto"/>
          <w:sz w:val="28"/>
          <w:szCs w:val="28"/>
          <w:highlight w:val="none"/>
        </w:rPr>
        <w:t>除了存在以下情形的响应文件之外，磋商开始时将不得拒绝任何报价。</w:t>
      </w:r>
    </w:p>
    <w:p w14:paraId="4F5FB458">
      <w:pPr>
        <w:pStyle w:val="54"/>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(1)未按磋商邀请要求报名和获取磋商文件，并提交相关资料的；</w:t>
      </w:r>
    </w:p>
    <w:p w14:paraId="1EAACAC3">
      <w:pPr>
        <w:pStyle w:val="54"/>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(2)未按磋商须知第5.1.1项规定提交响应文件，并出席磋商仪式的；</w:t>
      </w:r>
    </w:p>
    <w:p w14:paraId="4254019E">
      <w:pPr>
        <w:pStyle w:val="54"/>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(3)未按磋商须知第4.1项要求对响应文件进行密封和加写标记的；</w:t>
      </w:r>
    </w:p>
    <w:p w14:paraId="5DB4DC46">
      <w:pPr>
        <w:pStyle w:val="54"/>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(4)响应文件的递交、修改或撤回不符合磋商须知第4.2、4.3项规定的。</w:t>
      </w:r>
    </w:p>
    <w:p w14:paraId="6FC691B0">
      <w:pPr>
        <w:pStyle w:val="54"/>
        <w:adjustRightInd w:val="0"/>
        <w:snapToGrid w:val="0"/>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5.2磋商小组</w:t>
      </w:r>
    </w:p>
    <w:p w14:paraId="153DB0E7">
      <w:pPr>
        <w:pStyle w:val="54"/>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磋商小组将根据采购项目的特点依法组建，磋商小组的组成见</w:t>
      </w:r>
      <w:r>
        <w:rPr>
          <w:rFonts w:hint="eastAsia" w:ascii="宋体" w:hAnsi="宋体" w:eastAsia="宋体" w:cs="宋体"/>
          <w:b/>
          <w:color w:val="auto"/>
          <w:sz w:val="28"/>
          <w:szCs w:val="28"/>
          <w:highlight w:val="none"/>
        </w:rPr>
        <w:t>磋商须知前附表</w:t>
      </w:r>
      <w:r>
        <w:rPr>
          <w:rFonts w:hint="eastAsia" w:ascii="宋体" w:hAnsi="宋体" w:eastAsia="宋体" w:cs="宋体"/>
          <w:color w:val="auto"/>
          <w:sz w:val="28"/>
          <w:szCs w:val="28"/>
          <w:highlight w:val="none"/>
        </w:rPr>
        <w:t>。</w:t>
      </w:r>
    </w:p>
    <w:p w14:paraId="18AEB232">
      <w:pPr>
        <w:pStyle w:val="54"/>
        <w:spacing w:line="360" w:lineRule="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5.3</w:t>
      </w:r>
      <w:r>
        <w:rPr>
          <w:rFonts w:hint="eastAsia" w:ascii="宋体" w:hAnsi="宋体" w:eastAsia="宋体" w:cs="宋体"/>
          <w:b/>
          <w:color w:val="auto"/>
          <w:sz w:val="28"/>
          <w:szCs w:val="28"/>
          <w:highlight w:val="none"/>
        </w:rPr>
        <w:t>响应文件的初步评审与澄清</w:t>
      </w:r>
    </w:p>
    <w:p w14:paraId="63784579">
      <w:pPr>
        <w:pStyle w:val="54"/>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5.3.1响应文件的初步评审分为资格性检查、符合性检查。</w:t>
      </w:r>
    </w:p>
    <w:p w14:paraId="1E54F61D">
      <w:pPr>
        <w:pStyle w:val="54"/>
        <w:spacing w:line="360" w:lineRule="auto"/>
        <w:ind w:firstLine="552" w:firstLineChars="200"/>
        <w:rPr>
          <w:rFonts w:hint="eastAsia" w:ascii="宋体" w:hAnsi="宋体" w:eastAsia="宋体" w:cs="宋体"/>
          <w:color w:val="auto"/>
          <w:spacing w:val="-2"/>
          <w:sz w:val="28"/>
          <w:szCs w:val="28"/>
          <w:highlight w:val="none"/>
        </w:rPr>
      </w:pPr>
      <w:r>
        <w:rPr>
          <w:rFonts w:hint="eastAsia" w:ascii="宋体" w:hAnsi="宋体" w:eastAsia="宋体" w:cs="宋体"/>
          <w:color w:val="auto"/>
          <w:spacing w:val="-2"/>
          <w:sz w:val="28"/>
          <w:szCs w:val="28"/>
          <w:highlight w:val="none"/>
        </w:rPr>
        <w:t>（1）资格性检查指依据法律、法规和磋商文件的规定，对响应文件资格证明、磋商保证金等进行审查，以确定供应商是否具备报价资格。详细评审标准见</w:t>
      </w:r>
      <w:r>
        <w:rPr>
          <w:rFonts w:hint="eastAsia" w:ascii="宋体" w:hAnsi="宋体" w:eastAsia="宋体" w:cs="宋体"/>
          <w:b/>
          <w:bCs/>
          <w:color w:val="auto"/>
          <w:spacing w:val="-2"/>
          <w:sz w:val="28"/>
          <w:szCs w:val="28"/>
          <w:highlight w:val="none"/>
        </w:rPr>
        <w:t>资格审查表</w:t>
      </w:r>
      <w:r>
        <w:rPr>
          <w:rFonts w:hint="eastAsia" w:ascii="宋体" w:hAnsi="宋体" w:eastAsia="宋体" w:cs="宋体"/>
          <w:color w:val="auto"/>
          <w:spacing w:val="-2"/>
          <w:sz w:val="28"/>
          <w:szCs w:val="28"/>
          <w:highlight w:val="none"/>
        </w:rPr>
        <w:t>。</w:t>
      </w:r>
    </w:p>
    <w:p w14:paraId="32F57202">
      <w:pPr>
        <w:pStyle w:val="54"/>
        <w:spacing w:line="360" w:lineRule="auto"/>
        <w:ind w:firstLine="552" w:firstLineChars="200"/>
        <w:rPr>
          <w:rFonts w:hint="eastAsia" w:ascii="宋体" w:hAnsi="宋体" w:eastAsia="宋体" w:cs="宋体"/>
          <w:color w:val="auto"/>
          <w:spacing w:val="-2"/>
          <w:sz w:val="28"/>
          <w:szCs w:val="28"/>
          <w:highlight w:val="none"/>
        </w:rPr>
      </w:pPr>
      <w:r>
        <w:rPr>
          <w:rFonts w:hint="eastAsia" w:ascii="宋体" w:hAnsi="宋体" w:eastAsia="宋体" w:cs="宋体"/>
          <w:color w:val="auto"/>
          <w:spacing w:val="-2"/>
          <w:sz w:val="28"/>
          <w:szCs w:val="28"/>
          <w:highlight w:val="none"/>
        </w:rPr>
        <w:t>（2）符合性检查依据磋商文件的规定，从响应文件的有效性、完整性和对磋商文件的响应程度进行审查，以确定是否对磋商文件的实质性要求作出响应。详细评审标准见</w:t>
      </w:r>
      <w:r>
        <w:rPr>
          <w:rFonts w:hint="eastAsia" w:ascii="宋体" w:hAnsi="宋体" w:eastAsia="宋体" w:cs="宋体"/>
          <w:b/>
          <w:bCs/>
          <w:color w:val="auto"/>
          <w:spacing w:val="-2"/>
          <w:sz w:val="28"/>
          <w:szCs w:val="28"/>
          <w:highlight w:val="none"/>
          <w:lang w:val="en-US" w:eastAsia="zh-CN"/>
        </w:rPr>
        <w:t>符合性</w:t>
      </w:r>
      <w:r>
        <w:rPr>
          <w:rFonts w:hint="eastAsia" w:ascii="宋体" w:hAnsi="宋体" w:eastAsia="宋体" w:cs="宋体"/>
          <w:b/>
          <w:bCs/>
          <w:color w:val="auto"/>
          <w:spacing w:val="-2"/>
          <w:sz w:val="28"/>
          <w:szCs w:val="28"/>
          <w:highlight w:val="none"/>
        </w:rPr>
        <w:t>审查表。</w:t>
      </w:r>
    </w:p>
    <w:p w14:paraId="14066BF7">
      <w:pPr>
        <w:pStyle w:val="54"/>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5.3.1.1资格性检查</w:t>
      </w:r>
    </w:p>
    <w:p w14:paraId="1318F9FD">
      <w:pPr>
        <w:pStyle w:val="54"/>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（1）磋商小组根据评审办法前附表规定的评审因素和评审标准，对供应商的响应文件进行资格评审。资格性检查不合格的供应商的响应文件作无效文件处理。</w:t>
      </w:r>
    </w:p>
    <w:p w14:paraId="2F78C578">
      <w:pPr>
        <w:pStyle w:val="54"/>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（2）磋商小组在进行资格检查时，不得改变磋商文件中已载明的资格条件、标准和办法。资格性检查不合格的供应商的响应文件作无效文件处理。</w:t>
      </w:r>
    </w:p>
    <w:p w14:paraId="57ABB90D">
      <w:pPr>
        <w:pStyle w:val="54"/>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（3）供应商在递交响应文件的同时，应逐项对照上述资格性检查要求提交相应的原件和资格证明文件供磋商小组核查，否则评委将不予采信。</w:t>
      </w:r>
    </w:p>
    <w:p w14:paraId="40D85793">
      <w:pPr>
        <w:pStyle w:val="54"/>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（4）磋商小组在评审中必要时可按供应商提供的联系方式就有关问题进行查询核实，或要求供应商做出书面澄清，查询及澄清结果将作为审查的依据。</w:t>
      </w:r>
    </w:p>
    <w:p w14:paraId="325EDF41">
      <w:pPr>
        <w:pStyle w:val="54"/>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（5）通过全部资格性检查条件合格的供应商才能通过资格检查，其响应文件方可进入下一个检查阶段。</w:t>
      </w:r>
    </w:p>
    <w:p w14:paraId="49E02ABA">
      <w:pPr>
        <w:pStyle w:val="54"/>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5.3.1.2符合性检查</w:t>
      </w:r>
    </w:p>
    <w:p w14:paraId="4D09E18D">
      <w:pPr>
        <w:pStyle w:val="54"/>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磋商小组根据评审办法前附表规定的评审因素和评审标准，对供应商的响应文件进行符合性检查。符合性检查不合格的供应商的响应文件作无效文件处理。</w:t>
      </w:r>
    </w:p>
    <w:p w14:paraId="4AAF02E0">
      <w:pPr>
        <w:pStyle w:val="54"/>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5.3.1.3在评审过程中，磋商小组发现供应商有下列情形之一的，作无效文件处理：</w:t>
      </w:r>
    </w:p>
    <w:p w14:paraId="4FB71FD5">
      <w:pPr>
        <w:pStyle w:val="54"/>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（1）属于同一集团、协会、商会等组织成员的供应商按照该组织要求协同投标；</w:t>
      </w:r>
    </w:p>
    <w:p w14:paraId="2F51D064">
      <w:pPr>
        <w:pStyle w:val="54"/>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（2）不同供应商的响应文件由同一单位或者个人编制；</w:t>
      </w:r>
    </w:p>
    <w:p w14:paraId="3CD6A8B7">
      <w:pPr>
        <w:pStyle w:val="54"/>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（3）不同供应商委托同一单位或者个人办理投标事宜；</w:t>
      </w:r>
    </w:p>
    <w:p w14:paraId="5E27023C">
      <w:pPr>
        <w:pStyle w:val="54"/>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（4）不同供应商的响应文件载明的项目管理成员为同一人；</w:t>
      </w:r>
    </w:p>
    <w:p w14:paraId="5DBEE311">
      <w:pPr>
        <w:pStyle w:val="54"/>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（5）不同供应商的响应文件异常一致或者投标报价呈规律性差异；</w:t>
      </w:r>
    </w:p>
    <w:p w14:paraId="6C4E7244">
      <w:pPr>
        <w:pStyle w:val="54"/>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（6）不同供应商的响应文件相互混装；</w:t>
      </w:r>
    </w:p>
    <w:p w14:paraId="0EE5EB21">
      <w:pPr>
        <w:pStyle w:val="54"/>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（7）使用伪造、变造的行政许可证件；</w:t>
      </w:r>
    </w:p>
    <w:p w14:paraId="76F176FF">
      <w:pPr>
        <w:pStyle w:val="54"/>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（8）提供虚假的财务状况或者业绩；</w:t>
      </w:r>
    </w:p>
    <w:p w14:paraId="43BE77A8">
      <w:pPr>
        <w:pStyle w:val="54"/>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（9）提供虚假的项目负责人或者主要技术人员简历、劳动关系证明；</w:t>
      </w:r>
    </w:p>
    <w:p w14:paraId="14CA78E0">
      <w:pPr>
        <w:pStyle w:val="54"/>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（10）提供虚假的信用状况；</w:t>
      </w:r>
    </w:p>
    <w:p w14:paraId="06E104F9">
      <w:pPr>
        <w:pStyle w:val="54"/>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（11）其他弄虚作假的行为。</w:t>
      </w:r>
    </w:p>
    <w:p w14:paraId="23940A27">
      <w:pPr>
        <w:pStyle w:val="54"/>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5.3.2响应文件的澄清</w:t>
      </w:r>
    </w:p>
    <w:p w14:paraId="522FF7EB">
      <w:pPr>
        <w:pStyle w:val="54"/>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zh-CN"/>
        </w:rPr>
        <w:t>磋商小组在对响应文件的有效性、完整性和对磋商文件的响应程度进行审查时，可以要求供应商对响应文件中含义不明</w:t>
      </w:r>
      <w:r>
        <w:rPr>
          <w:rFonts w:hint="eastAsia" w:ascii="宋体" w:hAnsi="宋体" w:eastAsia="宋体" w:cs="宋体"/>
          <w:color w:val="auto"/>
          <w:sz w:val="28"/>
          <w:szCs w:val="28"/>
          <w:highlight w:val="none"/>
        </w:rPr>
        <w:t>确</w:t>
      </w:r>
      <w:r>
        <w:rPr>
          <w:rFonts w:hint="eastAsia" w:ascii="宋体" w:hAnsi="宋体" w:eastAsia="宋体" w:cs="宋体"/>
          <w:color w:val="auto"/>
          <w:sz w:val="28"/>
          <w:szCs w:val="28"/>
          <w:highlight w:val="none"/>
          <w:lang w:val="zh-CN"/>
        </w:rPr>
        <w:t>、同类问题表述不一致或者有明显文字和计算错误的内容等作出必要的澄清、说明或者纠正。该要求</w:t>
      </w:r>
      <w:r>
        <w:rPr>
          <w:rFonts w:hint="eastAsia" w:ascii="宋体" w:hAnsi="宋体" w:eastAsia="宋体" w:cs="宋体"/>
          <w:color w:val="auto"/>
          <w:sz w:val="28"/>
          <w:szCs w:val="28"/>
          <w:highlight w:val="none"/>
        </w:rPr>
        <w:t>应当以</w:t>
      </w:r>
      <w:r>
        <w:rPr>
          <w:rFonts w:hint="eastAsia" w:ascii="宋体" w:hAnsi="宋体" w:eastAsia="宋体" w:cs="宋体"/>
          <w:color w:val="auto"/>
          <w:sz w:val="28"/>
          <w:szCs w:val="28"/>
          <w:highlight w:val="none"/>
          <w:lang w:val="zh-CN"/>
        </w:rPr>
        <w:t>书面形式作出。供应商的澄清、说明或者补正应当采用书面形式，由其</w:t>
      </w:r>
      <w:r>
        <w:rPr>
          <w:rFonts w:hint="eastAsia" w:ascii="宋体" w:hAnsi="宋体" w:eastAsia="宋体" w:cs="宋体"/>
          <w:color w:val="auto"/>
          <w:sz w:val="28"/>
          <w:szCs w:val="28"/>
          <w:highlight w:val="none"/>
        </w:rPr>
        <w:t>法定代表人或其授权代表签字</w:t>
      </w:r>
      <w:r>
        <w:rPr>
          <w:rFonts w:hint="eastAsia" w:ascii="宋体" w:hAnsi="宋体" w:eastAsia="宋体" w:cs="宋体"/>
          <w:color w:val="auto"/>
          <w:sz w:val="28"/>
          <w:szCs w:val="28"/>
          <w:highlight w:val="none"/>
          <w:lang w:val="zh-CN"/>
        </w:rPr>
        <w:t>。供应商的澄清、说明或者更正不得超出磋商文件的范围或者改变响应文件的实质性内容。</w:t>
      </w:r>
    </w:p>
    <w:p w14:paraId="2202B03C">
      <w:pPr>
        <w:pStyle w:val="54"/>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zh-CN"/>
        </w:rPr>
        <w:t>（2）计算错误修正的原则：单价与总价有出入,以单价为准；大、小写有出入，以大写为准；响应文件正本与副本有出入，以正本为准。按上述原则修正的响应文件，对供应商起约束作用，供应商不接受修正的，其响应文件将被拒绝。</w:t>
      </w:r>
    </w:p>
    <w:p w14:paraId="14806345">
      <w:pPr>
        <w:pStyle w:val="54"/>
        <w:tabs>
          <w:tab w:val="left" w:pos="0"/>
        </w:tabs>
        <w:adjustRightInd w:val="0"/>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
          <w:bCs/>
          <w:color w:val="auto"/>
          <w:sz w:val="28"/>
          <w:szCs w:val="28"/>
          <w:highlight w:val="none"/>
        </w:rPr>
        <w:t>5.4 磋商、最后报价</w:t>
      </w:r>
    </w:p>
    <w:p w14:paraId="44236710">
      <w:pPr>
        <w:pStyle w:val="54"/>
        <w:tabs>
          <w:tab w:val="left" w:pos="0"/>
        </w:tabs>
        <w:adjustRightInd w:val="0"/>
        <w:snapToGrid w:val="0"/>
        <w:spacing w:line="360" w:lineRule="auto"/>
        <w:ind w:firstLine="560" w:firstLineChars="200"/>
        <w:rPr>
          <w:rFonts w:hint="eastAsia" w:ascii="宋体" w:hAnsi="宋体" w:eastAsia="宋体" w:cs="宋体"/>
          <w:color w:val="auto"/>
          <w:kern w:val="0"/>
          <w:sz w:val="28"/>
          <w:szCs w:val="28"/>
          <w:highlight w:val="none"/>
          <w:lang w:val="zh-CN"/>
        </w:rPr>
      </w:pPr>
      <w:r>
        <w:rPr>
          <w:rFonts w:hint="eastAsia" w:ascii="宋体" w:hAnsi="宋体" w:eastAsia="宋体" w:cs="宋体"/>
          <w:color w:val="auto"/>
          <w:sz w:val="28"/>
          <w:szCs w:val="28"/>
          <w:highlight w:val="none"/>
        </w:rPr>
        <w:t>5.4.1</w:t>
      </w:r>
      <w:r>
        <w:rPr>
          <w:rFonts w:hint="eastAsia" w:ascii="宋体" w:hAnsi="宋体" w:eastAsia="宋体" w:cs="宋体"/>
          <w:color w:val="auto"/>
          <w:kern w:val="0"/>
          <w:sz w:val="28"/>
          <w:szCs w:val="28"/>
          <w:highlight w:val="none"/>
          <w:lang w:val="zh-CN"/>
        </w:rPr>
        <w:t>磋商小组所有成员按以下两种情况和程序集中与单一供应商分别进行磋商。并给予所有参加</w:t>
      </w:r>
      <w:r>
        <w:rPr>
          <w:rFonts w:hint="eastAsia" w:ascii="宋体" w:hAnsi="宋体" w:eastAsia="宋体" w:cs="宋体"/>
          <w:bCs/>
          <w:color w:val="auto"/>
          <w:sz w:val="28"/>
          <w:szCs w:val="28"/>
          <w:highlight w:val="none"/>
        </w:rPr>
        <w:t>磋商</w:t>
      </w:r>
      <w:r>
        <w:rPr>
          <w:rFonts w:hint="eastAsia" w:ascii="宋体" w:hAnsi="宋体" w:eastAsia="宋体" w:cs="宋体"/>
          <w:color w:val="auto"/>
          <w:kern w:val="0"/>
          <w:sz w:val="28"/>
          <w:szCs w:val="28"/>
          <w:highlight w:val="none"/>
          <w:lang w:val="zh-CN"/>
        </w:rPr>
        <w:t>的供应商相同的磋商机会。</w:t>
      </w:r>
    </w:p>
    <w:p w14:paraId="0CEC12D3">
      <w:pPr>
        <w:pStyle w:val="54"/>
        <w:tabs>
          <w:tab w:val="left" w:pos="0"/>
        </w:tabs>
        <w:adjustRightInd w:val="0"/>
        <w:snapToGrid w:val="0"/>
        <w:spacing w:line="360" w:lineRule="auto"/>
        <w:ind w:firstLine="560" w:firstLineChars="200"/>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（1）第一种情况</w:t>
      </w:r>
    </w:p>
    <w:p w14:paraId="60BB3236">
      <w:pPr>
        <w:pStyle w:val="54"/>
        <w:tabs>
          <w:tab w:val="left" w:pos="0"/>
        </w:tabs>
        <w:adjustRightInd w:val="0"/>
        <w:snapToGrid w:val="0"/>
        <w:spacing w:line="360" w:lineRule="auto"/>
        <w:ind w:firstLine="560" w:firstLineChars="200"/>
        <w:rPr>
          <w:rFonts w:hint="eastAsia" w:ascii="宋体" w:hAnsi="宋体" w:eastAsia="宋体" w:cs="宋体"/>
          <w:color w:val="auto"/>
          <w:kern w:val="0"/>
          <w:sz w:val="28"/>
          <w:szCs w:val="28"/>
          <w:highlight w:val="none"/>
          <w:lang w:val="zh-CN"/>
        </w:rPr>
      </w:pPr>
      <w:r>
        <w:rPr>
          <w:rFonts w:hint="eastAsia" w:ascii="宋体" w:hAnsi="宋体" w:eastAsia="宋体" w:cs="宋体"/>
          <w:color w:val="auto"/>
          <w:sz w:val="28"/>
          <w:szCs w:val="28"/>
          <w:highlight w:val="none"/>
        </w:rPr>
        <w:t>磋商文件能够详细列明采购标的的技术、服务要求的，磋商结束后，磋商小组将要求所有实质性响应的供应商在规定时间内提交最后报价。最后报价是供应商响应文件的有效组成部分。</w:t>
      </w:r>
      <w:r>
        <w:rPr>
          <w:rFonts w:hint="eastAsia" w:ascii="宋体" w:hAnsi="宋体" w:eastAsia="宋体" w:cs="宋体"/>
          <w:snapToGrid w:val="0"/>
          <w:color w:val="auto"/>
          <w:kern w:val="0"/>
          <w:sz w:val="28"/>
          <w:szCs w:val="28"/>
          <w:highlight w:val="none"/>
        </w:rPr>
        <w:t>提交最后报价的供应商不得少于3家。</w:t>
      </w:r>
    </w:p>
    <w:p w14:paraId="4B1221F4">
      <w:pPr>
        <w:pStyle w:val="54"/>
        <w:tabs>
          <w:tab w:val="left" w:pos="0"/>
        </w:tabs>
        <w:adjustRightInd w:val="0"/>
        <w:snapToGrid w:val="0"/>
        <w:spacing w:line="360" w:lineRule="auto"/>
        <w:ind w:firstLine="560" w:firstLineChars="200"/>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（2）第二种情况</w:t>
      </w:r>
    </w:p>
    <w:p w14:paraId="62F1A74D">
      <w:pPr>
        <w:pStyle w:val="54"/>
        <w:tabs>
          <w:tab w:val="left" w:pos="0"/>
        </w:tabs>
        <w:adjustRightInd w:val="0"/>
        <w:snapToGrid w:val="0"/>
        <w:spacing w:line="360" w:lineRule="auto"/>
        <w:ind w:firstLine="560" w:firstLineChars="200"/>
        <w:rPr>
          <w:rFonts w:hint="eastAsia" w:ascii="宋体" w:hAnsi="宋体" w:eastAsia="宋体" w:cs="宋体"/>
          <w:color w:val="auto"/>
          <w:kern w:val="0"/>
          <w:sz w:val="28"/>
          <w:szCs w:val="28"/>
          <w:highlight w:val="none"/>
          <w:lang w:val="zh-CN"/>
        </w:rPr>
      </w:pPr>
      <w:r>
        <w:rPr>
          <w:rFonts w:hint="eastAsia" w:ascii="宋体" w:hAnsi="宋体" w:eastAsia="宋体" w:cs="宋体"/>
          <w:snapToGrid w:val="0"/>
          <w:color w:val="auto"/>
          <w:kern w:val="0"/>
          <w:sz w:val="28"/>
          <w:szCs w:val="28"/>
          <w:highlight w:val="none"/>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hint="eastAsia" w:ascii="宋体" w:hAnsi="宋体" w:eastAsia="宋体" w:cs="宋体"/>
          <w:color w:val="auto"/>
          <w:sz w:val="28"/>
          <w:szCs w:val="28"/>
          <w:highlight w:val="none"/>
        </w:rPr>
        <w:t>最后报价是供应商响应文件的有效组成部分。</w:t>
      </w:r>
    </w:p>
    <w:p w14:paraId="0FCE15B9">
      <w:pPr>
        <w:pStyle w:val="54"/>
        <w:tabs>
          <w:tab w:val="left" w:pos="0"/>
        </w:tabs>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zh-CN"/>
        </w:rPr>
        <w:t>5.4.2</w:t>
      </w:r>
      <w:r>
        <w:rPr>
          <w:rFonts w:hint="eastAsia" w:ascii="宋体" w:hAnsi="宋体" w:eastAsia="宋体" w:cs="宋体"/>
          <w:color w:val="auto"/>
          <w:sz w:val="28"/>
          <w:szCs w:val="28"/>
          <w:highlight w:val="none"/>
        </w:rPr>
        <w:t>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450EB148">
      <w:pPr>
        <w:pStyle w:val="54"/>
        <w:tabs>
          <w:tab w:val="left" w:pos="0"/>
        </w:tabs>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5.4.3已提交响应文件的供应商，在提交最后报价之前，可以根据磋商情况退出磋商。采购机构将退还退出磋商的供应商的磋商保证金。</w:t>
      </w:r>
    </w:p>
    <w:p w14:paraId="1CDF2407">
      <w:pPr>
        <w:pStyle w:val="54"/>
        <w:tabs>
          <w:tab w:val="left" w:pos="0"/>
        </w:tabs>
        <w:adjustRightInd w:val="0"/>
        <w:snapToGrid w:val="0"/>
        <w:spacing w:line="360" w:lineRule="auto"/>
        <w:ind w:firstLine="560" w:firstLineChars="200"/>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5.4.4磋商轮数和最后</w:t>
      </w:r>
      <w:r>
        <w:rPr>
          <w:rFonts w:hint="eastAsia" w:ascii="宋体" w:hAnsi="宋体" w:eastAsia="宋体" w:cs="宋体"/>
          <w:color w:val="auto"/>
          <w:sz w:val="28"/>
          <w:szCs w:val="28"/>
          <w:highlight w:val="none"/>
        </w:rPr>
        <w:t>报价的要求</w:t>
      </w:r>
      <w:r>
        <w:rPr>
          <w:rFonts w:hint="eastAsia" w:ascii="宋体" w:hAnsi="宋体" w:eastAsia="宋体" w:cs="宋体"/>
          <w:b/>
          <w:color w:val="auto"/>
          <w:sz w:val="28"/>
          <w:szCs w:val="28"/>
          <w:highlight w:val="none"/>
          <w:lang w:val="zh-CN"/>
        </w:rPr>
        <w:t>见磋商须知前附表。</w:t>
      </w:r>
    </w:p>
    <w:p w14:paraId="0F6ED2DB">
      <w:pPr>
        <w:pStyle w:val="54"/>
        <w:tabs>
          <w:tab w:val="left" w:pos="0"/>
        </w:tabs>
        <w:adjustRightInd w:val="0"/>
        <w:snapToGrid w:val="0"/>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5.5综合评审</w:t>
      </w:r>
    </w:p>
    <w:p w14:paraId="0479AF1D">
      <w:pPr>
        <w:pStyle w:val="54"/>
        <w:tabs>
          <w:tab w:val="left" w:pos="0"/>
        </w:tabs>
        <w:adjustRightInd w:val="0"/>
        <w:snapToGrid w:val="0"/>
        <w:spacing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5.5.1</w:t>
      </w:r>
      <w:r>
        <w:rPr>
          <w:rFonts w:hint="eastAsia" w:ascii="宋体" w:hAnsi="宋体" w:eastAsia="宋体" w:cs="宋体"/>
          <w:bCs/>
          <w:color w:val="auto"/>
          <w:sz w:val="28"/>
          <w:szCs w:val="28"/>
          <w:highlight w:val="none"/>
        </w:rPr>
        <w:t>评审方法</w:t>
      </w:r>
      <w:r>
        <w:rPr>
          <w:rFonts w:hint="eastAsia" w:ascii="宋体" w:hAnsi="宋体" w:eastAsia="宋体" w:cs="宋体"/>
          <w:color w:val="auto"/>
          <w:sz w:val="28"/>
          <w:szCs w:val="28"/>
          <w:highlight w:val="none"/>
        </w:rPr>
        <w:t>：综合评分法，是指响应文件满足磋商文件全部实质性要求且按评审因素的量化指标评审得分最高的供应商为成交候选供应商的评审方法。</w:t>
      </w:r>
    </w:p>
    <w:p w14:paraId="638C210C">
      <w:pPr>
        <w:pStyle w:val="54"/>
        <w:tabs>
          <w:tab w:val="left" w:pos="0"/>
        </w:tabs>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5.5.2磋商小组依据磋商文件及供应商的响应文件</w:t>
      </w:r>
      <w:r>
        <w:rPr>
          <w:rFonts w:hint="eastAsia" w:ascii="宋体" w:hAnsi="宋体" w:eastAsia="宋体" w:cs="宋体"/>
          <w:color w:val="auto"/>
          <w:sz w:val="28"/>
          <w:szCs w:val="28"/>
          <w:highlight w:val="none"/>
        </w:rPr>
        <w:t>和</w:t>
      </w:r>
      <w:r>
        <w:rPr>
          <w:rFonts w:hint="eastAsia" w:ascii="宋体" w:hAnsi="宋体" w:eastAsia="宋体" w:cs="宋体"/>
          <w:color w:val="auto"/>
          <w:kern w:val="0"/>
          <w:sz w:val="28"/>
          <w:szCs w:val="28"/>
          <w:highlight w:val="none"/>
          <w:lang w:val="zh-CN"/>
        </w:rPr>
        <w:t>最后报价</w:t>
      </w:r>
      <w:r>
        <w:rPr>
          <w:rFonts w:hint="eastAsia" w:ascii="宋体" w:hAnsi="宋体" w:eastAsia="宋体" w:cs="宋体"/>
          <w:bCs/>
          <w:color w:val="auto"/>
          <w:sz w:val="28"/>
          <w:szCs w:val="28"/>
          <w:highlight w:val="none"/>
        </w:rPr>
        <w:t>，对响应文件的商务和技术部分进行进一步的比较和评价，详细</w:t>
      </w:r>
      <w:r>
        <w:rPr>
          <w:rFonts w:hint="eastAsia" w:ascii="宋体" w:hAnsi="宋体" w:eastAsia="宋体" w:cs="宋体"/>
          <w:color w:val="auto"/>
          <w:sz w:val="28"/>
          <w:szCs w:val="28"/>
          <w:highlight w:val="none"/>
        </w:rPr>
        <w:t>评审标准见</w:t>
      </w:r>
      <w:r>
        <w:rPr>
          <w:rFonts w:hint="eastAsia" w:ascii="宋体" w:hAnsi="宋体" w:eastAsia="宋体" w:cs="宋体"/>
          <w:b/>
          <w:bCs/>
          <w:color w:val="auto"/>
          <w:sz w:val="28"/>
          <w:szCs w:val="28"/>
          <w:highlight w:val="none"/>
        </w:rPr>
        <w:t>第三章 评审方法</w:t>
      </w:r>
      <w:r>
        <w:rPr>
          <w:rFonts w:hint="eastAsia" w:ascii="宋体" w:hAnsi="宋体" w:eastAsia="宋体" w:cs="宋体"/>
          <w:bCs/>
          <w:color w:val="auto"/>
          <w:sz w:val="28"/>
          <w:szCs w:val="28"/>
          <w:highlight w:val="none"/>
        </w:rPr>
        <w:t>。</w:t>
      </w:r>
    </w:p>
    <w:p w14:paraId="54D08708">
      <w:pPr>
        <w:pStyle w:val="54"/>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5.5.3若供应商的报价明显低于其他报价，使得其报价可能低于其个别成本的，有可能影响商品质量或不能诚信履约的，供应商应按磋商小组的要求作出书面说明并提供相关证明材料，不能合理说明或不能提供相关证明材料的，可作无效报价处理。</w:t>
      </w:r>
    </w:p>
    <w:p w14:paraId="28AD067A">
      <w:pPr>
        <w:pStyle w:val="54"/>
        <w:tabs>
          <w:tab w:val="left" w:pos="0"/>
        </w:tabs>
        <w:adjustRightInd w:val="0"/>
        <w:snapToGrid w:val="0"/>
        <w:spacing w:line="360" w:lineRule="auto"/>
        <w:ind w:firstLine="560" w:firstLineChars="200"/>
        <w:rPr>
          <w:rFonts w:hint="eastAsia" w:ascii="宋体" w:hAnsi="宋体" w:eastAsia="宋体" w:cs="宋体"/>
          <w:color w:val="auto"/>
          <w:kern w:val="0"/>
          <w:sz w:val="28"/>
          <w:szCs w:val="28"/>
          <w:highlight w:val="none"/>
          <w:lang w:val="zh-CN"/>
        </w:rPr>
      </w:pPr>
      <w:r>
        <w:rPr>
          <w:rFonts w:hint="eastAsia" w:ascii="宋体" w:hAnsi="宋体" w:eastAsia="宋体" w:cs="宋体"/>
          <w:color w:val="auto"/>
          <w:sz w:val="28"/>
          <w:szCs w:val="28"/>
          <w:highlight w:val="none"/>
        </w:rPr>
        <w:t>5.5.4对漏（缺）报项的处理：磋商文件中要求列入报价的费用（含配置、功能）漏报的，不予调整。对多报项及赠送项的价格评审时不予核减，全部进入评标价评议。</w:t>
      </w:r>
    </w:p>
    <w:p w14:paraId="0B70366F">
      <w:pPr>
        <w:pStyle w:val="54"/>
        <w:tabs>
          <w:tab w:val="left" w:pos="0"/>
        </w:tabs>
        <w:adjustRightInd w:val="0"/>
        <w:snapToGrid w:val="0"/>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5.6成交原则</w:t>
      </w:r>
    </w:p>
    <w:p w14:paraId="6C5593E2">
      <w:pPr>
        <w:pStyle w:val="54"/>
        <w:tabs>
          <w:tab w:val="left" w:pos="0"/>
        </w:tabs>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对经比较和评价符合磋商文件要求的供应商，按照综合评审得分由高到低顺序推荐</w:t>
      </w:r>
      <w:r>
        <w:rPr>
          <w:rFonts w:hint="eastAsia" w:ascii="宋体" w:hAnsi="宋体" w:eastAsia="宋体" w:cs="宋体"/>
          <w:b/>
          <w:bCs/>
          <w:color w:val="auto"/>
          <w:sz w:val="28"/>
          <w:szCs w:val="28"/>
          <w:highlight w:val="none"/>
        </w:rPr>
        <w:t>磋商须知前附表</w:t>
      </w:r>
      <w:r>
        <w:rPr>
          <w:rFonts w:hint="eastAsia" w:ascii="宋体" w:hAnsi="宋体" w:eastAsia="宋体" w:cs="宋体"/>
          <w:bCs/>
          <w:color w:val="auto"/>
          <w:sz w:val="28"/>
          <w:szCs w:val="28"/>
          <w:highlight w:val="none"/>
        </w:rPr>
        <w:t>规定数量的成交候选</w:t>
      </w:r>
      <w:r>
        <w:rPr>
          <w:rFonts w:hint="eastAsia" w:ascii="宋体" w:hAnsi="宋体" w:eastAsia="宋体" w:cs="宋体"/>
          <w:color w:val="auto"/>
          <w:kern w:val="0"/>
          <w:sz w:val="28"/>
          <w:szCs w:val="28"/>
          <w:highlight w:val="none"/>
        </w:rPr>
        <w:t>供应商</w:t>
      </w:r>
      <w:r>
        <w:rPr>
          <w:rFonts w:hint="eastAsia" w:ascii="宋体" w:hAnsi="宋体" w:eastAsia="宋体" w:cs="宋体"/>
          <w:color w:val="auto"/>
          <w:kern w:val="0"/>
          <w:sz w:val="28"/>
          <w:szCs w:val="28"/>
          <w:highlight w:val="none"/>
          <w:lang w:val="zh-CN"/>
        </w:rPr>
        <w:t>，</w:t>
      </w:r>
      <w:r>
        <w:rPr>
          <w:rFonts w:hint="eastAsia" w:ascii="宋体" w:hAnsi="宋体" w:eastAsia="宋体" w:cs="宋体"/>
          <w:color w:val="auto"/>
          <w:kern w:val="0"/>
          <w:sz w:val="28"/>
          <w:szCs w:val="28"/>
          <w:highlight w:val="none"/>
        </w:rPr>
        <w:t>并确定排名第一的</w:t>
      </w:r>
      <w:r>
        <w:rPr>
          <w:rFonts w:hint="eastAsia" w:ascii="宋体" w:hAnsi="宋体" w:eastAsia="宋体" w:cs="宋体"/>
          <w:color w:val="auto"/>
          <w:kern w:val="0"/>
          <w:sz w:val="28"/>
          <w:szCs w:val="28"/>
          <w:highlight w:val="none"/>
          <w:lang w:val="zh-CN"/>
        </w:rPr>
        <w:t>成交候选</w:t>
      </w:r>
      <w:r>
        <w:rPr>
          <w:rFonts w:hint="eastAsia" w:ascii="宋体" w:hAnsi="宋体" w:eastAsia="宋体" w:cs="宋体"/>
          <w:bCs/>
          <w:color w:val="auto"/>
          <w:sz w:val="28"/>
          <w:szCs w:val="28"/>
          <w:highlight w:val="none"/>
        </w:rPr>
        <w:t>供应商为成交供应商</w:t>
      </w:r>
      <w:r>
        <w:rPr>
          <w:rFonts w:hint="eastAsia" w:ascii="宋体" w:hAnsi="宋体" w:eastAsia="宋体" w:cs="宋体"/>
          <w:color w:val="auto"/>
          <w:kern w:val="0"/>
          <w:sz w:val="28"/>
          <w:szCs w:val="28"/>
          <w:highlight w:val="none"/>
          <w:lang w:val="zh-CN"/>
        </w:rPr>
        <w:t>。</w:t>
      </w:r>
      <w:r>
        <w:rPr>
          <w:rFonts w:hint="eastAsia" w:ascii="宋体" w:hAnsi="宋体" w:eastAsia="宋体" w:cs="宋体"/>
          <w:color w:val="auto"/>
          <w:sz w:val="28"/>
          <w:szCs w:val="28"/>
          <w:highlight w:val="none"/>
          <w:lang w:val="zh-CN"/>
        </w:rPr>
        <w:t>如报价</w:t>
      </w:r>
      <w:r>
        <w:rPr>
          <w:rFonts w:hint="eastAsia" w:ascii="宋体" w:hAnsi="宋体" w:eastAsia="宋体" w:cs="宋体"/>
          <w:color w:val="auto"/>
          <w:sz w:val="28"/>
          <w:szCs w:val="28"/>
          <w:highlight w:val="none"/>
        </w:rPr>
        <w:t>相同，由磋商小组按技术指标、实力等综合因素优劣排列。</w:t>
      </w:r>
    </w:p>
    <w:p w14:paraId="015B20AE">
      <w:pPr>
        <w:pStyle w:val="57"/>
        <w:adjustRightInd w:val="0"/>
        <w:snapToGrid w:val="0"/>
        <w:spacing w:line="360" w:lineRule="auto"/>
        <w:ind w:left="723" w:hanging="843" w:hangingChars="3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5.7 磋商的特殊情形</w:t>
      </w:r>
    </w:p>
    <w:p w14:paraId="27A9A562">
      <w:pPr>
        <w:pStyle w:val="57"/>
        <w:adjustRightInd w:val="0"/>
        <w:snapToGrid w:val="0"/>
        <w:spacing w:line="360" w:lineRule="auto"/>
        <w:ind w:firstLine="411" w:firstLineChars="147"/>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5.7.1递交响应文件的供应商不足三家的，不开标唱标，除采购任务取消外，如磋商文件没有不合理条款，发布项目延期公告，延长三个工作日，延长期满后，仍不足三家的，继续进入磋商程序。</w:t>
      </w:r>
    </w:p>
    <w:p w14:paraId="2EECAF8A">
      <w:pPr>
        <w:pStyle w:val="54"/>
        <w:adjustRightInd w:val="0"/>
        <w:snapToGrid w:val="0"/>
        <w:spacing w:line="360" w:lineRule="auto"/>
        <w:ind w:firstLine="560" w:firstLineChars="200"/>
        <w:rPr>
          <w:rFonts w:hint="eastAsia" w:ascii="宋体" w:hAnsi="宋体" w:eastAsia="宋体" w:cs="宋体"/>
          <w:snapToGrid w:val="0"/>
          <w:color w:val="auto"/>
          <w:kern w:val="0"/>
          <w:sz w:val="28"/>
          <w:szCs w:val="28"/>
          <w:highlight w:val="none"/>
        </w:rPr>
      </w:pPr>
      <w:r>
        <w:rPr>
          <w:rFonts w:hint="eastAsia" w:ascii="宋体" w:hAnsi="宋体" w:eastAsia="宋体" w:cs="宋体"/>
          <w:color w:val="auto"/>
          <w:kern w:val="0"/>
          <w:sz w:val="28"/>
          <w:szCs w:val="28"/>
          <w:highlight w:val="none"/>
          <w:lang w:val="zh-CN"/>
        </w:rPr>
        <w:t>5.7.2对磋商文件</w:t>
      </w:r>
      <w:r>
        <w:rPr>
          <w:rFonts w:hint="eastAsia" w:ascii="宋体" w:hAnsi="宋体" w:eastAsia="宋体" w:cs="宋体"/>
          <w:color w:val="auto"/>
          <w:sz w:val="28"/>
          <w:szCs w:val="28"/>
          <w:highlight w:val="none"/>
        </w:rPr>
        <w:t>作出实质性响应的供应商不足三家，但</w:t>
      </w:r>
      <w:r>
        <w:rPr>
          <w:rFonts w:hint="eastAsia" w:ascii="宋体" w:hAnsi="宋体" w:eastAsia="宋体" w:cs="宋体"/>
          <w:snapToGrid w:val="0"/>
          <w:color w:val="auto"/>
          <w:kern w:val="0"/>
          <w:sz w:val="28"/>
          <w:szCs w:val="28"/>
          <w:highlight w:val="none"/>
        </w:rPr>
        <w:t>符合《</w:t>
      </w:r>
      <w:r>
        <w:rPr>
          <w:rFonts w:hint="eastAsia" w:ascii="宋体" w:hAnsi="宋体" w:eastAsia="宋体" w:cs="宋体"/>
          <w:color w:val="auto"/>
          <w:sz w:val="28"/>
          <w:szCs w:val="28"/>
          <w:highlight w:val="none"/>
        </w:rPr>
        <w:t>政府采购竞争性磋商采购方式管理暂行办法</w:t>
      </w:r>
      <w:r>
        <w:rPr>
          <w:rFonts w:hint="eastAsia" w:ascii="宋体" w:hAnsi="宋体" w:eastAsia="宋体" w:cs="宋体"/>
          <w:snapToGrid w:val="0"/>
          <w:color w:val="auto"/>
          <w:kern w:val="0"/>
          <w:sz w:val="28"/>
          <w:szCs w:val="28"/>
          <w:highlight w:val="none"/>
        </w:rPr>
        <w:t>》第二十一条规定的属于本办法第三条第四项“市场竞争不充分的科研项目，以及需要扶持的科技成果转化项目”情形的，提交最后报价的供应商可以为2家。</w:t>
      </w:r>
    </w:p>
    <w:p w14:paraId="1D2BCE4D">
      <w:pPr>
        <w:pStyle w:val="52"/>
        <w:jc w:val="center"/>
        <w:outlineLvl w:val="1"/>
        <w:rPr>
          <w:rFonts w:hint="eastAsia" w:ascii="宋体" w:hAnsi="宋体" w:eastAsia="宋体" w:cs="宋体"/>
          <w:b/>
          <w:bCs/>
          <w:color w:val="auto"/>
          <w:sz w:val="28"/>
          <w:szCs w:val="28"/>
          <w:highlight w:val="none"/>
        </w:rPr>
      </w:pPr>
      <w:bookmarkStart w:id="38" w:name="_Toc31596"/>
      <w:bookmarkStart w:id="39" w:name="_Toc256000019"/>
      <w:bookmarkStart w:id="40" w:name="_Toc256000010"/>
      <w:bookmarkStart w:id="41" w:name="_Toc13595"/>
      <w:bookmarkStart w:id="42" w:name="_Toc8378"/>
      <w:r>
        <w:rPr>
          <w:rFonts w:hint="eastAsia" w:ascii="宋体" w:hAnsi="宋体" w:eastAsia="宋体" w:cs="宋体"/>
          <w:b/>
          <w:bCs/>
          <w:color w:val="auto"/>
          <w:sz w:val="28"/>
          <w:szCs w:val="28"/>
          <w:highlight w:val="none"/>
        </w:rPr>
        <w:t>六、成交结果及合同授予</w:t>
      </w:r>
      <w:bookmarkEnd w:id="38"/>
      <w:bookmarkEnd w:id="39"/>
      <w:bookmarkEnd w:id="40"/>
      <w:bookmarkEnd w:id="41"/>
      <w:bookmarkEnd w:id="42"/>
    </w:p>
    <w:p w14:paraId="444658F0">
      <w:pPr>
        <w:pStyle w:val="54"/>
        <w:adjustRightInd w:val="0"/>
        <w:snapToGrid w:val="0"/>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6.1成交结果</w:t>
      </w:r>
    </w:p>
    <w:p w14:paraId="534F88A1">
      <w:pPr>
        <w:pStyle w:val="57"/>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磋商结束后，成交结果信息将在</w:t>
      </w:r>
      <w:r>
        <w:rPr>
          <w:rFonts w:hint="eastAsia" w:ascii="宋体" w:hAnsi="宋体" w:eastAsia="宋体" w:cs="宋体"/>
          <w:b/>
          <w:color w:val="auto"/>
          <w:sz w:val="28"/>
          <w:szCs w:val="28"/>
          <w:highlight w:val="none"/>
        </w:rPr>
        <w:t>磋商须知前附表</w:t>
      </w:r>
      <w:r>
        <w:rPr>
          <w:rFonts w:hint="eastAsia" w:ascii="宋体" w:hAnsi="宋体" w:eastAsia="宋体" w:cs="宋体"/>
          <w:color w:val="auto"/>
          <w:sz w:val="28"/>
          <w:szCs w:val="28"/>
          <w:highlight w:val="none"/>
        </w:rPr>
        <w:t>规定的媒体上公布。</w:t>
      </w:r>
      <w:r>
        <w:rPr>
          <w:rFonts w:hint="eastAsia" w:ascii="宋体" w:hAnsi="宋体" w:eastAsia="宋体" w:cs="宋体"/>
          <w:color w:val="auto"/>
          <w:sz w:val="28"/>
          <w:szCs w:val="28"/>
          <w:highlight w:val="none"/>
          <w:lang w:val="zh-CN"/>
        </w:rPr>
        <w:t>同时向成交供应商发出成交通知书，该通知书将是合同的组成部分。</w:t>
      </w:r>
    </w:p>
    <w:p w14:paraId="4639C15D">
      <w:pPr>
        <w:pStyle w:val="54"/>
        <w:adjustRightInd w:val="0"/>
        <w:snapToGrid w:val="0"/>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6.2签订合同</w:t>
      </w:r>
    </w:p>
    <w:p w14:paraId="0C0FC4F3">
      <w:pPr>
        <w:pStyle w:val="54"/>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6.2.1 成交供应商应按成交通知书规定的时间、地点与采购人签订书面合同。</w:t>
      </w:r>
    </w:p>
    <w:p w14:paraId="130537D2">
      <w:pPr>
        <w:pStyle w:val="54"/>
        <w:autoSpaceDE w:val="0"/>
        <w:autoSpaceDN w:val="0"/>
        <w:adjustRightInd w:val="0"/>
        <w:spacing w:line="360" w:lineRule="auto"/>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 xml:space="preserve">6.2.2 </w:t>
      </w:r>
      <w:r>
        <w:rPr>
          <w:rFonts w:hint="eastAsia" w:ascii="宋体" w:hAnsi="宋体" w:eastAsia="宋体" w:cs="宋体"/>
          <w:color w:val="auto"/>
          <w:sz w:val="28"/>
          <w:szCs w:val="28"/>
          <w:highlight w:val="none"/>
        </w:rPr>
        <w:t>成交供应商因不可抗力或者自身原因拒绝与采购人签订合同，或不能履行合同的。采购人可以按照评审报告推荐的成交候选供应商名单排序，确定下一候选供应商为成交供应商，也可以重新开展政府采购活动。</w:t>
      </w:r>
    </w:p>
    <w:p w14:paraId="1F5DD6A2">
      <w:pPr>
        <w:pStyle w:val="54"/>
        <w:spacing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6.2.3政府采购合同履行中，采购人需追加与合同标的相同的工程的，在不改变合同其他条款的前提下，可以与成交供应商协商签订补充合同，但所有补充合同的采购金额不得超过原合同采购金额的百分之十。</w:t>
      </w:r>
    </w:p>
    <w:p w14:paraId="6CF4D74A">
      <w:pPr>
        <w:pStyle w:val="52"/>
        <w:jc w:val="center"/>
        <w:outlineLvl w:val="1"/>
        <w:rPr>
          <w:rFonts w:hint="eastAsia" w:ascii="宋体" w:hAnsi="宋体" w:eastAsia="宋体" w:cs="宋体"/>
          <w:b/>
          <w:bCs/>
          <w:color w:val="auto"/>
          <w:sz w:val="28"/>
          <w:szCs w:val="28"/>
          <w:highlight w:val="none"/>
        </w:rPr>
      </w:pPr>
      <w:bookmarkStart w:id="43" w:name="_Toc1603"/>
      <w:bookmarkStart w:id="44" w:name="_Toc12809"/>
      <w:bookmarkStart w:id="45" w:name="_Toc32267"/>
      <w:bookmarkStart w:id="46" w:name="_Toc256000011"/>
      <w:bookmarkStart w:id="47" w:name="_Toc256000020"/>
      <w:r>
        <w:rPr>
          <w:rFonts w:hint="eastAsia" w:ascii="宋体" w:hAnsi="宋体" w:eastAsia="宋体" w:cs="宋体"/>
          <w:b/>
          <w:bCs/>
          <w:color w:val="auto"/>
          <w:sz w:val="28"/>
          <w:szCs w:val="28"/>
          <w:highlight w:val="none"/>
        </w:rPr>
        <w:t>七、质疑与投诉</w:t>
      </w:r>
      <w:bookmarkEnd w:id="43"/>
      <w:bookmarkEnd w:id="44"/>
      <w:bookmarkEnd w:id="45"/>
      <w:bookmarkEnd w:id="46"/>
      <w:bookmarkEnd w:id="47"/>
    </w:p>
    <w:p w14:paraId="2FC1E363">
      <w:pPr>
        <w:pStyle w:val="54"/>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7.1 供应商认为采购文件、采购过程、中标或者成交结果使自己的权益受到损害的，可以在知道或者应知其权益受到损害之日起7个工作日内，以书面形式向采购人、采购代理机构提出质疑。</w:t>
      </w:r>
    </w:p>
    <w:p w14:paraId="5573D9C8">
      <w:pPr>
        <w:pStyle w:val="54"/>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7.2供应商若认为磋商文件、磋商过程和成交结果使自己的权益受到损害，应在以下规定时间内以书面形式向采购机构提出：</w:t>
      </w:r>
    </w:p>
    <w:p w14:paraId="784911FB">
      <w:pPr>
        <w:pStyle w:val="54"/>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（1）对可以质疑的磋商文件提出质疑的，应当自收到磋商文件之日或者磋商文件公告期限届满之日起七个工作日内；</w:t>
      </w:r>
    </w:p>
    <w:p w14:paraId="6D996110">
      <w:pPr>
        <w:pStyle w:val="54"/>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（2）对磋商过程提出质疑的，应当在各磋商程序环节结束之日起七个工作日内；</w:t>
      </w:r>
    </w:p>
    <w:p w14:paraId="76F9377A">
      <w:pPr>
        <w:pStyle w:val="54"/>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（3）对成交结果提出质疑的，应当在成交结果公告期限届满之日起七个工作日内提出；</w:t>
      </w:r>
    </w:p>
    <w:p w14:paraId="61B3A9F2">
      <w:pPr>
        <w:pStyle w:val="54"/>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（4）磋商文件或法律法规规定的其他时间内。</w:t>
      </w:r>
    </w:p>
    <w:p w14:paraId="49C04C32">
      <w:pPr>
        <w:pStyle w:val="54"/>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7.3 供应商提出质疑的，应当有明确的请求和必要的证明材料，并提供质疑书原件。招标采购单位向质疑供应商签收回执。</w:t>
      </w:r>
    </w:p>
    <w:p w14:paraId="341C8057">
      <w:pPr>
        <w:pStyle w:val="54"/>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7.4 质疑书应当由质疑供应商法定代表人或授权代表人签字并加盖公章，质疑书由授权代表人签字的应附法定代表人授权书。</w:t>
      </w:r>
    </w:p>
    <w:p w14:paraId="4321E716">
      <w:pPr>
        <w:pStyle w:val="54"/>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7.5 采购机构将在签收回执之日起七个工作日内作出书面答复，并以书面形式通知与质疑处理结果有关的供应商。</w:t>
      </w:r>
    </w:p>
    <w:p w14:paraId="5A981793">
      <w:pPr>
        <w:pStyle w:val="54"/>
        <w:adjustRightInd w:val="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7.6 供应商对采购机构的答复不满意，或采购机构未在规定的期限作出答复的，可在答复期满后十五个工作日内，按政府采购相关法律法规规章的规定及程序，向相关行政监督部门提出投诉，投诉的事项不得超出已质疑事项的范围。</w:t>
      </w:r>
    </w:p>
    <w:p w14:paraId="69AEE03D">
      <w:pPr>
        <w:pStyle w:val="52"/>
        <w:jc w:val="center"/>
        <w:outlineLvl w:val="1"/>
        <w:rPr>
          <w:rFonts w:hint="eastAsia" w:ascii="宋体" w:hAnsi="宋体" w:eastAsia="宋体" w:cs="宋体"/>
          <w:b/>
          <w:bCs/>
          <w:color w:val="auto"/>
          <w:sz w:val="28"/>
          <w:szCs w:val="28"/>
          <w:highlight w:val="none"/>
        </w:rPr>
      </w:pPr>
      <w:bookmarkStart w:id="48" w:name="_Toc9458"/>
      <w:bookmarkStart w:id="49" w:name="_Toc6750"/>
      <w:bookmarkStart w:id="50" w:name="_Toc256000021"/>
      <w:bookmarkStart w:id="51" w:name="_Toc4019"/>
      <w:bookmarkStart w:id="52" w:name="_Toc256000012"/>
      <w:r>
        <w:rPr>
          <w:rFonts w:hint="eastAsia" w:ascii="宋体" w:hAnsi="宋体" w:eastAsia="宋体" w:cs="宋体"/>
          <w:b/>
          <w:bCs/>
          <w:color w:val="auto"/>
          <w:sz w:val="28"/>
          <w:szCs w:val="28"/>
          <w:highlight w:val="none"/>
        </w:rPr>
        <w:t>八、其他规定</w:t>
      </w:r>
      <w:bookmarkEnd w:id="48"/>
      <w:bookmarkEnd w:id="49"/>
      <w:bookmarkEnd w:id="50"/>
      <w:bookmarkEnd w:id="51"/>
      <w:bookmarkEnd w:id="52"/>
    </w:p>
    <w:p w14:paraId="1400BF44">
      <w:pPr>
        <w:pStyle w:val="54"/>
        <w:adjustRightInd w:val="0"/>
        <w:snapToGrid w:val="0"/>
        <w:spacing w:line="360" w:lineRule="auto"/>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磋商文件的其他规定见磋商须知前附</w:t>
      </w:r>
      <w:bookmarkStart w:id="53" w:name="_Toc7041"/>
      <w:bookmarkStart w:id="54" w:name="_Toc256000022"/>
      <w:bookmarkStart w:id="55" w:name="_Toc23825"/>
      <w:bookmarkStart w:id="56" w:name="_Toc529952598"/>
    </w:p>
    <w:p w14:paraId="7FBE41CE">
      <w:pPr>
        <w:pStyle w:val="54"/>
        <w:adjustRightInd w:val="0"/>
        <w:snapToGrid w:val="0"/>
        <w:spacing w:line="360" w:lineRule="auto"/>
        <w:ind w:firstLine="560" w:firstLineChars="200"/>
        <w:jc w:val="left"/>
        <w:rPr>
          <w:rFonts w:hint="eastAsia" w:ascii="宋体" w:hAnsi="宋体" w:eastAsia="宋体" w:cs="宋体"/>
          <w:color w:val="auto"/>
          <w:sz w:val="28"/>
          <w:szCs w:val="28"/>
          <w:highlight w:val="none"/>
          <w:lang w:val="en-US" w:eastAsia="zh-CN"/>
        </w:rPr>
      </w:pPr>
    </w:p>
    <w:p w14:paraId="657738A1">
      <w:pPr>
        <w:pStyle w:val="54"/>
        <w:adjustRightInd w:val="0"/>
        <w:snapToGrid w:val="0"/>
        <w:spacing w:line="360" w:lineRule="auto"/>
        <w:ind w:firstLine="560" w:firstLineChars="200"/>
        <w:jc w:val="left"/>
        <w:rPr>
          <w:rFonts w:hint="eastAsia" w:ascii="宋体" w:hAnsi="宋体" w:eastAsia="宋体" w:cs="宋体"/>
          <w:color w:val="auto"/>
          <w:sz w:val="28"/>
          <w:szCs w:val="28"/>
          <w:highlight w:val="none"/>
          <w:lang w:val="en-US" w:eastAsia="zh-CN"/>
        </w:rPr>
      </w:pPr>
    </w:p>
    <w:p w14:paraId="1DF05AF9">
      <w:pPr>
        <w:pStyle w:val="54"/>
        <w:adjustRightInd w:val="0"/>
        <w:snapToGrid w:val="0"/>
        <w:spacing w:line="360" w:lineRule="auto"/>
        <w:ind w:firstLine="560" w:firstLineChars="200"/>
        <w:jc w:val="left"/>
        <w:rPr>
          <w:rFonts w:hint="eastAsia" w:ascii="宋体" w:hAnsi="宋体" w:eastAsia="宋体" w:cs="宋体"/>
          <w:color w:val="auto"/>
          <w:sz w:val="28"/>
          <w:szCs w:val="28"/>
          <w:highlight w:val="none"/>
          <w:lang w:val="en-US" w:eastAsia="zh-CN"/>
        </w:rPr>
      </w:pPr>
    </w:p>
    <w:p w14:paraId="2C38A520">
      <w:pPr>
        <w:rPr>
          <w:rFonts w:hint="eastAsia" w:ascii="宋体" w:hAnsi="宋体" w:eastAsia="宋体" w:cs="宋体"/>
          <w:b/>
          <w:color w:val="auto"/>
          <w:sz w:val="32"/>
          <w:szCs w:val="32"/>
          <w:highlight w:val="none"/>
          <w:lang w:val="en-US" w:eastAsia="zh-CN"/>
        </w:rPr>
      </w:pPr>
      <w:bookmarkStart w:id="57" w:name="_Toc6876"/>
      <w:bookmarkStart w:id="58" w:name="_Toc7252"/>
      <w:bookmarkStart w:id="59" w:name="_Toc19877"/>
      <w:r>
        <w:rPr>
          <w:rFonts w:hint="eastAsia" w:ascii="宋体" w:hAnsi="宋体" w:eastAsia="宋体" w:cs="宋体"/>
          <w:b/>
          <w:color w:val="auto"/>
          <w:sz w:val="32"/>
          <w:szCs w:val="32"/>
          <w:highlight w:val="none"/>
          <w:lang w:val="en-US" w:eastAsia="zh-CN"/>
        </w:rPr>
        <w:br w:type="page"/>
      </w:r>
    </w:p>
    <w:p w14:paraId="21842310">
      <w:pPr>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第三章 评审方法（综合评分法）</w:t>
      </w:r>
      <w:bookmarkEnd w:id="53"/>
      <w:bookmarkEnd w:id="54"/>
      <w:bookmarkEnd w:id="55"/>
      <w:bookmarkEnd w:id="56"/>
      <w:bookmarkEnd w:id="57"/>
      <w:bookmarkEnd w:id="58"/>
      <w:bookmarkEnd w:id="59"/>
    </w:p>
    <w:p w14:paraId="6486A313">
      <w:pPr>
        <w:tabs>
          <w:tab w:val="left" w:pos="420"/>
          <w:tab w:val="left" w:pos="7560"/>
          <w:tab w:val="left" w:pos="7740"/>
          <w:tab w:val="left" w:pos="7920"/>
        </w:tabs>
        <w:adjustRightInd w:val="0"/>
        <w:snapToGrid w:val="0"/>
        <w:spacing w:line="360" w:lineRule="auto"/>
        <w:outlineLvl w:val="1"/>
        <w:rPr>
          <w:rFonts w:hint="eastAsia" w:ascii="宋体" w:hAnsi="宋体" w:eastAsia="宋体" w:cs="宋体"/>
          <w:b/>
          <w:color w:val="auto"/>
          <w:sz w:val="28"/>
          <w:szCs w:val="28"/>
          <w:highlight w:val="none"/>
        </w:rPr>
      </w:pPr>
      <w:bookmarkStart w:id="60" w:name="_Toc30287"/>
      <w:bookmarkStart w:id="61" w:name="_Toc15535"/>
      <w:r>
        <w:rPr>
          <w:rFonts w:hint="eastAsia" w:ascii="宋体" w:hAnsi="宋体" w:eastAsia="宋体" w:cs="宋体"/>
          <w:b/>
          <w:color w:val="auto"/>
          <w:sz w:val="28"/>
          <w:szCs w:val="28"/>
          <w:highlight w:val="none"/>
        </w:rPr>
        <w:t>一、综合评分</w:t>
      </w:r>
      <w:bookmarkEnd w:id="60"/>
      <w:bookmarkEnd w:id="61"/>
    </w:p>
    <w:p w14:paraId="751D2364">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1.经磋商确定最终采购需求和提交最后报价的供应商后，由磋商小组采用综合评分法对提交最后报价的供应商的响应文件和最后报价进行综合评分。</w:t>
      </w:r>
    </w:p>
    <w:p w14:paraId="43A4E3D7">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综合评分法，是指响应文件满足磋商文件全部实质性要求且按评审因素的量化指标评审得分最高的供应商为成交候选供应商的评审方法。</w:t>
      </w:r>
    </w:p>
    <w:p w14:paraId="105A71F1">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2.评审时，磋商小组各成员应当独立对每个有效响应的文件进行评价、打分，然后汇总每个供应商每项评分因素的得分。</w:t>
      </w:r>
    </w:p>
    <w:p w14:paraId="08EDA406">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符合《政府采购竞争性磋商采购方式管理暂行办法》（财库[2014]214号）中第三条第三项的规定和执行统一价格标准的项目，其价格不列为评分因素。有特殊情况需要在上述规定范围外设定价格分权重的，应当经本级人民政府财政部门审核同意。</w:t>
      </w:r>
    </w:p>
    <w:p w14:paraId="6C3F6085">
      <w:pPr>
        <w:pStyle w:val="25"/>
        <w:keepNext w:val="0"/>
        <w:keepLines w:val="0"/>
        <w:widowControl/>
        <w:suppressLineNumbers w:val="0"/>
        <w:spacing w:line="240" w:lineRule="atLeast"/>
        <w:rPr>
          <w:rFonts w:hint="eastAsia" w:ascii="宋体" w:hAnsi="宋体" w:eastAsia="宋体" w:cs="宋体"/>
          <w:b/>
          <w:color w:val="auto"/>
          <w:sz w:val="28"/>
          <w:szCs w:val="28"/>
          <w:highlight w:val="none"/>
        </w:rPr>
      </w:pPr>
      <w:bookmarkStart w:id="62" w:name="_Toc14524"/>
      <w:bookmarkStart w:id="63" w:name="_Toc11231"/>
      <w:r>
        <w:rPr>
          <w:rFonts w:hint="eastAsia" w:ascii="宋体" w:hAnsi="宋体" w:eastAsia="宋体" w:cs="宋体"/>
          <w:b/>
          <w:color w:val="auto"/>
          <w:sz w:val="28"/>
          <w:szCs w:val="28"/>
          <w:highlight w:val="none"/>
        </w:rPr>
        <w:t>二.综合评分细则表</w:t>
      </w:r>
      <w:bookmarkEnd w:id="62"/>
      <w:bookmarkEnd w:id="63"/>
      <w:bookmarkStart w:id="64" w:name="EB2b9517aba70e41b6b8039ac384a1ee3b"/>
      <w:bookmarkStart w:id="65" w:name="EBa7c662697928483c8bec43b86b5b112f"/>
    </w:p>
    <w:p w14:paraId="19B62734">
      <w:pPr>
        <w:snapToGrid w:val="0"/>
        <w:spacing w:line="500" w:lineRule="exact"/>
        <w:jc w:val="center"/>
        <w:rPr>
          <w:rFonts w:hint="eastAsia" w:ascii="宋体" w:hAnsi="宋体" w:cs="宋体"/>
          <w:b/>
          <w:bCs/>
          <w:color w:val="auto"/>
          <w:spacing w:val="0"/>
          <w:kern w:val="0"/>
          <w:sz w:val="36"/>
          <w:szCs w:val="36"/>
          <w:highlight w:val="none"/>
        </w:rPr>
      </w:pPr>
      <w:r>
        <w:rPr>
          <w:rFonts w:hint="eastAsia" w:ascii="宋体" w:hAnsi="宋体" w:eastAsia="宋体" w:cs="宋体"/>
          <w:b/>
          <w:bCs/>
          <w:color w:val="auto"/>
          <w:spacing w:val="0"/>
          <w:kern w:val="0"/>
          <w:sz w:val="36"/>
          <w:szCs w:val="36"/>
          <w:highlight w:val="none"/>
          <w:lang w:val="en-US" w:eastAsia="zh-CN"/>
        </w:rPr>
        <w:t>1、</w:t>
      </w:r>
      <w:r>
        <w:rPr>
          <w:rFonts w:hint="eastAsia" w:ascii="宋体" w:hAnsi="宋体" w:eastAsia="宋体" w:cs="宋体"/>
          <w:b/>
          <w:bCs/>
          <w:color w:val="auto"/>
          <w:spacing w:val="0"/>
          <w:kern w:val="0"/>
          <w:sz w:val="36"/>
          <w:szCs w:val="36"/>
          <w:highlight w:val="none"/>
        </w:rPr>
        <w:t>资</w:t>
      </w:r>
      <w:r>
        <w:rPr>
          <w:rFonts w:hint="eastAsia" w:ascii="宋体" w:hAnsi="宋体" w:cs="宋体"/>
          <w:b/>
          <w:bCs/>
          <w:color w:val="auto"/>
          <w:spacing w:val="0"/>
          <w:kern w:val="0"/>
          <w:sz w:val="36"/>
          <w:szCs w:val="36"/>
          <w:highlight w:val="none"/>
        </w:rPr>
        <w:t>格性</w:t>
      </w:r>
      <w:r>
        <w:rPr>
          <w:rFonts w:hint="eastAsia" w:ascii="宋体" w:hAnsi="宋体" w:cs="宋体"/>
          <w:b/>
          <w:bCs/>
          <w:color w:val="auto"/>
          <w:spacing w:val="0"/>
          <w:kern w:val="0"/>
          <w:sz w:val="36"/>
          <w:szCs w:val="36"/>
          <w:highlight w:val="none"/>
          <w:lang w:eastAsia="zh-CN"/>
        </w:rPr>
        <w:t>审查</w:t>
      </w:r>
      <w:r>
        <w:rPr>
          <w:rFonts w:hint="eastAsia" w:ascii="宋体" w:hAnsi="宋体" w:cs="宋体"/>
          <w:b/>
          <w:bCs/>
          <w:color w:val="auto"/>
          <w:spacing w:val="0"/>
          <w:kern w:val="0"/>
          <w:sz w:val="36"/>
          <w:szCs w:val="36"/>
          <w:highlight w:val="none"/>
        </w:rPr>
        <w:t>表</w:t>
      </w:r>
    </w:p>
    <w:tbl>
      <w:tblPr>
        <w:tblStyle w:val="29"/>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09"/>
        <w:gridCol w:w="8246"/>
      </w:tblGrid>
      <w:tr w14:paraId="1D71F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609" w:type="dxa"/>
            <w:noWrap w:val="0"/>
            <w:vAlign w:val="center"/>
          </w:tcPr>
          <w:p w14:paraId="5C52314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246" w:type="dxa"/>
            <w:noWrap w:val="0"/>
            <w:vAlign w:val="center"/>
          </w:tcPr>
          <w:p w14:paraId="51F0024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审查标准</w:t>
            </w:r>
          </w:p>
        </w:tc>
      </w:tr>
      <w:tr w14:paraId="29383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609" w:type="dxa"/>
            <w:noWrap w:val="0"/>
            <w:vAlign w:val="center"/>
          </w:tcPr>
          <w:p w14:paraId="0876879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246" w:type="dxa"/>
            <w:noWrap w:val="0"/>
            <w:vAlign w:val="center"/>
          </w:tcPr>
          <w:p w14:paraId="5197DDA2">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满足《中华人民共和国政府采购法》第二十二条</w:t>
            </w:r>
          </w:p>
        </w:tc>
      </w:tr>
      <w:tr w14:paraId="4B550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4" w:hRule="atLeast"/>
          <w:jc w:val="center"/>
        </w:trPr>
        <w:tc>
          <w:tcPr>
            <w:tcW w:w="609" w:type="dxa"/>
            <w:noWrap w:val="0"/>
            <w:vAlign w:val="center"/>
          </w:tcPr>
          <w:p w14:paraId="4B029B0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246" w:type="dxa"/>
            <w:shd w:val="clear" w:color="auto" w:fill="auto"/>
            <w:noWrap w:val="0"/>
            <w:vAlign w:val="center"/>
          </w:tcPr>
          <w:p w14:paraId="00C210C0">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供应商须在“信用中国”（www.creditchina.gov.cn）和中国政府采购网（www.ccgp.gov.cn）网站上未被列入失信被执行人、重大税收违法案件当事人名单以及政府采购严重违法失信行为记录名单；查询时间（须自公开招标公告发布之日起至首次提交响应文件截止时间内）</w:t>
            </w:r>
          </w:p>
        </w:tc>
      </w:tr>
      <w:tr w14:paraId="4E34E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jc w:val="center"/>
        </w:trPr>
        <w:tc>
          <w:tcPr>
            <w:tcW w:w="609" w:type="dxa"/>
            <w:noWrap w:val="0"/>
            <w:tcMar>
              <w:top w:w="0" w:type="dxa"/>
              <w:left w:w="28" w:type="dxa"/>
              <w:bottom w:w="0" w:type="dxa"/>
              <w:right w:w="28" w:type="dxa"/>
            </w:tcMar>
            <w:vAlign w:val="center"/>
          </w:tcPr>
          <w:p w14:paraId="7F18D10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246" w:type="dxa"/>
            <w:shd w:val="clear" w:color="auto" w:fill="auto"/>
            <w:noWrap w:val="0"/>
            <w:tcMar>
              <w:top w:w="0" w:type="dxa"/>
              <w:left w:w="28" w:type="dxa"/>
              <w:bottom w:w="0" w:type="dxa"/>
              <w:right w:w="28" w:type="dxa"/>
            </w:tcMar>
            <w:vAlign w:val="center"/>
          </w:tcPr>
          <w:p w14:paraId="023EF70B">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投标保证金是否按照</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文件要求缴纳。</w:t>
            </w:r>
          </w:p>
        </w:tc>
      </w:tr>
      <w:tr w14:paraId="144E1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jc w:val="center"/>
        </w:trPr>
        <w:tc>
          <w:tcPr>
            <w:tcW w:w="609" w:type="dxa"/>
            <w:noWrap w:val="0"/>
            <w:tcMar>
              <w:top w:w="0" w:type="dxa"/>
              <w:left w:w="28" w:type="dxa"/>
              <w:bottom w:w="0" w:type="dxa"/>
              <w:right w:w="28" w:type="dxa"/>
            </w:tcMar>
            <w:vAlign w:val="center"/>
          </w:tcPr>
          <w:p w14:paraId="358D83B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246" w:type="dxa"/>
            <w:shd w:val="clear" w:color="auto" w:fill="auto"/>
            <w:noWrap w:val="0"/>
            <w:tcMar>
              <w:top w:w="0" w:type="dxa"/>
              <w:left w:w="28" w:type="dxa"/>
              <w:bottom w:w="0" w:type="dxa"/>
              <w:right w:w="28" w:type="dxa"/>
            </w:tcMar>
            <w:vAlign w:val="center"/>
          </w:tcPr>
          <w:p w14:paraId="351BAC20">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标项1：供应商为</w:t>
            </w:r>
            <w:r>
              <w:rPr>
                <w:rFonts w:hint="eastAsia" w:ascii="宋体" w:hAnsi="宋体" w:eastAsia="宋体" w:cs="宋体"/>
                <w:color w:val="auto"/>
                <w:kern w:val="2"/>
                <w:sz w:val="24"/>
                <w:szCs w:val="24"/>
                <w:highlight w:val="none"/>
                <w:lang w:val="en-US" w:eastAsia="zh-CN" w:bidi="ar-SA"/>
              </w:rPr>
              <w:t>中小企业；标项2、标项3：</w:t>
            </w:r>
            <w:r>
              <w:rPr>
                <w:rFonts w:hint="eastAsia" w:ascii="宋体" w:hAnsi="宋体" w:cs="宋体"/>
                <w:color w:val="auto"/>
                <w:kern w:val="2"/>
                <w:sz w:val="24"/>
                <w:szCs w:val="24"/>
                <w:highlight w:val="none"/>
                <w:lang w:val="en-US" w:eastAsia="zh-CN" w:bidi="ar-SA"/>
              </w:rPr>
              <w:t>供应商为</w:t>
            </w:r>
            <w:r>
              <w:rPr>
                <w:rFonts w:hint="eastAsia" w:ascii="宋体" w:hAnsi="宋体" w:eastAsia="宋体" w:cs="宋体"/>
                <w:color w:val="auto"/>
                <w:kern w:val="2"/>
                <w:sz w:val="24"/>
                <w:szCs w:val="24"/>
                <w:highlight w:val="none"/>
                <w:lang w:val="en-US" w:eastAsia="zh-CN" w:bidi="ar-SA"/>
              </w:rPr>
              <w:t>小微企业。 </w:t>
            </w:r>
          </w:p>
        </w:tc>
      </w:tr>
      <w:tr w14:paraId="3D4F3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0" w:hRule="atLeast"/>
          <w:jc w:val="center"/>
        </w:trPr>
        <w:tc>
          <w:tcPr>
            <w:tcW w:w="8855" w:type="dxa"/>
            <w:gridSpan w:val="2"/>
            <w:noWrap w:val="0"/>
            <w:tcMar>
              <w:top w:w="0" w:type="dxa"/>
              <w:left w:w="28" w:type="dxa"/>
              <w:bottom w:w="0" w:type="dxa"/>
              <w:right w:w="28" w:type="dxa"/>
            </w:tcMar>
            <w:vAlign w:val="center"/>
          </w:tcPr>
          <w:p w14:paraId="2F3B9DF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备注：如果资格评审中有一项不满足审查标准的，采购人将认定该供应商不通过资格审查，竞争性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响应文件将被拒绝评审。并且不允许供应商通过修改或撤销其不符合要求的差异或保留，使之成为具有响应性的投标。</w:t>
            </w:r>
          </w:p>
        </w:tc>
      </w:tr>
    </w:tbl>
    <w:p w14:paraId="0D8A0B63">
      <w:pPr>
        <w:rPr>
          <w:rFonts w:hint="eastAsia" w:eastAsia="宋体"/>
          <w:lang w:val="en-US" w:eastAsia="zh-CN"/>
        </w:rPr>
      </w:pPr>
    </w:p>
    <w:p w14:paraId="71ECF569">
      <w:pPr>
        <w:snapToGrid w:val="0"/>
        <w:spacing w:line="500" w:lineRule="exact"/>
        <w:jc w:val="center"/>
        <w:rPr>
          <w:rFonts w:hint="eastAsia" w:ascii="宋体" w:hAnsi="宋体" w:cs="宋体"/>
          <w:b/>
          <w:bCs/>
          <w:color w:val="auto"/>
          <w:spacing w:val="0"/>
          <w:kern w:val="0"/>
          <w:sz w:val="36"/>
          <w:szCs w:val="36"/>
          <w:highlight w:val="none"/>
        </w:rPr>
      </w:pPr>
      <w:r>
        <w:rPr>
          <w:rFonts w:hint="eastAsia" w:ascii="宋体" w:hAnsi="宋体" w:cs="宋体"/>
          <w:b/>
          <w:bCs/>
          <w:color w:val="auto"/>
          <w:spacing w:val="0"/>
          <w:kern w:val="0"/>
          <w:sz w:val="36"/>
          <w:szCs w:val="36"/>
          <w:highlight w:val="none"/>
          <w:lang w:val="en-US" w:eastAsia="zh-CN"/>
        </w:rPr>
        <w:t>2、</w:t>
      </w:r>
      <w:r>
        <w:rPr>
          <w:rFonts w:hint="eastAsia" w:ascii="宋体" w:hAnsi="宋体" w:cs="宋体"/>
          <w:b/>
          <w:bCs/>
          <w:color w:val="auto"/>
          <w:spacing w:val="0"/>
          <w:kern w:val="0"/>
          <w:sz w:val="36"/>
          <w:szCs w:val="36"/>
          <w:highlight w:val="none"/>
        </w:rPr>
        <w:t>符合性</w:t>
      </w:r>
      <w:r>
        <w:rPr>
          <w:rFonts w:hint="eastAsia" w:ascii="宋体" w:hAnsi="宋体" w:cs="宋体"/>
          <w:b/>
          <w:bCs/>
          <w:color w:val="auto"/>
          <w:spacing w:val="0"/>
          <w:kern w:val="0"/>
          <w:sz w:val="36"/>
          <w:szCs w:val="36"/>
          <w:highlight w:val="none"/>
          <w:lang w:eastAsia="zh-CN"/>
        </w:rPr>
        <w:t>审查</w:t>
      </w:r>
      <w:r>
        <w:rPr>
          <w:rFonts w:hint="eastAsia" w:ascii="宋体" w:hAnsi="宋体" w:cs="宋体"/>
          <w:b/>
          <w:bCs/>
          <w:color w:val="auto"/>
          <w:spacing w:val="0"/>
          <w:kern w:val="0"/>
          <w:sz w:val="36"/>
          <w:szCs w:val="36"/>
          <w:highlight w:val="none"/>
        </w:rPr>
        <w:t>表</w:t>
      </w:r>
    </w:p>
    <w:tbl>
      <w:tblPr>
        <w:tblStyle w:val="2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8093"/>
      </w:tblGrid>
      <w:tr w14:paraId="3EAB7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418" w:type="pct"/>
            <w:noWrap w:val="0"/>
            <w:vAlign w:val="center"/>
          </w:tcPr>
          <w:p w14:paraId="36ED066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581" w:type="pct"/>
            <w:noWrap w:val="0"/>
            <w:vAlign w:val="center"/>
          </w:tcPr>
          <w:p w14:paraId="535CAD4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审查标准</w:t>
            </w:r>
          </w:p>
        </w:tc>
      </w:tr>
      <w:tr w14:paraId="2FA47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18" w:type="pct"/>
            <w:noWrap w:val="0"/>
            <w:vAlign w:val="center"/>
          </w:tcPr>
          <w:p w14:paraId="51A5C91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581" w:type="pct"/>
            <w:noWrap w:val="0"/>
            <w:vAlign w:val="center"/>
          </w:tcPr>
          <w:p w14:paraId="2306778A">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文件是否按</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规定格式完整提供，并在要求加盖供应商公章、法定代表人章或授权代理人章处签字或盖章；</w:t>
            </w:r>
          </w:p>
        </w:tc>
      </w:tr>
      <w:tr w14:paraId="31CCB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18" w:type="pct"/>
            <w:noWrap w:val="0"/>
            <w:vAlign w:val="center"/>
          </w:tcPr>
          <w:p w14:paraId="3B1F7A1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581" w:type="pct"/>
            <w:noWrap w:val="0"/>
            <w:vAlign w:val="center"/>
          </w:tcPr>
          <w:p w14:paraId="56DC5C3A">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文件是否按</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要求编制，无内容不全或字迹模糊、辨认不清的；</w:t>
            </w:r>
          </w:p>
        </w:tc>
      </w:tr>
      <w:tr w14:paraId="1BAE0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18" w:type="pct"/>
            <w:noWrap w:val="0"/>
            <w:vAlign w:val="center"/>
          </w:tcPr>
          <w:p w14:paraId="630C3A9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581" w:type="pct"/>
            <w:noWrap w:val="0"/>
            <w:vAlign w:val="center"/>
          </w:tcPr>
          <w:p w14:paraId="0E8032D3">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投标报价未超过最高限价，未作出两个及以上报价且未明确效力；</w:t>
            </w:r>
          </w:p>
        </w:tc>
      </w:tr>
      <w:tr w14:paraId="6B52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18" w:type="pct"/>
            <w:noWrap w:val="0"/>
            <w:vAlign w:val="center"/>
          </w:tcPr>
          <w:p w14:paraId="49993A9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581" w:type="pct"/>
            <w:noWrap w:val="0"/>
            <w:vAlign w:val="center"/>
          </w:tcPr>
          <w:p w14:paraId="38B020F5">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服务期限是否满足</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eastAsia="zh-CN"/>
              </w:rPr>
              <w:t>；</w:t>
            </w:r>
          </w:p>
        </w:tc>
      </w:tr>
      <w:tr w14:paraId="56DCE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18" w:type="pct"/>
            <w:noWrap w:val="0"/>
            <w:vAlign w:val="center"/>
          </w:tcPr>
          <w:p w14:paraId="2FE0A8B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581" w:type="pct"/>
            <w:noWrap w:val="0"/>
            <w:vAlign w:val="center"/>
          </w:tcPr>
          <w:p w14:paraId="35A98812">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采购及服务需求</w:t>
            </w:r>
            <w:r>
              <w:rPr>
                <w:rFonts w:hint="eastAsia" w:ascii="宋体" w:hAnsi="宋体" w:eastAsia="宋体" w:cs="宋体"/>
                <w:color w:val="auto"/>
                <w:sz w:val="24"/>
                <w:szCs w:val="24"/>
                <w:highlight w:val="none"/>
                <w:lang w:val="en-US" w:eastAsia="zh-CN"/>
              </w:rPr>
              <w:t>是否满足采购文件要求；</w:t>
            </w:r>
          </w:p>
        </w:tc>
      </w:tr>
      <w:tr w14:paraId="10791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18" w:type="pct"/>
            <w:noWrap w:val="0"/>
            <w:vAlign w:val="center"/>
          </w:tcPr>
          <w:p w14:paraId="724062B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4581" w:type="pct"/>
            <w:noWrap w:val="0"/>
            <w:vAlign w:val="center"/>
          </w:tcPr>
          <w:p w14:paraId="3944AAF8">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文件未附有采购人不能接受的附加条件及法律、法规和</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规定的其他无效情形。</w:t>
            </w:r>
          </w:p>
        </w:tc>
      </w:tr>
      <w:tr w14:paraId="453ED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5000" w:type="pct"/>
            <w:gridSpan w:val="2"/>
            <w:noWrap w:val="0"/>
            <w:vAlign w:val="center"/>
          </w:tcPr>
          <w:p w14:paraId="48E1E120">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备注：如果</w:t>
            </w:r>
            <w:r>
              <w:rPr>
                <w:rFonts w:hint="eastAsia" w:ascii="宋体" w:hAnsi="宋体" w:eastAsia="宋体" w:cs="宋体"/>
                <w:color w:val="auto"/>
                <w:sz w:val="24"/>
                <w:szCs w:val="24"/>
                <w:highlight w:val="none"/>
                <w:lang w:eastAsia="zh-CN"/>
              </w:rPr>
              <w:t>符合性</w:t>
            </w:r>
            <w:r>
              <w:rPr>
                <w:rFonts w:hint="eastAsia" w:ascii="宋体" w:hAnsi="宋体" w:eastAsia="宋体" w:cs="宋体"/>
                <w:color w:val="auto"/>
                <w:sz w:val="24"/>
                <w:szCs w:val="24"/>
                <w:highlight w:val="none"/>
              </w:rPr>
              <w:t>评审中有一项不满足审查标准的，采购人将认定该供应商不通过</w:t>
            </w:r>
            <w:r>
              <w:rPr>
                <w:rFonts w:hint="eastAsia" w:ascii="宋体" w:hAnsi="宋体" w:eastAsia="宋体" w:cs="宋体"/>
                <w:color w:val="auto"/>
                <w:sz w:val="24"/>
                <w:szCs w:val="24"/>
                <w:highlight w:val="none"/>
                <w:lang w:eastAsia="zh-CN"/>
              </w:rPr>
              <w:t>符合性</w:t>
            </w:r>
            <w:r>
              <w:rPr>
                <w:rFonts w:hint="eastAsia" w:ascii="宋体" w:hAnsi="宋体" w:eastAsia="宋体" w:cs="宋体"/>
                <w:color w:val="auto"/>
                <w:sz w:val="24"/>
                <w:szCs w:val="24"/>
                <w:highlight w:val="none"/>
              </w:rPr>
              <w:t>审查，竞争性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响应文件将被拒绝评审。并且不允许供应商通过修改或撤销其不符合要求的差异或保留，使之成为具有响应性的投标。</w:t>
            </w:r>
          </w:p>
        </w:tc>
      </w:tr>
    </w:tbl>
    <w:p w14:paraId="65497239">
      <w:pPr>
        <w:pStyle w:val="21"/>
        <w:spacing w:line="240" w:lineRule="auto"/>
        <w:ind w:left="0" w:leftChars="0" w:firstLine="0" w:firstLineChars="0"/>
        <w:jc w:val="center"/>
        <w:rPr>
          <w:rFonts w:hint="eastAsia" w:ascii="宋体" w:hAnsi="宋体" w:eastAsia="宋体" w:cs="宋体"/>
          <w:b/>
          <w:bCs/>
          <w:color w:val="auto"/>
          <w:spacing w:val="0"/>
          <w:kern w:val="0"/>
          <w:sz w:val="36"/>
          <w:szCs w:val="36"/>
          <w:highlight w:val="none"/>
          <w:lang w:val="en-US" w:eastAsia="zh-CN" w:bidi="ar-SA"/>
        </w:rPr>
      </w:pPr>
    </w:p>
    <w:p w14:paraId="5D883A95">
      <w:pPr>
        <w:pStyle w:val="21"/>
        <w:numPr>
          <w:ilvl w:val="0"/>
          <w:numId w:val="5"/>
        </w:numPr>
        <w:spacing w:line="240" w:lineRule="auto"/>
        <w:ind w:left="0" w:leftChars="0" w:firstLine="0" w:firstLineChars="0"/>
        <w:jc w:val="center"/>
        <w:rPr>
          <w:rFonts w:hint="eastAsia" w:ascii="宋体" w:hAnsi="宋体" w:eastAsia="宋体" w:cs="宋体"/>
          <w:b/>
          <w:bCs/>
          <w:color w:val="auto"/>
          <w:spacing w:val="0"/>
          <w:kern w:val="0"/>
          <w:sz w:val="36"/>
          <w:szCs w:val="36"/>
          <w:highlight w:val="none"/>
          <w:lang w:val="en-US" w:eastAsia="zh-CN" w:bidi="ar-SA"/>
        </w:rPr>
      </w:pPr>
      <w:r>
        <w:rPr>
          <w:rFonts w:hint="eastAsia" w:ascii="宋体" w:hAnsi="宋体" w:eastAsia="宋体" w:cs="宋体"/>
          <w:b/>
          <w:bCs/>
          <w:color w:val="auto"/>
          <w:spacing w:val="0"/>
          <w:kern w:val="0"/>
          <w:sz w:val="36"/>
          <w:szCs w:val="36"/>
          <w:lang w:val="en-US" w:eastAsia="zh-CN" w:bidi="ar-SA"/>
        </w:rPr>
        <w:t>综合</w:t>
      </w:r>
      <w:r>
        <w:rPr>
          <w:rFonts w:hint="eastAsia" w:ascii="宋体" w:hAnsi="宋体" w:eastAsia="宋体" w:cs="宋体"/>
          <w:b/>
          <w:bCs/>
          <w:color w:val="auto"/>
          <w:spacing w:val="0"/>
          <w:kern w:val="0"/>
          <w:sz w:val="36"/>
          <w:szCs w:val="36"/>
          <w:highlight w:val="none"/>
          <w:lang w:val="en-US" w:eastAsia="zh-CN" w:bidi="ar-SA"/>
        </w:rPr>
        <w:t>评审标准</w:t>
      </w:r>
    </w:p>
    <w:p w14:paraId="27CB8F6D">
      <w:pPr>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标项一、标项二：</w:t>
      </w:r>
    </w:p>
    <w:tbl>
      <w:tblPr>
        <w:tblStyle w:val="96"/>
        <w:tblW w:w="509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76"/>
        <w:gridCol w:w="798"/>
        <w:gridCol w:w="6714"/>
      </w:tblGrid>
      <w:tr w14:paraId="4B77B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26" w:type="pct"/>
            <w:vAlign w:val="top"/>
          </w:tcPr>
          <w:p w14:paraId="14D39A3B">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评审项目</w:t>
            </w:r>
          </w:p>
        </w:tc>
        <w:tc>
          <w:tcPr>
            <w:tcW w:w="454" w:type="pct"/>
            <w:vAlign w:val="top"/>
          </w:tcPr>
          <w:p w14:paraId="3F10B155">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分值</w:t>
            </w:r>
          </w:p>
        </w:tc>
        <w:tc>
          <w:tcPr>
            <w:tcW w:w="3818" w:type="pct"/>
            <w:vAlign w:val="top"/>
          </w:tcPr>
          <w:p w14:paraId="606143F2">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依据</w:t>
            </w:r>
          </w:p>
        </w:tc>
      </w:tr>
      <w:tr w14:paraId="64A34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726" w:type="pct"/>
            <w:vAlign w:val="top"/>
          </w:tcPr>
          <w:p w14:paraId="77805E7F">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报价（供应商提交的最后报价）</w:t>
            </w:r>
          </w:p>
        </w:tc>
        <w:tc>
          <w:tcPr>
            <w:tcW w:w="454" w:type="pct"/>
            <w:vAlign w:val="top"/>
          </w:tcPr>
          <w:p w14:paraId="458AD908">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分</w:t>
            </w:r>
          </w:p>
        </w:tc>
        <w:tc>
          <w:tcPr>
            <w:tcW w:w="3818" w:type="pct"/>
            <w:vAlign w:val="top"/>
          </w:tcPr>
          <w:p w14:paraId="7B7B7245">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本项评审步骤：</w:t>
            </w:r>
          </w:p>
          <w:p w14:paraId="6E35E94E">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1.最后报价的调整：磋商小组对所有有效响应磋商文件要求的最后报价进行核查，根据本磋商文件规定的政府采购政策进行价格扣除，以调整后的价格计算磋商基准价和最后磋商报价。</w:t>
            </w:r>
          </w:p>
          <w:p w14:paraId="4DAD10BE">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2.满足磋商文件要求且最后报价最低的供应商的价格为磋商基准价，其价格分为满分。其他供应商的价格分统一按照下列公式计算：</w:t>
            </w:r>
          </w:p>
          <w:p w14:paraId="185F0E01">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磋商报价得分=（磋商基准价/最后磋商报价）×报价满分分值</w:t>
            </w:r>
          </w:p>
        </w:tc>
      </w:tr>
      <w:tr w14:paraId="6C450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276" w:type="dxa"/>
            <w:vAlign w:val="center"/>
          </w:tcPr>
          <w:p w14:paraId="1BD95FAD">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业绩</w:t>
            </w:r>
          </w:p>
        </w:tc>
        <w:tc>
          <w:tcPr>
            <w:tcW w:w="799" w:type="dxa"/>
            <w:vAlign w:val="center"/>
          </w:tcPr>
          <w:p w14:paraId="65A0243D">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分</w:t>
            </w:r>
          </w:p>
        </w:tc>
        <w:tc>
          <w:tcPr>
            <w:tcW w:w="3818" w:type="pct"/>
            <w:shd w:val="clear" w:color="auto" w:fill="auto"/>
            <w:vAlign w:val="center"/>
          </w:tcPr>
          <w:p w14:paraId="46BDC445">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月至递交投标文件截止时间期间的相关</w:t>
            </w:r>
            <w:r>
              <w:rPr>
                <w:rFonts w:hint="eastAsia" w:ascii="宋体" w:hAnsi="宋体" w:eastAsia="宋体" w:cs="宋体"/>
                <w:color w:val="auto"/>
                <w:sz w:val="24"/>
                <w:szCs w:val="24"/>
                <w:highlight w:val="none"/>
                <w:lang w:val="en-US" w:eastAsia="zh-CN"/>
              </w:rPr>
              <w:t>类似</w:t>
            </w:r>
            <w:r>
              <w:rPr>
                <w:rFonts w:hint="eastAsia" w:ascii="宋体" w:hAnsi="宋体" w:eastAsia="宋体" w:cs="宋体"/>
                <w:color w:val="auto"/>
                <w:sz w:val="24"/>
                <w:szCs w:val="24"/>
                <w:highlight w:val="none"/>
                <w:lang w:eastAsia="zh-CN"/>
              </w:rPr>
              <w:t>业绩。以提供的合同复印件（须包含合同首末页、金额页、签字盖章页等关键页，加盖公章）为准，未盖章或盖章不清晰、总金额或数量不清晰的合同无效。每提供1个业绩证明得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分，最高得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分。</w:t>
            </w:r>
          </w:p>
        </w:tc>
      </w:tr>
      <w:tr w14:paraId="2E444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276" w:type="dxa"/>
            <w:vAlign w:val="center"/>
          </w:tcPr>
          <w:p w14:paraId="2647D6C2">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团队人员</w:t>
            </w:r>
          </w:p>
        </w:tc>
        <w:tc>
          <w:tcPr>
            <w:tcW w:w="799" w:type="dxa"/>
            <w:vAlign w:val="center"/>
          </w:tcPr>
          <w:p w14:paraId="7C5D5FA9">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分</w:t>
            </w:r>
          </w:p>
        </w:tc>
        <w:tc>
          <w:tcPr>
            <w:tcW w:w="3818" w:type="pct"/>
            <w:shd w:val="clear" w:color="auto" w:fill="auto"/>
            <w:vAlign w:val="center"/>
          </w:tcPr>
          <w:p w14:paraId="6BCB8C66">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负责该项目人员的配置情况，根据配置人员力量、人员结构合理性等应具有丰富的实践经验和组织管理能力，以往工作经验优劣酌情进行打分：项目团队配置合理、科学性强、专业性强、团队经验丰富得14分；项目团队配置较为合理、专业性一般、团队相关经验欠缺一般得10分；项目团队配置不合理、专业性未体现、团队无相关经验得5分；未提供不得分。</w:t>
            </w:r>
          </w:p>
        </w:tc>
      </w:tr>
      <w:tr w14:paraId="1D50B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276" w:type="dxa"/>
            <w:vAlign w:val="center"/>
          </w:tcPr>
          <w:p w14:paraId="76D7B9C8">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服务方案</w:t>
            </w:r>
          </w:p>
        </w:tc>
        <w:tc>
          <w:tcPr>
            <w:tcW w:w="799" w:type="dxa"/>
            <w:vAlign w:val="center"/>
          </w:tcPr>
          <w:p w14:paraId="51CECF9F">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分</w:t>
            </w:r>
          </w:p>
        </w:tc>
        <w:tc>
          <w:tcPr>
            <w:tcW w:w="3818" w:type="pct"/>
            <w:shd w:val="clear" w:color="auto" w:fill="auto"/>
            <w:vAlign w:val="center"/>
          </w:tcPr>
          <w:p w14:paraId="00564169">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根据投标人为本项目提供的整体服务方案进行评审： </w:t>
            </w:r>
          </w:p>
          <w:p w14:paraId="114A8217">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总体服务方案内容全面、完善、合理可行，针对性强得14分； </w:t>
            </w:r>
          </w:p>
          <w:p w14:paraId="3B77166E">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总体服务方案内容基本全面，有一定针对性得 10分； </w:t>
            </w:r>
          </w:p>
          <w:p w14:paraId="02A6D6E2">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总体服务方案内容有欠缺，针对性不足得5 分； </w:t>
            </w:r>
          </w:p>
          <w:p w14:paraId="15EBA3F5">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不合理或未提供得 0 分。</w:t>
            </w:r>
          </w:p>
        </w:tc>
      </w:tr>
      <w:tr w14:paraId="702A3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276" w:type="dxa"/>
            <w:vAlign w:val="center"/>
          </w:tcPr>
          <w:p w14:paraId="2D9B70F8">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宣传方案</w:t>
            </w:r>
          </w:p>
        </w:tc>
        <w:tc>
          <w:tcPr>
            <w:tcW w:w="799" w:type="dxa"/>
            <w:vAlign w:val="center"/>
          </w:tcPr>
          <w:p w14:paraId="5ADADB24">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lang w:eastAsia="zh-CN"/>
              </w:rPr>
              <w:t>分</w:t>
            </w:r>
          </w:p>
        </w:tc>
        <w:tc>
          <w:tcPr>
            <w:tcW w:w="3818" w:type="pct"/>
            <w:shd w:val="clear" w:color="auto" w:fill="auto"/>
            <w:vAlign w:val="center"/>
          </w:tcPr>
          <w:p w14:paraId="5811B121">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针对本项目拟定宣传方案，内容包括但不限于：</w:t>
            </w:r>
          </w:p>
          <w:p w14:paraId="6F0FE88D">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①宣传活动策略；</w:t>
            </w:r>
          </w:p>
          <w:p w14:paraId="2E0B6340">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②传播、推广渠道；</w:t>
            </w:r>
          </w:p>
          <w:p w14:paraId="27047ACE">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③活动宣传计划；</w:t>
            </w:r>
          </w:p>
          <w:p w14:paraId="5CBACE8C">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④进度保障方案</w:t>
            </w:r>
            <w:r>
              <w:rPr>
                <w:rFonts w:hint="eastAsia" w:ascii="宋体" w:hAnsi="宋体" w:eastAsia="宋体" w:cs="宋体"/>
                <w:color w:val="auto"/>
                <w:sz w:val="24"/>
                <w:szCs w:val="24"/>
                <w:highlight w:val="none"/>
                <w:lang w:eastAsia="zh-CN"/>
              </w:rPr>
              <w:t>等；</w:t>
            </w:r>
          </w:p>
          <w:p w14:paraId="7094FBEC">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上4项内容提供齐全无缺陷的得16分，有一项未提供的扣4分，每有一处存在缺陷（缺陷是指不适用于本项目、语句有歧义、仅有框架或标题、涉及的规范及标准错误、套用其他项目内容，任意一种情形）的扣1分，扣完为止，不提供不得分。</w:t>
            </w:r>
          </w:p>
        </w:tc>
      </w:tr>
      <w:tr w14:paraId="1D4A3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276" w:type="dxa"/>
            <w:vAlign w:val="center"/>
          </w:tcPr>
          <w:p w14:paraId="3FB69F2E">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质量保证措施</w:t>
            </w:r>
          </w:p>
        </w:tc>
        <w:tc>
          <w:tcPr>
            <w:tcW w:w="799" w:type="dxa"/>
            <w:vAlign w:val="center"/>
          </w:tcPr>
          <w:p w14:paraId="5C75BF59">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分</w:t>
            </w:r>
          </w:p>
        </w:tc>
        <w:tc>
          <w:tcPr>
            <w:tcW w:w="3818" w:type="pct"/>
            <w:shd w:val="clear" w:color="auto" w:fill="auto"/>
            <w:vAlign w:val="center"/>
          </w:tcPr>
          <w:p w14:paraId="66FF325C">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质量保证措施内容具有高度全面性、详细、具体、合理性强、有针对性、可行性强，得 9分； </w:t>
            </w:r>
          </w:p>
          <w:p w14:paraId="7982E1FA">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质量保证措施内容基本全面、具有合理性、具有针对性、具有可行性，得6分； </w:t>
            </w:r>
          </w:p>
          <w:p w14:paraId="308126ED">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质量保证措施内容全面性有欠缺、欠缺合理性、针对性、可行性有欠缺，得3分； </w:t>
            </w:r>
          </w:p>
          <w:p w14:paraId="4CEF6787">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质量保证措施内容不全面、不详细、不具体、合理性差、针对性差、可行性差，1 分； </w:t>
            </w:r>
          </w:p>
          <w:p w14:paraId="5F40448F">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未提供不得分。</w:t>
            </w:r>
          </w:p>
        </w:tc>
      </w:tr>
      <w:tr w14:paraId="3A3AA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276" w:type="dxa"/>
            <w:vAlign w:val="center"/>
          </w:tcPr>
          <w:p w14:paraId="023931E1">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实施实力保障</w:t>
            </w:r>
          </w:p>
        </w:tc>
        <w:tc>
          <w:tcPr>
            <w:tcW w:w="799" w:type="dxa"/>
            <w:shd w:val="clear" w:color="auto" w:fill="FFFFFF" w:themeFill="background1"/>
            <w:vAlign w:val="center"/>
          </w:tcPr>
          <w:p w14:paraId="6E618E28">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分</w:t>
            </w:r>
          </w:p>
        </w:tc>
        <w:tc>
          <w:tcPr>
            <w:tcW w:w="3818" w:type="pct"/>
            <w:shd w:val="clear" w:color="auto" w:fill="FFFFFF" w:themeFill="background1"/>
            <w:vAlign w:val="center"/>
          </w:tcPr>
          <w:p w14:paraId="62AD122E">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供应商具备新闻采编资质、具备政治把关能力、具备强大内容生产能力、多年专业从事意识形态领域工作、且可利用全国性网上群众工作平台协助做好退役军人群体工作的，得14分； </w:t>
            </w:r>
          </w:p>
          <w:p w14:paraId="43405F3D">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供应商具备新闻采编资质、具备政治把关能力、具备强大内容生产能力、多年专业从事意识形态领域工作的，得10分； </w:t>
            </w:r>
          </w:p>
          <w:p w14:paraId="56F6A348">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供应商具备新闻采编资质、具备政治把关能力、具备强大内容生产能力的，得8分；</w:t>
            </w:r>
          </w:p>
          <w:p w14:paraId="0EEA3ECC">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供应商具备新闻采编资质、具备政治把关能力的，得5分； </w:t>
            </w:r>
          </w:p>
          <w:p w14:paraId="587EE8F8">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供应商具备新闻采编资质的，得 2 分； </w:t>
            </w:r>
          </w:p>
          <w:p w14:paraId="72EB481A">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供应商不具备任何上述能力和资质的，得 0 分。</w:t>
            </w:r>
          </w:p>
        </w:tc>
      </w:tr>
      <w:tr w14:paraId="5B321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276" w:type="dxa"/>
            <w:vAlign w:val="center"/>
          </w:tcPr>
          <w:p w14:paraId="7E99A2B4">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合理化建议</w:t>
            </w:r>
          </w:p>
        </w:tc>
        <w:tc>
          <w:tcPr>
            <w:tcW w:w="799" w:type="dxa"/>
            <w:vAlign w:val="center"/>
          </w:tcPr>
          <w:p w14:paraId="4BF6AD78">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分</w:t>
            </w:r>
          </w:p>
        </w:tc>
        <w:tc>
          <w:tcPr>
            <w:tcW w:w="3818" w:type="pct"/>
            <w:shd w:val="clear" w:color="auto" w:fill="auto"/>
            <w:vAlign w:val="center"/>
          </w:tcPr>
          <w:p w14:paraId="2ACE8A1E">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建议内容合理性高，表述清晰程度强，可行性高、与本项目得契合度高，得8分； </w:t>
            </w:r>
          </w:p>
          <w:p w14:paraId="4677B08D">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建议内容合理性一般，表述清晰程度一般，可行性一般、与本项目得契合度一般，得6分； </w:t>
            </w:r>
          </w:p>
          <w:p w14:paraId="3684C064">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建议内容合理性差，表述清晰程度弱，可行性差、与本项目得契合度差，得2分； </w:t>
            </w:r>
          </w:p>
          <w:p w14:paraId="36CE3928">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未提供不得分。</w:t>
            </w:r>
          </w:p>
        </w:tc>
      </w:tr>
    </w:tbl>
    <w:p w14:paraId="656ADC12">
      <w:pPr>
        <w:numPr>
          <w:ilvl w:val="0"/>
          <w:numId w:val="0"/>
        </w:numPr>
        <w:rPr>
          <w:rFonts w:hint="default"/>
          <w:lang w:val="en-US" w:eastAsia="zh-CN"/>
        </w:rPr>
      </w:pPr>
      <w:r>
        <w:rPr>
          <w:rFonts w:hint="eastAsia"/>
          <w:lang w:val="en-US" w:eastAsia="zh-CN"/>
        </w:rPr>
        <w:br w:type="page"/>
      </w:r>
    </w:p>
    <w:bookmarkEnd w:id="64"/>
    <w:bookmarkEnd w:id="65"/>
    <w:p w14:paraId="56D33210">
      <w:pPr>
        <w:rPr>
          <w:rFonts w:hint="eastAsia" w:ascii="宋体" w:hAnsi="宋体" w:cs="宋体"/>
          <w:b/>
          <w:color w:val="auto"/>
          <w:sz w:val="28"/>
          <w:szCs w:val="28"/>
          <w:highlight w:val="none"/>
          <w:lang w:eastAsia="zh-CN"/>
        </w:rPr>
      </w:pPr>
      <w:bookmarkStart w:id="66" w:name="_Toc17560"/>
      <w:bookmarkStart w:id="67" w:name="_Toc28810"/>
      <w:r>
        <w:rPr>
          <w:rFonts w:hint="eastAsia" w:ascii="宋体" w:hAnsi="宋体" w:cs="宋体"/>
          <w:b/>
          <w:color w:val="auto"/>
          <w:sz w:val="28"/>
          <w:szCs w:val="28"/>
          <w:highlight w:val="none"/>
          <w:lang w:eastAsia="zh-CN"/>
        </w:rPr>
        <w:t>标项三：</w:t>
      </w:r>
    </w:p>
    <w:tbl>
      <w:tblPr>
        <w:tblStyle w:val="96"/>
        <w:tblW w:w="509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76"/>
        <w:gridCol w:w="798"/>
        <w:gridCol w:w="6714"/>
      </w:tblGrid>
      <w:tr w14:paraId="41FC5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26" w:type="pct"/>
            <w:vAlign w:val="top"/>
          </w:tcPr>
          <w:p w14:paraId="3E624D2A">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评审项目</w:t>
            </w:r>
          </w:p>
        </w:tc>
        <w:tc>
          <w:tcPr>
            <w:tcW w:w="454" w:type="pct"/>
            <w:vAlign w:val="top"/>
          </w:tcPr>
          <w:p w14:paraId="38810B9E">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分值</w:t>
            </w:r>
          </w:p>
        </w:tc>
        <w:tc>
          <w:tcPr>
            <w:tcW w:w="3818" w:type="pct"/>
            <w:vAlign w:val="top"/>
          </w:tcPr>
          <w:p w14:paraId="79C485AC">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依据</w:t>
            </w:r>
          </w:p>
        </w:tc>
      </w:tr>
      <w:tr w14:paraId="55A4A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726" w:type="pct"/>
            <w:vAlign w:val="top"/>
          </w:tcPr>
          <w:p w14:paraId="74066C9D">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报价（供应商提交的最后报价）</w:t>
            </w:r>
          </w:p>
        </w:tc>
        <w:tc>
          <w:tcPr>
            <w:tcW w:w="454" w:type="pct"/>
            <w:vAlign w:val="top"/>
          </w:tcPr>
          <w:p w14:paraId="5B83911F">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分</w:t>
            </w:r>
          </w:p>
        </w:tc>
        <w:tc>
          <w:tcPr>
            <w:tcW w:w="3818" w:type="pct"/>
            <w:vAlign w:val="top"/>
          </w:tcPr>
          <w:p w14:paraId="2BCE8288">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本项评审步骤：</w:t>
            </w:r>
          </w:p>
          <w:p w14:paraId="1FECE9D8">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1.最后报价的调整：磋商小组对所有有效响应磋商文件要求的最后报价进行核查，根据本磋商文件规定的政府采购政策进行价格扣除，以调整后的价格计算磋商基准价和最后磋商报价。</w:t>
            </w:r>
          </w:p>
          <w:p w14:paraId="1163E694">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2.满足磋商文件要求且最后报价最低的供应商的价格为磋商基准价，其价格分为满分。其他供应商的价格分统一按照下列公式计算：</w:t>
            </w:r>
          </w:p>
          <w:p w14:paraId="65B068FF">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磋商报价得分=（磋商基准价/最后磋商报价）×报价满分分值</w:t>
            </w:r>
          </w:p>
        </w:tc>
      </w:tr>
      <w:tr w14:paraId="2F2E6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276" w:type="dxa"/>
            <w:vAlign w:val="center"/>
          </w:tcPr>
          <w:p w14:paraId="3425CE46">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业绩</w:t>
            </w:r>
          </w:p>
        </w:tc>
        <w:tc>
          <w:tcPr>
            <w:tcW w:w="799" w:type="dxa"/>
            <w:vAlign w:val="center"/>
          </w:tcPr>
          <w:p w14:paraId="12C9B2A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分</w:t>
            </w:r>
          </w:p>
        </w:tc>
        <w:tc>
          <w:tcPr>
            <w:tcW w:w="3818" w:type="pct"/>
            <w:shd w:val="clear" w:color="auto" w:fill="auto"/>
            <w:vAlign w:val="center"/>
          </w:tcPr>
          <w:p w14:paraId="149D0C3A">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月至递交投标文件截止时间期间的相关</w:t>
            </w:r>
            <w:r>
              <w:rPr>
                <w:rFonts w:hint="eastAsia" w:ascii="宋体" w:hAnsi="宋体" w:eastAsia="宋体" w:cs="宋体"/>
                <w:color w:val="auto"/>
                <w:sz w:val="24"/>
                <w:szCs w:val="24"/>
                <w:highlight w:val="none"/>
                <w:lang w:val="en-US" w:eastAsia="zh-CN"/>
              </w:rPr>
              <w:t>类似</w:t>
            </w:r>
            <w:r>
              <w:rPr>
                <w:rFonts w:hint="eastAsia" w:ascii="宋体" w:hAnsi="宋体" w:eastAsia="宋体" w:cs="宋体"/>
                <w:color w:val="auto"/>
                <w:sz w:val="24"/>
                <w:szCs w:val="24"/>
                <w:highlight w:val="none"/>
                <w:lang w:eastAsia="zh-CN"/>
              </w:rPr>
              <w:t>业绩。以提供的合同复印件（须包含合同首末页、金额页、签字盖章页等关键页，加盖公章）为准，未盖章或盖章不清晰、总金额或数量不清晰的合同无效。每提供1个业绩证明得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分，最高得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分。</w:t>
            </w:r>
          </w:p>
        </w:tc>
      </w:tr>
      <w:tr w14:paraId="5D0CF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276" w:type="dxa"/>
            <w:vAlign w:val="center"/>
          </w:tcPr>
          <w:p w14:paraId="52348FAC">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团队人员</w:t>
            </w:r>
          </w:p>
        </w:tc>
        <w:tc>
          <w:tcPr>
            <w:tcW w:w="799" w:type="dxa"/>
            <w:vAlign w:val="center"/>
          </w:tcPr>
          <w:p w14:paraId="41609EF1">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分</w:t>
            </w:r>
          </w:p>
        </w:tc>
        <w:tc>
          <w:tcPr>
            <w:tcW w:w="3818" w:type="pct"/>
            <w:shd w:val="clear" w:color="auto" w:fill="auto"/>
            <w:vAlign w:val="center"/>
          </w:tcPr>
          <w:p w14:paraId="78E7B190">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负责该项目人员的配置情况，根据配置人员力量、人员结构合理性等应具有丰富的实践经验和组织管理能力，以往工作经验优劣酌情进行打分：项目团队配置合理、科学性强、专业性强、团队经验丰富得14分；项目团队配置较为合理、专业性一般、团队相关经验欠缺一般得10分；项目团队配置不合理、专业性未体现、团队无相关经验得5分；未提供不得分。</w:t>
            </w:r>
          </w:p>
        </w:tc>
      </w:tr>
      <w:tr w14:paraId="60A5C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276" w:type="dxa"/>
            <w:vAlign w:val="center"/>
          </w:tcPr>
          <w:p w14:paraId="53BCB06D">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服务方案</w:t>
            </w:r>
          </w:p>
        </w:tc>
        <w:tc>
          <w:tcPr>
            <w:tcW w:w="799" w:type="dxa"/>
            <w:vAlign w:val="center"/>
          </w:tcPr>
          <w:p w14:paraId="058E17D6">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分</w:t>
            </w:r>
          </w:p>
        </w:tc>
        <w:tc>
          <w:tcPr>
            <w:tcW w:w="3818" w:type="pct"/>
            <w:shd w:val="clear" w:color="auto" w:fill="auto"/>
            <w:vAlign w:val="center"/>
          </w:tcPr>
          <w:p w14:paraId="27417D2A">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根据投标人为本项目提供的整体服务方案进行评审： </w:t>
            </w:r>
          </w:p>
          <w:p w14:paraId="4FC44D70">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总体服务方案内容全面、完善、合理可行，针对性强得14分； </w:t>
            </w:r>
          </w:p>
          <w:p w14:paraId="27445CB7">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总体服务方案内容基本全面，有一定针对性得 10分； </w:t>
            </w:r>
          </w:p>
          <w:p w14:paraId="5379A787">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总体服务方案内容有欠缺，针对性不足得5 分； </w:t>
            </w:r>
          </w:p>
          <w:p w14:paraId="362AB76F">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不合理或未提供得 0 分。</w:t>
            </w:r>
          </w:p>
        </w:tc>
      </w:tr>
      <w:tr w14:paraId="11B19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276" w:type="dxa"/>
            <w:vAlign w:val="center"/>
          </w:tcPr>
          <w:p w14:paraId="6325B636">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宣传方案</w:t>
            </w:r>
          </w:p>
        </w:tc>
        <w:tc>
          <w:tcPr>
            <w:tcW w:w="799" w:type="dxa"/>
            <w:vAlign w:val="center"/>
          </w:tcPr>
          <w:p w14:paraId="580732F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lang w:eastAsia="zh-CN"/>
              </w:rPr>
              <w:t>分</w:t>
            </w:r>
          </w:p>
        </w:tc>
        <w:tc>
          <w:tcPr>
            <w:tcW w:w="3818" w:type="pct"/>
            <w:shd w:val="clear" w:color="auto" w:fill="auto"/>
            <w:vAlign w:val="center"/>
          </w:tcPr>
          <w:p w14:paraId="18DCC367">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针对本项目拟定宣传方案，内容包括但不限于：</w:t>
            </w:r>
          </w:p>
          <w:p w14:paraId="696D921A">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①宣传活动策略；</w:t>
            </w:r>
          </w:p>
          <w:p w14:paraId="04DAC921">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②传播、推广渠道；</w:t>
            </w:r>
          </w:p>
          <w:p w14:paraId="589E8017">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③活动宣传计划；</w:t>
            </w:r>
          </w:p>
          <w:p w14:paraId="4AF8782F">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④进度保障方案</w:t>
            </w:r>
            <w:r>
              <w:rPr>
                <w:rFonts w:hint="eastAsia" w:ascii="宋体" w:hAnsi="宋体" w:eastAsia="宋体" w:cs="宋体"/>
                <w:color w:val="auto"/>
                <w:sz w:val="24"/>
                <w:szCs w:val="24"/>
                <w:highlight w:val="none"/>
                <w:lang w:eastAsia="zh-CN"/>
              </w:rPr>
              <w:t>等；</w:t>
            </w:r>
          </w:p>
          <w:p w14:paraId="509EE21E">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上4项内容提供齐全无缺陷的得16分，有一项未提供的扣4分，每有一处存在缺陷（缺陷是指不适用于本项目、语句有歧义、仅有框架或标题、涉及的规范及标准错误、套用其他项目内容，任意一种情形）的扣1分，扣完为止，不提供不得分。</w:t>
            </w:r>
          </w:p>
        </w:tc>
      </w:tr>
      <w:tr w14:paraId="7C6FE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276" w:type="dxa"/>
            <w:vAlign w:val="center"/>
          </w:tcPr>
          <w:p w14:paraId="088A80F8">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质量保证措施</w:t>
            </w:r>
          </w:p>
        </w:tc>
        <w:tc>
          <w:tcPr>
            <w:tcW w:w="799" w:type="dxa"/>
            <w:vAlign w:val="center"/>
          </w:tcPr>
          <w:p w14:paraId="71D827E9">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分</w:t>
            </w:r>
          </w:p>
        </w:tc>
        <w:tc>
          <w:tcPr>
            <w:tcW w:w="3818" w:type="pct"/>
            <w:shd w:val="clear" w:color="auto" w:fill="auto"/>
            <w:vAlign w:val="center"/>
          </w:tcPr>
          <w:p w14:paraId="1C915BCD">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质量保证措施内容具有高度全面性、详细、具体、合理性强、有针对性、可行性强，得 9分； </w:t>
            </w:r>
          </w:p>
          <w:p w14:paraId="6DED956A">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质量保证措施内容基本全面、具有合理性、具有针对性、具有可行性，得6分； </w:t>
            </w:r>
          </w:p>
          <w:p w14:paraId="315B5EFA">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质量保证措施内容全面性有欠缺、欠缺合理性、针对性、可行性有欠缺，得3分； </w:t>
            </w:r>
          </w:p>
          <w:p w14:paraId="75F4E175">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质量保证措施内容不全面、不详细、不具体、合理性差、针对性差、可行性差，1 分； </w:t>
            </w:r>
          </w:p>
          <w:p w14:paraId="221AEA67">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未提供不得分。</w:t>
            </w:r>
          </w:p>
        </w:tc>
      </w:tr>
      <w:tr w14:paraId="12067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276" w:type="dxa"/>
            <w:vAlign w:val="center"/>
          </w:tcPr>
          <w:p w14:paraId="6DAF4DD1">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实施实力保障</w:t>
            </w:r>
          </w:p>
        </w:tc>
        <w:tc>
          <w:tcPr>
            <w:tcW w:w="799" w:type="dxa"/>
            <w:shd w:val="clear" w:color="auto" w:fill="FFFFFF" w:themeFill="background1"/>
            <w:vAlign w:val="center"/>
          </w:tcPr>
          <w:p w14:paraId="0CB24A12">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分</w:t>
            </w:r>
          </w:p>
        </w:tc>
        <w:tc>
          <w:tcPr>
            <w:tcW w:w="3818" w:type="pct"/>
            <w:shd w:val="clear" w:color="auto" w:fill="FFFFFF" w:themeFill="background1"/>
            <w:vAlign w:val="center"/>
          </w:tcPr>
          <w:p w14:paraId="2DE3E18F">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供应商具备新闻采编</w:t>
            </w:r>
            <w:r>
              <w:rPr>
                <w:rFonts w:hint="eastAsia" w:ascii="宋体" w:hAnsi="宋体" w:cs="宋体"/>
                <w:color w:val="auto"/>
                <w:sz w:val="24"/>
                <w:szCs w:val="24"/>
                <w:highlight w:val="none"/>
                <w:lang w:val="en-US" w:eastAsia="zh-CN"/>
              </w:rPr>
              <w:t>能力</w:t>
            </w:r>
            <w:r>
              <w:rPr>
                <w:rFonts w:hint="eastAsia" w:ascii="宋体" w:hAnsi="宋体" w:eastAsia="宋体" w:cs="宋体"/>
                <w:color w:val="auto"/>
                <w:sz w:val="24"/>
                <w:szCs w:val="24"/>
                <w:highlight w:val="none"/>
                <w:lang w:val="en-US" w:eastAsia="zh-CN"/>
              </w:rPr>
              <w:t xml:space="preserve">、具备政治把关能力、具备强大内容生产能力、多年专业从事意识形态领域工作、且可利用全国性网上群众工作平台协助做好退役军人群体工作的，得14分； </w:t>
            </w:r>
          </w:p>
          <w:p w14:paraId="194D9B69">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供应商具备新闻采编</w:t>
            </w:r>
            <w:r>
              <w:rPr>
                <w:rFonts w:hint="eastAsia" w:ascii="宋体" w:hAnsi="宋体" w:cs="宋体"/>
                <w:color w:val="auto"/>
                <w:sz w:val="24"/>
                <w:szCs w:val="24"/>
                <w:highlight w:val="none"/>
                <w:lang w:val="en-US" w:eastAsia="zh-CN"/>
              </w:rPr>
              <w:t>能力</w:t>
            </w:r>
            <w:r>
              <w:rPr>
                <w:rFonts w:hint="eastAsia" w:ascii="宋体" w:hAnsi="宋体" w:eastAsia="宋体" w:cs="宋体"/>
                <w:color w:val="auto"/>
                <w:sz w:val="24"/>
                <w:szCs w:val="24"/>
                <w:highlight w:val="none"/>
                <w:lang w:val="en-US" w:eastAsia="zh-CN"/>
              </w:rPr>
              <w:t xml:space="preserve">、具备政治把关能力、具备强大内容生产能力、多年专业从事意识形态领域工作的，得10分； </w:t>
            </w:r>
          </w:p>
          <w:p w14:paraId="7CA04BB3">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供应商具备新闻采编</w:t>
            </w:r>
            <w:r>
              <w:rPr>
                <w:rFonts w:hint="eastAsia" w:ascii="宋体" w:hAnsi="宋体" w:cs="宋体"/>
                <w:color w:val="auto"/>
                <w:sz w:val="24"/>
                <w:szCs w:val="24"/>
                <w:highlight w:val="none"/>
                <w:lang w:val="en-US" w:eastAsia="zh-CN"/>
              </w:rPr>
              <w:t>能力</w:t>
            </w:r>
            <w:r>
              <w:rPr>
                <w:rFonts w:hint="eastAsia" w:ascii="宋体" w:hAnsi="宋体" w:eastAsia="宋体" w:cs="宋体"/>
                <w:color w:val="auto"/>
                <w:sz w:val="24"/>
                <w:szCs w:val="24"/>
                <w:highlight w:val="none"/>
                <w:lang w:val="en-US" w:eastAsia="zh-CN"/>
              </w:rPr>
              <w:t>、具备政治把关能力、具备强大内容生产能力的，得8分；</w:t>
            </w:r>
          </w:p>
          <w:p w14:paraId="74A6AB7F">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供应商具备新闻采编</w:t>
            </w:r>
            <w:r>
              <w:rPr>
                <w:rFonts w:hint="eastAsia" w:ascii="宋体" w:hAnsi="宋体" w:cs="宋体"/>
                <w:color w:val="auto"/>
                <w:sz w:val="24"/>
                <w:szCs w:val="24"/>
                <w:highlight w:val="none"/>
                <w:lang w:val="en-US" w:eastAsia="zh-CN"/>
              </w:rPr>
              <w:t>能力</w:t>
            </w:r>
            <w:r>
              <w:rPr>
                <w:rFonts w:hint="eastAsia" w:ascii="宋体" w:hAnsi="宋体" w:eastAsia="宋体" w:cs="宋体"/>
                <w:color w:val="auto"/>
                <w:sz w:val="24"/>
                <w:szCs w:val="24"/>
                <w:highlight w:val="none"/>
                <w:lang w:val="en-US" w:eastAsia="zh-CN"/>
              </w:rPr>
              <w:t xml:space="preserve">、具备政治把关能力的，得5分； </w:t>
            </w:r>
          </w:p>
          <w:p w14:paraId="6BB642FE">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供应商具备新闻采编</w:t>
            </w:r>
            <w:r>
              <w:rPr>
                <w:rFonts w:hint="eastAsia" w:ascii="宋体" w:hAnsi="宋体" w:cs="宋体"/>
                <w:color w:val="auto"/>
                <w:sz w:val="24"/>
                <w:szCs w:val="24"/>
                <w:highlight w:val="none"/>
                <w:lang w:val="en-US" w:eastAsia="zh-CN"/>
              </w:rPr>
              <w:t>能力</w:t>
            </w:r>
            <w:r>
              <w:rPr>
                <w:rFonts w:hint="eastAsia" w:ascii="宋体" w:hAnsi="宋体" w:eastAsia="宋体" w:cs="宋体"/>
                <w:color w:val="auto"/>
                <w:sz w:val="24"/>
                <w:szCs w:val="24"/>
                <w:highlight w:val="none"/>
                <w:lang w:val="en-US" w:eastAsia="zh-CN"/>
              </w:rPr>
              <w:t xml:space="preserve">的，得 2 分； </w:t>
            </w:r>
          </w:p>
          <w:p w14:paraId="30BBA595">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供应商不具备任何上述能力的，得 0 分。</w:t>
            </w:r>
          </w:p>
        </w:tc>
      </w:tr>
      <w:tr w14:paraId="7ABB3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276" w:type="dxa"/>
            <w:vAlign w:val="center"/>
          </w:tcPr>
          <w:p w14:paraId="1B0F9EDA">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合理化建议</w:t>
            </w:r>
          </w:p>
        </w:tc>
        <w:tc>
          <w:tcPr>
            <w:tcW w:w="799" w:type="dxa"/>
            <w:vAlign w:val="center"/>
          </w:tcPr>
          <w:p w14:paraId="7D23F791">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分</w:t>
            </w:r>
          </w:p>
        </w:tc>
        <w:tc>
          <w:tcPr>
            <w:tcW w:w="3818" w:type="pct"/>
            <w:shd w:val="clear" w:color="auto" w:fill="auto"/>
            <w:vAlign w:val="center"/>
          </w:tcPr>
          <w:p w14:paraId="0467E9B7">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建议内容合理性高，表述清晰程度强，可行性高、与本项目得契合度高，得8分； </w:t>
            </w:r>
          </w:p>
          <w:p w14:paraId="3843BBD7">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建议内容合理性一般，表述清晰程度一般，可行性一般、与本项目得契合度一般，得6分； </w:t>
            </w:r>
          </w:p>
          <w:p w14:paraId="649F5192">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建议内容合理性差，表述清晰程度弱，可行性差、与本项目得契合度差，得2分； </w:t>
            </w:r>
          </w:p>
          <w:p w14:paraId="6F60D897">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未提供不得分。</w:t>
            </w:r>
          </w:p>
        </w:tc>
      </w:tr>
    </w:tbl>
    <w:p w14:paraId="282C9749">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1BA4B74E">
      <w:pPr>
        <w:tabs>
          <w:tab w:val="left" w:pos="420"/>
          <w:tab w:val="left" w:pos="7560"/>
          <w:tab w:val="left" w:pos="7740"/>
          <w:tab w:val="left" w:pos="7920"/>
        </w:tabs>
        <w:adjustRightInd w:val="0"/>
        <w:snapToGrid w:val="0"/>
        <w:spacing w:line="360" w:lineRule="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三.推荐成交供应商</w:t>
      </w:r>
      <w:bookmarkEnd w:id="66"/>
      <w:bookmarkEnd w:id="67"/>
    </w:p>
    <w:p w14:paraId="494F7DFA">
      <w:pPr>
        <w:kinsoku w:val="0"/>
        <w:overflowPunct w:val="0"/>
        <w:spacing w:line="360" w:lineRule="auto"/>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磋商小组应当根据综合评分情况，按照评审得分由高到低顺序推荐3名以上成交候选供应商，并编写评审报告。符合《政府采购竞争性磋商采购方式管理暂行办法》（财库[2014]214号）中第二十一条第三款情形的，可以推荐2家成交候选供应商。评审得分相同的，按照最后报价由低到高的顺序推荐。评审得分且最后报价相同的，按照技术指标优劣顺序推荐。</w:t>
      </w:r>
    </w:p>
    <w:p w14:paraId="219EECCA">
      <w:pPr>
        <w:kinsoku w:val="0"/>
        <w:overflowPunct w:val="0"/>
        <w:spacing w:line="360" w:lineRule="auto"/>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2.评分计算方法解释</w:t>
      </w:r>
    </w:p>
    <w:p w14:paraId="5ED15566">
      <w:pPr>
        <w:kinsoku w:val="0"/>
        <w:overflowPunct w:val="0"/>
        <w:spacing w:line="360" w:lineRule="auto"/>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（1）供应商的评审得分是指所有磋商小组成员对其评分的算术平均值。</w:t>
      </w:r>
    </w:p>
    <w:p w14:paraId="1B7837DF">
      <w:pPr>
        <w:kinsoku w:val="0"/>
        <w:overflowPunct w:val="0"/>
        <w:spacing w:line="360" w:lineRule="auto"/>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（2）计算过程中，算术平均值保留2位小数（百分比亦取2位小数），第三位小数四舍五入。</w:t>
      </w:r>
    </w:p>
    <w:p w14:paraId="7755F1F5">
      <w:pPr>
        <w:tabs>
          <w:tab w:val="left" w:pos="420"/>
          <w:tab w:val="left" w:pos="7560"/>
          <w:tab w:val="left" w:pos="7740"/>
          <w:tab w:val="left" w:pos="7920"/>
        </w:tabs>
        <w:adjustRightInd w:val="0"/>
        <w:snapToGrid w:val="0"/>
        <w:spacing w:line="360" w:lineRule="auto"/>
        <w:outlineLvl w:val="1"/>
        <w:rPr>
          <w:rFonts w:hint="eastAsia" w:ascii="宋体" w:hAnsi="宋体" w:eastAsia="宋体" w:cs="宋体"/>
          <w:b/>
          <w:color w:val="auto"/>
          <w:sz w:val="28"/>
          <w:szCs w:val="28"/>
          <w:highlight w:val="none"/>
        </w:rPr>
      </w:pPr>
      <w:bookmarkStart w:id="68" w:name="_Toc13826"/>
      <w:bookmarkStart w:id="69" w:name="_Toc15185"/>
      <w:r>
        <w:rPr>
          <w:rFonts w:hint="eastAsia" w:ascii="宋体" w:hAnsi="宋体" w:eastAsia="宋体" w:cs="宋体"/>
          <w:b/>
          <w:color w:val="auto"/>
          <w:sz w:val="28"/>
          <w:szCs w:val="28"/>
          <w:highlight w:val="none"/>
        </w:rPr>
        <w:t>四.确定成交供应商</w:t>
      </w:r>
      <w:bookmarkEnd w:id="68"/>
      <w:bookmarkEnd w:id="69"/>
    </w:p>
    <w:p w14:paraId="4761F86B">
      <w:pPr>
        <w:kinsoku w:val="0"/>
        <w:overflowPunct w:val="0"/>
        <w:spacing w:line="360" w:lineRule="auto"/>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1.采购代理机构应当在评审结束后2个工作日内将评审报告送采购人确认。</w:t>
      </w:r>
    </w:p>
    <w:p w14:paraId="032DE789">
      <w:pPr>
        <w:kinsoku w:val="0"/>
        <w:overflowPunct w:val="0"/>
        <w:spacing w:line="360" w:lineRule="auto"/>
        <w:jc w:val="left"/>
        <w:outlineLvl w:val="9"/>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bookmarkStart w:id="70" w:name="_Toc9140"/>
      <w:bookmarkStart w:id="71" w:name="_Toc13730"/>
      <w:bookmarkStart w:id="72" w:name="_Toc20330"/>
      <w:bookmarkStart w:id="73" w:name="_Toc529952599"/>
      <w:bookmarkStart w:id="74" w:name="_Toc30232"/>
      <w:bookmarkStart w:id="75" w:name="_Toc7149"/>
      <w:bookmarkStart w:id="76" w:name="_Toc256000023"/>
    </w:p>
    <w:p w14:paraId="3CF7F624">
      <w:pP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br w:type="page"/>
      </w:r>
    </w:p>
    <w:p w14:paraId="27A7DC62">
      <w:pPr>
        <w:pStyle w:val="27"/>
        <w:rPr>
          <w:rFonts w:hint="eastAsia" w:ascii="宋体" w:hAnsi="宋体" w:eastAsia="宋体" w:cs="宋体"/>
          <w:color w:val="auto"/>
          <w:sz w:val="28"/>
          <w:szCs w:val="28"/>
          <w:highlight w:val="none"/>
        </w:rPr>
      </w:pPr>
    </w:p>
    <w:p w14:paraId="6C7F61D8">
      <w:pPr>
        <w:spacing w:line="360" w:lineRule="auto"/>
        <w:jc w:val="center"/>
        <w:outlineLvl w:val="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第四章  政府采购合同格式</w:t>
      </w:r>
      <w:bookmarkEnd w:id="70"/>
      <w:bookmarkEnd w:id="71"/>
      <w:bookmarkEnd w:id="72"/>
      <w:bookmarkEnd w:id="73"/>
      <w:bookmarkEnd w:id="74"/>
      <w:bookmarkEnd w:id="75"/>
      <w:bookmarkEnd w:id="76"/>
    </w:p>
    <w:p w14:paraId="0A129C98">
      <w:pPr>
        <w:rPr>
          <w:rFonts w:hint="eastAsia" w:ascii="宋体" w:hAnsi="宋体" w:eastAsia="宋体" w:cs="宋体"/>
          <w:b/>
          <w:bCs/>
          <w:color w:val="auto"/>
          <w:sz w:val="28"/>
          <w:szCs w:val="28"/>
          <w:highlight w:val="none"/>
          <w:lang w:eastAsia="zh-CN"/>
        </w:rPr>
      </w:pPr>
      <w:bookmarkStart w:id="77" w:name="EB0241872a782746df84ab771927209b83"/>
      <w:bookmarkStart w:id="78" w:name="_Toc256000024"/>
      <w:bookmarkStart w:id="79" w:name="_Toc20420"/>
      <w:bookmarkStart w:id="80" w:name="_Toc28066"/>
      <w:bookmarkStart w:id="81" w:name="_Toc529952600"/>
    </w:p>
    <w:p w14:paraId="00636288">
      <w:pPr>
        <w:spacing w:before="78" w:line="360" w:lineRule="auto"/>
        <w:ind w:left="131" w:right="109" w:firstLine="482"/>
        <w:jc w:val="both"/>
        <w:rPr>
          <w:rFonts w:hint="eastAsia" w:ascii="宋体" w:hAnsi="宋体" w:eastAsia="宋体" w:cs="宋体"/>
          <w:sz w:val="28"/>
          <w:szCs w:val="28"/>
        </w:rPr>
      </w:pPr>
      <w:r>
        <w:rPr>
          <w:rFonts w:hint="eastAsia" w:ascii="宋体" w:hAnsi="宋体" w:cs="宋体"/>
          <w:spacing w:val="-4"/>
          <w:sz w:val="28"/>
          <w:szCs w:val="28"/>
          <w:u w:val="single" w:color="auto"/>
          <w:lang w:eastAsia="zh-CN"/>
        </w:rPr>
        <w:t>新疆维吾尔自治区退役军人事务厅</w:t>
      </w:r>
      <w:r>
        <w:rPr>
          <w:rFonts w:hint="eastAsia" w:ascii="宋体" w:hAnsi="宋体" w:eastAsia="宋体" w:cs="宋体"/>
          <w:spacing w:val="-4"/>
          <w:sz w:val="28"/>
          <w:szCs w:val="28"/>
        </w:rPr>
        <w:t>（以下简称：甲方）通过</w:t>
      </w:r>
      <w:r>
        <w:rPr>
          <w:rFonts w:hint="eastAsia" w:ascii="宋体" w:hAnsi="宋体" w:eastAsia="宋体" w:cs="宋体"/>
          <w:spacing w:val="-4"/>
          <w:sz w:val="28"/>
          <w:szCs w:val="28"/>
          <w:u w:val="single" w:color="auto"/>
          <w:lang w:eastAsia="zh-CN"/>
        </w:rPr>
        <w:t>新疆华域建设工程项目管理咨询有限公司</w:t>
      </w:r>
      <w:r>
        <w:rPr>
          <w:rFonts w:hint="eastAsia" w:ascii="宋体" w:hAnsi="宋体" w:eastAsia="宋体" w:cs="宋体"/>
          <w:spacing w:val="-4"/>
          <w:sz w:val="28"/>
          <w:szCs w:val="28"/>
        </w:rPr>
        <w:t>组织的</w:t>
      </w:r>
      <w:r>
        <w:rPr>
          <w:rFonts w:hint="eastAsia" w:ascii="宋体" w:hAnsi="宋体" w:eastAsia="宋体" w:cs="宋体"/>
          <w:spacing w:val="-4"/>
          <w:sz w:val="28"/>
          <w:szCs w:val="28"/>
          <w:u w:val="single" w:color="auto"/>
          <w:lang w:eastAsia="zh-CN"/>
        </w:rPr>
        <w:t>竞争性磋商</w:t>
      </w:r>
      <w:r>
        <w:rPr>
          <w:rFonts w:hint="eastAsia" w:ascii="宋体" w:hAnsi="宋体" w:eastAsia="宋体" w:cs="宋体"/>
          <w:spacing w:val="-89"/>
          <w:sz w:val="28"/>
          <w:szCs w:val="28"/>
        </w:rPr>
        <w:t xml:space="preserve"> </w:t>
      </w:r>
      <w:r>
        <w:rPr>
          <w:rFonts w:hint="eastAsia" w:ascii="宋体" w:hAnsi="宋体" w:eastAsia="宋体" w:cs="宋体"/>
          <w:spacing w:val="-4"/>
          <w:sz w:val="28"/>
          <w:szCs w:val="28"/>
        </w:rPr>
        <w:t>方式采购活</w:t>
      </w:r>
      <w:r>
        <w:rPr>
          <w:rFonts w:hint="eastAsia" w:ascii="宋体" w:hAnsi="宋体" w:eastAsia="宋体" w:cs="宋体"/>
          <w:sz w:val="28"/>
          <w:szCs w:val="28"/>
        </w:rPr>
        <w:t>动，</w:t>
      </w:r>
      <w:r>
        <w:rPr>
          <w:rFonts w:hint="eastAsia" w:ascii="宋体" w:hAnsi="宋体" w:eastAsia="宋体" w:cs="宋体"/>
          <w:sz w:val="28"/>
          <w:szCs w:val="28"/>
          <w:u w:val="single" w:color="auto"/>
        </w:rPr>
        <w:t>经磋商小组评审</w:t>
      </w:r>
      <w:r>
        <w:rPr>
          <w:rFonts w:hint="eastAsia" w:ascii="宋体" w:hAnsi="宋体" w:eastAsia="宋体" w:cs="宋体"/>
          <w:spacing w:val="-29"/>
          <w:sz w:val="28"/>
          <w:szCs w:val="28"/>
        </w:rPr>
        <w:t>，</w:t>
      </w:r>
      <w:r>
        <w:rPr>
          <w:rFonts w:hint="eastAsia" w:ascii="宋体" w:hAnsi="宋体" w:eastAsia="宋体" w:cs="宋体"/>
          <w:spacing w:val="-29"/>
          <w:sz w:val="28"/>
          <w:szCs w:val="28"/>
          <w:u w:val="single" w:color="auto"/>
        </w:rPr>
        <w:t>（</w:t>
      </w:r>
      <w:r>
        <w:rPr>
          <w:rFonts w:hint="eastAsia" w:ascii="宋体" w:hAnsi="宋体" w:eastAsia="宋体" w:cs="宋体"/>
          <w:sz w:val="28"/>
          <w:szCs w:val="28"/>
          <w:u w:val="single" w:color="auto"/>
        </w:rPr>
        <w:t>成交供应商名称</w:t>
      </w:r>
      <w:r>
        <w:rPr>
          <w:rFonts w:hint="eastAsia" w:ascii="宋体" w:hAnsi="宋体" w:eastAsia="宋体" w:cs="宋体"/>
          <w:spacing w:val="-29"/>
          <w:sz w:val="28"/>
          <w:szCs w:val="28"/>
          <w:u w:val="single" w:color="auto"/>
        </w:rPr>
        <w:t>）</w:t>
      </w:r>
      <w:r>
        <w:rPr>
          <w:rFonts w:hint="eastAsia" w:ascii="宋体" w:hAnsi="宋体" w:eastAsia="宋体" w:cs="宋体"/>
          <w:spacing w:val="-29"/>
          <w:sz w:val="28"/>
          <w:szCs w:val="28"/>
        </w:rPr>
        <w:t>（</w:t>
      </w:r>
      <w:r>
        <w:rPr>
          <w:rFonts w:hint="eastAsia" w:ascii="宋体" w:hAnsi="宋体" w:eastAsia="宋体" w:cs="宋体"/>
          <w:sz w:val="28"/>
          <w:szCs w:val="28"/>
        </w:rPr>
        <w:t>以下简称：乙方）为</w:t>
      </w:r>
      <w:r>
        <w:rPr>
          <w:rFonts w:hint="eastAsia" w:ascii="宋体" w:hAnsi="宋体" w:cs="宋体"/>
          <w:sz w:val="28"/>
          <w:szCs w:val="28"/>
          <w:u w:val="single"/>
          <w:lang w:eastAsia="zh-CN"/>
        </w:rPr>
        <w:t>新疆维吾尔自治区退役军人事务厅新闻媒体合作项目</w:t>
      </w:r>
      <w:r>
        <w:rPr>
          <w:rFonts w:hint="eastAsia" w:ascii="宋体" w:hAnsi="宋体" w:eastAsia="宋体" w:cs="宋体"/>
          <w:sz w:val="28"/>
          <w:szCs w:val="28"/>
        </w:rPr>
        <w:t>成交供</w:t>
      </w:r>
      <w:r>
        <w:rPr>
          <w:rFonts w:hint="eastAsia" w:ascii="宋体" w:hAnsi="宋体" w:eastAsia="宋体" w:cs="宋体"/>
          <w:spacing w:val="-1"/>
          <w:sz w:val="28"/>
          <w:szCs w:val="28"/>
        </w:rPr>
        <w:t>应商，现按照采购文件确定的事项签订本合同。</w:t>
      </w:r>
    </w:p>
    <w:p w14:paraId="2525BC55">
      <w:pPr>
        <w:spacing w:before="178" w:line="360" w:lineRule="auto"/>
        <w:ind w:left="132" w:right="32" w:firstLine="477"/>
        <w:jc w:val="both"/>
        <w:rPr>
          <w:rFonts w:hint="eastAsia" w:ascii="宋体" w:hAnsi="宋体" w:eastAsia="宋体" w:cs="宋体"/>
          <w:sz w:val="28"/>
          <w:szCs w:val="28"/>
        </w:rPr>
      </w:pPr>
      <w:r>
        <w:rPr>
          <w:rFonts w:hint="eastAsia" w:ascii="宋体" w:hAnsi="宋体" w:eastAsia="宋体" w:cs="宋体"/>
          <w:spacing w:val="-3"/>
          <w:sz w:val="28"/>
          <w:szCs w:val="28"/>
        </w:rPr>
        <w:t>根据《中华人民共和国民法典》《中华人民共</w:t>
      </w:r>
      <w:r>
        <w:rPr>
          <w:rFonts w:hint="eastAsia" w:ascii="宋体" w:hAnsi="宋体" w:eastAsia="宋体" w:cs="宋体"/>
          <w:spacing w:val="-4"/>
          <w:sz w:val="28"/>
          <w:szCs w:val="28"/>
        </w:rPr>
        <w:t>和国政府采购法》等相关法律</w:t>
      </w:r>
      <w:r>
        <w:rPr>
          <w:rFonts w:hint="eastAsia" w:ascii="宋体" w:hAnsi="宋体" w:eastAsia="宋体" w:cs="宋体"/>
          <w:spacing w:val="-8"/>
          <w:sz w:val="28"/>
          <w:szCs w:val="28"/>
        </w:rPr>
        <w:t>法规之规定，及本项目磋商文件及附属材料、供应商提交的响应文件及附属材料、</w:t>
      </w:r>
      <w:r>
        <w:rPr>
          <w:rFonts w:hint="eastAsia" w:ascii="宋体" w:hAnsi="宋体" w:eastAsia="宋体" w:cs="宋体"/>
          <w:spacing w:val="-3"/>
          <w:sz w:val="28"/>
          <w:szCs w:val="28"/>
        </w:rPr>
        <w:t>成交通知书等相关资料的要求，经甲方和乙方协商一致，</w:t>
      </w:r>
      <w:r>
        <w:rPr>
          <w:rFonts w:hint="eastAsia" w:ascii="宋体" w:hAnsi="宋体" w:eastAsia="宋体" w:cs="宋体"/>
          <w:spacing w:val="-4"/>
          <w:sz w:val="28"/>
          <w:szCs w:val="28"/>
        </w:rPr>
        <w:t>特订立合同，以便共同</w:t>
      </w:r>
      <w:r>
        <w:rPr>
          <w:rFonts w:hint="eastAsia" w:ascii="宋体" w:hAnsi="宋体" w:eastAsia="宋体" w:cs="宋体"/>
          <w:spacing w:val="-5"/>
          <w:sz w:val="28"/>
          <w:szCs w:val="28"/>
        </w:rPr>
        <w:t>遵守。</w:t>
      </w:r>
    </w:p>
    <w:p w14:paraId="37AEE746">
      <w:pPr>
        <w:spacing w:before="178" w:line="222" w:lineRule="auto"/>
        <w:ind w:left="618"/>
        <w:rPr>
          <w:rFonts w:hint="eastAsia" w:ascii="宋体" w:hAnsi="宋体" w:eastAsia="宋体" w:cs="宋体"/>
          <w:sz w:val="28"/>
          <w:szCs w:val="28"/>
        </w:rPr>
      </w:pPr>
      <w:r>
        <w:rPr>
          <w:rFonts w:hint="eastAsia" w:ascii="宋体" w:hAnsi="宋体" w:eastAsia="宋体" w:cs="宋体"/>
          <w:spacing w:val="-5"/>
          <w:sz w:val="28"/>
          <w:szCs w:val="28"/>
          <w14:textOutline w14:w="4358" w14:cap="sq" w14:cmpd="sng">
            <w14:solidFill>
              <w14:srgbClr w14:val="000000"/>
            </w14:solidFill>
            <w14:prstDash w14:val="solid"/>
            <w14:bevel/>
          </w14:textOutline>
        </w:rPr>
        <w:t>1.1</w:t>
      </w:r>
      <w:r>
        <w:rPr>
          <w:rFonts w:hint="eastAsia" w:ascii="宋体" w:hAnsi="宋体" w:eastAsia="宋体" w:cs="宋体"/>
          <w:spacing w:val="25"/>
          <w:sz w:val="28"/>
          <w:szCs w:val="28"/>
        </w:rPr>
        <w:t xml:space="preserve"> </w:t>
      </w:r>
      <w:r>
        <w:rPr>
          <w:rFonts w:hint="eastAsia" w:ascii="宋体" w:hAnsi="宋体" w:eastAsia="宋体" w:cs="宋体"/>
          <w:spacing w:val="-5"/>
          <w:sz w:val="28"/>
          <w:szCs w:val="28"/>
          <w14:textOutline w14:w="4358" w14:cap="sq" w14:cmpd="sng">
            <w14:solidFill>
              <w14:srgbClr w14:val="000000"/>
            </w14:solidFill>
            <w14:prstDash w14:val="solid"/>
            <w14:bevel/>
          </w14:textOutline>
        </w:rPr>
        <w:t>合同组成部分</w:t>
      </w:r>
    </w:p>
    <w:p w14:paraId="391E3D12">
      <w:pPr>
        <w:spacing w:before="179" w:line="360" w:lineRule="auto"/>
        <w:ind w:left="130" w:right="52" w:firstLine="482"/>
        <w:jc w:val="both"/>
        <w:rPr>
          <w:rFonts w:hint="eastAsia" w:ascii="宋体" w:hAnsi="宋体" w:eastAsia="宋体" w:cs="宋体"/>
          <w:sz w:val="28"/>
          <w:szCs w:val="28"/>
        </w:rPr>
      </w:pPr>
      <w:r>
        <w:rPr>
          <w:rFonts w:hint="eastAsia" w:ascii="宋体" w:hAnsi="宋体" w:eastAsia="宋体" w:cs="宋体"/>
          <w:spacing w:val="-2"/>
          <w:sz w:val="28"/>
          <w:szCs w:val="28"/>
        </w:rPr>
        <w:t>下列文件为本合同的组成部分，并构成一个整体，需综合解释、相互补充。</w:t>
      </w:r>
      <w:r>
        <w:rPr>
          <w:rFonts w:hint="eastAsia" w:ascii="宋体" w:hAnsi="宋体" w:eastAsia="宋体" w:cs="宋体"/>
          <w:spacing w:val="7"/>
          <w:sz w:val="28"/>
          <w:szCs w:val="28"/>
        </w:rPr>
        <w:t xml:space="preserve"> </w:t>
      </w:r>
      <w:r>
        <w:rPr>
          <w:rFonts w:hint="eastAsia" w:ascii="宋体" w:hAnsi="宋体" w:eastAsia="宋体" w:cs="宋体"/>
          <w:spacing w:val="-3"/>
          <w:sz w:val="28"/>
          <w:szCs w:val="28"/>
        </w:rPr>
        <w:t>如果下列文件内容出现不一致的情形，那么在保证按照采购文</w:t>
      </w:r>
      <w:r>
        <w:rPr>
          <w:rFonts w:hint="eastAsia" w:ascii="宋体" w:hAnsi="宋体" w:eastAsia="宋体" w:cs="宋体"/>
          <w:spacing w:val="-4"/>
          <w:sz w:val="28"/>
          <w:szCs w:val="28"/>
        </w:rPr>
        <w:t>件确定的事项前提</w:t>
      </w:r>
      <w:r>
        <w:rPr>
          <w:rFonts w:hint="eastAsia" w:ascii="宋体" w:hAnsi="宋体" w:eastAsia="宋体" w:cs="宋体"/>
          <w:spacing w:val="-1"/>
          <w:sz w:val="28"/>
          <w:szCs w:val="28"/>
        </w:rPr>
        <w:t>下，组成本合同的多个文件的优先适用顺序如下：</w:t>
      </w:r>
    </w:p>
    <w:p w14:paraId="0CCE8021">
      <w:pPr>
        <w:spacing w:before="178" w:line="222" w:lineRule="auto"/>
        <w:ind w:left="618"/>
        <w:rPr>
          <w:rFonts w:hint="eastAsia" w:ascii="宋体" w:hAnsi="宋体" w:eastAsia="宋体" w:cs="宋体"/>
          <w:sz w:val="28"/>
          <w:szCs w:val="28"/>
        </w:rPr>
      </w:pPr>
      <w:r>
        <w:rPr>
          <w:rFonts w:hint="eastAsia" w:ascii="宋体" w:hAnsi="宋体" w:eastAsia="宋体" w:cs="宋体"/>
          <w:spacing w:val="-2"/>
          <w:sz w:val="28"/>
          <w:szCs w:val="28"/>
        </w:rPr>
        <w:t>1.1.1 本合同及其补充合同、变更协议；</w:t>
      </w:r>
    </w:p>
    <w:p w14:paraId="62135A60">
      <w:pPr>
        <w:spacing w:before="181" w:line="222" w:lineRule="auto"/>
        <w:ind w:left="618"/>
        <w:rPr>
          <w:rFonts w:hint="eastAsia" w:ascii="宋体" w:hAnsi="宋体" w:eastAsia="宋体" w:cs="宋体"/>
          <w:sz w:val="28"/>
          <w:szCs w:val="28"/>
        </w:rPr>
      </w:pPr>
      <w:r>
        <w:rPr>
          <w:rFonts w:hint="eastAsia" w:ascii="宋体" w:hAnsi="宋体" w:eastAsia="宋体" w:cs="宋体"/>
          <w:spacing w:val="-5"/>
          <w:sz w:val="28"/>
          <w:szCs w:val="28"/>
        </w:rPr>
        <w:t>1.1.2</w:t>
      </w:r>
      <w:r>
        <w:rPr>
          <w:rFonts w:hint="eastAsia" w:ascii="宋体" w:hAnsi="宋体" w:eastAsia="宋体" w:cs="宋体"/>
          <w:spacing w:val="27"/>
          <w:sz w:val="28"/>
          <w:szCs w:val="28"/>
        </w:rPr>
        <w:t xml:space="preserve"> </w:t>
      </w:r>
      <w:r>
        <w:rPr>
          <w:rFonts w:hint="eastAsia" w:ascii="宋体" w:hAnsi="宋体" w:eastAsia="宋体" w:cs="宋体"/>
          <w:spacing w:val="-5"/>
          <w:sz w:val="28"/>
          <w:szCs w:val="28"/>
        </w:rPr>
        <w:t>成交通知书；</w:t>
      </w:r>
    </w:p>
    <w:p w14:paraId="232AEEEE">
      <w:pPr>
        <w:spacing w:before="179" w:line="222" w:lineRule="auto"/>
        <w:ind w:left="618"/>
        <w:rPr>
          <w:rFonts w:hint="eastAsia" w:ascii="宋体" w:hAnsi="宋体" w:eastAsia="宋体" w:cs="宋体"/>
          <w:sz w:val="28"/>
          <w:szCs w:val="28"/>
        </w:rPr>
      </w:pPr>
      <w:r>
        <w:rPr>
          <w:rFonts w:hint="eastAsia" w:ascii="宋体" w:hAnsi="宋体" w:eastAsia="宋体" w:cs="宋体"/>
          <w:spacing w:val="-2"/>
          <w:sz w:val="28"/>
          <w:szCs w:val="28"/>
        </w:rPr>
        <w:t>1.1.3 响应文件（含澄清或者说明文件</w:t>
      </w:r>
      <w:r>
        <w:rPr>
          <w:rFonts w:hint="eastAsia" w:ascii="宋体" w:hAnsi="宋体" w:eastAsia="宋体" w:cs="宋体"/>
          <w:spacing w:val="6"/>
          <w:sz w:val="28"/>
          <w:szCs w:val="28"/>
        </w:rPr>
        <w:t>）；</w:t>
      </w:r>
    </w:p>
    <w:p w14:paraId="579671D9">
      <w:pPr>
        <w:spacing w:before="179" w:line="222" w:lineRule="auto"/>
        <w:ind w:left="618"/>
        <w:rPr>
          <w:rFonts w:hint="eastAsia" w:ascii="宋体" w:hAnsi="宋体" w:eastAsia="宋体" w:cs="宋体"/>
          <w:sz w:val="28"/>
          <w:szCs w:val="28"/>
        </w:rPr>
      </w:pPr>
      <w:r>
        <w:rPr>
          <w:rFonts w:hint="eastAsia" w:ascii="宋体" w:hAnsi="宋体" w:eastAsia="宋体" w:cs="宋体"/>
          <w:spacing w:val="-2"/>
          <w:sz w:val="28"/>
          <w:szCs w:val="28"/>
        </w:rPr>
        <w:t>1.1.4 磋商文件（含澄清或者修改文件</w:t>
      </w:r>
      <w:r>
        <w:rPr>
          <w:rFonts w:hint="eastAsia" w:ascii="宋体" w:hAnsi="宋体" w:eastAsia="宋体" w:cs="宋体"/>
          <w:spacing w:val="6"/>
          <w:sz w:val="28"/>
          <w:szCs w:val="28"/>
        </w:rPr>
        <w:t>）；</w:t>
      </w:r>
    </w:p>
    <w:p w14:paraId="27F75EC5">
      <w:pPr>
        <w:spacing w:before="179" w:line="222" w:lineRule="auto"/>
        <w:ind w:left="618"/>
        <w:rPr>
          <w:rFonts w:hint="eastAsia" w:ascii="宋体" w:hAnsi="宋体" w:eastAsia="宋体" w:cs="宋体"/>
          <w:sz w:val="28"/>
          <w:szCs w:val="28"/>
        </w:rPr>
      </w:pPr>
      <w:r>
        <w:rPr>
          <w:rFonts w:hint="eastAsia" w:ascii="宋体" w:hAnsi="宋体" w:eastAsia="宋体" w:cs="宋体"/>
          <w:spacing w:val="-2"/>
          <w:sz w:val="28"/>
          <w:szCs w:val="28"/>
        </w:rPr>
        <w:t>1.1.5 其他相关采购文件。</w:t>
      </w:r>
    </w:p>
    <w:p w14:paraId="59C706DC">
      <w:pPr>
        <w:spacing w:before="180" w:line="222" w:lineRule="auto"/>
        <w:ind w:left="618"/>
        <w:rPr>
          <w:rFonts w:hint="eastAsia" w:ascii="宋体" w:hAnsi="宋体" w:eastAsia="宋体" w:cs="宋体"/>
          <w:sz w:val="28"/>
          <w:szCs w:val="28"/>
        </w:rPr>
      </w:pPr>
      <w:r>
        <w:rPr>
          <w:rFonts w:hint="eastAsia" w:ascii="宋体" w:hAnsi="宋体" w:eastAsia="宋体" w:cs="宋体"/>
          <w:spacing w:val="-8"/>
          <w:sz w:val="28"/>
          <w:szCs w:val="28"/>
          <w14:textOutline w14:w="4358" w14:cap="sq" w14:cmpd="sng">
            <w14:solidFill>
              <w14:srgbClr w14:val="000000"/>
            </w14:solidFill>
            <w14:prstDash w14:val="solid"/>
            <w14:bevel/>
          </w14:textOutline>
        </w:rPr>
        <w:t>1.2</w:t>
      </w:r>
      <w:r>
        <w:rPr>
          <w:rFonts w:hint="eastAsia" w:ascii="宋体" w:hAnsi="宋体" w:eastAsia="宋体" w:cs="宋体"/>
          <w:spacing w:val="15"/>
          <w:sz w:val="28"/>
          <w:szCs w:val="28"/>
        </w:rPr>
        <w:t xml:space="preserve"> </w:t>
      </w:r>
      <w:r>
        <w:rPr>
          <w:rFonts w:hint="eastAsia" w:ascii="宋体" w:hAnsi="宋体" w:eastAsia="宋体" w:cs="宋体"/>
          <w:spacing w:val="-8"/>
          <w:sz w:val="28"/>
          <w:szCs w:val="28"/>
          <w14:textOutline w14:w="4358" w14:cap="sq" w14:cmpd="sng">
            <w14:solidFill>
              <w14:srgbClr w14:val="000000"/>
            </w14:solidFill>
            <w14:prstDash w14:val="solid"/>
            <w14:bevel/>
          </w14:textOutline>
        </w:rPr>
        <w:t>服务</w:t>
      </w:r>
    </w:p>
    <w:p w14:paraId="06DC2CF6">
      <w:pPr>
        <w:spacing w:before="179" w:line="221" w:lineRule="auto"/>
        <w:ind w:left="618"/>
        <w:rPr>
          <w:rFonts w:hint="eastAsia" w:ascii="宋体" w:hAnsi="宋体" w:eastAsia="宋体" w:cs="宋体"/>
          <w:sz w:val="28"/>
          <w:szCs w:val="28"/>
        </w:rPr>
      </w:pPr>
      <w:r>
        <w:rPr>
          <w:rFonts w:hint="eastAsia" w:ascii="宋体" w:hAnsi="宋体" w:eastAsia="宋体" w:cs="宋体"/>
          <w:spacing w:val="-5"/>
          <w:sz w:val="28"/>
          <w:szCs w:val="28"/>
        </w:rPr>
        <w:t>1.2.1</w:t>
      </w:r>
      <w:r>
        <w:rPr>
          <w:rFonts w:hint="eastAsia" w:ascii="宋体" w:hAnsi="宋体" w:eastAsia="宋体" w:cs="宋体"/>
          <w:spacing w:val="15"/>
          <w:sz w:val="28"/>
          <w:szCs w:val="28"/>
        </w:rPr>
        <w:t xml:space="preserve"> </w:t>
      </w:r>
      <w:r>
        <w:rPr>
          <w:rFonts w:hint="eastAsia" w:ascii="宋体" w:hAnsi="宋体" w:eastAsia="宋体" w:cs="宋体"/>
          <w:spacing w:val="-5"/>
          <w:sz w:val="28"/>
          <w:szCs w:val="28"/>
        </w:rPr>
        <w:t>服务名称</w:t>
      </w:r>
      <w:r>
        <w:rPr>
          <w:rFonts w:hint="eastAsia" w:ascii="宋体" w:hAnsi="宋体" w:eastAsia="宋体" w:cs="宋体"/>
          <w:spacing w:val="1"/>
          <w:sz w:val="28"/>
          <w:szCs w:val="28"/>
        </w:rPr>
        <w:t>：</w:t>
      </w:r>
      <w:r>
        <w:rPr>
          <w:rFonts w:hint="eastAsia" w:ascii="宋体" w:hAnsi="宋体" w:eastAsia="宋体" w:cs="宋体"/>
          <w:sz w:val="28"/>
          <w:szCs w:val="28"/>
          <w:u w:val="single" w:color="auto"/>
        </w:rPr>
        <w:t xml:space="preserve">                         </w:t>
      </w:r>
      <w:r>
        <w:rPr>
          <w:rFonts w:hint="eastAsia" w:ascii="宋体" w:hAnsi="宋体" w:eastAsia="宋体" w:cs="宋体"/>
          <w:spacing w:val="1"/>
          <w:sz w:val="28"/>
          <w:szCs w:val="28"/>
        </w:rPr>
        <w:t>；</w:t>
      </w:r>
    </w:p>
    <w:p w14:paraId="71868A0A">
      <w:pPr>
        <w:spacing w:before="181" w:line="222" w:lineRule="auto"/>
        <w:ind w:left="618"/>
        <w:rPr>
          <w:rFonts w:hint="eastAsia" w:ascii="宋体" w:hAnsi="宋体" w:eastAsia="宋体" w:cs="宋体"/>
          <w:sz w:val="28"/>
          <w:szCs w:val="28"/>
        </w:rPr>
      </w:pPr>
      <w:r>
        <w:rPr>
          <w:rFonts w:hint="eastAsia" w:ascii="宋体" w:hAnsi="宋体" w:eastAsia="宋体" w:cs="宋体"/>
          <w:spacing w:val="-5"/>
          <w:sz w:val="28"/>
          <w:szCs w:val="28"/>
        </w:rPr>
        <w:t>1.2.2</w:t>
      </w:r>
      <w:r>
        <w:rPr>
          <w:rFonts w:hint="eastAsia" w:ascii="宋体" w:hAnsi="宋体" w:eastAsia="宋体" w:cs="宋体"/>
          <w:spacing w:val="15"/>
          <w:sz w:val="28"/>
          <w:szCs w:val="28"/>
        </w:rPr>
        <w:t xml:space="preserve"> </w:t>
      </w:r>
      <w:r>
        <w:rPr>
          <w:rFonts w:hint="eastAsia" w:ascii="宋体" w:hAnsi="宋体" w:eastAsia="宋体" w:cs="宋体"/>
          <w:spacing w:val="-5"/>
          <w:sz w:val="28"/>
          <w:szCs w:val="28"/>
        </w:rPr>
        <w:t>服务内容</w:t>
      </w:r>
      <w:r>
        <w:rPr>
          <w:rFonts w:hint="eastAsia" w:ascii="宋体" w:hAnsi="宋体" w:eastAsia="宋体" w:cs="宋体"/>
          <w:spacing w:val="1"/>
          <w:sz w:val="28"/>
          <w:szCs w:val="28"/>
        </w:rPr>
        <w:t>：</w:t>
      </w:r>
      <w:r>
        <w:rPr>
          <w:rFonts w:hint="eastAsia" w:ascii="宋体" w:hAnsi="宋体" w:eastAsia="宋体" w:cs="宋体"/>
          <w:sz w:val="28"/>
          <w:szCs w:val="28"/>
          <w:u w:val="single" w:color="auto"/>
        </w:rPr>
        <w:t xml:space="preserve">                         </w:t>
      </w:r>
      <w:r>
        <w:rPr>
          <w:rFonts w:hint="eastAsia" w:ascii="宋体" w:hAnsi="宋体" w:eastAsia="宋体" w:cs="宋体"/>
          <w:spacing w:val="1"/>
          <w:sz w:val="28"/>
          <w:szCs w:val="28"/>
        </w:rPr>
        <w:t>；</w:t>
      </w:r>
    </w:p>
    <w:p w14:paraId="3C82154E">
      <w:pPr>
        <w:spacing w:before="180" w:line="222" w:lineRule="auto"/>
        <w:ind w:left="618"/>
        <w:rPr>
          <w:rFonts w:hint="eastAsia" w:ascii="宋体" w:hAnsi="宋体" w:eastAsia="宋体" w:cs="宋体"/>
          <w:sz w:val="28"/>
          <w:szCs w:val="28"/>
        </w:rPr>
      </w:pPr>
      <w:r>
        <w:rPr>
          <w:rFonts w:hint="eastAsia" w:ascii="宋体" w:hAnsi="宋体" w:eastAsia="宋体" w:cs="宋体"/>
          <w:spacing w:val="-3"/>
          <w:sz w:val="28"/>
          <w:szCs w:val="28"/>
        </w:rPr>
        <w:t>1.2.3 服务质量：</w:t>
      </w:r>
      <w:r>
        <w:rPr>
          <w:rFonts w:hint="eastAsia" w:ascii="宋体" w:hAnsi="宋体" w:eastAsia="宋体" w:cs="宋体"/>
          <w:sz w:val="28"/>
          <w:szCs w:val="28"/>
          <w:u w:val="single" w:color="auto"/>
        </w:rPr>
        <w:t xml:space="preserve">                         </w:t>
      </w:r>
      <w:r>
        <w:rPr>
          <w:rFonts w:hint="eastAsia" w:ascii="宋体" w:hAnsi="宋体" w:eastAsia="宋体" w:cs="宋体"/>
          <w:spacing w:val="-3"/>
          <w:sz w:val="28"/>
          <w:szCs w:val="28"/>
        </w:rPr>
        <w:t>。</w:t>
      </w:r>
    </w:p>
    <w:p w14:paraId="0F186E62">
      <w:pPr>
        <w:spacing w:before="179" w:line="222" w:lineRule="auto"/>
        <w:ind w:left="618"/>
        <w:rPr>
          <w:rFonts w:hint="eastAsia" w:ascii="宋体" w:hAnsi="宋体" w:eastAsia="宋体" w:cs="宋体"/>
          <w:sz w:val="28"/>
          <w:szCs w:val="28"/>
        </w:rPr>
      </w:pPr>
      <w:r>
        <w:rPr>
          <w:rFonts w:hint="eastAsia" w:ascii="宋体" w:hAnsi="宋体" w:eastAsia="宋体" w:cs="宋体"/>
          <w:spacing w:val="-9"/>
          <w:sz w:val="28"/>
          <w:szCs w:val="28"/>
          <w14:textOutline w14:w="4358" w14:cap="sq" w14:cmpd="sng">
            <w14:solidFill>
              <w14:srgbClr w14:val="000000"/>
            </w14:solidFill>
            <w14:prstDash w14:val="solid"/>
            <w14:bevel/>
          </w14:textOutline>
        </w:rPr>
        <w:t>1.3</w:t>
      </w:r>
      <w:r>
        <w:rPr>
          <w:rFonts w:hint="eastAsia" w:ascii="宋体" w:hAnsi="宋体" w:eastAsia="宋体" w:cs="宋体"/>
          <w:spacing w:val="20"/>
          <w:sz w:val="28"/>
          <w:szCs w:val="28"/>
        </w:rPr>
        <w:t xml:space="preserve"> </w:t>
      </w:r>
      <w:r>
        <w:rPr>
          <w:rFonts w:hint="eastAsia" w:ascii="宋体" w:hAnsi="宋体" w:eastAsia="宋体" w:cs="宋体"/>
          <w:spacing w:val="-9"/>
          <w:sz w:val="28"/>
          <w:szCs w:val="28"/>
          <w14:textOutline w14:w="4358" w14:cap="sq" w14:cmpd="sng">
            <w14:solidFill>
              <w14:srgbClr w14:val="000000"/>
            </w14:solidFill>
            <w14:prstDash w14:val="solid"/>
            <w14:bevel/>
          </w14:textOutline>
        </w:rPr>
        <w:t>价款</w:t>
      </w:r>
    </w:p>
    <w:p w14:paraId="4E829750">
      <w:pPr>
        <w:pStyle w:val="12"/>
        <w:spacing w:before="179" w:line="360" w:lineRule="auto"/>
        <w:ind w:left="609"/>
        <w:rPr>
          <w:rFonts w:hint="eastAsia" w:ascii="宋体" w:hAnsi="宋体" w:eastAsia="宋体" w:cs="宋体"/>
          <w:sz w:val="28"/>
          <w:szCs w:val="28"/>
        </w:rPr>
      </w:pPr>
      <w:r>
        <w:rPr>
          <w:rFonts w:hint="eastAsia" w:ascii="宋体" w:hAnsi="宋体" w:eastAsia="宋体" w:cs="宋体"/>
          <w:spacing w:val="1"/>
          <w:sz w:val="28"/>
          <w:szCs w:val="28"/>
        </w:rPr>
        <w:t>本合同总价为：</w:t>
      </w:r>
      <w:r>
        <w:rPr>
          <w:rFonts w:hint="eastAsia" w:ascii="宋体" w:hAnsi="宋体" w:eastAsia="宋体" w:cs="宋体"/>
          <w:spacing w:val="1"/>
          <w:sz w:val="28"/>
          <w:szCs w:val="28"/>
          <w:u w:val="single" w:color="auto"/>
        </w:rPr>
        <w:t>*        含税</w:t>
      </w:r>
      <w:r>
        <w:rPr>
          <w:rFonts w:hint="eastAsia" w:ascii="宋体" w:hAnsi="宋体" w:eastAsia="宋体" w:cs="宋体"/>
          <w:spacing w:val="1"/>
          <w:sz w:val="28"/>
          <w:szCs w:val="28"/>
        </w:rPr>
        <w:t>（大写</w:t>
      </w:r>
      <w:r>
        <w:rPr>
          <w:rFonts w:hint="eastAsia" w:ascii="宋体" w:hAnsi="宋体" w:eastAsia="宋体" w:cs="宋体"/>
          <w:sz w:val="28"/>
          <w:szCs w:val="28"/>
        </w:rPr>
        <w:t>：人民币</w:t>
      </w:r>
      <w:r>
        <w:rPr>
          <w:rFonts w:hint="eastAsia" w:ascii="宋体" w:hAnsi="宋体" w:eastAsia="宋体" w:cs="宋体"/>
          <w:spacing w:val="2"/>
          <w:sz w:val="28"/>
          <w:szCs w:val="28"/>
          <w:u w:val="single" w:color="auto"/>
        </w:rPr>
        <w:t xml:space="preserve">          </w:t>
      </w:r>
      <w:r>
        <w:rPr>
          <w:rFonts w:hint="eastAsia" w:ascii="宋体" w:hAnsi="宋体" w:eastAsia="宋体" w:cs="宋体"/>
          <w:sz w:val="28"/>
          <w:szCs w:val="28"/>
          <w:u w:val="single" w:color="auto"/>
        </w:rPr>
        <w:t>元</w:t>
      </w:r>
      <w:r>
        <w:rPr>
          <w:rFonts w:hint="eastAsia" w:ascii="宋体" w:hAnsi="宋体" w:eastAsia="宋体" w:cs="宋体"/>
          <w:sz w:val="28"/>
          <w:szCs w:val="28"/>
        </w:rPr>
        <w:t>）。</w:t>
      </w:r>
    </w:p>
    <w:p w14:paraId="76A36FEF">
      <w:pPr>
        <w:spacing w:before="1" w:line="222" w:lineRule="auto"/>
        <w:ind w:left="611"/>
        <w:rPr>
          <w:rFonts w:hint="eastAsia" w:ascii="宋体" w:hAnsi="宋体" w:eastAsia="宋体" w:cs="宋体"/>
          <w:sz w:val="28"/>
          <w:szCs w:val="28"/>
        </w:rPr>
      </w:pPr>
      <w:r>
        <w:rPr>
          <w:rFonts w:hint="eastAsia" w:ascii="宋体" w:hAnsi="宋体" w:eastAsia="宋体" w:cs="宋体"/>
          <w:spacing w:val="-4"/>
          <w:sz w:val="28"/>
          <w:szCs w:val="28"/>
        </w:rPr>
        <w:t>分项价格：</w:t>
      </w:r>
    </w:p>
    <w:p w14:paraId="688E27C9">
      <w:pPr>
        <w:spacing w:before="24"/>
        <w:rPr>
          <w:rFonts w:hint="eastAsia" w:ascii="宋体" w:hAnsi="宋体" w:eastAsia="宋体" w:cs="宋体"/>
          <w:sz w:val="28"/>
          <w:szCs w:val="28"/>
        </w:rPr>
      </w:pPr>
    </w:p>
    <w:tbl>
      <w:tblPr>
        <w:tblStyle w:val="96"/>
        <w:tblW w:w="8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7"/>
        <w:gridCol w:w="3285"/>
        <w:gridCol w:w="3291"/>
      </w:tblGrid>
      <w:tr w14:paraId="412DE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947" w:type="dxa"/>
            <w:vAlign w:val="top"/>
          </w:tcPr>
          <w:p w14:paraId="07969BD9">
            <w:pPr>
              <w:pStyle w:val="95"/>
              <w:spacing w:before="120" w:line="222" w:lineRule="auto"/>
              <w:ind w:left="747"/>
              <w:rPr>
                <w:rFonts w:hint="eastAsia" w:ascii="宋体" w:hAnsi="宋体" w:eastAsia="宋体" w:cs="宋体"/>
                <w:sz w:val="28"/>
                <w:szCs w:val="28"/>
              </w:rPr>
            </w:pPr>
            <w:r>
              <w:rPr>
                <w:rFonts w:hint="eastAsia" w:ascii="宋体" w:hAnsi="宋体" w:eastAsia="宋体" w:cs="宋体"/>
                <w:spacing w:val="-8"/>
                <w:sz w:val="28"/>
                <w:szCs w:val="28"/>
              </w:rPr>
              <w:t>序号</w:t>
            </w:r>
          </w:p>
        </w:tc>
        <w:tc>
          <w:tcPr>
            <w:tcW w:w="3285" w:type="dxa"/>
            <w:vAlign w:val="top"/>
          </w:tcPr>
          <w:p w14:paraId="508AD466">
            <w:pPr>
              <w:pStyle w:val="95"/>
              <w:spacing w:before="119" w:line="221" w:lineRule="auto"/>
              <w:ind w:left="1179"/>
              <w:rPr>
                <w:rFonts w:hint="eastAsia" w:ascii="宋体" w:hAnsi="宋体" w:eastAsia="宋体" w:cs="宋体"/>
                <w:sz w:val="28"/>
                <w:szCs w:val="28"/>
              </w:rPr>
            </w:pPr>
            <w:r>
              <w:rPr>
                <w:rFonts w:hint="eastAsia" w:ascii="宋体" w:hAnsi="宋体" w:eastAsia="宋体" w:cs="宋体"/>
                <w:spacing w:val="-5"/>
                <w:sz w:val="28"/>
                <w:szCs w:val="28"/>
              </w:rPr>
              <w:t>分项名称</w:t>
            </w:r>
          </w:p>
        </w:tc>
        <w:tc>
          <w:tcPr>
            <w:tcW w:w="3291" w:type="dxa"/>
            <w:vAlign w:val="top"/>
          </w:tcPr>
          <w:p w14:paraId="61B5E4AC">
            <w:pPr>
              <w:pStyle w:val="95"/>
              <w:spacing w:before="120" w:line="222" w:lineRule="auto"/>
              <w:ind w:left="1182"/>
              <w:rPr>
                <w:rFonts w:hint="eastAsia" w:ascii="宋体" w:hAnsi="宋体" w:eastAsia="宋体" w:cs="宋体"/>
                <w:sz w:val="28"/>
                <w:szCs w:val="28"/>
              </w:rPr>
            </w:pPr>
            <w:r>
              <w:rPr>
                <w:rFonts w:hint="eastAsia" w:ascii="宋体" w:hAnsi="宋体" w:eastAsia="宋体" w:cs="宋体"/>
                <w:spacing w:val="-5"/>
                <w:sz w:val="28"/>
                <w:szCs w:val="28"/>
              </w:rPr>
              <w:t>分项价格</w:t>
            </w:r>
          </w:p>
        </w:tc>
      </w:tr>
      <w:tr w14:paraId="75053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947" w:type="dxa"/>
            <w:vAlign w:val="top"/>
          </w:tcPr>
          <w:p w14:paraId="288F9957">
            <w:pPr>
              <w:spacing w:before="158" w:line="188" w:lineRule="auto"/>
              <w:ind w:left="939"/>
              <w:rPr>
                <w:rFonts w:hint="eastAsia" w:ascii="宋体" w:hAnsi="宋体" w:eastAsia="宋体" w:cs="宋体"/>
                <w:sz w:val="28"/>
                <w:szCs w:val="28"/>
              </w:rPr>
            </w:pPr>
            <w:r>
              <w:rPr>
                <w:rFonts w:hint="eastAsia" w:ascii="宋体" w:hAnsi="宋体" w:eastAsia="宋体" w:cs="宋体"/>
                <w:sz w:val="28"/>
                <w:szCs w:val="28"/>
              </w:rPr>
              <w:t>1</w:t>
            </w:r>
          </w:p>
        </w:tc>
        <w:tc>
          <w:tcPr>
            <w:tcW w:w="3285" w:type="dxa"/>
            <w:vAlign w:val="top"/>
          </w:tcPr>
          <w:p w14:paraId="56C5A607">
            <w:pPr>
              <w:rPr>
                <w:rFonts w:hint="eastAsia" w:ascii="宋体" w:hAnsi="宋体" w:eastAsia="宋体" w:cs="宋体"/>
                <w:sz w:val="28"/>
                <w:szCs w:val="28"/>
              </w:rPr>
            </w:pPr>
          </w:p>
        </w:tc>
        <w:tc>
          <w:tcPr>
            <w:tcW w:w="3291" w:type="dxa"/>
            <w:vAlign w:val="top"/>
          </w:tcPr>
          <w:p w14:paraId="2FE7AE0B">
            <w:pPr>
              <w:rPr>
                <w:rFonts w:hint="eastAsia" w:ascii="宋体" w:hAnsi="宋体" w:eastAsia="宋体" w:cs="宋体"/>
                <w:sz w:val="28"/>
                <w:szCs w:val="28"/>
              </w:rPr>
            </w:pPr>
          </w:p>
        </w:tc>
      </w:tr>
      <w:tr w14:paraId="46B3E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947" w:type="dxa"/>
            <w:vAlign w:val="top"/>
          </w:tcPr>
          <w:p w14:paraId="1A98EAD7">
            <w:pPr>
              <w:spacing w:before="159" w:line="188" w:lineRule="auto"/>
              <w:ind w:left="916"/>
              <w:rPr>
                <w:rFonts w:hint="eastAsia" w:ascii="宋体" w:hAnsi="宋体" w:eastAsia="宋体" w:cs="宋体"/>
                <w:sz w:val="28"/>
                <w:szCs w:val="28"/>
              </w:rPr>
            </w:pPr>
            <w:r>
              <w:rPr>
                <w:rFonts w:hint="eastAsia" w:ascii="宋体" w:hAnsi="宋体" w:eastAsia="宋体" w:cs="宋体"/>
                <w:sz w:val="28"/>
                <w:szCs w:val="28"/>
              </w:rPr>
              <w:t>2</w:t>
            </w:r>
          </w:p>
        </w:tc>
        <w:tc>
          <w:tcPr>
            <w:tcW w:w="3285" w:type="dxa"/>
            <w:vAlign w:val="top"/>
          </w:tcPr>
          <w:p w14:paraId="6AA11E6E">
            <w:pPr>
              <w:rPr>
                <w:rFonts w:hint="eastAsia" w:ascii="宋体" w:hAnsi="宋体" w:eastAsia="宋体" w:cs="宋体"/>
                <w:sz w:val="28"/>
                <w:szCs w:val="28"/>
              </w:rPr>
            </w:pPr>
          </w:p>
        </w:tc>
        <w:tc>
          <w:tcPr>
            <w:tcW w:w="3291" w:type="dxa"/>
            <w:vAlign w:val="top"/>
          </w:tcPr>
          <w:p w14:paraId="3B0EEC3B">
            <w:pPr>
              <w:rPr>
                <w:rFonts w:hint="eastAsia" w:ascii="宋体" w:hAnsi="宋体" w:eastAsia="宋体" w:cs="宋体"/>
                <w:sz w:val="28"/>
                <w:szCs w:val="28"/>
              </w:rPr>
            </w:pPr>
          </w:p>
        </w:tc>
      </w:tr>
      <w:tr w14:paraId="67FE9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947" w:type="dxa"/>
            <w:vAlign w:val="top"/>
          </w:tcPr>
          <w:p w14:paraId="4691AF55">
            <w:pPr>
              <w:spacing w:before="160" w:line="188" w:lineRule="auto"/>
              <w:ind w:left="921"/>
              <w:rPr>
                <w:rFonts w:hint="eastAsia" w:ascii="宋体" w:hAnsi="宋体" w:eastAsia="宋体" w:cs="宋体"/>
                <w:sz w:val="28"/>
                <w:szCs w:val="28"/>
              </w:rPr>
            </w:pPr>
            <w:r>
              <w:rPr>
                <w:rFonts w:hint="eastAsia" w:ascii="宋体" w:hAnsi="宋体" w:eastAsia="宋体" w:cs="宋体"/>
                <w:sz w:val="28"/>
                <w:szCs w:val="28"/>
              </w:rPr>
              <w:t>3</w:t>
            </w:r>
          </w:p>
        </w:tc>
        <w:tc>
          <w:tcPr>
            <w:tcW w:w="3285" w:type="dxa"/>
            <w:vAlign w:val="top"/>
          </w:tcPr>
          <w:p w14:paraId="3CA44C14">
            <w:pPr>
              <w:rPr>
                <w:rFonts w:hint="eastAsia" w:ascii="宋体" w:hAnsi="宋体" w:eastAsia="宋体" w:cs="宋体"/>
                <w:sz w:val="28"/>
                <w:szCs w:val="28"/>
              </w:rPr>
            </w:pPr>
          </w:p>
        </w:tc>
        <w:tc>
          <w:tcPr>
            <w:tcW w:w="3291" w:type="dxa"/>
            <w:vAlign w:val="top"/>
          </w:tcPr>
          <w:p w14:paraId="64F5D3D1">
            <w:pPr>
              <w:rPr>
                <w:rFonts w:hint="eastAsia" w:ascii="宋体" w:hAnsi="宋体" w:eastAsia="宋体" w:cs="宋体"/>
                <w:sz w:val="28"/>
                <w:szCs w:val="28"/>
              </w:rPr>
            </w:pPr>
          </w:p>
        </w:tc>
      </w:tr>
      <w:tr w14:paraId="36BD6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947" w:type="dxa"/>
            <w:vAlign w:val="top"/>
          </w:tcPr>
          <w:p w14:paraId="0936806D">
            <w:pPr>
              <w:rPr>
                <w:rFonts w:hint="eastAsia" w:ascii="宋体" w:hAnsi="宋体" w:eastAsia="宋体" w:cs="宋体"/>
                <w:sz w:val="28"/>
                <w:szCs w:val="28"/>
              </w:rPr>
            </w:pPr>
          </w:p>
        </w:tc>
        <w:tc>
          <w:tcPr>
            <w:tcW w:w="3285" w:type="dxa"/>
            <w:vAlign w:val="top"/>
          </w:tcPr>
          <w:p w14:paraId="40A089FB">
            <w:pPr>
              <w:rPr>
                <w:rFonts w:hint="eastAsia" w:ascii="宋体" w:hAnsi="宋体" w:eastAsia="宋体" w:cs="宋体"/>
                <w:sz w:val="28"/>
                <w:szCs w:val="28"/>
              </w:rPr>
            </w:pPr>
          </w:p>
        </w:tc>
        <w:tc>
          <w:tcPr>
            <w:tcW w:w="3291" w:type="dxa"/>
            <w:vAlign w:val="top"/>
          </w:tcPr>
          <w:p w14:paraId="6DDA9C7E">
            <w:pPr>
              <w:rPr>
                <w:rFonts w:hint="eastAsia" w:ascii="宋体" w:hAnsi="宋体" w:eastAsia="宋体" w:cs="宋体"/>
                <w:sz w:val="28"/>
                <w:szCs w:val="28"/>
              </w:rPr>
            </w:pPr>
          </w:p>
        </w:tc>
      </w:tr>
      <w:tr w14:paraId="531F1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5232" w:type="dxa"/>
            <w:gridSpan w:val="2"/>
            <w:vAlign w:val="top"/>
          </w:tcPr>
          <w:p w14:paraId="0AAE28B5">
            <w:pPr>
              <w:pStyle w:val="95"/>
              <w:spacing w:before="119" w:line="222" w:lineRule="auto"/>
              <w:ind w:left="2401"/>
              <w:rPr>
                <w:rFonts w:hint="eastAsia" w:ascii="宋体" w:hAnsi="宋体" w:eastAsia="宋体" w:cs="宋体"/>
                <w:sz w:val="28"/>
                <w:szCs w:val="28"/>
              </w:rPr>
            </w:pPr>
            <w:r>
              <w:rPr>
                <w:rFonts w:hint="eastAsia" w:ascii="宋体" w:hAnsi="宋体" w:eastAsia="宋体" w:cs="宋体"/>
                <w:spacing w:val="-14"/>
                <w:sz w:val="28"/>
                <w:szCs w:val="28"/>
              </w:rPr>
              <w:t>总价</w:t>
            </w:r>
          </w:p>
        </w:tc>
        <w:tc>
          <w:tcPr>
            <w:tcW w:w="3291" w:type="dxa"/>
            <w:vAlign w:val="top"/>
          </w:tcPr>
          <w:p w14:paraId="34BD3CEC">
            <w:pPr>
              <w:rPr>
                <w:rFonts w:hint="eastAsia" w:ascii="宋体" w:hAnsi="宋体" w:eastAsia="宋体" w:cs="宋体"/>
                <w:sz w:val="28"/>
                <w:szCs w:val="28"/>
              </w:rPr>
            </w:pPr>
          </w:p>
        </w:tc>
      </w:tr>
    </w:tbl>
    <w:p w14:paraId="50081439">
      <w:pPr>
        <w:pStyle w:val="12"/>
        <w:spacing w:line="251" w:lineRule="auto"/>
        <w:rPr>
          <w:rFonts w:hint="eastAsia" w:ascii="宋体" w:hAnsi="宋体" w:eastAsia="宋体" w:cs="宋体"/>
          <w:sz w:val="28"/>
          <w:szCs w:val="28"/>
        </w:rPr>
      </w:pPr>
    </w:p>
    <w:p w14:paraId="69B0C481">
      <w:pPr>
        <w:spacing w:before="78" w:line="222" w:lineRule="auto"/>
        <w:ind w:left="618"/>
        <w:rPr>
          <w:rFonts w:hint="eastAsia" w:ascii="宋体" w:hAnsi="宋体" w:eastAsia="宋体" w:cs="宋体"/>
          <w:sz w:val="28"/>
          <w:szCs w:val="28"/>
        </w:rPr>
      </w:pPr>
      <w:r>
        <w:rPr>
          <w:rFonts w:hint="eastAsia" w:ascii="宋体" w:hAnsi="宋体" w:eastAsia="宋体" w:cs="宋体"/>
          <w:spacing w:val="-3"/>
          <w:sz w:val="28"/>
          <w:szCs w:val="28"/>
          <w14:textOutline w14:w="4358" w14:cap="sq" w14:cmpd="sng">
            <w14:solidFill>
              <w14:srgbClr w14:val="000000"/>
            </w14:solidFill>
            <w14:prstDash w14:val="solid"/>
            <w14:bevel/>
          </w14:textOutline>
        </w:rPr>
        <w:t>1.4</w:t>
      </w:r>
      <w:r>
        <w:rPr>
          <w:rFonts w:hint="eastAsia" w:ascii="宋体" w:hAnsi="宋体" w:eastAsia="宋体" w:cs="宋体"/>
          <w:spacing w:val="-3"/>
          <w:sz w:val="28"/>
          <w:szCs w:val="28"/>
        </w:rPr>
        <w:t xml:space="preserve"> </w:t>
      </w:r>
      <w:r>
        <w:rPr>
          <w:rFonts w:hint="eastAsia" w:ascii="宋体" w:hAnsi="宋体" w:eastAsia="宋体" w:cs="宋体"/>
          <w:spacing w:val="-3"/>
          <w:sz w:val="28"/>
          <w:szCs w:val="28"/>
          <w14:textOutline w14:w="4358" w14:cap="sq" w14:cmpd="sng">
            <w14:solidFill>
              <w14:srgbClr w14:val="000000"/>
            </w14:solidFill>
            <w14:prstDash w14:val="solid"/>
            <w14:bevel/>
          </w14:textOutline>
        </w:rPr>
        <w:t>付款方式和</w:t>
      </w:r>
      <w:r>
        <w:rPr>
          <w:rFonts w:hint="eastAsia" w:ascii="宋体" w:hAnsi="宋体" w:eastAsia="宋体" w:cs="宋体"/>
          <w:spacing w:val="21"/>
          <w:sz w:val="28"/>
          <w:szCs w:val="28"/>
        </w:rPr>
        <w:t xml:space="preserve"> </w:t>
      </w:r>
      <w:r>
        <w:rPr>
          <w:rFonts w:hint="eastAsia" w:ascii="宋体" w:hAnsi="宋体" w:eastAsia="宋体" w:cs="宋体"/>
          <w:spacing w:val="-3"/>
          <w:sz w:val="28"/>
          <w:szCs w:val="28"/>
          <w14:textOutline w14:w="4358" w14:cap="sq" w14:cmpd="sng">
            <w14:solidFill>
              <w14:srgbClr w14:val="000000"/>
            </w14:solidFill>
            <w14:prstDash w14:val="solid"/>
            <w14:bevel/>
          </w14:textOutline>
        </w:rPr>
        <w:t>结算账户</w:t>
      </w:r>
    </w:p>
    <w:p w14:paraId="0B5685FB">
      <w:pPr>
        <w:spacing w:before="180" w:line="222" w:lineRule="auto"/>
        <w:ind w:left="618"/>
        <w:rPr>
          <w:rFonts w:hint="eastAsia" w:ascii="宋体" w:hAnsi="宋体" w:eastAsia="宋体" w:cs="宋体"/>
          <w:sz w:val="28"/>
          <w:szCs w:val="28"/>
        </w:rPr>
      </w:pPr>
      <w:r>
        <w:rPr>
          <w:rFonts w:hint="eastAsia" w:ascii="宋体" w:hAnsi="宋体" w:eastAsia="宋体" w:cs="宋体"/>
          <w:spacing w:val="-2"/>
          <w:sz w:val="28"/>
          <w:szCs w:val="28"/>
        </w:rPr>
        <w:t>1.4.1 付款方式：本合同以人民币付款。</w:t>
      </w:r>
    </w:p>
    <w:p w14:paraId="21FD7576">
      <w:pPr>
        <w:spacing w:before="178" w:line="360" w:lineRule="auto"/>
        <w:ind w:left="609"/>
        <w:rPr>
          <w:rFonts w:hint="eastAsia" w:ascii="宋体" w:hAnsi="宋体" w:eastAsia="宋体" w:cs="宋体"/>
          <w:spacing w:val="34"/>
          <w:sz w:val="28"/>
          <w:szCs w:val="28"/>
          <w:u w:val="single" w:color="auto"/>
        </w:rPr>
      </w:pPr>
      <w:r>
        <w:rPr>
          <w:rFonts w:hint="eastAsia" w:ascii="宋体" w:hAnsi="宋体" w:eastAsia="宋体" w:cs="宋体"/>
          <w:spacing w:val="-3"/>
          <w:sz w:val="28"/>
          <w:szCs w:val="28"/>
        </w:rPr>
        <w:t>是否支付预付款：</w:t>
      </w:r>
      <w:r>
        <w:rPr>
          <w:rFonts w:hint="eastAsia" w:ascii="宋体" w:hAnsi="宋体" w:eastAsia="宋体" w:cs="宋体"/>
          <w:spacing w:val="35"/>
          <w:sz w:val="28"/>
          <w:szCs w:val="28"/>
          <w:u w:val="single" w:color="auto"/>
        </w:rPr>
        <w:t xml:space="preserve"> </w:t>
      </w:r>
      <w:r>
        <w:rPr>
          <w:rFonts w:hint="eastAsia" w:ascii="宋体" w:hAnsi="宋体" w:eastAsia="宋体" w:cs="宋体"/>
          <w:spacing w:val="-3"/>
          <w:sz w:val="28"/>
          <w:szCs w:val="28"/>
          <w:u w:val="single" w:color="auto"/>
        </w:rPr>
        <w:t>□否；</w:t>
      </w:r>
      <w:r>
        <w:rPr>
          <w:rFonts w:hint="eastAsia" w:ascii="宋体" w:hAnsi="宋体" w:eastAsia="宋体" w:cs="宋体"/>
          <w:spacing w:val="34"/>
          <w:sz w:val="28"/>
          <w:szCs w:val="28"/>
          <w:u w:val="single" w:color="auto"/>
        </w:rPr>
        <w:t xml:space="preserve"> </w:t>
      </w:r>
    </w:p>
    <w:p w14:paraId="4BFC367F">
      <w:pPr>
        <w:spacing w:before="178" w:line="360" w:lineRule="auto"/>
        <w:ind w:left="609" w:firstLine="2192" w:firstLineChars="800"/>
        <w:rPr>
          <w:rFonts w:hint="eastAsia" w:ascii="宋体" w:hAnsi="宋体" w:eastAsia="宋体" w:cs="宋体"/>
          <w:sz w:val="28"/>
          <w:szCs w:val="28"/>
        </w:rPr>
      </w:pPr>
      <w:r>
        <w:rPr>
          <w:rFonts w:hint="eastAsia" w:ascii="宋体" w:hAnsi="宋体" w:eastAsia="宋体" w:cs="宋体"/>
          <w:spacing w:val="-3"/>
          <w:sz w:val="28"/>
          <w:szCs w:val="28"/>
          <w:u w:val="single" w:color="auto"/>
        </w:rPr>
        <w:t>□是：金额和比例</w:t>
      </w:r>
      <w:r>
        <w:rPr>
          <w:rFonts w:hint="eastAsia" w:ascii="宋体" w:hAnsi="宋体" w:eastAsia="宋体" w:cs="宋体"/>
          <w:spacing w:val="-9"/>
          <w:sz w:val="28"/>
          <w:szCs w:val="28"/>
          <w:u w:val="single" w:color="auto"/>
        </w:rPr>
        <w:t>：</w:t>
      </w:r>
      <w:r>
        <w:rPr>
          <w:rFonts w:hint="eastAsia" w:ascii="宋体" w:hAnsi="宋体" w:eastAsia="宋体" w:cs="宋体"/>
          <w:spacing w:val="16"/>
          <w:sz w:val="28"/>
          <w:szCs w:val="28"/>
          <w:u w:val="single" w:color="auto"/>
        </w:rPr>
        <w:t xml:space="preserve">  </w:t>
      </w:r>
      <w:r>
        <w:rPr>
          <w:rFonts w:hint="eastAsia" w:ascii="宋体" w:hAnsi="宋体" w:eastAsia="宋体" w:cs="宋体"/>
          <w:spacing w:val="-9"/>
          <w:sz w:val="28"/>
          <w:szCs w:val="28"/>
          <w:u w:val="single" w:color="auto"/>
        </w:rPr>
        <w:t>；</w:t>
      </w:r>
      <w:r>
        <w:rPr>
          <w:rFonts w:hint="eastAsia" w:ascii="宋体" w:hAnsi="宋体" w:eastAsia="宋体" w:cs="宋体"/>
          <w:spacing w:val="-3"/>
          <w:sz w:val="28"/>
          <w:szCs w:val="28"/>
          <w:u w:val="single" w:color="auto"/>
        </w:rPr>
        <w:t>支付时</w:t>
      </w:r>
      <w:r>
        <w:rPr>
          <w:rFonts w:hint="eastAsia" w:ascii="宋体" w:hAnsi="宋体" w:eastAsia="宋体" w:cs="宋体"/>
          <w:spacing w:val="-4"/>
          <w:sz w:val="28"/>
          <w:szCs w:val="28"/>
          <w:u w:val="single" w:color="auto"/>
        </w:rPr>
        <w:t xml:space="preserve">间：      </w:t>
      </w:r>
      <w:r>
        <w:rPr>
          <w:rFonts w:hint="eastAsia" w:ascii="宋体" w:hAnsi="宋体" w:eastAsia="宋体" w:cs="宋体"/>
          <w:spacing w:val="-4"/>
          <w:sz w:val="28"/>
          <w:szCs w:val="28"/>
        </w:rPr>
        <w:t>。</w:t>
      </w:r>
    </w:p>
    <w:p w14:paraId="3E1A2ED0">
      <w:pPr>
        <w:spacing w:line="222" w:lineRule="auto"/>
        <w:ind w:left="611"/>
        <w:rPr>
          <w:rFonts w:hint="eastAsia" w:ascii="宋体" w:hAnsi="宋体" w:eastAsia="宋体" w:cs="宋体"/>
          <w:sz w:val="28"/>
          <w:szCs w:val="28"/>
        </w:rPr>
      </w:pPr>
      <w:r>
        <w:rPr>
          <w:rFonts w:hint="eastAsia" w:ascii="宋体" w:hAnsi="宋体" w:eastAsia="宋体" w:cs="宋体"/>
          <w:spacing w:val="-4"/>
          <w:sz w:val="28"/>
          <w:szCs w:val="28"/>
        </w:rPr>
        <w:t>具体付款方式</w:t>
      </w:r>
      <w:r>
        <w:rPr>
          <w:rFonts w:hint="eastAsia" w:ascii="宋体" w:hAnsi="宋体" w:eastAsia="宋体" w:cs="宋体"/>
          <w:spacing w:val="2"/>
          <w:sz w:val="28"/>
          <w:szCs w:val="28"/>
        </w:rPr>
        <w:t>：</w:t>
      </w:r>
      <w:r>
        <w:rPr>
          <w:rFonts w:hint="eastAsia" w:ascii="宋体" w:hAnsi="宋体" w:eastAsia="宋体" w:cs="宋体"/>
          <w:sz w:val="28"/>
          <w:szCs w:val="28"/>
          <w:u w:val="single" w:color="auto"/>
        </w:rPr>
        <w:t xml:space="preserve">                                 </w:t>
      </w:r>
      <w:r>
        <w:rPr>
          <w:rFonts w:hint="eastAsia" w:ascii="宋体" w:hAnsi="宋体" w:eastAsia="宋体" w:cs="宋体"/>
          <w:sz w:val="28"/>
          <w:szCs w:val="28"/>
        </w:rPr>
        <w:t xml:space="preserve"> </w:t>
      </w:r>
      <w:r>
        <w:rPr>
          <w:rFonts w:hint="eastAsia" w:ascii="宋体" w:hAnsi="宋体" w:eastAsia="宋体" w:cs="宋体"/>
          <w:spacing w:val="2"/>
          <w:sz w:val="28"/>
          <w:szCs w:val="28"/>
        </w:rPr>
        <w:t>；</w:t>
      </w:r>
    </w:p>
    <w:p w14:paraId="667B8811">
      <w:pPr>
        <w:spacing w:before="178" w:line="222" w:lineRule="auto"/>
        <w:ind w:left="618"/>
        <w:rPr>
          <w:rFonts w:hint="eastAsia" w:ascii="宋体" w:hAnsi="宋体" w:eastAsia="宋体" w:cs="宋体"/>
          <w:sz w:val="28"/>
          <w:szCs w:val="28"/>
        </w:rPr>
      </w:pPr>
      <w:r>
        <w:rPr>
          <w:rFonts w:hint="eastAsia" w:ascii="宋体" w:hAnsi="宋体" w:eastAsia="宋体" w:cs="宋体"/>
          <w:spacing w:val="-5"/>
          <w:sz w:val="28"/>
          <w:szCs w:val="28"/>
        </w:rPr>
        <w:t>1.4.2</w:t>
      </w:r>
      <w:r>
        <w:rPr>
          <w:rFonts w:hint="eastAsia" w:ascii="宋体" w:hAnsi="宋体" w:eastAsia="宋体" w:cs="宋体"/>
          <w:spacing w:val="11"/>
          <w:sz w:val="28"/>
          <w:szCs w:val="28"/>
        </w:rPr>
        <w:t xml:space="preserve"> </w:t>
      </w:r>
      <w:r>
        <w:rPr>
          <w:rFonts w:hint="eastAsia" w:ascii="宋体" w:hAnsi="宋体" w:eastAsia="宋体" w:cs="宋体"/>
          <w:spacing w:val="-5"/>
          <w:sz w:val="28"/>
          <w:szCs w:val="28"/>
        </w:rPr>
        <w:t>结算账户：</w:t>
      </w:r>
    </w:p>
    <w:p w14:paraId="69D43BE8">
      <w:pPr>
        <w:spacing w:before="180" w:line="221" w:lineRule="auto"/>
        <w:ind w:left="625"/>
        <w:rPr>
          <w:rFonts w:hint="eastAsia" w:ascii="宋体" w:hAnsi="宋体" w:eastAsia="宋体" w:cs="宋体"/>
          <w:sz w:val="28"/>
          <w:szCs w:val="28"/>
        </w:rPr>
      </w:pPr>
      <w:r>
        <w:rPr>
          <w:rFonts w:hint="eastAsia" w:ascii="宋体" w:hAnsi="宋体" w:eastAsia="宋体" w:cs="宋体"/>
          <w:spacing w:val="-2"/>
          <w:sz w:val="28"/>
          <w:szCs w:val="28"/>
        </w:rPr>
        <w:t>乙方账户信息：</w:t>
      </w:r>
      <w:r>
        <w:rPr>
          <w:rFonts w:hint="eastAsia" w:ascii="宋体" w:hAnsi="宋体" w:eastAsia="宋体" w:cs="宋体"/>
          <w:spacing w:val="-2"/>
          <w:sz w:val="28"/>
          <w:szCs w:val="28"/>
          <w:u w:val="single" w:color="auto"/>
        </w:rPr>
        <w:t>户名：          开户银行：</w:t>
      </w:r>
      <w:r>
        <w:rPr>
          <w:rFonts w:hint="eastAsia" w:ascii="宋体" w:hAnsi="宋体" w:eastAsia="宋体" w:cs="宋体"/>
          <w:spacing w:val="2"/>
          <w:sz w:val="28"/>
          <w:szCs w:val="28"/>
          <w:u w:val="single" w:color="auto"/>
        </w:rPr>
        <w:t xml:space="preserve">         </w:t>
      </w:r>
      <w:r>
        <w:rPr>
          <w:rFonts w:hint="eastAsia" w:ascii="宋体" w:hAnsi="宋体" w:eastAsia="宋体" w:cs="宋体"/>
          <w:spacing w:val="-2"/>
          <w:sz w:val="28"/>
          <w:szCs w:val="28"/>
          <w:u w:val="single" w:color="auto"/>
        </w:rPr>
        <w:t>账号：</w:t>
      </w:r>
      <w:r>
        <w:rPr>
          <w:rFonts w:hint="eastAsia" w:ascii="宋体" w:hAnsi="宋体" w:eastAsia="宋体" w:cs="宋体"/>
          <w:sz w:val="28"/>
          <w:szCs w:val="28"/>
          <w:u w:val="single" w:color="auto"/>
        </w:rPr>
        <w:t xml:space="preserve">       </w:t>
      </w:r>
    </w:p>
    <w:p w14:paraId="31DA3E07">
      <w:pPr>
        <w:spacing w:before="181" w:line="360" w:lineRule="auto"/>
        <w:ind w:left="130" w:right="73" w:firstLine="479"/>
        <w:rPr>
          <w:rFonts w:hint="eastAsia" w:ascii="宋体" w:hAnsi="宋体" w:eastAsia="宋体" w:cs="宋体"/>
          <w:sz w:val="28"/>
          <w:szCs w:val="28"/>
        </w:rPr>
      </w:pPr>
      <w:r>
        <w:rPr>
          <w:rFonts w:hint="eastAsia" w:ascii="宋体" w:hAnsi="宋体" w:eastAsia="宋体" w:cs="宋体"/>
          <w:spacing w:val="-4"/>
          <w:sz w:val="28"/>
          <w:szCs w:val="28"/>
        </w:rPr>
        <w:t>是否为政府采购贷款业务银行账户</w:t>
      </w:r>
      <w:r>
        <w:rPr>
          <w:rFonts w:hint="eastAsia" w:ascii="宋体" w:hAnsi="宋体" w:eastAsia="宋体" w:cs="宋体"/>
          <w:spacing w:val="-18"/>
          <w:sz w:val="28"/>
          <w:szCs w:val="28"/>
        </w:rPr>
        <w:t>：</w:t>
      </w:r>
      <w:r>
        <w:rPr>
          <w:rFonts w:hint="eastAsia" w:ascii="宋体" w:hAnsi="宋体" w:eastAsia="宋体" w:cs="宋体"/>
          <w:sz w:val="28"/>
          <w:szCs w:val="28"/>
          <w:u w:val="single" w:color="auto"/>
        </w:rPr>
        <w:t xml:space="preserve">          </w:t>
      </w:r>
      <w:r>
        <w:rPr>
          <w:rFonts w:hint="eastAsia" w:ascii="宋体" w:hAnsi="宋体" w:eastAsia="宋体" w:cs="宋体"/>
          <w:spacing w:val="-18"/>
          <w:sz w:val="28"/>
          <w:szCs w:val="28"/>
        </w:rPr>
        <w:t>（</w:t>
      </w:r>
      <w:r>
        <w:rPr>
          <w:rFonts w:hint="eastAsia" w:ascii="宋体" w:hAnsi="宋体" w:eastAsia="宋体" w:cs="宋体"/>
          <w:spacing w:val="-4"/>
          <w:sz w:val="28"/>
          <w:szCs w:val="28"/>
        </w:rPr>
        <w:t>注：填“是</w:t>
      </w:r>
      <w:r>
        <w:rPr>
          <w:rFonts w:hint="eastAsia" w:ascii="宋体" w:hAnsi="宋体" w:eastAsia="宋体" w:cs="宋体"/>
          <w:spacing w:val="-88"/>
          <w:sz w:val="28"/>
          <w:szCs w:val="28"/>
        </w:rPr>
        <w:t xml:space="preserve"> </w:t>
      </w:r>
      <w:r>
        <w:rPr>
          <w:rFonts w:hint="eastAsia" w:ascii="宋体" w:hAnsi="宋体" w:eastAsia="宋体" w:cs="宋体"/>
          <w:spacing w:val="-4"/>
          <w:sz w:val="28"/>
          <w:szCs w:val="28"/>
        </w:rPr>
        <w:t>”或“否</w:t>
      </w:r>
      <w:r>
        <w:rPr>
          <w:rFonts w:hint="eastAsia" w:ascii="宋体" w:hAnsi="宋体" w:eastAsia="宋体" w:cs="宋体"/>
          <w:spacing w:val="-88"/>
          <w:sz w:val="28"/>
          <w:szCs w:val="28"/>
        </w:rPr>
        <w:t xml:space="preserve"> </w:t>
      </w:r>
      <w:r>
        <w:rPr>
          <w:rFonts w:hint="eastAsia" w:ascii="宋体" w:hAnsi="宋体" w:eastAsia="宋体" w:cs="宋体"/>
          <w:spacing w:val="-4"/>
          <w:sz w:val="28"/>
          <w:szCs w:val="28"/>
        </w:rPr>
        <w:t>”；</w:t>
      </w:r>
      <w:r>
        <w:rPr>
          <w:rFonts w:hint="eastAsia" w:ascii="宋体" w:hAnsi="宋体" w:eastAsia="宋体" w:cs="宋体"/>
          <w:sz w:val="28"/>
          <w:szCs w:val="28"/>
        </w:rPr>
        <w:t xml:space="preserve"> </w:t>
      </w:r>
      <w:r>
        <w:rPr>
          <w:rFonts w:hint="eastAsia" w:ascii="宋体" w:hAnsi="宋体" w:eastAsia="宋体" w:cs="宋体"/>
          <w:spacing w:val="-4"/>
          <w:sz w:val="28"/>
          <w:szCs w:val="28"/>
        </w:rPr>
        <w:t>如填“是</w:t>
      </w:r>
      <w:r>
        <w:rPr>
          <w:rFonts w:hint="eastAsia" w:ascii="宋体" w:hAnsi="宋体" w:eastAsia="宋体" w:cs="宋体"/>
          <w:spacing w:val="-88"/>
          <w:sz w:val="28"/>
          <w:szCs w:val="28"/>
        </w:rPr>
        <w:t xml:space="preserve"> </w:t>
      </w:r>
      <w:r>
        <w:rPr>
          <w:rFonts w:hint="eastAsia" w:ascii="宋体" w:hAnsi="宋体" w:eastAsia="宋体" w:cs="宋体"/>
          <w:spacing w:val="-4"/>
          <w:sz w:val="28"/>
          <w:szCs w:val="28"/>
        </w:rPr>
        <w:t>”，则该银行账户如需变更，须经政府采购放贷银行出具书</w:t>
      </w:r>
      <w:r>
        <w:rPr>
          <w:rFonts w:hint="eastAsia" w:ascii="宋体" w:hAnsi="宋体" w:eastAsia="宋体" w:cs="宋体"/>
          <w:spacing w:val="-5"/>
          <w:sz w:val="28"/>
          <w:szCs w:val="28"/>
        </w:rPr>
        <w:t>面盖章变更</w:t>
      </w:r>
      <w:r>
        <w:rPr>
          <w:rFonts w:hint="eastAsia" w:ascii="宋体" w:hAnsi="宋体" w:eastAsia="宋体" w:cs="宋体"/>
          <w:spacing w:val="-2"/>
          <w:sz w:val="28"/>
          <w:szCs w:val="28"/>
        </w:rPr>
        <w:t>意见，否则不得变更账户信息）。</w:t>
      </w:r>
    </w:p>
    <w:p w14:paraId="68463AEF">
      <w:pPr>
        <w:spacing w:before="180" w:line="222" w:lineRule="auto"/>
        <w:ind w:left="618"/>
        <w:rPr>
          <w:rFonts w:hint="eastAsia" w:ascii="宋体" w:hAnsi="宋体" w:eastAsia="宋体" w:cs="宋体"/>
          <w:sz w:val="28"/>
          <w:szCs w:val="28"/>
        </w:rPr>
      </w:pPr>
      <w:r>
        <w:rPr>
          <w:rFonts w:hint="eastAsia" w:ascii="宋体" w:hAnsi="宋体" w:eastAsia="宋体" w:cs="宋体"/>
          <w:spacing w:val="-2"/>
          <w:sz w:val="28"/>
          <w:szCs w:val="28"/>
          <w14:textOutline w14:w="4358" w14:cap="sq" w14:cmpd="sng">
            <w14:solidFill>
              <w14:srgbClr w14:val="000000"/>
            </w14:solidFill>
            <w14:prstDash w14:val="solid"/>
            <w14:bevel/>
          </w14:textOutline>
        </w:rPr>
        <w:t>1.5</w:t>
      </w:r>
      <w:r>
        <w:rPr>
          <w:rFonts w:hint="eastAsia" w:ascii="宋体" w:hAnsi="宋体" w:eastAsia="宋体" w:cs="宋体"/>
          <w:spacing w:val="-2"/>
          <w:sz w:val="28"/>
          <w:szCs w:val="28"/>
        </w:rPr>
        <w:t xml:space="preserve"> </w:t>
      </w:r>
      <w:r>
        <w:rPr>
          <w:rFonts w:hint="eastAsia" w:ascii="宋体" w:hAnsi="宋体" w:eastAsia="宋体" w:cs="宋体"/>
          <w:spacing w:val="-2"/>
          <w:sz w:val="28"/>
          <w:szCs w:val="28"/>
          <w14:textOutline w14:w="4358" w14:cap="sq" w14:cmpd="sng">
            <w14:solidFill>
              <w14:srgbClr w14:val="000000"/>
            </w14:solidFill>
            <w14:prstDash w14:val="solid"/>
            <w14:bevel/>
          </w14:textOutline>
        </w:rPr>
        <w:t>服务期限、地点和方式</w:t>
      </w:r>
    </w:p>
    <w:p w14:paraId="10B11BF8">
      <w:pPr>
        <w:spacing w:before="180" w:line="222" w:lineRule="auto"/>
        <w:ind w:left="618"/>
        <w:rPr>
          <w:rFonts w:hint="eastAsia" w:ascii="宋体" w:hAnsi="宋体" w:eastAsia="宋体" w:cs="宋体"/>
          <w:sz w:val="28"/>
          <w:szCs w:val="28"/>
        </w:rPr>
      </w:pPr>
      <w:r>
        <w:rPr>
          <w:rFonts w:hint="eastAsia" w:ascii="宋体" w:hAnsi="宋体" w:eastAsia="宋体" w:cs="宋体"/>
          <w:spacing w:val="-5"/>
          <w:sz w:val="28"/>
          <w:szCs w:val="28"/>
        </w:rPr>
        <w:t>1.5.1</w:t>
      </w:r>
      <w:r>
        <w:rPr>
          <w:rFonts w:hint="eastAsia" w:ascii="宋体" w:hAnsi="宋体" w:eastAsia="宋体" w:cs="宋体"/>
          <w:spacing w:val="15"/>
          <w:sz w:val="28"/>
          <w:szCs w:val="28"/>
        </w:rPr>
        <w:t xml:space="preserve"> </w:t>
      </w:r>
      <w:r>
        <w:rPr>
          <w:rFonts w:hint="eastAsia" w:ascii="宋体" w:hAnsi="宋体" w:eastAsia="宋体" w:cs="宋体"/>
          <w:spacing w:val="-5"/>
          <w:sz w:val="28"/>
          <w:szCs w:val="28"/>
        </w:rPr>
        <w:t>服务期限</w:t>
      </w:r>
      <w:r>
        <w:rPr>
          <w:rFonts w:hint="eastAsia" w:ascii="宋体" w:hAnsi="宋体" w:eastAsia="宋体" w:cs="宋体"/>
          <w:spacing w:val="1"/>
          <w:sz w:val="28"/>
          <w:szCs w:val="28"/>
        </w:rPr>
        <w:t>：</w:t>
      </w:r>
      <w:r>
        <w:rPr>
          <w:rFonts w:hint="eastAsia" w:ascii="宋体" w:hAnsi="宋体" w:eastAsia="宋体" w:cs="宋体"/>
          <w:sz w:val="28"/>
          <w:szCs w:val="28"/>
          <w:u w:val="single" w:color="auto"/>
        </w:rPr>
        <w:t xml:space="preserve">                               </w:t>
      </w:r>
      <w:r>
        <w:rPr>
          <w:rFonts w:hint="eastAsia" w:ascii="宋体" w:hAnsi="宋体" w:eastAsia="宋体" w:cs="宋体"/>
          <w:spacing w:val="1"/>
          <w:sz w:val="28"/>
          <w:szCs w:val="28"/>
        </w:rPr>
        <w:t>；</w:t>
      </w:r>
    </w:p>
    <w:p w14:paraId="3AF79A70">
      <w:pPr>
        <w:spacing w:before="179" w:line="222" w:lineRule="auto"/>
        <w:ind w:left="618"/>
        <w:rPr>
          <w:rFonts w:hint="eastAsia" w:ascii="宋体" w:hAnsi="宋体" w:eastAsia="宋体" w:cs="宋体"/>
          <w:sz w:val="28"/>
          <w:szCs w:val="28"/>
        </w:rPr>
      </w:pPr>
      <w:r>
        <w:rPr>
          <w:rFonts w:hint="eastAsia" w:ascii="宋体" w:hAnsi="宋体" w:eastAsia="宋体" w:cs="宋体"/>
          <w:spacing w:val="-5"/>
          <w:sz w:val="28"/>
          <w:szCs w:val="28"/>
        </w:rPr>
        <w:t>1.5.2</w:t>
      </w:r>
      <w:r>
        <w:rPr>
          <w:rFonts w:hint="eastAsia" w:ascii="宋体" w:hAnsi="宋体" w:eastAsia="宋体" w:cs="宋体"/>
          <w:spacing w:val="15"/>
          <w:sz w:val="28"/>
          <w:szCs w:val="28"/>
        </w:rPr>
        <w:t xml:space="preserve"> </w:t>
      </w:r>
      <w:r>
        <w:rPr>
          <w:rFonts w:hint="eastAsia" w:ascii="宋体" w:hAnsi="宋体" w:eastAsia="宋体" w:cs="宋体"/>
          <w:spacing w:val="-5"/>
          <w:sz w:val="28"/>
          <w:szCs w:val="28"/>
        </w:rPr>
        <w:t>服务地点</w:t>
      </w:r>
      <w:r>
        <w:rPr>
          <w:rFonts w:hint="eastAsia" w:ascii="宋体" w:hAnsi="宋体" w:eastAsia="宋体" w:cs="宋体"/>
          <w:spacing w:val="1"/>
          <w:sz w:val="28"/>
          <w:szCs w:val="28"/>
        </w:rPr>
        <w:t>：</w:t>
      </w:r>
      <w:r>
        <w:rPr>
          <w:rFonts w:hint="eastAsia" w:ascii="宋体" w:hAnsi="宋体" w:eastAsia="宋体" w:cs="宋体"/>
          <w:sz w:val="28"/>
          <w:szCs w:val="28"/>
          <w:u w:val="single" w:color="auto"/>
        </w:rPr>
        <w:t xml:space="preserve">                               </w:t>
      </w:r>
      <w:r>
        <w:rPr>
          <w:rFonts w:hint="eastAsia" w:ascii="宋体" w:hAnsi="宋体" w:eastAsia="宋体" w:cs="宋体"/>
          <w:spacing w:val="1"/>
          <w:sz w:val="28"/>
          <w:szCs w:val="28"/>
        </w:rPr>
        <w:t>；</w:t>
      </w:r>
    </w:p>
    <w:p w14:paraId="1B880896">
      <w:pPr>
        <w:spacing w:before="179" w:line="222" w:lineRule="auto"/>
        <w:ind w:left="618"/>
        <w:rPr>
          <w:rFonts w:hint="eastAsia" w:ascii="宋体" w:hAnsi="宋体" w:eastAsia="宋体" w:cs="宋体"/>
          <w:sz w:val="28"/>
          <w:szCs w:val="28"/>
        </w:rPr>
      </w:pPr>
      <w:r>
        <w:rPr>
          <w:rFonts w:hint="eastAsia" w:ascii="宋体" w:hAnsi="宋体" w:eastAsia="宋体" w:cs="宋体"/>
          <w:spacing w:val="-3"/>
          <w:sz w:val="28"/>
          <w:szCs w:val="28"/>
        </w:rPr>
        <w:t>1.5.3 服务方式：</w:t>
      </w:r>
      <w:r>
        <w:rPr>
          <w:rFonts w:hint="eastAsia" w:ascii="宋体" w:hAnsi="宋体" w:eastAsia="宋体" w:cs="宋体"/>
          <w:sz w:val="28"/>
          <w:szCs w:val="28"/>
          <w:u w:val="single" w:color="auto"/>
        </w:rPr>
        <w:t xml:space="preserve">                               </w:t>
      </w:r>
      <w:r>
        <w:rPr>
          <w:rFonts w:hint="eastAsia" w:ascii="宋体" w:hAnsi="宋体" w:eastAsia="宋体" w:cs="宋体"/>
          <w:spacing w:val="-3"/>
          <w:sz w:val="28"/>
          <w:szCs w:val="28"/>
        </w:rPr>
        <w:t>。</w:t>
      </w:r>
    </w:p>
    <w:p w14:paraId="2EE772F5">
      <w:pPr>
        <w:spacing w:before="101" w:line="222" w:lineRule="auto"/>
        <w:ind w:left="608"/>
        <w:rPr>
          <w:rFonts w:hint="eastAsia" w:ascii="宋体" w:hAnsi="宋体" w:eastAsia="宋体" w:cs="宋体"/>
          <w:sz w:val="28"/>
          <w:szCs w:val="28"/>
        </w:rPr>
      </w:pPr>
      <w:r>
        <w:rPr>
          <w:rFonts w:hint="eastAsia" w:ascii="宋体" w:hAnsi="宋体" w:eastAsia="宋体" w:cs="宋体"/>
          <w:b/>
          <w:bCs/>
          <w:spacing w:val="-1"/>
          <w:sz w:val="28"/>
          <w:szCs w:val="28"/>
        </w:rPr>
        <w:t xml:space="preserve">1.6  </w:t>
      </w:r>
      <w:r>
        <w:rPr>
          <w:rFonts w:hint="eastAsia" w:ascii="宋体" w:hAnsi="宋体" w:eastAsia="宋体" w:cs="宋体"/>
          <w:spacing w:val="-1"/>
          <w:sz w:val="28"/>
          <w:szCs w:val="28"/>
          <w14:textOutline w14:w="4358" w14:cap="sq" w14:cmpd="sng">
            <w14:solidFill>
              <w14:srgbClr w14:val="000000"/>
            </w14:solidFill>
            <w14:prstDash w14:val="solid"/>
            <w14:bevel/>
          </w14:textOutline>
        </w:rPr>
        <w:t>验收、交付标准和方法</w:t>
      </w:r>
    </w:p>
    <w:p w14:paraId="5CEA4578">
      <w:pPr>
        <w:tabs>
          <w:tab w:val="left" w:pos="8032"/>
        </w:tabs>
        <w:spacing w:before="26" w:line="171" w:lineRule="auto"/>
        <w:ind w:left="592"/>
        <w:rPr>
          <w:rFonts w:hint="eastAsia" w:ascii="宋体" w:hAnsi="宋体" w:eastAsia="宋体" w:cs="宋体"/>
          <w:sz w:val="28"/>
          <w:szCs w:val="28"/>
        </w:rPr>
      </w:pPr>
      <w:r>
        <w:rPr>
          <w:rFonts w:hint="eastAsia" w:ascii="宋体" w:hAnsi="宋体" w:eastAsia="宋体" w:cs="宋体"/>
          <w:sz w:val="28"/>
          <w:szCs w:val="28"/>
          <w:u w:val="single" w:color="auto"/>
        </w:rPr>
        <w:tab/>
      </w:r>
      <w:r>
        <w:rPr>
          <w:rFonts w:hint="eastAsia" w:ascii="宋体" w:hAnsi="宋体" w:eastAsia="宋体" w:cs="宋体"/>
          <w:spacing w:val="-6"/>
          <w:sz w:val="28"/>
          <w:szCs w:val="28"/>
        </w:rPr>
        <w:t xml:space="preserve"> </w:t>
      </w:r>
      <w:r>
        <w:rPr>
          <w:rFonts w:hint="eastAsia" w:ascii="宋体" w:hAnsi="宋体" w:eastAsia="宋体" w:cs="宋体"/>
          <w:spacing w:val="14"/>
          <w:sz w:val="28"/>
          <w:szCs w:val="28"/>
        </w:rPr>
        <w:t>。</w:t>
      </w:r>
    </w:p>
    <w:p w14:paraId="450684F4">
      <w:pPr>
        <w:spacing w:before="233" w:line="222" w:lineRule="auto"/>
        <w:ind w:left="618"/>
        <w:rPr>
          <w:rFonts w:hint="eastAsia" w:ascii="宋体" w:hAnsi="宋体" w:eastAsia="宋体" w:cs="宋体"/>
          <w:sz w:val="28"/>
          <w:szCs w:val="28"/>
        </w:rPr>
      </w:pPr>
      <w:r>
        <w:rPr>
          <w:rFonts w:hint="eastAsia" w:ascii="宋体" w:hAnsi="宋体" w:eastAsia="宋体" w:cs="宋体"/>
          <w:spacing w:val="-3"/>
          <w:sz w:val="28"/>
          <w:szCs w:val="28"/>
          <w14:textOutline w14:w="4358" w14:cap="sq" w14:cmpd="sng">
            <w14:solidFill>
              <w14:srgbClr w14:val="000000"/>
            </w14:solidFill>
            <w14:prstDash w14:val="solid"/>
            <w14:bevel/>
          </w14:textOutline>
        </w:rPr>
        <w:t>1.7</w:t>
      </w:r>
      <w:r>
        <w:rPr>
          <w:rFonts w:hint="eastAsia" w:ascii="宋体" w:hAnsi="宋体" w:eastAsia="宋体" w:cs="宋体"/>
          <w:spacing w:val="-37"/>
          <w:sz w:val="28"/>
          <w:szCs w:val="28"/>
        </w:rPr>
        <w:t xml:space="preserve"> </w:t>
      </w:r>
      <w:r>
        <w:rPr>
          <w:rFonts w:hint="eastAsia" w:ascii="宋体" w:hAnsi="宋体" w:eastAsia="宋体" w:cs="宋体"/>
          <w:spacing w:val="-3"/>
          <w:sz w:val="28"/>
          <w:szCs w:val="28"/>
          <w14:textOutline w14:w="4358" w14:cap="sq" w14:cmpd="sng">
            <w14:solidFill>
              <w14:srgbClr w14:val="000000"/>
            </w14:solidFill>
            <w14:prstDash w14:val="solid"/>
            <w14:bevel/>
          </w14:textOutline>
        </w:rPr>
        <w:t>权利、义务、违约责任</w:t>
      </w:r>
    </w:p>
    <w:p w14:paraId="3F2ADBF5">
      <w:pPr>
        <w:spacing w:before="179" w:line="360" w:lineRule="auto"/>
        <w:ind w:left="130" w:right="52" w:firstLine="482"/>
        <w:jc w:val="both"/>
        <w:rPr>
          <w:rFonts w:hint="eastAsia" w:ascii="宋体" w:hAnsi="宋体" w:eastAsia="宋体" w:cs="宋体"/>
          <w:spacing w:val="-2"/>
          <w:sz w:val="28"/>
          <w:szCs w:val="28"/>
        </w:rPr>
      </w:pPr>
      <w:r>
        <w:rPr>
          <w:rFonts w:hint="eastAsia" w:ascii="宋体" w:hAnsi="宋体" w:eastAsia="宋体" w:cs="宋体"/>
          <w:spacing w:val="-2"/>
          <w:sz w:val="28"/>
          <w:szCs w:val="28"/>
        </w:rPr>
        <w:t>1. 甲乙双方任何一方违反合同，造成对方经济损失的，应给予对方经济赔偿。</w:t>
      </w:r>
    </w:p>
    <w:p w14:paraId="6C6D1760">
      <w:pPr>
        <w:spacing w:before="179" w:line="360" w:lineRule="auto"/>
        <w:ind w:left="130" w:right="52" w:firstLine="482"/>
        <w:jc w:val="both"/>
        <w:rPr>
          <w:rFonts w:hint="eastAsia" w:ascii="宋体" w:hAnsi="宋体" w:eastAsia="宋体" w:cs="宋体"/>
          <w:spacing w:val="-2"/>
          <w:sz w:val="28"/>
          <w:szCs w:val="28"/>
        </w:rPr>
      </w:pPr>
      <w:r>
        <w:rPr>
          <w:rFonts w:hint="eastAsia" w:ascii="宋体" w:hAnsi="宋体" w:eastAsia="宋体" w:cs="宋体"/>
          <w:spacing w:val="-2"/>
          <w:sz w:val="28"/>
          <w:szCs w:val="28"/>
        </w:rPr>
        <w:t>2.如果甲方延期返还履约保证金、延期支付合同款项，乙方可要求甲方按照同期人民银行 LPR 支付逾期利息。</w:t>
      </w:r>
    </w:p>
    <w:p w14:paraId="3D4F2CEB">
      <w:pPr>
        <w:spacing w:before="179" w:line="360" w:lineRule="auto"/>
        <w:ind w:left="130" w:right="52" w:firstLine="482"/>
        <w:jc w:val="both"/>
        <w:rPr>
          <w:rFonts w:hint="eastAsia" w:ascii="宋体" w:hAnsi="宋体" w:eastAsia="宋体" w:cs="宋体"/>
          <w:spacing w:val="-2"/>
          <w:sz w:val="28"/>
          <w:szCs w:val="28"/>
        </w:rPr>
      </w:pPr>
      <w:r>
        <w:rPr>
          <w:rFonts w:hint="eastAsia" w:ascii="宋体" w:hAnsi="宋体" w:eastAsia="宋体" w:cs="宋体"/>
          <w:spacing w:val="-2"/>
          <w:sz w:val="28"/>
          <w:szCs w:val="28"/>
        </w:rPr>
        <w:t>3. 因甲方原因导致变更、中止或终止合同的，甲、乙双方应充分协商，甲方应对乙方受到的实际损失予以赔偿或补偿。</w:t>
      </w:r>
    </w:p>
    <w:p w14:paraId="0425DCD6">
      <w:pPr>
        <w:spacing w:before="179" w:line="360" w:lineRule="auto"/>
        <w:ind w:left="130" w:right="52" w:firstLine="482"/>
        <w:jc w:val="both"/>
        <w:rPr>
          <w:rFonts w:hint="eastAsia" w:ascii="宋体" w:hAnsi="宋体" w:eastAsia="宋体" w:cs="宋体"/>
          <w:spacing w:val="-2"/>
          <w:sz w:val="28"/>
          <w:szCs w:val="28"/>
        </w:rPr>
      </w:pPr>
      <w:r>
        <w:rPr>
          <w:rFonts w:hint="eastAsia" w:ascii="宋体" w:hAnsi="宋体" w:eastAsia="宋体" w:cs="宋体"/>
          <w:spacing w:val="-2"/>
          <w:sz w:val="28"/>
          <w:szCs w:val="28"/>
        </w:rPr>
        <w:t>4.对因不可抗力或政策变化等原因不能签订合同，造成乙方合法利益受损的，甲、乙双方应充分协商，甲方应对乙方受到的实际损失予以赔偿或补偿。</w:t>
      </w:r>
    </w:p>
    <w:p w14:paraId="4D447FCD">
      <w:pPr>
        <w:spacing w:before="179" w:line="360" w:lineRule="auto"/>
        <w:ind w:left="130" w:right="52" w:firstLine="482"/>
        <w:jc w:val="both"/>
        <w:rPr>
          <w:rFonts w:hint="eastAsia" w:ascii="宋体" w:hAnsi="宋体" w:eastAsia="宋体" w:cs="宋体"/>
          <w:spacing w:val="-2"/>
          <w:sz w:val="28"/>
          <w:szCs w:val="28"/>
        </w:rPr>
      </w:pPr>
      <w:r>
        <w:rPr>
          <w:rFonts w:hint="eastAsia" w:ascii="宋体" w:hAnsi="宋体" w:eastAsia="宋体" w:cs="宋体"/>
          <w:spacing w:val="-2"/>
          <w:sz w:val="28"/>
          <w:szCs w:val="28"/>
        </w:rPr>
        <w:t>5.如果乙方无正当理由拖延管理或不按合同履约，将承担以下违约责任：承担因此造成的一切经济损失及法律责任。</w:t>
      </w:r>
    </w:p>
    <w:p w14:paraId="61164E01">
      <w:pPr>
        <w:spacing w:before="179" w:line="360" w:lineRule="auto"/>
        <w:ind w:left="130" w:right="52" w:firstLine="482"/>
        <w:jc w:val="both"/>
        <w:rPr>
          <w:rFonts w:hint="eastAsia" w:ascii="宋体" w:hAnsi="宋体" w:eastAsia="宋体" w:cs="宋体"/>
          <w:spacing w:val="-2"/>
          <w:sz w:val="28"/>
          <w:szCs w:val="28"/>
        </w:rPr>
      </w:pPr>
      <w:r>
        <w:rPr>
          <w:rFonts w:hint="eastAsia" w:ascii="宋体" w:hAnsi="宋体" w:eastAsia="宋体" w:cs="宋体"/>
          <w:spacing w:val="-2"/>
          <w:sz w:val="28"/>
          <w:szCs w:val="28"/>
        </w:rPr>
        <w:t>6. 乙方如给甲方造成的实际损失高于违约金的，对高出违约金的部分乙方应</w:t>
      </w:r>
      <w:r>
        <w:rPr>
          <w:rFonts w:hint="eastAsia" w:ascii="宋体" w:hAnsi="宋体" w:eastAsia="宋体" w:cs="宋体"/>
          <w:spacing w:val="-5"/>
          <w:sz w:val="28"/>
          <w:szCs w:val="28"/>
        </w:rPr>
        <w:t>予</w:t>
      </w:r>
      <w:r>
        <w:rPr>
          <w:rFonts w:hint="eastAsia" w:ascii="宋体" w:hAnsi="宋体" w:eastAsia="宋体" w:cs="宋体"/>
          <w:spacing w:val="-2"/>
          <w:sz w:val="28"/>
          <w:szCs w:val="28"/>
        </w:rPr>
        <w:t>以赔偿。</w:t>
      </w:r>
    </w:p>
    <w:p w14:paraId="17692610">
      <w:pPr>
        <w:spacing w:before="179" w:line="360" w:lineRule="auto"/>
        <w:ind w:left="130" w:right="52" w:firstLine="482"/>
        <w:jc w:val="both"/>
        <w:rPr>
          <w:rFonts w:hint="eastAsia" w:ascii="宋体" w:hAnsi="宋体" w:eastAsia="宋体" w:cs="宋体"/>
          <w:sz w:val="28"/>
          <w:szCs w:val="28"/>
        </w:rPr>
      </w:pPr>
      <w:r>
        <w:rPr>
          <w:rFonts w:hint="eastAsia" w:ascii="宋体" w:hAnsi="宋体" w:eastAsia="宋体" w:cs="宋体"/>
          <w:spacing w:val="-2"/>
          <w:sz w:val="28"/>
          <w:szCs w:val="28"/>
        </w:rPr>
        <w:t>7. 乙方如迟延履行合同、不完全履行合同，除支付违约金外，乙</w:t>
      </w:r>
      <w:r>
        <w:rPr>
          <w:rFonts w:hint="eastAsia" w:ascii="宋体" w:hAnsi="宋体" w:eastAsia="宋体" w:cs="宋体"/>
          <w:spacing w:val="-3"/>
          <w:sz w:val="28"/>
          <w:szCs w:val="28"/>
        </w:rPr>
        <w:t>方仍应继续</w:t>
      </w:r>
      <w:r>
        <w:rPr>
          <w:rFonts w:hint="eastAsia" w:ascii="宋体" w:hAnsi="宋体" w:eastAsia="宋体" w:cs="宋体"/>
          <w:sz w:val="28"/>
          <w:szCs w:val="28"/>
        </w:rPr>
        <w:t xml:space="preserve"> </w:t>
      </w:r>
      <w:r>
        <w:rPr>
          <w:rFonts w:hint="eastAsia" w:ascii="宋体" w:hAnsi="宋体" w:eastAsia="宋体" w:cs="宋体"/>
          <w:spacing w:val="-1"/>
          <w:sz w:val="28"/>
          <w:szCs w:val="28"/>
        </w:rPr>
        <w:t>履行合同；乙方逾期达</w:t>
      </w:r>
      <w:r>
        <w:rPr>
          <w:rFonts w:hint="eastAsia" w:ascii="宋体" w:hAnsi="宋体" w:eastAsia="宋体" w:cs="宋体"/>
          <w:spacing w:val="-1"/>
          <w:sz w:val="28"/>
          <w:szCs w:val="28"/>
          <w:u w:val="single" w:color="auto"/>
        </w:rPr>
        <w:t xml:space="preserve"> 10 </w:t>
      </w:r>
      <w:r>
        <w:rPr>
          <w:rFonts w:hint="eastAsia" w:ascii="宋体" w:hAnsi="宋体" w:eastAsia="宋体" w:cs="宋体"/>
          <w:spacing w:val="-1"/>
          <w:sz w:val="28"/>
          <w:szCs w:val="28"/>
        </w:rPr>
        <w:t>天或达到误期违约金最高限</w:t>
      </w:r>
      <w:r>
        <w:rPr>
          <w:rFonts w:hint="eastAsia" w:ascii="宋体" w:hAnsi="宋体" w:eastAsia="宋体" w:cs="宋体"/>
          <w:spacing w:val="-2"/>
          <w:sz w:val="28"/>
          <w:szCs w:val="28"/>
        </w:rPr>
        <w:t>额时（最高限额为</w:t>
      </w:r>
      <w:r>
        <w:rPr>
          <w:rFonts w:hint="eastAsia" w:ascii="宋体" w:hAnsi="宋体" w:eastAsia="宋体" w:cs="宋体"/>
          <w:spacing w:val="-60"/>
          <w:sz w:val="28"/>
          <w:szCs w:val="28"/>
        </w:rPr>
        <w:t xml:space="preserve"> </w:t>
      </w:r>
      <w:r>
        <w:rPr>
          <w:rFonts w:hint="eastAsia" w:ascii="宋体" w:hAnsi="宋体" w:eastAsia="宋体" w:cs="宋体"/>
          <w:spacing w:val="-32"/>
          <w:sz w:val="28"/>
          <w:szCs w:val="28"/>
          <w:u w:val="single" w:color="auto"/>
        </w:rPr>
        <w:t xml:space="preserve"> </w:t>
      </w:r>
      <w:r>
        <w:rPr>
          <w:rFonts w:hint="eastAsia" w:ascii="宋体" w:hAnsi="宋体" w:eastAsia="宋体" w:cs="宋体"/>
          <w:spacing w:val="-2"/>
          <w:sz w:val="28"/>
          <w:szCs w:val="28"/>
          <w:u w:val="single" w:color="auto"/>
          <w:lang w:val="en-US" w:eastAsia="zh-CN"/>
        </w:rPr>
        <w:t>3</w:t>
      </w:r>
      <w:r>
        <w:rPr>
          <w:rFonts w:hint="eastAsia" w:ascii="宋体" w:hAnsi="宋体" w:eastAsia="宋体" w:cs="宋体"/>
          <w:spacing w:val="18"/>
          <w:sz w:val="28"/>
          <w:szCs w:val="28"/>
          <w:u w:val="single" w:color="auto"/>
        </w:rPr>
        <w:t xml:space="preserve"> </w:t>
      </w:r>
      <w:r>
        <w:rPr>
          <w:rFonts w:hint="eastAsia" w:ascii="宋体" w:hAnsi="宋体" w:eastAsia="宋体" w:cs="宋体"/>
          <w:spacing w:val="-2"/>
          <w:sz w:val="28"/>
          <w:szCs w:val="28"/>
          <w:u w:val="single" w:color="auto"/>
        </w:rPr>
        <w:t>万</w:t>
      </w:r>
      <w:r>
        <w:rPr>
          <w:rFonts w:hint="eastAsia" w:ascii="宋体" w:hAnsi="宋体" w:eastAsia="宋体" w:cs="宋体"/>
          <w:spacing w:val="-1"/>
          <w:sz w:val="28"/>
          <w:szCs w:val="28"/>
          <w:u w:val="single" w:color="auto"/>
        </w:rPr>
        <w:t>元</w:t>
      </w:r>
      <w:r>
        <w:rPr>
          <w:rFonts w:hint="eastAsia" w:ascii="宋体" w:hAnsi="宋体" w:eastAsia="宋体" w:cs="宋体"/>
          <w:spacing w:val="6"/>
          <w:sz w:val="28"/>
          <w:szCs w:val="28"/>
        </w:rPr>
        <w:t>），</w:t>
      </w:r>
      <w:r>
        <w:rPr>
          <w:rFonts w:hint="eastAsia" w:ascii="宋体" w:hAnsi="宋体" w:eastAsia="宋体" w:cs="宋体"/>
          <w:spacing w:val="-1"/>
          <w:sz w:val="28"/>
          <w:szCs w:val="28"/>
        </w:rPr>
        <w:t>甲方均有权解除合同，并就乙方违约给甲方造成的损失向乙方</w:t>
      </w:r>
      <w:r>
        <w:rPr>
          <w:rFonts w:hint="eastAsia" w:ascii="宋体" w:hAnsi="宋体" w:eastAsia="宋体" w:cs="宋体"/>
          <w:spacing w:val="-2"/>
          <w:sz w:val="28"/>
          <w:szCs w:val="28"/>
        </w:rPr>
        <w:t>索赔。</w:t>
      </w:r>
    </w:p>
    <w:p w14:paraId="3DEF7657">
      <w:pPr>
        <w:spacing w:before="179" w:line="360" w:lineRule="auto"/>
        <w:ind w:left="130" w:right="52" w:firstLine="482"/>
        <w:jc w:val="both"/>
        <w:rPr>
          <w:rFonts w:hint="eastAsia" w:ascii="宋体" w:hAnsi="宋体" w:eastAsia="宋体" w:cs="宋体"/>
          <w:spacing w:val="-2"/>
          <w:sz w:val="28"/>
          <w:szCs w:val="28"/>
        </w:rPr>
      </w:pPr>
      <w:r>
        <w:rPr>
          <w:rFonts w:hint="eastAsia" w:ascii="宋体" w:hAnsi="宋体" w:eastAsia="宋体" w:cs="宋体"/>
          <w:spacing w:val="-2"/>
          <w:sz w:val="28"/>
          <w:szCs w:val="28"/>
        </w:rPr>
        <w:t>8. 乙方未能履行合同义务（除不可抗力因素外），不能完成管理和采购目标，甲方有权要求乙方给予甲方经济赔偿。</w:t>
      </w:r>
    </w:p>
    <w:p w14:paraId="05BF4FA2">
      <w:pPr>
        <w:spacing w:before="179" w:line="360" w:lineRule="auto"/>
        <w:ind w:left="130" w:right="52" w:firstLine="482"/>
        <w:jc w:val="both"/>
        <w:rPr>
          <w:rFonts w:hint="eastAsia" w:ascii="宋体" w:hAnsi="宋体" w:eastAsia="宋体" w:cs="宋体"/>
          <w:sz w:val="28"/>
          <w:szCs w:val="28"/>
        </w:rPr>
      </w:pPr>
      <w:r>
        <w:rPr>
          <w:rFonts w:hint="eastAsia" w:ascii="宋体" w:hAnsi="宋体" w:eastAsia="宋体" w:cs="宋体"/>
          <w:spacing w:val="-2"/>
          <w:sz w:val="28"/>
          <w:szCs w:val="28"/>
        </w:rPr>
        <w:t>9. 乙方应对所提供的货物或服务与合同要求不符、或履行合同过程出现的失误按下述情形及规定承担相应责任：乙方未按照约定履行合同或出现重大差错，甲方有权扣除乙方应完成任务的相应费用并就因此带来的损失向乙方索赔。</w:t>
      </w:r>
    </w:p>
    <w:p w14:paraId="04BFD54E">
      <w:pPr>
        <w:spacing w:before="259" w:line="222" w:lineRule="auto"/>
        <w:ind w:left="520"/>
        <w:rPr>
          <w:rFonts w:hint="eastAsia" w:ascii="宋体" w:hAnsi="宋体" w:eastAsia="宋体" w:cs="宋体"/>
          <w:sz w:val="28"/>
          <w:szCs w:val="28"/>
        </w:rPr>
      </w:pPr>
      <w:r>
        <w:rPr>
          <w:rFonts w:hint="eastAsia" w:ascii="宋体" w:hAnsi="宋体" w:eastAsia="宋体" w:cs="宋体"/>
          <w:spacing w:val="-5"/>
          <w:sz w:val="28"/>
          <w:szCs w:val="28"/>
          <w14:textOutline w14:w="4358" w14:cap="sq" w14:cmpd="sng">
            <w14:solidFill>
              <w14:srgbClr w14:val="000000"/>
            </w14:solidFill>
            <w14:prstDash w14:val="solid"/>
            <w14:bevel/>
          </w14:textOutline>
        </w:rPr>
        <w:t>1.8</w:t>
      </w:r>
      <w:r>
        <w:rPr>
          <w:rFonts w:hint="eastAsia" w:ascii="宋体" w:hAnsi="宋体" w:eastAsia="宋体" w:cs="宋体"/>
          <w:spacing w:val="30"/>
          <w:sz w:val="28"/>
          <w:szCs w:val="28"/>
        </w:rPr>
        <w:t xml:space="preserve"> </w:t>
      </w:r>
      <w:r>
        <w:rPr>
          <w:rFonts w:hint="eastAsia" w:ascii="宋体" w:hAnsi="宋体" w:eastAsia="宋体" w:cs="宋体"/>
          <w:spacing w:val="-5"/>
          <w:sz w:val="28"/>
          <w:szCs w:val="28"/>
          <w14:textOutline w14:w="4358" w14:cap="sq" w14:cmpd="sng">
            <w14:solidFill>
              <w14:srgbClr w14:val="000000"/>
            </w14:solidFill>
            <w14:prstDash w14:val="solid"/>
            <w14:bevel/>
          </w14:textOutline>
        </w:rPr>
        <w:t>合同争议的解决</w:t>
      </w:r>
    </w:p>
    <w:p w14:paraId="5C9A3DD8">
      <w:pPr>
        <w:spacing w:before="179" w:line="360" w:lineRule="auto"/>
        <w:ind w:left="30" w:right="65" w:firstLine="480"/>
        <w:rPr>
          <w:rFonts w:hint="eastAsia" w:ascii="宋体" w:hAnsi="宋体" w:eastAsia="宋体" w:cs="宋体"/>
          <w:sz w:val="28"/>
          <w:szCs w:val="28"/>
        </w:rPr>
      </w:pPr>
      <w:r>
        <w:rPr>
          <w:rFonts w:hint="eastAsia" w:ascii="宋体" w:hAnsi="宋体" w:eastAsia="宋体" w:cs="宋体"/>
          <w:spacing w:val="-2"/>
          <w:sz w:val="28"/>
          <w:szCs w:val="28"/>
        </w:rPr>
        <w:t>本合同履行过程中发生的任何争议，双方当事人均可通过和解或者调解解决；不愿和解、调解或者和解、调解不成的，可以选择下列</w:t>
      </w:r>
      <w:r>
        <w:rPr>
          <w:rFonts w:hint="eastAsia" w:ascii="宋体" w:hAnsi="宋体" w:eastAsia="宋体" w:cs="宋体"/>
          <w:spacing w:val="-4"/>
          <w:sz w:val="28"/>
          <w:szCs w:val="28"/>
        </w:rPr>
        <w:t>第</w:t>
      </w:r>
      <w:r>
        <w:rPr>
          <w:rFonts w:hint="eastAsia" w:ascii="宋体" w:hAnsi="宋体" w:eastAsia="宋体" w:cs="宋体"/>
          <w:spacing w:val="-4"/>
          <w:sz w:val="28"/>
          <w:szCs w:val="28"/>
          <w:u w:val="single" w:color="auto"/>
        </w:rPr>
        <w:t xml:space="preserve">        </w:t>
      </w:r>
      <w:r>
        <w:rPr>
          <w:rFonts w:hint="eastAsia" w:ascii="宋体" w:hAnsi="宋体" w:eastAsia="宋体" w:cs="宋体"/>
          <w:spacing w:val="-102"/>
          <w:sz w:val="28"/>
          <w:szCs w:val="28"/>
        </w:rPr>
        <w:t xml:space="preserve"> </w:t>
      </w:r>
      <w:r>
        <w:rPr>
          <w:rFonts w:hint="eastAsia" w:ascii="宋体" w:hAnsi="宋体" w:eastAsia="宋体" w:cs="宋体"/>
          <w:spacing w:val="-4"/>
          <w:sz w:val="28"/>
          <w:szCs w:val="28"/>
        </w:rPr>
        <w:t>种方式解</w:t>
      </w:r>
      <w:r>
        <w:rPr>
          <w:rFonts w:hint="eastAsia" w:ascii="宋体" w:hAnsi="宋体" w:eastAsia="宋体" w:cs="宋体"/>
          <w:spacing w:val="-9"/>
          <w:sz w:val="28"/>
          <w:szCs w:val="28"/>
        </w:rPr>
        <w:t>决：</w:t>
      </w:r>
    </w:p>
    <w:p w14:paraId="131F1A68">
      <w:pPr>
        <w:spacing w:before="179" w:line="360" w:lineRule="auto"/>
        <w:ind w:left="30" w:right="65" w:firstLine="480"/>
        <w:rPr>
          <w:rFonts w:hint="eastAsia" w:ascii="宋体" w:hAnsi="宋体" w:eastAsia="宋体" w:cs="宋体"/>
          <w:spacing w:val="-2"/>
          <w:sz w:val="28"/>
          <w:szCs w:val="28"/>
        </w:rPr>
      </w:pPr>
      <w:r>
        <w:rPr>
          <w:rFonts w:hint="eastAsia" w:ascii="宋体" w:hAnsi="宋体" w:eastAsia="宋体" w:cs="宋体"/>
          <w:spacing w:val="-4"/>
          <w:sz w:val="28"/>
          <w:szCs w:val="28"/>
        </w:rPr>
        <w:t>（1）将争议提交</w:t>
      </w:r>
      <w:r>
        <w:rPr>
          <w:rFonts w:hint="eastAsia" w:ascii="宋体" w:hAnsi="宋体" w:eastAsia="宋体" w:cs="宋体"/>
          <w:spacing w:val="-4"/>
          <w:sz w:val="28"/>
          <w:szCs w:val="28"/>
          <w:u w:val="single" w:color="auto"/>
        </w:rPr>
        <w:t xml:space="preserve">         </w:t>
      </w:r>
      <w:r>
        <w:rPr>
          <w:rFonts w:hint="eastAsia" w:ascii="宋体" w:hAnsi="宋体" w:eastAsia="宋体" w:cs="宋体"/>
          <w:spacing w:val="-84"/>
          <w:sz w:val="28"/>
          <w:szCs w:val="28"/>
        </w:rPr>
        <w:t xml:space="preserve"> </w:t>
      </w:r>
      <w:r>
        <w:rPr>
          <w:rFonts w:hint="eastAsia" w:ascii="宋体" w:hAnsi="宋体" w:eastAsia="宋体" w:cs="宋体"/>
          <w:spacing w:val="-4"/>
          <w:sz w:val="28"/>
          <w:szCs w:val="28"/>
        </w:rPr>
        <w:t>仲裁委员</w:t>
      </w:r>
      <w:r>
        <w:rPr>
          <w:rFonts w:hint="eastAsia" w:ascii="宋体" w:hAnsi="宋体" w:eastAsia="宋体" w:cs="宋体"/>
          <w:spacing w:val="-2"/>
          <w:sz w:val="28"/>
          <w:szCs w:val="28"/>
        </w:rPr>
        <w:t>会依申请仲裁时其现行有效的仲裁规则裁决；</w:t>
      </w:r>
    </w:p>
    <w:p w14:paraId="13E1510E">
      <w:pPr>
        <w:spacing w:before="180" w:line="222" w:lineRule="auto"/>
        <w:ind w:left="514"/>
        <w:rPr>
          <w:rFonts w:hint="eastAsia" w:ascii="宋体" w:hAnsi="宋体" w:eastAsia="宋体" w:cs="宋体"/>
          <w:sz w:val="28"/>
          <w:szCs w:val="28"/>
        </w:rPr>
      </w:pPr>
      <w:r>
        <w:rPr>
          <w:rFonts w:hint="eastAsia" w:ascii="宋体" w:hAnsi="宋体" w:eastAsia="宋体" w:cs="宋体"/>
          <w:spacing w:val="-8"/>
          <w:sz w:val="28"/>
          <w:szCs w:val="28"/>
        </w:rPr>
        <w:t xml:space="preserve">（2）向 </w:t>
      </w:r>
      <w:r>
        <w:rPr>
          <w:rFonts w:hint="eastAsia" w:ascii="宋体" w:hAnsi="宋体" w:eastAsia="宋体" w:cs="宋体"/>
          <w:sz w:val="28"/>
          <w:szCs w:val="28"/>
          <w:u w:val="single" w:color="auto"/>
        </w:rPr>
        <w:t xml:space="preserve">        </w:t>
      </w:r>
      <w:r>
        <w:rPr>
          <w:rFonts w:hint="eastAsia" w:ascii="宋体" w:hAnsi="宋体" w:eastAsia="宋体" w:cs="宋体"/>
          <w:spacing w:val="-100"/>
          <w:sz w:val="28"/>
          <w:szCs w:val="28"/>
        </w:rPr>
        <w:t xml:space="preserve"> </w:t>
      </w:r>
      <w:r>
        <w:rPr>
          <w:rFonts w:hint="eastAsia" w:ascii="宋体" w:hAnsi="宋体" w:eastAsia="宋体" w:cs="宋体"/>
          <w:spacing w:val="-8"/>
          <w:sz w:val="28"/>
          <w:szCs w:val="28"/>
        </w:rPr>
        <w:t>人民法院起诉。</w:t>
      </w:r>
    </w:p>
    <w:p w14:paraId="16BC8828">
      <w:pPr>
        <w:spacing w:before="179" w:line="223" w:lineRule="auto"/>
        <w:ind w:left="520"/>
        <w:rPr>
          <w:rFonts w:hint="eastAsia" w:ascii="宋体" w:hAnsi="宋体" w:eastAsia="宋体" w:cs="宋体"/>
          <w:sz w:val="28"/>
          <w:szCs w:val="28"/>
        </w:rPr>
      </w:pPr>
      <w:r>
        <w:rPr>
          <w:rFonts w:hint="eastAsia" w:ascii="宋体" w:hAnsi="宋体" w:eastAsia="宋体" w:cs="宋体"/>
          <w:spacing w:val="-7"/>
          <w:sz w:val="28"/>
          <w:szCs w:val="28"/>
          <w14:textOutline w14:w="4358" w14:cap="sq" w14:cmpd="sng">
            <w14:solidFill>
              <w14:srgbClr w14:val="000000"/>
            </w14:solidFill>
            <w14:prstDash w14:val="solid"/>
            <w14:bevel/>
          </w14:textOutline>
        </w:rPr>
        <w:t>1.9</w:t>
      </w:r>
      <w:r>
        <w:rPr>
          <w:rFonts w:hint="eastAsia" w:ascii="宋体" w:hAnsi="宋体" w:eastAsia="宋体" w:cs="宋体"/>
          <w:spacing w:val="26"/>
          <w:sz w:val="28"/>
          <w:szCs w:val="28"/>
        </w:rPr>
        <w:t xml:space="preserve"> </w:t>
      </w:r>
      <w:r>
        <w:rPr>
          <w:rFonts w:hint="eastAsia" w:ascii="宋体" w:hAnsi="宋体" w:eastAsia="宋体" w:cs="宋体"/>
          <w:spacing w:val="-7"/>
          <w:sz w:val="28"/>
          <w:szCs w:val="28"/>
          <w14:textOutline w14:w="4358" w14:cap="sq" w14:cmpd="sng">
            <w14:solidFill>
              <w14:srgbClr w14:val="000000"/>
            </w14:solidFill>
            <w14:prstDash w14:val="solid"/>
            <w14:bevel/>
          </w14:textOutline>
        </w:rPr>
        <w:t>合同生效</w:t>
      </w:r>
    </w:p>
    <w:p w14:paraId="6DE574C1">
      <w:pPr>
        <w:spacing w:before="178" w:line="360" w:lineRule="auto"/>
        <w:ind w:left="10" w:leftChars="0" w:firstLine="497" w:firstLineChars="183"/>
        <w:rPr>
          <w:rFonts w:hint="eastAsia" w:ascii="宋体" w:hAnsi="宋体" w:eastAsia="宋体" w:cs="宋体"/>
          <w:sz w:val="28"/>
          <w:szCs w:val="28"/>
        </w:rPr>
      </w:pPr>
      <w:r>
        <w:rPr>
          <w:rFonts w:hint="eastAsia" w:ascii="宋体" w:hAnsi="宋体" w:eastAsia="宋体" w:cs="宋体"/>
          <w:spacing w:val="-4"/>
          <w:sz w:val="28"/>
          <w:szCs w:val="28"/>
        </w:rPr>
        <w:t>本合同一式</w:t>
      </w:r>
      <w:r>
        <w:rPr>
          <w:rFonts w:hint="eastAsia" w:ascii="宋体" w:hAnsi="宋体" w:eastAsia="宋体" w:cs="宋体"/>
          <w:spacing w:val="-4"/>
          <w:sz w:val="28"/>
          <w:szCs w:val="28"/>
          <w:u w:val="single" w:color="auto"/>
        </w:rPr>
        <w:t xml:space="preserve">   </w:t>
      </w:r>
      <w:r>
        <w:rPr>
          <w:rFonts w:hint="eastAsia" w:ascii="宋体" w:hAnsi="宋体" w:eastAsia="宋体" w:cs="宋体"/>
          <w:spacing w:val="-95"/>
          <w:sz w:val="28"/>
          <w:szCs w:val="28"/>
        </w:rPr>
        <w:t xml:space="preserve"> </w:t>
      </w:r>
      <w:r>
        <w:rPr>
          <w:rFonts w:hint="eastAsia" w:ascii="宋体" w:hAnsi="宋体" w:eastAsia="宋体" w:cs="宋体"/>
          <w:spacing w:val="-4"/>
          <w:sz w:val="28"/>
          <w:szCs w:val="28"/>
        </w:rPr>
        <w:t>份，每份合计</w:t>
      </w:r>
      <w:r>
        <w:rPr>
          <w:rFonts w:hint="eastAsia" w:ascii="宋体" w:hAnsi="宋体" w:eastAsia="宋体" w:cs="宋体"/>
          <w:spacing w:val="-4"/>
          <w:sz w:val="28"/>
          <w:szCs w:val="28"/>
          <w:u w:val="single" w:color="auto"/>
        </w:rPr>
        <w:t xml:space="preserve">   </w:t>
      </w:r>
      <w:r>
        <w:rPr>
          <w:rFonts w:hint="eastAsia" w:ascii="宋体" w:hAnsi="宋体" w:eastAsia="宋体" w:cs="宋体"/>
          <w:spacing w:val="-92"/>
          <w:sz w:val="28"/>
          <w:szCs w:val="28"/>
        </w:rPr>
        <w:t xml:space="preserve"> </w:t>
      </w:r>
      <w:r>
        <w:rPr>
          <w:rFonts w:hint="eastAsia" w:ascii="宋体" w:hAnsi="宋体" w:eastAsia="宋体" w:cs="宋体"/>
          <w:spacing w:val="-4"/>
          <w:sz w:val="28"/>
          <w:szCs w:val="28"/>
        </w:rPr>
        <w:t>页，甲乙双方各执</w:t>
      </w:r>
      <w:r>
        <w:rPr>
          <w:rFonts w:hint="eastAsia" w:ascii="宋体" w:hAnsi="宋体" w:eastAsia="宋体" w:cs="宋体"/>
          <w:spacing w:val="-4"/>
          <w:sz w:val="28"/>
          <w:szCs w:val="28"/>
          <w:u w:val="single" w:color="auto"/>
        </w:rPr>
        <w:t xml:space="preserve">   </w:t>
      </w:r>
      <w:r>
        <w:rPr>
          <w:rFonts w:hint="eastAsia" w:ascii="宋体" w:hAnsi="宋体" w:eastAsia="宋体" w:cs="宋体"/>
          <w:spacing w:val="-104"/>
          <w:sz w:val="28"/>
          <w:szCs w:val="28"/>
        </w:rPr>
        <w:t xml:space="preserve"> </w:t>
      </w:r>
      <w:r>
        <w:rPr>
          <w:rFonts w:hint="eastAsia" w:ascii="宋体" w:hAnsi="宋体" w:eastAsia="宋体" w:cs="宋体"/>
          <w:spacing w:val="-4"/>
          <w:sz w:val="28"/>
          <w:szCs w:val="28"/>
        </w:rPr>
        <w:t>份，</w:t>
      </w:r>
      <w:r>
        <w:rPr>
          <w:rFonts w:hint="eastAsia" w:ascii="宋体" w:hAnsi="宋体" w:eastAsia="宋体" w:cs="宋体"/>
          <w:spacing w:val="-59"/>
          <w:sz w:val="28"/>
          <w:szCs w:val="28"/>
        </w:rPr>
        <w:t xml:space="preserve"> </w:t>
      </w:r>
      <w:r>
        <w:rPr>
          <w:rFonts w:hint="eastAsia" w:ascii="宋体" w:hAnsi="宋体" w:eastAsia="宋体" w:cs="宋体"/>
          <w:spacing w:val="-4"/>
          <w:sz w:val="28"/>
          <w:szCs w:val="28"/>
        </w:rPr>
        <w:t>自双</w:t>
      </w:r>
      <w:r>
        <w:rPr>
          <w:rFonts w:hint="eastAsia" w:ascii="宋体" w:hAnsi="宋体" w:eastAsia="宋体" w:cs="宋体"/>
          <w:spacing w:val="-2"/>
          <w:sz w:val="28"/>
          <w:szCs w:val="28"/>
        </w:rPr>
        <w:t>方事人签字盖章之日起生效</w:t>
      </w:r>
      <w:r>
        <w:rPr>
          <w:rFonts w:hint="eastAsia" w:ascii="宋体" w:hAnsi="宋体" w:eastAsia="宋体" w:cs="宋体"/>
          <w:spacing w:val="-3"/>
          <w:sz w:val="28"/>
          <w:szCs w:val="28"/>
        </w:rPr>
        <w:t>。</w:t>
      </w:r>
    </w:p>
    <w:p w14:paraId="4D7ADAA3">
      <w:pPr>
        <w:spacing w:before="179" w:line="360" w:lineRule="auto"/>
        <w:ind w:left="30" w:right="65" w:firstLine="480"/>
        <w:rPr>
          <w:rFonts w:hint="eastAsia" w:ascii="宋体" w:hAnsi="宋体" w:eastAsia="宋体" w:cs="宋体"/>
          <w:spacing w:val="-2"/>
          <w:sz w:val="28"/>
          <w:szCs w:val="28"/>
        </w:rPr>
      </w:pPr>
      <w:r>
        <w:rPr>
          <w:rFonts w:hint="eastAsia" w:ascii="宋体" w:hAnsi="宋体" w:eastAsia="宋体" w:cs="宋体"/>
          <w:spacing w:val="-2"/>
          <w:sz w:val="28"/>
          <w:szCs w:val="28"/>
        </w:rPr>
        <w:t>采购人（甲方）：</w:t>
      </w:r>
      <w:r>
        <w:rPr>
          <w:rFonts w:hint="eastAsia" w:ascii="宋体" w:hAnsi="宋体" w:eastAsia="宋体" w:cs="宋体"/>
          <w:spacing w:val="-2"/>
          <w:sz w:val="28"/>
          <w:szCs w:val="28"/>
          <w:lang w:val="en-US" w:eastAsia="zh-CN"/>
        </w:rPr>
        <w:t xml:space="preserve">                 </w:t>
      </w:r>
      <w:r>
        <w:rPr>
          <w:rFonts w:hint="eastAsia" w:ascii="宋体" w:hAnsi="宋体" w:eastAsia="宋体" w:cs="宋体"/>
          <w:spacing w:val="-2"/>
          <w:sz w:val="28"/>
          <w:szCs w:val="28"/>
        </w:rPr>
        <w:t>供应商（乙方）：</w:t>
      </w:r>
    </w:p>
    <w:p w14:paraId="4B7F4AB2">
      <w:pPr>
        <w:spacing w:before="179" w:line="360" w:lineRule="auto"/>
        <w:ind w:left="30" w:right="65" w:firstLine="480"/>
        <w:rPr>
          <w:rFonts w:hint="eastAsia" w:ascii="宋体" w:hAnsi="宋体" w:eastAsia="宋体" w:cs="宋体"/>
          <w:spacing w:val="-2"/>
          <w:sz w:val="28"/>
          <w:szCs w:val="28"/>
        </w:rPr>
      </w:pPr>
      <w:r>
        <w:rPr>
          <w:rFonts w:hint="eastAsia" w:ascii="宋体" w:hAnsi="宋体" w:eastAsia="宋体" w:cs="宋体"/>
          <w:spacing w:val="-2"/>
          <w:sz w:val="28"/>
          <w:szCs w:val="28"/>
        </w:rPr>
        <w:t>单位盖章：</w:t>
      </w:r>
      <w:r>
        <w:rPr>
          <w:rFonts w:hint="eastAsia" w:ascii="宋体" w:hAnsi="宋体" w:eastAsia="宋体" w:cs="宋体"/>
          <w:spacing w:val="-2"/>
          <w:sz w:val="28"/>
          <w:szCs w:val="28"/>
          <w:lang w:val="en-US" w:eastAsia="zh-CN"/>
        </w:rPr>
        <w:t xml:space="preserve">                       </w:t>
      </w:r>
      <w:r>
        <w:rPr>
          <w:rFonts w:hint="eastAsia" w:ascii="宋体" w:hAnsi="宋体" w:eastAsia="宋体" w:cs="宋体"/>
          <w:spacing w:val="-2"/>
          <w:sz w:val="28"/>
          <w:szCs w:val="28"/>
        </w:rPr>
        <w:t>单位盖章：</w:t>
      </w:r>
    </w:p>
    <w:p w14:paraId="1E2BAFB1">
      <w:pPr>
        <w:spacing w:before="179" w:line="360" w:lineRule="auto"/>
        <w:ind w:left="30" w:right="65" w:firstLine="480"/>
        <w:rPr>
          <w:rFonts w:hint="eastAsia" w:ascii="宋体" w:hAnsi="宋体" w:eastAsia="宋体" w:cs="宋体"/>
          <w:spacing w:val="-2"/>
          <w:sz w:val="28"/>
          <w:szCs w:val="28"/>
        </w:rPr>
      </w:pPr>
      <w:r>
        <w:rPr>
          <w:rFonts w:hint="eastAsia" w:ascii="宋体" w:hAnsi="宋体" w:eastAsia="宋体" w:cs="宋体"/>
          <w:spacing w:val="-2"/>
          <w:sz w:val="28"/>
          <w:szCs w:val="28"/>
        </w:rPr>
        <w:t>代表签字：</w:t>
      </w:r>
      <w:r>
        <w:rPr>
          <w:rFonts w:hint="eastAsia" w:ascii="宋体" w:hAnsi="宋体" w:eastAsia="宋体" w:cs="宋体"/>
          <w:spacing w:val="-2"/>
          <w:sz w:val="28"/>
          <w:szCs w:val="28"/>
          <w:lang w:val="en-US" w:eastAsia="zh-CN"/>
        </w:rPr>
        <w:t xml:space="preserve">                       </w:t>
      </w:r>
      <w:r>
        <w:rPr>
          <w:rFonts w:hint="eastAsia" w:ascii="宋体" w:hAnsi="宋体" w:eastAsia="宋体" w:cs="宋体"/>
          <w:spacing w:val="-2"/>
          <w:sz w:val="28"/>
          <w:szCs w:val="28"/>
        </w:rPr>
        <w:t>代表签字：</w:t>
      </w:r>
    </w:p>
    <w:p w14:paraId="313DD0DE">
      <w:pPr>
        <w:spacing w:before="179" w:line="360" w:lineRule="auto"/>
        <w:ind w:left="30" w:right="65" w:firstLine="480"/>
        <w:rPr>
          <w:rFonts w:hint="eastAsia" w:ascii="宋体" w:hAnsi="宋体" w:eastAsia="宋体" w:cs="宋体"/>
          <w:spacing w:val="-2"/>
          <w:sz w:val="28"/>
          <w:szCs w:val="28"/>
        </w:rPr>
      </w:pPr>
      <w:r>
        <w:rPr>
          <w:rFonts w:hint="eastAsia" w:ascii="宋体" w:hAnsi="宋体" w:eastAsia="宋体" w:cs="宋体"/>
          <w:spacing w:val="-2"/>
          <w:sz w:val="28"/>
          <w:szCs w:val="28"/>
        </w:rPr>
        <w:t>日    期：</w:t>
      </w:r>
      <w:r>
        <w:rPr>
          <w:rFonts w:hint="eastAsia" w:ascii="宋体" w:hAnsi="宋体" w:eastAsia="宋体" w:cs="宋体"/>
          <w:spacing w:val="-2"/>
          <w:sz w:val="28"/>
          <w:szCs w:val="28"/>
          <w:lang w:val="en-US" w:eastAsia="zh-CN"/>
        </w:rPr>
        <w:t xml:space="preserve">                       </w:t>
      </w:r>
      <w:r>
        <w:rPr>
          <w:rFonts w:hint="eastAsia" w:ascii="宋体" w:hAnsi="宋体" w:eastAsia="宋体" w:cs="宋体"/>
          <w:spacing w:val="-2"/>
          <w:sz w:val="28"/>
          <w:szCs w:val="28"/>
        </w:rPr>
        <w:t>日    期：</w:t>
      </w:r>
    </w:p>
    <w:p w14:paraId="409E85E7">
      <w:pPr>
        <w:spacing w:before="179" w:line="360" w:lineRule="auto"/>
        <w:ind w:left="30" w:right="65" w:firstLine="480"/>
        <w:rPr>
          <w:rFonts w:hint="eastAsia" w:ascii="宋体" w:hAnsi="宋体" w:eastAsia="宋体" w:cs="宋体"/>
          <w:b/>
          <w:bCs/>
          <w:spacing w:val="-2"/>
          <w:sz w:val="28"/>
          <w:szCs w:val="28"/>
        </w:rPr>
      </w:pPr>
    </w:p>
    <w:p w14:paraId="5B661B6E">
      <w:pPr>
        <w:snapToGrid w:val="0"/>
        <w:spacing w:line="324" w:lineRule="auto"/>
        <w:ind w:firstLine="480"/>
        <w:rPr>
          <w:rFonts w:hint="eastAsia" w:ascii="宋体" w:hAnsi="宋体" w:eastAsia="宋体" w:cs="宋体"/>
          <w:color w:val="auto"/>
          <w:sz w:val="28"/>
          <w:szCs w:val="28"/>
          <w:highlight w:val="none"/>
        </w:rPr>
      </w:pPr>
    </w:p>
    <w:p w14:paraId="67F9F7F6">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25A4F8F9">
      <w:pPr>
        <w:pStyle w:val="10"/>
        <w:rPr>
          <w:rFonts w:hint="eastAsia" w:ascii="宋体" w:hAnsi="宋体" w:eastAsia="宋体" w:cs="宋体"/>
          <w:color w:val="auto"/>
          <w:sz w:val="28"/>
          <w:szCs w:val="28"/>
          <w:highlight w:val="none"/>
        </w:rPr>
      </w:pPr>
    </w:p>
    <w:bookmarkEnd w:id="77"/>
    <w:p w14:paraId="66147F9B">
      <w:pPr>
        <w:numPr>
          <w:ilvl w:val="0"/>
          <w:numId w:val="6"/>
        </w:numPr>
        <w:kinsoku w:val="0"/>
        <w:overflowPunct w:val="0"/>
        <w:spacing w:line="360" w:lineRule="auto"/>
        <w:jc w:val="center"/>
        <w:outlineLvl w:val="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采购需求</w:t>
      </w:r>
    </w:p>
    <w:p w14:paraId="2B8153C4">
      <w:pPr>
        <w:spacing w:before="179" w:line="360" w:lineRule="auto"/>
        <w:ind w:left="130" w:right="52" w:firstLine="482"/>
        <w:jc w:val="both"/>
        <w:rPr>
          <w:rFonts w:hint="eastAsia" w:ascii="宋体" w:hAnsi="宋体" w:eastAsia="宋体" w:cs="宋体"/>
          <w:spacing w:val="-2"/>
          <w:sz w:val="28"/>
          <w:szCs w:val="28"/>
        </w:rPr>
      </w:pPr>
      <w:r>
        <w:rPr>
          <w:rFonts w:hint="eastAsia" w:ascii="宋体" w:hAnsi="宋体" w:eastAsia="宋体" w:cs="宋体"/>
          <w:spacing w:val="-2"/>
          <w:sz w:val="28"/>
          <w:szCs w:val="28"/>
        </w:rPr>
        <w:t>一、项目基本情况</w:t>
      </w:r>
    </w:p>
    <w:p w14:paraId="30F1098C">
      <w:pPr>
        <w:spacing w:before="179" w:line="360" w:lineRule="auto"/>
        <w:ind w:left="130" w:right="52" w:firstLine="482"/>
        <w:jc w:val="both"/>
        <w:rPr>
          <w:rFonts w:hint="eastAsia" w:ascii="宋体" w:hAnsi="宋体" w:eastAsia="宋体" w:cs="宋体"/>
          <w:spacing w:val="-2"/>
          <w:sz w:val="28"/>
          <w:szCs w:val="28"/>
        </w:rPr>
      </w:pPr>
      <w:r>
        <w:rPr>
          <w:rFonts w:hint="eastAsia" w:ascii="宋体" w:hAnsi="宋体" w:eastAsia="宋体" w:cs="宋体"/>
          <w:spacing w:val="-2"/>
          <w:sz w:val="28"/>
          <w:szCs w:val="28"/>
        </w:rPr>
        <w:t>项目名称</w:t>
      </w:r>
      <w:r>
        <w:rPr>
          <w:rFonts w:hint="eastAsia" w:ascii="宋体" w:hAnsi="宋体" w:eastAsia="宋体" w:cs="宋体"/>
          <w:spacing w:val="-2"/>
          <w:sz w:val="28"/>
          <w:szCs w:val="28"/>
          <w:lang w:eastAsia="zh-CN"/>
        </w:rPr>
        <w:t>：</w:t>
      </w:r>
      <w:r>
        <w:rPr>
          <w:rFonts w:hint="eastAsia" w:ascii="宋体" w:hAnsi="宋体" w:eastAsia="宋体" w:cs="宋体"/>
          <w:spacing w:val="-2"/>
          <w:sz w:val="28"/>
          <w:szCs w:val="28"/>
        </w:rPr>
        <w:t>新疆维吾尔自治区退役军人事务厅新闻媒体合作项目</w:t>
      </w:r>
    </w:p>
    <w:p w14:paraId="48AAEECD">
      <w:pPr>
        <w:spacing w:before="179" w:line="360" w:lineRule="auto"/>
        <w:ind w:left="130" w:right="52" w:firstLine="482"/>
        <w:jc w:val="both"/>
        <w:rPr>
          <w:rFonts w:hint="eastAsia" w:ascii="宋体" w:hAnsi="宋体" w:eastAsia="宋体" w:cs="宋体"/>
          <w:spacing w:val="-2"/>
          <w:sz w:val="28"/>
          <w:szCs w:val="28"/>
        </w:rPr>
      </w:pPr>
      <w:r>
        <w:rPr>
          <w:rFonts w:hint="eastAsia" w:ascii="宋体" w:hAnsi="宋体" w:eastAsia="宋体" w:cs="宋体"/>
          <w:spacing w:val="-2"/>
          <w:sz w:val="28"/>
          <w:szCs w:val="28"/>
        </w:rPr>
        <w:t>预算金额</w:t>
      </w:r>
      <w:r>
        <w:rPr>
          <w:rFonts w:hint="eastAsia" w:ascii="宋体" w:hAnsi="宋体" w:eastAsia="宋体" w:cs="宋体"/>
          <w:spacing w:val="-2"/>
          <w:sz w:val="28"/>
          <w:szCs w:val="28"/>
          <w:lang w:eastAsia="zh-CN"/>
        </w:rPr>
        <w:t>：</w:t>
      </w:r>
      <w:r>
        <w:rPr>
          <w:rFonts w:hint="eastAsia" w:ascii="宋体" w:hAnsi="宋体" w:eastAsia="宋体" w:cs="宋体"/>
          <w:spacing w:val="-2"/>
          <w:sz w:val="28"/>
          <w:szCs w:val="28"/>
        </w:rPr>
        <w:t>42.8万</w:t>
      </w:r>
    </w:p>
    <w:p w14:paraId="38437B7B">
      <w:pPr>
        <w:spacing w:before="179" w:line="360" w:lineRule="auto"/>
        <w:ind w:left="130" w:right="52" w:firstLine="482"/>
        <w:jc w:val="both"/>
        <w:rPr>
          <w:rFonts w:hint="eastAsia" w:ascii="宋体" w:hAnsi="宋体" w:eastAsia="宋体" w:cs="宋体"/>
          <w:spacing w:val="-2"/>
          <w:sz w:val="28"/>
          <w:szCs w:val="28"/>
        </w:rPr>
      </w:pPr>
      <w:r>
        <w:rPr>
          <w:rFonts w:hint="eastAsia" w:ascii="宋体" w:hAnsi="宋体" w:eastAsia="宋体" w:cs="宋体"/>
          <w:spacing w:val="-2"/>
          <w:sz w:val="28"/>
          <w:szCs w:val="28"/>
        </w:rPr>
        <w:t>二、项目需求</w:t>
      </w:r>
    </w:p>
    <w:p w14:paraId="5FBD5CA9">
      <w:pPr>
        <w:spacing w:before="179" w:line="360" w:lineRule="auto"/>
        <w:ind w:left="130" w:right="52" w:firstLine="482"/>
        <w:jc w:val="both"/>
        <w:rPr>
          <w:rFonts w:hint="eastAsia" w:ascii="宋体" w:hAnsi="宋体" w:eastAsia="宋体" w:cs="宋体"/>
          <w:spacing w:val="-2"/>
          <w:sz w:val="28"/>
          <w:szCs w:val="28"/>
          <w:lang w:eastAsia="zh-CN"/>
        </w:rPr>
      </w:pPr>
      <w:r>
        <w:rPr>
          <w:rFonts w:hint="eastAsia" w:ascii="宋体" w:hAnsi="宋体" w:eastAsia="宋体" w:cs="宋体"/>
          <w:spacing w:val="-2"/>
          <w:sz w:val="28"/>
          <w:szCs w:val="28"/>
        </w:rPr>
        <w:t>为深入贯彻习近</w:t>
      </w:r>
      <w:r>
        <w:rPr>
          <w:rFonts w:hint="eastAsia" w:ascii="宋体" w:hAnsi="宋体" w:eastAsia="宋体" w:cs="宋体"/>
          <w:spacing w:val="-2"/>
          <w:sz w:val="28"/>
          <w:szCs w:val="28"/>
          <w:lang w:eastAsia="zh-CN"/>
        </w:rPr>
        <w:t>平</w:t>
      </w:r>
      <w:r>
        <w:rPr>
          <w:rFonts w:hint="eastAsia" w:ascii="宋体" w:hAnsi="宋体" w:eastAsia="宋体" w:cs="宋体"/>
          <w:spacing w:val="-2"/>
          <w:sz w:val="28"/>
          <w:szCs w:val="28"/>
        </w:rPr>
        <w:t>总书记关于退役军人工作的重要论述和重要指示批示精神，贯彻落实自治区党委十届十二次、十三次全会以及自治区两会精神，依托“报、网、端、微”全媒体平台展示全区退役军人事务系统统筹推进退役军人服务保障体系建设，退役军人先进典型事迹宣传等方面的各项举措，通过文字、图片</w:t>
      </w:r>
      <w:r>
        <w:rPr>
          <w:rFonts w:hint="eastAsia" w:ascii="宋体" w:hAnsi="宋体" w:eastAsia="宋体" w:cs="宋体"/>
          <w:spacing w:val="-2"/>
          <w:sz w:val="28"/>
          <w:szCs w:val="28"/>
          <w:lang w:eastAsia="zh-CN"/>
        </w:rPr>
        <w:t>、</w:t>
      </w:r>
      <w:r>
        <w:rPr>
          <w:rFonts w:hint="eastAsia" w:ascii="宋体" w:hAnsi="宋体" w:eastAsia="宋体" w:cs="宋体"/>
          <w:spacing w:val="-2"/>
          <w:sz w:val="28"/>
          <w:szCs w:val="28"/>
        </w:rPr>
        <w:t>视频等方式进行宣传。主要采购内容包括</w:t>
      </w:r>
      <w:r>
        <w:rPr>
          <w:rFonts w:hint="eastAsia" w:ascii="宋体" w:hAnsi="宋体" w:eastAsia="宋体" w:cs="宋体"/>
          <w:spacing w:val="-2"/>
          <w:sz w:val="28"/>
          <w:szCs w:val="28"/>
          <w:lang w:eastAsia="zh-CN"/>
        </w:rPr>
        <w:t>：</w:t>
      </w:r>
    </w:p>
    <w:p w14:paraId="4509866E">
      <w:pPr>
        <w:spacing w:before="179" w:line="360" w:lineRule="auto"/>
        <w:ind w:left="130" w:right="52" w:firstLine="482"/>
        <w:jc w:val="both"/>
        <w:rPr>
          <w:rFonts w:hint="eastAsia" w:ascii="宋体" w:hAnsi="宋体" w:eastAsia="宋体" w:cs="宋体"/>
          <w:b/>
          <w:bCs/>
          <w:spacing w:val="-2"/>
          <w:sz w:val="28"/>
          <w:szCs w:val="28"/>
        </w:rPr>
      </w:pPr>
      <w:r>
        <w:rPr>
          <w:rFonts w:hint="eastAsia" w:ascii="宋体" w:hAnsi="宋体" w:eastAsia="宋体" w:cs="宋体"/>
          <w:b/>
          <w:bCs/>
          <w:spacing w:val="-2"/>
          <w:sz w:val="28"/>
          <w:szCs w:val="28"/>
        </w:rPr>
        <w:t>标项一：新疆维吾尔自治区退役军人事务厅新闻媒体合作项目（专题宣传）(10.5 万元)</w:t>
      </w:r>
    </w:p>
    <w:p w14:paraId="17785193">
      <w:pPr>
        <w:spacing w:before="179" w:line="360" w:lineRule="auto"/>
        <w:ind w:left="130" w:right="52" w:firstLine="482"/>
        <w:jc w:val="both"/>
        <w:rPr>
          <w:rFonts w:hint="eastAsia" w:ascii="宋体" w:hAnsi="宋体" w:eastAsia="宋体" w:cs="宋体"/>
          <w:spacing w:val="-2"/>
          <w:sz w:val="28"/>
          <w:szCs w:val="28"/>
        </w:rPr>
      </w:pPr>
      <w:r>
        <w:rPr>
          <w:rFonts w:hint="eastAsia" w:ascii="宋体" w:hAnsi="宋体" w:eastAsia="宋体" w:cs="宋体"/>
          <w:spacing w:val="-2"/>
          <w:sz w:val="28"/>
          <w:szCs w:val="28"/>
        </w:rPr>
        <w:t>（一）服务内容</w:t>
      </w:r>
    </w:p>
    <w:p w14:paraId="3EE3F068">
      <w:pPr>
        <w:spacing w:before="179" w:line="360" w:lineRule="auto"/>
        <w:ind w:left="130" w:right="52" w:firstLine="482"/>
        <w:jc w:val="both"/>
        <w:rPr>
          <w:rFonts w:hint="eastAsia" w:ascii="宋体" w:hAnsi="宋体" w:eastAsia="宋体" w:cs="宋体"/>
          <w:spacing w:val="-2"/>
          <w:sz w:val="28"/>
          <w:szCs w:val="28"/>
        </w:rPr>
      </w:pPr>
      <w:r>
        <w:rPr>
          <w:rFonts w:hint="eastAsia" w:ascii="宋体" w:hAnsi="宋体" w:eastAsia="宋体" w:cs="宋体"/>
          <w:spacing w:val="-2"/>
          <w:sz w:val="28"/>
          <w:szCs w:val="28"/>
        </w:rPr>
        <w:t>借助中央媒体驻疆机构宣传平台和传播渠道开设新疆退役军人工作宣传专题，重点围绕2025年退役军人事务厅的重点工作部署和亮点，通过党媒平台推送展现新疆退役军人的相关内容，提升新疆退役军人工作的传播力、影响力。</w:t>
      </w:r>
    </w:p>
    <w:p w14:paraId="276A11F5">
      <w:pPr>
        <w:spacing w:before="179" w:line="360" w:lineRule="auto"/>
        <w:ind w:left="130" w:right="52" w:firstLine="482"/>
        <w:jc w:val="both"/>
        <w:rPr>
          <w:rFonts w:hint="eastAsia" w:ascii="宋体" w:hAnsi="宋体" w:eastAsia="宋体" w:cs="宋体"/>
          <w:spacing w:val="-2"/>
          <w:sz w:val="28"/>
          <w:szCs w:val="28"/>
        </w:rPr>
      </w:pPr>
      <w:r>
        <w:rPr>
          <w:rFonts w:hint="eastAsia" w:ascii="宋体" w:hAnsi="宋体" w:eastAsia="宋体" w:cs="宋体"/>
          <w:spacing w:val="-2"/>
          <w:sz w:val="28"/>
          <w:szCs w:val="28"/>
        </w:rPr>
        <w:t>1.在中央级媒体相关平台发布凸显新疆退役军人事务工作特色的形象广告，宣传自治区退役军人宝贵精神和优良传统。</w:t>
      </w:r>
    </w:p>
    <w:p w14:paraId="0583724D">
      <w:pPr>
        <w:spacing w:before="179" w:line="360" w:lineRule="auto"/>
        <w:ind w:left="130" w:right="52" w:firstLine="482"/>
        <w:jc w:val="both"/>
        <w:rPr>
          <w:rFonts w:hint="eastAsia" w:ascii="宋体" w:hAnsi="宋体" w:eastAsia="宋体" w:cs="宋体"/>
          <w:spacing w:val="-2"/>
          <w:sz w:val="28"/>
          <w:szCs w:val="28"/>
        </w:rPr>
      </w:pPr>
      <w:r>
        <w:rPr>
          <w:rFonts w:hint="eastAsia" w:ascii="宋体" w:hAnsi="宋体" w:eastAsia="宋体" w:cs="宋体"/>
          <w:spacing w:val="-2"/>
          <w:sz w:val="28"/>
          <w:szCs w:val="28"/>
        </w:rPr>
        <w:t>2.搭建自治区退役军人事务厅专题，并持续进行信息推送，对自治区退役军人事务厅重点工作部署和亮点等方面进行整体宣传，通过新疆频道面向全疆、全国进行宣传推广。</w:t>
      </w:r>
    </w:p>
    <w:p w14:paraId="2C053BB3">
      <w:pPr>
        <w:spacing w:before="179" w:line="360" w:lineRule="auto"/>
        <w:ind w:left="130" w:right="52" w:firstLine="482"/>
        <w:jc w:val="both"/>
        <w:rPr>
          <w:rFonts w:hint="eastAsia" w:ascii="宋体" w:hAnsi="宋体" w:eastAsia="宋体" w:cs="宋体"/>
          <w:spacing w:val="-2"/>
          <w:sz w:val="28"/>
          <w:szCs w:val="28"/>
        </w:rPr>
      </w:pPr>
      <w:r>
        <w:rPr>
          <w:rFonts w:hint="eastAsia" w:ascii="宋体" w:hAnsi="宋体" w:eastAsia="宋体" w:cs="宋体"/>
          <w:spacing w:val="-2"/>
          <w:sz w:val="28"/>
          <w:szCs w:val="28"/>
        </w:rPr>
        <w:t>3.对新疆退役军人工作重大活动或新闻线索中央媒体驻疆机构视情况优先安排专人进行支持，对重点内容及时推送。</w:t>
      </w:r>
    </w:p>
    <w:p w14:paraId="07F13E6A">
      <w:pPr>
        <w:spacing w:before="179" w:line="360" w:lineRule="auto"/>
        <w:ind w:left="130" w:right="52" w:firstLine="482"/>
        <w:jc w:val="both"/>
        <w:rPr>
          <w:rFonts w:hint="eastAsia" w:ascii="宋体" w:hAnsi="宋体" w:eastAsia="宋体" w:cs="宋体"/>
          <w:spacing w:val="-2"/>
          <w:sz w:val="28"/>
          <w:szCs w:val="28"/>
        </w:rPr>
      </w:pPr>
      <w:r>
        <w:rPr>
          <w:rFonts w:hint="eastAsia" w:ascii="宋体" w:hAnsi="宋体" w:eastAsia="宋体" w:cs="宋体"/>
          <w:spacing w:val="-2"/>
          <w:sz w:val="28"/>
          <w:szCs w:val="28"/>
        </w:rPr>
        <w:t>（二）服务要求</w:t>
      </w:r>
    </w:p>
    <w:p w14:paraId="3D7003DA">
      <w:pPr>
        <w:spacing w:before="179" w:line="360" w:lineRule="auto"/>
        <w:ind w:left="130" w:right="52" w:firstLine="482"/>
        <w:jc w:val="both"/>
        <w:rPr>
          <w:rFonts w:hint="eastAsia" w:ascii="宋体" w:hAnsi="宋体" w:eastAsia="宋体" w:cs="宋体"/>
          <w:spacing w:val="-2"/>
          <w:sz w:val="28"/>
          <w:szCs w:val="28"/>
        </w:rPr>
      </w:pPr>
      <w:r>
        <w:rPr>
          <w:rFonts w:hint="eastAsia" w:ascii="宋体" w:hAnsi="宋体" w:eastAsia="宋体" w:cs="宋体"/>
          <w:spacing w:val="-2"/>
          <w:sz w:val="28"/>
          <w:szCs w:val="28"/>
        </w:rPr>
        <w:t>1.服务地点：采购人指定地点</w:t>
      </w:r>
    </w:p>
    <w:p w14:paraId="3DDFE0B7">
      <w:pPr>
        <w:spacing w:before="179" w:line="360" w:lineRule="auto"/>
        <w:ind w:left="130" w:right="52" w:firstLine="482"/>
        <w:jc w:val="both"/>
        <w:rPr>
          <w:rFonts w:hint="eastAsia" w:ascii="宋体" w:hAnsi="宋体" w:eastAsia="宋体" w:cs="宋体"/>
          <w:spacing w:val="-2"/>
          <w:sz w:val="28"/>
          <w:szCs w:val="28"/>
        </w:rPr>
      </w:pPr>
      <w:r>
        <w:rPr>
          <w:rFonts w:hint="eastAsia" w:ascii="宋体" w:hAnsi="宋体" w:eastAsia="宋体" w:cs="宋体"/>
          <w:spacing w:val="-2"/>
          <w:sz w:val="28"/>
          <w:szCs w:val="28"/>
        </w:rPr>
        <w:t>2.服务期限：暂定一年（具体以签订合同为准）</w:t>
      </w:r>
    </w:p>
    <w:p w14:paraId="6C3B988F">
      <w:pPr>
        <w:spacing w:before="179" w:line="360" w:lineRule="auto"/>
        <w:ind w:left="130" w:right="52" w:firstLine="482"/>
        <w:jc w:val="both"/>
        <w:rPr>
          <w:rFonts w:hint="eastAsia" w:ascii="宋体" w:hAnsi="宋体" w:eastAsia="宋体" w:cs="宋体"/>
          <w:spacing w:val="-2"/>
          <w:sz w:val="28"/>
          <w:szCs w:val="28"/>
        </w:rPr>
      </w:pPr>
      <w:r>
        <w:rPr>
          <w:rFonts w:hint="eastAsia" w:ascii="宋体" w:hAnsi="宋体" w:eastAsia="宋体" w:cs="宋体"/>
          <w:spacing w:val="-2"/>
          <w:sz w:val="28"/>
          <w:szCs w:val="28"/>
        </w:rPr>
        <w:t>3.★项目配备团队：中标人须有稳定、专业的服务团队，须指派1名项目负责人全程跟踪管理本项目，应有丰富的类似项目经验、有良好的服务态度及沟通能力。为保障宣传效果，供应商最好具备新闻采编资质以及可靠的政治把关能力和强大的内容生产能力，最好有全国性网上群众工作平台并利用该平台支持自治区退役军人事务工作。</w:t>
      </w:r>
    </w:p>
    <w:p w14:paraId="37A0E3DE">
      <w:pPr>
        <w:spacing w:before="179" w:line="360" w:lineRule="auto"/>
        <w:ind w:left="130" w:right="52" w:firstLine="482"/>
        <w:jc w:val="both"/>
        <w:rPr>
          <w:rFonts w:hint="eastAsia" w:ascii="宋体" w:hAnsi="宋体" w:eastAsia="宋体" w:cs="宋体"/>
          <w:spacing w:val="-2"/>
          <w:sz w:val="28"/>
          <w:szCs w:val="28"/>
        </w:rPr>
      </w:pPr>
      <w:r>
        <w:rPr>
          <w:rFonts w:hint="eastAsia" w:ascii="宋体" w:hAnsi="宋体" w:eastAsia="宋体" w:cs="宋体"/>
          <w:spacing w:val="-2"/>
          <w:sz w:val="28"/>
          <w:szCs w:val="28"/>
        </w:rPr>
        <w:t>4.付款方式：具体以签订合同为准</w:t>
      </w:r>
    </w:p>
    <w:p w14:paraId="64308C0E">
      <w:pPr>
        <w:spacing w:before="179" w:line="360" w:lineRule="auto"/>
        <w:ind w:left="130" w:right="52" w:firstLine="482"/>
        <w:jc w:val="both"/>
        <w:rPr>
          <w:rFonts w:hint="eastAsia" w:ascii="宋体" w:hAnsi="宋体" w:eastAsia="宋体" w:cs="宋体"/>
          <w:spacing w:val="-2"/>
          <w:sz w:val="28"/>
          <w:szCs w:val="28"/>
        </w:rPr>
      </w:pPr>
      <w:r>
        <w:rPr>
          <w:rFonts w:hint="eastAsia" w:ascii="宋体" w:hAnsi="宋体" w:eastAsia="宋体" w:cs="宋体"/>
          <w:spacing w:val="-2"/>
          <w:sz w:val="28"/>
          <w:szCs w:val="28"/>
        </w:rPr>
        <w:t>5.中标人应全程跟踪各个活动的进行，确保活动顺利开展，为各类活动提供稳定的后勤保障。</w:t>
      </w:r>
    </w:p>
    <w:p w14:paraId="729BC8E7">
      <w:pPr>
        <w:spacing w:before="179" w:line="360" w:lineRule="auto"/>
        <w:ind w:left="130" w:right="52" w:firstLine="482"/>
        <w:jc w:val="both"/>
        <w:rPr>
          <w:rFonts w:hint="eastAsia" w:ascii="宋体" w:hAnsi="宋体" w:eastAsia="宋体" w:cs="宋体"/>
          <w:spacing w:val="-2"/>
          <w:sz w:val="28"/>
          <w:szCs w:val="28"/>
        </w:rPr>
      </w:pPr>
      <w:r>
        <w:rPr>
          <w:rFonts w:hint="eastAsia" w:ascii="宋体" w:hAnsi="宋体" w:eastAsia="宋体" w:cs="宋体"/>
          <w:spacing w:val="-2"/>
          <w:sz w:val="28"/>
          <w:szCs w:val="28"/>
        </w:rPr>
        <w:t>6.★中标人需按照采购人要求为活动提供计划方案及预算方案，待采购人确认。</w:t>
      </w:r>
    </w:p>
    <w:p w14:paraId="3E59FA6D">
      <w:pPr>
        <w:spacing w:before="179" w:line="360" w:lineRule="auto"/>
        <w:ind w:left="130" w:right="52" w:firstLine="482"/>
        <w:jc w:val="both"/>
        <w:rPr>
          <w:rFonts w:hint="eastAsia" w:ascii="宋体" w:hAnsi="宋体" w:eastAsia="宋体" w:cs="宋体"/>
          <w:spacing w:val="-2"/>
          <w:sz w:val="28"/>
          <w:szCs w:val="28"/>
        </w:rPr>
      </w:pPr>
      <w:r>
        <w:rPr>
          <w:rFonts w:hint="eastAsia" w:ascii="宋体" w:hAnsi="宋体" w:eastAsia="宋体" w:cs="宋体"/>
          <w:b/>
          <w:bCs/>
          <w:spacing w:val="-2"/>
          <w:sz w:val="28"/>
          <w:szCs w:val="28"/>
        </w:rPr>
        <w:t>标项二：新疆维吾尔自治区退役军人事务厅新闻媒体合作项目（新闻媒体宣传合作）(12.5万元)</w:t>
      </w:r>
    </w:p>
    <w:p w14:paraId="074353F5">
      <w:pPr>
        <w:spacing w:before="179" w:line="360" w:lineRule="auto"/>
        <w:ind w:left="130" w:right="52" w:firstLine="482"/>
        <w:jc w:val="both"/>
        <w:rPr>
          <w:rFonts w:hint="eastAsia" w:ascii="宋体" w:hAnsi="宋体" w:eastAsia="宋体" w:cs="宋体"/>
          <w:spacing w:val="-2"/>
          <w:sz w:val="28"/>
          <w:szCs w:val="28"/>
        </w:rPr>
      </w:pPr>
      <w:r>
        <w:rPr>
          <w:rFonts w:hint="eastAsia" w:ascii="宋体" w:hAnsi="宋体" w:eastAsia="宋体" w:cs="宋体"/>
          <w:spacing w:val="-2"/>
          <w:sz w:val="28"/>
          <w:szCs w:val="28"/>
        </w:rPr>
        <w:t>（一）服务内容</w:t>
      </w:r>
    </w:p>
    <w:p w14:paraId="4D3EBC97">
      <w:pPr>
        <w:spacing w:before="179" w:line="360" w:lineRule="auto"/>
        <w:ind w:left="130" w:right="52" w:firstLine="482"/>
        <w:jc w:val="both"/>
        <w:rPr>
          <w:rFonts w:hint="eastAsia" w:ascii="宋体" w:hAnsi="宋体" w:eastAsia="宋体" w:cs="宋体"/>
          <w:spacing w:val="-2"/>
          <w:sz w:val="28"/>
          <w:szCs w:val="28"/>
        </w:rPr>
      </w:pPr>
      <w:r>
        <w:rPr>
          <w:rFonts w:hint="eastAsia" w:ascii="宋体" w:hAnsi="宋体" w:eastAsia="宋体" w:cs="宋体"/>
          <w:spacing w:val="-2"/>
          <w:sz w:val="28"/>
          <w:szCs w:val="28"/>
        </w:rPr>
        <w:t>在自治区级主流报纸媒体进行共一个整版的专版策划宣传，用于退役军人重点工作和重大活动的集中推介宣传。根据宣传工作需要，在自治区级主流媒体APP平台发布图文、视频动态信息流45条。</w:t>
      </w:r>
    </w:p>
    <w:p w14:paraId="2DFD14D0">
      <w:pPr>
        <w:spacing w:before="179" w:line="360" w:lineRule="auto"/>
        <w:ind w:left="130" w:right="52" w:firstLine="482"/>
        <w:jc w:val="both"/>
        <w:rPr>
          <w:rFonts w:hint="eastAsia" w:ascii="宋体" w:hAnsi="宋体" w:eastAsia="宋体" w:cs="宋体"/>
          <w:spacing w:val="-2"/>
          <w:sz w:val="28"/>
          <w:szCs w:val="28"/>
        </w:rPr>
      </w:pPr>
      <w:r>
        <w:rPr>
          <w:rFonts w:hint="eastAsia" w:ascii="宋体" w:hAnsi="宋体" w:eastAsia="宋体" w:cs="宋体"/>
          <w:spacing w:val="-2"/>
          <w:sz w:val="28"/>
          <w:szCs w:val="28"/>
        </w:rPr>
        <w:t>（二）服务要求</w:t>
      </w:r>
    </w:p>
    <w:p w14:paraId="5425CFCB">
      <w:pPr>
        <w:spacing w:before="179" w:line="360" w:lineRule="auto"/>
        <w:ind w:left="130" w:right="52" w:firstLine="482"/>
        <w:jc w:val="both"/>
        <w:rPr>
          <w:rFonts w:hint="eastAsia" w:ascii="宋体" w:hAnsi="宋体" w:eastAsia="宋体" w:cs="宋体"/>
          <w:spacing w:val="-2"/>
          <w:sz w:val="28"/>
          <w:szCs w:val="28"/>
        </w:rPr>
      </w:pPr>
      <w:r>
        <w:rPr>
          <w:rFonts w:hint="eastAsia" w:ascii="宋体" w:hAnsi="宋体" w:eastAsia="宋体" w:cs="宋体"/>
          <w:spacing w:val="-2"/>
          <w:sz w:val="28"/>
          <w:szCs w:val="28"/>
        </w:rPr>
        <w:t>1.服务地点：采购人指定地点</w:t>
      </w:r>
    </w:p>
    <w:p w14:paraId="7617F117">
      <w:pPr>
        <w:spacing w:before="179" w:line="360" w:lineRule="auto"/>
        <w:ind w:left="130" w:right="52" w:firstLine="482"/>
        <w:jc w:val="both"/>
        <w:rPr>
          <w:rFonts w:hint="eastAsia" w:ascii="宋体" w:hAnsi="宋体" w:eastAsia="宋体" w:cs="宋体"/>
          <w:spacing w:val="-2"/>
          <w:sz w:val="28"/>
          <w:szCs w:val="28"/>
        </w:rPr>
      </w:pPr>
      <w:r>
        <w:rPr>
          <w:rFonts w:hint="eastAsia" w:ascii="宋体" w:hAnsi="宋体" w:eastAsia="宋体" w:cs="宋体"/>
          <w:spacing w:val="-2"/>
          <w:sz w:val="28"/>
          <w:szCs w:val="28"/>
        </w:rPr>
        <w:t>2.服务期限：暂定一年（具体以签订合同为准）</w:t>
      </w:r>
    </w:p>
    <w:p w14:paraId="1BF3A8E3">
      <w:pPr>
        <w:spacing w:before="179" w:line="360" w:lineRule="auto"/>
        <w:ind w:left="130" w:right="52" w:firstLine="482"/>
        <w:jc w:val="both"/>
        <w:rPr>
          <w:rFonts w:hint="eastAsia" w:ascii="宋体" w:hAnsi="宋体" w:eastAsia="宋体" w:cs="宋体"/>
          <w:spacing w:val="-2"/>
          <w:sz w:val="28"/>
          <w:szCs w:val="28"/>
        </w:rPr>
      </w:pPr>
      <w:r>
        <w:rPr>
          <w:rFonts w:hint="eastAsia" w:ascii="宋体" w:hAnsi="宋体" w:eastAsia="宋体" w:cs="宋体"/>
          <w:spacing w:val="-2"/>
          <w:sz w:val="28"/>
          <w:szCs w:val="28"/>
        </w:rPr>
        <w:t>3.★项目配备团队：中标人须有稳定、专业的服务团队，须指派1名项目负责人全程跟踪管理本项目，应有丰富的类似项目经验、有良好的服务态度及沟通能力。文化传媒公司方面，根据本项目服务需求配备最低不少与8人的服务团队（最低人数要求：拍摄人员3人，制作人员2人，策划人员1人，推广人员1人；不含项目负责人）</w:t>
      </w:r>
    </w:p>
    <w:p w14:paraId="12B49EE6">
      <w:pPr>
        <w:spacing w:before="179" w:line="360" w:lineRule="auto"/>
        <w:ind w:left="130" w:right="52" w:firstLine="482"/>
        <w:jc w:val="both"/>
        <w:rPr>
          <w:rFonts w:hint="eastAsia" w:ascii="宋体" w:hAnsi="宋体" w:eastAsia="宋体" w:cs="宋体"/>
          <w:spacing w:val="-2"/>
          <w:sz w:val="28"/>
          <w:szCs w:val="28"/>
        </w:rPr>
      </w:pPr>
      <w:r>
        <w:rPr>
          <w:rFonts w:hint="eastAsia" w:ascii="宋体" w:hAnsi="宋体" w:eastAsia="宋体" w:cs="宋体"/>
          <w:spacing w:val="-2"/>
          <w:sz w:val="28"/>
          <w:szCs w:val="28"/>
        </w:rPr>
        <w:t>4.付款方式：具体以签订合同为准</w:t>
      </w:r>
    </w:p>
    <w:p w14:paraId="1F354954">
      <w:pPr>
        <w:spacing w:before="179" w:line="360" w:lineRule="auto"/>
        <w:ind w:left="130" w:right="52" w:firstLine="482"/>
        <w:jc w:val="both"/>
        <w:rPr>
          <w:rFonts w:hint="eastAsia" w:ascii="宋体" w:hAnsi="宋体" w:eastAsia="宋体" w:cs="宋体"/>
          <w:spacing w:val="-2"/>
          <w:sz w:val="28"/>
          <w:szCs w:val="28"/>
        </w:rPr>
      </w:pPr>
      <w:r>
        <w:rPr>
          <w:rFonts w:hint="eastAsia" w:ascii="宋体" w:hAnsi="宋体" w:eastAsia="宋体" w:cs="宋体"/>
          <w:spacing w:val="-2"/>
          <w:sz w:val="28"/>
          <w:szCs w:val="28"/>
        </w:rPr>
        <w:t>5.中标人应全程跟踪各个活动的进行，确保活动顺利开展，为各类活动提供稳定的后勤保障。</w:t>
      </w:r>
    </w:p>
    <w:p w14:paraId="088A4B89">
      <w:pPr>
        <w:spacing w:before="179" w:line="360" w:lineRule="auto"/>
        <w:ind w:left="130" w:right="52" w:firstLine="482"/>
        <w:jc w:val="both"/>
        <w:rPr>
          <w:rFonts w:hint="eastAsia" w:ascii="宋体" w:hAnsi="宋体" w:eastAsia="宋体" w:cs="宋体"/>
          <w:spacing w:val="-2"/>
          <w:sz w:val="28"/>
          <w:szCs w:val="28"/>
        </w:rPr>
      </w:pPr>
      <w:r>
        <w:rPr>
          <w:rFonts w:hint="eastAsia" w:ascii="宋体" w:hAnsi="宋体" w:eastAsia="宋体" w:cs="宋体"/>
          <w:spacing w:val="-2"/>
          <w:sz w:val="28"/>
          <w:szCs w:val="28"/>
        </w:rPr>
        <w:t>6.★中标人需按照采购人要求为活动提供计划方案及预算方案，待采购人确认。</w:t>
      </w:r>
    </w:p>
    <w:p w14:paraId="5AC49D16">
      <w:pPr>
        <w:spacing w:before="179" w:line="360" w:lineRule="auto"/>
        <w:ind w:left="130" w:right="52" w:firstLine="482"/>
        <w:jc w:val="both"/>
        <w:rPr>
          <w:rFonts w:hint="eastAsia" w:ascii="宋体" w:hAnsi="宋体" w:eastAsia="宋体" w:cs="宋体"/>
          <w:b/>
          <w:bCs/>
          <w:spacing w:val="-2"/>
          <w:sz w:val="28"/>
          <w:szCs w:val="28"/>
        </w:rPr>
      </w:pPr>
      <w:r>
        <w:rPr>
          <w:rFonts w:hint="eastAsia" w:ascii="宋体" w:hAnsi="宋体" w:eastAsia="宋体" w:cs="宋体"/>
          <w:b/>
          <w:bCs/>
          <w:spacing w:val="-2"/>
          <w:sz w:val="28"/>
          <w:szCs w:val="28"/>
        </w:rPr>
        <w:t>标项三：新疆维吾尔自治区退役军人事务厅新闻媒体合作项目（第三方重点新闻宣传合作）(19.8万元)</w:t>
      </w:r>
    </w:p>
    <w:p w14:paraId="670AB21C">
      <w:pPr>
        <w:spacing w:before="179" w:line="360" w:lineRule="auto"/>
        <w:ind w:left="130" w:right="52" w:firstLine="482"/>
        <w:jc w:val="both"/>
        <w:rPr>
          <w:rFonts w:hint="eastAsia" w:ascii="宋体" w:hAnsi="宋体" w:eastAsia="宋体" w:cs="宋体"/>
          <w:spacing w:val="-2"/>
          <w:sz w:val="28"/>
          <w:szCs w:val="28"/>
        </w:rPr>
      </w:pPr>
      <w:r>
        <w:rPr>
          <w:rFonts w:hint="eastAsia" w:ascii="宋体" w:hAnsi="宋体" w:eastAsia="宋体" w:cs="宋体"/>
          <w:spacing w:val="-2"/>
          <w:sz w:val="28"/>
          <w:szCs w:val="28"/>
        </w:rPr>
        <w:t>（一）服务内容</w:t>
      </w:r>
    </w:p>
    <w:p w14:paraId="1D346DC2">
      <w:pPr>
        <w:spacing w:before="179" w:line="360" w:lineRule="auto"/>
        <w:ind w:left="130" w:right="52" w:firstLine="482"/>
        <w:jc w:val="both"/>
        <w:rPr>
          <w:rFonts w:hint="eastAsia" w:ascii="宋体" w:hAnsi="宋体" w:eastAsia="宋体" w:cs="宋体"/>
          <w:spacing w:val="-2"/>
          <w:sz w:val="28"/>
          <w:szCs w:val="28"/>
        </w:rPr>
      </w:pPr>
      <w:r>
        <w:rPr>
          <w:rFonts w:hint="eastAsia" w:ascii="宋体" w:hAnsi="宋体" w:eastAsia="宋体" w:cs="宋体"/>
          <w:spacing w:val="-2"/>
          <w:sz w:val="28"/>
          <w:szCs w:val="28"/>
        </w:rPr>
        <w:t>1.重点宣传。按照全年重要时间节点，做好年度重点活动宣传。保障8次大型活动的拍摄，将每场活动文字、图片、视频快剪成片，累计时长约10分钟，并在国家级或自治区级主流媒体发布相关活动信息。</w:t>
      </w:r>
    </w:p>
    <w:p w14:paraId="5D7DB9B1">
      <w:pPr>
        <w:spacing w:before="179" w:line="360" w:lineRule="auto"/>
        <w:ind w:left="130" w:right="52" w:firstLine="482"/>
        <w:jc w:val="both"/>
        <w:rPr>
          <w:rFonts w:hint="eastAsia" w:ascii="宋体" w:hAnsi="宋体" w:eastAsia="宋体" w:cs="宋体"/>
          <w:spacing w:val="-2"/>
          <w:sz w:val="28"/>
          <w:szCs w:val="28"/>
        </w:rPr>
      </w:pPr>
      <w:r>
        <w:rPr>
          <w:rFonts w:hint="eastAsia" w:ascii="宋体" w:hAnsi="宋体" w:eastAsia="宋体" w:cs="宋体"/>
          <w:spacing w:val="-2"/>
          <w:sz w:val="28"/>
          <w:szCs w:val="28"/>
        </w:rPr>
        <w:t>2.主题宣传。为热烈庆祝新疆维吾尔自治区成立70周年，呈现70年来新疆退役军人和其他优抚对象在各行各业所取得的可喜成就，讲好“新疆退役军人故事”，拍摄70个人宣传视频，并制作成片，累计时长约70分钟。</w:t>
      </w:r>
    </w:p>
    <w:p w14:paraId="37C92228">
      <w:pPr>
        <w:spacing w:before="179" w:line="360" w:lineRule="auto"/>
        <w:ind w:left="130" w:right="52" w:firstLine="482"/>
        <w:jc w:val="both"/>
        <w:rPr>
          <w:rFonts w:hint="eastAsia" w:ascii="宋体" w:hAnsi="宋体" w:eastAsia="宋体" w:cs="宋体"/>
          <w:spacing w:val="-2"/>
          <w:sz w:val="28"/>
          <w:szCs w:val="28"/>
        </w:rPr>
      </w:pPr>
      <w:r>
        <w:rPr>
          <w:rFonts w:hint="eastAsia" w:ascii="宋体" w:hAnsi="宋体" w:eastAsia="宋体" w:cs="宋体"/>
          <w:spacing w:val="-2"/>
          <w:sz w:val="28"/>
          <w:szCs w:val="28"/>
        </w:rPr>
        <w:t>（二）服务要求</w:t>
      </w:r>
    </w:p>
    <w:p w14:paraId="46ECCF9E">
      <w:pPr>
        <w:spacing w:before="179" w:line="360" w:lineRule="auto"/>
        <w:ind w:left="130" w:right="52" w:firstLine="482"/>
        <w:jc w:val="both"/>
        <w:rPr>
          <w:rFonts w:hint="eastAsia" w:ascii="宋体" w:hAnsi="宋体" w:eastAsia="宋体" w:cs="宋体"/>
          <w:spacing w:val="-2"/>
          <w:sz w:val="28"/>
          <w:szCs w:val="28"/>
        </w:rPr>
      </w:pPr>
      <w:r>
        <w:rPr>
          <w:rFonts w:hint="eastAsia" w:ascii="宋体" w:hAnsi="宋体" w:eastAsia="宋体" w:cs="宋体"/>
          <w:spacing w:val="-2"/>
          <w:sz w:val="28"/>
          <w:szCs w:val="28"/>
        </w:rPr>
        <w:t>1.服务地点：采购人指定地点</w:t>
      </w:r>
    </w:p>
    <w:p w14:paraId="61C3DD90">
      <w:pPr>
        <w:spacing w:before="179" w:line="360" w:lineRule="auto"/>
        <w:ind w:left="130" w:right="52" w:firstLine="482"/>
        <w:jc w:val="both"/>
        <w:rPr>
          <w:rFonts w:hint="eastAsia" w:ascii="宋体" w:hAnsi="宋体" w:eastAsia="宋体" w:cs="宋体"/>
          <w:spacing w:val="-2"/>
          <w:sz w:val="28"/>
          <w:szCs w:val="28"/>
        </w:rPr>
      </w:pPr>
      <w:r>
        <w:rPr>
          <w:rFonts w:hint="eastAsia" w:ascii="宋体" w:hAnsi="宋体" w:eastAsia="宋体" w:cs="宋体"/>
          <w:spacing w:val="-2"/>
          <w:sz w:val="28"/>
          <w:szCs w:val="28"/>
        </w:rPr>
        <w:t>2.服务期限：暂定一年（具体以签订合同为准）</w:t>
      </w:r>
    </w:p>
    <w:p w14:paraId="1B348B71">
      <w:pPr>
        <w:spacing w:before="179" w:line="360" w:lineRule="auto"/>
        <w:ind w:left="130" w:right="52" w:firstLine="482"/>
        <w:jc w:val="both"/>
        <w:rPr>
          <w:rFonts w:hint="eastAsia" w:ascii="宋体" w:hAnsi="宋体" w:eastAsia="宋体" w:cs="宋体"/>
          <w:spacing w:val="-2"/>
          <w:sz w:val="28"/>
          <w:szCs w:val="28"/>
        </w:rPr>
      </w:pPr>
      <w:r>
        <w:rPr>
          <w:rFonts w:hint="eastAsia" w:ascii="宋体" w:hAnsi="宋体" w:eastAsia="宋体" w:cs="宋体"/>
          <w:spacing w:val="-2"/>
          <w:sz w:val="28"/>
          <w:szCs w:val="28"/>
        </w:rPr>
        <w:t>3.★项目配备团队：中标人须有专业的服务团队（拍摄、剪辑、运营等），须指派1名项目负责人需具备丰富涉军新闻媒体工作经验，良好的服务态度及沟通能力，根据实际要求全程跟踪管理本项目。</w:t>
      </w:r>
    </w:p>
    <w:p w14:paraId="64F71C4A">
      <w:pPr>
        <w:spacing w:before="179" w:line="360" w:lineRule="auto"/>
        <w:ind w:left="130" w:right="52" w:firstLine="482"/>
        <w:jc w:val="both"/>
        <w:rPr>
          <w:rFonts w:hint="eastAsia" w:ascii="宋体" w:hAnsi="宋体" w:eastAsia="宋体" w:cs="宋体"/>
          <w:spacing w:val="-2"/>
          <w:sz w:val="28"/>
          <w:szCs w:val="28"/>
        </w:rPr>
      </w:pPr>
      <w:r>
        <w:rPr>
          <w:rFonts w:hint="eastAsia" w:ascii="宋体" w:hAnsi="宋体" w:eastAsia="宋体" w:cs="宋体"/>
          <w:spacing w:val="-2"/>
          <w:sz w:val="28"/>
          <w:szCs w:val="28"/>
        </w:rPr>
        <w:t>4.付款方式：具体以签订合同为准</w:t>
      </w:r>
    </w:p>
    <w:p w14:paraId="5D27B562">
      <w:pPr>
        <w:spacing w:before="179" w:line="360" w:lineRule="auto"/>
        <w:ind w:left="130" w:right="52" w:firstLine="482"/>
        <w:jc w:val="both"/>
        <w:rPr>
          <w:rFonts w:hint="eastAsia" w:ascii="宋体" w:hAnsi="宋体" w:eastAsia="宋体" w:cs="宋体"/>
          <w:spacing w:val="-2"/>
          <w:sz w:val="28"/>
          <w:szCs w:val="28"/>
        </w:rPr>
      </w:pPr>
      <w:r>
        <w:rPr>
          <w:rFonts w:hint="eastAsia" w:ascii="宋体" w:hAnsi="宋体" w:eastAsia="宋体" w:cs="宋体"/>
          <w:spacing w:val="-2"/>
          <w:sz w:val="28"/>
          <w:szCs w:val="28"/>
        </w:rPr>
        <w:t>5.★中标人需按照采购人要求为活动提供计划方案及预算方案，待采购人确认。</w:t>
      </w:r>
    </w:p>
    <w:p w14:paraId="4E458E48">
      <w:pPr>
        <w:keepNext w:val="0"/>
        <w:keepLines w:val="0"/>
        <w:kinsoku/>
        <w:overflowPunct/>
        <w:topLinePunct w:val="0"/>
        <w:bidi w:val="0"/>
        <w:snapToGrid w:val="0"/>
        <w:spacing w:line="312" w:lineRule="auto"/>
        <w:ind w:left="210" w:leftChars="100" w:firstLine="560" w:firstLineChars="200"/>
        <w:textAlignment w:val="auto"/>
        <w:rPr>
          <w:rFonts w:hint="eastAsia" w:ascii="宋体" w:hAnsi="宋体" w:eastAsia="宋体" w:cs="宋体"/>
          <w:color w:val="auto"/>
          <w:sz w:val="28"/>
          <w:szCs w:val="28"/>
          <w:lang w:val="en-US" w:eastAsia="zh-CN"/>
        </w:rPr>
      </w:pPr>
    </w:p>
    <w:p w14:paraId="6EE183F1">
      <w:pPr>
        <w:pStyle w:val="12"/>
        <w:rPr>
          <w:rFonts w:hint="eastAsia" w:ascii="宋体" w:hAnsi="宋体" w:eastAsia="宋体" w:cs="宋体"/>
          <w:lang w:val="en-US" w:eastAsia="zh-CN"/>
        </w:rPr>
      </w:pPr>
    </w:p>
    <w:p w14:paraId="66094B84">
      <w:pPr>
        <w:pStyle w:val="27"/>
        <w:rPr>
          <w:rFonts w:hint="eastAsia" w:ascii="宋体" w:hAnsi="宋体" w:eastAsia="宋体" w:cs="宋体"/>
          <w:color w:val="auto"/>
          <w:sz w:val="28"/>
          <w:szCs w:val="28"/>
          <w:highlight w:val="none"/>
          <w:lang w:val="en-US" w:eastAsia="zh-CN"/>
        </w:rPr>
      </w:pPr>
    </w:p>
    <w:p w14:paraId="00DA58D6">
      <w:pPr>
        <w:rPr>
          <w:rFonts w:hint="eastAsia" w:ascii="宋体" w:hAnsi="宋体" w:eastAsia="宋体" w:cs="宋体"/>
          <w:b/>
          <w:color w:val="auto"/>
          <w:sz w:val="28"/>
          <w:szCs w:val="28"/>
          <w:highlight w:val="none"/>
          <w:lang w:val="en-US" w:eastAsia="zh-CN"/>
        </w:rPr>
      </w:pPr>
      <w:bookmarkStart w:id="82" w:name="_Toc47"/>
      <w:bookmarkStart w:id="83" w:name="_Toc16084"/>
      <w:bookmarkStart w:id="84" w:name="_Toc23309"/>
      <w:r>
        <w:rPr>
          <w:rFonts w:hint="eastAsia" w:ascii="宋体" w:hAnsi="宋体" w:eastAsia="宋体" w:cs="宋体"/>
          <w:b/>
          <w:color w:val="auto"/>
          <w:sz w:val="28"/>
          <w:szCs w:val="28"/>
          <w:highlight w:val="none"/>
          <w:lang w:val="en-US" w:eastAsia="zh-CN"/>
        </w:rPr>
        <w:br w:type="page"/>
      </w:r>
    </w:p>
    <w:bookmarkEnd w:id="78"/>
    <w:bookmarkEnd w:id="79"/>
    <w:bookmarkEnd w:id="80"/>
    <w:bookmarkEnd w:id="81"/>
    <w:bookmarkEnd w:id="82"/>
    <w:bookmarkEnd w:id="83"/>
    <w:bookmarkEnd w:id="84"/>
    <w:p w14:paraId="37D102A2">
      <w:pPr>
        <w:kinsoku w:val="0"/>
        <w:overflowPunct w:val="0"/>
        <w:spacing w:line="360" w:lineRule="auto"/>
        <w:jc w:val="center"/>
        <w:outlineLvl w:val="0"/>
        <w:rPr>
          <w:rFonts w:hint="eastAsia" w:ascii="宋体" w:hAnsi="宋体" w:eastAsia="宋体" w:cs="宋体"/>
          <w:b/>
          <w:color w:val="auto"/>
          <w:sz w:val="28"/>
          <w:szCs w:val="28"/>
          <w:highlight w:val="none"/>
          <w:lang w:val="en-US" w:eastAsia="zh-CN"/>
        </w:rPr>
      </w:pPr>
      <w:bookmarkStart w:id="85" w:name="_Toc30879"/>
      <w:bookmarkStart w:id="86" w:name="_Toc256000029"/>
      <w:bookmarkStart w:id="87" w:name="_Toc5936"/>
      <w:bookmarkStart w:id="88" w:name="_Toc9752"/>
      <w:bookmarkStart w:id="89" w:name="_Toc529952602"/>
      <w:bookmarkStart w:id="90" w:name="_Toc25776"/>
      <w:bookmarkStart w:id="91" w:name="_Toc19130"/>
      <w:r>
        <w:rPr>
          <w:rFonts w:hint="eastAsia" w:ascii="宋体" w:hAnsi="宋体" w:eastAsia="宋体" w:cs="宋体"/>
          <w:b/>
          <w:color w:val="auto"/>
          <w:sz w:val="28"/>
          <w:szCs w:val="28"/>
          <w:highlight w:val="none"/>
          <w:lang w:val="en-US" w:eastAsia="zh-CN"/>
        </w:rPr>
        <w:t>第六章 响应文件格式</w:t>
      </w:r>
      <w:bookmarkEnd w:id="85"/>
      <w:bookmarkEnd w:id="86"/>
      <w:bookmarkEnd w:id="87"/>
      <w:bookmarkEnd w:id="88"/>
      <w:bookmarkEnd w:id="89"/>
      <w:bookmarkEnd w:id="90"/>
      <w:bookmarkEnd w:id="91"/>
    </w:p>
    <w:p w14:paraId="51CC37A9">
      <w:pPr>
        <w:spacing w:before="91" w:line="219" w:lineRule="auto"/>
        <w:ind w:left="2997"/>
        <w:rPr>
          <w:rFonts w:ascii="宋体" w:hAnsi="宋体" w:eastAsia="宋体" w:cs="宋体"/>
          <w:sz w:val="28"/>
          <w:szCs w:val="28"/>
        </w:rPr>
      </w:pPr>
      <w:bookmarkStart w:id="92" w:name="EB77e84d16e8514e3d843450083f22a83d"/>
      <w:r>
        <w:rPr>
          <w:rFonts w:ascii="宋体" w:hAnsi="宋体" w:eastAsia="宋体" w:cs="宋体"/>
          <w:spacing w:val="-3"/>
          <w:sz w:val="28"/>
          <w:szCs w:val="28"/>
          <w:u w:val="single" w:color="auto"/>
        </w:rPr>
        <w:t>（采购项目名称）</w:t>
      </w:r>
    </w:p>
    <w:p w14:paraId="535C336C">
      <w:pPr>
        <w:pStyle w:val="12"/>
        <w:spacing w:line="262" w:lineRule="auto"/>
      </w:pPr>
    </w:p>
    <w:p w14:paraId="00B1CC3D">
      <w:pPr>
        <w:pStyle w:val="12"/>
        <w:spacing w:line="262" w:lineRule="auto"/>
      </w:pPr>
    </w:p>
    <w:p w14:paraId="1CB0F0FC">
      <w:pPr>
        <w:pStyle w:val="12"/>
        <w:spacing w:line="262" w:lineRule="auto"/>
      </w:pPr>
    </w:p>
    <w:p w14:paraId="74EC6FF1">
      <w:pPr>
        <w:pStyle w:val="12"/>
        <w:spacing w:line="262" w:lineRule="auto"/>
      </w:pPr>
    </w:p>
    <w:p w14:paraId="12513DCF">
      <w:pPr>
        <w:pStyle w:val="12"/>
        <w:spacing w:line="262" w:lineRule="auto"/>
      </w:pPr>
    </w:p>
    <w:p w14:paraId="685712C0">
      <w:pPr>
        <w:pStyle w:val="12"/>
        <w:spacing w:line="262" w:lineRule="auto"/>
      </w:pPr>
    </w:p>
    <w:p w14:paraId="3D87E5DB">
      <w:pPr>
        <w:spacing w:before="139" w:line="225" w:lineRule="auto"/>
        <w:ind w:left="3321"/>
        <w:outlineLvl w:val="1"/>
        <w:rPr>
          <w:rFonts w:ascii="黑体" w:hAnsi="黑体" w:eastAsia="黑体" w:cs="黑体"/>
          <w:sz w:val="43"/>
          <w:szCs w:val="43"/>
        </w:rPr>
      </w:pPr>
      <w:r>
        <w:rPr>
          <w:rFonts w:ascii="黑体" w:hAnsi="黑体" w:eastAsia="黑体" w:cs="黑体"/>
          <w:spacing w:val="1"/>
          <w:sz w:val="43"/>
          <w:szCs w:val="43"/>
        </w:rPr>
        <w:t>响应文件</w:t>
      </w:r>
    </w:p>
    <w:p w14:paraId="692BB5E6">
      <w:pPr>
        <w:pStyle w:val="12"/>
        <w:spacing w:line="318" w:lineRule="auto"/>
      </w:pPr>
    </w:p>
    <w:p w14:paraId="086D5BFC">
      <w:pPr>
        <w:spacing w:before="101" w:line="228" w:lineRule="auto"/>
        <w:ind w:left="3484"/>
        <w:rPr>
          <w:rFonts w:ascii="黑体" w:hAnsi="黑体" w:eastAsia="黑体" w:cs="黑体"/>
          <w:sz w:val="31"/>
          <w:szCs w:val="31"/>
        </w:rPr>
      </w:pPr>
      <w:r>
        <w:rPr>
          <w:rFonts w:ascii="黑体" w:hAnsi="黑体" w:eastAsia="黑体" w:cs="黑体"/>
          <w:spacing w:val="-3"/>
          <w:sz w:val="31"/>
          <w:szCs w:val="31"/>
        </w:rPr>
        <w:t>（封面）</w:t>
      </w:r>
    </w:p>
    <w:p w14:paraId="0463DB30">
      <w:pPr>
        <w:pStyle w:val="12"/>
        <w:spacing w:line="244" w:lineRule="auto"/>
      </w:pPr>
    </w:p>
    <w:p w14:paraId="54C39589">
      <w:pPr>
        <w:pStyle w:val="12"/>
        <w:spacing w:line="244" w:lineRule="auto"/>
      </w:pPr>
    </w:p>
    <w:p w14:paraId="2FA2BDF7">
      <w:pPr>
        <w:pStyle w:val="12"/>
        <w:spacing w:line="244" w:lineRule="auto"/>
      </w:pPr>
    </w:p>
    <w:p w14:paraId="35CA8F51">
      <w:pPr>
        <w:pStyle w:val="12"/>
        <w:spacing w:line="244" w:lineRule="auto"/>
      </w:pPr>
    </w:p>
    <w:p w14:paraId="1C0AF9B1">
      <w:pPr>
        <w:pStyle w:val="12"/>
        <w:spacing w:line="245" w:lineRule="auto"/>
      </w:pPr>
    </w:p>
    <w:p w14:paraId="36B10965">
      <w:pPr>
        <w:pStyle w:val="12"/>
        <w:spacing w:line="245" w:lineRule="auto"/>
      </w:pPr>
    </w:p>
    <w:p w14:paraId="25271943">
      <w:pPr>
        <w:pStyle w:val="12"/>
        <w:spacing w:line="245" w:lineRule="auto"/>
      </w:pPr>
    </w:p>
    <w:p w14:paraId="4A7304A3">
      <w:pPr>
        <w:pStyle w:val="12"/>
        <w:spacing w:line="245" w:lineRule="auto"/>
      </w:pPr>
    </w:p>
    <w:p w14:paraId="45227769">
      <w:pPr>
        <w:pStyle w:val="12"/>
        <w:spacing w:line="245" w:lineRule="auto"/>
      </w:pPr>
    </w:p>
    <w:p w14:paraId="2B303404">
      <w:pPr>
        <w:pStyle w:val="12"/>
        <w:spacing w:line="245" w:lineRule="auto"/>
      </w:pPr>
    </w:p>
    <w:p w14:paraId="54065059">
      <w:pPr>
        <w:pStyle w:val="12"/>
        <w:spacing w:line="245" w:lineRule="auto"/>
      </w:pPr>
    </w:p>
    <w:p w14:paraId="63EB7DF4">
      <w:pPr>
        <w:pStyle w:val="12"/>
        <w:spacing w:line="245" w:lineRule="auto"/>
      </w:pPr>
    </w:p>
    <w:p w14:paraId="00D8CDF6">
      <w:pPr>
        <w:pStyle w:val="12"/>
        <w:spacing w:line="245" w:lineRule="auto"/>
      </w:pPr>
    </w:p>
    <w:p w14:paraId="75683E68">
      <w:pPr>
        <w:pStyle w:val="12"/>
        <w:spacing w:line="245" w:lineRule="auto"/>
      </w:pPr>
    </w:p>
    <w:p w14:paraId="049016DE">
      <w:pPr>
        <w:pStyle w:val="12"/>
        <w:spacing w:line="245" w:lineRule="auto"/>
      </w:pPr>
    </w:p>
    <w:p w14:paraId="01A1B429">
      <w:pPr>
        <w:pStyle w:val="12"/>
        <w:spacing w:line="245" w:lineRule="auto"/>
      </w:pPr>
    </w:p>
    <w:p w14:paraId="4D03A432">
      <w:pPr>
        <w:pStyle w:val="12"/>
        <w:spacing w:line="245" w:lineRule="auto"/>
      </w:pPr>
    </w:p>
    <w:p w14:paraId="59810A78">
      <w:pPr>
        <w:spacing w:before="91" w:line="219" w:lineRule="auto"/>
        <w:ind w:left="188"/>
        <w:rPr>
          <w:rFonts w:ascii="宋体" w:hAnsi="宋体" w:eastAsia="宋体" w:cs="宋体"/>
          <w:sz w:val="28"/>
          <w:szCs w:val="28"/>
        </w:rPr>
      </w:pPr>
      <w:r>
        <w:rPr>
          <w:rFonts w:ascii="宋体" w:hAnsi="宋体" w:eastAsia="宋体" w:cs="宋体"/>
          <w:spacing w:val="2"/>
          <w:sz w:val="28"/>
          <w:szCs w:val="28"/>
        </w:rPr>
        <w:t>供应商</w:t>
      </w:r>
      <w:r>
        <w:rPr>
          <w:rFonts w:ascii="宋体" w:hAnsi="宋体" w:eastAsia="宋体" w:cs="宋体"/>
          <w:spacing w:val="-16"/>
          <w:sz w:val="28"/>
          <w:szCs w:val="28"/>
        </w:rPr>
        <w:t>：</w:t>
      </w:r>
      <w:r>
        <w:rPr>
          <w:rFonts w:ascii="宋体" w:hAnsi="宋体" w:eastAsia="宋体" w:cs="宋体"/>
          <w:spacing w:val="4"/>
          <w:sz w:val="28"/>
          <w:szCs w:val="28"/>
          <w:u w:val="single" w:color="auto"/>
        </w:rPr>
        <w:t xml:space="preserve">                              </w:t>
      </w:r>
      <w:r>
        <w:rPr>
          <w:rFonts w:ascii="宋体" w:hAnsi="宋体" w:eastAsia="宋体" w:cs="宋体"/>
          <w:spacing w:val="-16"/>
          <w:sz w:val="28"/>
          <w:szCs w:val="28"/>
        </w:rPr>
        <w:t>（</w:t>
      </w:r>
      <w:r>
        <w:rPr>
          <w:rFonts w:ascii="宋体" w:hAnsi="宋体" w:eastAsia="宋体" w:cs="宋体"/>
          <w:spacing w:val="2"/>
          <w:sz w:val="28"/>
          <w:szCs w:val="28"/>
        </w:rPr>
        <w:t>盖单位电子印章）</w:t>
      </w:r>
    </w:p>
    <w:p w14:paraId="66C0F48D">
      <w:pPr>
        <w:pStyle w:val="12"/>
        <w:spacing w:line="273" w:lineRule="auto"/>
      </w:pPr>
    </w:p>
    <w:p w14:paraId="3EECE280">
      <w:pPr>
        <w:pStyle w:val="12"/>
        <w:spacing w:line="273" w:lineRule="auto"/>
      </w:pPr>
    </w:p>
    <w:p w14:paraId="554C46CC">
      <w:pPr>
        <w:pStyle w:val="12"/>
        <w:spacing w:line="273" w:lineRule="auto"/>
      </w:pPr>
    </w:p>
    <w:p w14:paraId="3D77F9D5">
      <w:pPr>
        <w:tabs>
          <w:tab w:val="left" w:pos="3117"/>
        </w:tabs>
        <w:spacing w:before="91" w:line="220" w:lineRule="auto"/>
        <w:ind w:left="1857"/>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127"/>
          <w:sz w:val="28"/>
          <w:szCs w:val="28"/>
        </w:rPr>
        <w:t xml:space="preserve"> </w:t>
      </w:r>
      <w:r>
        <w:rPr>
          <w:rFonts w:ascii="宋体" w:hAnsi="宋体" w:eastAsia="宋体" w:cs="宋体"/>
          <w:spacing w:val="-10"/>
          <w:sz w:val="28"/>
          <w:szCs w:val="28"/>
        </w:rPr>
        <w:t>年</w:t>
      </w:r>
      <w:r>
        <w:rPr>
          <w:rFonts w:ascii="宋体" w:hAnsi="宋体" w:eastAsia="宋体" w:cs="宋体"/>
          <w:spacing w:val="17"/>
          <w:sz w:val="28"/>
          <w:szCs w:val="28"/>
          <w:u w:val="single" w:color="auto"/>
        </w:rPr>
        <w:t xml:space="preserve">        </w:t>
      </w:r>
      <w:r>
        <w:rPr>
          <w:rFonts w:ascii="宋体" w:hAnsi="宋体" w:eastAsia="宋体" w:cs="宋体"/>
          <w:spacing w:val="-118"/>
          <w:sz w:val="28"/>
          <w:szCs w:val="28"/>
        </w:rPr>
        <w:t xml:space="preserve"> </w:t>
      </w:r>
      <w:r>
        <w:rPr>
          <w:rFonts w:ascii="宋体" w:hAnsi="宋体" w:eastAsia="宋体" w:cs="宋体"/>
          <w:spacing w:val="-10"/>
          <w:sz w:val="28"/>
          <w:szCs w:val="28"/>
        </w:rPr>
        <w:t>月</w:t>
      </w:r>
      <w:r>
        <w:rPr>
          <w:rFonts w:ascii="宋体" w:hAnsi="宋体" w:eastAsia="宋体" w:cs="宋体"/>
          <w:spacing w:val="17"/>
          <w:sz w:val="28"/>
          <w:szCs w:val="28"/>
          <w:u w:val="single" w:color="auto"/>
        </w:rPr>
        <w:t xml:space="preserve">        </w:t>
      </w:r>
      <w:r>
        <w:rPr>
          <w:rFonts w:ascii="宋体" w:hAnsi="宋体" w:eastAsia="宋体" w:cs="宋体"/>
          <w:spacing w:val="-80"/>
          <w:sz w:val="28"/>
          <w:szCs w:val="28"/>
        </w:rPr>
        <w:t xml:space="preserve"> </w:t>
      </w:r>
      <w:r>
        <w:rPr>
          <w:rFonts w:ascii="宋体" w:hAnsi="宋体" w:eastAsia="宋体" w:cs="宋体"/>
          <w:spacing w:val="-10"/>
          <w:sz w:val="28"/>
          <w:szCs w:val="28"/>
        </w:rPr>
        <w:t>日</w:t>
      </w:r>
    </w:p>
    <w:p w14:paraId="71318D9C">
      <w:pPr>
        <w:spacing w:line="220" w:lineRule="auto"/>
        <w:rPr>
          <w:rFonts w:ascii="宋体" w:hAnsi="宋体" w:eastAsia="宋体" w:cs="宋体"/>
          <w:sz w:val="28"/>
          <w:szCs w:val="28"/>
        </w:rPr>
        <w:sectPr>
          <w:footerReference r:id="rId8" w:type="default"/>
          <w:pgSz w:w="11906" w:h="16839"/>
          <w:pgMar w:top="1431" w:right="1501" w:bottom="1156" w:left="1785" w:header="0" w:footer="994" w:gutter="0"/>
          <w:pgBorders>
            <w:top w:val="none" w:sz="0" w:space="0"/>
            <w:left w:val="none" w:sz="0" w:space="0"/>
            <w:bottom w:val="none" w:sz="0" w:space="0"/>
            <w:right w:val="none" w:sz="0" w:space="0"/>
          </w:pgBorders>
          <w:pgNumType w:fmt="decimal" w:start="1"/>
          <w:cols w:space="720" w:num="1"/>
        </w:sectPr>
      </w:pPr>
    </w:p>
    <w:p w14:paraId="3B84414C">
      <w:pPr>
        <w:spacing w:before="162" w:line="226" w:lineRule="auto"/>
        <w:ind w:left="40"/>
        <w:outlineLvl w:val="2"/>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一、竞争性磋商响应声明</w:t>
      </w:r>
    </w:p>
    <w:p w14:paraId="4765A1A9">
      <w:pPr>
        <w:pStyle w:val="12"/>
        <w:spacing w:line="400" w:lineRule="auto"/>
      </w:pPr>
    </w:p>
    <w:p w14:paraId="32A38FB3">
      <w:pPr>
        <w:spacing w:before="101" w:line="226" w:lineRule="auto"/>
        <w:ind w:left="2751"/>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竞争性磋商响应声明</w:t>
      </w:r>
    </w:p>
    <w:p w14:paraId="0E5BF988">
      <w:pPr>
        <w:keepNext w:val="0"/>
        <w:keepLines w:val="0"/>
        <w:pageBreakBefore w:val="0"/>
        <w:widowControl w:val="0"/>
        <w:kinsoku/>
        <w:wordWrap/>
        <w:overflowPunct/>
        <w:topLinePunct w:val="0"/>
        <w:autoSpaceDE/>
        <w:autoSpaceDN/>
        <w:bidi w:val="0"/>
        <w:adjustRightInd/>
        <w:snapToGrid/>
        <w:spacing w:before="152" w:line="360" w:lineRule="auto"/>
        <w:ind w:left="31"/>
        <w:textAlignment w:val="auto"/>
        <w:rPr>
          <w:rFonts w:hint="eastAsia" w:ascii="宋体" w:hAnsi="宋体" w:eastAsia="宋体" w:cs="宋体"/>
          <w:sz w:val="28"/>
          <w:szCs w:val="28"/>
        </w:rPr>
      </w:pPr>
      <w:r>
        <w:rPr>
          <w:rFonts w:hint="eastAsia" w:ascii="宋体" w:hAnsi="宋体" w:eastAsia="宋体" w:cs="宋体"/>
          <w:spacing w:val="-4"/>
          <w:sz w:val="28"/>
          <w:szCs w:val="28"/>
          <w14:textOutline w14:w="4358" w14:cap="sq" w14:cmpd="sng">
            <w14:solidFill>
              <w14:srgbClr w14:val="000000"/>
            </w14:solidFill>
            <w14:prstDash w14:val="solid"/>
            <w14:bevel/>
          </w14:textOutline>
        </w:rPr>
        <w:t>采购人：</w:t>
      </w:r>
      <w:r>
        <w:rPr>
          <w:rFonts w:hint="eastAsia" w:ascii="宋体" w:hAnsi="宋体" w:eastAsia="宋体" w:cs="宋体"/>
          <w:sz w:val="28"/>
          <w:szCs w:val="28"/>
          <w:u w:val="single" w:color="auto"/>
        </w:rPr>
        <w:t xml:space="preserve">           </w:t>
      </w:r>
    </w:p>
    <w:p w14:paraId="7ADFD74A">
      <w:pPr>
        <w:keepNext w:val="0"/>
        <w:keepLines w:val="0"/>
        <w:pageBreakBefore w:val="0"/>
        <w:widowControl w:val="0"/>
        <w:kinsoku/>
        <w:wordWrap/>
        <w:overflowPunct/>
        <w:topLinePunct w:val="0"/>
        <w:autoSpaceDE/>
        <w:autoSpaceDN/>
        <w:bidi w:val="0"/>
        <w:adjustRightInd/>
        <w:snapToGrid/>
        <w:spacing w:before="69" w:line="360" w:lineRule="auto"/>
        <w:ind w:left="29" w:right="56" w:firstLine="491"/>
        <w:textAlignment w:val="auto"/>
        <w:rPr>
          <w:rFonts w:hint="eastAsia" w:ascii="宋体" w:hAnsi="宋体" w:eastAsia="宋体" w:cs="宋体"/>
          <w:sz w:val="28"/>
          <w:szCs w:val="28"/>
        </w:rPr>
      </w:pPr>
      <w:r>
        <w:rPr>
          <w:rFonts w:hint="eastAsia" w:ascii="宋体" w:hAnsi="宋体" w:eastAsia="宋体" w:cs="宋体"/>
          <w:spacing w:val="-3"/>
          <w:sz w:val="28"/>
          <w:szCs w:val="28"/>
        </w:rPr>
        <w:t>1、在研究了</w:t>
      </w:r>
      <w:r>
        <w:rPr>
          <w:rFonts w:hint="eastAsia" w:ascii="宋体" w:hAnsi="宋体" w:eastAsia="宋体" w:cs="宋体"/>
          <w:spacing w:val="-3"/>
          <w:sz w:val="28"/>
          <w:szCs w:val="28"/>
          <w:u w:val="single" w:color="auto"/>
        </w:rPr>
        <w:t xml:space="preserve">   项目名称及编号（如为分包项目注明包号）</w:t>
      </w:r>
      <w:r>
        <w:rPr>
          <w:rFonts w:hint="eastAsia" w:ascii="宋体" w:hAnsi="宋体" w:eastAsia="宋体" w:cs="宋体"/>
          <w:spacing w:val="88"/>
          <w:sz w:val="28"/>
          <w:szCs w:val="28"/>
          <w:u w:val="single" w:color="auto"/>
        </w:rPr>
        <w:t xml:space="preserve"> </w:t>
      </w:r>
      <w:r>
        <w:rPr>
          <w:rFonts w:hint="eastAsia" w:ascii="宋体" w:hAnsi="宋体" w:eastAsia="宋体" w:cs="宋体"/>
          <w:spacing w:val="-104"/>
          <w:sz w:val="28"/>
          <w:szCs w:val="28"/>
        </w:rPr>
        <w:t xml:space="preserve"> </w:t>
      </w:r>
      <w:r>
        <w:rPr>
          <w:rFonts w:hint="eastAsia" w:ascii="宋体" w:hAnsi="宋体" w:eastAsia="宋体" w:cs="宋体"/>
          <w:spacing w:val="-3"/>
          <w:sz w:val="28"/>
          <w:szCs w:val="28"/>
        </w:rPr>
        <w:t>磋商文</w:t>
      </w:r>
      <w:r>
        <w:rPr>
          <w:rFonts w:hint="eastAsia" w:ascii="宋体" w:hAnsi="宋体" w:eastAsia="宋体" w:cs="宋体"/>
          <w:spacing w:val="-4"/>
          <w:sz w:val="28"/>
          <w:szCs w:val="28"/>
        </w:rPr>
        <w:t>件（含</w:t>
      </w:r>
      <w:r>
        <w:rPr>
          <w:rFonts w:hint="eastAsia" w:ascii="宋体" w:hAnsi="宋体" w:eastAsia="宋体" w:cs="宋体"/>
          <w:spacing w:val="-3"/>
          <w:sz w:val="28"/>
          <w:szCs w:val="28"/>
        </w:rPr>
        <w:t>补充文件）后，我方愿意按人民币（小写）</w:t>
      </w:r>
      <w:r>
        <w:rPr>
          <w:rFonts w:hint="eastAsia" w:ascii="宋体" w:hAnsi="宋体" w:eastAsia="宋体" w:cs="宋体"/>
          <w:spacing w:val="-3"/>
          <w:sz w:val="28"/>
          <w:szCs w:val="28"/>
          <w:u w:val="single" w:color="auto"/>
        </w:rPr>
        <w:t xml:space="preserve"> </w:t>
      </w:r>
      <w:r>
        <w:rPr>
          <w:rFonts w:hint="eastAsia" w:ascii="宋体" w:hAnsi="宋体" w:cs="宋体"/>
          <w:spacing w:val="-3"/>
          <w:sz w:val="28"/>
          <w:szCs w:val="28"/>
          <w:u w:val="single" w:color="auto"/>
          <w:lang w:val="en-US" w:eastAsia="zh-CN"/>
        </w:rPr>
        <w:t xml:space="preserve">    </w:t>
      </w:r>
      <w:r>
        <w:rPr>
          <w:rFonts w:hint="eastAsia" w:ascii="宋体" w:hAnsi="宋体" w:eastAsia="宋体" w:cs="宋体"/>
          <w:spacing w:val="-3"/>
          <w:sz w:val="28"/>
          <w:szCs w:val="28"/>
          <w:u w:val="single" w:color="auto"/>
        </w:rPr>
        <w:t xml:space="preserve">  </w:t>
      </w:r>
      <w:r>
        <w:rPr>
          <w:rFonts w:hint="eastAsia" w:ascii="宋体" w:hAnsi="宋体" w:eastAsia="宋体" w:cs="宋体"/>
          <w:spacing w:val="-30"/>
          <w:sz w:val="28"/>
          <w:szCs w:val="28"/>
        </w:rPr>
        <w:t xml:space="preserve"> </w:t>
      </w:r>
      <w:r>
        <w:rPr>
          <w:rFonts w:hint="eastAsia" w:ascii="宋体" w:hAnsi="宋体" w:eastAsia="宋体" w:cs="宋体"/>
          <w:spacing w:val="-3"/>
          <w:sz w:val="28"/>
          <w:szCs w:val="28"/>
        </w:rPr>
        <w:t>的响应报价，遵照竞</w:t>
      </w:r>
      <w:r>
        <w:rPr>
          <w:rFonts w:hint="eastAsia" w:ascii="宋体" w:hAnsi="宋体" w:eastAsia="宋体" w:cs="宋体"/>
          <w:spacing w:val="-4"/>
          <w:sz w:val="28"/>
          <w:szCs w:val="28"/>
        </w:rPr>
        <w:t>争性</w:t>
      </w:r>
      <w:r>
        <w:rPr>
          <w:rFonts w:hint="eastAsia" w:ascii="宋体" w:hAnsi="宋体" w:eastAsia="宋体" w:cs="宋体"/>
          <w:spacing w:val="-3"/>
          <w:sz w:val="28"/>
          <w:szCs w:val="28"/>
        </w:rPr>
        <w:t>磋商文件（含补充文件）的要求承担本采购项目的实施，完成本次采</w:t>
      </w:r>
      <w:r>
        <w:rPr>
          <w:rFonts w:hint="eastAsia" w:ascii="宋体" w:hAnsi="宋体" w:eastAsia="宋体" w:cs="宋体"/>
          <w:spacing w:val="-4"/>
          <w:sz w:val="28"/>
          <w:szCs w:val="28"/>
        </w:rPr>
        <w:t>购范围的全</w:t>
      </w:r>
      <w:r>
        <w:rPr>
          <w:rFonts w:hint="eastAsia" w:ascii="宋体" w:hAnsi="宋体" w:eastAsia="宋体" w:cs="宋体"/>
          <w:spacing w:val="-3"/>
          <w:sz w:val="28"/>
          <w:szCs w:val="28"/>
        </w:rPr>
        <w:t>部工作内容。</w:t>
      </w:r>
    </w:p>
    <w:p w14:paraId="21783C83">
      <w:pPr>
        <w:keepNext w:val="0"/>
        <w:keepLines w:val="0"/>
        <w:pageBreakBefore w:val="0"/>
        <w:widowControl w:val="0"/>
        <w:kinsoku/>
        <w:wordWrap/>
        <w:overflowPunct/>
        <w:topLinePunct w:val="0"/>
        <w:autoSpaceDE/>
        <w:autoSpaceDN/>
        <w:bidi w:val="0"/>
        <w:adjustRightInd/>
        <w:snapToGrid/>
        <w:spacing w:before="70" w:line="360" w:lineRule="auto"/>
        <w:ind w:left="30" w:right="56" w:firstLine="474"/>
        <w:textAlignment w:val="auto"/>
        <w:rPr>
          <w:rFonts w:hint="eastAsia" w:ascii="宋体" w:hAnsi="宋体" w:eastAsia="宋体" w:cs="宋体"/>
          <w:sz w:val="28"/>
          <w:szCs w:val="28"/>
        </w:rPr>
      </w:pPr>
      <w:r>
        <w:rPr>
          <w:rFonts w:hint="eastAsia" w:ascii="宋体" w:hAnsi="宋体" w:eastAsia="宋体" w:cs="宋体"/>
          <w:sz w:val="28"/>
          <w:szCs w:val="28"/>
        </w:rPr>
        <w:t>2.如果你单位接受我方的申请，我方将保证在</w:t>
      </w:r>
      <w:r>
        <w:rPr>
          <w:rFonts w:hint="eastAsia" w:ascii="宋体" w:hAnsi="宋体" w:cs="宋体"/>
          <w:sz w:val="28"/>
          <w:szCs w:val="28"/>
          <w:u w:val="single" w:color="auto"/>
          <w:lang w:val="en-US" w:eastAsia="zh-CN"/>
        </w:rPr>
        <w:t xml:space="preserve">           </w:t>
      </w:r>
      <w:r>
        <w:rPr>
          <w:rFonts w:hint="eastAsia" w:ascii="宋体" w:hAnsi="宋体" w:eastAsia="宋体" w:cs="宋体"/>
          <w:sz w:val="28"/>
          <w:szCs w:val="28"/>
        </w:rPr>
        <w:t>的服务期内完成本采购</w:t>
      </w:r>
      <w:r>
        <w:rPr>
          <w:rFonts w:hint="eastAsia" w:ascii="宋体" w:hAnsi="宋体" w:eastAsia="宋体" w:cs="宋体"/>
          <w:spacing w:val="-1"/>
          <w:sz w:val="28"/>
          <w:szCs w:val="28"/>
        </w:rPr>
        <w:t>项目的全部工作内容，并达到竞争性磋商文件规定的要求。</w:t>
      </w:r>
    </w:p>
    <w:p w14:paraId="5E2B742F">
      <w:pPr>
        <w:keepNext w:val="0"/>
        <w:keepLines w:val="0"/>
        <w:pageBreakBefore w:val="0"/>
        <w:widowControl w:val="0"/>
        <w:kinsoku/>
        <w:wordWrap/>
        <w:overflowPunct/>
        <w:topLinePunct w:val="0"/>
        <w:autoSpaceDE/>
        <w:autoSpaceDN/>
        <w:bidi w:val="0"/>
        <w:adjustRightInd/>
        <w:snapToGrid/>
        <w:spacing w:before="74" w:line="360" w:lineRule="auto"/>
        <w:ind w:left="31" w:firstLine="475"/>
        <w:textAlignment w:val="auto"/>
        <w:rPr>
          <w:rFonts w:hint="default" w:ascii="宋体" w:hAnsi="宋体" w:eastAsia="宋体" w:cs="宋体"/>
          <w:spacing w:val="-2"/>
          <w:sz w:val="28"/>
          <w:szCs w:val="28"/>
          <w:u w:val="single"/>
          <w:lang w:val="en-US" w:eastAsia="zh-CN"/>
        </w:rPr>
      </w:pPr>
      <w:r>
        <w:rPr>
          <w:rFonts w:hint="eastAsia" w:ascii="宋体" w:hAnsi="宋体" w:eastAsia="宋体" w:cs="宋体"/>
          <w:spacing w:val="-2"/>
          <w:sz w:val="28"/>
          <w:szCs w:val="28"/>
        </w:rPr>
        <w:t>3.</w:t>
      </w:r>
      <w:r>
        <w:rPr>
          <w:rFonts w:hint="eastAsia" w:ascii="宋体" w:hAnsi="宋体" w:eastAsia="宋体" w:cs="宋体"/>
          <w:spacing w:val="-2"/>
          <w:sz w:val="28"/>
          <w:szCs w:val="28"/>
          <w:lang w:eastAsia="zh-CN"/>
        </w:rPr>
        <w:t>投标有效期：</w:t>
      </w:r>
      <w:r>
        <w:rPr>
          <w:rFonts w:hint="eastAsia" w:ascii="宋体" w:hAnsi="宋体" w:eastAsia="宋体" w:cs="宋体"/>
          <w:spacing w:val="-2"/>
          <w:sz w:val="28"/>
          <w:szCs w:val="28"/>
          <w:u w:val="single"/>
          <w:lang w:val="en-US" w:eastAsia="zh-CN"/>
        </w:rPr>
        <w:t xml:space="preserve">      </w:t>
      </w:r>
      <w:r>
        <w:rPr>
          <w:rFonts w:hint="eastAsia" w:ascii="宋体" w:hAnsi="宋体" w:cs="宋体"/>
          <w:spacing w:val="-2"/>
          <w:sz w:val="28"/>
          <w:szCs w:val="28"/>
          <w:u w:val="single"/>
          <w:lang w:val="en-US" w:eastAsia="zh-CN"/>
        </w:rPr>
        <w:t xml:space="preserve">     </w:t>
      </w:r>
      <w:r>
        <w:rPr>
          <w:rFonts w:hint="eastAsia" w:ascii="宋体" w:hAnsi="宋体" w:eastAsia="宋体" w:cs="宋体"/>
          <w:spacing w:val="-2"/>
          <w:sz w:val="28"/>
          <w:szCs w:val="28"/>
          <w:u w:val="single"/>
          <w:lang w:val="en-US" w:eastAsia="zh-CN"/>
        </w:rPr>
        <w:t>。</w:t>
      </w:r>
    </w:p>
    <w:p w14:paraId="0DBE92E8">
      <w:pPr>
        <w:keepNext w:val="0"/>
        <w:keepLines w:val="0"/>
        <w:pageBreakBefore w:val="0"/>
        <w:widowControl w:val="0"/>
        <w:kinsoku/>
        <w:wordWrap/>
        <w:overflowPunct/>
        <w:topLinePunct w:val="0"/>
        <w:autoSpaceDE/>
        <w:autoSpaceDN/>
        <w:bidi w:val="0"/>
        <w:adjustRightInd/>
        <w:snapToGrid/>
        <w:spacing w:before="74" w:line="360" w:lineRule="auto"/>
        <w:ind w:left="31" w:firstLine="475"/>
        <w:textAlignment w:val="auto"/>
        <w:rPr>
          <w:rFonts w:hint="eastAsia" w:ascii="宋体" w:hAnsi="宋体" w:eastAsia="宋体" w:cs="宋体"/>
          <w:sz w:val="28"/>
          <w:szCs w:val="28"/>
        </w:rPr>
      </w:pPr>
      <w:r>
        <w:rPr>
          <w:rFonts w:hint="eastAsia" w:ascii="宋体" w:hAnsi="宋体" w:eastAsia="宋体" w:cs="宋体"/>
          <w:spacing w:val="-2"/>
          <w:sz w:val="28"/>
          <w:szCs w:val="28"/>
          <w:lang w:val="en-US" w:eastAsia="zh-CN"/>
        </w:rPr>
        <w:t>4.</w:t>
      </w:r>
      <w:r>
        <w:rPr>
          <w:rFonts w:hint="eastAsia" w:ascii="宋体" w:hAnsi="宋体" w:eastAsia="宋体" w:cs="宋体"/>
          <w:spacing w:val="-2"/>
          <w:sz w:val="28"/>
          <w:szCs w:val="28"/>
        </w:rPr>
        <w:t>我方同意在磋商文件规定的磋商有效期内严格遵守响应文件的各项承诺。</w:t>
      </w:r>
      <w:r>
        <w:rPr>
          <w:rFonts w:hint="eastAsia" w:ascii="宋体" w:hAnsi="宋体" w:eastAsia="宋体" w:cs="宋体"/>
          <w:spacing w:val="-1"/>
          <w:sz w:val="28"/>
          <w:szCs w:val="28"/>
        </w:rPr>
        <w:t>在此期限届满之前，本响应文件始终将对我方具有约束力，并随时接受成交。</w:t>
      </w:r>
    </w:p>
    <w:p w14:paraId="3BCA5684">
      <w:pPr>
        <w:keepNext w:val="0"/>
        <w:keepLines w:val="0"/>
        <w:pageBreakBefore w:val="0"/>
        <w:widowControl w:val="0"/>
        <w:kinsoku/>
        <w:wordWrap/>
        <w:overflowPunct/>
        <w:topLinePunct w:val="0"/>
        <w:autoSpaceDE/>
        <w:autoSpaceDN/>
        <w:bidi w:val="0"/>
        <w:adjustRightInd/>
        <w:snapToGrid/>
        <w:spacing w:before="71" w:line="360" w:lineRule="auto"/>
        <w:ind w:left="29" w:right="56" w:firstLine="472"/>
        <w:textAlignment w:val="auto"/>
        <w:rPr>
          <w:rFonts w:hint="eastAsia" w:ascii="宋体" w:hAnsi="宋体" w:eastAsia="宋体" w:cs="宋体"/>
          <w:spacing w:val="-3"/>
          <w:sz w:val="28"/>
          <w:szCs w:val="28"/>
        </w:rPr>
      </w:pPr>
      <w:r>
        <w:rPr>
          <w:rFonts w:hint="eastAsia" w:ascii="宋体" w:hAnsi="宋体" w:eastAsia="宋体" w:cs="宋体"/>
          <w:spacing w:val="-3"/>
          <w:sz w:val="28"/>
          <w:szCs w:val="28"/>
          <w:lang w:val="en-US" w:eastAsia="zh-CN"/>
        </w:rPr>
        <w:t>5</w:t>
      </w:r>
      <w:r>
        <w:rPr>
          <w:rFonts w:hint="eastAsia" w:ascii="宋体" w:hAnsi="宋体" w:eastAsia="宋体" w:cs="宋体"/>
          <w:spacing w:val="-3"/>
          <w:sz w:val="28"/>
          <w:szCs w:val="28"/>
        </w:rPr>
        <w:t>.在合同书正式签署生效之前，本响应文件连同贵单位签发的成交通知书将</w:t>
      </w:r>
      <w:r>
        <w:rPr>
          <w:rFonts w:hint="eastAsia" w:ascii="宋体" w:hAnsi="宋体" w:eastAsia="宋体" w:cs="宋体"/>
          <w:spacing w:val="-1"/>
          <w:sz w:val="28"/>
          <w:szCs w:val="28"/>
        </w:rPr>
        <w:t>构成</w:t>
      </w:r>
      <w:r>
        <w:rPr>
          <w:rFonts w:hint="eastAsia" w:ascii="宋体" w:hAnsi="宋体" w:eastAsia="宋体" w:cs="宋体"/>
          <w:spacing w:val="-3"/>
          <w:sz w:val="28"/>
          <w:szCs w:val="28"/>
        </w:rPr>
        <w:t>我们双方之间共同遵守的文件，对双方具有约束力。</w:t>
      </w:r>
    </w:p>
    <w:p w14:paraId="498F0B95">
      <w:pPr>
        <w:keepNext w:val="0"/>
        <w:keepLines w:val="0"/>
        <w:pageBreakBefore w:val="0"/>
        <w:widowControl w:val="0"/>
        <w:kinsoku/>
        <w:wordWrap/>
        <w:overflowPunct/>
        <w:topLinePunct w:val="0"/>
        <w:autoSpaceDE/>
        <w:autoSpaceDN/>
        <w:bidi w:val="0"/>
        <w:adjustRightInd/>
        <w:snapToGrid/>
        <w:spacing w:before="71" w:line="360" w:lineRule="auto"/>
        <w:ind w:left="29" w:right="56" w:firstLine="472"/>
        <w:textAlignment w:val="auto"/>
        <w:rPr>
          <w:rFonts w:hint="eastAsia" w:ascii="宋体" w:hAnsi="宋体" w:eastAsia="宋体" w:cs="宋体"/>
          <w:spacing w:val="-3"/>
          <w:sz w:val="28"/>
          <w:szCs w:val="28"/>
        </w:rPr>
      </w:pPr>
      <w:r>
        <w:rPr>
          <w:rFonts w:hint="eastAsia" w:ascii="宋体" w:hAnsi="宋体" w:eastAsia="宋体" w:cs="宋体"/>
          <w:spacing w:val="-3"/>
          <w:sz w:val="28"/>
          <w:szCs w:val="28"/>
          <w:lang w:val="en-US" w:eastAsia="zh-CN"/>
        </w:rPr>
        <w:t>6</w:t>
      </w:r>
      <w:r>
        <w:rPr>
          <w:rFonts w:hint="eastAsia" w:ascii="宋体" w:hAnsi="宋体" w:eastAsia="宋体" w:cs="宋体"/>
          <w:spacing w:val="-3"/>
          <w:sz w:val="28"/>
          <w:szCs w:val="28"/>
        </w:rPr>
        <w:t>.我方满足《中华人民共和国政府采购法》第二十二条规定的要求。</w:t>
      </w:r>
    </w:p>
    <w:p w14:paraId="7CE4D986">
      <w:pPr>
        <w:keepNext w:val="0"/>
        <w:keepLines w:val="0"/>
        <w:pageBreakBefore w:val="0"/>
        <w:widowControl w:val="0"/>
        <w:kinsoku/>
        <w:wordWrap/>
        <w:overflowPunct/>
        <w:topLinePunct w:val="0"/>
        <w:autoSpaceDE/>
        <w:autoSpaceDN/>
        <w:bidi w:val="0"/>
        <w:adjustRightInd/>
        <w:snapToGrid/>
        <w:spacing w:before="71" w:line="360" w:lineRule="auto"/>
        <w:ind w:left="504" w:right="720" w:firstLine="2"/>
        <w:textAlignment w:val="auto"/>
        <w:rPr>
          <w:rFonts w:hint="eastAsia" w:ascii="宋体" w:hAnsi="宋体" w:eastAsia="宋体" w:cs="宋体"/>
          <w:sz w:val="28"/>
          <w:szCs w:val="28"/>
        </w:rPr>
      </w:pPr>
      <w:r>
        <w:rPr>
          <w:rFonts w:hint="eastAsia" w:ascii="宋体" w:hAnsi="宋体" w:eastAsia="宋体" w:cs="宋体"/>
          <w:spacing w:val="-1"/>
          <w:sz w:val="28"/>
          <w:szCs w:val="28"/>
          <w:lang w:val="en-US" w:eastAsia="zh-CN"/>
        </w:rPr>
        <w:t>7</w:t>
      </w:r>
      <w:r>
        <w:rPr>
          <w:rFonts w:hint="eastAsia" w:ascii="宋体" w:hAnsi="宋体" w:eastAsia="宋体" w:cs="宋体"/>
          <w:spacing w:val="-1"/>
          <w:sz w:val="28"/>
          <w:szCs w:val="28"/>
        </w:rPr>
        <w:t>.我方完全接受磋商文件的规定。</w:t>
      </w:r>
    </w:p>
    <w:p w14:paraId="72B70DCA">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p>
    <w:p w14:paraId="2878B08C">
      <w:pPr>
        <w:keepNext w:val="0"/>
        <w:keepLines w:val="0"/>
        <w:pageBreakBefore w:val="0"/>
        <w:widowControl w:val="0"/>
        <w:kinsoku/>
        <w:wordWrap/>
        <w:overflowPunct/>
        <w:topLinePunct w:val="0"/>
        <w:autoSpaceDE/>
        <w:autoSpaceDN/>
        <w:bidi w:val="0"/>
        <w:adjustRightInd/>
        <w:snapToGrid/>
        <w:spacing w:before="79" w:line="360" w:lineRule="auto"/>
        <w:ind w:left="510"/>
        <w:textAlignment w:val="auto"/>
        <w:rPr>
          <w:rFonts w:hint="eastAsia" w:ascii="宋体" w:hAnsi="宋体" w:eastAsia="宋体" w:cs="宋体"/>
          <w:sz w:val="28"/>
          <w:szCs w:val="28"/>
        </w:rPr>
      </w:pPr>
      <w:r>
        <w:rPr>
          <w:rFonts w:hint="eastAsia" w:ascii="宋体" w:hAnsi="宋体" w:eastAsia="宋体" w:cs="宋体"/>
          <w:spacing w:val="1"/>
          <w:position w:val="8"/>
          <w:sz w:val="28"/>
          <w:szCs w:val="28"/>
        </w:rPr>
        <w:t>供应商</w:t>
      </w:r>
      <w:r>
        <w:rPr>
          <w:rFonts w:hint="eastAsia" w:ascii="宋体" w:hAnsi="宋体" w:eastAsia="宋体" w:cs="宋体"/>
          <w:spacing w:val="-15"/>
          <w:position w:val="8"/>
          <w:sz w:val="28"/>
          <w:szCs w:val="28"/>
        </w:rPr>
        <w:t>：（</w:t>
      </w:r>
      <w:r>
        <w:rPr>
          <w:rFonts w:hint="eastAsia" w:ascii="宋体" w:hAnsi="宋体" w:eastAsia="宋体" w:cs="宋体"/>
          <w:spacing w:val="1"/>
          <w:position w:val="8"/>
          <w:sz w:val="28"/>
          <w:szCs w:val="28"/>
        </w:rPr>
        <w:t>盖单位电子印章）</w:t>
      </w:r>
    </w:p>
    <w:p w14:paraId="0BD33F1F">
      <w:pPr>
        <w:keepNext w:val="0"/>
        <w:keepLines w:val="0"/>
        <w:pageBreakBefore w:val="0"/>
        <w:widowControl w:val="0"/>
        <w:kinsoku/>
        <w:wordWrap/>
        <w:overflowPunct/>
        <w:topLinePunct w:val="0"/>
        <w:autoSpaceDE/>
        <w:autoSpaceDN/>
        <w:bidi w:val="0"/>
        <w:adjustRightInd/>
        <w:snapToGrid/>
        <w:spacing w:before="1" w:line="360" w:lineRule="auto"/>
        <w:ind w:left="514"/>
        <w:textAlignment w:val="auto"/>
        <w:rPr>
          <w:rFonts w:hint="eastAsia" w:ascii="宋体" w:hAnsi="宋体" w:eastAsia="宋体" w:cs="宋体"/>
          <w:sz w:val="28"/>
          <w:szCs w:val="28"/>
        </w:rPr>
      </w:pPr>
      <w:r>
        <w:rPr>
          <w:rFonts w:hint="eastAsia" w:ascii="宋体" w:hAnsi="宋体" w:eastAsia="宋体" w:cs="宋体"/>
          <w:spacing w:val="-3"/>
          <w:sz w:val="28"/>
          <w:szCs w:val="28"/>
        </w:rPr>
        <w:t>单位地址及邮政编码：</w:t>
      </w:r>
    </w:p>
    <w:p w14:paraId="724BB8D3">
      <w:pPr>
        <w:keepNext w:val="0"/>
        <w:keepLines w:val="0"/>
        <w:pageBreakBefore w:val="0"/>
        <w:widowControl w:val="0"/>
        <w:kinsoku/>
        <w:wordWrap/>
        <w:overflowPunct/>
        <w:topLinePunct w:val="0"/>
        <w:autoSpaceDE/>
        <w:autoSpaceDN/>
        <w:bidi w:val="0"/>
        <w:adjustRightInd/>
        <w:snapToGrid/>
        <w:spacing w:before="70" w:line="360" w:lineRule="auto"/>
        <w:ind w:left="517"/>
        <w:textAlignment w:val="auto"/>
        <w:rPr>
          <w:rFonts w:hint="eastAsia" w:ascii="宋体" w:hAnsi="宋体" w:eastAsia="宋体" w:cs="宋体"/>
          <w:sz w:val="28"/>
          <w:szCs w:val="28"/>
        </w:rPr>
      </w:pPr>
      <w:r>
        <w:rPr>
          <w:rFonts w:hint="eastAsia" w:ascii="宋体" w:hAnsi="宋体" w:eastAsia="宋体" w:cs="宋体"/>
          <w:spacing w:val="-3"/>
          <w:position w:val="8"/>
          <w:sz w:val="28"/>
          <w:szCs w:val="28"/>
        </w:rPr>
        <w:t>法定代表人（盖电子印章</w:t>
      </w:r>
      <w:r>
        <w:rPr>
          <w:rFonts w:hint="eastAsia" w:ascii="宋体" w:hAnsi="宋体" w:eastAsia="宋体" w:cs="宋体"/>
          <w:spacing w:val="4"/>
          <w:position w:val="8"/>
          <w:sz w:val="28"/>
          <w:szCs w:val="28"/>
        </w:rPr>
        <w:t>）：</w:t>
      </w:r>
    </w:p>
    <w:p w14:paraId="4AC0BC66">
      <w:pPr>
        <w:keepNext w:val="0"/>
        <w:keepLines w:val="0"/>
        <w:pageBreakBefore w:val="0"/>
        <w:widowControl w:val="0"/>
        <w:kinsoku/>
        <w:wordWrap/>
        <w:overflowPunct/>
        <w:topLinePunct w:val="0"/>
        <w:autoSpaceDE/>
        <w:autoSpaceDN/>
        <w:bidi w:val="0"/>
        <w:adjustRightInd/>
        <w:snapToGrid/>
        <w:spacing w:line="360" w:lineRule="auto"/>
        <w:ind w:left="507"/>
        <w:textAlignment w:val="auto"/>
        <w:rPr>
          <w:rFonts w:hint="eastAsia" w:ascii="宋体" w:hAnsi="宋体" w:eastAsia="宋体" w:cs="宋体"/>
          <w:sz w:val="28"/>
          <w:szCs w:val="28"/>
        </w:rPr>
      </w:pPr>
      <w:r>
        <w:rPr>
          <w:rFonts w:hint="eastAsia" w:ascii="宋体" w:hAnsi="宋体" w:eastAsia="宋体" w:cs="宋体"/>
          <w:spacing w:val="-2"/>
          <w:sz w:val="28"/>
          <w:szCs w:val="28"/>
        </w:rPr>
        <w:t>联系电话（传真</w:t>
      </w:r>
      <w:r>
        <w:rPr>
          <w:rFonts w:hint="eastAsia" w:ascii="宋体" w:hAnsi="宋体" w:eastAsia="宋体" w:cs="宋体"/>
          <w:sz w:val="28"/>
          <w:szCs w:val="28"/>
        </w:rPr>
        <w:t>）：</w:t>
      </w:r>
    </w:p>
    <w:p w14:paraId="46FCCBC9">
      <w:pPr>
        <w:keepNext w:val="0"/>
        <w:keepLines w:val="0"/>
        <w:pageBreakBefore w:val="0"/>
        <w:widowControl w:val="0"/>
        <w:kinsoku/>
        <w:wordWrap/>
        <w:overflowPunct/>
        <w:topLinePunct w:val="0"/>
        <w:autoSpaceDE/>
        <w:autoSpaceDN/>
        <w:bidi w:val="0"/>
        <w:adjustRightInd/>
        <w:snapToGrid/>
        <w:spacing w:before="68" w:line="360" w:lineRule="auto"/>
        <w:jc w:val="right"/>
        <w:textAlignment w:val="auto"/>
        <w:rPr>
          <w:rFonts w:hint="eastAsia" w:ascii="宋体" w:hAnsi="宋体" w:eastAsia="宋体" w:cs="宋体"/>
          <w:sz w:val="28"/>
          <w:szCs w:val="28"/>
        </w:rPr>
      </w:pPr>
      <w:r>
        <w:rPr>
          <w:rFonts w:hint="eastAsia" w:ascii="宋体" w:hAnsi="宋体" w:eastAsia="宋体" w:cs="宋体"/>
          <w:spacing w:val="-26"/>
          <w:sz w:val="28"/>
          <w:szCs w:val="28"/>
        </w:rPr>
        <w:t>年     月</w:t>
      </w:r>
      <w:r>
        <w:rPr>
          <w:rFonts w:hint="eastAsia" w:ascii="宋体" w:hAnsi="宋体" w:eastAsia="宋体" w:cs="宋体"/>
          <w:spacing w:val="16"/>
          <w:sz w:val="28"/>
          <w:szCs w:val="28"/>
        </w:rPr>
        <w:t xml:space="preserve">    </w:t>
      </w:r>
      <w:r>
        <w:rPr>
          <w:rFonts w:hint="eastAsia" w:ascii="宋体" w:hAnsi="宋体" w:eastAsia="宋体" w:cs="宋体"/>
          <w:spacing w:val="-26"/>
          <w:sz w:val="28"/>
          <w:szCs w:val="28"/>
        </w:rPr>
        <w:t>日</w:t>
      </w:r>
    </w:p>
    <w:p w14:paraId="476B2203">
      <w:pPr>
        <w:spacing w:line="222" w:lineRule="auto"/>
        <w:rPr>
          <w:rFonts w:ascii="仿宋" w:hAnsi="仿宋" w:eastAsia="仿宋" w:cs="仿宋"/>
          <w:sz w:val="24"/>
          <w:szCs w:val="24"/>
        </w:rPr>
        <w:sectPr>
          <w:footerReference r:id="rId9" w:type="default"/>
          <w:pgSz w:w="11906" w:h="16839"/>
          <w:pgMar w:top="1431" w:right="1742" w:bottom="1156" w:left="1785" w:header="0" w:footer="994" w:gutter="0"/>
          <w:pgBorders>
            <w:top w:val="none" w:sz="0" w:space="0"/>
            <w:left w:val="none" w:sz="0" w:space="0"/>
            <w:bottom w:val="none" w:sz="0" w:space="0"/>
            <w:right w:val="none" w:sz="0" w:space="0"/>
          </w:pgBorders>
          <w:pgNumType w:fmt="decimal"/>
          <w:cols w:space="720" w:num="1"/>
        </w:sectPr>
      </w:pPr>
    </w:p>
    <w:p w14:paraId="40872868">
      <w:pPr>
        <w:pStyle w:val="12"/>
        <w:spacing w:line="292" w:lineRule="auto"/>
      </w:pPr>
    </w:p>
    <w:p w14:paraId="0BEC9D92">
      <w:pPr>
        <w:spacing w:before="101" w:line="228" w:lineRule="auto"/>
        <w:ind w:left="45"/>
        <w:outlineLvl w:val="3"/>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二、资格证明文件</w:t>
      </w:r>
    </w:p>
    <w:p w14:paraId="0E073AD0">
      <w:pPr>
        <w:spacing w:before="290" w:line="223" w:lineRule="auto"/>
        <w:ind w:left="3356"/>
        <w:rPr>
          <w:rFonts w:ascii="仿宋" w:hAnsi="仿宋" w:eastAsia="仿宋" w:cs="仿宋"/>
          <w:sz w:val="28"/>
          <w:szCs w:val="28"/>
        </w:rPr>
      </w:pPr>
      <w:r>
        <w:rPr>
          <w:rFonts w:ascii="仿宋" w:hAnsi="仿宋" w:eastAsia="仿宋" w:cs="仿宋"/>
          <w:spacing w:val="-5"/>
          <w:sz w:val="28"/>
          <w:szCs w:val="28"/>
          <w14:textOutline w14:w="5103" w14:cap="sq" w14:cmpd="sng">
            <w14:solidFill>
              <w14:srgbClr w14:val="000000"/>
            </w14:solidFill>
            <w14:prstDash w14:val="solid"/>
            <w14:bevel/>
          </w14:textOutline>
        </w:rPr>
        <w:t>资格证明文件</w:t>
      </w:r>
    </w:p>
    <w:p w14:paraId="70AD12A4">
      <w:pPr>
        <w:keepNext w:val="0"/>
        <w:keepLines w:val="0"/>
        <w:pageBreakBefore w:val="0"/>
        <w:widowControl w:val="0"/>
        <w:kinsoku/>
        <w:wordWrap/>
        <w:overflowPunct/>
        <w:topLinePunct w:val="0"/>
        <w:autoSpaceDE/>
        <w:autoSpaceDN/>
        <w:bidi w:val="0"/>
        <w:adjustRightInd/>
        <w:snapToGrid/>
        <w:spacing w:before="71" w:line="360" w:lineRule="auto"/>
        <w:ind w:left="29" w:right="56" w:firstLine="472"/>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供应商按磋商文件要求提供证明材料。</w:t>
      </w:r>
    </w:p>
    <w:p w14:paraId="6D78121E">
      <w:pPr>
        <w:spacing w:line="220" w:lineRule="auto"/>
        <w:rPr>
          <w:rFonts w:ascii="仿宋" w:hAnsi="仿宋" w:eastAsia="仿宋" w:cs="仿宋"/>
          <w:sz w:val="24"/>
          <w:szCs w:val="24"/>
        </w:rPr>
        <w:sectPr>
          <w:footerReference r:id="rId10" w:type="default"/>
          <w:pgSz w:w="11907" w:h="16840"/>
          <w:pgMar w:top="1431" w:right="1786" w:bottom="1014" w:left="1786" w:header="0" w:footer="852" w:gutter="0"/>
          <w:pgBorders>
            <w:top w:val="none" w:sz="0" w:space="0"/>
            <w:left w:val="none" w:sz="0" w:space="0"/>
            <w:bottom w:val="none" w:sz="0" w:space="0"/>
            <w:right w:val="none" w:sz="0" w:space="0"/>
          </w:pgBorders>
          <w:pgNumType w:fmt="decimal"/>
          <w:cols w:space="720" w:num="1"/>
        </w:sectPr>
      </w:pPr>
    </w:p>
    <w:p w14:paraId="1C0518B5">
      <w:pPr>
        <w:spacing w:before="57" w:line="222" w:lineRule="auto"/>
        <w:jc w:val="center"/>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政府采购供应商资格信用承诺函</w:t>
      </w:r>
    </w:p>
    <w:p w14:paraId="6A704BEC">
      <w:pPr>
        <w:keepNext w:val="0"/>
        <w:keepLines w:val="0"/>
        <w:pageBreakBefore w:val="0"/>
        <w:widowControl w:val="0"/>
        <w:kinsoku/>
        <w:wordWrap/>
        <w:overflowPunct/>
        <w:topLinePunct w:val="0"/>
        <w:autoSpaceDE/>
        <w:autoSpaceDN/>
        <w:bidi w:val="0"/>
        <w:adjustRightInd/>
        <w:snapToGrid/>
        <w:spacing w:before="71" w:line="360" w:lineRule="auto"/>
        <w:ind w:left="29" w:right="56" w:firstLine="472"/>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致：（采购人或政府采购代理机构）</w:t>
      </w:r>
    </w:p>
    <w:p w14:paraId="54D064B1">
      <w:pPr>
        <w:keepNext w:val="0"/>
        <w:keepLines w:val="0"/>
        <w:pageBreakBefore w:val="0"/>
        <w:widowControl w:val="0"/>
        <w:kinsoku/>
        <w:wordWrap/>
        <w:overflowPunct/>
        <w:topLinePunct w:val="0"/>
        <w:autoSpaceDE/>
        <w:autoSpaceDN/>
        <w:bidi w:val="0"/>
        <w:adjustRightInd/>
        <w:snapToGrid/>
        <w:spacing w:before="71" w:line="360" w:lineRule="auto"/>
        <w:ind w:left="29" w:right="56" w:firstLine="472"/>
        <w:textAlignment w:val="auto"/>
        <w:rPr>
          <w:rFonts w:hint="eastAsia" w:ascii="宋体" w:hAnsi="宋体" w:eastAsia="宋体" w:cs="宋体"/>
          <w:spacing w:val="-3"/>
          <w:sz w:val="28"/>
          <w:szCs w:val="28"/>
        </w:rPr>
      </w:pPr>
      <w:r>
        <w:rPr>
          <w:rFonts w:hint="eastAsia" w:ascii="宋体" w:hAnsi="宋体" w:eastAsia="宋体" w:cs="宋体"/>
          <w:spacing w:val="-3"/>
          <w:sz w:val="28"/>
          <w:szCs w:val="28"/>
          <w:lang w:eastAsia="zh-CN"/>
        </w:rPr>
        <w:t>（投标单位）</w:t>
      </w:r>
      <w:r>
        <w:rPr>
          <w:rFonts w:hint="eastAsia" w:ascii="宋体" w:hAnsi="宋体" w:eastAsia="宋体" w:cs="宋体"/>
          <w:spacing w:val="-3"/>
          <w:sz w:val="28"/>
          <w:szCs w:val="28"/>
        </w:rPr>
        <w:t>单位名称（自然人姓名）：</w:t>
      </w:r>
    </w:p>
    <w:p w14:paraId="6F4EEFC0">
      <w:pPr>
        <w:keepNext w:val="0"/>
        <w:keepLines w:val="0"/>
        <w:pageBreakBefore w:val="0"/>
        <w:widowControl w:val="0"/>
        <w:kinsoku/>
        <w:wordWrap/>
        <w:overflowPunct/>
        <w:topLinePunct w:val="0"/>
        <w:autoSpaceDE/>
        <w:autoSpaceDN/>
        <w:bidi w:val="0"/>
        <w:adjustRightInd/>
        <w:snapToGrid/>
        <w:spacing w:before="71" w:line="360" w:lineRule="auto"/>
        <w:ind w:left="29" w:right="56" w:firstLine="472"/>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统一社会信用代码（身份证号码）：</w:t>
      </w:r>
    </w:p>
    <w:p w14:paraId="16560D0C">
      <w:pPr>
        <w:keepNext w:val="0"/>
        <w:keepLines w:val="0"/>
        <w:pageBreakBefore w:val="0"/>
        <w:widowControl w:val="0"/>
        <w:kinsoku/>
        <w:wordWrap/>
        <w:overflowPunct/>
        <w:topLinePunct w:val="0"/>
        <w:autoSpaceDE/>
        <w:autoSpaceDN/>
        <w:bidi w:val="0"/>
        <w:adjustRightInd/>
        <w:snapToGrid/>
        <w:spacing w:before="71" w:line="360" w:lineRule="auto"/>
        <w:ind w:left="29" w:right="56" w:firstLine="472"/>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法定代表人（负责人）：</w:t>
      </w:r>
    </w:p>
    <w:p w14:paraId="57E2BB63">
      <w:pPr>
        <w:keepNext w:val="0"/>
        <w:keepLines w:val="0"/>
        <w:pageBreakBefore w:val="0"/>
        <w:widowControl w:val="0"/>
        <w:kinsoku/>
        <w:wordWrap/>
        <w:overflowPunct/>
        <w:topLinePunct w:val="0"/>
        <w:autoSpaceDE/>
        <w:autoSpaceDN/>
        <w:bidi w:val="0"/>
        <w:adjustRightInd/>
        <w:snapToGrid/>
        <w:spacing w:before="71" w:line="360" w:lineRule="auto"/>
        <w:ind w:left="29" w:right="56" w:firstLine="472"/>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联系地址和电话：</w:t>
      </w:r>
    </w:p>
    <w:p w14:paraId="0DABA7EB">
      <w:pPr>
        <w:keepNext w:val="0"/>
        <w:keepLines w:val="0"/>
        <w:pageBreakBefore w:val="0"/>
        <w:widowControl w:val="0"/>
        <w:kinsoku/>
        <w:wordWrap/>
        <w:overflowPunct/>
        <w:topLinePunct w:val="0"/>
        <w:autoSpaceDE/>
        <w:autoSpaceDN/>
        <w:bidi w:val="0"/>
        <w:adjustRightInd/>
        <w:snapToGrid/>
        <w:spacing w:before="71" w:line="360" w:lineRule="auto"/>
        <w:ind w:left="29" w:right="56" w:firstLine="472"/>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我单位（本人）自愿参加本次政府采购活动，严格遵守《中华人民共和国政府采购法》及相关法律法规，坚守公开、公平、公正和诚实信用等原则，依法诚信经营，并郑重承诺：</w:t>
      </w:r>
    </w:p>
    <w:p w14:paraId="73C02879">
      <w:pPr>
        <w:keepNext w:val="0"/>
        <w:keepLines w:val="0"/>
        <w:pageBreakBefore w:val="0"/>
        <w:widowControl w:val="0"/>
        <w:kinsoku/>
        <w:wordWrap/>
        <w:overflowPunct/>
        <w:topLinePunct w:val="0"/>
        <w:autoSpaceDE/>
        <w:autoSpaceDN/>
        <w:bidi w:val="0"/>
        <w:adjustRightInd/>
        <w:snapToGrid/>
        <w:spacing w:before="71" w:line="360" w:lineRule="auto"/>
        <w:ind w:left="29" w:right="56" w:firstLine="472"/>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（一）我单位（本人）符合采购文件要求以及《中华人民共和国政府采购法》 第二十二条规定的条件：</w:t>
      </w:r>
    </w:p>
    <w:p w14:paraId="56E359AD">
      <w:pPr>
        <w:keepNext w:val="0"/>
        <w:keepLines w:val="0"/>
        <w:pageBreakBefore w:val="0"/>
        <w:widowControl w:val="0"/>
        <w:kinsoku/>
        <w:wordWrap/>
        <w:overflowPunct/>
        <w:topLinePunct w:val="0"/>
        <w:autoSpaceDE/>
        <w:autoSpaceDN/>
        <w:bidi w:val="0"/>
        <w:adjustRightInd/>
        <w:snapToGrid/>
        <w:spacing w:before="71" w:line="360" w:lineRule="auto"/>
        <w:ind w:left="29" w:right="56" w:firstLine="472"/>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1．具有独立承担民事责任的能力；</w:t>
      </w:r>
    </w:p>
    <w:p w14:paraId="59D0665D">
      <w:pPr>
        <w:keepNext w:val="0"/>
        <w:keepLines w:val="0"/>
        <w:pageBreakBefore w:val="0"/>
        <w:widowControl w:val="0"/>
        <w:kinsoku/>
        <w:wordWrap/>
        <w:overflowPunct/>
        <w:topLinePunct w:val="0"/>
        <w:autoSpaceDE/>
        <w:autoSpaceDN/>
        <w:bidi w:val="0"/>
        <w:adjustRightInd/>
        <w:snapToGrid/>
        <w:spacing w:before="71" w:line="360" w:lineRule="auto"/>
        <w:ind w:left="29" w:right="56" w:firstLine="472"/>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2．具有良好的商业信誉和健全的财务会计制度；</w:t>
      </w:r>
    </w:p>
    <w:p w14:paraId="6D12E652">
      <w:pPr>
        <w:keepNext w:val="0"/>
        <w:keepLines w:val="0"/>
        <w:pageBreakBefore w:val="0"/>
        <w:widowControl w:val="0"/>
        <w:kinsoku/>
        <w:wordWrap/>
        <w:overflowPunct/>
        <w:topLinePunct w:val="0"/>
        <w:autoSpaceDE/>
        <w:autoSpaceDN/>
        <w:bidi w:val="0"/>
        <w:adjustRightInd/>
        <w:snapToGrid/>
        <w:spacing w:before="71" w:line="360" w:lineRule="auto"/>
        <w:ind w:left="29" w:right="56" w:firstLine="472"/>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3．具有履行合同所必需的设备和专业技术能力；</w:t>
      </w:r>
    </w:p>
    <w:p w14:paraId="2C91FABF">
      <w:pPr>
        <w:keepNext w:val="0"/>
        <w:keepLines w:val="0"/>
        <w:pageBreakBefore w:val="0"/>
        <w:widowControl w:val="0"/>
        <w:kinsoku/>
        <w:wordWrap/>
        <w:overflowPunct/>
        <w:topLinePunct w:val="0"/>
        <w:autoSpaceDE/>
        <w:autoSpaceDN/>
        <w:bidi w:val="0"/>
        <w:adjustRightInd/>
        <w:snapToGrid/>
        <w:spacing w:before="71" w:line="360" w:lineRule="auto"/>
        <w:ind w:left="29" w:right="56" w:firstLine="472"/>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4．有依法缴纳税收和社会保障资金的良好记录；</w:t>
      </w:r>
    </w:p>
    <w:p w14:paraId="5D55709D">
      <w:pPr>
        <w:keepNext w:val="0"/>
        <w:keepLines w:val="0"/>
        <w:pageBreakBefore w:val="0"/>
        <w:widowControl w:val="0"/>
        <w:kinsoku/>
        <w:wordWrap/>
        <w:overflowPunct/>
        <w:topLinePunct w:val="0"/>
        <w:autoSpaceDE/>
        <w:autoSpaceDN/>
        <w:bidi w:val="0"/>
        <w:adjustRightInd/>
        <w:snapToGrid/>
        <w:spacing w:before="71" w:line="360" w:lineRule="auto"/>
        <w:ind w:left="29" w:right="56" w:firstLine="472"/>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5．参加政府采购活动前三年内，在经营活动中没有重大违法记录；</w:t>
      </w:r>
    </w:p>
    <w:p w14:paraId="774F5F4D">
      <w:pPr>
        <w:keepNext w:val="0"/>
        <w:keepLines w:val="0"/>
        <w:pageBreakBefore w:val="0"/>
        <w:widowControl w:val="0"/>
        <w:kinsoku/>
        <w:wordWrap/>
        <w:overflowPunct/>
        <w:topLinePunct w:val="0"/>
        <w:autoSpaceDE/>
        <w:autoSpaceDN/>
        <w:bidi w:val="0"/>
        <w:adjustRightInd/>
        <w:snapToGrid/>
        <w:spacing w:before="71" w:line="360" w:lineRule="auto"/>
        <w:ind w:left="29" w:right="56" w:firstLine="472"/>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6．符合法律、行政法规规定的其他条件。</w:t>
      </w:r>
    </w:p>
    <w:p w14:paraId="0BE4D49D">
      <w:pPr>
        <w:keepNext w:val="0"/>
        <w:keepLines w:val="0"/>
        <w:pageBreakBefore w:val="0"/>
        <w:widowControl w:val="0"/>
        <w:kinsoku/>
        <w:wordWrap/>
        <w:overflowPunct/>
        <w:topLinePunct w:val="0"/>
        <w:autoSpaceDE/>
        <w:autoSpaceDN/>
        <w:bidi w:val="0"/>
        <w:adjustRightInd/>
        <w:snapToGrid/>
        <w:spacing w:before="71" w:line="360" w:lineRule="auto"/>
        <w:ind w:left="29" w:right="56" w:firstLine="472"/>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（二）我单位（本人）未被列入严重失信主体名单、失信被执行人、税收违法黑名单、政府采购严重违法失信行为记录名单，未曾作出虚假承诺。</w:t>
      </w:r>
    </w:p>
    <w:p w14:paraId="4B5882A3">
      <w:pPr>
        <w:keepNext w:val="0"/>
        <w:keepLines w:val="0"/>
        <w:pageBreakBefore w:val="0"/>
        <w:widowControl w:val="0"/>
        <w:kinsoku/>
        <w:wordWrap/>
        <w:overflowPunct/>
        <w:topLinePunct w:val="0"/>
        <w:autoSpaceDE/>
        <w:autoSpaceDN/>
        <w:bidi w:val="0"/>
        <w:adjustRightInd/>
        <w:snapToGrid/>
        <w:spacing w:before="71" w:line="360" w:lineRule="auto"/>
        <w:ind w:left="29" w:right="56" w:firstLine="472"/>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（三）我单位（本人）对上述承诺事项的真实性，合法性及有效性负责。并已知晓如所作信用承诺不实、不尽，可能涉嫌《中华人民共和国政府采购法》第 七十七条第一款第（一）项“提供虚假材料谋取中标、成交的 ”的违法行为。经调查核实的，将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以及第七十九条： “……给他人造成损失的，依照有关民事法律规定承担民事责任。”进行处理。</w:t>
      </w:r>
    </w:p>
    <w:p w14:paraId="74AAF2DC">
      <w:pPr>
        <w:pStyle w:val="12"/>
        <w:spacing w:line="352" w:lineRule="auto"/>
      </w:pPr>
    </w:p>
    <w:p w14:paraId="4E3D11C4">
      <w:pPr>
        <w:spacing w:before="79" w:line="358" w:lineRule="auto"/>
        <w:ind w:left="3647"/>
        <w:rPr>
          <w:rFonts w:hint="eastAsia" w:ascii="宋体" w:hAnsi="宋体" w:eastAsia="宋体" w:cs="宋体"/>
          <w:sz w:val="28"/>
          <w:szCs w:val="28"/>
        </w:rPr>
      </w:pPr>
      <w:r>
        <w:rPr>
          <w:rFonts w:hint="eastAsia" w:ascii="宋体" w:hAnsi="宋体" w:eastAsia="宋体" w:cs="宋体"/>
          <w:spacing w:val="-2"/>
          <w:sz w:val="28"/>
          <w:szCs w:val="28"/>
        </w:rPr>
        <w:t>供应商名称（盖单位电子印章</w:t>
      </w:r>
      <w:r>
        <w:rPr>
          <w:rFonts w:hint="eastAsia" w:ascii="宋体" w:hAnsi="宋体" w:eastAsia="宋体" w:cs="宋体"/>
          <w:spacing w:val="3"/>
          <w:sz w:val="28"/>
          <w:szCs w:val="28"/>
        </w:rPr>
        <w:t>）：</w:t>
      </w:r>
      <w:r>
        <w:rPr>
          <w:rFonts w:hint="eastAsia" w:ascii="宋体" w:hAnsi="宋体" w:eastAsia="宋体" w:cs="宋体"/>
          <w:sz w:val="28"/>
          <w:szCs w:val="28"/>
          <w:u w:val="single" w:color="auto"/>
        </w:rPr>
        <w:t xml:space="preserve">          </w:t>
      </w:r>
    </w:p>
    <w:p w14:paraId="26CD6C16">
      <w:pPr>
        <w:spacing w:before="1" w:line="221" w:lineRule="auto"/>
        <w:ind w:left="627" w:firstLine="1644" w:firstLineChars="600"/>
        <w:rPr>
          <w:rFonts w:hint="eastAsia" w:ascii="宋体" w:hAnsi="宋体" w:eastAsia="宋体" w:cs="宋体"/>
          <w:sz w:val="28"/>
          <w:szCs w:val="28"/>
        </w:rPr>
      </w:pPr>
      <w:r>
        <w:rPr>
          <w:rFonts w:hint="eastAsia" w:ascii="宋体" w:hAnsi="宋体" w:eastAsia="宋体" w:cs="宋体"/>
          <w:spacing w:val="-3"/>
          <w:sz w:val="28"/>
          <w:szCs w:val="28"/>
        </w:rPr>
        <w:t>法定代表人授权代表（签字或盖电子印章</w:t>
      </w:r>
      <w:r>
        <w:rPr>
          <w:rFonts w:hint="eastAsia" w:ascii="宋体" w:hAnsi="宋体" w:eastAsia="宋体" w:cs="宋体"/>
          <w:spacing w:val="-19"/>
          <w:sz w:val="28"/>
          <w:szCs w:val="28"/>
        </w:rPr>
        <w:t>）：</w:t>
      </w:r>
      <w:r>
        <w:rPr>
          <w:rFonts w:hint="eastAsia" w:ascii="宋体" w:hAnsi="宋体" w:eastAsia="宋体" w:cs="宋体"/>
          <w:sz w:val="28"/>
          <w:szCs w:val="28"/>
          <w:u w:val="single" w:color="auto"/>
        </w:rPr>
        <w:t xml:space="preserve">       </w:t>
      </w:r>
    </w:p>
    <w:p w14:paraId="6EE6C981">
      <w:pPr>
        <w:spacing w:before="188" w:line="222" w:lineRule="auto"/>
        <w:ind w:right="39"/>
        <w:jc w:val="right"/>
        <w:rPr>
          <w:rFonts w:hint="eastAsia" w:ascii="宋体" w:hAnsi="宋体" w:eastAsia="宋体" w:cs="宋体"/>
          <w:sz w:val="28"/>
          <w:szCs w:val="28"/>
        </w:rPr>
      </w:pPr>
      <w:r>
        <w:rPr>
          <w:rFonts w:hint="eastAsia" w:ascii="宋体" w:hAnsi="宋体" w:eastAsia="宋体" w:cs="宋体"/>
          <w:spacing w:val="-20"/>
          <w:sz w:val="28"/>
          <w:szCs w:val="28"/>
        </w:rPr>
        <w:t>日期：</w:t>
      </w:r>
      <w:r>
        <w:rPr>
          <w:rFonts w:hint="eastAsia" w:ascii="宋体" w:hAnsi="宋体" w:eastAsia="宋体" w:cs="宋体"/>
          <w:spacing w:val="6"/>
          <w:sz w:val="28"/>
          <w:szCs w:val="28"/>
        </w:rPr>
        <w:t xml:space="preserve">    </w:t>
      </w:r>
      <w:r>
        <w:rPr>
          <w:rFonts w:hint="eastAsia" w:ascii="宋体" w:hAnsi="宋体" w:eastAsia="宋体" w:cs="宋体"/>
          <w:spacing w:val="-20"/>
          <w:sz w:val="28"/>
          <w:szCs w:val="28"/>
        </w:rPr>
        <w:t>年</w:t>
      </w:r>
      <w:r>
        <w:rPr>
          <w:rFonts w:hint="eastAsia" w:ascii="宋体" w:hAnsi="宋体" w:eastAsia="宋体" w:cs="宋体"/>
          <w:spacing w:val="9"/>
          <w:sz w:val="28"/>
          <w:szCs w:val="28"/>
        </w:rPr>
        <w:t xml:space="preserve">   </w:t>
      </w:r>
      <w:r>
        <w:rPr>
          <w:rFonts w:hint="eastAsia" w:ascii="宋体" w:hAnsi="宋体" w:eastAsia="宋体" w:cs="宋体"/>
          <w:spacing w:val="-20"/>
          <w:sz w:val="28"/>
          <w:szCs w:val="28"/>
        </w:rPr>
        <w:t>月</w:t>
      </w:r>
      <w:r>
        <w:rPr>
          <w:rFonts w:hint="eastAsia" w:ascii="宋体" w:hAnsi="宋体" w:eastAsia="宋体" w:cs="宋体"/>
          <w:spacing w:val="22"/>
          <w:sz w:val="28"/>
          <w:szCs w:val="28"/>
        </w:rPr>
        <w:t xml:space="preserve">   </w:t>
      </w:r>
      <w:r>
        <w:rPr>
          <w:rFonts w:hint="eastAsia" w:ascii="宋体" w:hAnsi="宋体" w:eastAsia="宋体" w:cs="宋体"/>
          <w:spacing w:val="-20"/>
          <w:sz w:val="28"/>
          <w:szCs w:val="28"/>
        </w:rPr>
        <w:t>日</w:t>
      </w:r>
    </w:p>
    <w:p w14:paraId="15BC250A">
      <w:pPr>
        <w:keepNext w:val="0"/>
        <w:keepLines w:val="0"/>
        <w:pageBreakBefore w:val="0"/>
        <w:widowControl w:val="0"/>
        <w:kinsoku/>
        <w:wordWrap/>
        <w:overflowPunct/>
        <w:topLinePunct w:val="0"/>
        <w:autoSpaceDE/>
        <w:autoSpaceDN/>
        <w:bidi w:val="0"/>
        <w:adjustRightInd/>
        <w:snapToGrid/>
        <w:spacing w:before="71" w:line="360" w:lineRule="auto"/>
        <w:ind w:left="29" w:right="56" w:firstLine="472"/>
        <w:textAlignment w:val="auto"/>
        <w:rPr>
          <w:rFonts w:hint="eastAsia" w:ascii="宋体" w:hAnsi="宋体" w:eastAsia="宋体" w:cs="宋体"/>
          <w:spacing w:val="-3"/>
          <w:sz w:val="28"/>
          <w:szCs w:val="28"/>
        </w:rPr>
      </w:pPr>
    </w:p>
    <w:p w14:paraId="43C66291">
      <w:pPr>
        <w:keepNext w:val="0"/>
        <w:keepLines w:val="0"/>
        <w:pageBreakBefore w:val="0"/>
        <w:widowControl w:val="0"/>
        <w:kinsoku/>
        <w:wordWrap/>
        <w:overflowPunct/>
        <w:topLinePunct w:val="0"/>
        <w:autoSpaceDE/>
        <w:autoSpaceDN/>
        <w:bidi w:val="0"/>
        <w:adjustRightInd/>
        <w:snapToGrid/>
        <w:spacing w:before="71" w:line="360" w:lineRule="auto"/>
        <w:ind w:left="29" w:right="56" w:firstLine="472"/>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注：供应商须在响应文件中按此模板提供承诺函，既未提供前述承诺函又未提供营业执照的，视为未实质性响应磋商文件要求，按无效响应处理。</w:t>
      </w:r>
    </w:p>
    <w:p w14:paraId="73946517">
      <w:pPr>
        <w:spacing w:line="220" w:lineRule="auto"/>
        <w:rPr>
          <w:rFonts w:ascii="仿宋" w:hAnsi="仿宋" w:eastAsia="仿宋" w:cs="仿宋"/>
          <w:sz w:val="24"/>
          <w:szCs w:val="24"/>
        </w:rPr>
        <w:sectPr>
          <w:footerReference r:id="rId11" w:type="default"/>
          <w:pgSz w:w="11907" w:h="16840"/>
          <w:pgMar w:top="1422" w:right="1694" w:bottom="1014" w:left="1675" w:header="0" w:footer="852" w:gutter="0"/>
          <w:pgBorders>
            <w:top w:val="none" w:sz="0" w:space="0"/>
            <w:left w:val="none" w:sz="0" w:space="0"/>
            <w:bottom w:val="none" w:sz="0" w:space="0"/>
            <w:right w:val="none" w:sz="0" w:space="0"/>
          </w:pgBorders>
          <w:pgNumType w:fmt="decimal"/>
          <w:cols w:space="720" w:num="1"/>
        </w:sectPr>
      </w:pPr>
    </w:p>
    <w:p w14:paraId="1062251B">
      <w:pPr>
        <w:pStyle w:val="12"/>
        <w:spacing w:line="292" w:lineRule="auto"/>
      </w:pPr>
    </w:p>
    <w:p w14:paraId="7E73DC95">
      <w:pPr>
        <w:spacing w:before="101" w:line="226" w:lineRule="auto"/>
        <w:ind w:left="137"/>
        <w:rPr>
          <w:rFonts w:ascii="仿宋" w:hAnsi="仿宋" w:eastAsia="仿宋" w:cs="仿宋"/>
          <w:sz w:val="31"/>
          <w:szCs w:val="31"/>
        </w:rPr>
      </w:pPr>
      <w:r>
        <w:rPr>
          <w:rFonts w:ascii="仿宋" w:hAnsi="仿宋" w:eastAsia="仿宋" w:cs="仿宋"/>
          <w:spacing w:val="9"/>
          <w:sz w:val="31"/>
          <w:szCs w:val="31"/>
          <w14:textOutline w14:w="5793" w14:cap="sq" w14:cmpd="sng">
            <w14:solidFill>
              <w14:srgbClr w14:val="000000"/>
            </w14:solidFill>
            <w14:prstDash w14:val="solid"/>
            <w14:bevel/>
          </w14:textOutline>
        </w:rPr>
        <w:t>三、落实政府采购政策需提供的证明材料</w:t>
      </w:r>
    </w:p>
    <w:p w14:paraId="3E8A736D">
      <w:pPr>
        <w:spacing w:before="294" w:line="223" w:lineRule="auto"/>
        <w:ind w:left="2769"/>
        <w:outlineLvl w:val="3"/>
        <w:rPr>
          <w:rFonts w:ascii="仿宋" w:hAnsi="仿宋" w:eastAsia="仿宋" w:cs="仿宋"/>
          <w:sz w:val="28"/>
          <w:szCs w:val="28"/>
        </w:rPr>
      </w:pPr>
      <w:r>
        <w:rPr>
          <w:rFonts w:ascii="仿宋" w:hAnsi="仿宋" w:eastAsia="仿宋" w:cs="仿宋"/>
          <w:spacing w:val="-5"/>
          <w:sz w:val="28"/>
          <w:szCs w:val="28"/>
          <w14:textOutline w14:w="5103" w14:cap="sq" w14:cmpd="sng">
            <w14:solidFill>
              <w14:srgbClr w14:val="000000"/>
            </w14:solidFill>
            <w14:prstDash w14:val="solid"/>
            <w14:bevel/>
          </w14:textOutline>
        </w:rPr>
        <w:t>中小企业声明函（服务）</w:t>
      </w:r>
    </w:p>
    <w:p w14:paraId="750AF9B6">
      <w:pPr>
        <w:spacing w:before="202" w:line="262" w:lineRule="auto"/>
        <w:ind w:left="128" w:right="29" w:firstLine="475"/>
        <w:rPr>
          <w:rFonts w:hint="eastAsia" w:ascii="宋体" w:hAnsi="宋体" w:eastAsia="宋体" w:cs="宋体"/>
          <w:sz w:val="28"/>
          <w:szCs w:val="28"/>
        </w:rPr>
      </w:pPr>
      <w:r>
        <w:rPr>
          <w:rFonts w:hint="eastAsia" w:ascii="宋体" w:hAnsi="宋体" w:eastAsia="宋体" w:cs="宋体"/>
          <w:spacing w:val="-1"/>
          <w:sz w:val="28"/>
          <w:szCs w:val="28"/>
        </w:rPr>
        <w:t>本公司（联合体）郑重声明，根据《政府采购促进中小企业发展管理办法》</w:t>
      </w:r>
      <w:r>
        <w:rPr>
          <w:rFonts w:hint="eastAsia" w:ascii="宋体" w:hAnsi="宋体" w:eastAsia="宋体" w:cs="宋体"/>
          <w:sz w:val="28"/>
          <w:szCs w:val="28"/>
        </w:rPr>
        <w:t xml:space="preserve"> </w:t>
      </w:r>
      <w:r>
        <w:rPr>
          <w:rFonts w:hint="eastAsia" w:ascii="宋体" w:hAnsi="宋体" w:eastAsia="宋体" w:cs="宋体"/>
          <w:spacing w:val="-3"/>
          <w:sz w:val="28"/>
          <w:szCs w:val="28"/>
        </w:rPr>
        <w:t>（财库（2020</w:t>
      </w:r>
      <w:r>
        <w:rPr>
          <w:rFonts w:hint="eastAsia" w:ascii="宋体" w:hAnsi="宋体" w:eastAsia="宋体" w:cs="宋体"/>
          <w:spacing w:val="35"/>
          <w:sz w:val="28"/>
          <w:szCs w:val="28"/>
        </w:rPr>
        <w:t xml:space="preserve"> </w:t>
      </w:r>
      <w:r>
        <w:rPr>
          <w:rFonts w:hint="eastAsia" w:ascii="宋体" w:hAnsi="宋体" w:eastAsia="宋体" w:cs="宋体"/>
          <w:spacing w:val="-3"/>
          <w:sz w:val="28"/>
          <w:szCs w:val="28"/>
        </w:rPr>
        <w:t>） 46</w:t>
      </w:r>
      <w:r>
        <w:rPr>
          <w:rFonts w:hint="eastAsia" w:ascii="宋体" w:hAnsi="宋体" w:eastAsia="宋体" w:cs="宋体"/>
          <w:spacing w:val="-39"/>
          <w:sz w:val="28"/>
          <w:szCs w:val="28"/>
        </w:rPr>
        <w:t xml:space="preserve"> </w:t>
      </w:r>
      <w:r>
        <w:rPr>
          <w:rFonts w:hint="eastAsia" w:ascii="宋体" w:hAnsi="宋体" w:eastAsia="宋体" w:cs="宋体"/>
          <w:spacing w:val="-3"/>
          <w:sz w:val="28"/>
          <w:szCs w:val="28"/>
        </w:rPr>
        <w:t>号）的规定，本公司（</w:t>
      </w:r>
      <w:r>
        <w:rPr>
          <w:rFonts w:hint="eastAsia" w:ascii="宋体" w:hAnsi="宋体" w:eastAsia="宋体" w:cs="宋体"/>
          <w:spacing w:val="-4"/>
          <w:sz w:val="28"/>
          <w:szCs w:val="28"/>
        </w:rPr>
        <w:t>联合体）参加</w:t>
      </w:r>
      <w:r>
        <w:rPr>
          <w:rFonts w:hint="eastAsia" w:ascii="宋体" w:hAnsi="宋体" w:eastAsia="宋体" w:cs="宋体"/>
          <w:spacing w:val="-4"/>
          <w:sz w:val="28"/>
          <w:szCs w:val="28"/>
          <w:u w:val="single" w:color="auto"/>
        </w:rPr>
        <w:t>（单位名称）</w:t>
      </w:r>
      <w:r>
        <w:rPr>
          <w:rFonts w:hint="eastAsia" w:ascii="宋体" w:hAnsi="宋体" w:eastAsia="宋体" w:cs="宋体"/>
          <w:spacing w:val="-4"/>
          <w:sz w:val="28"/>
          <w:szCs w:val="28"/>
        </w:rPr>
        <w:t>的</w:t>
      </w:r>
      <w:r>
        <w:rPr>
          <w:rFonts w:hint="eastAsia" w:ascii="宋体" w:hAnsi="宋体" w:eastAsia="宋体" w:cs="宋体"/>
          <w:spacing w:val="-4"/>
          <w:sz w:val="28"/>
          <w:szCs w:val="28"/>
          <w:u w:val="single" w:color="auto"/>
        </w:rPr>
        <w:t>（项目名称）</w:t>
      </w:r>
      <w:r>
        <w:rPr>
          <w:rFonts w:hint="eastAsia" w:ascii="宋体" w:hAnsi="宋体" w:eastAsia="宋体" w:cs="宋体"/>
          <w:spacing w:val="-4"/>
          <w:sz w:val="28"/>
          <w:szCs w:val="28"/>
        </w:rPr>
        <w:t>采购活动，服务全部由符合政策要求的中小企业承接。相关企业（含联</w:t>
      </w:r>
      <w:r>
        <w:rPr>
          <w:rFonts w:hint="eastAsia" w:ascii="宋体" w:hAnsi="宋体" w:eastAsia="宋体" w:cs="宋体"/>
          <w:spacing w:val="-1"/>
          <w:sz w:val="28"/>
          <w:szCs w:val="28"/>
        </w:rPr>
        <w:t>合体中的中小企业、签订分包意向协议的中小企业）的具体情况如下：</w:t>
      </w:r>
    </w:p>
    <w:p w14:paraId="1A7D4425">
      <w:pPr>
        <w:spacing w:before="87" w:line="254" w:lineRule="auto"/>
        <w:ind w:left="124" w:right="9" w:firstLine="492"/>
        <w:rPr>
          <w:rFonts w:hint="eastAsia" w:ascii="宋体" w:hAnsi="宋体" w:eastAsia="宋体" w:cs="宋体"/>
          <w:sz w:val="28"/>
          <w:szCs w:val="28"/>
        </w:rPr>
      </w:pPr>
      <w:r>
        <w:rPr>
          <w:rFonts w:hint="eastAsia" w:ascii="宋体" w:hAnsi="宋体" w:eastAsia="宋体" w:cs="宋体"/>
          <w:color w:val="44505D"/>
          <w:spacing w:val="-2"/>
          <w:sz w:val="28"/>
          <w:szCs w:val="28"/>
        </w:rPr>
        <w:t xml:space="preserve">1. </w:t>
      </w:r>
      <w:r>
        <w:rPr>
          <w:rFonts w:hint="eastAsia" w:ascii="宋体" w:hAnsi="宋体" w:eastAsia="宋体" w:cs="宋体"/>
          <w:spacing w:val="-2"/>
          <w:sz w:val="28"/>
          <w:szCs w:val="28"/>
          <w:u w:val="single" w:color="auto"/>
        </w:rPr>
        <w:t>（标的名称</w:t>
      </w:r>
      <w:r>
        <w:rPr>
          <w:rFonts w:hint="eastAsia" w:ascii="宋体" w:hAnsi="宋体" w:eastAsia="宋体" w:cs="宋体"/>
          <w:spacing w:val="-4"/>
          <w:sz w:val="28"/>
          <w:szCs w:val="28"/>
          <w:u w:val="single" w:color="auto"/>
        </w:rPr>
        <w:t>）</w:t>
      </w:r>
      <w:r>
        <w:rPr>
          <w:rFonts w:hint="eastAsia" w:ascii="宋体" w:hAnsi="宋体" w:eastAsia="宋体" w:cs="宋体"/>
          <w:spacing w:val="-4"/>
          <w:sz w:val="28"/>
          <w:szCs w:val="28"/>
        </w:rPr>
        <w:t>，</w:t>
      </w:r>
      <w:r>
        <w:rPr>
          <w:rFonts w:hint="eastAsia" w:ascii="宋体" w:hAnsi="宋体" w:eastAsia="宋体" w:cs="宋体"/>
          <w:spacing w:val="-2"/>
          <w:sz w:val="28"/>
          <w:szCs w:val="28"/>
        </w:rPr>
        <w:t>属于</w:t>
      </w:r>
      <w:r>
        <w:rPr>
          <w:rFonts w:hint="eastAsia" w:ascii="宋体" w:hAnsi="宋体" w:eastAsia="宋体" w:cs="宋体"/>
          <w:spacing w:val="-2"/>
          <w:sz w:val="28"/>
          <w:szCs w:val="28"/>
          <w:u w:val="single" w:color="auto"/>
        </w:rPr>
        <w:t>（采购文件中明确的所属行业</w:t>
      </w:r>
      <w:r>
        <w:rPr>
          <w:rFonts w:hint="eastAsia" w:ascii="宋体" w:hAnsi="宋体" w:eastAsia="宋体" w:cs="宋体"/>
          <w:spacing w:val="-4"/>
          <w:sz w:val="28"/>
          <w:szCs w:val="28"/>
          <w:u w:val="single" w:color="auto"/>
        </w:rPr>
        <w:t>）</w:t>
      </w:r>
      <w:r>
        <w:rPr>
          <w:rFonts w:hint="eastAsia" w:ascii="宋体" w:hAnsi="宋体" w:eastAsia="宋体" w:cs="宋体"/>
          <w:spacing w:val="34"/>
          <w:sz w:val="28"/>
          <w:szCs w:val="28"/>
        </w:rPr>
        <w:t xml:space="preserve"> </w:t>
      </w:r>
      <w:r>
        <w:rPr>
          <w:rFonts w:hint="eastAsia" w:ascii="宋体" w:hAnsi="宋体" w:eastAsia="宋体" w:cs="宋体"/>
          <w:spacing w:val="-4"/>
          <w:sz w:val="28"/>
          <w:szCs w:val="28"/>
        </w:rPr>
        <w:t>；</w:t>
      </w:r>
      <w:r>
        <w:rPr>
          <w:rFonts w:hint="eastAsia" w:ascii="宋体" w:hAnsi="宋体" w:eastAsia="宋体" w:cs="宋体"/>
          <w:spacing w:val="-3"/>
          <w:sz w:val="28"/>
          <w:szCs w:val="28"/>
        </w:rPr>
        <w:t>承建（承接）</w:t>
      </w:r>
      <w:r>
        <w:rPr>
          <w:rFonts w:hint="eastAsia" w:ascii="宋体" w:hAnsi="宋体" w:eastAsia="宋体" w:cs="宋体"/>
          <w:sz w:val="28"/>
          <w:szCs w:val="28"/>
        </w:rPr>
        <w:t>企业为</w:t>
      </w:r>
      <w:r>
        <w:rPr>
          <w:rFonts w:hint="eastAsia" w:ascii="宋体" w:hAnsi="宋体" w:eastAsia="宋体" w:cs="宋体"/>
          <w:sz w:val="28"/>
          <w:szCs w:val="28"/>
          <w:u w:val="single" w:color="auto"/>
        </w:rPr>
        <w:t>（企业名称</w:t>
      </w:r>
      <w:r>
        <w:rPr>
          <w:rFonts w:hint="eastAsia" w:ascii="宋体" w:hAnsi="宋体" w:eastAsia="宋体" w:cs="宋体"/>
          <w:spacing w:val="7"/>
          <w:sz w:val="28"/>
          <w:szCs w:val="28"/>
          <w:u w:val="single" w:color="auto"/>
        </w:rPr>
        <w:t>）</w:t>
      </w:r>
      <w:r>
        <w:rPr>
          <w:rFonts w:hint="eastAsia" w:ascii="宋体" w:hAnsi="宋体" w:eastAsia="宋体" w:cs="宋体"/>
          <w:spacing w:val="7"/>
          <w:sz w:val="28"/>
          <w:szCs w:val="28"/>
        </w:rPr>
        <w:t>，</w:t>
      </w:r>
      <w:r>
        <w:rPr>
          <w:rFonts w:hint="eastAsia" w:ascii="宋体" w:hAnsi="宋体" w:eastAsia="宋体" w:cs="宋体"/>
          <w:sz w:val="28"/>
          <w:szCs w:val="28"/>
        </w:rPr>
        <w:t>从业人员</w:t>
      </w:r>
      <w:r>
        <w:rPr>
          <w:rFonts w:hint="eastAsia" w:ascii="宋体" w:hAnsi="宋体" w:eastAsia="宋体" w:cs="宋体"/>
          <w:sz w:val="28"/>
          <w:szCs w:val="28"/>
          <w:u w:val="single" w:color="auto"/>
        </w:rPr>
        <w:t xml:space="preserve">       </w:t>
      </w:r>
      <w:r>
        <w:rPr>
          <w:rFonts w:hint="eastAsia" w:ascii="宋体" w:hAnsi="宋体" w:eastAsia="宋体" w:cs="宋体"/>
          <w:spacing w:val="-1"/>
          <w:sz w:val="28"/>
          <w:szCs w:val="28"/>
          <w:u w:val="single" w:color="auto"/>
        </w:rPr>
        <w:t xml:space="preserve">                    </w:t>
      </w:r>
      <w:r>
        <w:rPr>
          <w:rFonts w:hint="eastAsia" w:ascii="宋体" w:hAnsi="宋体" w:eastAsia="宋体" w:cs="宋体"/>
          <w:spacing w:val="-99"/>
          <w:sz w:val="28"/>
          <w:szCs w:val="28"/>
        </w:rPr>
        <w:t xml:space="preserve"> </w:t>
      </w:r>
      <w:r>
        <w:rPr>
          <w:rFonts w:hint="eastAsia" w:ascii="宋体" w:hAnsi="宋体" w:eastAsia="宋体" w:cs="宋体"/>
          <w:spacing w:val="-1"/>
          <w:sz w:val="28"/>
          <w:szCs w:val="28"/>
        </w:rPr>
        <w:t>人，营业收入为 万元，资产总额为</w:t>
      </w:r>
      <w:r>
        <w:rPr>
          <w:rFonts w:hint="eastAsia" w:ascii="宋体" w:hAnsi="宋体" w:eastAsia="宋体" w:cs="宋体"/>
          <w:spacing w:val="-1"/>
          <w:sz w:val="28"/>
          <w:szCs w:val="28"/>
          <w:u w:val="single" w:color="auto"/>
        </w:rPr>
        <w:t xml:space="preserve">   </w:t>
      </w:r>
      <w:r>
        <w:rPr>
          <w:rFonts w:hint="eastAsia" w:ascii="宋体" w:hAnsi="宋体" w:eastAsia="宋体" w:cs="宋体"/>
          <w:spacing w:val="-102"/>
          <w:sz w:val="28"/>
          <w:szCs w:val="28"/>
        </w:rPr>
        <w:t xml:space="preserve"> </w:t>
      </w:r>
      <w:r>
        <w:rPr>
          <w:rFonts w:hint="eastAsia" w:ascii="宋体" w:hAnsi="宋体" w:eastAsia="宋体" w:cs="宋体"/>
          <w:spacing w:val="-1"/>
          <w:sz w:val="28"/>
          <w:szCs w:val="28"/>
        </w:rPr>
        <w:t>万元</w:t>
      </w:r>
      <w:r>
        <w:rPr>
          <w:rFonts w:hint="eastAsia" w:ascii="宋体" w:hAnsi="宋体" w:eastAsia="宋体" w:cs="宋体"/>
          <w:spacing w:val="-46"/>
          <w:sz w:val="28"/>
          <w:szCs w:val="28"/>
        </w:rPr>
        <w:t xml:space="preserve"> </w:t>
      </w:r>
      <w:r>
        <w:rPr>
          <w:rFonts w:hint="eastAsia" w:ascii="宋体" w:hAnsi="宋体" w:eastAsia="宋体" w:cs="宋体"/>
          <w:spacing w:val="-1"/>
          <w:position w:val="11"/>
          <w:sz w:val="28"/>
          <w:szCs w:val="28"/>
        </w:rPr>
        <w:t xml:space="preserve">1 </w:t>
      </w:r>
      <w:r>
        <w:rPr>
          <w:rFonts w:hint="eastAsia" w:ascii="宋体" w:hAnsi="宋体" w:eastAsia="宋体" w:cs="宋体"/>
          <w:spacing w:val="-1"/>
          <w:sz w:val="28"/>
          <w:szCs w:val="28"/>
        </w:rPr>
        <w:t>属于</w:t>
      </w:r>
      <w:r>
        <w:rPr>
          <w:rFonts w:hint="eastAsia" w:ascii="宋体" w:hAnsi="宋体" w:eastAsia="宋体" w:cs="宋体"/>
          <w:spacing w:val="-1"/>
          <w:sz w:val="28"/>
          <w:szCs w:val="28"/>
          <w:u w:val="single" w:color="auto"/>
        </w:rPr>
        <w:t>（</w:t>
      </w:r>
      <w:r>
        <w:rPr>
          <w:rFonts w:hint="eastAsia" w:ascii="宋体" w:hAnsi="宋体" w:eastAsia="宋体" w:cs="宋体"/>
          <w:spacing w:val="-2"/>
          <w:sz w:val="28"/>
          <w:szCs w:val="28"/>
          <w:u w:val="single" w:color="auto"/>
        </w:rPr>
        <w:t>中型企业、小型企业、微型企业</w:t>
      </w:r>
      <w:r>
        <w:rPr>
          <w:rFonts w:hint="eastAsia" w:ascii="宋体" w:hAnsi="宋体" w:eastAsia="宋体" w:cs="宋体"/>
          <w:spacing w:val="16"/>
          <w:sz w:val="28"/>
          <w:szCs w:val="28"/>
          <w:u w:val="single" w:color="auto"/>
        </w:rPr>
        <w:t>）；</w:t>
      </w:r>
    </w:p>
    <w:p w14:paraId="5FADF5F2">
      <w:pPr>
        <w:spacing w:before="90" w:line="254" w:lineRule="auto"/>
        <w:ind w:left="124" w:right="108" w:firstLine="476"/>
        <w:rPr>
          <w:rFonts w:hint="eastAsia" w:ascii="宋体" w:hAnsi="宋体" w:eastAsia="宋体" w:cs="宋体"/>
          <w:sz w:val="28"/>
          <w:szCs w:val="28"/>
        </w:rPr>
      </w:pPr>
      <w:r>
        <w:rPr>
          <w:rFonts w:hint="eastAsia" w:ascii="宋体" w:hAnsi="宋体" w:eastAsia="宋体" w:cs="宋体"/>
          <w:color w:val="44505D"/>
          <w:spacing w:val="-2"/>
          <w:sz w:val="28"/>
          <w:szCs w:val="28"/>
        </w:rPr>
        <w:t xml:space="preserve">2. </w:t>
      </w:r>
      <w:r>
        <w:rPr>
          <w:rFonts w:hint="eastAsia" w:ascii="宋体" w:hAnsi="宋体" w:eastAsia="宋体" w:cs="宋体"/>
          <w:spacing w:val="-2"/>
          <w:sz w:val="28"/>
          <w:szCs w:val="28"/>
          <w:u w:val="single" w:color="auto"/>
        </w:rPr>
        <w:t>（标的名称</w:t>
      </w:r>
      <w:r>
        <w:rPr>
          <w:rFonts w:hint="eastAsia" w:ascii="宋体" w:hAnsi="宋体" w:eastAsia="宋体" w:cs="宋体"/>
          <w:spacing w:val="12"/>
          <w:sz w:val="28"/>
          <w:szCs w:val="28"/>
          <w:u w:val="single" w:color="auto"/>
        </w:rPr>
        <w:t>）</w:t>
      </w:r>
      <w:r>
        <w:rPr>
          <w:rFonts w:hint="eastAsia" w:ascii="宋体" w:hAnsi="宋体" w:eastAsia="宋体" w:cs="宋体"/>
          <w:spacing w:val="12"/>
          <w:sz w:val="28"/>
          <w:szCs w:val="28"/>
        </w:rPr>
        <w:t>，</w:t>
      </w:r>
      <w:r>
        <w:rPr>
          <w:rFonts w:hint="eastAsia" w:ascii="宋体" w:hAnsi="宋体" w:eastAsia="宋体" w:cs="宋体"/>
          <w:spacing w:val="-2"/>
          <w:sz w:val="28"/>
          <w:szCs w:val="28"/>
        </w:rPr>
        <w:t>属于</w:t>
      </w:r>
      <w:r>
        <w:rPr>
          <w:rFonts w:hint="eastAsia" w:ascii="宋体" w:hAnsi="宋体" w:eastAsia="宋体" w:cs="宋体"/>
          <w:spacing w:val="-2"/>
          <w:sz w:val="28"/>
          <w:szCs w:val="28"/>
          <w:u w:val="single" w:color="auto"/>
        </w:rPr>
        <w:t>（采购文件中明确的所属行业</w:t>
      </w:r>
      <w:r>
        <w:rPr>
          <w:rFonts w:hint="eastAsia" w:ascii="宋体" w:hAnsi="宋体" w:eastAsia="宋体" w:cs="宋体"/>
          <w:spacing w:val="12"/>
          <w:sz w:val="28"/>
          <w:szCs w:val="28"/>
          <w:u w:val="single" w:color="auto"/>
        </w:rPr>
        <w:t>）</w:t>
      </w:r>
      <w:r>
        <w:rPr>
          <w:rFonts w:hint="eastAsia" w:ascii="宋体" w:hAnsi="宋体" w:eastAsia="宋体" w:cs="宋体"/>
          <w:spacing w:val="12"/>
          <w:sz w:val="28"/>
          <w:szCs w:val="28"/>
        </w:rPr>
        <w:t>；</w:t>
      </w:r>
      <w:r>
        <w:rPr>
          <w:rFonts w:hint="eastAsia" w:ascii="宋体" w:hAnsi="宋体" w:eastAsia="宋体" w:cs="宋体"/>
          <w:spacing w:val="-2"/>
          <w:sz w:val="28"/>
          <w:szCs w:val="28"/>
        </w:rPr>
        <w:t>承建（承接）</w:t>
      </w:r>
      <w:r>
        <w:rPr>
          <w:rFonts w:hint="eastAsia" w:ascii="宋体" w:hAnsi="宋体" w:eastAsia="宋体" w:cs="宋体"/>
          <w:spacing w:val="1"/>
          <w:sz w:val="28"/>
          <w:szCs w:val="28"/>
        </w:rPr>
        <w:t xml:space="preserve"> </w:t>
      </w:r>
      <w:r>
        <w:rPr>
          <w:rFonts w:hint="eastAsia" w:ascii="宋体" w:hAnsi="宋体" w:eastAsia="宋体" w:cs="宋体"/>
          <w:spacing w:val="4"/>
          <w:sz w:val="28"/>
          <w:szCs w:val="28"/>
        </w:rPr>
        <w:t>企业为</w:t>
      </w:r>
      <w:r>
        <w:rPr>
          <w:rFonts w:hint="eastAsia" w:ascii="宋体" w:hAnsi="宋体" w:eastAsia="宋体" w:cs="宋体"/>
          <w:spacing w:val="4"/>
          <w:sz w:val="28"/>
          <w:szCs w:val="28"/>
          <w:u w:val="single" w:color="auto"/>
        </w:rPr>
        <w:t>（企业名称</w:t>
      </w:r>
      <w:r>
        <w:rPr>
          <w:rFonts w:hint="eastAsia" w:ascii="宋体" w:hAnsi="宋体" w:eastAsia="宋体" w:cs="宋体"/>
          <w:spacing w:val="21"/>
          <w:sz w:val="28"/>
          <w:szCs w:val="28"/>
          <w:u w:val="single" w:color="auto"/>
        </w:rPr>
        <w:t>）</w:t>
      </w:r>
      <w:r>
        <w:rPr>
          <w:rFonts w:hint="eastAsia" w:ascii="宋体" w:hAnsi="宋体" w:eastAsia="宋体" w:cs="宋体"/>
          <w:spacing w:val="21"/>
          <w:sz w:val="28"/>
          <w:szCs w:val="28"/>
        </w:rPr>
        <w:t>，</w:t>
      </w:r>
      <w:r>
        <w:rPr>
          <w:rFonts w:hint="eastAsia" w:ascii="宋体" w:hAnsi="宋体" w:eastAsia="宋体" w:cs="宋体"/>
          <w:spacing w:val="4"/>
          <w:sz w:val="28"/>
          <w:szCs w:val="28"/>
        </w:rPr>
        <w:t>从业人员</w:t>
      </w:r>
      <w:r>
        <w:rPr>
          <w:rFonts w:hint="eastAsia" w:ascii="宋体" w:hAnsi="宋体" w:eastAsia="宋体" w:cs="宋体"/>
          <w:spacing w:val="-112"/>
          <w:sz w:val="28"/>
          <w:szCs w:val="28"/>
        </w:rPr>
        <w:t xml:space="preserve"> </w:t>
      </w:r>
      <w:r>
        <w:rPr>
          <w:rFonts w:hint="eastAsia" w:ascii="宋体" w:hAnsi="宋体" w:eastAsia="宋体" w:cs="宋体"/>
          <w:spacing w:val="7"/>
          <w:sz w:val="28"/>
          <w:szCs w:val="28"/>
          <w:u w:val="single" w:color="auto"/>
        </w:rPr>
        <w:t xml:space="preserve">     </w:t>
      </w:r>
      <w:r>
        <w:rPr>
          <w:rFonts w:hint="eastAsia" w:ascii="宋体" w:hAnsi="宋体" w:eastAsia="宋体" w:cs="宋体"/>
          <w:spacing w:val="-99"/>
          <w:sz w:val="28"/>
          <w:szCs w:val="28"/>
        </w:rPr>
        <w:t xml:space="preserve"> </w:t>
      </w:r>
      <w:r>
        <w:rPr>
          <w:rFonts w:hint="eastAsia" w:ascii="宋体" w:hAnsi="宋体" w:eastAsia="宋体" w:cs="宋体"/>
          <w:spacing w:val="4"/>
          <w:sz w:val="28"/>
          <w:szCs w:val="28"/>
        </w:rPr>
        <w:t xml:space="preserve">人，营业收入为 </w:t>
      </w:r>
      <w:r>
        <w:rPr>
          <w:rFonts w:hint="eastAsia" w:ascii="宋体" w:hAnsi="宋体" w:eastAsia="宋体" w:cs="宋体"/>
          <w:spacing w:val="4"/>
          <w:sz w:val="28"/>
          <w:szCs w:val="28"/>
          <w:u w:val="single" w:color="auto"/>
        </w:rPr>
        <w:t xml:space="preserve">   </w:t>
      </w:r>
      <w:r>
        <w:rPr>
          <w:rFonts w:hint="eastAsia" w:ascii="宋体" w:hAnsi="宋体" w:eastAsia="宋体" w:cs="宋体"/>
          <w:spacing w:val="-102"/>
          <w:sz w:val="28"/>
          <w:szCs w:val="28"/>
        </w:rPr>
        <w:t xml:space="preserve"> </w:t>
      </w:r>
      <w:r>
        <w:rPr>
          <w:rFonts w:hint="eastAsia" w:ascii="宋体" w:hAnsi="宋体" w:eastAsia="宋体" w:cs="宋体"/>
          <w:spacing w:val="4"/>
          <w:sz w:val="28"/>
          <w:szCs w:val="28"/>
        </w:rPr>
        <w:t>万元，资产总额为</w:t>
      </w:r>
      <w:r>
        <w:rPr>
          <w:rFonts w:hint="eastAsia" w:ascii="宋体" w:hAnsi="宋体" w:eastAsia="宋体" w:cs="宋体"/>
          <w:sz w:val="28"/>
          <w:szCs w:val="28"/>
        </w:rPr>
        <w:t xml:space="preserve"> </w:t>
      </w:r>
      <w:r>
        <w:rPr>
          <w:rFonts w:hint="eastAsia" w:ascii="宋体" w:hAnsi="宋体" w:eastAsia="宋体" w:cs="宋体"/>
          <w:spacing w:val="-1"/>
          <w:sz w:val="28"/>
          <w:szCs w:val="28"/>
        </w:rPr>
        <w:t>万元，属于</w:t>
      </w:r>
      <w:r>
        <w:rPr>
          <w:rFonts w:hint="eastAsia" w:ascii="宋体" w:hAnsi="宋体" w:eastAsia="宋体" w:cs="宋体"/>
          <w:spacing w:val="-1"/>
          <w:sz w:val="28"/>
          <w:szCs w:val="28"/>
          <w:u w:val="single" w:color="auto"/>
        </w:rPr>
        <w:t>（中型企业、 小型企业、微型企业</w:t>
      </w:r>
      <w:r>
        <w:rPr>
          <w:rFonts w:hint="eastAsia" w:ascii="宋体" w:hAnsi="宋体" w:eastAsia="宋体" w:cs="宋体"/>
          <w:spacing w:val="1"/>
          <w:sz w:val="28"/>
          <w:szCs w:val="28"/>
          <w:u w:val="single" w:color="auto"/>
        </w:rPr>
        <w:t>）</w:t>
      </w:r>
      <w:r>
        <w:rPr>
          <w:rFonts w:hint="eastAsia" w:ascii="宋体" w:hAnsi="宋体" w:eastAsia="宋体" w:cs="宋体"/>
          <w:spacing w:val="1"/>
          <w:sz w:val="28"/>
          <w:szCs w:val="28"/>
        </w:rPr>
        <w:t>；</w:t>
      </w:r>
    </w:p>
    <w:p w14:paraId="552BA7E5">
      <w:pPr>
        <w:spacing w:before="68" w:line="360" w:lineRule="exact"/>
        <w:ind w:left="613"/>
        <w:rPr>
          <w:rFonts w:hint="eastAsia" w:ascii="宋体" w:hAnsi="宋体" w:eastAsia="宋体" w:cs="宋体"/>
          <w:sz w:val="28"/>
          <w:szCs w:val="28"/>
        </w:rPr>
      </w:pPr>
      <w:r>
        <w:rPr>
          <w:rFonts w:hint="eastAsia" w:ascii="宋体" w:hAnsi="宋体" w:eastAsia="宋体" w:cs="宋体"/>
          <w:spacing w:val="-13"/>
          <w:position w:val="2"/>
          <w:sz w:val="28"/>
          <w:szCs w:val="28"/>
        </w:rPr>
        <w:t>……</w:t>
      </w:r>
    </w:p>
    <w:p w14:paraId="082FEA41">
      <w:pPr>
        <w:keepNext w:val="0"/>
        <w:keepLines w:val="0"/>
        <w:pageBreakBefore w:val="0"/>
        <w:widowControl w:val="0"/>
        <w:kinsoku/>
        <w:wordWrap/>
        <w:overflowPunct/>
        <w:topLinePunct w:val="0"/>
        <w:autoSpaceDE/>
        <w:autoSpaceDN/>
        <w:bidi w:val="0"/>
        <w:adjustRightInd/>
        <w:snapToGrid/>
        <w:spacing w:before="71" w:line="360" w:lineRule="auto"/>
        <w:ind w:left="29" w:right="56" w:firstLine="472"/>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以上企业，不属于大企业的分支机构，不存在控股股东为大企业的情形，也不存在与大企业的负责人为同一人的情形。</w:t>
      </w:r>
    </w:p>
    <w:p w14:paraId="0F65C691">
      <w:pPr>
        <w:keepNext w:val="0"/>
        <w:keepLines w:val="0"/>
        <w:pageBreakBefore w:val="0"/>
        <w:widowControl w:val="0"/>
        <w:kinsoku/>
        <w:wordWrap/>
        <w:overflowPunct/>
        <w:topLinePunct w:val="0"/>
        <w:autoSpaceDE/>
        <w:autoSpaceDN/>
        <w:bidi w:val="0"/>
        <w:adjustRightInd/>
        <w:snapToGrid/>
        <w:spacing w:before="71" w:line="360" w:lineRule="auto"/>
        <w:ind w:left="29" w:right="56" w:firstLine="472"/>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本企业对上述声明内容的真实性负责。如有虚假，将依法承担相应责任。</w:t>
      </w:r>
    </w:p>
    <w:p w14:paraId="6AF1192F">
      <w:pPr>
        <w:spacing w:before="1" w:line="220" w:lineRule="auto"/>
        <w:ind w:left="4283"/>
        <w:rPr>
          <w:rFonts w:hint="eastAsia" w:ascii="宋体" w:hAnsi="宋体" w:eastAsia="宋体" w:cs="宋体"/>
          <w:spacing w:val="-5"/>
          <w:sz w:val="28"/>
          <w:szCs w:val="28"/>
        </w:rPr>
      </w:pPr>
    </w:p>
    <w:p w14:paraId="480BFCBB">
      <w:pPr>
        <w:spacing w:before="1" w:line="220" w:lineRule="auto"/>
        <w:ind w:left="4283"/>
        <w:rPr>
          <w:rFonts w:hint="eastAsia" w:ascii="宋体" w:hAnsi="宋体" w:eastAsia="宋体" w:cs="宋体"/>
          <w:sz w:val="28"/>
          <w:szCs w:val="28"/>
        </w:rPr>
      </w:pPr>
      <w:r>
        <w:rPr>
          <w:rFonts w:hint="eastAsia" w:ascii="宋体" w:hAnsi="宋体" w:eastAsia="宋体" w:cs="宋体"/>
          <w:spacing w:val="-5"/>
          <w:sz w:val="28"/>
          <w:szCs w:val="28"/>
        </w:rPr>
        <w:t>企业名称（盖章</w:t>
      </w:r>
      <w:r>
        <w:rPr>
          <w:rFonts w:hint="eastAsia" w:ascii="宋体" w:hAnsi="宋体" w:eastAsia="宋体" w:cs="宋体"/>
          <w:spacing w:val="7"/>
          <w:sz w:val="28"/>
          <w:szCs w:val="28"/>
        </w:rPr>
        <w:t>）：</w:t>
      </w:r>
    </w:p>
    <w:p w14:paraId="642F0E00">
      <w:pPr>
        <w:pStyle w:val="12"/>
        <w:spacing w:line="347" w:lineRule="auto"/>
        <w:rPr>
          <w:rFonts w:hint="eastAsia" w:ascii="宋体" w:hAnsi="宋体" w:eastAsia="宋体" w:cs="宋体"/>
          <w:sz w:val="28"/>
          <w:szCs w:val="28"/>
        </w:rPr>
      </w:pPr>
    </w:p>
    <w:p w14:paraId="706411AC">
      <w:pPr>
        <w:spacing w:before="79" w:line="223" w:lineRule="auto"/>
        <w:ind w:left="5000"/>
        <w:rPr>
          <w:rFonts w:hint="eastAsia" w:ascii="宋体" w:hAnsi="宋体" w:eastAsia="宋体" w:cs="宋体"/>
          <w:sz w:val="28"/>
          <w:szCs w:val="28"/>
        </w:rPr>
      </w:pPr>
      <w:r>
        <w:rPr>
          <w:rFonts w:hint="eastAsia" w:ascii="宋体" w:hAnsi="宋体" w:eastAsia="宋体" w:cs="宋体"/>
          <w:spacing w:val="-23"/>
          <w:sz w:val="28"/>
          <w:szCs w:val="28"/>
        </w:rPr>
        <w:t>日期：</w:t>
      </w:r>
    </w:p>
    <w:p w14:paraId="469B3937">
      <w:pPr>
        <w:pStyle w:val="12"/>
        <w:tabs>
          <w:tab w:val="left" w:pos="8522"/>
        </w:tabs>
        <w:spacing w:before="199" w:line="235" w:lineRule="exact"/>
        <w:rPr>
          <w:rFonts w:hint="eastAsia" w:ascii="宋体" w:hAnsi="宋体" w:eastAsia="宋体" w:cs="宋体"/>
          <w:position w:val="-1"/>
          <w:sz w:val="28"/>
          <w:szCs w:val="28"/>
          <w:u w:val="single" w:color="auto"/>
        </w:rPr>
      </w:pPr>
    </w:p>
    <w:p w14:paraId="01A940D3">
      <w:pPr>
        <w:pStyle w:val="12"/>
        <w:tabs>
          <w:tab w:val="left" w:pos="8522"/>
        </w:tabs>
        <w:spacing w:before="199" w:line="235" w:lineRule="exact"/>
        <w:rPr>
          <w:rFonts w:hint="eastAsia" w:ascii="宋体" w:hAnsi="宋体" w:eastAsia="宋体" w:cs="宋体"/>
          <w:position w:val="-1"/>
          <w:sz w:val="28"/>
          <w:szCs w:val="28"/>
          <w:u w:val="single" w:color="auto"/>
        </w:rPr>
      </w:pPr>
    </w:p>
    <w:p w14:paraId="597BB508">
      <w:pPr>
        <w:pStyle w:val="12"/>
        <w:tabs>
          <w:tab w:val="left" w:pos="8522"/>
        </w:tabs>
        <w:spacing w:before="199" w:line="235" w:lineRule="exact"/>
        <w:rPr>
          <w:rFonts w:hint="eastAsia" w:ascii="宋体" w:hAnsi="宋体" w:eastAsia="宋体" w:cs="宋体"/>
          <w:position w:val="-1"/>
          <w:sz w:val="28"/>
          <w:szCs w:val="28"/>
          <w:u w:val="single" w:color="auto"/>
        </w:rPr>
      </w:pPr>
    </w:p>
    <w:p w14:paraId="79C1DC6D">
      <w:pPr>
        <w:pStyle w:val="12"/>
        <w:tabs>
          <w:tab w:val="left" w:pos="8522"/>
        </w:tabs>
        <w:spacing w:before="199" w:line="235" w:lineRule="exact"/>
        <w:rPr>
          <w:rFonts w:hint="eastAsia" w:ascii="宋体" w:hAnsi="宋体" w:eastAsia="宋体" w:cs="宋体"/>
          <w:position w:val="-1"/>
          <w:sz w:val="28"/>
          <w:szCs w:val="28"/>
          <w:u w:val="single" w:color="auto"/>
        </w:rPr>
      </w:pPr>
    </w:p>
    <w:p w14:paraId="76A5B774">
      <w:pPr>
        <w:pStyle w:val="12"/>
        <w:tabs>
          <w:tab w:val="left" w:pos="8522"/>
        </w:tabs>
        <w:spacing w:before="199" w:line="235" w:lineRule="exact"/>
        <w:rPr>
          <w:rFonts w:hint="eastAsia" w:ascii="宋体" w:hAnsi="宋体" w:eastAsia="宋体" w:cs="宋体"/>
          <w:position w:val="-1"/>
          <w:sz w:val="28"/>
          <w:szCs w:val="28"/>
          <w:u w:val="single" w:color="auto"/>
        </w:rPr>
      </w:pPr>
    </w:p>
    <w:p w14:paraId="47638140">
      <w:pPr>
        <w:pStyle w:val="12"/>
        <w:tabs>
          <w:tab w:val="left" w:pos="8522"/>
        </w:tabs>
        <w:spacing w:before="199" w:line="235" w:lineRule="exact"/>
        <w:rPr>
          <w:rFonts w:hint="eastAsia" w:ascii="宋体" w:hAnsi="宋体" w:eastAsia="宋体" w:cs="宋体"/>
          <w:sz w:val="28"/>
          <w:szCs w:val="28"/>
        </w:rPr>
      </w:pPr>
      <w:r>
        <w:rPr>
          <w:rFonts w:hint="eastAsia" w:ascii="宋体" w:hAnsi="宋体" w:eastAsia="宋体" w:cs="宋体"/>
          <w:position w:val="-1"/>
          <w:sz w:val="28"/>
          <w:szCs w:val="28"/>
          <w:u w:val="single" w:color="auto"/>
        </w:rPr>
        <w:tab/>
      </w:r>
    </w:p>
    <w:p w14:paraId="4AF4C4F7">
      <w:pPr>
        <w:spacing w:before="59" w:line="222" w:lineRule="auto"/>
        <w:ind w:left="20"/>
        <w:rPr>
          <w:rFonts w:ascii="仿宋" w:hAnsi="仿宋" w:eastAsia="仿宋" w:cs="仿宋"/>
          <w:spacing w:val="-1"/>
          <w:sz w:val="20"/>
          <w:szCs w:val="20"/>
        </w:rPr>
      </w:pPr>
      <w:r>
        <w:rPr>
          <w:rFonts w:hint="eastAsia" w:ascii="仿宋" w:hAnsi="仿宋" w:eastAsia="仿宋" w:cs="仿宋"/>
          <w:spacing w:val="-1"/>
          <w:sz w:val="20"/>
          <w:szCs w:val="20"/>
        </w:rPr>
        <w:t>1 从业人员、营业收入、资产总额填报上一年度数据，无上一年度数据的新成立企业可不填报。</w:t>
      </w:r>
    </w:p>
    <w:p w14:paraId="68AA59A5">
      <w:pPr>
        <w:spacing w:line="216" w:lineRule="auto"/>
        <w:rPr>
          <w:rFonts w:ascii="仿宋" w:hAnsi="仿宋" w:eastAsia="仿宋" w:cs="仿宋"/>
          <w:sz w:val="18"/>
          <w:szCs w:val="18"/>
        </w:rPr>
        <w:sectPr>
          <w:footerReference r:id="rId12" w:type="default"/>
          <w:pgSz w:w="11907" w:h="16840"/>
          <w:pgMar w:top="1431" w:right="1691" w:bottom="1014" w:left="1691" w:header="0" w:footer="852" w:gutter="0"/>
          <w:pgBorders>
            <w:top w:val="none" w:sz="0" w:space="0"/>
            <w:left w:val="none" w:sz="0" w:space="0"/>
            <w:bottom w:val="none" w:sz="0" w:space="0"/>
            <w:right w:val="none" w:sz="0" w:space="0"/>
          </w:pgBorders>
          <w:pgNumType w:fmt="decimal"/>
          <w:cols w:space="720" w:num="1"/>
        </w:sectPr>
      </w:pPr>
    </w:p>
    <w:p w14:paraId="45C8427B">
      <w:pPr>
        <w:spacing w:before="57" w:line="223" w:lineRule="auto"/>
        <w:ind w:left="2955"/>
        <w:outlineLvl w:val="3"/>
        <w:rPr>
          <w:rFonts w:ascii="仿宋" w:hAnsi="仿宋" w:eastAsia="仿宋" w:cs="仿宋"/>
          <w:sz w:val="28"/>
          <w:szCs w:val="28"/>
        </w:rPr>
      </w:pPr>
      <w:r>
        <w:rPr>
          <w:rFonts w:ascii="仿宋" w:hAnsi="仿宋" w:eastAsia="仿宋" w:cs="仿宋"/>
          <w:spacing w:val="-6"/>
          <w:sz w:val="28"/>
          <w:szCs w:val="28"/>
          <w14:textOutline w14:w="5103" w14:cap="sq" w14:cmpd="sng">
            <w14:solidFill>
              <w14:srgbClr w14:val="000000"/>
            </w14:solidFill>
            <w14:prstDash w14:val="solid"/>
            <w14:bevel/>
          </w14:textOutline>
        </w:rPr>
        <w:t>中小企业声明函说明</w:t>
      </w:r>
    </w:p>
    <w:p w14:paraId="256DDAF3">
      <w:pPr>
        <w:keepNext w:val="0"/>
        <w:keepLines w:val="0"/>
        <w:pageBreakBefore w:val="0"/>
        <w:widowControl w:val="0"/>
        <w:kinsoku/>
        <w:wordWrap/>
        <w:overflowPunct/>
        <w:topLinePunct w:val="0"/>
        <w:autoSpaceDE/>
        <w:autoSpaceDN/>
        <w:bidi w:val="0"/>
        <w:adjustRightInd/>
        <w:snapToGrid/>
        <w:spacing w:before="71" w:line="360" w:lineRule="auto"/>
        <w:ind w:left="29" w:right="56" w:firstLine="472"/>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①供应商应审慎填报本声明函。</w:t>
      </w:r>
    </w:p>
    <w:p w14:paraId="3EAA15F3">
      <w:pPr>
        <w:keepNext w:val="0"/>
        <w:keepLines w:val="0"/>
        <w:pageBreakBefore w:val="0"/>
        <w:widowControl w:val="0"/>
        <w:kinsoku/>
        <w:wordWrap/>
        <w:overflowPunct/>
        <w:topLinePunct w:val="0"/>
        <w:autoSpaceDE/>
        <w:autoSpaceDN/>
        <w:bidi w:val="0"/>
        <w:adjustRightInd/>
        <w:snapToGrid/>
        <w:spacing w:before="71" w:line="360" w:lineRule="auto"/>
        <w:ind w:left="29" w:right="56" w:firstLine="472"/>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②企业名称（盖章）即供应商（盖章）。</w:t>
      </w:r>
    </w:p>
    <w:p w14:paraId="093C0EDE">
      <w:pPr>
        <w:keepNext w:val="0"/>
        <w:keepLines w:val="0"/>
        <w:pageBreakBefore w:val="0"/>
        <w:widowControl w:val="0"/>
        <w:kinsoku/>
        <w:wordWrap/>
        <w:overflowPunct/>
        <w:topLinePunct w:val="0"/>
        <w:autoSpaceDE/>
        <w:autoSpaceDN/>
        <w:bidi w:val="0"/>
        <w:adjustRightInd/>
        <w:snapToGrid/>
        <w:spacing w:before="71" w:line="360" w:lineRule="auto"/>
        <w:ind w:left="29" w:right="56" w:firstLine="472"/>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③服务采购项目中《中小企业声明函》只填写服务标的即可。</w:t>
      </w:r>
    </w:p>
    <w:p w14:paraId="38D6808F">
      <w:pPr>
        <w:keepNext w:val="0"/>
        <w:keepLines w:val="0"/>
        <w:pageBreakBefore w:val="0"/>
        <w:widowControl w:val="0"/>
        <w:kinsoku/>
        <w:wordWrap/>
        <w:overflowPunct/>
        <w:topLinePunct w:val="0"/>
        <w:autoSpaceDE/>
        <w:autoSpaceDN/>
        <w:bidi w:val="0"/>
        <w:adjustRightInd/>
        <w:snapToGrid/>
        <w:spacing w:before="71" w:line="360" w:lineRule="auto"/>
        <w:ind w:left="29" w:right="56" w:firstLine="472"/>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④采用联合或合同分包方式的，供应商提供对应的《中小企业声明函》</w:t>
      </w:r>
    </w:p>
    <w:p w14:paraId="7A68CC75">
      <w:pPr>
        <w:keepNext w:val="0"/>
        <w:keepLines w:val="0"/>
        <w:pageBreakBefore w:val="0"/>
        <w:widowControl w:val="0"/>
        <w:kinsoku/>
        <w:wordWrap/>
        <w:overflowPunct/>
        <w:topLinePunct w:val="0"/>
        <w:autoSpaceDE/>
        <w:autoSpaceDN/>
        <w:bidi w:val="0"/>
        <w:adjustRightInd/>
        <w:snapToGrid/>
        <w:spacing w:before="71" w:line="360" w:lineRule="auto"/>
        <w:ind w:left="29" w:right="56" w:firstLine="472"/>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⑤成交供应商享受中小企业扶持政策的，采购人、采购代理机构应当随成交结果公开成交供应商的《中小企业声明函》。</w:t>
      </w:r>
    </w:p>
    <w:p w14:paraId="6F56F3F6">
      <w:pPr>
        <w:keepNext w:val="0"/>
        <w:keepLines w:val="0"/>
        <w:pageBreakBefore w:val="0"/>
        <w:widowControl w:val="0"/>
        <w:kinsoku/>
        <w:wordWrap/>
        <w:overflowPunct/>
        <w:topLinePunct w:val="0"/>
        <w:autoSpaceDE/>
        <w:autoSpaceDN/>
        <w:bidi w:val="0"/>
        <w:adjustRightInd/>
        <w:snapToGrid/>
        <w:spacing w:before="71" w:line="360" w:lineRule="auto"/>
        <w:ind w:left="29" w:right="56" w:firstLine="472"/>
        <w:textAlignment w:val="auto"/>
        <w:rPr>
          <w:rFonts w:hint="eastAsia" w:ascii="宋体" w:hAnsi="宋体" w:eastAsia="宋体" w:cs="宋体"/>
          <w:spacing w:val="-3"/>
          <w:sz w:val="28"/>
          <w:szCs w:val="28"/>
        </w:rPr>
      </w:pPr>
      <w:r>
        <w:rPr>
          <w:rFonts w:hint="eastAsia" w:ascii="宋体" w:hAnsi="宋体" w:eastAsia="宋体" w:cs="宋体"/>
          <w:spacing w:val="-3"/>
          <w:sz w:val="28"/>
          <w:szCs w:val="28"/>
        </w:rPr>
        <w:t>⑥《中小企业声明函》中如有填写不真实谋取成交的，则《中小企业声明函》 作无效处理，由相关部门依法追究责任。</w:t>
      </w:r>
    </w:p>
    <w:p w14:paraId="7B10A3B2">
      <w:pPr>
        <w:spacing w:line="248" w:lineRule="auto"/>
        <w:rPr>
          <w:rFonts w:ascii="仿宋" w:hAnsi="仿宋" w:eastAsia="仿宋" w:cs="仿宋"/>
          <w:sz w:val="24"/>
          <w:szCs w:val="24"/>
        </w:rPr>
        <w:sectPr>
          <w:footerReference r:id="rId13" w:type="default"/>
          <w:pgSz w:w="11907" w:h="16840"/>
          <w:pgMar w:top="1422" w:right="1694" w:bottom="1014" w:left="1786" w:header="0" w:footer="852" w:gutter="0"/>
          <w:pgBorders>
            <w:top w:val="none" w:sz="0" w:space="0"/>
            <w:left w:val="none" w:sz="0" w:space="0"/>
            <w:bottom w:val="none" w:sz="0" w:space="0"/>
            <w:right w:val="none" w:sz="0" w:space="0"/>
          </w:pgBorders>
          <w:pgNumType w:fmt="decimal"/>
          <w:cols w:space="720" w:num="1"/>
        </w:sectPr>
      </w:pPr>
    </w:p>
    <w:p w14:paraId="1853ED11">
      <w:pPr>
        <w:spacing w:before="101" w:line="228" w:lineRule="auto"/>
        <w:ind w:left="171"/>
        <w:rPr>
          <w:rFonts w:ascii="仿宋" w:hAnsi="仿宋" w:eastAsia="仿宋" w:cs="仿宋"/>
          <w:sz w:val="31"/>
          <w:szCs w:val="31"/>
        </w:rPr>
      </w:pPr>
      <w:r>
        <w:rPr>
          <w:rFonts w:ascii="仿宋" w:hAnsi="仿宋" w:eastAsia="仿宋" w:cs="仿宋"/>
          <w:spacing w:val="2"/>
          <w:sz w:val="31"/>
          <w:szCs w:val="31"/>
          <w14:textOutline w14:w="5793" w14:cap="sq" w14:cmpd="sng">
            <w14:solidFill>
              <w14:srgbClr w14:val="000000"/>
            </w14:solidFill>
            <w14:prstDash w14:val="solid"/>
            <w14:bevel/>
          </w14:textOutline>
        </w:rPr>
        <w:t>四、分项报价表</w:t>
      </w:r>
    </w:p>
    <w:p w14:paraId="6591C552">
      <w:pPr>
        <w:spacing w:before="290" w:line="223" w:lineRule="auto"/>
        <w:ind w:left="3585"/>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分项报价表</w:t>
      </w:r>
    </w:p>
    <w:p w14:paraId="264146EF">
      <w:pPr>
        <w:spacing w:line="166" w:lineRule="exact"/>
      </w:pPr>
    </w:p>
    <w:tbl>
      <w:tblPr>
        <w:tblStyle w:val="96"/>
        <w:tblW w:w="97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3"/>
        <w:gridCol w:w="1397"/>
        <w:gridCol w:w="2075"/>
        <w:gridCol w:w="1537"/>
        <w:gridCol w:w="1501"/>
        <w:gridCol w:w="1262"/>
        <w:gridCol w:w="1264"/>
      </w:tblGrid>
      <w:tr w14:paraId="7662F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2" w:hRule="atLeast"/>
        </w:trPr>
        <w:tc>
          <w:tcPr>
            <w:tcW w:w="763" w:type="dxa"/>
            <w:vAlign w:val="top"/>
          </w:tcPr>
          <w:p w14:paraId="036A8789">
            <w:pPr>
              <w:spacing w:line="381" w:lineRule="auto"/>
              <w:rPr>
                <w:rFonts w:hint="eastAsia" w:ascii="宋体" w:hAnsi="宋体" w:eastAsia="宋体" w:cs="宋体"/>
                <w:sz w:val="28"/>
                <w:szCs w:val="28"/>
              </w:rPr>
            </w:pPr>
          </w:p>
          <w:p w14:paraId="292AC8E6">
            <w:pPr>
              <w:pStyle w:val="95"/>
              <w:spacing w:before="78" w:line="222" w:lineRule="auto"/>
              <w:ind w:left="154"/>
              <w:rPr>
                <w:rFonts w:hint="eastAsia" w:ascii="宋体" w:hAnsi="宋体" w:eastAsia="宋体" w:cs="宋体"/>
                <w:sz w:val="28"/>
                <w:szCs w:val="28"/>
              </w:rPr>
            </w:pPr>
            <w:r>
              <w:rPr>
                <w:rFonts w:hint="eastAsia" w:ascii="宋体" w:hAnsi="宋体" w:eastAsia="宋体" w:cs="宋体"/>
                <w:spacing w:val="-8"/>
                <w:sz w:val="28"/>
                <w:szCs w:val="28"/>
              </w:rPr>
              <w:t>序号</w:t>
            </w:r>
          </w:p>
        </w:tc>
        <w:tc>
          <w:tcPr>
            <w:tcW w:w="1397" w:type="dxa"/>
            <w:vAlign w:val="top"/>
          </w:tcPr>
          <w:p w14:paraId="03DCD67A">
            <w:pPr>
              <w:spacing w:line="381" w:lineRule="auto"/>
              <w:rPr>
                <w:rFonts w:hint="eastAsia" w:ascii="宋体" w:hAnsi="宋体" w:eastAsia="宋体" w:cs="宋体"/>
                <w:sz w:val="28"/>
                <w:szCs w:val="28"/>
              </w:rPr>
            </w:pPr>
          </w:p>
          <w:p w14:paraId="3F557DE4">
            <w:pPr>
              <w:pStyle w:val="95"/>
              <w:spacing w:before="78" w:line="221" w:lineRule="auto"/>
              <w:ind w:left="470"/>
              <w:rPr>
                <w:rFonts w:hint="eastAsia" w:ascii="宋体" w:hAnsi="宋体" w:eastAsia="宋体" w:cs="宋体"/>
                <w:sz w:val="28"/>
                <w:szCs w:val="28"/>
              </w:rPr>
            </w:pPr>
            <w:r>
              <w:rPr>
                <w:rFonts w:hint="eastAsia" w:ascii="宋体" w:hAnsi="宋体" w:eastAsia="宋体" w:cs="宋体"/>
                <w:spacing w:val="-9"/>
                <w:sz w:val="28"/>
                <w:szCs w:val="28"/>
              </w:rPr>
              <w:t>名称</w:t>
            </w:r>
          </w:p>
        </w:tc>
        <w:tc>
          <w:tcPr>
            <w:tcW w:w="2075" w:type="dxa"/>
            <w:vAlign w:val="top"/>
          </w:tcPr>
          <w:p w14:paraId="1CA5AEFC">
            <w:pPr>
              <w:spacing w:line="381" w:lineRule="auto"/>
              <w:rPr>
                <w:rFonts w:hint="eastAsia" w:ascii="宋体" w:hAnsi="宋体" w:eastAsia="宋体" w:cs="宋体"/>
                <w:sz w:val="28"/>
                <w:szCs w:val="28"/>
              </w:rPr>
            </w:pPr>
          </w:p>
          <w:p w14:paraId="34BE9093">
            <w:pPr>
              <w:pStyle w:val="95"/>
              <w:spacing w:before="78" w:line="222" w:lineRule="auto"/>
              <w:ind w:left="569"/>
              <w:rPr>
                <w:rFonts w:hint="eastAsia" w:ascii="宋体" w:hAnsi="宋体" w:eastAsia="宋体" w:cs="宋体"/>
                <w:sz w:val="28"/>
                <w:szCs w:val="28"/>
              </w:rPr>
            </w:pPr>
            <w:r>
              <w:rPr>
                <w:rFonts w:hint="eastAsia" w:ascii="宋体" w:hAnsi="宋体" w:eastAsia="宋体" w:cs="宋体"/>
                <w:spacing w:val="-4"/>
                <w:sz w:val="28"/>
                <w:szCs w:val="28"/>
              </w:rPr>
              <w:t>服务范围</w:t>
            </w:r>
          </w:p>
        </w:tc>
        <w:tc>
          <w:tcPr>
            <w:tcW w:w="1537" w:type="dxa"/>
            <w:vAlign w:val="top"/>
          </w:tcPr>
          <w:p w14:paraId="30394512">
            <w:pPr>
              <w:spacing w:line="381" w:lineRule="auto"/>
              <w:rPr>
                <w:rFonts w:hint="eastAsia" w:ascii="宋体" w:hAnsi="宋体" w:eastAsia="宋体" w:cs="宋体"/>
                <w:sz w:val="28"/>
                <w:szCs w:val="28"/>
              </w:rPr>
            </w:pPr>
          </w:p>
          <w:p w14:paraId="0DC307CF">
            <w:pPr>
              <w:pStyle w:val="95"/>
              <w:spacing w:before="78" w:line="222" w:lineRule="auto"/>
              <w:ind w:left="301"/>
              <w:rPr>
                <w:rFonts w:hint="eastAsia" w:ascii="宋体" w:hAnsi="宋体" w:eastAsia="宋体" w:cs="宋体"/>
                <w:sz w:val="28"/>
                <w:szCs w:val="28"/>
              </w:rPr>
            </w:pPr>
            <w:r>
              <w:rPr>
                <w:rFonts w:hint="eastAsia" w:ascii="宋体" w:hAnsi="宋体" w:eastAsia="宋体" w:cs="宋体"/>
                <w:spacing w:val="-4"/>
                <w:sz w:val="28"/>
                <w:szCs w:val="28"/>
              </w:rPr>
              <w:t>服务要求</w:t>
            </w:r>
          </w:p>
        </w:tc>
        <w:tc>
          <w:tcPr>
            <w:tcW w:w="1501" w:type="dxa"/>
            <w:vAlign w:val="top"/>
          </w:tcPr>
          <w:p w14:paraId="3A8708B7">
            <w:pPr>
              <w:spacing w:line="381" w:lineRule="auto"/>
              <w:rPr>
                <w:rFonts w:hint="eastAsia" w:ascii="宋体" w:hAnsi="宋体" w:eastAsia="宋体" w:cs="宋体"/>
                <w:sz w:val="28"/>
                <w:szCs w:val="28"/>
              </w:rPr>
            </w:pPr>
          </w:p>
          <w:p w14:paraId="5BB15883">
            <w:pPr>
              <w:pStyle w:val="95"/>
              <w:spacing w:before="78" w:line="222" w:lineRule="auto"/>
              <w:ind w:left="283"/>
              <w:rPr>
                <w:rFonts w:hint="eastAsia" w:ascii="宋体" w:hAnsi="宋体" w:eastAsia="宋体" w:cs="宋体"/>
                <w:sz w:val="28"/>
                <w:szCs w:val="28"/>
              </w:rPr>
            </w:pPr>
            <w:r>
              <w:rPr>
                <w:rFonts w:hint="eastAsia" w:ascii="宋体" w:hAnsi="宋体" w:eastAsia="宋体" w:cs="宋体"/>
                <w:spacing w:val="-4"/>
                <w:sz w:val="28"/>
                <w:szCs w:val="28"/>
              </w:rPr>
              <w:t>服务时间</w:t>
            </w:r>
          </w:p>
        </w:tc>
        <w:tc>
          <w:tcPr>
            <w:tcW w:w="1262" w:type="dxa"/>
            <w:vAlign w:val="top"/>
          </w:tcPr>
          <w:p w14:paraId="3E47E287">
            <w:pPr>
              <w:spacing w:line="381" w:lineRule="auto"/>
              <w:rPr>
                <w:rFonts w:hint="eastAsia" w:ascii="宋体" w:hAnsi="宋体" w:eastAsia="宋体" w:cs="宋体"/>
                <w:sz w:val="28"/>
                <w:szCs w:val="28"/>
              </w:rPr>
            </w:pPr>
          </w:p>
          <w:p w14:paraId="249562A5">
            <w:pPr>
              <w:pStyle w:val="95"/>
              <w:spacing w:before="78" w:line="222" w:lineRule="auto"/>
              <w:ind w:left="165"/>
              <w:rPr>
                <w:rFonts w:hint="eastAsia" w:ascii="宋体" w:hAnsi="宋体" w:eastAsia="宋体" w:cs="宋体"/>
                <w:sz w:val="28"/>
                <w:szCs w:val="28"/>
              </w:rPr>
            </w:pPr>
            <w:r>
              <w:rPr>
                <w:rFonts w:hint="eastAsia" w:ascii="宋体" w:hAnsi="宋体" w:eastAsia="宋体" w:cs="宋体"/>
                <w:spacing w:val="-4"/>
                <w:sz w:val="28"/>
                <w:szCs w:val="28"/>
              </w:rPr>
              <w:t>服务标准</w:t>
            </w:r>
          </w:p>
        </w:tc>
        <w:tc>
          <w:tcPr>
            <w:tcW w:w="1264" w:type="dxa"/>
            <w:vAlign w:val="top"/>
          </w:tcPr>
          <w:p w14:paraId="375C8B81">
            <w:pPr>
              <w:spacing w:line="381" w:lineRule="auto"/>
              <w:rPr>
                <w:rFonts w:hint="eastAsia" w:ascii="宋体" w:hAnsi="宋体" w:eastAsia="宋体" w:cs="宋体"/>
                <w:sz w:val="28"/>
                <w:szCs w:val="28"/>
              </w:rPr>
            </w:pPr>
          </w:p>
          <w:p w14:paraId="1E6F3A8A">
            <w:pPr>
              <w:pStyle w:val="95"/>
              <w:spacing w:before="78" w:line="222" w:lineRule="auto"/>
              <w:jc w:val="right"/>
              <w:rPr>
                <w:rFonts w:hint="eastAsia" w:ascii="宋体" w:hAnsi="宋体" w:eastAsia="宋体" w:cs="宋体"/>
                <w:sz w:val="28"/>
                <w:szCs w:val="28"/>
              </w:rPr>
            </w:pPr>
            <w:r>
              <w:rPr>
                <w:rFonts w:hint="eastAsia" w:ascii="宋体" w:hAnsi="宋体" w:eastAsia="宋体" w:cs="宋体"/>
                <w:spacing w:val="-15"/>
                <w:sz w:val="28"/>
                <w:szCs w:val="28"/>
              </w:rPr>
              <w:t>报价（元）</w:t>
            </w:r>
          </w:p>
        </w:tc>
      </w:tr>
      <w:tr w14:paraId="7368C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763" w:type="dxa"/>
            <w:vAlign w:val="top"/>
          </w:tcPr>
          <w:p w14:paraId="4B856310">
            <w:pPr>
              <w:spacing w:line="245" w:lineRule="auto"/>
              <w:rPr>
                <w:rFonts w:hint="eastAsia" w:ascii="宋体" w:hAnsi="宋体" w:eastAsia="宋体" w:cs="宋体"/>
                <w:sz w:val="28"/>
                <w:szCs w:val="28"/>
              </w:rPr>
            </w:pPr>
          </w:p>
          <w:p w14:paraId="2F46425C">
            <w:pPr>
              <w:spacing w:before="69" w:line="188" w:lineRule="auto"/>
              <w:ind w:left="347"/>
              <w:rPr>
                <w:rFonts w:hint="eastAsia" w:ascii="宋体" w:hAnsi="宋体" w:eastAsia="宋体" w:cs="宋体"/>
                <w:sz w:val="28"/>
                <w:szCs w:val="28"/>
              </w:rPr>
            </w:pPr>
            <w:r>
              <w:rPr>
                <w:rFonts w:hint="eastAsia" w:ascii="宋体" w:hAnsi="宋体" w:eastAsia="宋体" w:cs="宋体"/>
                <w:sz w:val="28"/>
                <w:szCs w:val="28"/>
              </w:rPr>
              <w:t>1</w:t>
            </w:r>
          </w:p>
        </w:tc>
        <w:tc>
          <w:tcPr>
            <w:tcW w:w="1397" w:type="dxa"/>
            <w:vAlign w:val="top"/>
          </w:tcPr>
          <w:p w14:paraId="58C3C755">
            <w:pPr>
              <w:rPr>
                <w:rFonts w:hint="eastAsia" w:ascii="宋体" w:hAnsi="宋体" w:eastAsia="宋体" w:cs="宋体"/>
                <w:sz w:val="28"/>
                <w:szCs w:val="28"/>
              </w:rPr>
            </w:pPr>
          </w:p>
        </w:tc>
        <w:tc>
          <w:tcPr>
            <w:tcW w:w="2075" w:type="dxa"/>
            <w:vAlign w:val="top"/>
          </w:tcPr>
          <w:p w14:paraId="29092BD3">
            <w:pPr>
              <w:rPr>
                <w:rFonts w:hint="eastAsia" w:ascii="宋体" w:hAnsi="宋体" w:eastAsia="宋体" w:cs="宋体"/>
                <w:sz w:val="28"/>
                <w:szCs w:val="28"/>
              </w:rPr>
            </w:pPr>
          </w:p>
        </w:tc>
        <w:tc>
          <w:tcPr>
            <w:tcW w:w="1537" w:type="dxa"/>
            <w:vAlign w:val="top"/>
          </w:tcPr>
          <w:p w14:paraId="5AD35A33">
            <w:pPr>
              <w:rPr>
                <w:rFonts w:hint="eastAsia" w:ascii="宋体" w:hAnsi="宋体" w:eastAsia="宋体" w:cs="宋体"/>
                <w:sz w:val="28"/>
                <w:szCs w:val="28"/>
              </w:rPr>
            </w:pPr>
          </w:p>
        </w:tc>
        <w:tc>
          <w:tcPr>
            <w:tcW w:w="1501" w:type="dxa"/>
            <w:vAlign w:val="top"/>
          </w:tcPr>
          <w:p w14:paraId="1AE7DEA9">
            <w:pPr>
              <w:rPr>
                <w:rFonts w:hint="eastAsia" w:ascii="宋体" w:hAnsi="宋体" w:eastAsia="宋体" w:cs="宋体"/>
                <w:sz w:val="28"/>
                <w:szCs w:val="28"/>
              </w:rPr>
            </w:pPr>
          </w:p>
        </w:tc>
        <w:tc>
          <w:tcPr>
            <w:tcW w:w="1262" w:type="dxa"/>
            <w:vAlign w:val="top"/>
          </w:tcPr>
          <w:p w14:paraId="5A8A6912">
            <w:pPr>
              <w:rPr>
                <w:rFonts w:hint="eastAsia" w:ascii="宋体" w:hAnsi="宋体" w:eastAsia="宋体" w:cs="宋体"/>
                <w:sz w:val="28"/>
                <w:szCs w:val="28"/>
              </w:rPr>
            </w:pPr>
          </w:p>
        </w:tc>
        <w:tc>
          <w:tcPr>
            <w:tcW w:w="1264" w:type="dxa"/>
            <w:vAlign w:val="top"/>
          </w:tcPr>
          <w:p w14:paraId="461E9E47">
            <w:pPr>
              <w:rPr>
                <w:rFonts w:hint="eastAsia" w:ascii="宋体" w:hAnsi="宋体" w:eastAsia="宋体" w:cs="宋体"/>
                <w:sz w:val="28"/>
                <w:szCs w:val="28"/>
              </w:rPr>
            </w:pPr>
          </w:p>
        </w:tc>
      </w:tr>
      <w:tr w14:paraId="164F3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763" w:type="dxa"/>
            <w:vAlign w:val="top"/>
          </w:tcPr>
          <w:p w14:paraId="645F4A87">
            <w:pPr>
              <w:spacing w:before="69" w:line="188" w:lineRule="auto"/>
              <w:ind w:left="347"/>
              <w:rPr>
                <w:rFonts w:hint="eastAsia" w:ascii="宋体" w:hAnsi="宋体" w:eastAsia="宋体" w:cs="宋体"/>
                <w:sz w:val="28"/>
                <w:szCs w:val="28"/>
              </w:rPr>
            </w:pPr>
          </w:p>
        </w:tc>
        <w:tc>
          <w:tcPr>
            <w:tcW w:w="1397" w:type="dxa"/>
            <w:vAlign w:val="top"/>
          </w:tcPr>
          <w:p w14:paraId="12467809">
            <w:pPr>
              <w:rPr>
                <w:rFonts w:hint="eastAsia" w:ascii="宋体" w:hAnsi="宋体" w:eastAsia="宋体" w:cs="宋体"/>
                <w:sz w:val="28"/>
                <w:szCs w:val="28"/>
              </w:rPr>
            </w:pPr>
          </w:p>
        </w:tc>
        <w:tc>
          <w:tcPr>
            <w:tcW w:w="2075" w:type="dxa"/>
            <w:vAlign w:val="top"/>
          </w:tcPr>
          <w:p w14:paraId="6A72ADA9">
            <w:pPr>
              <w:rPr>
                <w:rFonts w:hint="eastAsia" w:ascii="宋体" w:hAnsi="宋体" w:eastAsia="宋体" w:cs="宋体"/>
                <w:sz w:val="28"/>
                <w:szCs w:val="28"/>
              </w:rPr>
            </w:pPr>
          </w:p>
        </w:tc>
        <w:tc>
          <w:tcPr>
            <w:tcW w:w="1537" w:type="dxa"/>
            <w:vAlign w:val="top"/>
          </w:tcPr>
          <w:p w14:paraId="4CBEA392">
            <w:pPr>
              <w:rPr>
                <w:rFonts w:hint="eastAsia" w:ascii="宋体" w:hAnsi="宋体" w:eastAsia="宋体" w:cs="宋体"/>
                <w:sz w:val="28"/>
                <w:szCs w:val="28"/>
              </w:rPr>
            </w:pPr>
          </w:p>
        </w:tc>
        <w:tc>
          <w:tcPr>
            <w:tcW w:w="1501" w:type="dxa"/>
            <w:vAlign w:val="top"/>
          </w:tcPr>
          <w:p w14:paraId="4C7411BE">
            <w:pPr>
              <w:rPr>
                <w:rFonts w:hint="eastAsia" w:ascii="宋体" w:hAnsi="宋体" w:eastAsia="宋体" w:cs="宋体"/>
                <w:sz w:val="28"/>
                <w:szCs w:val="28"/>
              </w:rPr>
            </w:pPr>
          </w:p>
        </w:tc>
        <w:tc>
          <w:tcPr>
            <w:tcW w:w="1262" w:type="dxa"/>
            <w:vAlign w:val="top"/>
          </w:tcPr>
          <w:p w14:paraId="6D244C85">
            <w:pPr>
              <w:rPr>
                <w:rFonts w:hint="eastAsia" w:ascii="宋体" w:hAnsi="宋体" w:eastAsia="宋体" w:cs="宋体"/>
                <w:sz w:val="28"/>
                <w:szCs w:val="28"/>
              </w:rPr>
            </w:pPr>
          </w:p>
        </w:tc>
        <w:tc>
          <w:tcPr>
            <w:tcW w:w="1264" w:type="dxa"/>
            <w:vAlign w:val="top"/>
          </w:tcPr>
          <w:p w14:paraId="3520FD3F">
            <w:pPr>
              <w:rPr>
                <w:rFonts w:hint="eastAsia" w:ascii="宋体" w:hAnsi="宋体" w:eastAsia="宋体" w:cs="宋体"/>
                <w:sz w:val="28"/>
                <w:szCs w:val="28"/>
              </w:rPr>
            </w:pPr>
          </w:p>
        </w:tc>
      </w:tr>
      <w:tr w14:paraId="4B85D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trPr>
        <w:tc>
          <w:tcPr>
            <w:tcW w:w="8535" w:type="dxa"/>
            <w:gridSpan w:val="6"/>
            <w:vAlign w:val="top"/>
          </w:tcPr>
          <w:p w14:paraId="784D8825">
            <w:pPr>
              <w:spacing w:line="255" w:lineRule="auto"/>
              <w:rPr>
                <w:rFonts w:hint="eastAsia" w:ascii="宋体" w:hAnsi="宋体" w:eastAsia="宋体" w:cs="宋体"/>
                <w:sz w:val="28"/>
                <w:szCs w:val="28"/>
              </w:rPr>
            </w:pPr>
          </w:p>
          <w:p w14:paraId="3DD4B9BE">
            <w:pPr>
              <w:pStyle w:val="95"/>
              <w:spacing w:before="65" w:line="231" w:lineRule="auto"/>
              <w:ind w:left="3341"/>
              <w:rPr>
                <w:rFonts w:hint="eastAsia" w:ascii="宋体" w:hAnsi="宋体" w:eastAsia="宋体" w:cs="宋体"/>
                <w:sz w:val="28"/>
                <w:szCs w:val="28"/>
              </w:rPr>
            </w:pPr>
            <w:r>
              <w:rPr>
                <w:rFonts w:hint="eastAsia" w:ascii="宋体" w:hAnsi="宋体" w:eastAsia="宋体" w:cs="宋体"/>
                <w:spacing w:val="6"/>
                <w:sz w:val="28"/>
                <w:szCs w:val="28"/>
              </w:rPr>
              <w:t>响应报价合计（元）</w:t>
            </w:r>
          </w:p>
        </w:tc>
        <w:tc>
          <w:tcPr>
            <w:tcW w:w="1264" w:type="dxa"/>
            <w:vAlign w:val="top"/>
          </w:tcPr>
          <w:p w14:paraId="3D10F84E">
            <w:pPr>
              <w:rPr>
                <w:rFonts w:hint="eastAsia" w:ascii="宋体" w:hAnsi="宋体" w:eastAsia="宋体" w:cs="宋体"/>
                <w:sz w:val="28"/>
                <w:szCs w:val="28"/>
              </w:rPr>
            </w:pPr>
          </w:p>
        </w:tc>
      </w:tr>
    </w:tbl>
    <w:p w14:paraId="6BAAF2E6">
      <w:pPr>
        <w:pStyle w:val="12"/>
        <w:spacing w:line="343" w:lineRule="auto"/>
      </w:pPr>
    </w:p>
    <w:p w14:paraId="1A0D62B5">
      <w:pPr>
        <w:pStyle w:val="12"/>
        <w:spacing w:line="343" w:lineRule="auto"/>
      </w:pPr>
    </w:p>
    <w:p w14:paraId="39028942">
      <w:pPr>
        <w:keepNext w:val="0"/>
        <w:keepLines w:val="0"/>
        <w:pageBreakBefore w:val="0"/>
        <w:widowControl w:val="0"/>
        <w:kinsoku/>
        <w:wordWrap/>
        <w:overflowPunct/>
        <w:topLinePunct w:val="0"/>
        <w:autoSpaceDE/>
        <w:autoSpaceDN/>
        <w:bidi w:val="0"/>
        <w:adjustRightInd/>
        <w:snapToGrid/>
        <w:spacing w:before="71" w:line="360" w:lineRule="auto"/>
        <w:ind w:left="29" w:right="56" w:firstLine="472"/>
        <w:textAlignment w:val="auto"/>
        <w:rPr>
          <w:rFonts w:hint="eastAsia" w:ascii="宋体" w:hAnsi="宋体" w:eastAsia="宋体" w:cs="宋体"/>
          <w:b/>
          <w:bCs/>
          <w:spacing w:val="-3"/>
          <w:sz w:val="28"/>
          <w:szCs w:val="28"/>
        </w:rPr>
      </w:pPr>
      <w:r>
        <w:rPr>
          <w:rFonts w:hint="eastAsia" w:ascii="宋体" w:hAnsi="宋体" w:eastAsia="宋体" w:cs="宋体"/>
          <w:b/>
          <w:bCs/>
          <w:spacing w:val="-3"/>
          <w:sz w:val="28"/>
          <w:szCs w:val="28"/>
        </w:rPr>
        <w:t>注：</w:t>
      </w:r>
    </w:p>
    <w:p w14:paraId="2C653967">
      <w:pPr>
        <w:keepNext w:val="0"/>
        <w:keepLines w:val="0"/>
        <w:pageBreakBefore w:val="0"/>
        <w:widowControl w:val="0"/>
        <w:kinsoku/>
        <w:wordWrap/>
        <w:overflowPunct/>
        <w:topLinePunct w:val="0"/>
        <w:autoSpaceDE/>
        <w:autoSpaceDN/>
        <w:bidi w:val="0"/>
        <w:adjustRightInd/>
        <w:snapToGrid/>
        <w:spacing w:before="71" w:line="360" w:lineRule="auto"/>
        <w:ind w:left="29" w:right="56" w:firstLine="472"/>
        <w:textAlignment w:val="auto"/>
        <w:rPr>
          <w:rFonts w:hint="eastAsia" w:ascii="宋体" w:hAnsi="宋体" w:eastAsia="宋体" w:cs="宋体"/>
          <w:b/>
          <w:bCs/>
          <w:spacing w:val="-3"/>
          <w:sz w:val="28"/>
          <w:szCs w:val="28"/>
        </w:rPr>
      </w:pPr>
      <w:r>
        <w:rPr>
          <w:rFonts w:hint="eastAsia" w:ascii="宋体" w:hAnsi="宋体" w:eastAsia="宋体" w:cs="宋体"/>
          <w:b/>
          <w:bCs/>
          <w:spacing w:val="-3"/>
          <w:sz w:val="28"/>
          <w:szCs w:val="28"/>
        </w:rPr>
        <w:t>1.上述报价为综合报价，应包含一切税费。</w:t>
      </w:r>
    </w:p>
    <w:p w14:paraId="4F1FE526">
      <w:pPr>
        <w:keepNext w:val="0"/>
        <w:keepLines w:val="0"/>
        <w:pageBreakBefore w:val="0"/>
        <w:widowControl w:val="0"/>
        <w:kinsoku/>
        <w:wordWrap/>
        <w:overflowPunct/>
        <w:topLinePunct w:val="0"/>
        <w:autoSpaceDE/>
        <w:autoSpaceDN/>
        <w:bidi w:val="0"/>
        <w:adjustRightInd/>
        <w:snapToGrid/>
        <w:spacing w:before="71" w:line="360" w:lineRule="auto"/>
        <w:ind w:left="29" w:right="56" w:firstLine="472"/>
        <w:textAlignment w:val="auto"/>
        <w:rPr>
          <w:rFonts w:hint="eastAsia" w:ascii="宋体" w:hAnsi="宋体" w:eastAsia="宋体" w:cs="宋体"/>
          <w:b/>
          <w:bCs/>
          <w:spacing w:val="-3"/>
          <w:sz w:val="28"/>
          <w:szCs w:val="28"/>
        </w:rPr>
      </w:pPr>
      <w:r>
        <w:rPr>
          <w:rFonts w:hint="eastAsia" w:ascii="宋体" w:hAnsi="宋体" w:eastAsia="宋体" w:cs="宋体"/>
          <w:b/>
          <w:bCs/>
          <w:spacing w:val="-3"/>
          <w:sz w:val="28"/>
          <w:szCs w:val="28"/>
        </w:rPr>
        <w:t>2.供应商根据项目实际填写。</w:t>
      </w:r>
    </w:p>
    <w:p w14:paraId="7C5C3AB1">
      <w:pPr>
        <w:spacing w:line="229" w:lineRule="auto"/>
        <w:rPr>
          <w:rFonts w:ascii="仿宋" w:hAnsi="仿宋" w:eastAsia="仿宋" w:cs="仿宋"/>
          <w:sz w:val="20"/>
          <w:szCs w:val="20"/>
        </w:rPr>
        <w:sectPr>
          <w:footerReference r:id="rId14" w:type="default"/>
          <w:pgSz w:w="11907" w:h="16840"/>
          <w:pgMar w:top="1431" w:right="415" w:bottom="1014" w:left="1687" w:header="0" w:footer="852" w:gutter="0"/>
          <w:pgBorders>
            <w:top w:val="none" w:sz="0" w:space="0"/>
            <w:left w:val="none" w:sz="0" w:space="0"/>
            <w:bottom w:val="none" w:sz="0" w:space="0"/>
            <w:right w:val="none" w:sz="0" w:space="0"/>
          </w:pgBorders>
          <w:pgNumType w:fmt="decimal"/>
          <w:cols w:space="720" w:num="1"/>
        </w:sectPr>
      </w:pPr>
    </w:p>
    <w:p w14:paraId="0FC7F7F5">
      <w:pPr>
        <w:pStyle w:val="12"/>
        <w:spacing w:line="292" w:lineRule="auto"/>
      </w:pPr>
    </w:p>
    <w:p w14:paraId="2A37F2B8">
      <w:pPr>
        <w:spacing w:before="101" w:line="228" w:lineRule="auto"/>
        <w:ind w:left="138"/>
        <w:outlineLvl w:val="2"/>
        <w:rPr>
          <w:rFonts w:ascii="仿宋" w:hAnsi="仿宋" w:eastAsia="仿宋" w:cs="仿宋"/>
          <w:sz w:val="31"/>
          <w:szCs w:val="31"/>
        </w:rPr>
      </w:pPr>
      <w:r>
        <w:rPr>
          <w:rFonts w:ascii="仿宋" w:hAnsi="仿宋" w:eastAsia="仿宋" w:cs="仿宋"/>
          <w:spacing w:val="9"/>
          <w:sz w:val="31"/>
          <w:szCs w:val="31"/>
          <w14:textOutline w14:w="5793" w14:cap="sq" w14:cmpd="sng">
            <w14:solidFill>
              <w14:srgbClr w14:val="000000"/>
            </w14:solidFill>
            <w14:prstDash w14:val="solid"/>
            <w14:bevel/>
          </w14:textOutline>
        </w:rPr>
        <w:t>五、拟任本项目负责人情况一览表（如有）</w:t>
      </w:r>
    </w:p>
    <w:p w14:paraId="21435CA9">
      <w:pPr>
        <w:spacing w:before="290" w:line="223" w:lineRule="auto"/>
        <w:ind w:left="2456"/>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拟任本项目负责人情况一览表</w:t>
      </w:r>
    </w:p>
    <w:p w14:paraId="02FE1C10">
      <w:pPr>
        <w:spacing w:line="166" w:lineRule="exact"/>
      </w:pPr>
    </w:p>
    <w:tbl>
      <w:tblPr>
        <w:tblStyle w:val="96"/>
        <w:tblW w:w="85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0"/>
        <w:gridCol w:w="929"/>
        <w:gridCol w:w="1191"/>
        <w:gridCol w:w="1132"/>
        <w:gridCol w:w="4180"/>
      </w:tblGrid>
      <w:tr w14:paraId="284F4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090" w:type="dxa"/>
            <w:vAlign w:val="top"/>
          </w:tcPr>
          <w:p w14:paraId="1D74B851">
            <w:pPr>
              <w:spacing w:line="267" w:lineRule="auto"/>
              <w:rPr>
                <w:rFonts w:ascii="Arial"/>
                <w:sz w:val="21"/>
              </w:rPr>
            </w:pPr>
          </w:p>
          <w:p w14:paraId="79821888">
            <w:pPr>
              <w:pStyle w:val="95"/>
              <w:spacing w:before="78" w:line="224" w:lineRule="auto"/>
              <w:ind w:left="318"/>
            </w:pPr>
            <w:r>
              <w:rPr>
                <w:spacing w:val="-8"/>
              </w:rPr>
              <w:t>姓名</w:t>
            </w:r>
          </w:p>
        </w:tc>
        <w:tc>
          <w:tcPr>
            <w:tcW w:w="929" w:type="dxa"/>
            <w:vAlign w:val="top"/>
          </w:tcPr>
          <w:p w14:paraId="09E88422">
            <w:pPr>
              <w:spacing w:line="267" w:lineRule="auto"/>
              <w:rPr>
                <w:rFonts w:ascii="Arial"/>
                <w:sz w:val="21"/>
              </w:rPr>
            </w:pPr>
          </w:p>
          <w:p w14:paraId="6A00974A">
            <w:pPr>
              <w:pStyle w:val="95"/>
              <w:spacing w:before="78" w:line="222" w:lineRule="auto"/>
              <w:ind w:left="240"/>
            </w:pPr>
            <w:r>
              <w:rPr>
                <w:spacing w:val="-11"/>
              </w:rPr>
              <w:t>年龄</w:t>
            </w:r>
          </w:p>
        </w:tc>
        <w:tc>
          <w:tcPr>
            <w:tcW w:w="1191" w:type="dxa"/>
            <w:vAlign w:val="top"/>
          </w:tcPr>
          <w:p w14:paraId="5DA12130">
            <w:pPr>
              <w:pStyle w:val="95"/>
              <w:spacing w:before="190" w:line="232" w:lineRule="auto"/>
              <w:ind w:left="490" w:right="114" w:hanging="363"/>
            </w:pPr>
            <w:r>
              <w:rPr>
                <w:spacing w:val="-4"/>
              </w:rPr>
              <w:t>职称及等</w:t>
            </w:r>
            <w:r>
              <w:t xml:space="preserve"> 级</w:t>
            </w:r>
          </w:p>
        </w:tc>
        <w:tc>
          <w:tcPr>
            <w:tcW w:w="1132" w:type="dxa"/>
            <w:vAlign w:val="top"/>
          </w:tcPr>
          <w:p w14:paraId="473A88BD">
            <w:pPr>
              <w:pStyle w:val="95"/>
              <w:spacing w:before="190" w:line="231" w:lineRule="auto"/>
              <w:ind w:left="457" w:right="204" w:hanging="240"/>
            </w:pPr>
            <w:r>
              <w:rPr>
                <w:spacing w:val="-6"/>
              </w:rPr>
              <w:t>职业资</w:t>
            </w:r>
            <w:r>
              <w:rPr>
                <w:spacing w:val="1"/>
              </w:rPr>
              <w:t xml:space="preserve"> </w:t>
            </w:r>
            <w:r>
              <w:t>格</w:t>
            </w:r>
          </w:p>
        </w:tc>
        <w:tc>
          <w:tcPr>
            <w:tcW w:w="4180" w:type="dxa"/>
            <w:vAlign w:val="top"/>
          </w:tcPr>
          <w:p w14:paraId="0C6ED674">
            <w:pPr>
              <w:spacing w:line="266" w:lineRule="auto"/>
              <w:rPr>
                <w:rFonts w:ascii="Arial"/>
                <w:sz w:val="21"/>
              </w:rPr>
            </w:pPr>
          </w:p>
          <w:p w14:paraId="0714C52D">
            <w:pPr>
              <w:pStyle w:val="95"/>
              <w:spacing w:before="78" w:line="221" w:lineRule="auto"/>
              <w:ind w:left="902"/>
            </w:pPr>
            <w:r>
              <w:rPr>
                <w:spacing w:val="-2"/>
              </w:rPr>
              <w:t>从事相关经历（简历）</w:t>
            </w:r>
          </w:p>
        </w:tc>
      </w:tr>
      <w:tr w14:paraId="513E6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3" w:hRule="atLeast"/>
        </w:trPr>
        <w:tc>
          <w:tcPr>
            <w:tcW w:w="1090" w:type="dxa"/>
            <w:vAlign w:val="top"/>
          </w:tcPr>
          <w:p w14:paraId="529A8929">
            <w:pPr>
              <w:rPr>
                <w:rFonts w:ascii="Arial"/>
                <w:sz w:val="21"/>
              </w:rPr>
            </w:pPr>
          </w:p>
        </w:tc>
        <w:tc>
          <w:tcPr>
            <w:tcW w:w="929" w:type="dxa"/>
            <w:vAlign w:val="top"/>
          </w:tcPr>
          <w:p w14:paraId="462D0688">
            <w:pPr>
              <w:rPr>
                <w:rFonts w:ascii="Arial"/>
                <w:sz w:val="21"/>
              </w:rPr>
            </w:pPr>
          </w:p>
        </w:tc>
        <w:tc>
          <w:tcPr>
            <w:tcW w:w="1191" w:type="dxa"/>
            <w:vAlign w:val="top"/>
          </w:tcPr>
          <w:p w14:paraId="2E7C11A7">
            <w:pPr>
              <w:rPr>
                <w:rFonts w:ascii="Arial"/>
                <w:sz w:val="21"/>
              </w:rPr>
            </w:pPr>
          </w:p>
        </w:tc>
        <w:tc>
          <w:tcPr>
            <w:tcW w:w="1132" w:type="dxa"/>
            <w:vAlign w:val="top"/>
          </w:tcPr>
          <w:p w14:paraId="39C070F7">
            <w:pPr>
              <w:rPr>
                <w:rFonts w:ascii="Arial"/>
                <w:sz w:val="21"/>
              </w:rPr>
            </w:pPr>
          </w:p>
        </w:tc>
        <w:tc>
          <w:tcPr>
            <w:tcW w:w="4180" w:type="dxa"/>
            <w:vAlign w:val="top"/>
          </w:tcPr>
          <w:p w14:paraId="582C79F8">
            <w:pPr>
              <w:rPr>
                <w:rFonts w:ascii="Arial"/>
                <w:sz w:val="21"/>
              </w:rPr>
            </w:pPr>
          </w:p>
        </w:tc>
      </w:tr>
    </w:tbl>
    <w:p w14:paraId="2C76D47F">
      <w:pPr>
        <w:pStyle w:val="12"/>
      </w:pPr>
    </w:p>
    <w:p w14:paraId="27D688A4">
      <w:pPr>
        <w:sectPr>
          <w:footerReference r:id="rId15" w:type="default"/>
          <w:pgSz w:w="11907" w:h="16840"/>
          <w:pgMar w:top="1431" w:right="1692" w:bottom="1014" w:left="1687" w:header="0" w:footer="852" w:gutter="0"/>
          <w:pgBorders>
            <w:top w:val="none" w:sz="0" w:space="0"/>
            <w:left w:val="none" w:sz="0" w:space="0"/>
            <w:bottom w:val="none" w:sz="0" w:space="0"/>
            <w:right w:val="none" w:sz="0" w:space="0"/>
          </w:pgBorders>
          <w:pgNumType w:fmt="decimal"/>
          <w:cols w:space="720" w:num="1"/>
        </w:sectPr>
      </w:pPr>
    </w:p>
    <w:p w14:paraId="00FC6AC7">
      <w:pPr>
        <w:spacing w:before="101" w:line="226" w:lineRule="auto"/>
        <w:ind w:left="393"/>
        <w:outlineLvl w:val="2"/>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六、本项目专业工种安排表（如有）</w:t>
      </w:r>
    </w:p>
    <w:p w14:paraId="14EFA1C2">
      <w:pPr>
        <w:spacing w:before="292" w:line="222" w:lineRule="auto"/>
        <w:ind w:left="3137"/>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本项目专业工种安排表</w:t>
      </w:r>
    </w:p>
    <w:p w14:paraId="181042BC">
      <w:pPr>
        <w:spacing w:line="168" w:lineRule="exact"/>
      </w:pPr>
    </w:p>
    <w:tbl>
      <w:tblPr>
        <w:tblStyle w:val="96"/>
        <w:tblW w:w="90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4"/>
        <w:gridCol w:w="2701"/>
        <w:gridCol w:w="1847"/>
        <w:gridCol w:w="2359"/>
      </w:tblGrid>
      <w:tr w14:paraId="21030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2134" w:type="dxa"/>
            <w:vAlign w:val="top"/>
          </w:tcPr>
          <w:p w14:paraId="1AF5A469">
            <w:pPr>
              <w:pStyle w:val="95"/>
              <w:spacing w:before="226" w:line="221" w:lineRule="auto"/>
              <w:ind w:left="847"/>
            </w:pPr>
            <w:r>
              <w:rPr>
                <w:spacing w:val="-11"/>
              </w:rPr>
              <w:t>工种</w:t>
            </w:r>
          </w:p>
        </w:tc>
        <w:tc>
          <w:tcPr>
            <w:tcW w:w="2701" w:type="dxa"/>
            <w:vAlign w:val="top"/>
          </w:tcPr>
          <w:p w14:paraId="6ED2DD74">
            <w:pPr>
              <w:pStyle w:val="95"/>
              <w:spacing w:before="226" w:line="222" w:lineRule="auto"/>
              <w:ind w:left="646"/>
            </w:pPr>
            <w:r>
              <w:rPr>
                <w:spacing w:val="-4"/>
              </w:rPr>
              <w:t>要求（条件）</w:t>
            </w:r>
          </w:p>
        </w:tc>
        <w:tc>
          <w:tcPr>
            <w:tcW w:w="1847" w:type="dxa"/>
            <w:vAlign w:val="top"/>
          </w:tcPr>
          <w:p w14:paraId="73D683FF">
            <w:pPr>
              <w:pStyle w:val="95"/>
              <w:spacing w:before="226" w:line="223" w:lineRule="auto"/>
              <w:ind w:left="702"/>
            </w:pPr>
            <w:r>
              <w:rPr>
                <w:spacing w:val="-10"/>
              </w:rPr>
              <w:t>人数</w:t>
            </w:r>
          </w:p>
        </w:tc>
        <w:tc>
          <w:tcPr>
            <w:tcW w:w="2359" w:type="dxa"/>
            <w:vAlign w:val="top"/>
          </w:tcPr>
          <w:p w14:paraId="3AD422C5">
            <w:pPr>
              <w:pStyle w:val="95"/>
              <w:spacing w:before="227" w:line="224" w:lineRule="auto"/>
              <w:ind w:left="953"/>
            </w:pPr>
            <w:r>
              <w:rPr>
                <w:spacing w:val="-9"/>
              </w:rPr>
              <w:t>备注</w:t>
            </w:r>
          </w:p>
        </w:tc>
      </w:tr>
      <w:tr w14:paraId="4DF0C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134" w:type="dxa"/>
            <w:vMerge w:val="restart"/>
            <w:tcBorders>
              <w:bottom w:val="nil"/>
            </w:tcBorders>
            <w:vAlign w:val="top"/>
          </w:tcPr>
          <w:p w14:paraId="237737BF">
            <w:pPr>
              <w:rPr>
                <w:rFonts w:ascii="Arial"/>
                <w:sz w:val="21"/>
              </w:rPr>
            </w:pPr>
          </w:p>
        </w:tc>
        <w:tc>
          <w:tcPr>
            <w:tcW w:w="2701" w:type="dxa"/>
            <w:vAlign w:val="top"/>
          </w:tcPr>
          <w:p w14:paraId="266BCAA5">
            <w:pPr>
              <w:rPr>
                <w:rFonts w:ascii="Arial"/>
                <w:sz w:val="21"/>
              </w:rPr>
            </w:pPr>
          </w:p>
        </w:tc>
        <w:tc>
          <w:tcPr>
            <w:tcW w:w="1847" w:type="dxa"/>
            <w:vAlign w:val="top"/>
          </w:tcPr>
          <w:p w14:paraId="337E77F0">
            <w:pPr>
              <w:rPr>
                <w:rFonts w:ascii="Arial"/>
                <w:sz w:val="21"/>
              </w:rPr>
            </w:pPr>
          </w:p>
        </w:tc>
        <w:tc>
          <w:tcPr>
            <w:tcW w:w="2359" w:type="dxa"/>
            <w:vAlign w:val="top"/>
          </w:tcPr>
          <w:p w14:paraId="57C32903">
            <w:pPr>
              <w:rPr>
                <w:rFonts w:ascii="Arial"/>
                <w:sz w:val="21"/>
              </w:rPr>
            </w:pPr>
          </w:p>
        </w:tc>
      </w:tr>
      <w:tr w14:paraId="384AB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134" w:type="dxa"/>
            <w:vMerge w:val="continue"/>
            <w:tcBorders>
              <w:top w:val="nil"/>
              <w:bottom w:val="nil"/>
            </w:tcBorders>
            <w:vAlign w:val="top"/>
          </w:tcPr>
          <w:p w14:paraId="0896F7AE">
            <w:pPr>
              <w:rPr>
                <w:rFonts w:ascii="Arial"/>
                <w:sz w:val="21"/>
              </w:rPr>
            </w:pPr>
          </w:p>
        </w:tc>
        <w:tc>
          <w:tcPr>
            <w:tcW w:w="2701" w:type="dxa"/>
            <w:vAlign w:val="top"/>
          </w:tcPr>
          <w:p w14:paraId="004129EF">
            <w:pPr>
              <w:rPr>
                <w:rFonts w:ascii="Arial"/>
                <w:sz w:val="21"/>
              </w:rPr>
            </w:pPr>
          </w:p>
        </w:tc>
        <w:tc>
          <w:tcPr>
            <w:tcW w:w="1847" w:type="dxa"/>
            <w:vAlign w:val="top"/>
          </w:tcPr>
          <w:p w14:paraId="6EC2BF18">
            <w:pPr>
              <w:rPr>
                <w:rFonts w:ascii="Arial"/>
                <w:sz w:val="21"/>
              </w:rPr>
            </w:pPr>
          </w:p>
        </w:tc>
        <w:tc>
          <w:tcPr>
            <w:tcW w:w="2359" w:type="dxa"/>
            <w:vAlign w:val="top"/>
          </w:tcPr>
          <w:p w14:paraId="667A8BB8">
            <w:pPr>
              <w:rPr>
                <w:rFonts w:ascii="Arial"/>
                <w:sz w:val="21"/>
              </w:rPr>
            </w:pPr>
          </w:p>
        </w:tc>
      </w:tr>
      <w:tr w14:paraId="3189F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2134" w:type="dxa"/>
            <w:vMerge w:val="continue"/>
            <w:tcBorders>
              <w:top w:val="nil"/>
              <w:bottom w:val="nil"/>
            </w:tcBorders>
            <w:vAlign w:val="top"/>
          </w:tcPr>
          <w:p w14:paraId="76176ABA">
            <w:pPr>
              <w:rPr>
                <w:rFonts w:ascii="Arial"/>
                <w:sz w:val="21"/>
              </w:rPr>
            </w:pPr>
          </w:p>
        </w:tc>
        <w:tc>
          <w:tcPr>
            <w:tcW w:w="2701" w:type="dxa"/>
            <w:vAlign w:val="top"/>
          </w:tcPr>
          <w:p w14:paraId="2082880C">
            <w:pPr>
              <w:rPr>
                <w:rFonts w:ascii="Arial"/>
                <w:sz w:val="21"/>
              </w:rPr>
            </w:pPr>
          </w:p>
        </w:tc>
        <w:tc>
          <w:tcPr>
            <w:tcW w:w="1847" w:type="dxa"/>
            <w:vAlign w:val="top"/>
          </w:tcPr>
          <w:p w14:paraId="2344B05B">
            <w:pPr>
              <w:rPr>
                <w:rFonts w:ascii="Arial"/>
                <w:sz w:val="21"/>
              </w:rPr>
            </w:pPr>
          </w:p>
        </w:tc>
        <w:tc>
          <w:tcPr>
            <w:tcW w:w="2359" w:type="dxa"/>
            <w:vAlign w:val="top"/>
          </w:tcPr>
          <w:p w14:paraId="2528FC20">
            <w:pPr>
              <w:rPr>
                <w:rFonts w:ascii="Arial"/>
                <w:sz w:val="21"/>
              </w:rPr>
            </w:pPr>
          </w:p>
        </w:tc>
      </w:tr>
      <w:tr w14:paraId="0EBB9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134" w:type="dxa"/>
            <w:vMerge w:val="continue"/>
            <w:tcBorders>
              <w:top w:val="nil"/>
            </w:tcBorders>
            <w:vAlign w:val="top"/>
          </w:tcPr>
          <w:p w14:paraId="0283F639">
            <w:pPr>
              <w:rPr>
                <w:rFonts w:ascii="Arial"/>
                <w:sz w:val="21"/>
              </w:rPr>
            </w:pPr>
          </w:p>
        </w:tc>
        <w:tc>
          <w:tcPr>
            <w:tcW w:w="2701" w:type="dxa"/>
            <w:vAlign w:val="top"/>
          </w:tcPr>
          <w:p w14:paraId="7C08666D">
            <w:pPr>
              <w:rPr>
                <w:rFonts w:ascii="Arial"/>
                <w:sz w:val="21"/>
              </w:rPr>
            </w:pPr>
          </w:p>
        </w:tc>
        <w:tc>
          <w:tcPr>
            <w:tcW w:w="1847" w:type="dxa"/>
            <w:vAlign w:val="top"/>
          </w:tcPr>
          <w:p w14:paraId="05A923C4">
            <w:pPr>
              <w:rPr>
                <w:rFonts w:ascii="Arial"/>
                <w:sz w:val="21"/>
              </w:rPr>
            </w:pPr>
          </w:p>
        </w:tc>
        <w:tc>
          <w:tcPr>
            <w:tcW w:w="2359" w:type="dxa"/>
            <w:vAlign w:val="top"/>
          </w:tcPr>
          <w:p w14:paraId="56858ADD">
            <w:pPr>
              <w:rPr>
                <w:rFonts w:ascii="Arial"/>
                <w:sz w:val="21"/>
              </w:rPr>
            </w:pPr>
          </w:p>
        </w:tc>
      </w:tr>
      <w:tr w14:paraId="6E4BF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134" w:type="dxa"/>
            <w:vMerge w:val="restart"/>
            <w:tcBorders>
              <w:bottom w:val="nil"/>
            </w:tcBorders>
            <w:vAlign w:val="top"/>
          </w:tcPr>
          <w:p w14:paraId="7DE33884">
            <w:pPr>
              <w:rPr>
                <w:rFonts w:ascii="Arial"/>
                <w:sz w:val="21"/>
              </w:rPr>
            </w:pPr>
          </w:p>
        </w:tc>
        <w:tc>
          <w:tcPr>
            <w:tcW w:w="2701" w:type="dxa"/>
            <w:vAlign w:val="top"/>
          </w:tcPr>
          <w:p w14:paraId="67820B92">
            <w:pPr>
              <w:rPr>
                <w:rFonts w:ascii="Arial"/>
                <w:sz w:val="21"/>
              </w:rPr>
            </w:pPr>
          </w:p>
        </w:tc>
        <w:tc>
          <w:tcPr>
            <w:tcW w:w="1847" w:type="dxa"/>
            <w:vAlign w:val="top"/>
          </w:tcPr>
          <w:p w14:paraId="49A2A443">
            <w:pPr>
              <w:rPr>
                <w:rFonts w:ascii="Arial"/>
                <w:sz w:val="21"/>
              </w:rPr>
            </w:pPr>
          </w:p>
        </w:tc>
        <w:tc>
          <w:tcPr>
            <w:tcW w:w="2359" w:type="dxa"/>
            <w:vAlign w:val="top"/>
          </w:tcPr>
          <w:p w14:paraId="23182FA7">
            <w:pPr>
              <w:rPr>
                <w:rFonts w:ascii="Arial"/>
                <w:sz w:val="21"/>
              </w:rPr>
            </w:pPr>
          </w:p>
        </w:tc>
      </w:tr>
      <w:tr w14:paraId="0680F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134" w:type="dxa"/>
            <w:vMerge w:val="continue"/>
            <w:tcBorders>
              <w:top w:val="nil"/>
              <w:bottom w:val="nil"/>
            </w:tcBorders>
            <w:vAlign w:val="top"/>
          </w:tcPr>
          <w:p w14:paraId="4A902914">
            <w:pPr>
              <w:rPr>
                <w:rFonts w:ascii="Arial"/>
                <w:sz w:val="21"/>
              </w:rPr>
            </w:pPr>
          </w:p>
        </w:tc>
        <w:tc>
          <w:tcPr>
            <w:tcW w:w="2701" w:type="dxa"/>
            <w:vAlign w:val="top"/>
          </w:tcPr>
          <w:p w14:paraId="4A5E729E">
            <w:pPr>
              <w:rPr>
                <w:rFonts w:ascii="Arial"/>
                <w:sz w:val="21"/>
              </w:rPr>
            </w:pPr>
          </w:p>
        </w:tc>
        <w:tc>
          <w:tcPr>
            <w:tcW w:w="1847" w:type="dxa"/>
            <w:vAlign w:val="top"/>
          </w:tcPr>
          <w:p w14:paraId="22D48DFE">
            <w:pPr>
              <w:rPr>
                <w:rFonts w:ascii="Arial"/>
                <w:sz w:val="21"/>
              </w:rPr>
            </w:pPr>
          </w:p>
        </w:tc>
        <w:tc>
          <w:tcPr>
            <w:tcW w:w="2359" w:type="dxa"/>
            <w:vAlign w:val="top"/>
          </w:tcPr>
          <w:p w14:paraId="21E187AC">
            <w:pPr>
              <w:rPr>
                <w:rFonts w:ascii="Arial"/>
                <w:sz w:val="21"/>
              </w:rPr>
            </w:pPr>
          </w:p>
        </w:tc>
      </w:tr>
      <w:tr w14:paraId="25456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134" w:type="dxa"/>
            <w:vMerge w:val="continue"/>
            <w:tcBorders>
              <w:top w:val="nil"/>
              <w:bottom w:val="nil"/>
            </w:tcBorders>
            <w:vAlign w:val="top"/>
          </w:tcPr>
          <w:p w14:paraId="7213AB34">
            <w:pPr>
              <w:rPr>
                <w:rFonts w:ascii="Arial"/>
                <w:sz w:val="21"/>
              </w:rPr>
            </w:pPr>
          </w:p>
        </w:tc>
        <w:tc>
          <w:tcPr>
            <w:tcW w:w="2701" w:type="dxa"/>
            <w:vAlign w:val="top"/>
          </w:tcPr>
          <w:p w14:paraId="11AE5EAE">
            <w:pPr>
              <w:rPr>
                <w:rFonts w:ascii="Arial"/>
                <w:sz w:val="21"/>
              </w:rPr>
            </w:pPr>
          </w:p>
        </w:tc>
        <w:tc>
          <w:tcPr>
            <w:tcW w:w="1847" w:type="dxa"/>
            <w:vAlign w:val="top"/>
          </w:tcPr>
          <w:p w14:paraId="5D7CEE00">
            <w:pPr>
              <w:rPr>
                <w:rFonts w:ascii="Arial"/>
                <w:sz w:val="21"/>
              </w:rPr>
            </w:pPr>
          </w:p>
        </w:tc>
        <w:tc>
          <w:tcPr>
            <w:tcW w:w="2359" w:type="dxa"/>
            <w:vAlign w:val="top"/>
          </w:tcPr>
          <w:p w14:paraId="0C4760A6">
            <w:pPr>
              <w:rPr>
                <w:rFonts w:ascii="Arial"/>
                <w:sz w:val="21"/>
              </w:rPr>
            </w:pPr>
          </w:p>
        </w:tc>
      </w:tr>
      <w:tr w14:paraId="1DF13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134" w:type="dxa"/>
            <w:vMerge w:val="continue"/>
            <w:tcBorders>
              <w:top w:val="nil"/>
              <w:bottom w:val="nil"/>
            </w:tcBorders>
            <w:vAlign w:val="top"/>
          </w:tcPr>
          <w:p w14:paraId="5D8A0912">
            <w:pPr>
              <w:rPr>
                <w:rFonts w:ascii="Arial"/>
                <w:sz w:val="21"/>
              </w:rPr>
            </w:pPr>
          </w:p>
        </w:tc>
        <w:tc>
          <w:tcPr>
            <w:tcW w:w="2701" w:type="dxa"/>
            <w:vAlign w:val="top"/>
          </w:tcPr>
          <w:p w14:paraId="19386B9C">
            <w:pPr>
              <w:rPr>
                <w:rFonts w:ascii="Arial"/>
                <w:sz w:val="21"/>
              </w:rPr>
            </w:pPr>
          </w:p>
        </w:tc>
        <w:tc>
          <w:tcPr>
            <w:tcW w:w="1847" w:type="dxa"/>
            <w:vAlign w:val="top"/>
          </w:tcPr>
          <w:p w14:paraId="7551F542">
            <w:pPr>
              <w:rPr>
                <w:rFonts w:ascii="Arial"/>
                <w:sz w:val="21"/>
              </w:rPr>
            </w:pPr>
          </w:p>
        </w:tc>
        <w:tc>
          <w:tcPr>
            <w:tcW w:w="2359" w:type="dxa"/>
            <w:vAlign w:val="top"/>
          </w:tcPr>
          <w:p w14:paraId="11733EBA">
            <w:pPr>
              <w:rPr>
                <w:rFonts w:ascii="Arial"/>
                <w:sz w:val="21"/>
              </w:rPr>
            </w:pPr>
          </w:p>
        </w:tc>
      </w:tr>
      <w:tr w14:paraId="68CA4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134" w:type="dxa"/>
            <w:vMerge w:val="continue"/>
            <w:tcBorders>
              <w:top w:val="nil"/>
            </w:tcBorders>
            <w:vAlign w:val="top"/>
          </w:tcPr>
          <w:p w14:paraId="34D7EC3F">
            <w:pPr>
              <w:rPr>
                <w:rFonts w:ascii="Arial"/>
                <w:sz w:val="21"/>
              </w:rPr>
            </w:pPr>
          </w:p>
        </w:tc>
        <w:tc>
          <w:tcPr>
            <w:tcW w:w="2701" w:type="dxa"/>
            <w:vAlign w:val="top"/>
          </w:tcPr>
          <w:p w14:paraId="6AA9B641">
            <w:pPr>
              <w:rPr>
                <w:rFonts w:ascii="Arial"/>
                <w:sz w:val="21"/>
              </w:rPr>
            </w:pPr>
          </w:p>
        </w:tc>
        <w:tc>
          <w:tcPr>
            <w:tcW w:w="1847" w:type="dxa"/>
            <w:vAlign w:val="top"/>
          </w:tcPr>
          <w:p w14:paraId="3A959528">
            <w:pPr>
              <w:rPr>
                <w:rFonts w:ascii="Arial"/>
                <w:sz w:val="21"/>
              </w:rPr>
            </w:pPr>
          </w:p>
        </w:tc>
        <w:tc>
          <w:tcPr>
            <w:tcW w:w="2359" w:type="dxa"/>
            <w:vAlign w:val="top"/>
          </w:tcPr>
          <w:p w14:paraId="78DD9477">
            <w:pPr>
              <w:rPr>
                <w:rFonts w:ascii="Arial"/>
                <w:sz w:val="21"/>
              </w:rPr>
            </w:pPr>
          </w:p>
        </w:tc>
      </w:tr>
      <w:tr w14:paraId="5B043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134" w:type="dxa"/>
            <w:vMerge w:val="restart"/>
            <w:tcBorders>
              <w:bottom w:val="nil"/>
            </w:tcBorders>
            <w:vAlign w:val="top"/>
          </w:tcPr>
          <w:p w14:paraId="5BCC0DEE">
            <w:pPr>
              <w:rPr>
                <w:rFonts w:ascii="Arial"/>
                <w:sz w:val="21"/>
              </w:rPr>
            </w:pPr>
          </w:p>
        </w:tc>
        <w:tc>
          <w:tcPr>
            <w:tcW w:w="2701" w:type="dxa"/>
            <w:vAlign w:val="top"/>
          </w:tcPr>
          <w:p w14:paraId="7F077B97">
            <w:pPr>
              <w:rPr>
                <w:rFonts w:ascii="Arial"/>
                <w:sz w:val="21"/>
              </w:rPr>
            </w:pPr>
          </w:p>
        </w:tc>
        <w:tc>
          <w:tcPr>
            <w:tcW w:w="1847" w:type="dxa"/>
            <w:vAlign w:val="top"/>
          </w:tcPr>
          <w:p w14:paraId="3D087912">
            <w:pPr>
              <w:rPr>
                <w:rFonts w:ascii="Arial"/>
                <w:sz w:val="21"/>
              </w:rPr>
            </w:pPr>
          </w:p>
        </w:tc>
        <w:tc>
          <w:tcPr>
            <w:tcW w:w="2359" w:type="dxa"/>
            <w:vAlign w:val="top"/>
          </w:tcPr>
          <w:p w14:paraId="7826E73D">
            <w:pPr>
              <w:rPr>
                <w:rFonts w:ascii="Arial"/>
                <w:sz w:val="21"/>
              </w:rPr>
            </w:pPr>
          </w:p>
        </w:tc>
      </w:tr>
      <w:tr w14:paraId="4E069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134" w:type="dxa"/>
            <w:vMerge w:val="continue"/>
            <w:tcBorders>
              <w:top w:val="nil"/>
              <w:bottom w:val="nil"/>
            </w:tcBorders>
            <w:vAlign w:val="top"/>
          </w:tcPr>
          <w:p w14:paraId="3E15EB34">
            <w:pPr>
              <w:rPr>
                <w:rFonts w:ascii="Arial"/>
                <w:sz w:val="21"/>
              </w:rPr>
            </w:pPr>
          </w:p>
        </w:tc>
        <w:tc>
          <w:tcPr>
            <w:tcW w:w="2701" w:type="dxa"/>
            <w:vAlign w:val="top"/>
          </w:tcPr>
          <w:p w14:paraId="779C0512">
            <w:pPr>
              <w:rPr>
                <w:rFonts w:ascii="Arial"/>
                <w:sz w:val="21"/>
              </w:rPr>
            </w:pPr>
          </w:p>
        </w:tc>
        <w:tc>
          <w:tcPr>
            <w:tcW w:w="1847" w:type="dxa"/>
            <w:vAlign w:val="top"/>
          </w:tcPr>
          <w:p w14:paraId="02B335E1">
            <w:pPr>
              <w:rPr>
                <w:rFonts w:ascii="Arial"/>
                <w:sz w:val="21"/>
              </w:rPr>
            </w:pPr>
          </w:p>
        </w:tc>
        <w:tc>
          <w:tcPr>
            <w:tcW w:w="2359" w:type="dxa"/>
            <w:vAlign w:val="top"/>
          </w:tcPr>
          <w:p w14:paraId="2FFCC0C8">
            <w:pPr>
              <w:rPr>
                <w:rFonts w:ascii="Arial"/>
                <w:sz w:val="21"/>
              </w:rPr>
            </w:pPr>
          </w:p>
        </w:tc>
      </w:tr>
      <w:tr w14:paraId="092A1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134" w:type="dxa"/>
            <w:vMerge w:val="continue"/>
            <w:tcBorders>
              <w:top w:val="nil"/>
              <w:bottom w:val="nil"/>
            </w:tcBorders>
            <w:vAlign w:val="top"/>
          </w:tcPr>
          <w:p w14:paraId="0BC7F542">
            <w:pPr>
              <w:rPr>
                <w:rFonts w:ascii="Arial"/>
                <w:sz w:val="21"/>
              </w:rPr>
            </w:pPr>
          </w:p>
        </w:tc>
        <w:tc>
          <w:tcPr>
            <w:tcW w:w="2701" w:type="dxa"/>
            <w:vAlign w:val="top"/>
          </w:tcPr>
          <w:p w14:paraId="1BD1A27C">
            <w:pPr>
              <w:rPr>
                <w:rFonts w:ascii="Arial"/>
                <w:sz w:val="21"/>
              </w:rPr>
            </w:pPr>
          </w:p>
        </w:tc>
        <w:tc>
          <w:tcPr>
            <w:tcW w:w="1847" w:type="dxa"/>
            <w:vAlign w:val="top"/>
          </w:tcPr>
          <w:p w14:paraId="2D0DF97A">
            <w:pPr>
              <w:rPr>
                <w:rFonts w:ascii="Arial"/>
                <w:sz w:val="21"/>
              </w:rPr>
            </w:pPr>
          </w:p>
        </w:tc>
        <w:tc>
          <w:tcPr>
            <w:tcW w:w="2359" w:type="dxa"/>
            <w:vAlign w:val="top"/>
          </w:tcPr>
          <w:p w14:paraId="0586B9C8">
            <w:pPr>
              <w:rPr>
                <w:rFonts w:ascii="Arial"/>
                <w:sz w:val="21"/>
              </w:rPr>
            </w:pPr>
          </w:p>
        </w:tc>
      </w:tr>
      <w:tr w14:paraId="4033F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134" w:type="dxa"/>
            <w:vMerge w:val="continue"/>
            <w:tcBorders>
              <w:top w:val="nil"/>
            </w:tcBorders>
            <w:vAlign w:val="top"/>
          </w:tcPr>
          <w:p w14:paraId="651E7D77">
            <w:pPr>
              <w:rPr>
                <w:rFonts w:ascii="Arial"/>
                <w:sz w:val="21"/>
              </w:rPr>
            </w:pPr>
          </w:p>
        </w:tc>
        <w:tc>
          <w:tcPr>
            <w:tcW w:w="2701" w:type="dxa"/>
            <w:vAlign w:val="top"/>
          </w:tcPr>
          <w:p w14:paraId="47A06255">
            <w:pPr>
              <w:rPr>
                <w:rFonts w:ascii="Arial"/>
                <w:sz w:val="21"/>
              </w:rPr>
            </w:pPr>
          </w:p>
        </w:tc>
        <w:tc>
          <w:tcPr>
            <w:tcW w:w="1847" w:type="dxa"/>
            <w:vAlign w:val="top"/>
          </w:tcPr>
          <w:p w14:paraId="31FFF042">
            <w:pPr>
              <w:rPr>
                <w:rFonts w:ascii="Arial"/>
                <w:sz w:val="21"/>
              </w:rPr>
            </w:pPr>
          </w:p>
        </w:tc>
        <w:tc>
          <w:tcPr>
            <w:tcW w:w="2359" w:type="dxa"/>
            <w:vAlign w:val="top"/>
          </w:tcPr>
          <w:p w14:paraId="07387C84">
            <w:pPr>
              <w:rPr>
                <w:rFonts w:ascii="Arial"/>
                <w:sz w:val="21"/>
              </w:rPr>
            </w:pPr>
          </w:p>
        </w:tc>
      </w:tr>
      <w:tr w14:paraId="0EAF4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134" w:type="dxa"/>
            <w:vMerge w:val="restart"/>
            <w:tcBorders>
              <w:bottom w:val="nil"/>
            </w:tcBorders>
            <w:vAlign w:val="top"/>
          </w:tcPr>
          <w:p w14:paraId="389E011C">
            <w:pPr>
              <w:spacing w:line="476" w:lineRule="auto"/>
              <w:rPr>
                <w:rFonts w:ascii="Arial"/>
                <w:sz w:val="21"/>
              </w:rPr>
            </w:pPr>
          </w:p>
          <w:p w14:paraId="7466C87C">
            <w:pPr>
              <w:spacing w:before="69" w:line="192" w:lineRule="auto"/>
              <w:ind w:left="3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w:t>
            </w:r>
          </w:p>
        </w:tc>
        <w:tc>
          <w:tcPr>
            <w:tcW w:w="2701" w:type="dxa"/>
            <w:vAlign w:val="top"/>
          </w:tcPr>
          <w:p w14:paraId="09CDA8BA">
            <w:pPr>
              <w:rPr>
                <w:rFonts w:ascii="Arial"/>
                <w:sz w:val="21"/>
              </w:rPr>
            </w:pPr>
          </w:p>
        </w:tc>
        <w:tc>
          <w:tcPr>
            <w:tcW w:w="1847" w:type="dxa"/>
            <w:vAlign w:val="top"/>
          </w:tcPr>
          <w:p w14:paraId="4FA87278">
            <w:pPr>
              <w:rPr>
                <w:rFonts w:ascii="Arial"/>
                <w:sz w:val="21"/>
              </w:rPr>
            </w:pPr>
          </w:p>
        </w:tc>
        <w:tc>
          <w:tcPr>
            <w:tcW w:w="2359" w:type="dxa"/>
            <w:vAlign w:val="top"/>
          </w:tcPr>
          <w:p w14:paraId="2952E116">
            <w:pPr>
              <w:rPr>
                <w:rFonts w:ascii="Arial"/>
                <w:sz w:val="21"/>
              </w:rPr>
            </w:pPr>
          </w:p>
        </w:tc>
      </w:tr>
      <w:tr w14:paraId="3AD6D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134" w:type="dxa"/>
            <w:vMerge w:val="continue"/>
            <w:tcBorders>
              <w:top w:val="nil"/>
            </w:tcBorders>
            <w:vAlign w:val="top"/>
          </w:tcPr>
          <w:p w14:paraId="05F42F75">
            <w:pPr>
              <w:rPr>
                <w:rFonts w:ascii="Arial"/>
                <w:sz w:val="21"/>
              </w:rPr>
            </w:pPr>
          </w:p>
        </w:tc>
        <w:tc>
          <w:tcPr>
            <w:tcW w:w="2701" w:type="dxa"/>
            <w:vAlign w:val="top"/>
          </w:tcPr>
          <w:p w14:paraId="792E2C3C">
            <w:pPr>
              <w:rPr>
                <w:rFonts w:ascii="Arial"/>
                <w:sz w:val="21"/>
              </w:rPr>
            </w:pPr>
          </w:p>
        </w:tc>
        <w:tc>
          <w:tcPr>
            <w:tcW w:w="1847" w:type="dxa"/>
            <w:vAlign w:val="top"/>
          </w:tcPr>
          <w:p w14:paraId="6A1F2AC6">
            <w:pPr>
              <w:rPr>
                <w:rFonts w:ascii="Arial"/>
                <w:sz w:val="21"/>
              </w:rPr>
            </w:pPr>
          </w:p>
        </w:tc>
        <w:tc>
          <w:tcPr>
            <w:tcW w:w="2359" w:type="dxa"/>
            <w:vAlign w:val="top"/>
          </w:tcPr>
          <w:p w14:paraId="6BB2BC58">
            <w:pPr>
              <w:rPr>
                <w:rFonts w:ascii="Arial"/>
                <w:sz w:val="21"/>
              </w:rPr>
            </w:pPr>
          </w:p>
        </w:tc>
      </w:tr>
      <w:tr w14:paraId="73BD9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2134" w:type="dxa"/>
            <w:vAlign w:val="top"/>
          </w:tcPr>
          <w:p w14:paraId="26BB5E16">
            <w:pPr>
              <w:pStyle w:val="95"/>
              <w:spacing w:before="209" w:line="222" w:lineRule="auto"/>
              <w:ind w:left="848"/>
            </w:pPr>
            <w:r>
              <w:rPr>
                <w:spacing w:val="-12"/>
              </w:rPr>
              <w:t>合计</w:t>
            </w:r>
          </w:p>
        </w:tc>
        <w:tc>
          <w:tcPr>
            <w:tcW w:w="2701" w:type="dxa"/>
            <w:vAlign w:val="top"/>
          </w:tcPr>
          <w:p w14:paraId="4D78BBE8">
            <w:pPr>
              <w:rPr>
                <w:rFonts w:ascii="Arial"/>
                <w:sz w:val="21"/>
              </w:rPr>
            </w:pPr>
          </w:p>
        </w:tc>
        <w:tc>
          <w:tcPr>
            <w:tcW w:w="1847" w:type="dxa"/>
            <w:vAlign w:val="top"/>
          </w:tcPr>
          <w:p w14:paraId="2CBA0828">
            <w:pPr>
              <w:rPr>
                <w:rFonts w:ascii="Arial"/>
                <w:sz w:val="21"/>
              </w:rPr>
            </w:pPr>
          </w:p>
        </w:tc>
        <w:tc>
          <w:tcPr>
            <w:tcW w:w="2359" w:type="dxa"/>
            <w:vAlign w:val="top"/>
          </w:tcPr>
          <w:p w14:paraId="4523D668">
            <w:pPr>
              <w:rPr>
                <w:rFonts w:ascii="Arial"/>
                <w:sz w:val="21"/>
              </w:rPr>
            </w:pPr>
          </w:p>
        </w:tc>
      </w:tr>
    </w:tbl>
    <w:p w14:paraId="2A5A4612">
      <w:pPr>
        <w:pStyle w:val="12"/>
      </w:pPr>
    </w:p>
    <w:p w14:paraId="06C404EC">
      <w:pPr>
        <w:sectPr>
          <w:footerReference r:id="rId16" w:type="default"/>
          <w:pgSz w:w="11907" w:h="16840"/>
          <w:pgMar w:top="1431" w:right="1430" w:bottom="1014" w:left="1430" w:header="0" w:footer="852" w:gutter="0"/>
          <w:pgBorders>
            <w:top w:val="none" w:sz="0" w:space="0"/>
            <w:left w:val="none" w:sz="0" w:space="0"/>
            <w:bottom w:val="none" w:sz="0" w:space="0"/>
            <w:right w:val="none" w:sz="0" w:space="0"/>
          </w:pgBorders>
          <w:pgNumType w:fmt="decimal"/>
          <w:cols w:space="720" w:num="1"/>
        </w:sectPr>
      </w:pPr>
    </w:p>
    <w:p w14:paraId="54F5C6C0">
      <w:pPr>
        <w:spacing w:before="101" w:line="226" w:lineRule="auto"/>
        <w:ind w:left="52"/>
        <w:outlineLvl w:val="2"/>
        <w:rPr>
          <w:rFonts w:ascii="仿宋" w:hAnsi="仿宋" w:eastAsia="仿宋" w:cs="仿宋"/>
          <w:sz w:val="31"/>
          <w:szCs w:val="31"/>
        </w:rPr>
      </w:pPr>
      <w:r>
        <w:rPr>
          <w:rFonts w:ascii="仿宋" w:hAnsi="仿宋" w:eastAsia="仿宋" w:cs="仿宋"/>
          <w:spacing w:val="9"/>
          <w:sz w:val="31"/>
          <w:szCs w:val="31"/>
          <w14:textOutline w14:w="5793" w14:cap="sq" w14:cmpd="sng">
            <w14:solidFill>
              <w14:srgbClr w14:val="000000"/>
            </w14:solidFill>
            <w14:prstDash w14:val="solid"/>
            <w14:bevel/>
          </w14:textOutline>
        </w:rPr>
        <w:t>七、为本项目拟配备的主要设备清单（如有）</w:t>
      </w:r>
    </w:p>
    <w:p w14:paraId="0AD65A92">
      <w:pPr>
        <w:spacing w:before="292" w:line="222" w:lineRule="auto"/>
        <w:ind w:left="2239"/>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为本项目拟配备的主要设备清单</w:t>
      </w:r>
    </w:p>
    <w:p w14:paraId="45309414">
      <w:pPr>
        <w:spacing w:line="168" w:lineRule="exact"/>
      </w:pPr>
    </w:p>
    <w:tbl>
      <w:tblPr>
        <w:tblStyle w:val="96"/>
        <w:tblW w:w="83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7"/>
        <w:gridCol w:w="944"/>
        <w:gridCol w:w="944"/>
        <w:gridCol w:w="2338"/>
        <w:gridCol w:w="1404"/>
        <w:gridCol w:w="1955"/>
      </w:tblGrid>
      <w:tr w14:paraId="24B80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797" w:type="dxa"/>
            <w:vAlign w:val="top"/>
          </w:tcPr>
          <w:p w14:paraId="6F879623">
            <w:pPr>
              <w:pStyle w:val="95"/>
              <w:spacing w:before="241" w:line="222" w:lineRule="auto"/>
              <w:ind w:left="172"/>
            </w:pPr>
            <w:r>
              <w:rPr>
                <w:spacing w:val="-8"/>
              </w:rPr>
              <w:t>序号</w:t>
            </w:r>
          </w:p>
        </w:tc>
        <w:tc>
          <w:tcPr>
            <w:tcW w:w="944" w:type="dxa"/>
            <w:vAlign w:val="top"/>
          </w:tcPr>
          <w:p w14:paraId="50A5B9E4">
            <w:pPr>
              <w:pStyle w:val="95"/>
              <w:spacing w:before="241" w:line="224" w:lineRule="auto"/>
              <w:ind w:left="247"/>
            </w:pPr>
            <w:r>
              <w:rPr>
                <w:spacing w:val="-10"/>
              </w:rPr>
              <w:t>类型</w:t>
            </w:r>
          </w:p>
        </w:tc>
        <w:tc>
          <w:tcPr>
            <w:tcW w:w="944" w:type="dxa"/>
            <w:vAlign w:val="top"/>
          </w:tcPr>
          <w:p w14:paraId="0335A3D3">
            <w:pPr>
              <w:pStyle w:val="95"/>
              <w:spacing w:before="85" w:line="230" w:lineRule="auto"/>
              <w:ind w:left="362" w:right="111" w:hanging="240"/>
            </w:pPr>
            <w:r>
              <w:rPr>
                <w:spacing w:val="-6"/>
              </w:rPr>
              <w:t>设备名</w:t>
            </w:r>
            <w:r>
              <w:rPr>
                <w:spacing w:val="1"/>
              </w:rPr>
              <w:t xml:space="preserve"> </w:t>
            </w:r>
            <w:r>
              <w:t>称</w:t>
            </w:r>
          </w:p>
        </w:tc>
        <w:tc>
          <w:tcPr>
            <w:tcW w:w="2338" w:type="dxa"/>
            <w:vAlign w:val="top"/>
          </w:tcPr>
          <w:p w14:paraId="00B09306">
            <w:pPr>
              <w:pStyle w:val="95"/>
              <w:spacing w:before="240" w:line="223" w:lineRule="auto"/>
              <w:ind w:left="942"/>
            </w:pPr>
            <w:r>
              <w:rPr>
                <w:spacing w:val="-8"/>
              </w:rPr>
              <w:t>数量</w:t>
            </w:r>
          </w:p>
        </w:tc>
        <w:tc>
          <w:tcPr>
            <w:tcW w:w="1404" w:type="dxa"/>
            <w:vAlign w:val="top"/>
          </w:tcPr>
          <w:p w14:paraId="4DC71E60">
            <w:pPr>
              <w:pStyle w:val="95"/>
              <w:spacing w:before="240" w:line="221" w:lineRule="auto"/>
              <w:ind w:left="482"/>
            </w:pPr>
            <w:r>
              <w:rPr>
                <w:spacing w:val="-11"/>
              </w:rPr>
              <w:t>单位</w:t>
            </w:r>
          </w:p>
        </w:tc>
        <w:tc>
          <w:tcPr>
            <w:tcW w:w="1955" w:type="dxa"/>
            <w:vAlign w:val="top"/>
          </w:tcPr>
          <w:p w14:paraId="6D8EDC06">
            <w:pPr>
              <w:pStyle w:val="95"/>
              <w:spacing w:before="86" w:line="232" w:lineRule="auto"/>
              <w:ind w:left="756" w:right="19" w:hanging="719"/>
            </w:pPr>
            <w:r>
              <w:rPr>
                <w:spacing w:val="-4"/>
              </w:rPr>
              <w:t>备注（设备产权性</w:t>
            </w:r>
            <w:r>
              <w:rPr>
                <w:spacing w:val="3"/>
              </w:rPr>
              <w:t xml:space="preserve"> </w:t>
            </w:r>
            <w:r>
              <w:rPr>
                <w:spacing w:val="-11"/>
              </w:rPr>
              <w:t>质）</w:t>
            </w:r>
          </w:p>
        </w:tc>
      </w:tr>
      <w:tr w14:paraId="26E77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797" w:type="dxa"/>
            <w:vAlign w:val="top"/>
          </w:tcPr>
          <w:p w14:paraId="244B6429">
            <w:pPr>
              <w:rPr>
                <w:rFonts w:ascii="Arial"/>
                <w:sz w:val="21"/>
              </w:rPr>
            </w:pPr>
          </w:p>
        </w:tc>
        <w:tc>
          <w:tcPr>
            <w:tcW w:w="944" w:type="dxa"/>
            <w:vAlign w:val="top"/>
          </w:tcPr>
          <w:p w14:paraId="66E9B15F">
            <w:pPr>
              <w:rPr>
                <w:rFonts w:ascii="Arial"/>
                <w:sz w:val="21"/>
              </w:rPr>
            </w:pPr>
          </w:p>
        </w:tc>
        <w:tc>
          <w:tcPr>
            <w:tcW w:w="944" w:type="dxa"/>
            <w:vAlign w:val="top"/>
          </w:tcPr>
          <w:p w14:paraId="2CC572AD">
            <w:pPr>
              <w:rPr>
                <w:rFonts w:ascii="Arial"/>
                <w:sz w:val="21"/>
              </w:rPr>
            </w:pPr>
          </w:p>
        </w:tc>
        <w:tc>
          <w:tcPr>
            <w:tcW w:w="2338" w:type="dxa"/>
            <w:vAlign w:val="top"/>
          </w:tcPr>
          <w:p w14:paraId="5D9F8210">
            <w:pPr>
              <w:rPr>
                <w:rFonts w:ascii="Arial"/>
                <w:sz w:val="21"/>
              </w:rPr>
            </w:pPr>
          </w:p>
        </w:tc>
        <w:tc>
          <w:tcPr>
            <w:tcW w:w="1404" w:type="dxa"/>
            <w:vAlign w:val="top"/>
          </w:tcPr>
          <w:p w14:paraId="3D872A34">
            <w:pPr>
              <w:rPr>
                <w:rFonts w:ascii="Arial"/>
                <w:sz w:val="21"/>
              </w:rPr>
            </w:pPr>
          </w:p>
        </w:tc>
        <w:tc>
          <w:tcPr>
            <w:tcW w:w="1955" w:type="dxa"/>
            <w:vAlign w:val="top"/>
          </w:tcPr>
          <w:p w14:paraId="0295A873">
            <w:pPr>
              <w:rPr>
                <w:rFonts w:ascii="Arial"/>
                <w:sz w:val="21"/>
              </w:rPr>
            </w:pPr>
          </w:p>
        </w:tc>
      </w:tr>
      <w:tr w14:paraId="67C29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97" w:type="dxa"/>
            <w:vAlign w:val="top"/>
          </w:tcPr>
          <w:p w14:paraId="0F5C317F">
            <w:pPr>
              <w:rPr>
                <w:rFonts w:ascii="Arial"/>
                <w:sz w:val="21"/>
              </w:rPr>
            </w:pPr>
          </w:p>
        </w:tc>
        <w:tc>
          <w:tcPr>
            <w:tcW w:w="944" w:type="dxa"/>
            <w:vAlign w:val="top"/>
          </w:tcPr>
          <w:p w14:paraId="322050EA">
            <w:pPr>
              <w:rPr>
                <w:rFonts w:ascii="Arial"/>
                <w:sz w:val="21"/>
              </w:rPr>
            </w:pPr>
          </w:p>
        </w:tc>
        <w:tc>
          <w:tcPr>
            <w:tcW w:w="944" w:type="dxa"/>
            <w:vAlign w:val="top"/>
          </w:tcPr>
          <w:p w14:paraId="42C00067">
            <w:pPr>
              <w:rPr>
                <w:rFonts w:ascii="Arial"/>
                <w:sz w:val="21"/>
              </w:rPr>
            </w:pPr>
          </w:p>
        </w:tc>
        <w:tc>
          <w:tcPr>
            <w:tcW w:w="2338" w:type="dxa"/>
            <w:vAlign w:val="top"/>
          </w:tcPr>
          <w:p w14:paraId="2320BC91">
            <w:pPr>
              <w:rPr>
                <w:rFonts w:ascii="Arial"/>
                <w:sz w:val="21"/>
              </w:rPr>
            </w:pPr>
          </w:p>
        </w:tc>
        <w:tc>
          <w:tcPr>
            <w:tcW w:w="1404" w:type="dxa"/>
            <w:vAlign w:val="top"/>
          </w:tcPr>
          <w:p w14:paraId="319F619C">
            <w:pPr>
              <w:rPr>
                <w:rFonts w:ascii="Arial"/>
                <w:sz w:val="21"/>
              </w:rPr>
            </w:pPr>
          </w:p>
        </w:tc>
        <w:tc>
          <w:tcPr>
            <w:tcW w:w="1955" w:type="dxa"/>
            <w:vAlign w:val="top"/>
          </w:tcPr>
          <w:p w14:paraId="2D0EA7EA">
            <w:pPr>
              <w:rPr>
                <w:rFonts w:ascii="Arial"/>
                <w:sz w:val="21"/>
              </w:rPr>
            </w:pPr>
          </w:p>
        </w:tc>
      </w:tr>
      <w:tr w14:paraId="4E7D0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797" w:type="dxa"/>
            <w:vAlign w:val="top"/>
          </w:tcPr>
          <w:p w14:paraId="786EEF9F">
            <w:pPr>
              <w:rPr>
                <w:rFonts w:ascii="Arial"/>
                <w:sz w:val="21"/>
              </w:rPr>
            </w:pPr>
          </w:p>
        </w:tc>
        <w:tc>
          <w:tcPr>
            <w:tcW w:w="944" w:type="dxa"/>
            <w:vAlign w:val="top"/>
          </w:tcPr>
          <w:p w14:paraId="6DFEFE9A">
            <w:pPr>
              <w:rPr>
                <w:rFonts w:ascii="Arial"/>
                <w:sz w:val="21"/>
              </w:rPr>
            </w:pPr>
          </w:p>
        </w:tc>
        <w:tc>
          <w:tcPr>
            <w:tcW w:w="944" w:type="dxa"/>
            <w:vAlign w:val="top"/>
          </w:tcPr>
          <w:p w14:paraId="5D3E81A3">
            <w:pPr>
              <w:rPr>
                <w:rFonts w:ascii="Arial"/>
                <w:sz w:val="21"/>
              </w:rPr>
            </w:pPr>
          </w:p>
        </w:tc>
        <w:tc>
          <w:tcPr>
            <w:tcW w:w="2338" w:type="dxa"/>
            <w:vAlign w:val="top"/>
          </w:tcPr>
          <w:p w14:paraId="705A92E8">
            <w:pPr>
              <w:rPr>
                <w:rFonts w:ascii="Arial"/>
                <w:sz w:val="21"/>
              </w:rPr>
            </w:pPr>
          </w:p>
        </w:tc>
        <w:tc>
          <w:tcPr>
            <w:tcW w:w="1404" w:type="dxa"/>
            <w:vAlign w:val="top"/>
          </w:tcPr>
          <w:p w14:paraId="5CD2038D">
            <w:pPr>
              <w:rPr>
                <w:rFonts w:ascii="Arial"/>
                <w:sz w:val="21"/>
              </w:rPr>
            </w:pPr>
          </w:p>
        </w:tc>
        <w:tc>
          <w:tcPr>
            <w:tcW w:w="1955" w:type="dxa"/>
            <w:vAlign w:val="top"/>
          </w:tcPr>
          <w:p w14:paraId="278B4D54">
            <w:pPr>
              <w:rPr>
                <w:rFonts w:ascii="Arial"/>
                <w:sz w:val="21"/>
              </w:rPr>
            </w:pPr>
          </w:p>
        </w:tc>
      </w:tr>
      <w:tr w14:paraId="27B06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97" w:type="dxa"/>
            <w:vAlign w:val="top"/>
          </w:tcPr>
          <w:p w14:paraId="5A038718">
            <w:pPr>
              <w:rPr>
                <w:rFonts w:ascii="Arial"/>
                <w:sz w:val="21"/>
              </w:rPr>
            </w:pPr>
          </w:p>
        </w:tc>
        <w:tc>
          <w:tcPr>
            <w:tcW w:w="944" w:type="dxa"/>
            <w:vAlign w:val="top"/>
          </w:tcPr>
          <w:p w14:paraId="0A0F6600">
            <w:pPr>
              <w:rPr>
                <w:rFonts w:ascii="Arial"/>
                <w:sz w:val="21"/>
              </w:rPr>
            </w:pPr>
          </w:p>
        </w:tc>
        <w:tc>
          <w:tcPr>
            <w:tcW w:w="944" w:type="dxa"/>
            <w:vAlign w:val="top"/>
          </w:tcPr>
          <w:p w14:paraId="20298A97">
            <w:pPr>
              <w:rPr>
                <w:rFonts w:ascii="Arial"/>
                <w:sz w:val="21"/>
              </w:rPr>
            </w:pPr>
          </w:p>
        </w:tc>
        <w:tc>
          <w:tcPr>
            <w:tcW w:w="2338" w:type="dxa"/>
            <w:vAlign w:val="top"/>
          </w:tcPr>
          <w:p w14:paraId="2352C33E">
            <w:pPr>
              <w:rPr>
                <w:rFonts w:ascii="Arial"/>
                <w:sz w:val="21"/>
              </w:rPr>
            </w:pPr>
          </w:p>
        </w:tc>
        <w:tc>
          <w:tcPr>
            <w:tcW w:w="1404" w:type="dxa"/>
            <w:vAlign w:val="top"/>
          </w:tcPr>
          <w:p w14:paraId="04CEE2CE">
            <w:pPr>
              <w:rPr>
                <w:rFonts w:ascii="Arial"/>
                <w:sz w:val="21"/>
              </w:rPr>
            </w:pPr>
          </w:p>
        </w:tc>
        <w:tc>
          <w:tcPr>
            <w:tcW w:w="1955" w:type="dxa"/>
            <w:vAlign w:val="top"/>
          </w:tcPr>
          <w:p w14:paraId="00185801">
            <w:pPr>
              <w:rPr>
                <w:rFonts w:ascii="Arial"/>
                <w:sz w:val="21"/>
              </w:rPr>
            </w:pPr>
          </w:p>
        </w:tc>
      </w:tr>
      <w:tr w14:paraId="7FA3D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797" w:type="dxa"/>
            <w:vAlign w:val="top"/>
          </w:tcPr>
          <w:p w14:paraId="7F7080D7">
            <w:pPr>
              <w:rPr>
                <w:rFonts w:ascii="Arial"/>
                <w:sz w:val="21"/>
              </w:rPr>
            </w:pPr>
          </w:p>
        </w:tc>
        <w:tc>
          <w:tcPr>
            <w:tcW w:w="944" w:type="dxa"/>
            <w:vAlign w:val="top"/>
          </w:tcPr>
          <w:p w14:paraId="4A7BB727">
            <w:pPr>
              <w:rPr>
                <w:rFonts w:ascii="Arial"/>
                <w:sz w:val="21"/>
              </w:rPr>
            </w:pPr>
          </w:p>
        </w:tc>
        <w:tc>
          <w:tcPr>
            <w:tcW w:w="944" w:type="dxa"/>
            <w:vAlign w:val="top"/>
          </w:tcPr>
          <w:p w14:paraId="7374CA4D">
            <w:pPr>
              <w:rPr>
                <w:rFonts w:ascii="Arial"/>
                <w:sz w:val="21"/>
              </w:rPr>
            </w:pPr>
          </w:p>
        </w:tc>
        <w:tc>
          <w:tcPr>
            <w:tcW w:w="2338" w:type="dxa"/>
            <w:vAlign w:val="top"/>
          </w:tcPr>
          <w:p w14:paraId="74D19F81">
            <w:pPr>
              <w:rPr>
                <w:rFonts w:ascii="Arial"/>
                <w:sz w:val="21"/>
              </w:rPr>
            </w:pPr>
          </w:p>
        </w:tc>
        <w:tc>
          <w:tcPr>
            <w:tcW w:w="1404" w:type="dxa"/>
            <w:vAlign w:val="top"/>
          </w:tcPr>
          <w:p w14:paraId="6C7B7C86">
            <w:pPr>
              <w:rPr>
                <w:rFonts w:ascii="Arial"/>
                <w:sz w:val="21"/>
              </w:rPr>
            </w:pPr>
          </w:p>
        </w:tc>
        <w:tc>
          <w:tcPr>
            <w:tcW w:w="1955" w:type="dxa"/>
            <w:vAlign w:val="top"/>
          </w:tcPr>
          <w:p w14:paraId="7AF00A21">
            <w:pPr>
              <w:rPr>
                <w:rFonts w:ascii="Arial"/>
                <w:sz w:val="21"/>
              </w:rPr>
            </w:pPr>
          </w:p>
        </w:tc>
      </w:tr>
      <w:tr w14:paraId="3ACE3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97" w:type="dxa"/>
            <w:vAlign w:val="top"/>
          </w:tcPr>
          <w:p w14:paraId="4F7165F3">
            <w:pPr>
              <w:rPr>
                <w:rFonts w:ascii="Arial"/>
                <w:sz w:val="21"/>
              </w:rPr>
            </w:pPr>
          </w:p>
        </w:tc>
        <w:tc>
          <w:tcPr>
            <w:tcW w:w="944" w:type="dxa"/>
            <w:vAlign w:val="top"/>
          </w:tcPr>
          <w:p w14:paraId="1D18BEB1">
            <w:pPr>
              <w:rPr>
                <w:rFonts w:ascii="Arial"/>
                <w:sz w:val="21"/>
              </w:rPr>
            </w:pPr>
          </w:p>
        </w:tc>
        <w:tc>
          <w:tcPr>
            <w:tcW w:w="944" w:type="dxa"/>
            <w:vAlign w:val="top"/>
          </w:tcPr>
          <w:p w14:paraId="1615FAFD">
            <w:pPr>
              <w:rPr>
                <w:rFonts w:ascii="Arial"/>
                <w:sz w:val="21"/>
              </w:rPr>
            </w:pPr>
          </w:p>
        </w:tc>
        <w:tc>
          <w:tcPr>
            <w:tcW w:w="2338" w:type="dxa"/>
            <w:vAlign w:val="top"/>
          </w:tcPr>
          <w:p w14:paraId="210FEE18">
            <w:pPr>
              <w:rPr>
                <w:rFonts w:ascii="Arial"/>
                <w:sz w:val="21"/>
              </w:rPr>
            </w:pPr>
          </w:p>
        </w:tc>
        <w:tc>
          <w:tcPr>
            <w:tcW w:w="1404" w:type="dxa"/>
            <w:vAlign w:val="top"/>
          </w:tcPr>
          <w:p w14:paraId="7E536982">
            <w:pPr>
              <w:rPr>
                <w:rFonts w:ascii="Arial"/>
                <w:sz w:val="21"/>
              </w:rPr>
            </w:pPr>
          </w:p>
        </w:tc>
        <w:tc>
          <w:tcPr>
            <w:tcW w:w="1955" w:type="dxa"/>
            <w:vAlign w:val="top"/>
          </w:tcPr>
          <w:p w14:paraId="1EEEACFB">
            <w:pPr>
              <w:rPr>
                <w:rFonts w:ascii="Arial"/>
                <w:sz w:val="21"/>
              </w:rPr>
            </w:pPr>
          </w:p>
        </w:tc>
      </w:tr>
    </w:tbl>
    <w:p w14:paraId="32227351">
      <w:pPr>
        <w:pStyle w:val="12"/>
      </w:pPr>
    </w:p>
    <w:p w14:paraId="1928F16B">
      <w:pPr>
        <w:sectPr>
          <w:footerReference r:id="rId17" w:type="default"/>
          <w:pgSz w:w="11907" w:h="16840"/>
          <w:pgMar w:top="1431" w:right="1744" w:bottom="1014" w:left="1775" w:header="0" w:footer="852" w:gutter="0"/>
          <w:pgBorders>
            <w:top w:val="none" w:sz="0" w:space="0"/>
            <w:left w:val="none" w:sz="0" w:space="0"/>
            <w:bottom w:val="none" w:sz="0" w:space="0"/>
            <w:right w:val="none" w:sz="0" w:space="0"/>
          </w:pgBorders>
          <w:pgNumType w:fmt="decimal"/>
          <w:cols w:space="720" w:num="1"/>
        </w:sectPr>
      </w:pPr>
    </w:p>
    <w:p w14:paraId="37C5B36E">
      <w:pPr>
        <w:spacing w:before="101" w:line="228" w:lineRule="auto"/>
        <w:ind w:left="132"/>
        <w:rPr>
          <w:rFonts w:ascii="仿宋" w:hAnsi="仿宋" w:eastAsia="仿宋" w:cs="仿宋"/>
          <w:sz w:val="30"/>
          <w:szCs w:val="30"/>
        </w:rPr>
      </w:pPr>
      <w:r>
        <w:rPr>
          <w:rFonts w:ascii="仿宋" w:hAnsi="仿宋" w:eastAsia="仿宋" w:cs="仿宋"/>
          <w:spacing w:val="-1"/>
          <w:sz w:val="31"/>
          <w:szCs w:val="31"/>
          <w14:textOutline w14:w="5793" w14:cap="sq" w14:cmpd="sng">
            <w14:solidFill>
              <w14:srgbClr w14:val="000000"/>
            </w14:solidFill>
            <w14:prstDash w14:val="solid"/>
            <w14:bevel/>
          </w14:textOutline>
        </w:rPr>
        <w:t>八</w:t>
      </w:r>
      <w:r>
        <w:rPr>
          <w:rFonts w:ascii="仿宋" w:hAnsi="仿宋" w:eastAsia="仿宋" w:cs="仿宋"/>
          <w:spacing w:val="-1"/>
          <w:sz w:val="30"/>
          <w:szCs w:val="30"/>
          <w14:textOutline w14:w="5448" w14:cap="sq" w14:cmpd="sng">
            <w14:solidFill>
              <w14:srgbClr w14:val="000000"/>
            </w14:solidFill>
            <w14:prstDash w14:val="solid"/>
            <w14:bevel/>
          </w14:textOutline>
        </w:rPr>
        <w:t>、技术偏离表（格式）</w:t>
      </w:r>
    </w:p>
    <w:p w14:paraId="38B3264A">
      <w:pPr>
        <w:spacing w:before="289" w:line="223" w:lineRule="auto"/>
        <w:ind w:left="3583"/>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技术偏离表</w:t>
      </w:r>
    </w:p>
    <w:p w14:paraId="0157D4E7">
      <w:pPr>
        <w:keepNext w:val="0"/>
        <w:keepLines w:val="0"/>
        <w:pageBreakBefore w:val="0"/>
        <w:widowControl w:val="0"/>
        <w:kinsoku/>
        <w:wordWrap/>
        <w:overflowPunct/>
        <w:topLinePunct w:val="0"/>
        <w:autoSpaceDE/>
        <w:autoSpaceDN/>
        <w:bidi w:val="0"/>
        <w:adjustRightInd/>
        <w:snapToGrid/>
        <w:spacing w:before="71" w:line="360" w:lineRule="auto"/>
        <w:ind w:left="29" w:right="56" w:firstLine="472"/>
        <w:textAlignment w:val="auto"/>
        <w:rPr>
          <w:rFonts w:hint="eastAsia" w:ascii="宋体" w:hAnsi="宋体" w:eastAsia="宋体" w:cs="宋体"/>
          <w:b w:val="0"/>
          <w:bCs w:val="0"/>
          <w:spacing w:val="-3"/>
          <w:sz w:val="28"/>
          <w:szCs w:val="28"/>
        </w:rPr>
      </w:pPr>
      <w:r>
        <w:rPr>
          <w:rFonts w:hint="eastAsia" w:ascii="宋体" w:hAnsi="宋体" w:eastAsia="宋体" w:cs="宋体"/>
          <w:b w:val="0"/>
          <w:bCs w:val="0"/>
          <w:spacing w:val="-3"/>
          <w:sz w:val="28"/>
          <w:szCs w:val="28"/>
        </w:rPr>
        <w:t>经过认真研究本项目磋商文件中所列技术要求，我方确认，除下列偏离表所列情况外，我方响应情况全部为“ 符合”。</w:t>
      </w:r>
    </w:p>
    <w:tbl>
      <w:tblPr>
        <w:tblStyle w:val="96"/>
        <w:tblW w:w="85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4"/>
        <w:gridCol w:w="961"/>
        <w:gridCol w:w="2049"/>
        <w:gridCol w:w="1677"/>
        <w:gridCol w:w="1213"/>
        <w:gridCol w:w="2146"/>
      </w:tblGrid>
      <w:tr w14:paraId="7670C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trPr>
        <w:tc>
          <w:tcPr>
            <w:tcW w:w="474" w:type="dxa"/>
            <w:textDirection w:val="tbRlV"/>
            <w:vAlign w:val="top"/>
          </w:tcPr>
          <w:p w14:paraId="665B7EBD">
            <w:pPr>
              <w:pStyle w:val="95"/>
              <w:spacing w:before="130" w:line="209" w:lineRule="auto"/>
              <w:ind w:left="443"/>
              <w:rPr>
                <w:rFonts w:hint="eastAsia" w:ascii="宋体" w:hAnsi="宋体" w:eastAsia="宋体" w:cs="宋体"/>
                <w:sz w:val="28"/>
                <w:szCs w:val="28"/>
              </w:rPr>
            </w:pPr>
            <w:r>
              <w:rPr>
                <w:rFonts w:hint="eastAsia" w:ascii="宋体" w:hAnsi="宋体" w:eastAsia="宋体" w:cs="宋体"/>
                <w:spacing w:val="13"/>
                <w:sz w:val="28"/>
                <w:szCs w:val="28"/>
              </w:rPr>
              <w:t>序</w:t>
            </w:r>
            <w:r>
              <w:rPr>
                <w:rFonts w:hint="eastAsia" w:ascii="宋体" w:hAnsi="宋体" w:eastAsia="宋体" w:cs="宋体"/>
                <w:spacing w:val="-40"/>
                <w:sz w:val="28"/>
                <w:szCs w:val="28"/>
              </w:rPr>
              <w:t xml:space="preserve"> </w:t>
            </w:r>
            <w:r>
              <w:rPr>
                <w:rFonts w:hint="eastAsia" w:ascii="宋体" w:hAnsi="宋体" w:eastAsia="宋体" w:cs="宋体"/>
                <w:spacing w:val="13"/>
                <w:sz w:val="28"/>
                <w:szCs w:val="28"/>
              </w:rPr>
              <w:t>号</w:t>
            </w:r>
          </w:p>
        </w:tc>
        <w:tc>
          <w:tcPr>
            <w:tcW w:w="961" w:type="dxa"/>
            <w:vAlign w:val="top"/>
          </w:tcPr>
          <w:p w14:paraId="16354510">
            <w:pPr>
              <w:spacing w:line="256" w:lineRule="auto"/>
              <w:rPr>
                <w:rFonts w:hint="eastAsia" w:ascii="宋体" w:hAnsi="宋体" w:eastAsia="宋体" w:cs="宋体"/>
                <w:sz w:val="28"/>
                <w:szCs w:val="28"/>
              </w:rPr>
            </w:pPr>
          </w:p>
          <w:p w14:paraId="13F6A1FA">
            <w:pPr>
              <w:spacing w:line="256" w:lineRule="auto"/>
              <w:rPr>
                <w:rFonts w:hint="eastAsia" w:ascii="宋体" w:hAnsi="宋体" w:eastAsia="宋体" w:cs="宋体"/>
                <w:sz w:val="28"/>
                <w:szCs w:val="28"/>
              </w:rPr>
            </w:pPr>
          </w:p>
          <w:p w14:paraId="5584BE4A">
            <w:pPr>
              <w:pStyle w:val="95"/>
              <w:spacing w:before="65" w:line="229" w:lineRule="auto"/>
              <w:ind w:left="282"/>
              <w:rPr>
                <w:rFonts w:hint="eastAsia" w:ascii="宋体" w:hAnsi="宋体" w:eastAsia="宋体" w:cs="宋体"/>
                <w:sz w:val="28"/>
                <w:szCs w:val="28"/>
              </w:rPr>
            </w:pPr>
            <w:r>
              <w:rPr>
                <w:rFonts w:hint="eastAsia" w:ascii="宋体" w:hAnsi="宋体" w:eastAsia="宋体" w:cs="宋体"/>
                <w:spacing w:val="1"/>
                <w:sz w:val="28"/>
                <w:szCs w:val="28"/>
              </w:rPr>
              <w:t>名称</w:t>
            </w:r>
          </w:p>
        </w:tc>
        <w:tc>
          <w:tcPr>
            <w:tcW w:w="2049" w:type="dxa"/>
            <w:vAlign w:val="top"/>
          </w:tcPr>
          <w:p w14:paraId="3F36C1E6">
            <w:pPr>
              <w:spacing w:line="375" w:lineRule="auto"/>
              <w:rPr>
                <w:rFonts w:hint="eastAsia" w:ascii="宋体" w:hAnsi="宋体" w:eastAsia="宋体" w:cs="宋体"/>
                <w:sz w:val="28"/>
                <w:szCs w:val="28"/>
              </w:rPr>
            </w:pPr>
          </w:p>
          <w:p w14:paraId="2012DC70">
            <w:pPr>
              <w:pStyle w:val="95"/>
              <w:spacing w:before="65" w:line="242" w:lineRule="auto"/>
              <w:ind w:right="183"/>
              <w:rPr>
                <w:rFonts w:hint="eastAsia" w:ascii="宋体" w:hAnsi="宋体" w:eastAsia="宋体" w:cs="宋体"/>
                <w:sz w:val="28"/>
                <w:szCs w:val="28"/>
              </w:rPr>
            </w:pPr>
            <w:r>
              <w:rPr>
                <w:rFonts w:hint="eastAsia" w:ascii="宋体" w:hAnsi="宋体" w:eastAsia="宋体" w:cs="宋体"/>
                <w:spacing w:val="8"/>
                <w:sz w:val="28"/>
                <w:szCs w:val="28"/>
              </w:rPr>
              <w:t>磋商文件的技术要</w:t>
            </w:r>
            <w:r>
              <w:rPr>
                <w:rFonts w:hint="eastAsia" w:ascii="宋体" w:hAnsi="宋体" w:eastAsia="宋体" w:cs="宋体"/>
                <w:sz w:val="28"/>
                <w:szCs w:val="28"/>
              </w:rPr>
              <w:t xml:space="preserve"> 求</w:t>
            </w:r>
          </w:p>
        </w:tc>
        <w:tc>
          <w:tcPr>
            <w:tcW w:w="1677" w:type="dxa"/>
            <w:vAlign w:val="top"/>
          </w:tcPr>
          <w:p w14:paraId="301DDA3E">
            <w:pPr>
              <w:spacing w:line="375" w:lineRule="auto"/>
              <w:rPr>
                <w:rFonts w:hint="eastAsia" w:ascii="宋体" w:hAnsi="宋体" w:eastAsia="宋体" w:cs="宋体"/>
                <w:sz w:val="28"/>
                <w:szCs w:val="28"/>
              </w:rPr>
            </w:pPr>
          </w:p>
          <w:p w14:paraId="21B8F4F2">
            <w:pPr>
              <w:pStyle w:val="95"/>
              <w:spacing w:before="65" w:line="242" w:lineRule="auto"/>
              <w:ind w:right="207"/>
              <w:rPr>
                <w:rFonts w:hint="eastAsia" w:ascii="宋体" w:hAnsi="宋体" w:eastAsia="宋体" w:cs="宋体"/>
                <w:sz w:val="28"/>
                <w:szCs w:val="28"/>
              </w:rPr>
            </w:pPr>
            <w:r>
              <w:rPr>
                <w:rFonts w:hint="eastAsia" w:ascii="宋体" w:hAnsi="宋体" w:eastAsia="宋体" w:cs="宋体"/>
                <w:spacing w:val="6"/>
                <w:sz w:val="28"/>
                <w:szCs w:val="28"/>
              </w:rPr>
              <w:t>响应文件的技</w:t>
            </w:r>
            <w:r>
              <w:rPr>
                <w:rFonts w:hint="eastAsia" w:ascii="宋体" w:hAnsi="宋体" w:eastAsia="宋体" w:cs="宋体"/>
                <w:spacing w:val="4"/>
                <w:sz w:val="28"/>
                <w:szCs w:val="28"/>
              </w:rPr>
              <w:t>术响应</w:t>
            </w:r>
          </w:p>
        </w:tc>
        <w:tc>
          <w:tcPr>
            <w:tcW w:w="1213" w:type="dxa"/>
            <w:vAlign w:val="top"/>
          </w:tcPr>
          <w:p w14:paraId="74245DD9">
            <w:pPr>
              <w:spacing w:line="255" w:lineRule="auto"/>
              <w:rPr>
                <w:rFonts w:hint="eastAsia" w:ascii="宋体" w:hAnsi="宋体" w:eastAsia="宋体" w:cs="宋体"/>
                <w:sz w:val="28"/>
                <w:szCs w:val="28"/>
              </w:rPr>
            </w:pPr>
          </w:p>
          <w:p w14:paraId="48A9D37C">
            <w:pPr>
              <w:spacing w:line="256" w:lineRule="auto"/>
              <w:rPr>
                <w:rFonts w:hint="eastAsia" w:ascii="宋体" w:hAnsi="宋体" w:eastAsia="宋体" w:cs="宋体"/>
                <w:sz w:val="28"/>
                <w:szCs w:val="28"/>
              </w:rPr>
            </w:pPr>
          </w:p>
          <w:p w14:paraId="2F476862">
            <w:pPr>
              <w:pStyle w:val="95"/>
              <w:spacing w:before="65" w:line="231" w:lineRule="auto"/>
              <w:rPr>
                <w:rFonts w:hint="eastAsia" w:ascii="宋体" w:hAnsi="宋体" w:eastAsia="宋体" w:cs="宋体"/>
                <w:sz w:val="28"/>
                <w:szCs w:val="28"/>
              </w:rPr>
            </w:pPr>
            <w:r>
              <w:rPr>
                <w:rFonts w:hint="eastAsia" w:ascii="宋体" w:hAnsi="宋体" w:eastAsia="宋体" w:cs="宋体"/>
                <w:spacing w:val="5"/>
                <w:sz w:val="28"/>
                <w:szCs w:val="28"/>
              </w:rPr>
              <w:t>差异说明</w:t>
            </w:r>
          </w:p>
        </w:tc>
        <w:tc>
          <w:tcPr>
            <w:tcW w:w="2146" w:type="dxa"/>
            <w:vAlign w:val="top"/>
          </w:tcPr>
          <w:p w14:paraId="57F76225">
            <w:pPr>
              <w:pStyle w:val="95"/>
              <w:spacing w:before="37" w:line="246" w:lineRule="auto"/>
              <w:ind w:left="132" w:right="107" w:hanging="10"/>
              <w:jc w:val="left"/>
              <w:rPr>
                <w:rFonts w:hint="eastAsia" w:ascii="宋体" w:hAnsi="宋体" w:eastAsia="宋体" w:cs="宋体"/>
                <w:sz w:val="28"/>
                <w:szCs w:val="28"/>
              </w:rPr>
            </w:pPr>
            <w:r>
              <w:rPr>
                <w:rFonts w:hint="eastAsia" w:ascii="宋体" w:hAnsi="宋体" w:eastAsia="宋体" w:cs="宋体"/>
                <w:spacing w:val="6"/>
                <w:sz w:val="28"/>
                <w:szCs w:val="28"/>
              </w:rPr>
              <w:t>备注：可以填写 相关证明材料在响应文件中的具体位置（页码）</w:t>
            </w:r>
          </w:p>
        </w:tc>
      </w:tr>
      <w:tr w14:paraId="3BB48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trPr>
        <w:tc>
          <w:tcPr>
            <w:tcW w:w="474" w:type="dxa"/>
            <w:vAlign w:val="top"/>
          </w:tcPr>
          <w:p w14:paraId="614B27D4">
            <w:pPr>
              <w:spacing w:before="55" w:line="188" w:lineRule="auto"/>
              <w:ind w:left="132"/>
              <w:rPr>
                <w:rFonts w:hint="eastAsia" w:ascii="宋体" w:hAnsi="宋体" w:eastAsia="宋体" w:cs="宋体"/>
                <w:sz w:val="28"/>
                <w:szCs w:val="28"/>
              </w:rPr>
            </w:pPr>
            <w:r>
              <w:rPr>
                <w:rFonts w:hint="eastAsia" w:ascii="宋体" w:hAnsi="宋体" w:eastAsia="宋体" w:cs="宋体"/>
                <w:sz w:val="28"/>
                <w:szCs w:val="28"/>
              </w:rPr>
              <w:t>1</w:t>
            </w:r>
          </w:p>
        </w:tc>
        <w:tc>
          <w:tcPr>
            <w:tcW w:w="961" w:type="dxa"/>
            <w:vAlign w:val="top"/>
          </w:tcPr>
          <w:p w14:paraId="2EBA1FD7">
            <w:pPr>
              <w:spacing w:line="235" w:lineRule="exact"/>
              <w:rPr>
                <w:rFonts w:hint="eastAsia" w:ascii="宋体" w:hAnsi="宋体" w:eastAsia="宋体" w:cs="宋体"/>
                <w:sz w:val="28"/>
                <w:szCs w:val="28"/>
              </w:rPr>
            </w:pPr>
          </w:p>
        </w:tc>
        <w:tc>
          <w:tcPr>
            <w:tcW w:w="2049" w:type="dxa"/>
            <w:vAlign w:val="top"/>
          </w:tcPr>
          <w:p w14:paraId="7AF1891C">
            <w:pPr>
              <w:spacing w:line="235" w:lineRule="exact"/>
              <w:rPr>
                <w:rFonts w:hint="eastAsia" w:ascii="宋体" w:hAnsi="宋体" w:eastAsia="宋体" w:cs="宋体"/>
                <w:sz w:val="28"/>
                <w:szCs w:val="28"/>
              </w:rPr>
            </w:pPr>
          </w:p>
        </w:tc>
        <w:tc>
          <w:tcPr>
            <w:tcW w:w="1677" w:type="dxa"/>
            <w:vAlign w:val="top"/>
          </w:tcPr>
          <w:p w14:paraId="1154ADBE">
            <w:pPr>
              <w:spacing w:line="235" w:lineRule="exact"/>
              <w:rPr>
                <w:rFonts w:hint="eastAsia" w:ascii="宋体" w:hAnsi="宋体" w:eastAsia="宋体" w:cs="宋体"/>
                <w:sz w:val="28"/>
                <w:szCs w:val="28"/>
              </w:rPr>
            </w:pPr>
          </w:p>
        </w:tc>
        <w:tc>
          <w:tcPr>
            <w:tcW w:w="1213" w:type="dxa"/>
            <w:vAlign w:val="top"/>
          </w:tcPr>
          <w:p w14:paraId="6043D58A">
            <w:pPr>
              <w:spacing w:line="235" w:lineRule="exact"/>
              <w:rPr>
                <w:rFonts w:hint="eastAsia" w:ascii="宋体" w:hAnsi="宋体" w:eastAsia="宋体" w:cs="宋体"/>
                <w:sz w:val="28"/>
                <w:szCs w:val="28"/>
              </w:rPr>
            </w:pPr>
          </w:p>
        </w:tc>
        <w:tc>
          <w:tcPr>
            <w:tcW w:w="2146" w:type="dxa"/>
            <w:vAlign w:val="top"/>
          </w:tcPr>
          <w:p w14:paraId="4773B7C3">
            <w:pPr>
              <w:spacing w:line="235" w:lineRule="exact"/>
              <w:rPr>
                <w:rFonts w:hint="eastAsia" w:ascii="宋体" w:hAnsi="宋体" w:eastAsia="宋体" w:cs="宋体"/>
                <w:sz w:val="28"/>
                <w:szCs w:val="28"/>
              </w:rPr>
            </w:pPr>
          </w:p>
        </w:tc>
      </w:tr>
      <w:tr w14:paraId="1462D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trPr>
        <w:tc>
          <w:tcPr>
            <w:tcW w:w="474" w:type="dxa"/>
            <w:vAlign w:val="top"/>
          </w:tcPr>
          <w:p w14:paraId="1E0F7974">
            <w:pPr>
              <w:spacing w:before="54" w:line="189" w:lineRule="auto"/>
              <w:ind w:left="112"/>
              <w:rPr>
                <w:rFonts w:hint="eastAsia" w:ascii="宋体" w:hAnsi="宋体" w:eastAsia="宋体" w:cs="宋体"/>
                <w:sz w:val="28"/>
                <w:szCs w:val="28"/>
              </w:rPr>
            </w:pPr>
            <w:r>
              <w:rPr>
                <w:rFonts w:hint="eastAsia" w:ascii="宋体" w:hAnsi="宋体" w:eastAsia="宋体" w:cs="宋体"/>
                <w:sz w:val="28"/>
                <w:szCs w:val="28"/>
              </w:rPr>
              <w:t>2</w:t>
            </w:r>
          </w:p>
        </w:tc>
        <w:tc>
          <w:tcPr>
            <w:tcW w:w="961" w:type="dxa"/>
            <w:vAlign w:val="top"/>
          </w:tcPr>
          <w:p w14:paraId="044960D2">
            <w:pPr>
              <w:spacing w:line="235" w:lineRule="exact"/>
              <w:rPr>
                <w:rFonts w:hint="eastAsia" w:ascii="宋体" w:hAnsi="宋体" w:eastAsia="宋体" w:cs="宋体"/>
                <w:sz w:val="28"/>
                <w:szCs w:val="28"/>
              </w:rPr>
            </w:pPr>
          </w:p>
        </w:tc>
        <w:tc>
          <w:tcPr>
            <w:tcW w:w="2049" w:type="dxa"/>
            <w:vAlign w:val="top"/>
          </w:tcPr>
          <w:p w14:paraId="44713678">
            <w:pPr>
              <w:spacing w:line="235" w:lineRule="exact"/>
              <w:rPr>
                <w:rFonts w:hint="eastAsia" w:ascii="宋体" w:hAnsi="宋体" w:eastAsia="宋体" w:cs="宋体"/>
                <w:sz w:val="28"/>
                <w:szCs w:val="28"/>
              </w:rPr>
            </w:pPr>
          </w:p>
        </w:tc>
        <w:tc>
          <w:tcPr>
            <w:tcW w:w="1677" w:type="dxa"/>
            <w:vAlign w:val="top"/>
          </w:tcPr>
          <w:p w14:paraId="7962E0FB">
            <w:pPr>
              <w:spacing w:line="235" w:lineRule="exact"/>
              <w:rPr>
                <w:rFonts w:hint="eastAsia" w:ascii="宋体" w:hAnsi="宋体" w:eastAsia="宋体" w:cs="宋体"/>
                <w:sz w:val="28"/>
                <w:szCs w:val="28"/>
              </w:rPr>
            </w:pPr>
          </w:p>
        </w:tc>
        <w:tc>
          <w:tcPr>
            <w:tcW w:w="1213" w:type="dxa"/>
            <w:vAlign w:val="top"/>
          </w:tcPr>
          <w:p w14:paraId="4F6D9F12">
            <w:pPr>
              <w:spacing w:line="235" w:lineRule="exact"/>
              <w:rPr>
                <w:rFonts w:hint="eastAsia" w:ascii="宋体" w:hAnsi="宋体" w:eastAsia="宋体" w:cs="宋体"/>
                <w:sz w:val="28"/>
                <w:szCs w:val="28"/>
              </w:rPr>
            </w:pPr>
          </w:p>
        </w:tc>
        <w:tc>
          <w:tcPr>
            <w:tcW w:w="2146" w:type="dxa"/>
            <w:vAlign w:val="top"/>
          </w:tcPr>
          <w:p w14:paraId="2BDCE4B1">
            <w:pPr>
              <w:spacing w:line="235" w:lineRule="exact"/>
              <w:rPr>
                <w:rFonts w:hint="eastAsia" w:ascii="宋体" w:hAnsi="宋体" w:eastAsia="宋体" w:cs="宋体"/>
                <w:sz w:val="28"/>
                <w:szCs w:val="28"/>
              </w:rPr>
            </w:pPr>
          </w:p>
        </w:tc>
      </w:tr>
      <w:tr w14:paraId="44D13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trPr>
        <w:tc>
          <w:tcPr>
            <w:tcW w:w="474" w:type="dxa"/>
            <w:vAlign w:val="top"/>
          </w:tcPr>
          <w:p w14:paraId="137325BE">
            <w:pPr>
              <w:spacing w:before="55" w:line="189" w:lineRule="auto"/>
              <w:ind w:left="116"/>
              <w:rPr>
                <w:rFonts w:hint="eastAsia" w:ascii="宋体" w:hAnsi="宋体" w:eastAsia="宋体" w:cs="宋体"/>
                <w:sz w:val="28"/>
                <w:szCs w:val="28"/>
              </w:rPr>
            </w:pPr>
            <w:r>
              <w:rPr>
                <w:rFonts w:hint="eastAsia" w:ascii="宋体" w:hAnsi="宋体" w:eastAsia="宋体" w:cs="宋体"/>
                <w:sz w:val="28"/>
                <w:szCs w:val="28"/>
              </w:rPr>
              <w:t>3</w:t>
            </w:r>
          </w:p>
        </w:tc>
        <w:tc>
          <w:tcPr>
            <w:tcW w:w="961" w:type="dxa"/>
            <w:vAlign w:val="top"/>
          </w:tcPr>
          <w:p w14:paraId="7B207423">
            <w:pPr>
              <w:spacing w:line="236" w:lineRule="exact"/>
              <w:rPr>
                <w:rFonts w:hint="eastAsia" w:ascii="宋体" w:hAnsi="宋体" w:eastAsia="宋体" w:cs="宋体"/>
                <w:sz w:val="28"/>
                <w:szCs w:val="28"/>
              </w:rPr>
            </w:pPr>
          </w:p>
        </w:tc>
        <w:tc>
          <w:tcPr>
            <w:tcW w:w="2049" w:type="dxa"/>
            <w:vAlign w:val="top"/>
          </w:tcPr>
          <w:p w14:paraId="312C5B20">
            <w:pPr>
              <w:spacing w:line="236" w:lineRule="exact"/>
              <w:rPr>
                <w:rFonts w:hint="eastAsia" w:ascii="宋体" w:hAnsi="宋体" w:eastAsia="宋体" w:cs="宋体"/>
                <w:sz w:val="28"/>
                <w:szCs w:val="28"/>
              </w:rPr>
            </w:pPr>
          </w:p>
        </w:tc>
        <w:tc>
          <w:tcPr>
            <w:tcW w:w="1677" w:type="dxa"/>
            <w:vAlign w:val="top"/>
          </w:tcPr>
          <w:p w14:paraId="55AC0E53">
            <w:pPr>
              <w:spacing w:line="236" w:lineRule="exact"/>
              <w:rPr>
                <w:rFonts w:hint="eastAsia" w:ascii="宋体" w:hAnsi="宋体" w:eastAsia="宋体" w:cs="宋体"/>
                <w:sz w:val="28"/>
                <w:szCs w:val="28"/>
              </w:rPr>
            </w:pPr>
          </w:p>
        </w:tc>
        <w:tc>
          <w:tcPr>
            <w:tcW w:w="1213" w:type="dxa"/>
            <w:vAlign w:val="top"/>
          </w:tcPr>
          <w:p w14:paraId="62401C4C">
            <w:pPr>
              <w:spacing w:line="236" w:lineRule="exact"/>
              <w:rPr>
                <w:rFonts w:hint="eastAsia" w:ascii="宋体" w:hAnsi="宋体" w:eastAsia="宋体" w:cs="宋体"/>
                <w:sz w:val="28"/>
                <w:szCs w:val="28"/>
              </w:rPr>
            </w:pPr>
          </w:p>
        </w:tc>
        <w:tc>
          <w:tcPr>
            <w:tcW w:w="2146" w:type="dxa"/>
            <w:vAlign w:val="top"/>
          </w:tcPr>
          <w:p w14:paraId="65F3897A">
            <w:pPr>
              <w:spacing w:line="236" w:lineRule="exact"/>
              <w:rPr>
                <w:rFonts w:hint="eastAsia" w:ascii="宋体" w:hAnsi="宋体" w:eastAsia="宋体" w:cs="宋体"/>
                <w:sz w:val="28"/>
                <w:szCs w:val="28"/>
              </w:rPr>
            </w:pPr>
          </w:p>
        </w:tc>
      </w:tr>
      <w:tr w14:paraId="5295B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474" w:type="dxa"/>
            <w:vAlign w:val="top"/>
          </w:tcPr>
          <w:p w14:paraId="4A334D0E">
            <w:pPr>
              <w:spacing w:before="178" w:line="56" w:lineRule="exact"/>
              <w:ind w:left="131"/>
              <w:rPr>
                <w:rFonts w:hint="eastAsia" w:ascii="宋体" w:hAnsi="宋体" w:eastAsia="宋体" w:cs="宋体"/>
                <w:sz w:val="28"/>
                <w:szCs w:val="28"/>
              </w:rPr>
            </w:pPr>
            <w:r>
              <w:rPr>
                <w:rFonts w:hint="eastAsia" w:ascii="宋体" w:hAnsi="宋体" w:eastAsia="宋体" w:cs="宋体"/>
                <w:position w:val="1"/>
                <w:sz w:val="28"/>
                <w:szCs w:val="28"/>
              </w:rPr>
              <w:t>…</w:t>
            </w:r>
          </w:p>
        </w:tc>
        <w:tc>
          <w:tcPr>
            <w:tcW w:w="961" w:type="dxa"/>
            <w:vAlign w:val="top"/>
          </w:tcPr>
          <w:p w14:paraId="42444F32">
            <w:pPr>
              <w:spacing w:line="235" w:lineRule="exact"/>
              <w:rPr>
                <w:rFonts w:hint="eastAsia" w:ascii="宋体" w:hAnsi="宋体" w:eastAsia="宋体" w:cs="宋体"/>
                <w:sz w:val="28"/>
                <w:szCs w:val="28"/>
              </w:rPr>
            </w:pPr>
          </w:p>
        </w:tc>
        <w:tc>
          <w:tcPr>
            <w:tcW w:w="2049" w:type="dxa"/>
            <w:vAlign w:val="top"/>
          </w:tcPr>
          <w:p w14:paraId="0D3C7452">
            <w:pPr>
              <w:spacing w:line="235" w:lineRule="exact"/>
              <w:rPr>
                <w:rFonts w:hint="eastAsia" w:ascii="宋体" w:hAnsi="宋体" w:eastAsia="宋体" w:cs="宋体"/>
                <w:sz w:val="28"/>
                <w:szCs w:val="28"/>
              </w:rPr>
            </w:pPr>
          </w:p>
        </w:tc>
        <w:tc>
          <w:tcPr>
            <w:tcW w:w="1677" w:type="dxa"/>
            <w:vAlign w:val="top"/>
          </w:tcPr>
          <w:p w14:paraId="1AC50456">
            <w:pPr>
              <w:spacing w:line="235" w:lineRule="exact"/>
              <w:rPr>
                <w:rFonts w:hint="eastAsia" w:ascii="宋体" w:hAnsi="宋体" w:eastAsia="宋体" w:cs="宋体"/>
                <w:sz w:val="28"/>
                <w:szCs w:val="28"/>
              </w:rPr>
            </w:pPr>
          </w:p>
        </w:tc>
        <w:tc>
          <w:tcPr>
            <w:tcW w:w="1213" w:type="dxa"/>
            <w:vAlign w:val="top"/>
          </w:tcPr>
          <w:p w14:paraId="35F7443B">
            <w:pPr>
              <w:spacing w:line="235" w:lineRule="exact"/>
              <w:rPr>
                <w:rFonts w:hint="eastAsia" w:ascii="宋体" w:hAnsi="宋体" w:eastAsia="宋体" w:cs="宋体"/>
                <w:sz w:val="28"/>
                <w:szCs w:val="28"/>
              </w:rPr>
            </w:pPr>
          </w:p>
        </w:tc>
        <w:tc>
          <w:tcPr>
            <w:tcW w:w="2146" w:type="dxa"/>
            <w:vAlign w:val="top"/>
          </w:tcPr>
          <w:p w14:paraId="13D0D4C1">
            <w:pPr>
              <w:spacing w:line="235" w:lineRule="exact"/>
              <w:rPr>
                <w:rFonts w:hint="eastAsia" w:ascii="宋体" w:hAnsi="宋体" w:eastAsia="宋体" w:cs="宋体"/>
                <w:sz w:val="28"/>
                <w:szCs w:val="28"/>
              </w:rPr>
            </w:pPr>
          </w:p>
        </w:tc>
      </w:tr>
      <w:tr w14:paraId="45D84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474" w:type="dxa"/>
            <w:vAlign w:val="top"/>
          </w:tcPr>
          <w:p w14:paraId="223F8A4E">
            <w:pPr>
              <w:spacing w:line="240" w:lineRule="exact"/>
              <w:rPr>
                <w:rFonts w:hint="eastAsia" w:ascii="宋体" w:hAnsi="宋体" w:eastAsia="宋体" w:cs="宋体"/>
                <w:sz w:val="28"/>
                <w:szCs w:val="28"/>
              </w:rPr>
            </w:pPr>
          </w:p>
        </w:tc>
        <w:tc>
          <w:tcPr>
            <w:tcW w:w="961" w:type="dxa"/>
            <w:vAlign w:val="top"/>
          </w:tcPr>
          <w:p w14:paraId="09D70FF7">
            <w:pPr>
              <w:spacing w:line="240" w:lineRule="exact"/>
              <w:rPr>
                <w:rFonts w:hint="eastAsia" w:ascii="宋体" w:hAnsi="宋体" w:eastAsia="宋体" w:cs="宋体"/>
                <w:sz w:val="28"/>
                <w:szCs w:val="28"/>
              </w:rPr>
            </w:pPr>
          </w:p>
        </w:tc>
        <w:tc>
          <w:tcPr>
            <w:tcW w:w="2049" w:type="dxa"/>
            <w:vAlign w:val="top"/>
          </w:tcPr>
          <w:p w14:paraId="52CF3CE8">
            <w:pPr>
              <w:spacing w:line="240" w:lineRule="exact"/>
              <w:rPr>
                <w:rFonts w:hint="eastAsia" w:ascii="宋体" w:hAnsi="宋体" w:eastAsia="宋体" w:cs="宋体"/>
                <w:sz w:val="28"/>
                <w:szCs w:val="28"/>
              </w:rPr>
            </w:pPr>
          </w:p>
        </w:tc>
        <w:tc>
          <w:tcPr>
            <w:tcW w:w="1677" w:type="dxa"/>
            <w:vAlign w:val="top"/>
          </w:tcPr>
          <w:p w14:paraId="25D00D11">
            <w:pPr>
              <w:spacing w:line="240" w:lineRule="exact"/>
              <w:rPr>
                <w:rFonts w:hint="eastAsia" w:ascii="宋体" w:hAnsi="宋体" w:eastAsia="宋体" w:cs="宋体"/>
                <w:sz w:val="28"/>
                <w:szCs w:val="28"/>
              </w:rPr>
            </w:pPr>
          </w:p>
        </w:tc>
        <w:tc>
          <w:tcPr>
            <w:tcW w:w="1213" w:type="dxa"/>
            <w:vAlign w:val="top"/>
          </w:tcPr>
          <w:p w14:paraId="0497C27C">
            <w:pPr>
              <w:spacing w:line="240" w:lineRule="exact"/>
              <w:rPr>
                <w:rFonts w:hint="eastAsia" w:ascii="宋体" w:hAnsi="宋体" w:eastAsia="宋体" w:cs="宋体"/>
                <w:sz w:val="28"/>
                <w:szCs w:val="28"/>
              </w:rPr>
            </w:pPr>
          </w:p>
        </w:tc>
        <w:tc>
          <w:tcPr>
            <w:tcW w:w="2146" w:type="dxa"/>
            <w:vAlign w:val="top"/>
          </w:tcPr>
          <w:p w14:paraId="1BA21A87">
            <w:pPr>
              <w:spacing w:line="240" w:lineRule="exact"/>
              <w:rPr>
                <w:rFonts w:hint="eastAsia" w:ascii="宋体" w:hAnsi="宋体" w:eastAsia="宋体" w:cs="宋体"/>
                <w:sz w:val="28"/>
                <w:szCs w:val="28"/>
              </w:rPr>
            </w:pPr>
          </w:p>
        </w:tc>
      </w:tr>
    </w:tbl>
    <w:p w14:paraId="6A4A96F5">
      <w:pPr>
        <w:pStyle w:val="12"/>
        <w:spacing w:line="327" w:lineRule="auto"/>
        <w:rPr>
          <w:rFonts w:hint="eastAsia" w:ascii="宋体" w:hAnsi="宋体" w:eastAsia="宋体" w:cs="宋体"/>
          <w:sz w:val="28"/>
          <w:szCs w:val="28"/>
        </w:rPr>
      </w:pPr>
    </w:p>
    <w:p w14:paraId="2FA464DB">
      <w:pPr>
        <w:keepNext w:val="0"/>
        <w:keepLines w:val="0"/>
        <w:pageBreakBefore w:val="0"/>
        <w:widowControl w:val="0"/>
        <w:kinsoku/>
        <w:wordWrap/>
        <w:overflowPunct/>
        <w:topLinePunct w:val="0"/>
        <w:autoSpaceDE/>
        <w:autoSpaceDN/>
        <w:bidi w:val="0"/>
        <w:adjustRightInd/>
        <w:snapToGrid/>
        <w:spacing w:before="71" w:line="360" w:lineRule="auto"/>
        <w:ind w:left="29" w:right="56" w:firstLine="472"/>
        <w:textAlignment w:val="auto"/>
        <w:rPr>
          <w:rFonts w:hint="eastAsia" w:ascii="宋体" w:hAnsi="宋体" w:eastAsia="宋体" w:cs="宋体"/>
          <w:b w:val="0"/>
          <w:bCs w:val="0"/>
          <w:spacing w:val="-3"/>
          <w:sz w:val="28"/>
          <w:szCs w:val="28"/>
        </w:rPr>
      </w:pPr>
      <w:r>
        <w:rPr>
          <w:rFonts w:hint="eastAsia" w:ascii="宋体" w:hAnsi="宋体" w:eastAsia="宋体" w:cs="宋体"/>
          <w:b w:val="0"/>
          <w:bCs w:val="0"/>
          <w:spacing w:val="-3"/>
          <w:sz w:val="28"/>
          <w:szCs w:val="28"/>
        </w:rPr>
        <w:t>注：</w:t>
      </w:r>
    </w:p>
    <w:p w14:paraId="6E5A77DD">
      <w:pPr>
        <w:keepNext w:val="0"/>
        <w:keepLines w:val="0"/>
        <w:pageBreakBefore w:val="0"/>
        <w:widowControl w:val="0"/>
        <w:kinsoku/>
        <w:wordWrap/>
        <w:overflowPunct/>
        <w:topLinePunct w:val="0"/>
        <w:autoSpaceDE/>
        <w:autoSpaceDN/>
        <w:bidi w:val="0"/>
        <w:adjustRightInd/>
        <w:snapToGrid/>
        <w:spacing w:before="71" w:line="360" w:lineRule="auto"/>
        <w:ind w:left="29" w:right="56" w:firstLine="472"/>
        <w:textAlignment w:val="auto"/>
        <w:rPr>
          <w:rFonts w:hint="eastAsia" w:ascii="宋体" w:hAnsi="宋体" w:eastAsia="宋体" w:cs="宋体"/>
          <w:b w:val="0"/>
          <w:bCs w:val="0"/>
          <w:spacing w:val="-3"/>
          <w:sz w:val="28"/>
          <w:szCs w:val="28"/>
        </w:rPr>
      </w:pPr>
      <w:r>
        <w:rPr>
          <w:rFonts w:hint="eastAsia" w:ascii="宋体" w:hAnsi="宋体" w:eastAsia="宋体" w:cs="宋体"/>
          <w:b w:val="0"/>
          <w:bCs w:val="0"/>
          <w:spacing w:val="-3"/>
          <w:sz w:val="28"/>
          <w:szCs w:val="28"/>
        </w:rPr>
        <w:t>1.供应商仅需列明存在差异的内容，除列明的差异外，视为全部符合磋商文件技术要求。“ 符合”指与磋商文件要求一致。</w:t>
      </w:r>
    </w:p>
    <w:p w14:paraId="0152D008">
      <w:pPr>
        <w:keepNext w:val="0"/>
        <w:keepLines w:val="0"/>
        <w:pageBreakBefore w:val="0"/>
        <w:widowControl w:val="0"/>
        <w:kinsoku/>
        <w:wordWrap/>
        <w:overflowPunct/>
        <w:topLinePunct w:val="0"/>
        <w:autoSpaceDE/>
        <w:autoSpaceDN/>
        <w:bidi w:val="0"/>
        <w:adjustRightInd/>
        <w:snapToGrid/>
        <w:spacing w:before="71" w:line="360" w:lineRule="auto"/>
        <w:ind w:left="29" w:right="56" w:firstLine="472"/>
        <w:textAlignment w:val="auto"/>
        <w:rPr>
          <w:rFonts w:hint="eastAsia" w:ascii="宋体" w:hAnsi="宋体" w:eastAsia="宋体" w:cs="宋体"/>
          <w:b w:val="0"/>
          <w:bCs w:val="0"/>
          <w:spacing w:val="-3"/>
          <w:sz w:val="28"/>
          <w:szCs w:val="28"/>
        </w:rPr>
      </w:pPr>
      <w:r>
        <w:rPr>
          <w:rFonts w:hint="eastAsia" w:ascii="宋体" w:hAnsi="宋体" w:eastAsia="宋体" w:cs="宋体"/>
          <w:b w:val="0"/>
          <w:bCs w:val="0"/>
          <w:spacing w:val="-3"/>
          <w:sz w:val="28"/>
          <w:szCs w:val="28"/>
        </w:rPr>
        <w:t>2.本表填写时，磋商文件的技术要求为磋商文件第四章采购需求中的技术要求，技术响应应据实填写。</w:t>
      </w:r>
    </w:p>
    <w:p w14:paraId="41B20E09">
      <w:pPr>
        <w:keepNext w:val="0"/>
        <w:keepLines w:val="0"/>
        <w:pageBreakBefore w:val="0"/>
        <w:widowControl w:val="0"/>
        <w:kinsoku/>
        <w:wordWrap/>
        <w:overflowPunct/>
        <w:topLinePunct w:val="0"/>
        <w:autoSpaceDE/>
        <w:autoSpaceDN/>
        <w:bidi w:val="0"/>
        <w:adjustRightInd/>
        <w:snapToGrid/>
        <w:spacing w:before="71" w:line="360" w:lineRule="auto"/>
        <w:ind w:left="29" w:right="56" w:firstLine="472"/>
        <w:textAlignment w:val="auto"/>
        <w:rPr>
          <w:rFonts w:hint="eastAsia" w:ascii="宋体" w:hAnsi="宋体" w:eastAsia="宋体" w:cs="宋体"/>
          <w:b w:val="0"/>
          <w:bCs w:val="0"/>
          <w:spacing w:val="-3"/>
          <w:sz w:val="28"/>
          <w:szCs w:val="28"/>
        </w:rPr>
      </w:pPr>
      <w:r>
        <w:rPr>
          <w:rFonts w:hint="eastAsia" w:ascii="宋体" w:hAnsi="宋体" w:eastAsia="宋体" w:cs="宋体"/>
          <w:b w:val="0"/>
          <w:bCs w:val="0"/>
          <w:spacing w:val="-3"/>
          <w:sz w:val="28"/>
          <w:szCs w:val="28"/>
        </w:rPr>
        <w:t>3.供应商根据项目实际填写，表中单项，项目招标要求不涉及的可留空或自行调整。</w:t>
      </w:r>
    </w:p>
    <w:p w14:paraId="22B83D20">
      <w:pPr>
        <w:keepNext w:val="0"/>
        <w:keepLines w:val="0"/>
        <w:pageBreakBefore w:val="0"/>
        <w:widowControl w:val="0"/>
        <w:kinsoku/>
        <w:wordWrap/>
        <w:overflowPunct/>
        <w:topLinePunct w:val="0"/>
        <w:autoSpaceDE/>
        <w:autoSpaceDN/>
        <w:bidi w:val="0"/>
        <w:adjustRightInd/>
        <w:snapToGrid/>
        <w:spacing w:before="71" w:line="360" w:lineRule="auto"/>
        <w:ind w:left="29" w:right="56" w:firstLine="472"/>
        <w:textAlignment w:val="auto"/>
        <w:rPr>
          <w:rFonts w:hint="eastAsia" w:ascii="宋体" w:hAnsi="宋体" w:eastAsia="宋体" w:cs="宋体"/>
          <w:b w:val="0"/>
          <w:bCs w:val="0"/>
          <w:spacing w:val="-3"/>
          <w:sz w:val="28"/>
          <w:szCs w:val="28"/>
        </w:rPr>
        <w:sectPr>
          <w:footerReference r:id="rId18" w:type="default"/>
          <w:pgSz w:w="11907" w:h="16840"/>
          <w:pgMar w:top="1431" w:right="1694" w:bottom="1014" w:left="1687" w:header="0" w:footer="852" w:gutter="0"/>
          <w:pgBorders>
            <w:top w:val="none" w:sz="0" w:space="0"/>
            <w:left w:val="none" w:sz="0" w:space="0"/>
            <w:bottom w:val="none" w:sz="0" w:space="0"/>
            <w:right w:val="none" w:sz="0" w:space="0"/>
          </w:pgBorders>
          <w:pgNumType w:fmt="decimal"/>
          <w:cols w:space="720" w:num="1"/>
        </w:sectPr>
      </w:pPr>
    </w:p>
    <w:p w14:paraId="359C5534">
      <w:pPr>
        <w:spacing w:before="101" w:line="228" w:lineRule="auto"/>
        <w:ind w:left="145"/>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九、商务条款偏离表</w:t>
      </w:r>
    </w:p>
    <w:p w14:paraId="3C3337B1">
      <w:pPr>
        <w:spacing w:before="290" w:line="223" w:lineRule="auto"/>
        <w:ind w:left="3309"/>
        <w:rPr>
          <w:rFonts w:hint="eastAsia" w:ascii="宋体" w:hAnsi="宋体" w:eastAsia="宋体" w:cs="宋体"/>
          <w:sz w:val="28"/>
          <w:szCs w:val="28"/>
        </w:rPr>
      </w:pPr>
      <w:r>
        <w:rPr>
          <w:rFonts w:hint="eastAsia" w:ascii="宋体" w:hAnsi="宋体" w:eastAsia="宋体" w:cs="宋体"/>
          <w:spacing w:val="-3"/>
          <w:sz w:val="28"/>
          <w:szCs w:val="28"/>
          <w14:textOutline w14:w="5103" w14:cap="sq" w14:cmpd="sng">
            <w14:solidFill>
              <w14:srgbClr w14:val="000000"/>
            </w14:solidFill>
            <w14:prstDash w14:val="solid"/>
            <w14:bevel/>
          </w14:textOutline>
        </w:rPr>
        <w:t>商务条款偏离表</w:t>
      </w:r>
    </w:p>
    <w:p w14:paraId="176E0329">
      <w:pPr>
        <w:spacing w:before="200" w:line="226" w:lineRule="auto"/>
        <w:ind w:left="135" w:right="87" w:firstLine="473"/>
        <w:rPr>
          <w:rFonts w:hint="eastAsia" w:ascii="宋体" w:hAnsi="宋体" w:eastAsia="宋体" w:cs="宋体"/>
          <w:sz w:val="28"/>
          <w:szCs w:val="28"/>
        </w:rPr>
      </w:pPr>
      <w:r>
        <w:rPr>
          <w:rFonts w:hint="eastAsia" w:ascii="宋体" w:hAnsi="宋体" w:eastAsia="宋体" w:cs="宋体"/>
          <w:spacing w:val="-3"/>
          <w:sz w:val="28"/>
          <w:szCs w:val="28"/>
        </w:rPr>
        <w:t>经过认真研究本项目磋商文件中所列商务条款，</w:t>
      </w:r>
      <w:r>
        <w:rPr>
          <w:rFonts w:hint="eastAsia" w:ascii="宋体" w:hAnsi="宋体" w:eastAsia="宋体" w:cs="宋体"/>
          <w:spacing w:val="-4"/>
          <w:sz w:val="28"/>
          <w:szCs w:val="28"/>
        </w:rPr>
        <w:t>我方确认，除下列偏离表所</w:t>
      </w:r>
      <w:r>
        <w:rPr>
          <w:rFonts w:hint="eastAsia" w:ascii="宋体" w:hAnsi="宋体" w:eastAsia="宋体" w:cs="宋体"/>
          <w:spacing w:val="-2"/>
          <w:sz w:val="28"/>
          <w:szCs w:val="28"/>
        </w:rPr>
        <w:t>列情况外，我方响应情况全部为“符合</w:t>
      </w:r>
      <w:r>
        <w:rPr>
          <w:rFonts w:hint="eastAsia" w:ascii="宋体" w:hAnsi="宋体" w:eastAsia="宋体" w:cs="宋体"/>
          <w:spacing w:val="-72"/>
          <w:sz w:val="28"/>
          <w:szCs w:val="28"/>
        </w:rPr>
        <w:t xml:space="preserve"> </w:t>
      </w:r>
      <w:r>
        <w:rPr>
          <w:rFonts w:hint="eastAsia" w:ascii="宋体" w:hAnsi="宋体" w:eastAsia="宋体" w:cs="宋体"/>
          <w:spacing w:val="-2"/>
          <w:sz w:val="28"/>
          <w:szCs w:val="28"/>
        </w:rPr>
        <w:t>”。</w:t>
      </w:r>
    </w:p>
    <w:tbl>
      <w:tblPr>
        <w:tblStyle w:val="96"/>
        <w:tblW w:w="85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3"/>
        <w:gridCol w:w="1124"/>
        <w:gridCol w:w="1625"/>
        <w:gridCol w:w="1574"/>
        <w:gridCol w:w="1232"/>
        <w:gridCol w:w="1010"/>
        <w:gridCol w:w="1403"/>
      </w:tblGrid>
      <w:tr w14:paraId="394E9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2" w:hRule="atLeast"/>
        </w:trPr>
        <w:tc>
          <w:tcPr>
            <w:tcW w:w="533" w:type="dxa"/>
            <w:textDirection w:val="tbRlV"/>
            <w:vAlign w:val="top"/>
          </w:tcPr>
          <w:p w14:paraId="5E05B9A4">
            <w:pPr>
              <w:pStyle w:val="95"/>
              <w:spacing w:before="160" w:line="209" w:lineRule="auto"/>
              <w:ind w:left="581"/>
              <w:rPr>
                <w:rFonts w:hint="eastAsia" w:ascii="宋体" w:hAnsi="宋体" w:eastAsia="宋体" w:cs="宋体"/>
                <w:sz w:val="28"/>
                <w:szCs w:val="28"/>
              </w:rPr>
            </w:pPr>
            <w:r>
              <w:rPr>
                <w:rFonts w:hint="eastAsia" w:ascii="宋体" w:hAnsi="宋体" w:eastAsia="宋体" w:cs="宋体"/>
                <w:spacing w:val="13"/>
                <w:sz w:val="28"/>
                <w:szCs w:val="28"/>
              </w:rPr>
              <w:t>序</w:t>
            </w:r>
            <w:r>
              <w:rPr>
                <w:rFonts w:hint="eastAsia" w:ascii="宋体" w:hAnsi="宋体" w:eastAsia="宋体" w:cs="宋体"/>
                <w:spacing w:val="-43"/>
                <w:sz w:val="28"/>
                <w:szCs w:val="28"/>
              </w:rPr>
              <w:t xml:space="preserve"> </w:t>
            </w:r>
            <w:r>
              <w:rPr>
                <w:rFonts w:hint="eastAsia" w:ascii="宋体" w:hAnsi="宋体" w:eastAsia="宋体" w:cs="宋体"/>
                <w:spacing w:val="13"/>
                <w:sz w:val="28"/>
                <w:szCs w:val="28"/>
              </w:rPr>
              <w:t>号</w:t>
            </w:r>
          </w:p>
        </w:tc>
        <w:tc>
          <w:tcPr>
            <w:tcW w:w="1124" w:type="dxa"/>
            <w:vAlign w:val="top"/>
          </w:tcPr>
          <w:p w14:paraId="108AEF70">
            <w:pPr>
              <w:spacing w:line="323" w:lineRule="auto"/>
              <w:rPr>
                <w:rFonts w:hint="eastAsia" w:ascii="宋体" w:hAnsi="宋体" w:eastAsia="宋体" w:cs="宋体"/>
                <w:sz w:val="28"/>
                <w:szCs w:val="28"/>
              </w:rPr>
            </w:pPr>
          </w:p>
          <w:p w14:paraId="5CD9D7C6">
            <w:pPr>
              <w:spacing w:line="324" w:lineRule="auto"/>
              <w:rPr>
                <w:rFonts w:hint="eastAsia" w:ascii="宋体" w:hAnsi="宋体" w:eastAsia="宋体" w:cs="宋体"/>
                <w:sz w:val="28"/>
                <w:szCs w:val="28"/>
              </w:rPr>
            </w:pPr>
          </w:p>
          <w:p w14:paraId="029009C2">
            <w:pPr>
              <w:pStyle w:val="95"/>
              <w:spacing w:before="65" w:line="229" w:lineRule="auto"/>
              <w:ind w:left="362"/>
              <w:rPr>
                <w:rFonts w:hint="eastAsia" w:ascii="宋体" w:hAnsi="宋体" w:eastAsia="宋体" w:cs="宋体"/>
                <w:sz w:val="28"/>
                <w:szCs w:val="28"/>
              </w:rPr>
            </w:pPr>
            <w:r>
              <w:rPr>
                <w:rFonts w:hint="eastAsia" w:ascii="宋体" w:hAnsi="宋体" w:eastAsia="宋体" w:cs="宋体"/>
                <w:spacing w:val="1"/>
                <w:sz w:val="28"/>
                <w:szCs w:val="28"/>
              </w:rPr>
              <w:t>名称</w:t>
            </w:r>
          </w:p>
        </w:tc>
        <w:tc>
          <w:tcPr>
            <w:tcW w:w="1625" w:type="dxa"/>
            <w:vAlign w:val="top"/>
          </w:tcPr>
          <w:p w14:paraId="01E06045">
            <w:pPr>
              <w:spacing w:line="256" w:lineRule="auto"/>
              <w:rPr>
                <w:rFonts w:hint="eastAsia" w:ascii="宋体" w:hAnsi="宋体" w:eastAsia="宋体" w:cs="宋体"/>
                <w:sz w:val="28"/>
                <w:szCs w:val="28"/>
              </w:rPr>
            </w:pPr>
          </w:p>
          <w:p w14:paraId="7EFD141E">
            <w:pPr>
              <w:spacing w:line="257" w:lineRule="auto"/>
              <w:rPr>
                <w:rFonts w:hint="eastAsia" w:ascii="宋体" w:hAnsi="宋体" w:eastAsia="宋体" w:cs="宋体"/>
                <w:sz w:val="28"/>
                <w:szCs w:val="28"/>
              </w:rPr>
            </w:pPr>
          </w:p>
          <w:p w14:paraId="4E280910">
            <w:pPr>
              <w:pStyle w:val="95"/>
              <w:spacing w:before="65" w:line="241" w:lineRule="auto"/>
              <w:ind w:right="183"/>
              <w:rPr>
                <w:rFonts w:hint="eastAsia" w:ascii="宋体" w:hAnsi="宋体" w:eastAsia="宋体" w:cs="宋体"/>
                <w:sz w:val="28"/>
                <w:szCs w:val="28"/>
              </w:rPr>
            </w:pPr>
            <w:r>
              <w:rPr>
                <w:rFonts w:hint="eastAsia" w:ascii="宋体" w:hAnsi="宋体" w:eastAsia="宋体" w:cs="宋体"/>
                <w:spacing w:val="7"/>
                <w:sz w:val="28"/>
                <w:szCs w:val="28"/>
              </w:rPr>
              <w:t>磋商文件的商</w:t>
            </w:r>
            <w:r>
              <w:rPr>
                <w:rFonts w:hint="eastAsia" w:ascii="宋体" w:hAnsi="宋体" w:eastAsia="宋体" w:cs="宋体"/>
                <w:spacing w:val="1"/>
                <w:sz w:val="28"/>
                <w:szCs w:val="28"/>
              </w:rPr>
              <w:t xml:space="preserve"> </w:t>
            </w:r>
            <w:r>
              <w:rPr>
                <w:rFonts w:hint="eastAsia" w:ascii="宋体" w:hAnsi="宋体" w:eastAsia="宋体" w:cs="宋体"/>
                <w:spacing w:val="3"/>
                <w:sz w:val="28"/>
                <w:szCs w:val="28"/>
              </w:rPr>
              <w:t>务条款</w:t>
            </w:r>
          </w:p>
        </w:tc>
        <w:tc>
          <w:tcPr>
            <w:tcW w:w="1574" w:type="dxa"/>
            <w:vAlign w:val="top"/>
          </w:tcPr>
          <w:p w14:paraId="44CE2F31">
            <w:pPr>
              <w:spacing w:line="256" w:lineRule="auto"/>
              <w:rPr>
                <w:rFonts w:hint="eastAsia" w:ascii="宋体" w:hAnsi="宋体" w:eastAsia="宋体" w:cs="宋体"/>
                <w:sz w:val="28"/>
                <w:szCs w:val="28"/>
              </w:rPr>
            </w:pPr>
          </w:p>
          <w:p w14:paraId="27DF5214">
            <w:pPr>
              <w:spacing w:line="257" w:lineRule="auto"/>
              <w:rPr>
                <w:rFonts w:hint="eastAsia" w:ascii="宋体" w:hAnsi="宋体" w:eastAsia="宋体" w:cs="宋体"/>
                <w:sz w:val="28"/>
                <w:szCs w:val="28"/>
              </w:rPr>
            </w:pPr>
          </w:p>
          <w:p w14:paraId="0462E459">
            <w:pPr>
              <w:pStyle w:val="95"/>
              <w:spacing w:before="65" w:line="241" w:lineRule="auto"/>
              <w:ind w:right="156"/>
              <w:rPr>
                <w:rFonts w:hint="eastAsia" w:ascii="宋体" w:hAnsi="宋体" w:eastAsia="宋体" w:cs="宋体"/>
                <w:sz w:val="28"/>
                <w:szCs w:val="28"/>
              </w:rPr>
            </w:pPr>
            <w:r>
              <w:rPr>
                <w:rFonts w:hint="eastAsia" w:ascii="宋体" w:hAnsi="宋体" w:eastAsia="宋体" w:cs="宋体"/>
                <w:spacing w:val="6"/>
                <w:sz w:val="28"/>
                <w:szCs w:val="28"/>
              </w:rPr>
              <w:t>响应文件的商</w:t>
            </w:r>
            <w:r>
              <w:rPr>
                <w:rFonts w:hint="eastAsia" w:ascii="宋体" w:hAnsi="宋体" w:eastAsia="宋体" w:cs="宋体"/>
                <w:sz w:val="28"/>
                <w:szCs w:val="28"/>
              </w:rPr>
              <w:t xml:space="preserve"> </w:t>
            </w:r>
            <w:r>
              <w:rPr>
                <w:rFonts w:hint="eastAsia" w:ascii="宋体" w:hAnsi="宋体" w:eastAsia="宋体" w:cs="宋体"/>
                <w:spacing w:val="3"/>
                <w:sz w:val="28"/>
                <w:szCs w:val="28"/>
              </w:rPr>
              <w:t>务条款</w:t>
            </w:r>
          </w:p>
        </w:tc>
        <w:tc>
          <w:tcPr>
            <w:tcW w:w="1232" w:type="dxa"/>
            <w:vAlign w:val="top"/>
          </w:tcPr>
          <w:p w14:paraId="1F92D758">
            <w:pPr>
              <w:spacing w:line="323" w:lineRule="auto"/>
              <w:rPr>
                <w:rFonts w:hint="eastAsia" w:ascii="宋体" w:hAnsi="宋体" w:eastAsia="宋体" w:cs="宋体"/>
                <w:sz w:val="28"/>
                <w:szCs w:val="28"/>
              </w:rPr>
            </w:pPr>
          </w:p>
          <w:p w14:paraId="44D20481">
            <w:pPr>
              <w:spacing w:line="323" w:lineRule="auto"/>
              <w:rPr>
                <w:rFonts w:hint="eastAsia" w:ascii="宋体" w:hAnsi="宋体" w:eastAsia="宋体" w:cs="宋体"/>
                <w:sz w:val="28"/>
                <w:szCs w:val="28"/>
              </w:rPr>
            </w:pPr>
          </w:p>
          <w:p w14:paraId="3E85321D">
            <w:pPr>
              <w:pStyle w:val="95"/>
              <w:spacing w:before="65" w:line="231" w:lineRule="auto"/>
              <w:rPr>
                <w:rFonts w:hint="eastAsia" w:ascii="宋体" w:hAnsi="宋体" w:eastAsia="宋体" w:cs="宋体"/>
                <w:sz w:val="28"/>
                <w:szCs w:val="28"/>
              </w:rPr>
            </w:pPr>
            <w:r>
              <w:rPr>
                <w:rFonts w:hint="eastAsia" w:ascii="宋体" w:hAnsi="宋体" w:eastAsia="宋体" w:cs="宋体"/>
                <w:spacing w:val="5"/>
                <w:sz w:val="28"/>
                <w:szCs w:val="28"/>
              </w:rPr>
              <w:t>偏离情况</w:t>
            </w:r>
          </w:p>
        </w:tc>
        <w:tc>
          <w:tcPr>
            <w:tcW w:w="1010" w:type="dxa"/>
            <w:vAlign w:val="top"/>
          </w:tcPr>
          <w:p w14:paraId="18577CCF">
            <w:pPr>
              <w:spacing w:line="323" w:lineRule="auto"/>
              <w:rPr>
                <w:rFonts w:hint="eastAsia" w:ascii="宋体" w:hAnsi="宋体" w:eastAsia="宋体" w:cs="宋体"/>
                <w:sz w:val="28"/>
                <w:szCs w:val="28"/>
              </w:rPr>
            </w:pPr>
          </w:p>
          <w:p w14:paraId="0ABE42D8">
            <w:pPr>
              <w:spacing w:line="324" w:lineRule="auto"/>
              <w:rPr>
                <w:rFonts w:hint="eastAsia" w:ascii="宋体" w:hAnsi="宋体" w:eastAsia="宋体" w:cs="宋体"/>
                <w:sz w:val="28"/>
                <w:szCs w:val="28"/>
              </w:rPr>
            </w:pPr>
          </w:p>
          <w:p w14:paraId="46A12568">
            <w:pPr>
              <w:pStyle w:val="95"/>
              <w:spacing w:before="65" w:line="232" w:lineRule="auto"/>
              <w:rPr>
                <w:rFonts w:hint="eastAsia" w:ascii="宋体" w:hAnsi="宋体" w:eastAsia="宋体" w:cs="宋体"/>
                <w:sz w:val="28"/>
                <w:szCs w:val="28"/>
              </w:rPr>
            </w:pPr>
            <w:r>
              <w:rPr>
                <w:rFonts w:hint="eastAsia" w:ascii="宋体" w:hAnsi="宋体" w:eastAsia="宋体" w:cs="宋体"/>
                <w:spacing w:val="1"/>
                <w:sz w:val="28"/>
                <w:szCs w:val="28"/>
              </w:rPr>
              <w:t>说明</w:t>
            </w:r>
          </w:p>
        </w:tc>
        <w:tc>
          <w:tcPr>
            <w:tcW w:w="1403" w:type="dxa"/>
            <w:vAlign w:val="top"/>
          </w:tcPr>
          <w:p w14:paraId="3C6E5D9B">
            <w:pPr>
              <w:pStyle w:val="95"/>
              <w:spacing w:before="37" w:line="247" w:lineRule="auto"/>
              <w:ind w:right="108"/>
              <w:jc w:val="both"/>
              <w:rPr>
                <w:rFonts w:hint="eastAsia" w:ascii="宋体" w:hAnsi="宋体" w:eastAsia="宋体" w:cs="宋体"/>
                <w:sz w:val="28"/>
                <w:szCs w:val="28"/>
              </w:rPr>
            </w:pPr>
            <w:r>
              <w:rPr>
                <w:rFonts w:hint="eastAsia" w:ascii="宋体" w:hAnsi="宋体" w:eastAsia="宋体" w:cs="宋体"/>
                <w:spacing w:val="-6"/>
                <w:sz w:val="28"/>
                <w:szCs w:val="28"/>
              </w:rPr>
              <w:t>备注：可以填</w:t>
            </w:r>
            <w:r>
              <w:rPr>
                <w:rFonts w:hint="eastAsia" w:ascii="宋体" w:hAnsi="宋体" w:eastAsia="宋体" w:cs="宋体"/>
                <w:spacing w:val="7"/>
                <w:sz w:val="28"/>
                <w:szCs w:val="28"/>
              </w:rPr>
              <w:t>写相关证明材料在响应文件中的具体位置（页</w:t>
            </w:r>
            <w:r>
              <w:rPr>
                <w:rFonts w:hint="eastAsia" w:ascii="宋体" w:hAnsi="宋体" w:eastAsia="宋体" w:cs="宋体"/>
                <w:spacing w:val="-3"/>
                <w:sz w:val="28"/>
                <w:szCs w:val="28"/>
              </w:rPr>
              <w:t>码）</w:t>
            </w:r>
          </w:p>
        </w:tc>
      </w:tr>
      <w:tr w14:paraId="52CAE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 w:hRule="atLeast"/>
        </w:trPr>
        <w:tc>
          <w:tcPr>
            <w:tcW w:w="533" w:type="dxa"/>
            <w:vAlign w:val="top"/>
          </w:tcPr>
          <w:p w14:paraId="597BA5DA">
            <w:pPr>
              <w:spacing w:line="307" w:lineRule="auto"/>
              <w:rPr>
                <w:rFonts w:hint="eastAsia" w:ascii="宋体" w:hAnsi="宋体" w:eastAsia="宋体" w:cs="宋体"/>
                <w:sz w:val="28"/>
                <w:szCs w:val="28"/>
              </w:rPr>
            </w:pPr>
          </w:p>
          <w:p w14:paraId="47D7803C">
            <w:pPr>
              <w:spacing w:before="58" w:line="195" w:lineRule="auto"/>
              <w:ind w:left="235"/>
              <w:rPr>
                <w:rFonts w:hint="eastAsia" w:ascii="宋体" w:hAnsi="宋体" w:eastAsia="宋体" w:cs="宋体"/>
                <w:sz w:val="28"/>
                <w:szCs w:val="28"/>
              </w:rPr>
            </w:pPr>
            <w:r>
              <w:rPr>
                <w:rFonts w:hint="eastAsia" w:ascii="宋体" w:hAnsi="宋体" w:eastAsia="宋体" w:cs="宋体"/>
                <w:sz w:val="28"/>
                <w:szCs w:val="28"/>
              </w:rPr>
              <w:t>1</w:t>
            </w:r>
          </w:p>
        </w:tc>
        <w:tc>
          <w:tcPr>
            <w:tcW w:w="1124" w:type="dxa"/>
            <w:vAlign w:val="top"/>
          </w:tcPr>
          <w:p w14:paraId="23FCD07B">
            <w:pPr>
              <w:spacing w:line="324" w:lineRule="auto"/>
              <w:rPr>
                <w:rFonts w:hint="eastAsia" w:ascii="宋体" w:hAnsi="宋体" w:eastAsia="宋体" w:cs="宋体"/>
                <w:sz w:val="28"/>
                <w:szCs w:val="28"/>
              </w:rPr>
            </w:pPr>
          </w:p>
          <w:p w14:paraId="48EE0B7B">
            <w:pPr>
              <w:pStyle w:val="95"/>
              <w:spacing w:before="65" w:line="231" w:lineRule="auto"/>
              <w:ind w:left="149"/>
              <w:rPr>
                <w:rFonts w:hint="eastAsia" w:ascii="宋体" w:hAnsi="宋体" w:eastAsia="宋体" w:cs="宋体"/>
                <w:sz w:val="28"/>
                <w:szCs w:val="28"/>
              </w:rPr>
            </w:pPr>
            <w:r>
              <w:rPr>
                <w:rFonts w:hint="eastAsia" w:ascii="宋体" w:hAnsi="宋体" w:eastAsia="宋体" w:cs="宋体"/>
                <w:spacing w:val="6"/>
                <w:sz w:val="28"/>
                <w:szCs w:val="28"/>
              </w:rPr>
              <w:t>服务地点</w:t>
            </w:r>
          </w:p>
        </w:tc>
        <w:tc>
          <w:tcPr>
            <w:tcW w:w="1625" w:type="dxa"/>
            <w:vAlign w:val="top"/>
          </w:tcPr>
          <w:p w14:paraId="38F9E971">
            <w:pPr>
              <w:rPr>
                <w:rFonts w:hint="eastAsia" w:ascii="宋体" w:hAnsi="宋体" w:eastAsia="宋体" w:cs="宋体"/>
                <w:sz w:val="28"/>
                <w:szCs w:val="28"/>
              </w:rPr>
            </w:pPr>
          </w:p>
        </w:tc>
        <w:tc>
          <w:tcPr>
            <w:tcW w:w="1574" w:type="dxa"/>
            <w:vAlign w:val="top"/>
          </w:tcPr>
          <w:p w14:paraId="0865A0C9">
            <w:pPr>
              <w:rPr>
                <w:rFonts w:hint="eastAsia" w:ascii="宋体" w:hAnsi="宋体" w:eastAsia="宋体" w:cs="宋体"/>
                <w:sz w:val="28"/>
                <w:szCs w:val="28"/>
              </w:rPr>
            </w:pPr>
          </w:p>
        </w:tc>
        <w:tc>
          <w:tcPr>
            <w:tcW w:w="1232" w:type="dxa"/>
            <w:vAlign w:val="top"/>
          </w:tcPr>
          <w:p w14:paraId="0406EB43">
            <w:pPr>
              <w:pStyle w:val="95"/>
              <w:spacing w:before="255" w:line="241" w:lineRule="auto"/>
              <w:ind w:left="418" w:right="164" w:hanging="238"/>
              <w:rPr>
                <w:rFonts w:hint="eastAsia" w:ascii="宋体" w:hAnsi="宋体" w:eastAsia="宋体" w:cs="宋体"/>
                <w:sz w:val="28"/>
                <w:szCs w:val="28"/>
              </w:rPr>
            </w:pPr>
            <w:r>
              <w:rPr>
                <w:rFonts w:hint="eastAsia" w:ascii="宋体" w:hAnsi="宋体" w:eastAsia="宋体" w:cs="宋体"/>
                <w:spacing w:val="5"/>
                <w:sz w:val="28"/>
                <w:szCs w:val="28"/>
              </w:rPr>
              <w:t>正偏离/负</w:t>
            </w:r>
            <w:r>
              <w:rPr>
                <w:rFonts w:hint="eastAsia" w:ascii="宋体" w:hAnsi="宋体" w:eastAsia="宋体" w:cs="宋体"/>
                <w:sz w:val="28"/>
                <w:szCs w:val="28"/>
              </w:rPr>
              <w:t xml:space="preserve"> </w:t>
            </w:r>
            <w:r>
              <w:rPr>
                <w:rFonts w:hint="eastAsia" w:ascii="宋体" w:hAnsi="宋体" w:eastAsia="宋体" w:cs="宋体"/>
                <w:spacing w:val="1"/>
                <w:sz w:val="28"/>
                <w:szCs w:val="28"/>
              </w:rPr>
              <w:t>偏离</w:t>
            </w:r>
          </w:p>
        </w:tc>
        <w:tc>
          <w:tcPr>
            <w:tcW w:w="1010" w:type="dxa"/>
            <w:vAlign w:val="top"/>
          </w:tcPr>
          <w:p w14:paraId="5B8549DD">
            <w:pPr>
              <w:rPr>
                <w:rFonts w:hint="eastAsia" w:ascii="宋体" w:hAnsi="宋体" w:eastAsia="宋体" w:cs="宋体"/>
                <w:sz w:val="28"/>
                <w:szCs w:val="28"/>
              </w:rPr>
            </w:pPr>
          </w:p>
        </w:tc>
        <w:tc>
          <w:tcPr>
            <w:tcW w:w="1403" w:type="dxa"/>
            <w:vAlign w:val="top"/>
          </w:tcPr>
          <w:p w14:paraId="31244752">
            <w:pPr>
              <w:rPr>
                <w:rFonts w:hint="eastAsia" w:ascii="宋体" w:hAnsi="宋体" w:eastAsia="宋体" w:cs="宋体"/>
                <w:sz w:val="28"/>
                <w:szCs w:val="28"/>
              </w:rPr>
            </w:pPr>
          </w:p>
        </w:tc>
      </w:tr>
      <w:tr w14:paraId="790BB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533" w:type="dxa"/>
            <w:vAlign w:val="top"/>
          </w:tcPr>
          <w:p w14:paraId="42DBEF14">
            <w:pPr>
              <w:spacing w:before="264" w:line="195" w:lineRule="auto"/>
              <w:ind w:left="215"/>
              <w:rPr>
                <w:rFonts w:hint="eastAsia" w:ascii="宋体" w:hAnsi="宋体" w:eastAsia="宋体" w:cs="宋体"/>
                <w:sz w:val="28"/>
                <w:szCs w:val="28"/>
              </w:rPr>
            </w:pPr>
            <w:r>
              <w:rPr>
                <w:rFonts w:hint="eastAsia" w:ascii="宋体" w:hAnsi="宋体" w:eastAsia="宋体" w:cs="宋体"/>
                <w:sz w:val="28"/>
                <w:szCs w:val="28"/>
              </w:rPr>
              <w:t>2</w:t>
            </w:r>
          </w:p>
        </w:tc>
        <w:tc>
          <w:tcPr>
            <w:tcW w:w="1124" w:type="dxa"/>
            <w:vAlign w:val="top"/>
          </w:tcPr>
          <w:p w14:paraId="69902ECE">
            <w:pPr>
              <w:pStyle w:val="95"/>
              <w:spacing w:before="228" w:line="232" w:lineRule="auto"/>
              <w:ind w:left="150"/>
              <w:rPr>
                <w:rFonts w:hint="eastAsia" w:ascii="宋体" w:hAnsi="宋体" w:eastAsia="宋体" w:cs="宋体"/>
                <w:sz w:val="28"/>
                <w:szCs w:val="28"/>
              </w:rPr>
            </w:pPr>
            <w:r>
              <w:rPr>
                <w:rFonts w:hint="eastAsia" w:ascii="宋体" w:hAnsi="宋体" w:eastAsia="宋体" w:cs="宋体"/>
                <w:spacing w:val="5"/>
                <w:sz w:val="28"/>
                <w:szCs w:val="28"/>
              </w:rPr>
              <w:t>付款方式</w:t>
            </w:r>
          </w:p>
        </w:tc>
        <w:tc>
          <w:tcPr>
            <w:tcW w:w="1625" w:type="dxa"/>
            <w:vAlign w:val="top"/>
          </w:tcPr>
          <w:p w14:paraId="2504F0C7">
            <w:pPr>
              <w:rPr>
                <w:rFonts w:hint="eastAsia" w:ascii="宋体" w:hAnsi="宋体" w:eastAsia="宋体" w:cs="宋体"/>
                <w:sz w:val="28"/>
                <w:szCs w:val="28"/>
              </w:rPr>
            </w:pPr>
          </w:p>
        </w:tc>
        <w:tc>
          <w:tcPr>
            <w:tcW w:w="1574" w:type="dxa"/>
            <w:vAlign w:val="top"/>
          </w:tcPr>
          <w:p w14:paraId="18852C0E">
            <w:pPr>
              <w:rPr>
                <w:rFonts w:hint="eastAsia" w:ascii="宋体" w:hAnsi="宋体" w:eastAsia="宋体" w:cs="宋体"/>
                <w:sz w:val="28"/>
                <w:szCs w:val="28"/>
              </w:rPr>
            </w:pPr>
          </w:p>
        </w:tc>
        <w:tc>
          <w:tcPr>
            <w:tcW w:w="1232" w:type="dxa"/>
            <w:vAlign w:val="top"/>
          </w:tcPr>
          <w:p w14:paraId="213CA48E">
            <w:pPr>
              <w:pStyle w:val="95"/>
              <w:spacing w:before="91" w:line="241" w:lineRule="auto"/>
              <w:ind w:left="418" w:right="164" w:hanging="238"/>
              <w:rPr>
                <w:rFonts w:hint="eastAsia" w:ascii="宋体" w:hAnsi="宋体" w:eastAsia="宋体" w:cs="宋体"/>
                <w:sz w:val="28"/>
                <w:szCs w:val="28"/>
              </w:rPr>
            </w:pPr>
            <w:r>
              <w:rPr>
                <w:rFonts w:hint="eastAsia" w:ascii="宋体" w:hAnsi="宋体" w:eastAsia="宋体" w:cs="宋体"/>
                <w:spacing w:val="5"/>
                <w:sz w:val="28"/>
                <w:szCs w:val="28"/>
              </w:rPr>
              <w:t>正偏离/负</w:t>
            </w:r>
            <w:r>
              <w:rPr>
                <w:rFonts w:hint="eastAsia" w:ascii="宋体" w:hAnsi="宋体" w:eastAsia="宋体" w:cs="宋体"/>
                <w:sz w:val="28"/>
                <w:szCs w:val="28"/>
              </w:rPr>
              <w:t xml:space="preserve"> </w:t>
            </w:r>
            <w:r>
              <w:rPr>
                <w:rFonts w:hint="eastAsia" w:ascii="宋体" w:hAnsi="宋体" w:eastAsia="宋体" w:cs="宋体"/>
                <w:spacing w:val="1"/>
                <w:sz w:val="28"/>
                <w:szCs w:val="28"/>
              </w:rPr>
              <w:t>偏离</w:t>
            </w:r>
          </w:p>
        </w:tc>
        <w:tc>
          <w:tcPr>
            <w:tcW w:w="1010" w:type="dxa"/>
            <w:vAlign w:val="top"/>
          </w:tcPr>
          <w:p w14:paraId="3D098E0E">
            <w:pPr>
              <w:rPr>
                <w:rFonts w:hint="eastAsia" w:ascii="宋体" w:hAnsi="宋体" w:eastAsia="宋体" w:cs="宋体"/>
                <w:sz w:val="28"/>
                <w:szCs w:val="28"/>
              </w:rPr>
            </w:pPr>
          </w:p>
        </w:tc>
        <w:tc>
          <w:tcPr>
            <w:tcW w:w="1403" w:type="dxa"/>
            <w:vAlign w:val="top"/>
          </w:tcPr>
          <w:p w14:paraId="7F37237D">
            <w:pPr>
              <w:rPr>
                <w:rFonts w:hint="eastAsia" w:ascii="宋体" w:hAnsi="宋体" w:eastAsia="宋体" w:cs="宋体"/>
                <w:sz w:val="28"/>
                <w:szCs w:val="28"/>
              </w:rPr>
            </w:pPr>
          </w:p>
        </w:tc>
      </w:tr>
      <w:tr w14:paraId="610B0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533" w:type="dxa"/>
            <w:vAlign w:val="top"/>
          </w:tcPr>
          <w:p w14:paraId="3D3E8E16">
            <w:pPr>
              <w:spacing w:before="265" w:line="195" w:lineRule="auto"/>
              <w:ind w:left="219"/>
              <w:rPr>
                <w:rFonts w:hint="eastAsia" w:ascii="宋体" w:hAnsi="宋体" w:eastAsia="宋体" w:cs="宋体"/>
                <w:sz w:val="28"/>
                <w:szCs w:val="28"/>
              </w:rPr>
            </w:pPr>
            <w:r>
              <w:rPr>
                <w:rFonts w:hint="eastAsia" w:ascii="宋体" w:hAnsi="宋体" w:eastAsia="宋体" w:cs="宋体"/>
                <w:sz w:val="28"/>
                <w:szCs w:val="28"/>
              </w:rPr>
              <w:t>3</w:t>
            </w:r>
          </w:p>
        </w:tc>
        <w:tc>
          <w:tcPr>
            <w:tcW w:w="1124" w:type="dxa"/>
            <w:vAlign w:val="top"/>
          </w:tcPr>
          <w:p w14:paraId="2C993F54">
            <w:pPr>
              <w:rPr>
                <w:rFonts w:hint="eastAsia" w:ascii="宋体" w:hAnsi="宋体" w:eastAsia="宋体" w:cs="宋体"/>
                <w:sz w:val="28"/>
                <w:szCs w:val="28"/>
              </w:rPr>
            </w:pPr>
          </w:p>
        </w:tc>
        <w:tc>
          <w:tcPr>
            <w:tcW w:w="1625" w:type="dxa"/>
            <w:vAlign w:val="top"/>
          </w:tcPr>
          <w:p w14:paraId="1A73B8A9">
            <w:pPr>
              <w:rPr>
                <w:rFonts w:hint="eastAsia" w:ascii="宋体" w:hAnsi="宋体" w:eastAsia="宋体" w:cs="宋体"/>
                <w:sz w:val="28"/>
                <w:szCs w:val="28"/>
              </w:rPr>
            </w:pPr>
          </w:p>
        </w:tc>
        <w:tc>
          <w:tcPr>
            <w:tcW w:w="1574" w:type="dxa"/>
            <w:vAlign w:val="top"/>
          </w:tcPr>
          <w:p w14:paraId="773BE606">
            <w:pPr>
              <w:rPr>
                <w:rFonts w:hint="eastAsia" w:ascii="宋体" w:hAnsi="宋体" w:eastAsia="宋体" w:cs="宋体"/>
                <w:sz w:val="28"/>
                <w:szCs w:val="28"/>
              </w:rPr>
            </w:pPr>
          </w:p>
        </w:tc>
        <w:tc>
          <w:tcPr>
            <w:tcW w:w="1232" w:type="dxa"/>
            <w:vAlign w:val="top"/>
          </w:tcPr>
          <w:p w14:paraId="691A646F">
            <w:pPr>
              <w:rPr>
                <w:rFonts w:hint="eastAsia" w:ascii="宋体" w:hAnsi="宋体" w:eastAsia="宋体" w:cs="宋体"/>
                <w:sz w:val="28"/>
                <w:szCs w:val="28"/>
              </w:rPr>
            </w:pPr>
          </w:p>
        </w:tc>
        <w:tc>
          <w:tcPr>
            <w:tcW w:w="1010" w:type="dxa"/>
            <w:vAlign w:val="top"/>
          </w:tcPr>
          <w:p w14:paraId="76A0A688">
            <w:pPr>
              <w:rPr>
                <w:rFonts w:hint="eastAsia" w:ascii="宋体" w:hAnsi="宋体" w:eastAsia="宋体" w:cs="宋体"/>
                <w:sz w:val="28"/>
                <w:szCs w:val="28"/>
              </w:rPr>
            </w:pPr>
          </w:p>
        </w:tc>
        <w:tc>
          <w:tcPr>
            <w:tcW w:w="1403" w:type="dxa"/>
            <w:vAlign w:val="top"/>
          </w:tcPr>
          <w:p w14:paraId="573312C6">
            <w:pPr>
              <w:rPr>
                <w:rFonts w:hint="eastAsia" w:ascii="宋体" w:hAnsi="宋体" w:eastAsia="宋体" w:cs="宋体"/>
                <w:sz w:val="28"/>
                <w:szCs w:val="28"/>
              </w:rPr>
            </w:pPr>
          </w:p>
        </w:tc>
      </w:tr>
      <w:tr w14:paraId="25BA7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533" w:type="dxa"/>
            <w:vAlign w:val="top"/>
          </w:tcPr>
          <w:p w14:paraId="0E214D03">
            <w:pPr>
              <w:spacing w:before="110" w:line="195" w:lineRule="auto"/>
              <w:ind w:left="214"/>
              <w:rPr>
                <w:rFonts w:hint="eastAsia" w:ascii="宋体" w:hAnsi="宋体" w:eastAsia="宋体" w:cs="宋体"/>
                <w:sz w:val="28"/>
                <w:szCs w:val="28"/>
              </w:rPr>
            </w:pPr>
            <w:r>
              <w:rPr>
                <w:rFonts w:hint="eastAsia" w:ascii="宋体" w:hAnsi="宋体" w:eastAsia="宋体" w:cs="宋体"/>
                <w:spacing w:val="1"/>
                <w:sz w:val="28"/>
                <w:szCs w:val="28"/>
              </w:rPr>
              <w:t>4</w:t>
            </w:r>
          </w:p>
        </w:tc>
        <w:tc>
          <w:tcPr>
            <w:tcW w:w="1124" w:type="dxa"/>
            <w:vAlign w:val="top"/>
          </w:tcPr>
          <w:p w14:paraId="145D5A3F">
            <w:pPr>
              <w:rPr>
                <w:rFonts w:hint="eastAsia" w:ascii="宋体" w:hAnsi="宋体" w:eastAsia="宋体" w:cs="宋体"/>
                <w:sz w:val="28"/>
                <w:szCs w:val="28"/>
              </w:rPr>
            </w:pPr>
          </w:p>
        </w:tc>
        <w:tc>
          <w:tcPr>
            <w:tcW w:w="1625" w:type="dxa"/>
            <w:vAlign w:val="top"/>
          </w:tcPr>
          <w:p w14:paraId="4A4359C0">
            <w:pPr>
              <w:rPr>
                <w:rFonts w:hint="eastAsia" w:ascii="宋体" w:hAnsi="宋体" w:eastAsia="宋体" w:cs="宋体"/>
                <w:sz w:val="28"/>
                <w:szCs w:val="28"/>
              </w:rPr>
            </w:pPr>
          </w:p>
        </w:tc>
        <w:tc>
          <w:tcPr>
            <w:tcW w:w="1574" w:type="dxa"/>
            <w:vAlign w:val="top"/>
          </w:tcPr>
          <w:p w14:paraId="7B633113">
            <w:pPr>
              <w:rPr>
                <w:rFonts w:hint="eastAsia" w:ascii="宋体" w:hAnsi="宋体" w:eastAsia="宋体" w:cs="宋体"/>
                <w:sz w:val="28"/>
                <w:szCs w:val="28"/>
              </w:rPr>
            </w:pPr>
          </w:p>
        </w:tc>
        <w:tc>
          <w:tcPr>
            <w:tcW w:w="1232" w:type="dxa"/>
            <w:vAlign w:val="top"/>
          </w:tcPr>
          <w:p w14:paraId="3DD02B4A">
            <w:pPr>
              <w:rPr>
                <w:rFonts w:hint="eastAsia" w:ascii="宋体" w:hAnsi="宋体" w:eastAsia="宋体" w:cs="宋体"/>
                <w:sz w:val="28"/>
                <w:szCs w:val="28"/>
              </w:rPr>
            </w:pPr>
          </w:p>
        </w:tc>
        <w:tc>
          <w:tcPr>
            <w:tcW w:w="1010" w:type="dxa"/>
            <w:vAlign w:val="top"/>
          </w:tcPr>
          <w:p w14:paraId="25549F54">
            <w:pPr>
              <w:rPr>
                <w:rFonts w:hint="eastAsia" w:ascii="宋体" w:hAnsi="宋体" w:eastAsia="宋体" w:cs="宋体"/>
                <w:sz w:val="28"/>
                <w:szCs w:val="28"/>
              </w:rPr>
            </w:pPr>
          </w:p>
        </w:tc>
        <w:tc>
          <w:tcPr>
            <w:tcW w:w="1403" w:type="dxa"/>
            <w:vAlign w:val="top"/>
          </w:tcPr>
          <w:p w14:paraId="1E8DD2AF">
            <w:pPr>
              <w:rPr>
                <w:rFonts w:hint="eastAsia" w:ascii="宋体" w:hAnsi="宋体" w:eastAsia="宋体" w:cs="宋体"/>
                <w:sz w:val="28"/>
                <w:szCs w:val="28"/>
              </w:rPr>
            </w:pPr>
          </w:p>
        </w:tc>
      </w:tr>
      <w:tr w14:paraId="6F5F0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33" w:type="dxa"/>
            <w:vAlign w:val="top"/>
          </w:tcPr>
          <w:p w14:paraId="350C99D3">
            <w:pPr>
              <w:spacing w:before="236" w:line="63" w:lineRule="exact"/>
              <w:ind w:left="181"/>
              <w:rPr>
                <w:rFonts w:hint="eastAsia" w:ascii="宋体" w:hAnsi="宋体" w:eastAsia="宋体" w:cs="宋体"/>
                <w:sz w:val="28"/>
                <w:szCs w:val="28"/>
              </w:rPr>
            </w:pPr>
            <w:r>
              <w:rPr>
                <w:rFonts w:hint="eastAsia" w:ascii="宋体" w:hAnsi="宋体" w:eastAsia="宋体" w:cs="宋体"/>
                <w:position w:val="1"/>
                <w:sz w:val="28"/>
                <w:szCs w:val="28"/>
              </w:rPr>
              <w:t>…</w:t>
            </w:r>
          </w:p>
        </w:tc>
        <w:tc>
          <w:tcPr>
            <w:tcW w:w="1124" w:type="dxa"/>
            <w:vAlign w:val="top"/>
          </w:tcPr>
          <w:p w14:paraId="69658B6E">
            <w:pPr>
              <w:rPr>
                <w:rFonts w:hint="eastAsia" w:ascii="宋体" w:hAnsi="宋体" w:eastAsia="宋体" w:cs="宋体"/>
                <w:sz w:val="28"/>
                <w:szCs w:val="28"/>
              </w:rPr>
            </w:pPr>
          </w:p>
        </w:tc>
        <w:tc>
          <w:tcPr>
            <w:tcW w:w="1625" w:type="dxa"/>
            <w:vAlign w:val="top"/>
          </w:tcPr>
          <w:p w14:paraId="70EB0DB5">
            <w:pPr>
              <w:rPr>
                <w:rFonts w:hint="eastAsia" w:ascii="宋体" w:hAnsi="宋体" w:eastAsia="宋体" w:cs="宋体"/>
                <w:sz w:val="28"/>
                <w:szCs w:val="28"/>
              </w:rPr>
            </w:pPr>
          </w:p>
        </w:tc>
        <w:tc>
          <w:tcPr>
            <w:tcW w:w="1574" w:type="dxa"/>
            <w:vAlign w:val="top"/>
          </w:tcPr>
          <w:p w14:paraId="1BAB125F">
            <w:pPr>
              <w:rPr>
                <w:rFonts w:hint="eastAsia" w:ascii="宋体" w:hAnsi="宋体" w:eastAsia="宋体" w:cs="宋体"/>
                <w:sz w:val="28"/>
                <w:szCs w:val="28"/>
              </w:rPr>
            </w:pPr>
          </w:p>
        </w:tc>
        <w:tc>
          <w:tcPr>
            <w:tcW w:w="1232" w:type="dxa"/>
            <w:vAlign w:val="top"/>
          </w:tcPr>
          <w:p w14:paraId="196B8468">
            <w:pPr>
              <w:rPr>
                <w:rFonts w:hint="eastAsia" w:ascii="宋体" w:hAnsi="宋体" w:eastAsia="宋体" w:cs="宋体"/>
                <w:sz w:val="28"/>
                <w:szCs w:val="28"/>
              </w:rPr>
            </w:pPr>
          </w:p>
        </w:tc>
        <w:tc>
          <w:tcPr>
            <w:tcW w:w="1010" w:type="dxa"/>
            <w:vAlign w:val="top"/>
          </w:tcPr>
          <w:p w14:paraId="4BD985F2">
            <w:pPr>
              <w:rPr>
                <w:rFonts w:hint="eastAsia" w:ascii="宋体" w:hAnsi="宋体" w:eastAsia="宋体" w:cs="宋体"/>
                <w:sz w:val="28"/>
                <w:szCs w:val="28"/>
              </w:rPr>
            </w:pPr>
          </w:p>
        </w:tc>
        <w:tc>
          <w:tcPr>
            <w:tcW w:w="1403" w:type="dxa"/>
            <w:vAlign w:val="top"/>
          </w:tcPr>
          <w:p w14:paraId="447BD9BE">
            <w:pPr>
              <w:rPr>
                <w:rFonts w:hint="eastAsia" w:ascii="宋体" w:hAnsi="宋体" w:eastAsia="宋体" w:cs="宋体"/>
                <w:sz w:val="28"/>
                <w:szCs w:val="28"/>
              </w:rPr>
            </w:pPr>
          </w:p>
        </w:tc>
      </w:tr>
    </w:tbl>
    <w:p w14:paraId="3ED96073">
      <w:pPr>
        <w:keepNext w:val="0"/>
        <w:keepLines w:val="0"/>
        <w:pageBreakBefore w:val="0"/>
        <w:widowControl w:val="0"/>
        <w:kinsoku/>
        <w:wordWrap/>
        <w:overflowPunct/>
        <w:topLinePunct w:val="0"/>
        <w:autoSpaceDE/>
        <w:autoSpaceDN/>
        <w:bidi w:val="0"/>
        <w:adjustRightInd/>
        <w:snapToGrid/>
        <w:spacing w:before="71" w:line="360" w:lineRule="auto"/>
        <w:ind w:left="29" w:right="56" w:firstLine="472"/>
        <w:textAlignment w:val="auto"/>
        <w:rPr>
          <w:rFonts w:hint="eastAsia" w:ascii="宋体" w:hAnsi="宋体" w:eastAsia="宋体" w:cs="宋体"/>
          <w:b w:val="0"/>
          <w:bCs w:val="0"/>
          <w:spacing w:val="-3"/>
          <w:sz w:val="28"/>
          <w:szCs w:val="28"/>
        </w:rPr>
      </w:pPr>
      <w:r>
        <w:rPr>
          <w:rFonts w:hint="eastAsia" w:ascii="宋体" w:hAnsi="宋体" w:eastAsia="宋体" w:cs="宋体"/>
          <w:b w:val="0"/>
          <w:bCs w:val="0"/>
          <w:spacing w:val="-3"/>
          <w:sz w:val="28"/>
          <w:szCs w:val="28"/>
        </w:rPr>
        <w:t>备注：</w:t>
      </w:r>
    </w:p>
    <w:p w14:paraId="4D6BFBEC">
      <w:pPr>
        <w:keepNext w:val="0"/>
        <w:keepLines w:val="0"/>
        <w:pageBreakBefore w:val="0"/>
        <w:widowControl w:val="0"/>
        <w:kinsoku/>
        <w:wordWrap/>
        <w:overflowPunct/>
        <w:topLinePunct w:val="0"/>
        <w:autoSpaceDE/>
        <w:autoSpaceDN/>
        <w:bidi w:val="0"/>
        <w:adjustRightInd/>
        <w:snapToGrid/>
        <w:spacing w:before="71" w:line="360" w:lineRule="auto"/>
        <w:ind w:left="29" w:right="56" w:firstLine="472"/>
        <w:textAlignment w:val="auto"/>
        <w:rPr>
          <w:rFonts w:hint="eastAsia" w:ascii="宋体" w:hAnsi="宋体" w:eastAsia="宋体" w:cs="宋体"/>
          <w:b w:val="0"/>
          <w:bCs w:val="0"/>
          <w:spacing w:val="-3"/>
          <w:sz w:val="28"/>
          <w:szCs w:val="28"/>
        </w:rPr>
      </w:pPr>
      <w:r>
        <w:rPr>
          <w:rFonts w:hint="eastAsia" w:ascii="宋体" w:hAnsi="宋体" w:eastAsia="宋体" w:cs="宋体"/>
          <w:b w:val="0"/>
          <w:bCs w:val="0"/>
          <w:spacing w:val="-3"/>
          <w:sz w:val="28"/>
          <w:szCs w:val="28"/>
        </w:rPr>
        <w:t>1. 供应商仅需列明存在偏离（包含正偏离和负偏离）的内容，除列明的偏离外，视为全部符合磋商文件商务条款要求。“符合 ”指与磋商文件要求一致，“正偏离 ”指优于磋商文件要求；“负偏离 ”指低于磋商文件要求。</w:t>
      </w:r>
    </w:p>
    <w:p w14:paraId="6D3B61F8">
      <w:pPr>
        <w:keepNext w:val="0"/>
        <w:keepLines w:val="0"/>
        <w:pageBreakBefore w:val="0"/>
        <w:widowControl w:val="0"/>
        <w:kinsoku/>
        <w:wordWrap/>
        <w:overflowPunct/>
        <w:topLinePunct w:val="0"/>
        <w:autoSpaceDE/>
        <w:autoSpaceDN/>
        <w:bidi w:val="0"/>
        <w:adjustRightInd/>
        <w:snapToGrid/>
        <w:spacing w:before="71" w:line="360" w:lineRule="auto"/>
        <w:ind w:left="29" w:right="56" w:firstLine="472"/>
        <w:textAlignment w:val="auto"/>
        <w:rPr>
          <w:rFonts w:hint="eastAsia" w:ascii="宋体" w:hAnsi="宋体" w:eastAsia="宋体" w:cs="宋体"/>
          <w:b w:val="0"/>
          <w:bCs w:val="0"/>
          <w:spacing w:val="-3"/>
          <w:sz w:val="28"/>
          <w:szCs w:val="28"/>
        </w:rPr>
      </w:pPr>
      <w:r>
        <w:rPr>
          <w:rFonts w:hint="eastAsia" w:ascii="宋体" w:hAnsi="宋体" w:eastAsia="宋体" w:cs="宋体"/>
          <w:b w:val="0"/>
          <w:bCs w:val="0"/>
          <w:spacing w:val="-3"/>
          <w:sz w:val="28"/>
          <w:szCs w:val="28"/>
        </w:rPr>
        <w:t>2.供应商根据项目实际填写，表中单项，项目采购要求不涉及的可留空或自行调整。</w:t>
      </w:r>
    </w:p>
    <w:p w14:paraId="75E3A2D5">
      <w:pPr>
        <w:spacing w:line="221" w:lineRule="auto"/>
        <w:rPr>
          <w:rFonts w:ascii="仿宋" w:hAnsi="仿宋" w:eastAsia="仿宋" w:cs="仿宋"/>
          <w:sz w:val="24"/>
          <w:szCs w:val="24"/>
        </w:rPr>
        <w:sectPr>
          <w:footerReference r:id="rId19" w:type="default"/>
          <w:pgSz w:w="11907" w:h="16840"/>
          <w:pgMar w:top="1431" w:right="1713" w:bottom="1014" w:left="1687" w:header="0" w:footer="852" w:gutter="0"/>
          <w:pgBorders>
            <w:top w:val="none" w:sz="0" w:space="0"/>
            <w:left w:val="none" w:sz="0" w:space="0"/>
            <w:bottom w:val="none" w:sz="0" w:space="0"/>
            <w:right w:val="none" w:sz="0" w:space="0"/>
          </w:pgBorders>
          <w:pgNumType w:fmt="decimal"/>
          <w:cols w:space="720" w:num="1"/>
        </w:sectPr>
      </w:pPr>
    </w:p>
    <w:p w14:paraId="6B06C954">
      <w:pPr>
        <w:spacing w:before="100" w:line="227" w:lineRule="auto"/>
        <w:ind w:left="43"/>
        <w:outlineLvl w:val="3"/>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十、供应商诚信履约承诺函</w:t>
      </w:r>
    </w:p>
    <w:p w14:paraId="2150BAB9">
      <w:pPr>
        <w:spacing w:before="292" w:line="222" w:lineRule="auto"/>
        <w:ind w:left="2781"/>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供应商诚信履约承诺函</w:t>
      </w:r>
    </w:p>
    <w:p w14:paraId="678CDB1D">
      <w:pPr>
        <w:spacing w:before="202" w:line="222" w:lineRule="auto"/>
        <w:ind w:left="512"/>
        <w:rPr>
          <w:rFonts w:hint="eastAsia" w:ascii="宋体" w:hAnsi="宋体" w:eastAsia="宋体" w:cs="宋体"/>
          <w:sz w:val="28"/>
          <w:szCs w:val="28"/>
        </w:rPr>
      </w:pPr>
      <w:r>
        <w:rPr>
          <w:rFonts w:hint="eastAsia" w:ascii="宋体" w:hAnsi="宋体" w:eastAsia="宋体" w:cs="宋体"/>
          <w:spacing w:val="3"/>
          <w:sz w:val="28"/>
          <w:szCs w:val="28"/>
        </w:rPr>
        <w:t>致</w:t>
      </w:r>
      <w:r>
        <w:rPr>
          <w:rFonts w:hint="eastAsia" w:ascii="宋体" w:hAnsi="宋体" w:eastAsia="宋体" w:cs="宋体"/>
          <w:spacing w:val="-18"/>
          <w:sz w:val="28"/>
          <w:szCs w:val="28"/>
        </w:rPr>
        <w:t>：</w:t>
      </w:r>
      <w:r>
        <w:rPr>
          <w:rFonts w:hint="eastAsia" w:ascii="宋体" w:hAnsi="宋体" w:eastAsia="宋体" w:cs="宋体"/>
          <w:spacing w:val="-18"/>
          <w:sz w:val="28"/>
          <w:szCs w:val="28"/>
          <w:u w:val="single" w:color="auto"/>
        </w:rPr>
        <w:t>（</w:t>
      </w:r>
      <w:r>
        <w:rPr>
          <w:rFonts w:hint="eastAsia" w:ascii="宋体" w:hAnsi="宋体" w:eastAsia="宋体" w:cs="宋体"/>
          <w:spacing w:val="3"/>
          <w:sz w:val="28"/>
          <w:szCs w:val="28"/>
          <w:u w:val="single" w:color="auto"/>
        </w:rPr>
        <w:t>采购人）</w:t>
      </w:r>
    </w:p>
    <w:p w14:paraId="14A47485">
      <w:pPr>
        <w:keepNext w:val="0"/>
        <w:keepLines w:val="0"/>
        <w:pageBreakBefore w:val="0"/>
        <w:widowControl w:val="0"/>
        <w:kinsoku/>
        <w:wordWrap/>
        <w:overflowPunct/>
        <w:topLinePunct w:val="0"/>
        <w:autoSpaceDE/>
        <w:autoSpaceDN/>
        <w:bidi w:val="0"/>
        <w:adjustRightInd/>
        <w:snapToGrid/>
        <w:spacing w:before="71" w:line="360" w:lineRule="auto"/>
        <w:ind w:left="29" w:right="56" w:firstLine="472"/>
        <w:textAlignment w:val="auto"/>
        <w:rPr>
          <w:rFonts w:hint="eastAsia" w:ascii="宋体" w:hAnsi="宋体" w:eastAsia="宋体" w:cs="宋体"/>
          <w:b w:val="0"/>
          <w:bCs w:val="0"/>
          <w:spacing w:val="-3"/>
          <w:sz w:val="28"/>
          <w:szCs w:val="28"/>
        </w:rPr>
      </w:pPr>
      <w:r>
        <w:rPr>
          <w:rFonts w:hint="eastAsia" w:ascii="宋体" w:hAnsi="宋体" w:eastAsia="宋体" w:cs="宋体"/>
          <w:b w:val="0"/>
          <w:bCs w:val="0"/>
          <w:spacing w:val="-3"/>
          <w:sz w:val="28"/>
          <w:szCs w:val="28"/>
        </w:rPr>
        <w:t xml:space="preserve">我单位将遵循公开、公正和诚实信用的原则参加 </w:t>
      </w:r>
      <w:r>
        <w:rPr>
          <w:rFonts w:hint="eastAsia" w:ascii="宋体" w:hAnsi="宋体" w:eastAsia="宋体" w:cs="宋体"/>
          <w:b w:val="0"/>
          <w:bCs w:val="0"/>
          <w:spacing w:val="-3"/>
          <w:sz w:val="28"/>
          <w:szCs w:val="28"/>
          <w:u w:val="single"/>
        </w:rPr>
        <w:t xml:space="preserve"> （项目名称）</w:t>
      </w:r>
      <w:r>
        <w:rPr>
          <w:rFonts w:hint="eastAsia" w:ascii="宋体" w:hAnsi="宋体" w:eastAsia="宋体" w:cs="宋体"/>
          <w:b w:val="0"/>
          <w:bCs w:val="0"/>
          <w:spacing w:val="-3"/>
          <w:sz w:val="28"/>
          <w:szCs w:val="28"/>
        </w:rPr>
        <w:t xml:space="preserve">   的采购活动，在参加项目的交易活动过程中，郑重承诺如下：</w:t>
      </w:r>
    </w:p>
    <w:p w14:paraId="02D9DA44">
      <w:pPr>
        <w:keepNext w:val="0"/>
        <w:keepLines w:val="0"/>
        <w:pageBreakBefore w:val="0"/>
        <w:widowControl w:val="0"/>
        <w:kinsoku/>
        <w:wordWrap/>
        <w:overflowPunct/>
        <w:topLinePunct w:val="0"/>
        <w:autoSpaceDE/>
        <w:autoSpaceDN/>
        <w:bidi w:val="0"/>
        <w:adjustRightInd/>
        <w:snapToGrid/>
        <w:spacing w:before="71" w:line="360" w:lineRule="auto"/>
        <w:ind w:left="29" w:right="56" w:firstLine="472"/>
        <w:textAlignment w:val="auto"/>
        <w:rPr>
          <w:rFonts w:hint="eastAsia" w:ascii="宋体" w:hAnsi="宋体" w:eastAsia="宋体" w:cs="宋体"/>
          <w:b w:val="0"/>
          <w:bCs w:val="0"/>
          <w:spacing w:val="-3"/>
          <w:sz w:val="28"/>
          <w:szCs w:val="28"/>
        </w:rPr>
      </w:pPr>
      <w:r>
        <w:rPr>
          <w:rFonts w:hint="eastAsia" w:ascii="宋体" w:hAnsi="宋体" w:eastAsia="宋体" w:cs="宋体"/>
          <w:b w:val="0"/>
          <w:bCs w:val="0"/>
          <w:spacing w:val="-3"/>
          <w:sz w:val="28"/>
          <w:szCs w:val="28"/>
        </w:rPr>
        <w:t>成交后，将按照规定及时与采购人签订政府采购合同，不与采购人订立有悖采购结果的合同或协议；严格履行政府采购合同，不降低合同约定的产品质量和服务，不擅自变更、中止、终止合同，或者拒绝履行合同义务。</w:t>
      </w:r>
    </w:p>
    <w:p w14:paraId="66D2ACC9">
      <w:pPr>
        <w:keepNext w:val="0"/>
        <w:keepLines w:val="0"/>
        <w:pageBreakBefore w:val="0"/>
        <w:widowControl w:val="0"/>
        <w:kinsoku/>
        <w:wordWrap/>
        <w:overflowPunct/>
        <w:topLinePunct w:val="0"/>
        <w:autoSpaceDE/>
        <w:autoSpaceDN/>
        <w:bidi w:val="0"/>
        <w:adjustRightInd/>
        <w:snapToGrid/>
        <w:spacing w:before="71" w:line="360" w:lineRule="auto"/>
        <w:ind w:left="29" w:right="56" w:firstLine="472"/>
        <w:textAlignment w:val="auto"/>
        <w:rPr>
          <w:rFonts w:hint="eastAsia" w:ascii="宋体" w:hAnsi="宋体" w:eastAsia="宋体" w:cs="宋体"/>
          <w:b w:val="0"/>
          <w:bCs w:val="0"/>
          <w:spacing w:val="-3"/>
          <w:sz w:val="28"/>
          <w:szCs w:val="28"/>
        </w:rPr>
      </w:pPr>
      <w:r>
        <w:rPr>
          <w:rFonts w:hint="eastAsia" w:ascii="宋体" w:hAnsi="宋体" w:eastAsia="宋体" w:cs="宋体"/>
          <w:b w:val="0"/>
          <w:bCs w:val="0"/>
          <w:spacing w:val="-3"/>
          <w:sz w:val="28"/>
          <w:szCs w:val="28"/>
        </w:rPr>
        <w:t>本单位对上述承诺的真实性负责。如有虚假，将依法承担相应责任。</w:t>
      </w:r>
    </w:p>
    <w:p w14:paraId="2ABCF102">
      <w:pPr>
        <w:pStyle w:val="12"/>
        <w:spacing w:line="282" w:lineRule="auto"/>
        <w:rPr>
          <w:rFonts w:hint="eastAsia" w:ascii="宋体" w:hAnsi="宋体" w:eastAsia="宋体" w:cs="宋体"/>
          <w:sz w:val="28"/>
          <w:szCs w:val="28"/>
        </w:rPr>
      </w:pPr>
    </w:p>
    <w:p w14:paraId="23C58BF0">
      <w:pPr>
        <w:pStyle w:val="12"/>
        <w:spacing w:line="283" w:lineRule="auto"/>
        <w:rPr>
          <w:rFonts w:hint="eastAsia" w:ascii="宋体" w:hAnsi="宋体" w:eastAsia="宋体" w:cs="宋体"/>
          <w:sz w:val="28"/>
          <w:szCs w:val="28"/>
        </w:rPr>
      </w:pPr>
    </w:p>
    <w:p w14:paraId="6CD95667">
      <w:pPr>
        <w:spacing w:before="79" w:line="468" w:lineRule="exact"/>
        <w:ind w:right="14"/>
        <w:jc w:val="right"/>
        <w:rPr>
          <w:rFonts w:hint="eastAsia" w:ascii="宋体" w:hAnsi="宋体" w:eastAsia="宋体" w:cs="宋体"/>
          <w:spacing w:val="1"/>
          <w:position w:val="17"/>
          <w:sz w:val="28"/>
          <w:szCs w:val="28"/>
        </w:rPr>
      </w:pPr>
    </w:p>
    <w:p w14:paraId="5B3E078D">
      <w:pPr>
        <w:spacing w:before="79" w:line="468" w:lineRule="exact"/>
        <w:ind w:right="14"/>
        <w:jc w:val="right"/>
        <w:rPr>
          <w:rFonts w:hint="eastAsia" w:ascii="宋体" w:hAnsi="宋体" w:eastAsia="宋体" w:cs="宋体"/>
          <w:sz w:val="28"/>
          <w:szCs w:val="28"/>
        </w:rPr>
      </w:pPr>
      <w:r>
        <w:rPr>
          <w:rFonts w:hint="eastAsia" w:ascii="宋体" w:hAnsi="宋体" w:eastAsia="宋体" w:cs="宋体"/>
          <w:spacing w:val="1"/>
          <w:position w:val="17"/>
          <w:sz w:val="28"/>
          <w:szCs w:val="28"/>
        </w:rPr>
        <w:t>供应商</w:t>
      </w:r>
      <w:r>
        <w:rPr>
          <w:rFonts w:hint="eastAsia" w:ascii="宋体" w:hAnsi="宋体" w:eastAsia="宋体" w:cs="宋体"/>
          <w:spacing w:val="-15"/>
          <w:position w:val="17"/>
          <w:sz w:val="28"/>
          <w:szCs w:val="28"/>
        </w:rPr>
        <w:t>：（</w:t>
      </w:r>
      <w:r>
        <w:rPr>
          <w:rFonts w:hint="eastAsia" w:ascii="宋体" w:hAnsi="宋体" w:eastAsia="宋体" w:cs="宋体"/>
          <w:spacing w:val="1"/>
          <w:position w:val="17"/>
          <w:sz w:val="28"/>
          <w:szCs w:val="28"/>
        </w:rPr>
        <w:t>盖单位电子印章）</w:t>
      </w:r>
    </w:p>
    <w:p w14:paraId="77EC237D">
      <w:pPr>
        <w:spacing w:before="1" w:line="221" w:lineRule="auto"/>
        <w:ind w:right="14"/>
        <w:jc w:val="right"/>
        <w:rPr>
          <w:rFonts w:hint="eastAsia" w:ascii="宋体" w:hAnsi="宋体" w:eastAsia="宋体" w:cs="宋体"/>
          <w:sz w:val="28"/>
          <w:szCs w:val="28"/>
        </w:rPr>
      </w:pPr>
      <w:r>
        <w:rPr>
          <w:rFonts w:hint="eastAsia" w:ascii="宋体" w:hAnsi="宋体" w:eastAsia="宋体" w:cs="宋体"/>
          <w:spacing w:val="1"/>
          <w:sz w:val="28"/>
          <w:szCs w:val="28"/>
        </w:rPr>
        <w:t>法定代表人</w:t>
      </w:r>
      <w:r>
        <w:rPr>
          <w:rFonts w:hint="eastAsia" w:ascii="宋体" w:hAnsi="宋体" w:eastAsia="宋体" w:cs="宋体"/>
          <w:spacing w:val="-18"/>
          <w:sz w:val="28"/>
          <w:szCs w:val="28"/>
        </w:rPr>
        <w:t>：（</w:t>
      </w:r>
      <w:r>
        <w:rPr>
          <w:rFonts w:hint="eastAsia" w:ascii="宋体" w:hAnsi="宋体" w:eastAsia="宋体" w:cs="宋体"/>
          <w:spacing w:val="1"/>
          <w:sz w:val="28"/>
          <w:szCs w:val="28"/>
        </w:rPr>
        <w:t>盖电子印章）</w:t>
      </w:r>
    </w:p>
    <w:p w14:paraId="7B4C77EE">
      <w:pPr>
        <w:spacing w:before="178" w:line="222" w:lineRule="auto"/>
        <w:jc w:val="right"/>
        <w:rPr>
          <w:rFonts w:hint="eastAsia" w:ascii="宋体" w:hAnsi="宋体" w:eastAsia="宋体" w:cs="宋体"/>
          <w:sz w:val="28"/>
          <w:szCs w:val="28"/>
        </w:rPr>
      </w:pPr>
      <w:r>
        <w:rPr>
          <w:rFonts w:hint="eastAsia" w:ascii="宋体" w:hAnsi="宋体" w:eastAsia="宋体" w:cs="宋体"/>
          <w:spacing w:val="-31"/>
          <w:sz w:val="28"/>
          <w:szCs w:val="28"/>
        </w:rPr>
        <w:t>日期：</w:t>
      </w:r>
      <w:r>
        <w:rPr>
          <w:rFonts w:hint="eastAsia" w:ascii="宋体" w:hAnsi="宋体" w:eastAsia="宋体" w:cs="宋体"/>
          <w:spacing w:val="8"/>
          <w:sz w:val="28"/>
          <w:szCs w:val="28"/>
        </w:rPr>
        <w:t xml:space="preserve">   </w:t>
      </w:r>
      <w:r>
        <w:rPr>
          <w:rFonts w:hint="eastAsia" w:ascii="宋体" w:hAnsi="宋体" w:eastAsia="宋体" w:cs="宋体"/>
          <w:spacing w:val="-31"/>
          <w:sz w:val="28"/>
          <w:szCs w:val="28"/>
        </w:rPr>
        <w:t>年</w:t>
      </w:r>
      <w:r>
        <w:rPr>
          <w:rFonts w:hint="eastAsia" w:ascii="宋体" w:hAnsi="宋体" w:eastAsia="宋体" w:cs="宋体"/>
          <w:spacing w:val="9"/>
          <w:sz w:val="28"/>
          <w:szCs w:val="28"/>
        </w:rPr>
        <w:t xml:space="preserve">   </w:t>
      </w:r>
      <w:r>
        <w:rPr>
          <w:rFonts w:hint="eastAsia" w:ascii="宋体" w:hAnsi="宋体" w:eastAsia="宋体" w:cs="宋体"/>
          <w:spacing w:val="-31"/>
          <w:sz w:val="28"/>
          <w:szCs w:val="28"/>
        </w:rPr>
        <w:t>月</w:t>
      </w:r>
      <w:r>
        <w:rPr>
          <w:rFonts w:hint="eastAsia" w:ascii="宋体" w:hAnsi="宋体" w:eastAsia="宋体" w:cs="宋体"/>
          <w:spacing w:val="33"/>
          <w:sz w:val="28"/>
          <w:szCs w:val="28"/>
        </w:rPr>
        <w:t xml:space="preserve">  </w:t>
      </w:r>
      <w:r>
        <w:rPr>
          <w:rFonts w:hint="eastAsia" w:ascii="宋体" w:hAnsi="宋体" w:eastAsia="宋体" w:cs="宋体"/>
          <w:spacing w:val="-31"/>
          <w:sz w:val="28"/>
          <w:szCs w:val="28"/>
        </w:rPr>
        <w:t>日</w:t>
      </w:r>
    </w:p>
    <w:p w14:paraId="4483497E">
      <w:pPr>
        <w:spacing w:line="222" w:lineRule="auto"/>
        <w:rPr>
          <w:rFonts w:hint="eastAsia" w:ascii="宋体" w:hAnsi="宋体" w:eastAsia="宋体" w:cs="宋体"/>
          <w:sz w:val="28"/>
          <w:szCs w:val="28"/>
        </w:rPr>
        <w:sectPr>
          <w:footerReference r:id="rId20" w:type="default"/>
          <w:pgSz w:w="11907" w:h="16840"/>
          <w:pgMar w:top="1431" w:right="1786" w:bottom="1014" w:left="1786" w:header="0" w:footer="852" w:gutter="0"/>
          <w:pgBorders>
            <w:top w:val="none" w:sz="0" w:space="0"/>
            <w:left w:val="none" w:sz="0" w:space="0"/>
            <w:bottom w:val="none" w:sz="0" w:space="0"/>
            <w:right w:val="none" w:sz="0" w:space="0"/>
          </w:pgBorders>
          <w:pgNumType w:fmt="decimal"/>
          <w:cols w:space="720" w:num="1"/>
        </w:sectPr>
      </w:pPr>
    </w:p>
    <w:p w14:paraId="32E06E81">
      <w:pPr>
        <w:pStyle w:val="12"/>
        <w:spacing w:line="292" w:lineRule="auto"/>
        <w:rPr>
          <w:rFonts w:ascii="仿宋" w:hAnsi="仿宋" w:eastAsia="仿宋" w:cs="仿宋"/>
          <w:sz w:val="31"/>
          <w:szCs w:val="31"/>
        </w:rPr>
      </w:pPr>
      <w:r>
        <mc:AlternateContent>
          <mc:Choice Requires="wps">
            <w:drawing>
              <wp:anchor distT="0" distB="0" distL="114300" distR="114300" simplePos="0" relativeHeight="251676672" behindDoc="0" locked="0" layoutInCell="0" allowOverlap="1">
                <wp:simplePos x="0" y="0"/>
                <wp:positionH relativeFrom="page">
                  <wp:posOffset>1143000</wp:posOffset>
                </wp:positionH>
                <wp:positionV relativeFrom="page">
                  <wp:posOffset>9552305</wp:posOffset>
                </wp:positionV>
                <wp:extent cx="1828800" cy="0"/>
                <wp:effectExtent l="0" t="0" r="0" b="0"/>
                <wp:wrapNone/>
                <wp:docPr id="4" name="任意多边形 4"/>
                <wp:cNvGraphicFramePr/>
                <a:graphic xmlns:a="http://schemas.openxmlformats.org/drawingml/2006/main">
                  <a:graphicData uri="http://schemas.microsoft.com/office/word/2010/wordprocessingShape">
                    <wps:wsp>
                      <wps:cNvSpPr/>
                      <wps:spPr>
                        <a:xfrm>
                          <a:off x="0" y="0"/>
                          <a:ext cx="1828800" cy="0"/>
                        </a:xfrm>
                        <a:custGeom>
                          <a:avLst/>
                          <a:gdLst/>
                          <a:ahLst/>
                          <a:cxnLst/>
                          <a:pathLst>
                            <a:path w="2880">
                              <a:moveTo>
                                <a:pt x="0" y="0"/>
                              </a:moveTo>
                              <a:lnTo>
                                <a:pt x="2880" y="0"/>
                              </a:lnTo>
                            </a:path>
                          </a:pathLst>
                        </a:custGeom>
                        <a:noFill/>
                        <a:ln w="0" cap="sq"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90pt;margin-top:752.15pt;height:0pt;width:144pt;mso-position-horizontal-relative:page;mso-position-vertical-relative:page;z-index:251676672;mso-width-relative:page;mso-height-relative:page;" filled="f" stroked="t" coordsize="2880,1" o:allowincell="f" o:gfxdata="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g&#10;iCT71QAAAA0BAAAPAAAAAAAAAAEAIAAAACIAAABkcnMvZG93bnJldi54bWxQSwECFAAUAAAACACH&#10;TuJAbbCFuicCAACHBAAADgAAAAAAAAABACAAAAAkAQAAZHJzL2Uyb0RvYy54bWxQSwUGAAAAAAYA&#10;BgBZAQAAvQUAAAAA&#10;" path="m0,0l2880,0e">
                <v:fill on="f" focussize="0,0"/>
                <v:stroke weight="0pt" color="#000000" joinstyle="bevel" endcap="square"/>
                <v:imagedata o:title=""/>
                <o:lock v:ext="edit" aspectratio="f"/>
              </v:shape>
            </w:pict>
          </mc:Fallback>
        </mc:AlternateContent>
      </w:r>
      <w:r>
        <w:rPr>
          <w:rFonts w:ascii="仿宋" w:hAnsi="仿宋" w:eastAsia="仿宋" w:cs="仿宋"/>
          <w:spacing w:val="7"/>
          <w:sz w:val="31"/>
          <w:szCs w:val="31"/>
          <w14:textOutline w14:w="5793" w14:cap="sq" w14:cmpd="sng">
            <w14:solidFill>
              <w14:srgbClr w14:val="000000"/>
            </w14:solidFill>
            <w14:prstDash w14:val="solid"/>
            <w14:bevel/>
          </w14:textOutline>
        </w:rPr>
        <w:t>十一、其他证明材料</w:t>
      </w:r>
    </w:p>
    <w:p w14:paraId="67C9057A">
      <w:pPr>
        <w:spacing w:before="289" w:line="222" w:lineRule="auto"/>
        <w:ind w:left="520"/>
        <w:rPr>
          <w:rFonts w:hint="eastAsia" w:ascii="宋体" w:hAnsi="宋体" w:eastAsia="宋体" w:cs="宋体"/>
          <w:sz w:val="28"/>
          <w:szCs w:val="28"/>
        </w:rPr>
      </w:pPr>
      <w:r>
        <w:rPr>
          <w:rFonts w:hint="eastAsia" w:ascii="宋体" w:hAnsi="宋体" w:eastAsia="宋体" w:cs="宋体"/>
          <w:spacing w:val="-2"/>
          <w:sz w:val="28"/>
          <w:szCs w:val="28"/>
        </w:rPr>
        <w:t>1.法定代表人授权委托书或法定代表人证明</w:t>
      </w:r>
    </w:p>
    <w:p w14:paraId="2EED7D71">
      <w:pPr>
        <w:spacing w:before="162" w:line="229" w:lineRule="auto"/>
        <w:ind w:left="2717"/>
        <w:outlineLvl w:val="3"/>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法定代表人授权委托书</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"bookmark9" </w:instrText>
      </w:r>
      <w:r>
        <w:rPr>
          <w:rFonts w:hint="eastAsia" w:ascii="宋体" w:hAnsi="宋体" w:eastAsia="宋体" w:cs="宋体"/>
          <w:sz w:val="28"/>
          <w:szCs w:val="28"/>
        </w:rPr>
        <w:fldChar w:fldCharType="separate"/>
      </w:r>
      <w:r>
        <w:rPr>
          <w:rFonts w:hint="eastAsia" w:ascii="宋体" w:hAnsi="宋体" w:eastAsia="宋体" w:cs="宋体"/>
          <w:spacing w:val="-1"/>
          <w:position w:val="14"/>
          <w:sz w:val="28"/>
          <w:szCs w:val="28"/>
          <w14:textOutline w14:w="2524" w14:cap="sq" w14:cmpd="sng">
            <w14:solidFill>
              <w14:srgbClr w14:val="000000"/>
            </w14:solidFill>
            <w14:prstDash w14:val="solid"/>
            <w14:bevel/>
          </w14:textOutline>
        </w:rPr>
        <w:t>①</w:t>
      </w:r>
      <w:r>
        <w:rPr>
          <w:rFonts w:hint="eastAsia" w:ascii="宋体" w:hAnsi="宋体" w:eastAsia="宋体" w:cs="宋体"/>
          <w:spacing w:val="-1"/>
          <w:position w:val="14"/>
          <w:sz w:val="28"/>
          <w:szCs w:val="28"/>
          <w14:textOutline w14:w="2524" w14:cap="sq" w14:cmpd="sng">
            <w14:solidFill>
              <w14:srgbClr w14:val="000000"/>
            </w14:solidFill>
            <w14:prstDash w14:val="solid"/>
            <w14:bevel/>
          </w14:textOutline>
        </w:rPr>
        <w:fldChar w:fldCharType="end"/>
      </w:r>
    </w:p>
    <w:p w14:paraId="0A7CEB72">
      <w:pPr>
        <w:spacing w:before="213" w:line="359" w:lineRule="auto"/>
        <w:ind w:left="29" w:firstLine="481"/>
        <w:rPr>
          <w:rFonts w:hint="eastAsia" w:ascii="宋体" w:hAnsi="宋体" w:eastAsia="宋体" w:cs="宋体"/>
          <w:sz w:val="28"/>
          <w:szCs w:val="28"/>
        </w:rPr>
      </w:pPr>
      <w:r>
        <w:rPr>
          <w:rFonts w:hint="eastAsia" w:ascii="宋体" w:hAnsi="宋体" w:eastAsia="宋体" w:cs="宋体"/>
          <w:sz w:val="28"/>
          <w:szCs w:val="28"/>
        </w:rPr>
        <w:t>本授权委托书申明，我</w:t>
      </w:r>
      <w:r>
        <w:rPr>
          <w:rFonts w:hint="eastAsia" w:ascii="宋体" w:hAnsi="宋体" w:eastAsia="宋体" w:cs="宋体"/>
          <w:spacing w:val="47"/>
          <w:sz w:val="28"/>
          <w:szCs w:val="28"/>
          <w:u w:val="single" w:color="auto"/>
        </w:rPr>
        <w:t xml:space="preserve">  </w:t>
      </w:r>
      <w:r>
        <w:rPr>
          <w:rFonts w:hint="eastAsia" w:ascii="宋体" w:hAnsi="宋体" w:eastAsia="宋体" w:cs="宋体"/>
          <w:sz w:val="28"/>
          <w:szCs w:val="28"/>
          <w:u w:val="single" w:color="auto"/>
        </w:rPr>
        <w:t>（姓名）</w:t>
      </w:r>
      <w:r>
        <w:rPr>
          <w:rFonts w:hint="eastAsia" w:ascii="宋体" w:hAnsi="宋体" w:eastAsia="宋体" w:cs="宋体"/>
          <w:sz w:val="28"/>
          <w:szCs w:val="28"/>
        </w:rPr>
        <w:t>系</w:t>
      </w:r>
      <w:r>
        <w:rPr>
          <w:rFonts w:hint="eastAsia" w:ascii="宋体" w:hAnsi="宋体" w:eastAsia="宋体" w:cs="宋体"/>
          <w:spacing w:val="26"/>
          <w:sz w:val="28"/>
          <w:szCs w:val="28"/>
          <w:u w:val="single" w:color="auto"/>
        </w:rPr>
        <w:t xml:space="preserve">    </w:t>
      </w:r>
      <w:r>
        <w:rPr>
          <w:rFonts w:hint="eastAsia" w:ascii="宋体" w:hAnsi="宋体" w:eastAsia="宋体" w:cs="宋体"/>
          <w:sz w:val="28"/>
          <w:szCs w:val="28"/>
          <w:u w:val="single" w:color="auto"/>
        </w:rPr>
        <w:t>（供应商名称）</w:t>
      </w:r>
      <w:r>
        <w:rPr>
          <w:rFonts w:hint="eastAsia" w:ascii="宋体" w:hAnsi="宋体" w:eastAsia="宋体" w:cs="宋体"/>
          <w:sz w:val="28"/>
          <w:szCs w:val="28"/>
        </w:rPr>
        <w:t>的法定代表人，</w:t>
      </w:r>
      <w:r>
        <w:rPr>
          <w:rFonts w:hint="eastAsia" w:ascii="宋体" w:hAnsi="宋体" w:eastAsia="宋体" w:cs="宋体"/>
          <w:spacing w:val="1"/>
          <w:sz w:val="28"/>
          <w:szCs w:val="28"/>
        </w:rPr>
        <w:t xml:space="preserve"> </w:t>
      </w:r>
      <w:r>
        <w:rPr>
          <w:rFonts w:hint="eastAsia" w:ascii="宋体" w:hAnsi="宋体" w:eastAsia="宋体" w:cs="宋体"/>
          <w:spacing w:val="2"/>
          <w:sz w:val="28"/>
          <w:szCs w:val="28"/>
        </w:rPr>
        <w:t>现授权委托</w:t>
      </w:r>
      <w:r>
        <w:rPr>
          <w:rFonts w:hint="eastAsia" w:ascii="宋体" w:hAnsi="宋体" w:eastAsia="宋体" w:cs="宋体"/>
          <w:spacing w:val="2"/>
          <w:sz w:val="28"/>
          <w:szCs w:val="28"/>
          <w:u w:val="single" w:color="auto"/>
        </w:rPr>
        <w:t xml:space="preserve">  （姓名） </w:t>
      </w:r>
      <w:r>
        <w:rPr>
          <w:rFonts w:hint="eastAsia" w:ascii="宋体" w:hAnsi="宋体" w:eastAsia="宋体" w:cs="宋体"/>
          <w:spacing w:val="-94"/>
          <w:sz w:val="28"/>
          <w:szCs w:val="28"/>
        </w:rPr>
        <w:t xml:space="preserve"> </w:t>
      </w:r>
      <w:r>
        <w:rPr>
          <w:rFonts w:hint="eastAsia" w:ascii="宋体" w:hAnsi="宋体" w:eastAsia="宋体" w:cs="宋体"/>
          <w:spacing w:val="2"/>
          <w:sz w:val="28"/>
          <w:szCs w:val="28"/>
        </w:rPr>
        <w:t>为我方授权委托人，参</w:t>
      </w:r>
      <w:r>
        <w:rPr>
          <w:rFonts w:hint="eastAsia" w:ascii="宋体" w:hAnsi="宋体" w:eastAsia="宋体" w:cs="宋体"/>
          <w:spacing w:val="2"/>
          <w:sz w:val="28"/>
          <w:szCs w:val="28"/>
          <w:u w:val="single" w:color="auto"/>
        </w:rPr>
        <w:t>加</w:t>
      </w:r>
      <w:r>
        <w:rPr>
          <w:rFonts w:hint="eastAsia" w:ascii="宋体" w:hAnsi="宋体" w:eastAsia="宋体" w:cs="宋体"/>
          <w:spacing w:val="17"/>
          <w:sz w:val="28"/>
          <w:szCs w:val="28"/>
          <w:u w:val="single" w:color="auto"/>
        </w:rPr>
        <w:t xml:space="preserve">   </w:t>
      </w:r>
      <w:r>
        <w:rPr>
          <w:rFonts w:hint="eastAsia" w:ascii="宋体" w:hAnsi="宋体" w:eastAsia="宋体" w:cs="宋体"/>
          <w:spacing w:val="2"/>
          <w:sz w:val="28"/>
          <w:szCs w:val="28"/>
          <w:u w:val="single" w:color="auto"/>
        </w:rPr>
        <w:t>（采购人名称</w:t>
      </w:r>
      <w:r>
        <w:rPr>
          <w:rFonts w:hint="eastAsia" w:ascii="宋体" w:hAnsi="宋体" w:eastAsia="宋体" w:cs="宋体"/>
          <w:spacing w:val="-9"/>
          <w:sz w:val="28"/>
          <w:szCs w:val="28"/>
          <w:u w:val="single" w:color="auto"/>
        </w:rPr>
        <w:t>）</w:t>
      </w:r>
      <w:r>
        <w:rPr>
          <w:rFonts w:hint="eastAsia" w:ascii="宋体" w:hAnsi="宋体" w:eastAsia="宋体" w:cs="宋体"/>
          <w:spacing w:val="2"/>
          <w:sz w:val="28"/>
          <w:szCs w:val="28"/>
          <w:u w:val="single" w:color="auto"/>
        </w:rPr>
        <w:t xml:space="preserve">    </w:t>
      </w:r>
      <w:r>
        <w:rPr>
          <w:rFonts w:hint="eastAsia" w:ascii="宋体" w:hAnsi="宋体" w:eastAsia="宋体" w:cs="宋体"/>
          <w:spacing w:val="-9"/>
          <w:sz w:val="28"/>
          <w:szCs w:val="28"/>
          <w:u w:val="single" w:color="auto"/>
        </w:rPr>
        <w:t>（</w:t>
      </w:r>
      <w:r>
        <w:rPr>
          <w:rFonts w:hint="eastAsia" w:ascii="宋体" w:hAnsi="宋体" w:eastAsia="宋体" w:cs="宋体"/>
          <w:spacing w:val="2"/>
          <w:sz w:val="28"/>
          <w:szCs w:val="28"/>
          <w:u w:val="single" w:color="auto"/>
        </w:rPr>
        <w:t>项</w:t>
      </w:r>
      <w:r>
        <w:rPr>
          <w:rFonts w:hint="eastAsia" w:ascii="宋体" w:hAnsi="宋体" w:eastAsia="宋体" w:cs="宋体"/>
          <w:spacing w:val="-4"/>
          <w:sz w:val="28"/>
          <w:szCs w:val="28"/>
          <w:u w:val="single" w:color="auto"/>
        </w:rPr>
        <w:t>目名称）</w:t>
      </w:r>
      <w:r>
        <w:rPr>
          <w:rFonts w:hint="eastAsia" w:ascii="宋体" w:hAnsi="宋体" w:eastAsia="宋体" w:cs="宋体"/>
          <w:spacing w:val="-44"/>
          <w:sz w:val="28"/>
          <w:szCs w:val="28"/>
          <w:u w:val="single" w:color="auto"/>
        </w:rPr>
        <w:t xml:space="preserve"> </w:t>
      </w:r>
      <w:r>
        <w:rPr>
          <w:rFonts w:hint="eastAsia" w:ascii="宋体" w:hAnsi="宋体" w:eastAsia="宋体" w:cs="宋体"/>
          <w:spacing w:val="-90"/>
          <w:sz w:val="28"/>
          <w:szCs w:val="28"/>
        </w:rPr>
        <w:t xml:space="preserve"> </w:t>
      </w:r>
      <w:r>
        <w:rPr>
          <w:rFonts w:hint="eastAsia" w:ascii="宋体" w:hAnsi="宋体" w:eastAsia="宋体" w:cs="宋体"/>
          <w:spacing w:val="-4"/>
          <w:sz w:val="28"/>
          <w:szCs w:val="28"/>
        </w:rPr>
        <w:t>的竞争性磋商采购活动。授权委托人在本项目的竞争性磋商采购活动、</w:t>
      </w:r>
      <w:r>
        <w:rPr>
          <w:rFonts w:hint="eastAsia" w:ascii="宋体" w:hAnsi="宋体" w:eastAsia="宋体" w:cs="宋体"/>
          <w:sz w:val="28"/>
          <w:szCs w:val="28"/>
        </w:rPr>
        <w:t xml:space="preserve"> </w:t>
      </w:r>
      <w:r>
        <w:rPr>
          <w:rFonts w:hint="eastAsia" w:ascii="宋体" w:hAnsi="宋体" w:eastAsia="宋体" w:cs="宋体"/>
          <w:spacing w:val="4"/>
          <w:sz w:val="28"/>
          <w:szCs w:val="28"/>
        </w:rPr>
        <w:t>合同洽谈及合同的执行时签署的一切文件和处</w:t>
      </w:r>
      <w:r>
        <w:rPr>
          <w:rFonts w:hint="eastAsia" w:ascii="宋体" w:hAnsi="宋体" w:eastAsia="宋体" w:cs="宋体"/>
          <w:spacing w:val="3"/>
          <w:sz w:val="28"/>
          <w:szCs w:val="28"/>
        </w:rPr>
        <w:t>理与之有关的一切事</w:t>
      </w:r>
      <w:r>
        <w:rPr>
          <w:rFonts w:hint="eastAsia" w:ascii="宋体" w:hAnsi="宋体" w:eastAsia="宋体" w:cs="宋体"/>
          <w:spacing w:val="-3"/>
          <w:sz w:val="28"/>
          <w:szCs w:val="28"/>
        </w:rPr>
        <w:t>务，我均予以承认，并承担其法律后果。委托期限：自本委托书签发之日起至</w:t>
      </w:r>
      <w:r>
        <w:rPr>
          <w:rFonts w:hint="eastAsia" w:ascii="宋体" w:hAnsi="宋体" w:eastAsia="宋体" w:cs="宋体"/>
          <w:spacing w:val="-2"/>
          <w:sz w:val="28"/>
          <w:szCs w:val="28"/>
        </w:rPr>
        <w:t>本项目履约结束时止。</w:t>
      </w:r>
    </w:p>
    <w:p w14:paraId="30A7597F">
      <w:pPr>
        <w:spacing w:before="181" w:line="219" w:lineRule="auto"/>
        <w:ind w:left="509"/>
        <w:rPr>
          <w:rFonts w:hint="eastAsia" w:ascii="宋体" w:hAnsi="宋体" w:eastAsia="宋体" w:cs="宋体"/>
          <w:sz w:val="28"/>
          <w:szCs w:val="28"/>
        </w:rPr>
      </w:pPr>
      <w:r>
        <w:rPr>
          <w:rFonts w:hint="eastAsia" w:ascii="宋体" w:hAnsi="宋体" w:eastAsia="宋体" w:cs="宋体"/>
          <w:spacing w:val="-1"/>
          <w:sz w:val="28"/>
          <w:szCs w:val="28"/>
        </w:rPr>
        <w:t>授权委托人无转委托权，特此委托。</w:t>
      </w:r>
    </w:p>
    <w:p w14:paraId="14CDA262">
      <w:pPr>
        <w:spacing w:before="181" w:line="222" w:lineRule="auto"/>
        <w:ind w:left="509"/>
        <w:rPr>
          <w:rFonts w:hint="eastAsia" w:ascii="宋体" w:hAnsi="宋体" w:eastAsia="宋体" w:cs="宋体"/>
          <w:sz w:val="28"/>
          <w:szCs w:val="28"/>
        </w:rPr>
      </w:pPr>
      <w:r>
        <w:rPr>
          <w:rFonts w:hint="eastAsia" w:ascii="宋体" w:hAnsi="宋体" w:eastAsia="宋体" w:cs="宋体"/>
          <w:spacing w:val="1"/>
          <w:sz w:val="28"/>
          <w:szCs w:val="28"/>
        </w:rPr>
        <w:t>授权委托人</w:t>
      </w:r>
      <w:r>
        <w:rPr>
          <w:rFonts w:hint="eastAsia" w:ascii="宋体" w:hAnsi="宋体" w:eastAsia="宋体" w:cs="宋体"/>
          <w:spacing w:val="-18"/>
          <w:sz w:val="28"/>
          <w:szCs w:val="28"/>
        </w:rPr>
        <w:t>：</w:t>
      </w:r>
      <w:r>
        <w:rPr>
          <w:rFonts w:hint="eastAsia" w:ascii="宋体" w:hAnsi="宋体" w:eastAsia="宋体" w:cs="宋体"/>
          <w:spacing w:val="3"/>
          <w:sz w:val="28"/>
          <w:szCs w:val="28"/>
          <w:u w:val="single" w:color="auto"/>
        </w:rPr>
        <w:t xml:space="preserve">        </w:t>
      </w:r>
      <w:r>
        <w:rPr>
          <w:rFonts w:hint="eastAsia" w:ascii="宋体" w:hAnsi="宋体" w:eastAsia="宋体" w:cs="宋体"/>
          <w:spacing w:val="-18"/>
          <w:sz w:val="28"/>
          <w:szCs w:val="28"/>
        </w:rPr>
        <w:t>（</w:t>
      </w:r>
      <w:r>
        <w:rPr>
          <w:rFonts w:hint="eastAsia" w:ascii="宋体" w:hAnsi="宋体" w:eastAsia="宋体" w:cs="宋体"/>
          <w:spacing w:val="1"/>
          <w:sz w:val="28"/>
          <w:szCs w:val="28"/>
        </w:rPr>
        <w:t>电子响应文件中须输入姓名）</w:t>
      </w:r>
    </w:p>
    <w:p w14:paraId="76B1C8A7">
      <w:pPr>
        <w:spacing w:before="180" w:line="358" w:lineRule="auto"/>
        <w:ind w:left="509"/>
        <w:rPr>
          <w:rFonts w:hint="eastAsia" w:ascii="宋体" w:hAnsi="宋体" w:eastAsia="宋体" w:cs="宋体"/>
          <w:sz w:val="28"/>
          <w:szCs w:val="28"/>
        </w:rPr>
      </w:pPr>
      <w:r>
        <w:rPr>
          <w:rFonts w:hint="eastAsia" w:ascii="宋体" w:hAnsi="宋体" w:eastAsia="宋体" w:cs="宋体"/>
          <w:spacing w:val="-2"/>
          <w:sz w:val="28"/>
          <w:szCs w:val="28"/>
        </w:rPr>
        <w:t>授权委托人身份证号码：</w:t>
      </w:r>
      <w:r>
        <w:rPr>
          <w:rFonts w:hint="eastAsia" w:ascii="宋体" w:hAnsi="宋体" w:eastAsia="宋体" w:cs="宋体"/>
          <w:sz w:val="28"/>
          <w:szCs w:val="28"/>
          <w:u w:val="single" w:color="auto"/>
        </w:rPr>
        <w:t xml:space="preserve">           </w:t>
      </w:r>
    </w:p>
    <w:p w14:paraId="6B2DCF86">
      <w:pPr>
        <w:spacing w:line="222" w:lineRule="auto"/>
        <w:ind w:left="509"/>
        <w:rPr>
          <w:rFonts w:hint="eastAsia" w:ascii="宋体" w:hAnsi="宋体" w:eastAsia="宋体" w:cs="宋体"/>
          <w:sz w:val="28"/>
          <w:szCs w:val="28"/>
        </w:rPr>
      </w:pPr>
      <w:r>
        <w:rPr>
          <w:rFonts w:hint="eastAsia" w:ascii="宋体" w:hAnsi="宋体" w:eastAsia="宋体" w:cs="宋体"/>
          <w:spacing w:val="-2"/>
          <w:sz w:val="28"/>
          <w:szCs w:val="28"/>
        </w:rPr>
        <w:t>授权委托人联系方式：</w:t>
      </w:r>
      <w:r>
        <w:rPr>
          <w:rFonts w:hint="eastAsia" w:ascii="宋体" w:hAnsi="宋体" w:eastAsia="宋体" w:cs="宋体"/>
          <w:sz w:val="28"/>
          <w:szCs w:val="28"/>
          <w:u w:val="single" w:color="auto"/>
        </w:rPr>
        <w:t xml:space="preserve">          </w:t>
      </w:r>
    </w:p>
    <w:p w14:paraId="571230CC">
      <w:pPr>
        <w:spacing w:before="179" w:line="360" w:lineRule="auto"/>
        <w:ind w:left="513"/>
        <w:rPr>
          <w:rFonts w:hint="eastAsia" w:ascii="宋体" w:hAnsi="宋体" w:eastAsia="宋体" w:cs="宋体"/>
          <w:sz w:val="28"/>
          <w:szCs w:val="28"/>
        </w:rPr>
      </w:pPr>
      <w:r>
        <w:rPr>
          <w:rFonts w:hint="eastAsia" w:ascii="宋体" w:hAnsi="宋体" w:eastAsia="宋体" w:cs="宋体"/>
          <w:spacing w:val="-7"/>
          <w:sz w:val="28"/>
          <w:szCs w:val="28"/>
        </w:rPr>
        <w:t>性别：</w:t>
      </w:r>
      <w:r>
        <w:rPr>
          <w:rFonts w:hint="eastAsia" w:ascii="宋体" w:hAnsi="宋体" w:eastAsia="宋体" w:cs="宋体"/>
          <w:sz w:val="28"/>
          <w:szCs w:val="28"/>
          <w:u w:val="single" w:color="auto"/>
        </w:rPr>
        <w:t xml:space="preserve">         </w:t>
      </w:r>
    </w:p>
    <w:p w14:paraId="5C508569">
      <w:pPr>
        <w:spacing w:line="222" w:lineRule="auto"/>
        <w:ind w:left="514"/>
        <w:rPr>
          <w:rFonts w:hint="eastAsia" w:ascii="宋体" w:hAnsi="宋体" w:eastAsia="宋体" w:cs="宋体"/>
          <w:sz w:val="28"/>
          <w:szCs w:val="28"/>
        </w:rPr>
      </w:pPr>
      <w:r>
        <w:rPr>
          <w:rFonts w:hint="eastAsia" w:ascii="宋体" w:hAnsi="宋体" w:eastAsia="宋体" w:cs="宋体"/>
          <w:spacing w:val="-7"/>
          <w:sz w:val="28"/>
          <w:szCs w:val="28"/>
        </w:rPr>
        <w:t>年龄：</w:t>
      </w:r>
      <w:r>
        <w:rPr>
          <w:rFonts w:hint="eastAsia" w:ascii="宋体" w:hAnsi="宋体" w:eastAsia="宋体" w:cs="宋体"/>
          <w:sz w:val="28"/>
          <w:szCs w:val="28"/>
          <w:u w:val="single" w:color="auto"/>
        </w:rPr>
        <w:t xml:space="preserve">         </w:t>
      </w:r>
    </w:p>
    <w:p w14:paraId="4F9B9BFA">
      <w:pPr>
        <w:spacing w:before="177" w:line="358" w:lineRule="auto"/>
        <w:ind w:left="510"/>
        <w:rPr>
          <w:rFonts w:hint="eastAsia" w:ascii="宋体" w:hAnsi="宋体" w:eastAsia="宋体" w:cs="宋体"/>
          <w:sz w:val="28"/>
          <w:szCs w:val="28"/>
        </w:rPr>
      </w:pPr>
      <w:r>
        <w:rPr>
          <w:rFonts w:hint="eastAsia" w:ascii="宋体" w:hAnsi="宋体" w:eastAsia="宋体" w:cs="宋体"/>
          <w:spacing w:val="1"/>
          <w:sz w:val="28"/>
          <w:szCs w:val="28"/>
        </w:rPr>
        <w:t>供应商</w:t>
      </w:r>
      <w:r>
        <w:rPr>
          <w:rFonts w:hint="eastAsia" w:ascii="宋体" w:hAnsi="宋体" w:eastAsia="宋体" w:cs="宋体"/>
          <w:spacing w:val="-15"/>
          <w:sz w:val="28"/>
          <w:szCs w:val="28"/>
        </w:rPr>
        <w:t>：</w:t>
      </w:r>
      <w:r>
        <w:rPr>
          <w:rFonts w:hint="eastAsia" w:ascii="宋体" w:hAnsi="宋体" w:eastAsia="宋体" w:cs="宋体"/>
          <w:spacing w:val="3"/>
          <w:sz w:val="28"/>
          <w:szCs w:val="28"/>
          <w:u w:val="single" w:color="auto"/>
        </w:rPr>
        <w:t xml:space="preserve">        </w:t>
      </w:r>
      <w:r>
        <w:rPr>
          <w:rFonts w:hint="eastAsia" w:ascii="宋体" w:hAnsi="宋体" w:eastAsia="宋体" w:cs="宋体"/>
          <w:spacing w:val="-15"/>
          <w:sz w:val="28"/>
          <w:szCs w:val="28"/>
        </w:rPr>
        <w:t>（</w:t>
      </w:r>
      <w:r>
        <w:rPr>
          <w:rFonts w:hint="eastAsia" w:ascii="宋体" w:hAnsi="宋体" w:eastAsia="宋体" w:cs="宋体"/>
          <w:spacing w:val="1"/>
          <w:sz w:val="28"/>
          <w:szCs w:val="28"/>
        </w:rPr>
        <w:t>盖单位电子印章）</w:t>
      </w:r>
    </w:p>
    <w:p w14:paraId="245598FD">
      <w:pPr>
        <w:spacing w:before="1" w:line="221" w:lineRule="auto"/>
        <w:ind w:left="517"/>
        <w:rPr>
          <w:rFonts w:hint="eastAsia" w:ascii="宋体" w:hAnsi="宋体" w:eastAsia="宋体" w:cs="宋体"/>
          <w:sz w:val="28"/>
          <w:szCs w:val="28"/>
        </w:rPr>
      </w:pPr>
      <w:r>
        <w:rPr>
          <w:rFonts w:hint="eastAsia" w:ascii="宋体" w:hAnsi="宋体" w:eastAsia="宋体" w:cs="宋体"/>
          <w:spacing w:val="1"/>
          <w:sz w:val="28"/>
          <w:szCs w:val="28"/>
        </w:rPr>
        <w:t>法定代表人</w:t>
      </w:r>
      <w:r>
        <w:rPr>
          <w:rFonts w:hint="eastAsia" w:ascii="宋体" w:hAnsi="宋体" w:eastAsia="宋体" w:cs="宋体"/>
          <w:spacing w:val="-18"/>
          <w:sz w:val="28"/>
          <w:szCs w:val="28"/>
        </w:rPr>
        <w:t>：</w:t>
      </w:r>
      <w:r>
        <w:rPr>
          <w:rFonts w:hint="eastAsia" w:ascii="宋体" w:hAnsi="宋体" w:eastAsia="宋体" w:cs="宋体"/>
          <w:spacing w:val="11"/>
          <w:sz w:val="28"/>
          <w:szCs w:val="28"/>
          <w:u w:val="single" w:color="auto"/>
        </w:rPr>
        <w:t xml:space="preserve">       </w:t>
      </w:r>
      <w:r>
        <w:rPr>
          <w:rFonts w:hint="eastAsia" w:ascii="宋体" w:hAnsi="宋体" w:eastAsia="宋体" w:cs="宋体"/>
          <w:spacing w:val="-18"/>
          <w:sz w:val="28"/>
          <w:szCs w:val="28"/>
        </w:rPr>
        <w:t>（</w:t>
      </w:r>
      <w:r>
        <w:rPr>
          <w:rFonts w:hint="eastAsia" w:ascii="宋体" w:hAnsi="宋体" w:eastAsia="宋体" w:cs="宋体"/>
          <w:spacing w:val="1"/>
          <w:sz w:val="28"/>
          <w:szCs w:val="28"/>
        </w:rPr>
        <w:t>盖电子印章）</w:t>
      </w:r>
    </w:p>
    <w:p w14:paraId="54D25172">
      <w:pPr>
        <w:spacing w:before="180" w:line="222" w:lineRule="auto"/>
        <w:ind w:left="517"/>
        <w:rPr>
          <w:rFonts w:hint="eastAsia" w:ascii="宋体" w:hAnsi="宋体" w:eastAsia="宋体" w:cs="宋体"/>
          <w:sz w:val="28"/>
          <w:szCs w:val="28"/>
        </w:rPr>
      </w:pPr>
      <w:r>
        <w:rPr>
          <w:rFonts w:hint="eastAsia" w:ascii="宋体" w:hAnsi="宋体" w:eastAsia="宋体" w:cs="宋体"/>
          <w:spacing w:val="-3"/>
          <w:sz w:val="28"/>
          <w:szCs w:val="28"/>
        </w:rPr>
        <w:t>法定代表人身份证号码：</w:t>
      </w:r>
      <w:r>
        <w:rPr>
          <w:rFonts w:hint="eastAsia" w:ascii="宋体" w:hAnsi="宋体" w:eastAsia="宋体" w:cs="宋体"/>
          <w:sz w:val="28"/>
          <w:szCs w:val="28"/>
          <w:u w:val="single" w:color="auto"/>
        </w:rPr>
        <w:t xml:space="preserve">          </w:t>
      </w:r>
    </w:p>
    <w:p w14:paraId="5A716ECD">
      <w:pPr>
        <w:spacing w:before="180" w:line="222" w:lineRule="auto"/>
        <w:ind w:left="515"/>
        <w:rPr>
          <w:rFonts w:hint="eastAsia" w:ascii="宋体" w:hAnsi="宋体" w:eastAsia="宋体" w:cs="宋体"/>
          <w:sz w:val="28"/>
          <w:szCs w:val="28"/>
        </w:rPr>
      </w:pPr>
      <w:r>
        <w:rPr>
          <w:rFonts w:hint="eastAsia" w:ascii="宋体" w:hAnsi="宋体" w:eastAsia="宋体" w:cs="宋体"/>
          <w:spacing w:val="-7"/>
          <w:sz w:val="28"/>
          <w:szCs w:val="28"/>
        </w:rPr>
        <w:t>签发日期：   年</w:t>
      </w:r>
      <w:r>
        <w:rPr>
          <w:rFonts w:hint="eastAsia" w:ascii="宋体" w:hAnsi="宋体" w:eastAsia="宋体" w:cs="宋体"/>
          <w:spacing w:val="19"/>
          <w:sz w:val="28"/>
          <w:szCs w:val="28"/>
        </w:rPr>
        <w:t xml:space="preserve">  </w:t>
      </w:r>
      <w:r>
        <w:rPr>
          <w:rFonts w:hint="eastAsia" w:ascii="宋体" w:hAnsi="宋体" w:eastAsia="宋体" w:cs="宋体"/>
          <w:spacing w:val="-7"/>
          <w:sz w:val="28"/>
          <w:szCs w:val="28"/>
        </w:rPr>
        <w:t>月</w:t>
      </w:r>
      <w:r>
        <w:rPr>
          <w:rFonts w:hint="eastAsia" w:ascii="宋体" w:hAnsi="宋体" w:eastAsia="宋体" w:cs="宋体"/>
          <w:spacing w:val="7"/>
          <w:sz w:val="28"/>
          <w:szCs w:val="28"/>
        </w:rPr>
        <w:t xml:space="preserve">  </w:t>
      </w:r>
      <w:r>
        <w:rPr>
          <w:rFonts w:hint="eastAsia" w:ascii="宋体" w:hAnsi="宋体" w:eastAsia="宋体" w:cs="宋体"/>
          <w:spacing w:val="-7"/>
          <w:sz w:val="28"/>
          <w:szCs w:val="28"/>
        </w:rPr>
        <w:t>日</w:t>
      </w:r>
    </w:p>
    <w:p w14:paraId="023370E3">
      <w:pPr>
        <w:pStyle w:val="12"/>
        <w:spacing w:line="319" w:lineRule="auto"/>
        <w:rPr>
          <w:rFonts w:hint="eastAsia" w:ascii="宋体" w:hAnsi="宋体" w:eastAsia="宋体" w:cs="宋体"/>
          <w:sz w:val="28"/>
          <w:szCs w:val="28"/>
        </w:rPr>
      </w:pPr>
    </w:p>
    <w:p w14:paraId="543BB1EB">
      <w:pPr>
        <w:pStyle w:val="12"/>
        <w:spacing w:line="320" w:lineRule="auto"/>
        <w:rPr>
          <w:rFonts w:hint="eastAsia" w:ascii="宋体" w:hAnsi="宋体" w:eastAsia="宋体" w:cs="宋体"/>
          <w:sz w:val="28"/>
          <w:szCs w:val="28"/>
        </w:rPr>
      </w:pPr>
    </w:p>
    <w:p w14:paraId="445ADD59">
      <w:pPr>
        <w:spacing w:before="91" w:line="223" w:lineRule="auto"/>
        <w:ind w:left="1094"/>
        <w:outlineLvl w:val="3"/>
        <w:rPr>
          <w:rFonts w:ascii="仿宋" w:hAnsi="仿宋" w:eastAsia="仿宋" w:cs="仿宋"/>
          <w:sz w:val="28"/>
          <w:szCs w:val="28"/>
        </w:rPr>
      </w:pPr>
      <w:bookmarkStart w:id="93" w:name="bookmark9"/>
      <w:bookmarkEnd w:id="93"/>
      <w:r>
        <w:rPr>
          <w:rFonts w:hint="eastAsia" w:ascii="宋体" w:hAnsi="宋体" w:eastAsia="宋体" w:cs="宋体"/>
          <w:sz w:val="28"/>
          <w:szCs w:val="28"/>
          <w14:textOutline w14:w="5103" w14:cap="sq" w14:cmpd="sng">
            <w14:solidFill>
              <w14:srgbClr w14:val="000000"/>
            </w14:solidFill>
            <w14:prstDash w14:val="solid"/>
            <w14:bevel/>
          </w14:textOutline>
        </w:rPr>
        <w:t>须提供法定代表人及授权人身份证正反两面扫描件</w:t>
      </w:r>
    </w:p>
    <w:p w14:paraId="2BAA5D9E">
      <w:pPr>
        <w:pStyle w:val="12"/>
        <w:spacing w:line="249" w:lineRule="auto"/>
      </w:pPr>
    </w:p>
    <w:p w14:paraId="70491E6D">
      <w:pPr>
        <w:pStyle w:val="12"/>
        <w:spacing w:line="249" w:lineRule="auto"/>
      </w:pPr>
    </w:p>
    <w:p w14:paraId="7901A858">
      <w:pPr>
        <w:pStyle w:val="12"/>
        <w:spacing w:line="249" w:lineRule="auto"/>
      </w:pPr>
    </w:p>
    <w:p w14:paraId="72E28E3C">
      <w:pPr>
        <w:pStyle w:val="12"/>
        <w:spacing w:line="250" w:lineRule="auto"/>
      </w:pPr>
    </w:p>
    <w:p w14:paraId="0E12F575">
      <w:pPr>
        <w:spacing w:before="59" w:line="222" w:lineRule="auto"/>
        <w:ind w:left="20"/>
        <w:rPr>
          <w:rFonts w:ascii="仿宋" w:hAnsi="仿宋" w:eastAsia="仿宋" w:cs="仿宋"/>
          <w:spacing w:val="-1"/>
          <w:sz w:val="20"/>
          <w:szCs w:val="20"/>
        </w:rPr>
      </w:pPr>
    </w:p>
    <w:p w14:paraId="47CD54D2">
      <w:pPr>
        <w:spacing w:before="59" w:line="222" w:lineRule="auto"/>
        <w:ind w:left="20"/>
        <w:rPr>
          <w:rFonts w:ascii="仿宋" w:hAnsi="仿宋" w:eastAsia="仿宋" w:cs="仿宋"/>
          <w:sz w:val="20"/>
          <w:szCs w:val="20"/>
        </w:rPr>
      </w:pPr>
      <w:r>
        <w:rPr>
          <w:rFonts w:ascii="仿宋" w:hAnsi="仿宋" w:eastAsia="仿宋" w:cs="仿宋"/>
          <w:spacing w:val="-1"/>
          <w:sz w:val="20"/>
          <w:szCs w:val="20"/>
        </w:rPr>
        <w:t>① 适用于授权委托人参加采购活动。</w:t>
      </w:r>
    </w:p>
    <w:p w14:paraId="45310075">
      <w:pPr>
        <w:spacing w:line="222" w:lineRule="auto"/>
        <w:rPr>
          <w:rFonts w:ascii="仿宋" w:hAnsi="仿宋" w:eastAsia="仿宋" w:cs="仿宋"/>
          <w:sz w:val="18"/>
          <w:szCs w:val="18"/>
        </w:rPr>
        <w:sectPr>
          <w:footerReference r:id="rId21" w:type="default"/>
          <w:pgSz w:w="11906" w:h="16839"/>
          <w:pgMar w:top="1431" w:right="1723" w:bottom="1156" w:left="1785" w:header="0" w:footer="994" w:gutter="0"/>
          <w:pgBorders>
            <w:top w:val="none" w:sz="0" w:space="0"/>
            <w:left w:val="none" w:sz="0" w:space="0"/>
            <w:bottom w:val="none" w:sz="0" w:space="0"/>
            <w:right w:val="none" w:sz="0" w:space="0"/>
          </w:pgBorders>
          <w:pgNumType w:fmt="decimal"/>
          <w:cols w:space="720" w:num="1"/>
        </w:sectPr>
      </w:pPr>
    </w:p>
    <w:p w14:paraId="28329CF6">
      <w:pPr>
        <w:spacing w:before="60" w:line="237" w:lineRule="auto"/>
        <w:ind w:left="3140"/>
        <w:rPr>
          <w:rFonts w:ascii="宋体" w:hAnsi="宋体" w:eastAsia="宋体" w:cs="宋体"/>
          <w:sz w:val="13"/>
          <w:szCs w:val="13"/>
        </w:rPr>
      </w:pPr>
      <w:r>
        <w:rPr>
          <w:rFonts w:hint="eastAsia" w:ascii="宋体" w:hAnsi="宋体" w:eastAsia="宋体" w:cs="宋体"/>
          <w:spacing w:val="-1"/>
          <w:sz w:val="28"/>
          <w:szCs w:val="28"/>
          <w14:textOutline w14:w="5103" w14:cap="sq" w14:cmpd="sng">
            <w14:solidFill>
              <w14:srgbClr w14:val="000000"/>
            </w14:solidFill>
            <w14:prstDash w14:val="solid"/>
            <w14:bevel/>
          </w14:textOutline>
        </w:rPr>
        <mc:AlternateContent>
          <mc:Choice Requires="wps">
            <w:drawing>
              <wp:anchor distT="0" distB="0" distL="114300" distR="114300" simplePos="0" relativeHeight="251677696" behindDoc="0" locked="0" layoutInCell="0" allowOverlap="1">
                <wp:simplePos x="0" y="0"/>
                <wp:positionH relativeFrom="page">
                  <wp:posOffset>1143000</wp:posOffset>
                </wp:positionH>
                <wp:positionV relativeFrom="page">
                  <wp:posOffset>9552305</wp:posOffset>
                </wp:positionV>
                <wp:extent cx="1828800" cy="0"/>
                <wp:effectExtent l="0" t="0" r="0" b="0"/>
                <wp:wrapNone/>
                <wp:docPr id="2" name="任意多边形 2"/>
                <wp:cNvGraphicFramePr/>
                <a:graphic xmlns:a="http://schemas.openxmlformats.org/drawingml/2006/main">
                  <a:graphicData uri="http://schemas.microsoft.com/office/word/2010/wordprocessingShape">
                    <wps:wsp>
                      <wps:cNvSpPr/>
                      <wps:spPr>
                        <a:xfrm>
                          <a:off x="0" y="0"/>
                          <a:ext cx="1828800" cy="0"/>
                        </a:xfrm>
                        <a:custGeom>
                          <a:avLst/>
                          <a:gdLst/>
                          <a:ahLst/>
                          <a:cxnLst/>
                          <a:pathLst>
                            <a:path w="2880">
                              <a:moveTo>
                                <a:pt x="0" y="0"/>
                              </a:moveTo>
                              <a:lnTo>
                                <a:pt x="2880" y="0"/>
                              </a:lnTo>
                            </a:path>
                          </a:pathLst>
                        </a:custGeom>
                        <a:noFill/>
                        <a:ln w="0" cap="sq"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90pt;margin-top:752.15pt;height:0pt;width:144pt;mso-position-horizontal-relative:page;mso-position-vertical-relative:page;z-index:251677696;mso-width-relative:page;mso-height-relative:page;" filled="f" stroked="t" coordsize="2880,1" o:allowincell="f" o:gfxdata="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g&#10;iCT71QAAAA0BAAAPAAAAAAAAAAEAIAAAACIAAABkcnMvZG93bnJldi54bWxQSwECFAAUAAAACACH&#10;TuJAjZHuwScCAACHBAAADgAAAAAAAAABACAAAAAkAQAAZHJzL2Uyb0RvYy54bWxQSwUGAAAAAAYA&#10;BgBZAQAAvQUAAAAA&#10;" path="m0,0l2880,0e">
                <v:fill on="f" focussize="0,0"/>
                <v:stroke weight="0pt" color="#000000" joinstyle="bevel" endcap="square"/>
                <v:imagedata o:title=""/>
                <o:lock v:ext="edit" aspectratio="f"/>
              </v:shape>
            </w:pict>
          </mc:Fallback>
        </mc:AlternateContent>
      </w:r>
      <w:r>
        <w:rPr>
          <w:rFonts w:hint="eastAsia" w:ascii="宋体" w:hAnsi="宋体" w:eastAsia="宋体" w:cs="宋体"/>
          <w:spacing w:val="-1"/>
          <w:sz w:val="28"/>
          <w:szCs w:val="28"/>
          <w14:textOutline w14:w="5103" w14:cap="sq" w14:cmpd="sng">
            <w14:solidFill>
              <w14:srgbClr w14:val="000000"/>
            </w14:solidFill>
            <w14:prstDash w14:val="solid"/>
            <w14:bevel/>
          </w14:textOutline>
        </w:rPr>
        <w:fldChar w:fldCharType="begin"/>
      </w:r>
      <w:r>
        <w:rPr>
          <w:rFonts w:hint="eastAsia" w:ascii="宋体" w:hAnsi="宋体" w:eastAsia="宋体" w:cs="宋体"/>
          <w:spacing w:val="-1"/>
          <w:sz w:val="28"/>
          <w:szCs w:val="28"/>
          <w14:textOutline w14:w="5103" w14:cap="sq" w14:cmpd="sng">
            <w14:solidFill>
              <w14:srgbClr w14:val="000000"/>
            </w14:solidFill>
            <w14:prstDash w14:val="solid"/>
            <w14:bevel/>
          </w14:textOutline>
        </w:rPr>
        <w:instrText xml:space="preserve"> HYPERLINK \l "bookmark10" </w:instrText>
      </w:r>
      <w:r>
        <w:rPr>
          <w:rFonts w:hint="eastAsia" w:ascii="宋体" w:hAnsi="宋体" w:eastAsia="宋体" w:cs="宋体"/>
          <w:spacing w:val="-1"/>
          <w:sz w:val="28"/>
          <w:szCs w:val="28"/>
          <w14:textOutline w14:w="5103" w14:cap="sq" w14:cmpd="sng">
            <w14:solidFill>
              <w14:srgbClr w14:val="000000"/>
            </w14:solidFill>
            <w14:prstDash w14:val="solid"/>
            <w14:bevel/>
          </w14:textOutline>
        </w:rPr>
        <w:fldChar w:fldCharType="separate"/>
      </w:r>
      <w:r>
        <w:rPr>
          <w:rFonts w:hint="eastAsia" w:ascii="宋体" w:hAnsi="宋体" w:eastAsia="宋体" w:cs="宋体"/>
          <w:spacing w:val="-1"/>
          <w:sz w:val="28"/>
          <w:szCs w:val="28"/>
          <w14:textOutline w14:w="5103" w14:cap="sq" w14:cmpd="sng">
            <w14:solidFill>
              <w14:srgbClr w14:val="000000"/>
            </w14:solidFill>
            <w14:prstDash w14:val="solid"/>
            <w14:bevel/>
          </w14:textOutline>
        </w:rPr>
        <w:t>法定代表人证明</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"bookmark9" </w:instrText>
      </w:r>
      <w:r>
        <w:rPr>
          <w:rFonts w:hint="eastAsia" w:ascii="宋体" w:hAnsi="宋体" w:eastAsia="宋体" w:cs="宋体"/>
          <w:sz w:val="28"/>
          <w:szCs w:val="28"/>
        </w:rPr>
        <w:fldChar w:fldCharType="separate"/>
      </w:r>
      <w:r>
        <w:rPr>
          <w:rFonts w:hint="eastAsia" w:ascii="宋体" w:hAnsi="宋体" w:eastAsia="宋体" w:cs="宋体"/>
          <w:spacing w:val="-1"/>
          <w:position w:val="14"/>
          <w:sz w:val="28"/>
          <w:szCs w:val="28"/>
          <w14:textOutline w14:w="2524" w14:cap="sq" w14:cmpd="sng">
            <w14:solidFill>
              <w14:srgbClr w14:val="000000"/>
            </w14:solidFill>
            <w14:prstDash w14:val="solid"/>
            <w14:bevel/>
          </w14:textOutline>
        </w:rPr>
        <w:t>①</w:t>
      </w:r>
      <w:r>
        <w:rPr>
          <w:rFonts w:hint="eastAsia" w:ascii="宋体" w:hAnsi="宋体" w:eastAsia="宋体" w:cs="宋体"/>
          <w:spacing w:val="-1"/>
          <w:position w:val="14"/>
          <w:sz w:val="28"/>
          <w:szCs w:val="28"/>
          <w14:textOutline w14:w="2524" w14:cap="sq" w14:cmpd="sng">
            <w14:solidFill>
              <w14:srgbClr w14:val="000000"/>
            </w14:solidFill>
            <w14:prstDash w14:val="solid"/>
            <w14:bevel/>
          </w14:textOutline>
        </w:rPr>
        <w:fldChar w:fldCharType="end"/>
      </w:r>
      <w:r>
        <w:rPr>
          <w:rFonts w:hint="eastAsia" w:ascii="宋体" w:hAnsi="宋体" w:eastAsia="宋体" w:cs="宋体"/>
          <w:spacing w:val="-1"/>
          <w:sz w:val="28"/>
          <w:szCs w:val="28"/>
          <w14:textOutline w14:w="5103" w14:cap="sq" w14:cmpd="sng">
            <w14:solidFill>
              <w14:srgbClr w14:val="000000"/>
            </w14:solidFill>
            <w14:prstDash w14:val="solid"/>
            <w14:bevel/>
          </w14:textOutline>
        </w:rPr>
        <w:fldChar w:fldCharType="end"/>
      </w:r>
    </w:p>
    <w:p w14:paraId="64C4F633">
      <w:pPr>
        <w:pStyle w:val="12"/>
        <w:spacing w:line="244" w:lineRule="auto"/>
      </w:pPr>
    </w:p>
    <w:p w14:paraId="1BA8A6DF">
      <w:pPr>
        <w:pStyle w:val="12"/>
        <w:spacing w:line="245" w:lineRule="auto"/>
      </w:pPr>
    </w:p>
    <w:p w14:paraId="7CC4758F">
      <w:pPr>
        <w:tabs>
          <w:tab w:val="left" w:pos="1706"/>
        </w:tabs>
        <w:spacing w:before="65" w:line="377" w:lineRule="auto"/>
        <w:ind w:left="434"/>
        <w:rPr>
          <w:rFonts w:hint="eastAsia" w:ascii="宋体" w:hAnsi="宋体" w:eastAsia="宋体" w:cs="宋体"/>
          <w:sz w:val="28"/>
          <w:szCs w:val="28"/>
        </w:rPr>
      </w:pPr>
      <w:r>
        <w:rPr>
          <w:rFonts w:hint="eastAsia" w:ascii="宋体" w:hAnsi="宋体" w:eastAsia="宋体" w:cs="宋体"/>
          <w:sz w:val="28"/>
          <w:szCs w:val="28"/>
          <w:u w:val="single" w:color="auto"/>
        </w:rPr>
        <w:tab/>
      </w:r>
      <w:r>
        <w:rPr>
          <w:rFonts w:hint="eastAsia" w:ascii="宋体" w:hAnsi="宋体" w:eastAsia="宋体" w:cs="宋体"/>
          <w:spacing w:val="5"/>
          <w:sz w:val="28"/>
          <w:szCs w:val="28"/>
          <w:u w:val="single" w:color="auto"/>
        </w:rPr>
        <w:t>（法定代表人姓名）</w:t>
      </w:r>
      <w:r>
        <w:rPr>
          <w:rFonts w:hint="eastAsia" w:ascii="宋体" w:hAnsi="宋体" w:eastAsia="宋体" w:cs="宋体"/>
          <w:spacing w:val="5"/>
          <w:sz w:val="28"/>
          <w:szCs w:val="28"/>
        </w:rPr>
        <w:t>系</w:t>
      </w:r>
      <w:r>
        <w:rPr>
          <w:rFonts w:hint="eastAsia" w:ascii="宋体" w:hAnsi="宋体" w:eastAsia="宋体" w:cs="宋体"/>
          <w:spacing w:val="5"/>
          <w:sz w:val="28"/>
          <w:szCs w:val="28"/>
          <w:u w:val="single" w:color="auto"/>
        </w:rPr>
        <w:t xml:space="preserve">              （供应商名称）</w:t>
      </w:r>
      <w:r>
        <w:rPr>
          <w:rFonts w:hint="eastAsia" w:ascii="宋体" w:hAnsi="宋体" w:eastAsia="宋体" w:cs="宋体"/>
          <w:spacing w:val="5"/>
          <w:sz w:val="28"/>
          <w:szCs w:val="28"/>
        </w:rPr>
        <w:t>法定代表人，职务</w:t>
      </w:r>
      <w:r>
        <w:rPr>
          <w:rFonts w:hint="eastAsia" w:ascii="宋体" w:hAnsi="宋体" w:eastAsia="宋体" w:cs="宋体"/>
          <w:spacing w:val="4"/>
          <w:sz w:val="28"/>
          <w:szCs w:val="28"/>
        </w:rPr>
        <w:t xml:space="preserve">为 </w:t>
      </w:r>
      <w:r>
        <w:rPr>
          <w:rFonts w:hint="eastAsia" w:ascii="宋体" w:hAnsi="宋体" w:eastAsia="宋体" w:cs="宋体"/>
          <w:spacing w:val="5"/>
          <w:sz w:val="28"/>
          <w:szCs w:val="28"/>
          <w:u w:val="single" w:color="auto"/>
        </w:rPr>
        <w:t xml:space="preserve">            </w:t>
      </w:r>
      <w:r>
        <w:rPr>
          <w:rFonts w:hint="eastAsia" w:ascii="宋体" w:hAnsi="宋体" w:eastAsia="宋体" w:cs="宋体"/>
          <w:spacing w:val="4"/>
          <w:sz w:val="28"/>
          <w:szCs w:val="28"/>
          <w:u w:val="single" w:color="auto"/>
        </w:rPr>
        <w:t>（职务名称）</w:t>
      </w:r>
      <w:r>
        <w:rPr>
          <w:rFonts w:hint="eastAsia" w:ascii="宋体" w:hAnsi="宋体" w:eastAsia="宋体" w:cs="宋体"/>
          <w:spacing w:val="4"/>
          <w:sz w:val="28"/>
          <w:szCs w:val="28"/>
        </w:rPr>
        <w:t>。</w:t>
      </w:r>
    </w:p>
    <w:p w14:paraId="58A9913B">
      <w:pPr>
        <w:spacing w:before="159" w:line="232" w:lineRule="auto"/>
        <w:ind w:left="447"/>
        <w:rPr>
          <w:rFonts w:hint="eastAsia" w:ascii="宋体" w:hAnsi="宋体" w:eastAsia="宋体" w:cs="宋体"/>
          <w:sz w:val="28"/>
          <w:szCs w:val="28"/>
        </w:rPr>
      </w:pPr>
      <w:r>
        <w:rPr>
          <w:rFonts w:hint="eastAsia" w:ascii="宋体" w:hAnsi="宋体" w:eastAsia="宋体" w:cs="宋体"/>
          <w:spacing w:val="4"/>
          <w:sz w:val="28"/>
          <w:szCs w:val="28"/>
        </w:rPr>
        <w:t>特此证明。</w:t>
      </w:r>
    </w:p>
    <w:p w14:paraId="307380D2">
      <w:pPr>
        <w:spacing w:before="159" w:line="231" w:lineRule="auto"/>
        <w:ind w:left="456"/>
        <w:rPr>
          <w:rFonts w:hint="eastAsia" w:ascii="宋体" w:hAnsi="宋体" w:eastAsia="宋体" w:cs="宋体"/>
          <w:sz w:val="28"/>
          <w:szCs w:val="28"/>
        </w:rPr>
      </w:pPr>
      <w:r>
        <w:rPr>
          <w:rFonts w:hint="eastAsia" w:ascii="宋体" w:hAnsi="宋体" w:eastAsia="宋体" w:cs="宋体"/>
          <w:spacing w:val="6"/>
          <w:sz w:val="28"/>
          <w:szCs w:val="28"/>
        </w:rPr>
        <w:t>附：法定代表人身份证号码：</w:t>
      </w:r>
      <w:r>
        <w:rPr>
          <w:rFonts w:hint="eastAsia" w:ascii="宋体" w:hAnsi="宋体" w:eastAsia="宋体" w:cs="宋体"/>
          <w:spacing w:val="6"/>
          <w:sz w:val="28"/>
          <w:szCs w:val="28"/>
          <w:u w:val="single" w:color="auto"/>
        </w:rPr>
        <w:t xml:space="preserve">                    </w:t>
      </w:r>
      <w:r>
        <w:rPr>
          <w:rFonts w:hint="eastAsia" w:ascii="宋体" w:hAnsi="宋体" w:eastAsia="宋体" w:cs="宋体"/>
          <w:spacing w:val="6"/>
          <w:sz w:val="28"/>
          <w:szCs w:val="28"/>
        </w:rPr>
        <w:t>。</w:t>
      </w:r>
    </w:p>
    <w:p w14:paraId="3E9DC796">
      <w:pPr>
        <w:pStyle w:val="12"/>
        <w:spacing w:line="452" w:lineRule="auto"/>
        <w:rPr>
          <w:rFonts w:hint="eastAsia" w:ascii="宋体" w:hAnsi="宋体" w:eastAsia="宋体" w:cs="宋体"/>
          <w:sz w:val="28"/>
          <w:szCs w:val="28"/>
        </w:rPr>
      </w:pPr>
    </w:p>
    <w:p w14:paraId="187EEDEE">
      <w:pPr>
        <w:spacing w:before="65" w:line="229" w:lineRule="auto"/>
        <w:ind w:left="4449"/>
        <w:rPr>
          <w:rFonts w:hint="eastAsia" w:ascii="宋体" w:hAnsi="宋体" w:eastAsia="宋体" w:cs="宋体"/>
          <w:sz w:val="28"/>
          <w:szCs w:val="28"/>
        </w:rPr>
      </w:pPr>
      <w:r>
        <w:rPr>
          <w:rFonts w:hint="eastAsia" w:ascii="宋体" w:hAnsi="宋体" w:eastAsia="宋体" w:cs="宋体"/>
          <w:spacing w:val="10"/>
          <w:sz w:val="28"/>
          <w:szCs w:val="28"/>
        </w:rPr>
        <w:t>供应商</w:t>
      </w:r>
      <w:r>
        <w:rPr>
          <w:rFonts w:hint="eastAsia" w:ascii="宋体" w:hAnsi="宋体" w:eastAsia="宋体" w:cs="宋体"/>
          <w:spacing w:val="-5"/>
          <w:sz w:val="28"/>
          <w:szCs w:val="28"/>
        </w:rPr>
        <w:t>：</w:t>
      </w:r>
      <w:r>
        <w:rPr>
          <w:rFonts w:hint="eastAsia" w:ascii="宋体" w:hAnsi="宋体" w:eastAsia="宋体" w:cs="宋体"/>
          <w:spacing w:val="5"/>
          <w:sz w:val="28"/>
          <w:szCs w:val="28"/>
          <w:u w:val="single" w:color="auto"/>
        </w:rPr>
        <w:t xml:space="preserve">   </w:t>
      </w:r>
      <w:r>
        <w:rPr>
          <w:rFonts w:hint="eastAsia" w:ascii="宋体" w:hAnsi="宋体" w:eastAsia="宋体" w:cs="宋体"/>
          <w:spacing w:val="-5"/>
          <w:sz w:val="28"/>
          <w:szCs w:val="28"/>
        </w:rPr>
        <w:t>（</w:t>
      </w:r>
      <w:r>
        <w:rPr>
          <w:rFonts w:hint="eastAsia" w:ascii="宋体" w:hAnsi="宋体" w:eastAsia="宋体" w:cs="宋体"/>
          <w:spacing w:val="10"/>
          <w:sz w:val="28"/>
          <w:szCs w:val="28"/>
        </w:rPr>
        <w:t>盖单位电子印章）</w:t>
      </w:r>
    </w:p>
    <w:p w14:paraId="6D1396C9">
      <w:pPr>
        <w:spacing w:before="160" w:line="231" w:lineRule="auto"/>
        <w:jc w:val="right"/>
        <w:rPr>
          <w:rFonts w:hint="eastAsia" w:ascii="宋体" w:hAnsi="宋体" w:eastAsia="宋体" w:cs="宋体"/>
          <w:sz w:val="28"/>
          <w:szCs w:val="28"/>
        </w:rPr>
      </w:pPr>
      <w:r>
        <w:rPr>
          <w:rFonts w:hint="eastAsia" w:ascii="宋体" w:hAnsi="宋体" w:eastAsia="宋体" w:cs="宋体"/>
          <w:spacing w:val="-25"/>
          <w:sz w:val="28"/>
          <w:szCs w:val="28"/>
        </w:rPr>
        <w:t>年</w:t>
      </w:r>
      <w:r>
        <w:rPr>
          <w:rFonts w:hint="eastAsia" w:ascii="宋体" w:hAnsi="宋体" w:eastAsia="宋体" w:cs="宋体"/>
          <w:spacing w:val="13"/>
          <w:sz w:val="28"/>
          <w:szCs w:val="28"/>
        </w:rPr>
        <w:t xml:space="preserve">   </w:t>
      </w:r>
      <w:r>
        <w:rPr>
          <w:rFonts w:hint="eastAsia" w:ascii="宋体" w:hAnsi="宋体" w:eastAsia="宋体" w:cs="宋体"/>
          <w:spacing w:val="-25"/>
          <w:sz w:val="28"/>
          <w:szCs w:val="28"/>
        </w:rPr>
        <w:t>月</w:t>
      </w:r>
      <w:r>
        <w:rPr>
          <w:rFonts w:hint="eastAsia" w:ascii="宋体" w:hAnsi="宋体" w:eastAsia="宋体" w:cs="宋体"/>
          <w:spacing w:val="24"/>
          <w:sz w:val="28"/>
          <w:szCs w:val="28"/>
        </w:rPr>
        <w:t xml:space="preserve">   </w:t>
      </w:r>
      <w:r>
        <w:rPr>
          <w:rFonts w:hint="eastAsia" w:ascii="宋体" w:hAnsi="宋体" w:eastAsia="宋体" w:cs="宋体"/>
          <w:spacing w:val="-25"/>
          <w:sz w:val="28"/>
          <w:szCs w:val="28"/>
        </w:rPr>
        <w:t>日</w:t>
      </w:r>
    </w:p>
    <w:p w14:paraId="49F27AD6">
      <w:pPr>
        <w:pStyle w:val="12"/>
        <w:spacing w:line="312" w:lineRule="auto"/>
        <w:rPr>
          <w:rFonts w:hint="eastAsia" w:ascii="宋体" w:hAnsi="宋体" w:eastAsia="宋体" w:cs="宋体"/>
          <w:sz w:val="28"/>
          <w:szCs w:val="28"/>
        </w:rPr>
      </w:pPr>
    </w:p>
    <w:p w14:paraId="33C8FF88">
      <w:pPr>
        <w:pStyle w:val="12"/>
        <w:spacing w:line="313" w:lineRule="auto"/>
        <w:rPr>
          <w:rFonts w:hint="eastAsia" w:ascii="宋体" w:hAnsi="宋体" w:eastAsia="宋体" w:cs="宋体"/>
          <w:sz w:val="28"/>
          <w:szCs w:val="28"/>
        </w:rPr>
      </w:pPr>
    </w:p>
    <w:p w14:paraId="168C7EE5">
      <w:pPr>
        <w:spacing w:before="91" w:line="223" w:lineRule="auto"/>
        <w:ind w:left="1656"/>
        <w:rPr>
          <w:rFonts w:ascii="仿宋" w:hAnsi="仿宋" w:eastAsia="仿宋" w:cs="仿宋"/>
          <w:sz w:val="28"/>
          <w:szCs w:val="28"/>
        </w:rPr>
      </w:pPr>
      <w:bookmarkStart w:id="94" w:name="bookmark10"/>
      <w:bookmarkEnd w:id="94"/>
      <w:r>
        <w:rPr>
          <w:rFonts w:hint="eastAsia" w:ascii="宋体" w:hAnsi="宋体" w:eastAsia="宋体" w:cs="宋体"/>
          <w:spacing w:val="-1"/>
          <w:sz w:val="28"/>
          <w:szCs w:val="28"/>
          <w14:textOutline w14:w="5103" w14:cap="sq" w14:cmpd="sng">
            <w14:solidFill>
              <w14:srgbClr w14:val="000000"/>
            </w14:solidFill>
            <w14:prstDash w14:val="solid"/>
            <w14:bevel/>
          </w14:textOutline>
        </w:rPr>
        <w:t>须提供法定代表人身份证正反两面扫描件</w:t>
      </w:r>
    </w:p>
    <w:p w14:paraId="7878B1BE">
      <w:pPr>
        <w:pStyle w:val="12"/>
        <w:spacing w:line="242" w:lineRule="auto"/>
      </w:pPr>
    </w:p>
    <w:p w14:paraId="331054C4">
      <w:pPr>
        <w:pStyle w:val="12"/>
        <w:spacing w:line="242" w:lineRule="auto"/>
      </w:pPr>
    </w:p>
    <w:p w14:paraId="27D2D7CB">
      <w:pPr>
        <w:pStyle w:val="12"/>
        <w:spacing w:line="242" w:lineRule="auto"/>
      </w:pPr>
    </w:p>
    <w:p w14:paraId="7716A61E">
      <w:pPr>
        <w:pStyle w:val="12"/>
        <w:spacing w:line="242" w:lineRule="auto"/>
      </w:pPr>
    </w:p>
    <w:p w14:paraId="36C6D968">
      <w:pPr>
        <w:pStyle w:val="12"/>
        <w:spacing w:line="243" w:lineRule="auto"/>
      </w:pPr>
    </w:p>
    <w:p w14:paraId="00BBA41D">
      <w:pPr>
        <w:pStyle w:val="12"/>
        <w:spacing w:line="243" w:lineRule="auto"/>
      </w:pPr>
    </w:p>
    <w:p w14:paraId="344823CA">
      <w:pPr>
        <w:pStyle w:val="12"/>
        <w:spacing w:line="243" w:lineRule="auto"/>
      </w:pPr>
    </w:p>
    <w:p w14:paraId="04498556">
      <w:pPr>
        <w:pStyle w:val="12"/>
        <w:spacing w:line="243" w:lineRule="auto"/>
      </w:pPr>
    </w:p>
    <w:p w14:paraId="20F8B580">
      <w:pPr>
        <w:pStyle w:val="12"/>
        <w:spacing w:line="243" w:lineRule="auto"/>
      </w:pPr>
    </w:p>
    <w:p w14:paraId="4C6165B2">
      <w:pPr>
        <w:pStyle w:val="12"/>
        <w:spacing w:line="243" w:lineRule="auto"/>
      </w:pPr>
    </w:p>
    <w:p w14:paraId="2C520F15">
      <w:pPr>
        <w:pStyle w:val="12"/>
        <w:spacing w:line="243" w:lineRule="auto"/>
      </w:pPr>
    </w:p>
    <w:p w14:paraId="4E7EE5CC"/>
    <w:p w14:paraId="5BD22018">
      <w:pPr>
        <w:pStyle w:val="12"/>
        <w:spacing w:line="243" w:lineRule="auto"/>
      </w:pPr>
    </w:p>
    <w:p w14:paraId="73269634">
      <w:pPr>
        <w:pStyle w:val="12"/>
        <w:spacing w:line="243" w:lineRule="auto"/>
      </w:pPr>
    </w:p>
    <w:p w14:paraId="15AE2F65">
      <w:pPr>
        <w:pStyle w:val="12"/>
        <w:spacing w:line="243" w:lineRule="auto"/>
      </w:pPr>
    </w:p>
    <w:p w14:paraId="6C53D279">
      <w:pPr>
        <w:pStyle w:val="12"/>
        <w:spacing w:line="243" w:lineRule="auto"/>
      </w:pPr>
    </w:p>
    <w:p w14:paraId="42F38C56">
      <w:pPr>
        <w:pStyle w:val="12"/>
        <w:spacing w:line="243" w:lineRule="auto"/>
      </w:pPr>
    </w:p>
    <w:p w14:paraId="0082579F">
      <w:pPr>
        <w:pStyle w:val="12"/>
        <w:spacing w:line="243" w:lineRule="auto"/>
      </w:pPr>
    </w:p>
    <w:p w14:paraId="5195A482">
      <w:pPr>
        <w:pStyle w:val="12"/>
        <w:spacing w:line="243" w:lineRule="auto"/>
      </w:pPr>
    </w:p>
    <w:p w14:paraId="348D3263">
      <w:pPr>
        <w:pStyle w:val="12"/>
        <w:spacing w:line="243" w:lineRule="auto"/>
      </w:pPr>
    </w:p>
    <w:p w14:paraId="350773CD">
      <w:pPr>
        <w:spacing w:before="59" w:line="222" w:lineRule="auto"/>
        <w:ind w:left="20"/>
        <w:rPr>
          <w:rFonts w:ascii="仿宋" w:hAnsi="仿宋" w:eastAsia="仿宋" w:cs="仿宋"/>
          <w:sz w:val="18"/>
          <w:szCs w:val="18"/>
        </w:rPr>
        <w:sectPr>
          <w:footerReference r:id="rId22" w:type="default"/>
          <w:pgSz w:w="11906" w:h="16839"/>
          <w:pgMar w:top="1399" w:right="1785" w:bottom="1156" w:left="1785" w:header="0" w:footer="994" w:gutter="0"/>
          <w:pgBorders>
            <w:top w:val="none" w:sz="0" w:space="0"/>
            <w:left w:val="none" w:sz="0" w:space="0"/>
            <w:bottom w:val="none" w:sz="0" w:space="0"/>
            <w:right w:val="none" w:sz="0" w:space="0"/>
          </w:pgBorders>
          <w:pgNumType w:fmt="decimal"/>
          <w:cols w:space="720" w:num="1"/>
        </w:sectPr>
      </w:pPr>
      <w:r>
        <w:rPr>
          <w:rFonts w:ascii="仿宋" w:hAnsi="仿宋" w:eastAsia="仿宋" w:cs="仿宋"/>
          <w:spacing w:val="-1"/>
          <w:sz w:val="20"/>
          <w:szCs w:val="20"/>
        </w:rPr>
        <w:t>① 适用于法定代表人参加采购活动。</w:t>
      </w:r>
    </w:p>
    <w:bookmarkEnd w:id="92"/>
    <w:p w14:paraId="4D486E24">
      <w:pPr>
        <w:pStyle w:val="22"/>
        <w:jc w:val="both"/>
        <w:rPr>
          <w:rFonts w:hint="eastAsia" w:ascii="宋体" w:hAnsi="宋体" w:eastAsia="宋体" w:cs="宋体"/>
          <w:bCs/>
          <w:color w:val="auto"/>
          <w:sz w:val="28"/>
          <w:szCs w:val="28"/>
          <w:highlight w:val="none"/>
        </w:rPr>
      </w:pPr>
    </w:p>
    <w:sectPr>
      <w:footerReference r:id="rId25" w:type="first"/>
      <w:headerReference r:id="rId23" w:type="default"/>
      <w:footerReference r:id="rId24" w:type="default"/>
      <w:pgSz w:w="11906" w:h="16838"/>
      <w:pgMar w:top="1429" w:right="1417" w:bottom="1157" w:left="1786" w:header="907" w:footer="907" w:gutter="0"/>
      <w:pgBorders>
        <w:top w:val="none" w:sz="0" w:space="0"/>
        <w:left w:val="none" w:sz="0" w:space="0"/>
        <w:bottom w:val="none" w:sz="0" w:space="0"/>
        <w:right w:val="none" w:sz="0" w:space="0"/>
      </w:pgBorders>
      <w:pgNumType w:fmt="decimal"/>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D97FA">
    <w:pPr>
      <w:pStyle w:val="1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841D4">
    <w:pPr>
      <w:spacing w:line="176" w:lineRule="auto"/>
      <w:ind w:left="41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A6AECA">
                          <w:pPr>
                            <w:pStyle w:val="1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2A6AECA">
                    <w:pPr>
                      <w:pStyle w:val="1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76626">
    <w:pPr>
      <w:spacing w:line="176" w:lineRule="auto"/>
      <w:ind w:left="44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31D194">
                          <w:pPr>
                            <w:pStyle w:val="1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031D194">
                    <w:pPr>
                      <w:pStyle w:val="1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240FC">
    <w:pPr>
      <w:spacing w:line="176" w:lineRule="auto"/>
      <w:ind w:left="40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C4739C">
                          <w:pPr>
                            <w:pStyle w:val="1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AC4739C">
                    <w:pPr>
                      <w:pStyle w:val="1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8FD7E">
    <w:pPr>
      <w:spacing w:line="176" w:lineRule="auto"/>
      <w:ind w:left="41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6490C">
                          <w:pPr>
                            <w:pStyle w:val="1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C76490C">
                    <w:pPr>
                      <w:pStyle w:val="1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5CA95">
    <w:pPr>
      <w:spacing w:line="176" w:lineRule="auto"/>
      <w:ind w:left="41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F3499E">
                          <w:pPr>
                            <w:pStyle w:val="1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0F3499E">
                    <w:pPr>
                      <w:pStyle w:val="1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E27F0">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25A0FA">
                          <w:pPr>
                            <w:pStyle w:val="1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D25A0FA">
                    <w:pPr>
                      <w:pStyle w:val="1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E0E36">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90FE40">
                          <w:pPr>
                            <w:pStyle w:val="1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590FE40">
                    <w:pPr>
                      <w:pStyle w:val="18"/>
                    </w:pPr>
                  </w:p>
                </w:txbxContent>
              </v:textbox>
            </v:shape>
          </w:pict>
        </mc:Fallback>
      </mc:AlternateContent>
    </w:r>
    <w:r>
      <w:rPr>
        <w:rFonts w:ascii="Times New Roman" w:hAnsi="Times New Roman" w:eastAsia="Times New Roman" w:cs="Times New Roman"/>
        <w:spacing w:val="-4"/>
        <w:sz w:val="18"/>
        <w:szCs w:val="18"/>
      </w:rPr>
      <w:t>51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036ED">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4FDA97">
                          <w:pPr>
                            <w:pStyle w:val="1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D4FDA97">
                    <w:pPr>
                      <w:pStyle w:val="1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B28CD">
    <w:pPr>
      <w:pStyle w:val="18"/>
      <w:rPr>
        <w:rFonts w:hint="eastAsia"/>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E7B620">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DE7B620">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60563">
    <w:pPr>
      <w:pStyle w:val="18"/>
      <w:pBdr>
        <w:top w:val="dashDotStroked" w:color="auto" w:sz="24" w:space="1"/>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BB02511">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2BB02511">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v:textbox>
            </v:shape>
          </w:pict>
        </mc:Fallback>
      </mc:AlternateContent>
    </w:r>
    <w:r>
      <w:rPr>
        <w:rFonts w:hint="eastAsia"/>
        <w:b/>
        <w:bCs/>
        <w:i/>
        <w:iC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162B4">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6551B">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D47412">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FD47412">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002B9">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AB331E">
                          <w:pPr>
                            <w:pStyle w:val="18"/>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4AB331E">
                    <w:pPr>
                      <w:pStyle w:val="18"/>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B6E32">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CF309D">
                          <w:pPr>
                            <w:pStyle w:val="1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4CF309D">
                    <w:pPr>
                      <w:pStyle w:val="1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DF68E">
    <w:pPr>
      <w:spacing w:line="176" w:lineRule="auto"/>
      <w:ind w:left="41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6FE52C">
                          <w:pPr>
                            <w:pStyle w:val="1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76FE52C">
                    <w:pPr>
                      <w:pStyle w:val="1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6D6AA">
    <w:pPr>
      <w:spacing w:line="176" w:lineRule="auto"/>
      <w:ind w:left="417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72F390">
                          <w:pPr>
                            <w:pStyle w:val="1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072F390">
                    <w:pPr>
                      <w:pStyle w:val="1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D784F">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A2015F">
                          <w:pPr>
                            <w:pStyle w:val="18"/>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EA2015F">
                    <w:pPr>
                      <w:pStyle w:val="18"/>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60427">
    <w:pPr>
      <w:spacing w:line="176" w:lineRule="auto"/>
      <w:ind w:left="41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36C76D">
                          <w:pPr>
                            <w:pStyle w:val="1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036C76D">
                    <w:pPr>
                      <w:pStyle w:val="1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BBBAC">
    <w:pPr>
      <w:pStyle w:val="19"/>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6B089">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DB3E5">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436C2">
    <w:pPr>
      <w:pStyle w:val="19"/>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8C880"/>
    <w:multiLevelType w:val="singleLevel"/>
    <w:tmpl w:val="8198C880"/>
    <w:lvl w:ilvl="0" w:tentative="0">
      <w:start w:val="3"/>
      <w:numFmt w:val="decimal"/>
      <w:suff w:val="nothing"/>
      <w:lvlText w:val="%1、"/>
      <w:lvlJc w:val="left"/>
    </w:lvl>
  </w:abstractNum>
  <w:abstractNum w:abstractNumId="1">
    <w:nsid w:val="8335379A"/>
    <w:multiLevelType w:val="singleLevel"/>
    <w:tmpl w:val="8335379A"/>
    <w:lvl w:ilvl="0" w:tentative="0">
      <w:start w:val="5"/>
      <w:numFmt w:val="chineseCounting"/>
      <w:suff w:val="space"/>
      <w:lvlText w:val="第%1章"/>
      <w:lvlJc w:val="left"/>
      <w:rPr>
        <w:rFonts w:hint="eastAsia"/>
      </w:rPr>
    </w:lvl>
  </w:abstractNum>
  <w:abstractNum w:abstractNumId="2">
    <w:nsid w:val="00000008"/>
    <w:multiLevelType w:val="multilevel"/>
    <w:tmpl w:val="00000008"/>
    <w:lvl w:ilvl="0" w:tentative="0">
      <w:start w:val="1"/>
      <w:numFmt w:val="decimal"/>
      <w:lvlText w:val="2.1.%1"/>
      <w:lvlJc w:val="left"/>
      <w:pPr>
        <w:tabs>
          <w:tab w:val="left" w:pos="1260"/>
        </w:tabs>
        <w:ind w:left="972" w:hanging="432"/>
      </w:pPr>
      <w:rPr>
        <w:rFonts w:hint="eastAsia"/>
      </w:rPr>
    </w:lvl>
    <w:lvl w:ilvl="1" w:tentative="0">
      <w:start w:val="1"/>
      <w:numFmt w:val="decimal"/>
      <w:lvlText w:val="%1.%2"/>
      <w:lvlJc w:val="left"/>
      <w:pPr>
        <w:tabs>
          <w:tab w:val="left" w:pos="1296"/>
        </w:tabs>
        <w:ind w:left="1296" w:hanging="576"/>
      </w:pPr>
      <w:rPr>
        <w:rFonts w:hint="eastAsia"/>
      </w:rPr>
    </w:lvl>
    <w:lvl w:ilvl="2" w:tentative="0">
      <w:start w:val="1"/>
      <w:numFmt w:val="decimal"/>
      <w:lvlText w:val="%1.%2.%3"/>
      <w:lvlJc w:val="left"/>
      <w:pPr>
        <w:tabs>
          <w:tab w:val="left" w:pos="1260"/>
        </w:tabs>
        <w:ind w:left="1260" w:hanging="720"/>
      </w:pPr>
      <w:rPr>
        <w:rFonts w:hint="eastAsia"/>
      </w:rPr>
    </w:lvl>
    <w:lvl w:ilvl="3" w:tentative="0">
      <w:start w:val="1"/>
      <w:numFmt w:val="decimal"/>
      <w:lvlText w:val="%1.%2.%3.%4"/>
      <w:lvlJc w:val="left"/>
      <w:pPr>
        <w:tabs>
          <w:tab w:val="left" w:pos="1404"/>
        </w:tabs>
        <w:ind w:left="1404" w:hanging="864"/>
      </w:pPr>
      <w:rPr>
        <w:rFonts w:hint="eastAsia"/>
      </w:rPr>
    </w:lvl>
    <w:lvl w:ilvl="4" w:tentative="0">
      <w:start w:val="1"/>
      <w:numFmt w:val="decimal"/>
      <w:lvlText w:val="%1.%2.%3.%4.%5"/>
      <w:lvlJc w:val="left"/>
      <w:pPr>
        <w:tabs>
          <w:tab w:val="left" w:pos="1548"/>
        </w:tabs>
        <w:ind w:left="1548" w:hanging="1008"/>
      </w:pPr>
      <w:rPr>
        <w:rFonts w:hint="eastAsia"/>
      </w:rPr>
    </w:lvl>
    <w:lvl w:ilvl="5" w:tentative="0">
      <w:start w:val="1"/>
      <w:numFmt w:val="decimal"/>
      <w:pStyle w:val="8"/>
      <w:lvlText w:val="%1.%2.%3.%4.%5.%6"/>
      <w:lvlJc w:val="left"/>
      <w:pPr>
        <w:tabs>
          <w:tab w:val="left" w:pos="1692"/>
        </w:tabs>
        <w:ind w:left="1692" w:hanging="1152"/>
      </w:pPr>
      <w:rPr>
        <w:rFonts w:hint="eastAsia"/>
      </w:rPr>
    </w:lvl>
    <w:lvl w:ilvl="6" w:tentative="0">
      <w:start w:val="1"/>
      <w:numFmt w:val="decimal"/>
      <w:lvlText w:val="%1.%2.%3.%4.%5.%6.%7"/>
      <w:lvlJc w:val="left"/>
      <w:pPr>
        <w:tabs>
          <w:tab w:val="left" w:pos="1836"/>
        </w:tabs>
        <w:ind w:left="1836" w:hanging="1296"/>
      </w:pPr>
      <w:rPr>
        <w:rFonts w:hint="eastAsia"/>
      </w:rPr>
    </w:lvl>
    <w:lvl w:ilvl="7" w:tentative="0">
      <w:start w:val="1"/>
      <w:numFmt w:val="decimal"/>
      <w:lvlText w:val="%1.%2.%3.%4.%5.%6.%7.%8"/>
      <w:lvlJc w:val="left"/>
      <w:pPr>
        <w:tabs>
          <w:tab w:val="left" w:pos="1980"/>
        </w:tabs>
        <w:ind w:left="1980" w:hanging="1440"/>
      </w:pPr>
      <w:rPr>
        <w:rFonts w:hint="eastAsia"/>
      </w:rPr>
    </w:lvl>
    <w:lvl w:ilvl="8" w:tentative="0">
      <w:start w:val="1"/>
      <w:numFmt w:val="decimal"/>
      <w:lvlText w:val="%1.%2.%3.%4.%5.%6.%7.%8.%9"/>
      <w:lvlJc w:val="left"/>
      <w:pPr>
        <w:tabs>
          <w:tab w:val="left" w:pos="2124"/>
        </w:tabs>
        <w:ind w:left="2124" w:hanging="1584"/>
      </w:pPr>
      <w:rPr>
        <w:rFonts w:hint="eastAsia"/>
      </w:rPr>
    </w:lvl>
  </w:abstractNum>
  <w:abstractNum w:abstractNumId="3">
    <w:nsid w:val="00000009"/>
    <w:multiLevelType w:val="multilevel"/>
    <w:tmpl w:val="00000009"/>
    <w:lvl w:ilvl="0" w:tentative="0">
      <w:start w:val="1"/>
      <w:numFmt w:val="upperLetter"/>
      <w:pStyle w:val="5"/>
      <w:lvlText w:val="%1."/>
      <w:lvlJc w:val="left"/>
      <w:pPr>
        <w:tabs>
          <w:tab w:val="left" w:pos="468"/>
        </w:tabs>
        <w:ind w:left="468" w:hanging="468"/>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360"/>
        </w:tabs>
        <w:ind w:left="3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0D"/>
    <w:multiLevelType w:val="multilevel"/>
    <w:tmpl w:val="0000000D"/>
    <w:lvl w:ilvl="0" w:tentative="0">
      <w:start w:val="1"/>
      <w:numFmt w:val="upperLetter"/>
      <w:pStyle w:val="6"/>
      <w:lvlText w:val="%1."/>
      <w:lvlJc w:val="left"/>
      <w:pPr>
        <w:tabs>
          <w:tab w:val="left" w:pos="435"/>
        </w:tabs>
        <w:ind w:left="435" w:hanging="435"/>
      </w:pPr>
      <w:rPr>
        <w:b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MGQ5YzMwMmQ3OTdmMzkwYjhlZGQ1NmQ3NGI1ZGIifQ=="/>
    <w:docVar w:name="KSO_WPS_MARK_KEY" w:val="a1d16dd6-9a97-4024-a277-4d39bf48919e"/>
  </w:docVars>
  <w:rsids>
    <w:rsidRoot w:val="00000000"/>
    <w:rsid w:val="0002561E"/>
    <w:rsid w:val="005D2CF2"/>
    <w:rsid w:val="010F2DBC"/>
    <w:rsid w:val="02FA4E66"/>
    <w:rsid w:val="03990DF5"/>
    <w:rsid w:val="03B60BF9"/>
    <w:rsid w:val="040E27E3"/>
    <w:rsid w:val="041746CA"/>
    <w:rsid w:val="041D6583"/>
    <w:rsid w:val="041E22AA"/>
    <w:rsid w:val="044C2652"/>
    <w:rsid w:val="04531FA4"/>
    <w:rsid w:val="065B226D"/>
    <w:rsid w:val="0687687D"/>
    <w:rsid w:val="06CC603E"/>
    <w:rsid w:val="06FF4665"/>
    <w:rsid w:val="07FC528C"/>
    <w:rsid w:val="086120E3"/>
    <w:rsid w:val="0955056D"/>
    <w:rsid w:val="09BF1E8A"/>
    <w:rsid w:val="09C53944"/>
    <w:rsid w:val="0A886720"/>
    <w:rsid w:val="0AE07548"/>
    <w:rsid w:val="0BC9280B"/>
    <w:rsid w:val="0CE07D0C"/>
    <w:rsid w:val="0D337B2F"/>
    <w:rsid w:val="0D732931"/>
    <w:rsid w:val="0DE87AB2"/>
    <w:rsid w:val="0E252FE0"/>
    <w:rsid w:val="0EB126E9"/>
    <w:rsid w:val="0EBE2625"/>
    <w:rsid w:val="0F44530B"/>
    <w:rsid w:val="114809B7"/>
    <w:rsid w:val="11D03098"/>
    <w:rsid w:val="12050B4C"/>
    <w:rsid w:val="12307DC9"/>
    <w:rsid w:val="124D4697"/>
    <w:rsid w:val="13EB3FA7"/>
    <w:rsid w:val="14E92285"/>
    <w:rsid w:val="15325C06"/>
    <w:rsid w:val="15783F61"/>
    <w:rsid w:val="158E754C"/>
    <w:rsid w:val="15FF24B4"/>
    <w:rsid w:val="17505BF0"/>
    <w:rsid w:val="177E5132"/>
    <w:rsid w:val="179665D1"/>
    <w:rsid w:val="18DF7A43"/>
    <w:rsid w:val="194A4A3D"/>
    <w:rsid w:val="1ACF642C"/>
    <w:rsid w:val="1B6E2143"/>
    <w:rsid w:val="1BF105C9"/>
    <w:rsid w:val="1C114748"/>
    <w:rsid w:val="1C191E32"/>
    <w:rsid w:val="1D1D7E90"/>
    <w:rsid w:val="1D3764AF"/>
    <w:rsid w:val="1D450AE3"/>
    <w:rsid w:val="1D821274"/>
    <w:rsid w:val="1DB45D52"/>
    <w:rsid w:val="1E567EBC"/>
    <w:rsid w:val="1E876FC3"/>
    <w:rsid w:val="1F8043D8"/>
    <w:rsid w:val="206B7BEE"/>
    <w:rsid w:val="213E6535"/>
    <w:rsid w:val="217950F1"/>
    <w:rsid w:val="21D249F9"/>
    <w:rsid w:val="22E744D4"/>
    <w:rsid w:val="24EF5FF5"/>
    <w:rsid w:val="2561056D"/>
    <w:rsid w:val="261F21D6"/>
    <w:rsid w:val="26500BEF"/>
    <w:rsid w:val="26FC0350"/>
    <w:rsid w:val="270A14E8"/>
    <w:rsid w:val="2765535C"/>
    <w:rsid w:val="283F19C1"/>
    <w:rsid w:val="28793E20"/>
    <w:rsid w:val="28FF4A5E"/>
    <w:rsid w:val="2A550015"/>
    <w:rsid w:val="2A7025D5"/>
    <w:rsid w:val="2B920D55"/>
    <w:rsid w:val="2BA87861"/>
    <w:rsid w:val="2CBF3DCB"/>
    <w:rsid w:val="2CF87092"/>
    <w:rsid w:val="2DDD09AD"/>
    <w:rsid w:val="2E1E4F60"/>
    <w:rsid w:val="300C7328"/>
    <w:rsid w:val="30997B4F"/>
    <w:rsid w:val="311C359A"/>
    <w:rsid w:val="31956CD5"/>
    <w:rsid w:val="33641229"/>
    <w:rsid w:val="3384175B"/>
    <w:rsid w:val="33D00343"/>
    <w:rsid w:val="341669C7"/>
    <w:rsid w:val="34E3087A"/>
    <w:rsid w:val="34E51DD8"/>
    <w:rsid w:val="36370E76"/>
    <w:rsid w:val="36413AA3"/>
    <w:rsid w:val="37054AD1"/>
    <w:rsid w:val="375D2B5F"/>
    <w:rsid w:val="37E375CD"/>
    <w:rsid w:val="38105982"/>
    <w:rsid w:val="38BF587F"/>
    <w:rsid w:val="395D52AF"/>
    <w:rsid w:val="39893797"/>
    <w:rsid w:val="39B8407C"/>
    <w:rsid w:val="3A231541"/>
    <w:rsid w:val="3A281202"/>
    <w:rsid w:val="3B6A75F8"/>
    <w:rsid w:val="3CC2593E"/>
    <w:rsid w:val="3E3659AE"/>
    <w:rsid w:val="3E666A12"/>
    <w:rsid w:val="3FA01F11"/>
    <w:rsid w:val="3FE536F1"/>
    <w:rsid w:val="40464190"/>
    <w:rsid w:val="41AD0CEC"/>
    <w:rsid w:val="423A155A"/>
    <w:rsid w:val="428D254A"/>
    <w:rsid w:val="42FA00F9"/>
    <w:rsid w:val="449C4CC6"/>
    <w:rsid w:val="44D3337D"/>
    <w:rsid w:val="48164D90"/>
    <w:rsid w:val="48E337ED"/>
    <w:rsid w:val="4A122CFA"/>
    <w:rsid w:val="4B7547C6"/>
    <w:rsid w:val="4C43011D"/>
    <w:rsid w:val="4DC67E79"/>
    <w:rsid w:val="4DDA5296"/>
    <w:rsid w:val="4DE556EB"/>
    <w:rsid w:val="4E583234"/>
    <w:rsid w:val="4F1D07B2"/>
    <w:rsid w:val="4FB21447"/>
    <w:rsid w:val="4FC155E1"/>
    <w:rsid w:val="52741030"/>
    <w:rsid w:val="52835B99"/>
    <w:rsid w:val="54510DFA"/>
    <w:rsid w:val="5742625E"/>
    <w:rsid w:val="57736E3F"/>
    <w:rsid w:val="5811265E"/>
    <w:rsid w:val="584119B5"/>
    <w:rsid w:val="59507B8D"/>
    <w:rsid w:val="5A0F3E83"/>
    <w:rsid w:val="5A9B41F5"/>
    <w:rsid w:val="5B10566E"/>
    <w:rsid w:val="5B774DFE"/>
    <w:rsid w:val="5EE57FA4"/>
    <w:rsid w:val="60DD7FB7"/>
    <w:rsid w:val="61270B15"/>
    <w:rsid w:val="61993110"/>
    <w:rsid w:val="62A05CD2"/>
    <w:rsid w:val="62DB533D"/>
    <w:rsid w:val="63B82920"/>
    <w:rsid w:val="63DF4284"/>
    <w:rsid w:val="64526CF8"/>
    <w:rsid w:val="64596CF4"/>
    <w:rsid w:val="64B96D77"/>
    <w:rsid w:val="65322CBF"/>
    <w:rsid w:val="65795B9C"/>
    <w:rsid w:val="663C228F"/>
    <w:rsid w:val="67620E97"/>
    <w:rsid w:val="689618F7"/>
    <w:rsid w:val="689E075E"/>
    <w:rsid w:val="6A303637"/>
    <w:rsid w:val="6B851761"/>
    <w:rsid w:val="6DD8026E"/>
    <w:rsid w:val="6E027099"/>
    <w:rsid w:val="6E237BE1"/>
    <w:rsid w:val="6E383A6B"/>
    <w:rsid w:val="6F2A1462"/>
    <w:rsid w:val="6F307C36"/>
    <w:rsid w:val="7104781F"/>
    <w:rsid w:val="711845A3"/>
    <w:rsid w:val="71FB739F"/>
    <w:rsid w:val="7249798C"/>
    <w:rsid w:val="737741AE"/>
    <w:rsid w:val="73832812"/>
    <w:rsid w:val="74347042"/>
    <w:rsid w:val="74E150D9"/>
    <w:rsid w:val="75B060F8"/>
    <w:rsid w:val="76012298"/>
    <w:rsid w:val="76143E0D"/>
    <w:rsid w:val="76470FA7"/>
    <w:rsid w:val="76992564"/>
    <w:rsid w:val="772E53A2"/>
    <w:rsid w:val="77425E1D"/>
    <w:rsid w:val="77556224"/>
    <w:rsid w:val="791A3E30"/>
    <w:rsid w:val="792C3B64"/>
    <w:rsid w:val="79BA5D50"/>
    <w:rsid w:val="7B6249F8"/>
    <w:rsid w:val="7C3C08BF"/>
    <w:rsid w:val="7D7061F8"/>
    <w:rsid w:val="7E7671B3"/>
    <w:rsid w:val="7F0F5AB9"/>
    <w:rsid w:val="7F296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7"/>
    <w:qFormat/>
    <w:uiPriority w:val="0"/>
    <w:pPr>
      <w:keepNext/>
      <w:tabs>
        <w:tab w:val="left" w:pos="420"/>
      </w:tabs>
      <w:jc w:val="center"/>
      <w:outlineLvl w:val="0"/>
    </w:pPr>
    <w:rPr>
      <w:b/>
      <w:bCs/>
      <w:kern w:val="0"/>
      <w:sz w:val="24"/>
    </w:rPr>
  </w:style>
  <w:style w:type="paragraph" w:styleId="4">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qFormat/>
    <w:uiPriority w:val="0"/>
    <w:pPr>
      <w:keepNext/>
      <w:numPr>
        <w:ilvl w:val="0"/>
        <w:numId w:val="1"/>
      </w:numPr>
      <w:outlineLvl w:val="2"/>
    </w:pPr>
    <w:rPr>
      <w:b/>
      <w:bCs/>
      <w:sz w:val="28"/>
      <w:szCs w:val="24"/>
    </w:rPr>
  </w:style>
  <w:style w:type="paragraph" w:styleId="6">
    <w:name w:val="heading 4"/>
    <w:basedOn w:val="1"/>
    <w:next w:val="1"/>
    <w:qFormat/>
    <w:uiPriority w:val="0"/>
    <w:pPr>
      <w:keepNext/>
      <w:numPr>
        <w:ilvl w:val="0"/>
        <w:numId w:val="2"/>
      </w:numPr>
      <w:outlineLvl w:val="3"/>
    </w:pPr>
    <w:rPr>
      <w:b/>
      <w:color w:val="000000"/>
      <w:sz w:val="28"/>
      <w:szCs w:val="24"/>
      <w:u w:val="single"/>
    </w:rPr>
  </w:style>
  <w:style w:type="paragraph" w:styleId="7">
    <w:name w:val="heading 5"/>
    <w:basedOn w:val="1"/>
    <w:next w:val="1"/>
    <w:qFormat/>
    <w:uiPriority w:val="0"/>
    <w:pPr>
      <w:keepNext/>
      <w:keepLines/>
      <w:spacing w:before="280" w:beforeLines="0" w:after="290" w:afterLines="0" w:line="376" w:lineRule="auto"/>
      <w:outlineLvl w:val="4"/>
    </w:pPr>
    <w:rPr>
      <w:b/>
      <w:bCs/>
      <w:sz w:val="28"/>
      <w:szCs w:val="28"/>
    </w:rPr>
  </w:style>
  <w:style w:type="paragraph" w:styleId="8">
    <w:name w:val="heading 6"/>
    <w:basedOn w:val="1"/>
    <w:next w:val="1"/>
    <w:qFormat/>
    <w:uiPriority w:val="9"/>
    <w:pPr>
      <w:keepNext/>
      <w:keepLines/>
      <w:numPr>
        <w:ilvl w:val="5"/>
        <w:numId w:val="3"/>
      </w:numPr>
      <w:tabs>
        <w:tab w:val="left" w:pos="1152"/>
      </w:tabs>
      <w:adjustRightInd w:val="0"/>
      <w:spacing w:before="240" w:after="64" w:line="320" w:lineRule="atLeast"/>
      <w:jc w:val="left"/>
      <w:textAlignment w:val="baseline"/>
      <w:outlineLvl w:val="5"/>
    </w:pPr>
    <w:rPr>
      <w:rFonts w:ascii="Arial" w:hAnsi="Arial" w:eastAsia="黑体"/>
      <w:b/>
      <w:kern w:val="0"/>
      <w:sz w:val="24"/>
    </w:rPr>
  </w:style>
  <w:style w:type="paragraph" w:styleId="9">
    <w:name w:val="heading 7"/>
    <w:basedOn w:val="1"/>
    <w:next w:val="1"/>
    <w:qFormat/>
    <w:uiPriority w:val="0"/>
    <w:pPr>
      <w:keepNext/>
      <w:keepLines/>
      <w:spacing w:before="240" w:beforeLines="0" w:after="64" w:afterLines="0" w:line="320" w:lineRule="auto"/>
      <w:outlineLvl w:val="6"/>
    </w:pPr>
    <w:rPr>
      <w:b/>
      <w:bCs/>
      <w:kern w:val="0"/>
      <w:sz w:val="24"/>
      <w:szCs w:val="24"/>
    </w:rPr>
  </w:style>
  <w:style w:type="character" w:default="1" w:styleId="31">
    <w:name w:val="Default Paragraph Font"/>
    <w:semiHidden/>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2">
    <w:name w:val="index 6"/>
    <w:basedOn w:val="1"/>
    <w:next w:val="1"/>
    <w:qFormat/>
    <w:uiPriority w:val="0"/>
    <w:pPr>
      <w:ind w:left="2100"/>
    </w:pPr>
    <w:rPr>
      <w:rFonts w:ascii="Calibri" w:hAnsi="Calibri" w:eastAsia="宋体" w:cs="Times New Roman"/>
    </w:rPr>
  </w:style>
  <w:style w:type="paragraph" w:styleId="10">
    <w:name w:val="Normal Indent"/>
    <w:basedOn w:val="1"/>
    <w:next w:val="1"/>
    <w:qFormat/>
    <w:uiPriority w:val="0"/>
    <w:pPr>
      <w:ind w:firstLine="420"/>
    </w:pPr>
    <w:rPr>
      <w:rFonts w:ascii="Times New Roman" w:hAnsi="Times New Roman"/>
      <w:szCs w:val="20"/>
    </w:rPr>
  </w:style>
  <w:style w:type="paragraph" w:styleId="11">
    <w:name w:val="toa heading"/>
    <w:basedOn w:val="1"/>
    <w:next w:val="1"/>
    <w:qFormat/>
    <w:uiPriority w:val="0"/>
    <w:pPr>
      <w:spacing w:before="120"/>
    </w:pPr>
    <w:rPr>
      <w:rFonts w:ascii="Arial" w:hAnsi="Arial"/>
      <w:sz w:val="24"/>
      <w:szCs w:val="21"/>
    </w:rPr>
  </w:style>
  <w:style w:type="paragraph" w:styleId="12">
    <w:name w:val="Body Text"/>
    <w:basedOn w:val="1"/>
    <w:next w:val="1"/>
    <w:qFormat/>
    <w:uiPriority w:val="0"/>
    <w:pPr>
      <w:spacing w:after="120" w:afterLines="0"/>
    </w:pPr>
  </w:style>
  <w:style w:type="paragraph" w:styleId="13">
    <w:name w:val="Body Text Indent"/>
    <w:basedOn w:val="1"/>
    <w:qFormat/>
    <w:uiPriority w:val="0"/>
    <w:pPr>
      <w:spacing w:line="800" w:lineRule="exact"/>
      <w:ind w:left="315" w:leftChars="150" w:firstLine="664" w:firstLineChars="237"/>
    </w:pPr>
    <w:rPr>
      <w:rFonts w:ascii="仿宋_GB2312" w:eastAsia="仿宋_GB2312"/>
      <w:sz w:val="28"/>
    </w:rPr>
  </w:style>
  <w:style w:type="paragraph" w:styleId="14">
    <w:name w:val="toc 5"/>
    <w:basedOn w:val="1"/>
    <w:next w:val="1"/>
    <w:semiHidden/>
    <w:qFormat/>
    <w:uiPriority w:val="0"/>
    <w:pPr>
      <w:ind w:left="840"/>
      <w:jc w:val="left"/>
    </w:pPr>
    <w:rPr>
      <w:sz w:val="18"/>
      <w:szCs w:val="18"/>
    </w:rPr>
  </w:style>
  <w:style w:type="paragraph" w:styleId="15">
    <w:name w:val="toc 3"/>
    <w:basedOn w:val="1"/>
    <w:next w:val="1"/>
    <w:qFormat/>
    <w:uiPriority w:val="0"/>
    <w:pPr>
      <w:ind w:left="840" w:leftChars="400"/>
    </w:pPr>
  </w:style>
  <w:style w:type="paragraph" w:styleId="16">
    <w:name w:val="Plain Text"/>
    <w:basedOn w:val="1"/>
    <w:next w:val="1"/>
    <w:qFormat/>
    <w:uiPriority w:val="0"/>
    <w:rPr>
      <w:rFonts w:ascii="宋体" w:hAnsi="宋体"/>
    </w:rPr>
  </w:style>
  <w:style w:type="paragraph" w:styleId="17">
    <w:name w:val="Date"/>
    <w:basedOn w:val="1"/>
    <w:next w:val="1"/>
    <w:qFormat/>
    <w:uiPriority w:val="99"/>
    <w:rPr>
      <w:rFonts w:ascii="Times New Roman" w:hAnsi="Times New Roman"/>
      <w:kern w:val="0"/>
      <w:sz w:val="20"/>
      <w:szCs w:val="20"/>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rPr>
  </w:style>
  <w:style w:type="paragraph" w:styleId="20">
    <w:name w:val="toc 1"/>
    <w:basedOn w:val="1"/>
    <w:next w:val="1"/>
    <w:qFormat/>
    <w:uiPriority w:val="39"/>
    <w:pPr>
      <w:spacing w:before="156" w:beforeLines="50"/>
    </w:pPr>
    <w:rPr>
      <w:rFonts w:ascii="仿宋_GB2312" w:eastAsia="仿宋_GB2312"/>
      <w:sz w:val="24"/>
    </w:rPr>
  </w:style>
  <w:style w:type="paragraph" w:styleId="21">
    <w:name w:val="toc 4"/>
    <w:basedOn w:val="1"/>
    <w:next w:val="1"/>
    <w:qFormat/>
    <w:uiPriority w:val="0"/>
    <w:pPr>
      <w:wordWrap w:val="0"/>
      <w:ind w:left="850"/>
      <w:jc w:val="both"/>
    </w:pPr>
    <w:rPr>
      <w:rFonts w:ascii="Calibri" w:hAnsi="Calibri" w:eastAsia="宋体" w:cs="Times New Roman"/>
      <w:sz w:val="21"/>
      <w:lang w:val="en-US" w:eastAsia="zh-CN" w:bidi="ar-SA"/>
    </w:rPr>
  </w:style>
  <w:style w:type="paragraph" w:styleId="22">
    <w:name w:val="footnote text"/>
    <w:basedOn w:val="1"/>
    <w:qFormat/>
    <w:uiPriority w:val="0"/>
    <w:pPr>
      <w:snapToGrid w:val="0"/>
      <w:jc w:val="left"/>
    </w:pPr>
    <w:rPr>
      <w:rFonts w:eastAsia="楷体_GB2312"/>
      <w:sz w:val="18"/>
      <w:szCs w:val="18"/>
    </w:rPr>
  </w:style>
  <w:style w:type="paragraph" w:styleId="23">
    <w:name w:val="toc 2"/>
    <w:basedOn w:val="1"/>
    <w:next w:val="1"/>
    <w:qFormat/>
    <w:uiPriority w:val="0"/>
    <w:pPr>
      <w:ind w:left="420" w:leftChars="200"/>
    </w:pPr>
  </w:style>
  <w:style w:type="paragraph" w:styleId="24">
    <w:name w:val="HTML Preformatted"/>
    <w:basedOn w:val="1"/>
    <w:qFormat/>
    <w:uiPriority w:val="99"/>
    <w:rPr>
      <w:rFonts w:ascii="Courier New" w:hAnsi="Courier New"/>
      <w:sz w:val="20"/>
    </w:rPr>
  </w:style>
  <w:style w:type="paragraph" w:styleId="25">
    <w:name w:val="Normal (Web)"/>
    <w:basedOn w:val="1"/>
    <w:next w:val="1"/>
    <w:qFormat/>
    <w:uiPriority w:val="0"/>
    <w:pPr>
      <w:widowControl/>
      <w:jc w:val="left"/>
    </w:pPr>
    <w:rPr>
      <w:rFonts w:ascii="宋体" w:hAnsi="宋体" w:cs="宋体"/>
      <w:kern w:val="0"/>
      <w:sz w:val="24"/>
      <w:szCs w:val="24"/>
    </w:rPr>
  </w:style>
  <w:style w:type="paragraph" w:styleId="26">
    <w:name w:val="Title"/>
    <w:basedOn w:val="1"/>
    <w:next w:val="1"/>
    <w:qFormat/>
    <w:uiPriority w:val="0"/>
    <w:pPr>
      <w:jc w:val="both"/>
    </w:pPr>
    <w:rPr>
      <w:rFonts w:ascii="宋体" w:hAnsi="宋体"/>
      <w:b/>
      <w:sz w:val="44"/>
      <w:szCs w:val="28"/>
    </w:rPr>
  </w:style>
  <w:style w:type="paragraph" w:styleId="27">
    <w:name w:val="Body Text First Indent"/>
    <w:basedOn w:val="10"/>
    <w:next w:val="28"/>
    <w:unhideWhenUsed/>
    <w:qFormat/>
    <w:uiPriority w:val="0"/>
    <w:pPr>
      <w:spacing w:before="0" w:beforeLines="0" w:after="120" w:afterLines="0" w:line="312" w:lineRule="atLeast"/>
      <w:ind w:firstLine="420" w:firstLineChars="100"/>
    </w:pPr>
    <w:rPr>
      <w:sz w:val="21"/>
    </w:rPr>
  </w:style>
  <w:style w:type="paragraph" w:styleId="28">
    <w:name w:val="Body Text First Indent 2"/>
    <w:basedOn w:val="13"/>
    <w:qFormat/>
    <w:uiPriority w:val="0"/>
    <w:pPr>
      <w:tabs>
        <w:tab w:val="left" w:pos="8280"/>
      </w:tabs>
      <w:ind w:firstLine="420" w:firstLineChars="200"/>
    </w:pPr>
    <w:rPr>
      <w:rFonts w:ascii="Times New Roman" w:hAnsi="Times New Roman"/>
      <w:szCs w:val="20"/>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rPr>
      <w:b/>
      <w:bCs/>
    </w:rPr>
  </w:style>
  <w:style w:type="character" w:styleId="33">
    <w:name w:val="Hyperlink"/>
    <w:unhideWhenUsed/>
    <w:qFormat/>
    <w:uiPriority w:val="0"/>
    <w:rPr>
      <w:color w:val="0000FF"/>
      <w:u w:val="single"/>
    </w:rPr>
  </w:style>
  <w:style w:type="character" w:styleId="34">
    <w:name w:val="HTML Sample"/>
    <w:basedOn w:val="31"/>
    <w:qFormat/>
    <w:uiPriority w:val="0"/>
    <w:rPr>
      <w:rFonts w:ascii="Courier New" w:hAnsi="Courier New"/>
    </w:rPr>
  </w:style>
  <w:style w:type="paragraph" w:customStyle="1" w:styleId="35">
    <w:name w:val="正文首行缩进 21"/>
    <w:basedOn w:val="36"/>
    <w:qFormat/>
    <w:uiPriority w:val="0"/>
    <w:pPr>
      <w:spacing w:line="500" w:lineRule="exact"/>
      <w:ind w:firstLine="420" w:firstLineChars="200"/>
    </w:pPr>
    <w:rPr>
      <w:szCs w:val="22"/>
    </w:rPr>
  </w:style>
  <w:style w:type="paragraph" w:customStyle="1" w:styleId="36">
    <w:name w:val="正文文本缩进1"/>
    <w:basedOn w:val="1"/>
    <w:qFormat/>
    <w:uiPriority w:val="0"/>
    <w:pPr>
      <w:spacing w:line="500" w:lineRule="exact"/>
      <w:ind w:firstLine="880" w:firstLineChars="200"/>
    </w:pPr>
  </w:style>
  <w:style w:type="character" w:customStyle="1" w:styleId="37">
    <w:name w:val="标题 1 Char"/>
    <w:link w:val="3"/>
    <w:qFormat/>
    <w:uiPriority w:val="0"/>
    <w:rPr>
      <w:b/>
      <w:bCs/>
      <w:kern w:val="0"/>
      <w:sz w:val="24"/>
    </w:rPr>
  </w:style>
  <w:style w:type="paragraph" w:customStyle="1" w:styleId="38">
    <w:name w:val="Char"/>
    <w:basedOn w:val="1"/>
    <w:qFormat/>
    <w:uiPriority w:val="0"/>
    <w:pPr>
      <w:tabs>
        <w:tab w:val="left" w:pos="360"/>
      </w:tabs>
    </w:pPr>
    <w:rPr>
      <w:sz w:val="24"/>
      <w:szCs w:val="24"/>
    </w:rPr>
  </w:style>
  <w:style w:type="paragraph" w:customStyle="1" w:styleId="39">
    <w:name w:val="_Style 2"/>
    <w:basedOn w:val="1"/>
    <w:next w:val="1"/>
    <w:qFormat/>
    <w:uiPriority w:val="99"/>
    <w:pPr>
      <w:ind w:firstLine="420" w:firstLineChars="200"/>
    </w:pPr>
    <w:rPr>
      <w:szCs w:val="24"/>
    </w:rPr>
  </w:style>
  <w:style w:type="paragraph" w:customStyle="1" w:styleId="40">
    <w:name w:val="标题 5（有编号）（绿盟科技）"/>
    <w:basedOn w:val="1"/>
    <w:next w:val="41"/>
    <w:qFormat/>
    <w:uiPriority w:val="0"/>
    <w:pPr>
      <w:keepNext/>
      <w:keepLines/>
      <w:numPr>
        <w:ilvl w:val="4"/>
        <w:numId w:val="4"/>
      </w:numPr>
      <w:spacing w:before="280" w:after="156" w:line="377" w:lineRule="auto"/>
      <w:jc w:val="left"/>
      <w:outlineLvl w:val="4"/>
    </w:pPr>
    <w:rPr>
      <w:rFonts w:ascii="Arial" w:hAnsi="Arial" w:eastAsia="黑体"/>
      <w:b/>
      <w:sz w:val="24"/>
      <w:szCs w:val="28"/>
    </w:rPr>
  </w:style>
  <w:style w:type="paragraph" w:customStyle="1" w:styleId="41">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42">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3">
    <w:name w:val="正文_1_0"/>
    <w:basedOn w:val="44"/>
    <w:next w:val="49"/>
    <w:qFormat/>
    <w:uiPriority w:val="0"/>
    <w:pPr>
      <w:widowControl w:val="0"/>
      <w:jc w:val="both"/>
    </w:pPr>
    <w:rPr>
      <w:rFonts w:ascii="Calibri" w:hAnsi="Calibri"/>
      <w:kern w:val="2"/>
      <w:sz w:val="21"/>
      <w:szCs w:val="24"/>
      <w:lang w:val="en-US" w:eastAsia="zh-CN" w:bidi="ar-SA"/>
    </w:rPr>
  </w:style>
  <w:style w:type="paragraph" w:customStyle="1" w:styleId="44">
    <w:name w:val="正文_2"/>
    <w:basedOn w:val="45"/>
    <w:next w:val="4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3"/>
    <w:basedOn w:val="46"/>
    <w:next w:val="2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正文文本_1"/>
    <w:basedOn w:val="48"/>
    <w:unhideWhenUsed/>
    <w:qFormat/>
    <w:uiPriority w:val="0"/>
    <w:pPr>
      <w:spacing w:after="120"/>
    </w:pPr>
    <w:rPr>
      <w:rFonts w:ascii="Calibri" w:hAnsi="Calibri" w:eastAsia="宋体" w:cs="Times New Roman"/>
    </w:rPr>
  </w:style>
  <w:style w:type="paragraph" w:customStyle="1" w:styleId="48">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正文首行缩进1"/>
    <w:basedOn w:val="50"/>
    <w:unhideWhenUsed/>
    <w:qFormat/>
    <w:uiPriority w:val="99"/>
    <w:pPr>
      <w:ind w:firstLine="420" w:firstLineChars="100"/>
    </w:pPr>
    <w:rPr>
      <w:szCs w:val="22"/>
    </w:rPr>
  </w:style>
  <w:style w:type="paragraph" w:customStyle="1" w:styleId="50">
    <w:name w:val="正文文本_0_0"/>
    <w:basedOn w:val="51"/>
    <w:qFormat/>
    <w:uiPriority w:val="0"/>
    <w:pPr>
      <w:spacing w:after="120"/>
    </w:pPr>
    <w:rPr>
      <w:rFonts w:ascii="Calibri" w:hAnsi="Calibri"/>
      <w:kern w:val="0"/>
      <w:sz w:val="20"/>
    </w:rPr>
  </w:style>
  <w:style w:type="paragraph" w:customStyle="1" w:styleId="51">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标题 2_0"/>
    <w:basedOn w:val="53"/>
    <w:next w:val="54"/>
    <w:qFormat/>
    <w:uiPriority w:val="0"/>
    <w:pPr>
      <w:spacing w:line="360" w:lineRule="auto"/>
      <w:outlineLvl w:val="1"/>
    </w:pPr>
    <w:rPr>
      <w:rFonts w:ascii="Arial" w:hAnsi="Arial"/>
      <w:b w:val="0"/>
      <w:bCs w:val="0"/>
      <w:sz w:val="24"/>
    </w:rPr>
  </w:style>
  <w:style w:type="paragraph" w:customStyle="1" w:styleId="53">
    <w:name w:val="标题 3_0"/>
    <w:basedOn w:val="54"/>
    <w:next w:val="54"/>
    <w:unhideWhenUsed/>
    <w:qFormat/>
    <w:uiPriority w:val="9"/>
    <w:pPr>
      <w:keepNext/>
      <w:keepLines/>
      <w:spacing w:before="260" w:after="260" w:line="416" w:lineRule="auto"/>
      <w:outlineLvl w:val="2"/>
    </w:pPr>
    <w:rPr>
      <w:b/>
      <w:bCs/>
      <w:sz w:val="32"/>
      <w:szCs w:val="32"/>
    </w:rPr>
  </w:style>
  <w:style w:type="paragraph" w:customStyle="1" w:styleId="54">
    <w:name w:val="正文_1"/>
    <w:basedOn w:val="55"/>
    <w:next w:val="5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正文_2_0"/>
    <w:basedOn w:val="44"/>
    <w:next w:val="5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文本_0"/>
    <w:basedOn w:val="43"/>
    <w:qFormat/>
    <w:uiPriority w:val="0"/>
    <w:pPr>
      <w:keepNext w:val="0"/>
      <w:keepLines w:val="0"/>
      <w:widowControl w:val="0"/>
      <w:suppressLineNumbers w:val="0"/>
      <w:spacing w:before="0" w:beforeAutospacing="0" w:after="120" w:afterAutospacing="0"/>
      <w:ind w:left="0" w:right="0"/>
      <w:jc w:val="both"/>
    </w:pPr>
    <w:rPr>
      <w:kern w:val="0"/>
      <w:sz w:val="20"/>
    </w:rPr>
  </w:style>
  <w:style w:type="paragraph" w:customStyle="1" w:styleId="57">
    <w:name w:val="纯文本_0"/>
    <w:basedOn w:val="43"/>
    <w:qFormat/>
    <w:uiPriority w:val="0"/>
    <w:rPr>
      <w:rFonts w:ascii="宋体" w:hAnsi="Courier New" w:eastAsia="宋体" w:cs="Courier New"/>
      <w:szCs w:val="21"/>
    </w:rPr>
  </w:style>
  <w:style w:type="paragraph" w:customStyle="1" w:styleId="58">
    <w:name w:val="Char Char Char Char Char Char Char Char Char Char"/>
    <w:basedOn w:val="1"/>
    <w:qFormat/>
    <w:uiPriority w:val="0"/>
    <w:pPr>
      <w:adjustRightInd w:val="0"/>
      <w:spacing w:line="360" w:lineRule="auto"/>
    </w:pPr>
    <w:rPr>
      <w:kern w:val="0"/>
      <w:sz w:val="24"/>
      <w:szCs w:val="20"/>
    </w:rPr>
  </w:style>
  <w:style w:type="paragraph" w:customStyle="1" w:styleId="59">
    <w:name w:val="Normal_18"/>
    <w:qFormat/>
    <w:uiPriority w:val="0"/>
    <w:rPr>
      <w:rFonts w:ascii="黑体" w:hAnsi="黑体" w:eastAsia="黑体" w:cs="Times New Roman"/>
      <w:b/>
      <w:sz w:val="32"/>
      <w:szCs w:val="24"/>
      <w:lang w:val="en-US" w:eastAsia="zh-CN" w:bidi="ar-SA"/>
    </w:rPr>
  </w:style>
  <w:style w:type="paragraph" w:customStyle="1" w:styleId="60">
    <w:name w:val="Normal_0_0"/>
    <w:qFormat/>
    <w:uiPriority w:val="0"/>
    <w:rPr>
      <w:rFonts w:ascii="黑体" w:hAnsi="黑体" w:eastAsia="黑体" w:cs="Times New Roman"/>
      <w:b/>
      <w:sz w:val="32"/>
      <w:szCs w:val="24"/>
      <w:lang w:val="en-US" w:eastAsia="zh-CN" w:bidi="ar-SA"/>
    </w:rPr>
  </w:style>
  <w:style w:type="paragraph" w:customStyle="1" w:styleId="61">
    <w:name w:val="Normal_1_0"/>
    <w:qFormat/>
    <w:uiPriority w:val="0"/>
    <w:rPr>
      <w:rFonts w:ascii="黑体" w:hAnsi="黑体" w:eastAsia="黑体" w:cs="Times New Roman"/>
      <w:b/>
      <w:sz w:val="32"/>
      <w:szCs w:val="24"/>
      <w:lang w:val="en-US" w:eastAsia="zh-CN" w:bidi="ar-SA"/>
    </w:rPr>
  </w:style>
  <w:style w:type="paragraph" w:customStyle="1" w:styleId="62">
    <w:name w:val="正文_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3">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纯文本_1"/>
    <w:basedOn w:val="63"/>
    <w:unhideWhenUsed/>
    <w:qFormat/>
    <w:uiPriority w:val="0"/>
    <w:rPr>
      <w:rFonts w:ascii="宋体" w:hAnsi="Courier New" w:eastAsia="宋体" w:cs="Courier New"/>
      <w:szCs w:val="21"/>
    </w:rPr>
  </w:style>
  <w:style w:type="paragraph" w:customStyle="1" w:styleId="65">
    <w:name w:val="Normal_3"/>
    <w:qFormat/>
    <w:uiPriority w:val="0"/>
    <w:rPr>
      <w:rFonts w:ascii="黑体" w:hAnsi="黑体" w:eastAsia="黑体" w:cs="Times New Roman"/>
      <w:b/>
      <w:sz w:val="32"/>
      <w:szCs w:val="24"/>
      <w:lang w:val="en-US" w:eastAsia="zh-CN" w:bidi="ar-SA"/>
    </w:rPr>
  </w:style>
  <w:style w:type="paragraph" w:customStyle="1" w:styleId="66">
    <w:name w:val="Normal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Normal_8"/>
    <w:qFormat/>
    <w:uiPriority w:val="0"/>
    <w:rPr>
      <w:rFonts w:ascii="黑体" w:hAnsi="黑体" w:eastAsia="黑体" w:cs="Times New Roman"/>
      <w:b/>
      <w:sz w:val="32"/>
      <w:szCs w:val="24"/>
      <w:lang w:val="en-US" w:eastAsia="zh-CN" w:bidi="ar-SA"/>
    </w:rPr>
  </w:style>
  <w:style w:type="paragraph" w:customStyle="1" w:styleId="68">
    <w:name w:val="Normal_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9">
    <w:name w:val="Body Text"/>
    <w:basedOn w:val="68"/>
    <w:qFormat/>
    <w:uiPriority w:val="1"/>
    <w:pPr>
      <w:ind w:left="220"/>
    </w:pPr>
    <w:rPr>
      <w:rFonts w:eastAsia="Times New Roman"/>
      <w:sz w:val="32"/>
      <w:szCs w:val="32"/>
    </w:rPr>
  </w:style>
  <w:style w:type="paragraph" w:customStyle="1" w:styleId="70">
    <w:name w:val="Normal_10"/>
    <w:qFormat/>
    <w:uiPriority w:val="0"/>
    <w:rPr>
      <w:rFonts w:ascii="黑体" w:hAnsi="黑体" w:eastAsia="黑体" w:cs="Times New Roman"/>
      <w:b/>
      <w:sz w:val="32"/>
      <w:szCs w:val="24"/>
      <w:lang w:val="en-US" w:eastAsia="zh-CN" w:bidi="ar-SA"/>
    </w:rPr>
  </w:style>
  <w:style w:type="paragraph" w:customStyle="1" w:styleId="71">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Normal_11"/>
    <w:qFormat/>
    <w:uiPriority w:val="0"/>
    <w:rPr>
      <w:rFonts w:ascii="黑体" w:hAnsi="黑体" w:eastAsia="黑体" w:cs="Times New Roman"/>
      <w:b/>
      <w:sz w:val="32"/>
      <w:szCs w:val="24"/>
      <w:lang w:val="en-US" w:eastAsia="zh-CN" w:bidi="ar-SA"/>
    </w:rPr>
  </w:style>
  <w:style w:type="paragraph" w:customStyle="1" w:styleId="7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
    <w:name w:val="Normal_12"/>
    <w:qFormat/>
    <w:uiPriority w:val="0"/>
    <w:rPr>
      <w:rFonts w:ascii="黑体" w:hAnsi="黑体" w:eastAsia="黑体" w:cs="Times New Roman"/>
      <w:b/>
      <w:sz w:val="32"/>
      <w:szCs w:val="24"/>
      <w:lang w:val="en-US" w:eastAsia="zh-CN" w:bidi="ar-SA"/>
    </w:rPr>
  </w:style>
  <w:style w:type="paragraph" w:customStyle="1" w:styleId="75">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
    <w:name w:val="正文_7"/>
    <w:qFormat/>
    <w:uiPriority w:val="0"/>
    <w:pPr>
      <w:widowControl w:val="0"/>
      <w:jc w:val="both"/>
    </w:pPr>
    <w:rPr>
      <w:rFonts w:ascii="Calibri" w:hAnsi="Calibri" w:eastAsia="宋体" w:cs="Times New Roman"/>
      <w:kern w:val="2"/>
      <w:sz w:val="21"/>
      <w:szCs w:val="22"/>
      <w:lang w:val="en-US" w:eastAsia="zh-CN" w:bidi="ar-SA"/>
    </w:rPr>
  </w:style>
  <w:style w:type="character" w:customStyle="1" w:styleId="77">
    <w:name w:val="标题 3 Char_3"/>
    <w:link w:val="78"/>
    <w:semiHidden/>
    <w:qFormat/>
    <w:uiPriority w:val="0"/>
    <w:rPr>
      <w:b/>
      <w:bCs/>
      <w:kern w:val="0"/>
      <w:sz w:val="32"/>
      <w:szCs w:val="32"/>
    </w:rPr>
  </w:style>
  <w:style w:type="paragraph" w:customStyle="1" w:styleId="78">
    <w:name w:val="标题 3_3"/>
    <w:basedOn w:val="79"/>
    <w:next w:val="76"/>
    <w:link w:val="77"/>
    <w:unhideWhenUsed/>
    <w:qFormat/>
    <w:uiPriority w:val="0"/>
    <w:pPr>
      <w:keepNext/>
      <w:keepLines/>
      <w:spacing w:before="260" w:after="260" w:line="416" w:lineRule="auto"/>
      <w:outlineLvl w:val="2"/>
    </w:pPr>
    <w:rPr>
      <w:b/>
      <w:bCs/>
      <w:kern w:val="0"/>
      <w:sz w:val="32"/>
      <w:szCs w:val="32"/>
    </w:rPr>
  </w:style>
  <w:style w:type="paragraph" w:customStyle="1" w:styleId="79">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Normal_15"/>
    <w:qFormat/>
    <w:uiPriority w:val="0"/>
    <w:rPr>
      <w:rFonts w:ascii="黑体" w:hAnsi="黑体" w:eastAsia="黑体" w:cs="Times New Roman"/>
      <w:b/>
      <w:sz w:val="32"/>
      <w:szCs w:val="24"/>
      <w:lang w:val="en-US" w:eastAsia="zh-CN" w:bidi="ar-SA"/>
    </w:rPr>
  </w:style>
  <w:style w:type="paragraph" w:customStyle="1" w:styleId="81">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纯文本_0_0"/>
    <w:basedOn w:val="81"/>
    <w:unhideWhenUsed/>
    <w:qFormat/>
    <w:uiPriority w:val="0"/>
    <w:rPr>
      <w:rFonts w:ascii="宋体" w:hAnsi="Courier New" w:eastAsia="宋体" w:cs="Courier New"/>
      <w:szCs w:val="21"/>
    </w:rPr>
  </w:style>
  <w:style w:type="paragraph" w:customStyle="1" w:styleId="83">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Normal_17"/>
    <w:qFormat/>
    <w:uiPriority w:val="0"/>
    <w:rPr>
      <w:rFonts w:ascii="黑体" w:hAnsi="黑体" w:eastAsia="黑体" w:cs="Times New Roman"/>
      <w:b/>
      <w:sz w:val="32"/>
      <w:szCs w:val="24"/>
      <w:lang w:val="en-US" w:eastAsia="zh-CN" w:bidi="ar-SA"/>
    </w:rPr>
  </w:style>
  <w:style w:type="paragraph" w:customStyle="1" w:styleId="85">
    <w:name w:val="正文_12"/>
    <w:qFormat/>
    <w:uiPriority w:val="0"/>
    <w:pPr>
      <w:widowControl w:val="0"/>
      <w:jc w:val="both"/>
    </w:pPr>
    <w:rPr>
      <w:rFonts w:ascii="Calibri" w:hAnsi="Calibri" w:eastAsia="宋体" w:cs="Times New Roman"/>
      <w:kern w:val="2"/>
      <w:sz w:val="21"/>
      <w:szCs w:val="22"/>
      <w:lang w:val="en-US" w:eastAsia="zh-CN" w:bidi="ar-SA"/>
    </w:rPr>
  </w:style>
  <w:style w:type="character" w:customStyle="1" w:styleId="86">
    <w:name w:val="标题 3 Char_6"/>
    <w:link w:val="87"/>
    <w:semiHidden/>
    <w:qFormat/>
    <w:uiPriority w:val="0"/>
    <w:rPr>
      <w:b/>
      <w:bCs/>
      <w:kern w:val="0"/>
      <w:sz w:val="32"/>
      <w:szCs w:val="32"/>
    </w:rPr>
  </w:style>
  <w:style w:type="paragraph" w:customStyle="1" w:styleId="87">
    <w:name w:val="标题 3_6"/>
    <w:basedOn w:val="85"/>
    <w:next w:val="85"/>
    <w:link w:val="86"/>
    <w:unhideWhenUsed/>
    <w:qFormat/>
    <w:uiPriority w:val="0"/>
    <w:pPr>
      <w:keepNext/>
      <w:keepLines/>
      <w:spacing w:before="260" w:after="260" w:line="412" w:lineRule="auto"/>
      <w:outlineLvl w:val="2"/>
    </w:pPr>
    <w:rPr>
      <w:b/>
      <w:bCs/>
      <w:kern w:val="0"/>
      <w:sz w:val="32"/>
      <w:szCs w:val="32"/>
    </w:rPr>
  </w:style>
  <w:style w:type="paragraph" w:customStyle="1" w:styleId="88">
    <w:name w:val="Normal"/>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Times New Roman" w:cs="Times New Roman"/>
      <w:kern w:val="0"/>
      <w:sz w:val="20"/>
      <w:szCs w:val="20"/>
      <w:lang w:val="en-US" w:eastAsia="zh-CN" w:bidi="ar"/>
    </w:rPr>
  </w:style>
  <w:style w:type="paragraph" w:customStyle="1" w:styleId="89">
    <w:name w:val="正文1"/>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Times New Roman" w:cs="Times New Roman"/>
      <w:kern w:val="0"/>
      <w:sz w:val="20"/>
      <w:szCs w:val="20"/>
      <w:lang w:val="en-US" w:eastAsia="zh-CN" w:bidi="ar"/>
    </w:rPr>
  </w:style>
  <w:style w:type="paragraph" w:customStyle="1" w:styleId="90">
    <w:name w:val="Normal_0"/>
    <w:basedOn w:val="1"/>
    <w:qFormat/>
    <w:uiPriority w:val="0"/>
    <w:pPr>
      <w:keepNext w:val="0"/>
      <w:keepLines w:val="0"/>
      <w:widowControl/>
      <w:suppressLineNumbers w:val="0"/>
      <w:spacing w:before="0" w:beforeAutospacing="0" w:after="0" w:afterAutospacing="0"/>
      <w:ind w:left="0" w:right="0"/>
      <w:jc w:val="left"/>
    </w:pPr>
    <w:rPr>
      <w:rFonts w:hint="default" w:ascii="Times New Roman" w:hAnsi="Times New Roman" w:eastAsia="Times New Roman" w:cs="Times New Roman"/>
      <w:kern w:val="0"/>
      <w:sz w:val="24"/>
      <w:szCs w:val="24"/>
      <w:lang w:val="en-US" w:eastAsia="zh-CN" w:bidi="ar"/>
    </w:rPr>
  </w:style>
  <w:style w:type="paragraph" w:customStyle="1" w:styleId="91">
    <w:name w:val="样式 首行缩进:  2 字符"/>
    <w:basedOn w:val="1"/>
    <w:qFormat/>
    <w:uiPriority w:val="0"/>
    <w:pPr>
      <w:spacing w:line="400" w:lineRule="exact"/>
    </w:pPr>
    <w:rPr>
      <w:rFonts w:ascii="Times New Roman" w:hAnsi="Times New Roman" w:cs="宋体"/>
      <w:sz w:val="24"/>
      <w:szCs w:val="24"/>
    </w:rPr>
  </w:style>
  <w:style w:type="paragraph" w:customStyle="1" w:styleId="92">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3">
    <w:name w:val="正文+首行缩进2字符"/>
    <w:basedOn w:val="1"/>
    <w:qFormat/>
    <w:uiPriority w:val="0"/>
    <w:pPr>
      <w:ind w:firstLine="200" w:firstLineChars="200"/>
    </w:pPr>
  </w:style>
  <w:style w:type="paragraph" w:customStyle="1" w:styleId="94">
    <w:name w:val="标准文本"/>
    <w:basedOn w:val="1"/>
    <w:qFormat/>
    <w:uiPriority w:val="0"/>
    <w:pPr>
      <w:spacing w:line="360" w:lineRule="auto"/>
      <w:ind w:firstLine="480" w:firstLineChars="200"/>
    </w:pPr>
    <w:rPr>
      <w:rFonts w:cs="宋体"/>
      <w:sz w:val="28"/>
      <w:szCs w:val="24"/>
    </w:rPr>
  </w:style>
  <w:style w:type="paragraph" w:customStyle="1" w:styleId="95">
    <w:name w:val="Table Text"/>
    <w:basedOn w:val="1"/>
    <w:semiHidden/>
    <w:qFormat/>
    <w:uiPriority w:val="0"/>
    <w:rPr>
      <w:rFonts w:ascii="仿宋" w:hAnsi="仿宋" w:eastAsia="仿宋" w:cs="仿宋"/>
      <w:sz w:val="24"/>
      <w:szCs w:val="24"/>
      <w:lang w:val="en-US" w:eastAsia="en-US" w:bidi="ar-SA"/>
    </w:rPr>
  </w:style>
  <w:style w:type="table" w:customStyle="1" w:styleId="96">
    <w:name w:val="Table Normal"/>
    <w:semiHidden/>
    <w:unhideWhenUsed/>
    <w:qFormat/>
    <w:uiPriority w:val="0"/>
    <w:tblPr>
      <w:tblCellMar>
        <w:top w:w="0" w:type="dxa"/>
        <w:left w:w="0" w:type="dxa"/>
        <w:bottom w:w="0" w:type="dxa"/>
        <w:right w:w="0" w:type="dxa"/>
      </w:tblCellMar>
    </w:tblPr>
  </w:style>
  <w:style w:type="paragraph" w:customStyle="1" w:styleId="97">
    <w:name w:val="Body Text Indent 21"/>
    <w:basedOn w:val="1"/>
    <w:qFormat/>
    <w:uiPriority w:val="0"/>
    <w:pPr>
      <w:spacing w:line="360" w:lineRule="auto"/>
      <w:ind w:firstLine="507" w:firstLineChars="200"/>
    </w:pPr>
    <w:rPr>
      <w:rFonts w:ascii="Arial" w:hAnsi="Arial"/>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jpeg"/><Relationship Id="rId26" Type="http://schemas.openxmlformats.org/officeDocument/2006/relationships/theme" Target="theme/theme1.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header" Target="header4.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13853</Words>
  <Characters>14905</Characters>
  <Lines>0</Lines>
  <Paragraphs>0</Paragraphs>
  <TotalTime>10</TotalTime>
  <ScaleCrop>false</ScaleCrop>
  <LinksUpToDate>false</LinksUpToDate>
  <CharactersWithSpaces>15103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2023-05-26T05:29:00Z</dcterms:created>
  <dc:creator>Administrator</dc:creator>
  <cp:lastModifiedBy>Z</cp:lastModifiedBy>
  <cp:lastPrinted>2025-07-14T10:46:35Z</cp:lastPrinted>
  <dcterms:modified xsi:type="dcterms:W3CDTF">2025-07-14T10:52:20Z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9C1068CC07764E29AEF9A00B81430B2D_13</vt:lpwstr>
  </property>
  <property fmtid="{D5CDD505-2E9C-101B-9397-08002B2CF9AE}" pid="4" name="KSOTemplateDocerSaveRecord">
    <vt:lpwstr>eyJoZGlkIjoiYjk5MGQ5YzMwMmQ3OTdmMzkwYjhlZGQ1NmQ3NGI1ZGIiLCJ1c2VySWQiOiIzMTk2NDE3OTcifQ==</vt:lpwstr>
  </property>
</Properties>
</file>